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71EF11" w14:textId="77777777" w:rsidR="00532577" w:rsidRPr="00AC3438" w:rsidRDefault="00532577" w:rsidP="00D2273C">
      <w:pPr>
        <w:tabs>
          <w:tab w:val="left" w:pos="8931"/>
        </w:tabs>
        <w:spacing w:after="0" w:line="360" w:lineRule="auto"/>
      </w:pPr>
    </w:p>
    <w:p w14:paraId="3FB7EB5E" w14:textId="231F31BF" w:rsidR="005C690F" w:rsidRPr="00422961" w:rsidRDefault="007D6307" w:rsidP="00D2273C">
      <w:pPr>
        <w:tabs>
          <w:tab w:val="left" w:pos="8931"/>
        </w:tabs>
        <w:spacing w:after="0" w:line="360" w:lineRule="auto"/>
      </w:pPr>
      <w:r w:rsidRPr="00422961">
        <w:t xml:space="preserve">Resolución del Pleno del Instituto de Transparencia, Acceso a la Información Pública y Protección de Datos Personales del Estado de México y Municipios, con domicilio en Metepec, Estado de México, de fecha </w:t>
      </w:r>
      <w:r w:rsidR="00532577" w:rsidRPr="00422961">
        <w:t>seis de noviembre</w:t>
      </w:r>
      <w:r w:rsidRPr="00422961">
        <w:t xml:space="preserve"> de dos mil veinti</w:t>
      </w:r>
      <w:r w:rsidR="00810943" w:rsidRPr="00422961">
        <w:t>cuatro</w:t>
      </w:r>
      <w:r w:rsidRPr="00422961">
        <w:t xml:space="preserve">. </w:t>
      </w:r>
    </w:p>
    <w:p w14:paraId="0DCD3B82" w14:textId="77777777" w:rsidR="005C690F" w:rsidRPr="00422961" w:rsidRDefault="005C690F" w:rsidP="00D2273C">
      <w:pPr>
        <w:spacing w:after="0" w:line="360" w:lineRule="auto"/>
        <w:rPr>
          <w:b/>
        </w:rPr>
      </w:pPr>
    </w:p>
    <w:p w14:paraId="1570B336" w14:textId="265667CA" w:rsidR="005C690F" w:rsidRPr="00422961" w:rsidRDefault="007D6307" w:rsidP="00D2273C">
      <w:pPr>
        <w:spacing w:after="0" w:line="360" w:lineRule="auto"/>
        <w:rPr>
          <w:color w:val="0D0D0D"/>
        </w:rPr>
      </w:pPr>
      <w:r w:rsidRPr="00422961">
        <w:rPr>
          <w:b/>
        </w:rPr>
        <w:t xml:space="preserve">VISTO </w:t>
      </w:r>
      <w:r w:rsidRPr="00422961">
        <w:t xml:space="preserve">el expediente electrónico conformado con motivo del Recurso de Revisión </w:t>
      </w:r>
      <w:r w:rsidR="00421C8C" w:rsidRPr="006431AB">
        <w:rPr>
          <w:b/>
        </w:rPr>
        <w:t>0</w:t>
      </w:r>
      <w:r w:rsidR="00EE6243" w:rsidRPr="006431AB">
        <w:rPr>
          <w:b/>
        </w:rPr>
        <w:t>5841</w:t>
      </w:r>
      <w:r w:rsidR="00421C8C" w:rsidRPr="006431AB">
        <w:rPr>
          <w:b/>
        </w:rPr>
        <w:t>/INFOEM/IP/RR/202</w:t>
      </w:r>
      <w:r w:rsidR="00AA3C9B" w:rsidRPr="006431AB">
        <w:rPr>
          <w:b/>
        </w:rPr>
        <w:t>4</w:t>
      </w:r>
      <w:r w:rsidRPr="006431AB">
        <w:rPr>
          <w:b/>
        </w:rPr>
        <w:t>,</w:t>
      </w:r>
      <w:r w:rsidRPr="00422961">
        <w:t xml:space="preserve"> interpuesto por </w:t>
      </w:r>
      <w:r w:rsidR="00CF6C65" w:rsidRPr="00CF6C65">
        <w:rPr>
          <w:b/>
          <w:highlight w:val="black"/>
        </w:rPr>
        <w:t>XXXXXXXXXXXX</w:t>
      </w:r>
      <w:r w:rsidR="00EE6243" w:rsidRPr="00422961">
        <w:t xml:space="preserve">, en lo sucesivo, </w:t>
      </w:r>
      <w:r w:rsidR="005262AF" w:rsidRPr="00422961">
        <w:t xml:space="preserve">la persona </w:t>
      </w:r>
      <w:r w:rsidRPr="00422961">
        <w:rPr>
          <w:color w:val="0D0D0D"/>
        </w:rPr>
        <w:t xml:space="preserve">Recurrente o Particular, en contra de la respuesta del Sujeto Obligado, </w:t>
      </w:r>
      <w:r w:rsidR="0073284C" w:rsidRPr="006431AB">
        <w:rPr>
          <w:b/>
          <w:color w:val="000000"/>
        </w:rPr>
        <w:t>Ayuntamiento de</w:t>
      </w:r>
      <w:r w:rsidR="00EE6243" w:rsidRPr="006431AB">
        <w:rPr>
          <w:b/>
          <w:color w:val="000000"/>
        </w:rPr>
        <w:t xml:space="preserve"> Metepec</w:t>
      </w:r>
      <w:r w:rsidRPr="006431AB">
        <w:rPr>
          <w:b/>
          <w:color w:val="0D0D0D"/>
        </w:rPr>
        <w:t>,</w:t>
      </w:r>
      <w:r w:rsidRPr="00422961">
        <w:rPr>
          <w:color w:val="0D0D0D"/>
        </w:rPr>
        <w:t xml:space="preserve"> a la solicitud de acceso a la información pública</w:t>
      </w:r>
      <w:r w:rsidRPr="00422961">
        <w:rPr>
          <w:rFonts w:ascii="Verdana" w:eastAsia="Verdana" w:hAnsi="Verdana" w:cs="Verdana"/>
          <w:b/>
          <w:color w:val="FF0000"/>
        </w:rPr>
        <w:t xml:space="preserve"> </w:t>
      </w:r>
      <w:r w:rsidR="0073284C" w:rsidRPr="00422961">
        <w:t>005</w:t>
      </w:r>
      <w:r w:rsidR="00EE6243" w:rsidRPr="00422961">
        <w:t>81</w:t>
      </w:r>
      <w:r w:rsidR="0073284C" w:rsidRPr="00422961">
        <w:t>/</w:t>
      </w:r>
      <w:r w:rsidR="00EE6243" w:rsidRPr="00422961">
        <w:t>METEPEC</w:t>
      </w:r>
      <w:r w:rsidR="0073284C" w:rsidRPr="00422961">
        <w:t>/IP/2024</w:t>
      </w:r>
      <w:r w:rsidRPr="00422961">
        <w:rPr>
          <w:color w:val="000000"/>
        </w:rPr>
        <w:t xml:space="preserve">, </w:t>
      </w:r>
      <w:r w:rsidRPr="00422961">
        <w:rPr>
          <w:color w:val="0D0D0D"/>
        </w:rPr>
        <w:t>se emite la presente Resolución, con base en los Antecedentes y Considerandos que se exponen a continuación:</w:t>
      </w:r>
    </w:p>
    <w:p w14:paraId="1F97CEF3" w14:textId="77777777" w:rsidR="005C690F" w:rsidRPr="00422961" w:rsidRDefault="005C690F" w:rsidP="00D2273C">
      <w:pPr>
        <w:spacing w:after="0" w:line="360" w:lineRule="auto"/>
        <w:rPr>
          <w:b/>
        </w:rPr>
      </w:pPr>
    </w:p>
    <w:p w14:paraId="1DEAF9D3" w14:textId="24D35555" w:rsidR="005C690F" w:rsidRPr="00422961" w:rsidRDefault="00CD6238" w:rsidP="00D2273C">
      <w:pPr>
        <w:spacing w:after="0" w:line="360" w:lineRule="auto"/>
        <w:jc w:val="center"/>
        <w:rPr>
          <w:b/>
        </w:rPr>
      </w:pPr>
      <w:r w:rsidRPr="00422961">
        <w:rPr>
          <w:b/>
        </w:rPr>
        <w:t>A N T E C E D E N T E S</w:t>
      </w:r>
    </w:p>
    <w:p w14:paraId="5A7EDA4F" w14:textId="77777777" w:rsidR="005C690F" w:rsidRPr="00422961" w:rsidRDefault="005C690F" w:rsidP="00D2273C">
      <w:pPr>
        <w:spacing w:after="0" w:line="360" w:lineRule="auto"/>
        <w:jc w:val="center"/>
        <w:rPr>
          <w:b/>
        </w:rPr>
      </w:pPr>
    </w:p>
    <w:p w14:paraId="46A5CEE0" w14:textId="5B721770" w:rsidR="00511094" w:rsidRPr="00422961" w:rsidRDefault="00511094" w:rsidP="00D2273C">
      <w:pPr>
        <w:spacing w:after="0" w:line="360" w:lineRule="auto"/>
        <w:contextualSpacing/>
        <w:rPr>
          <w:rFonts w:eastAsia="Calibri" w:cs="Tahoma"/>
          <w:b/>
          <w:bCs/>
        </w:rPr>
      </w:pPr>
      <w:r w:rsidRPr="00422961">
        <w:rPr>
          <w:rFonts w:eastAsia="Calibri" w:cs="Tahoma"/>
          <w:b/>
          <w:bCs/>
        </w:rPr>
        <w:t>I. Presentación de la solicitud de información</w:t>
      </w:r>
    </w:p>
    <w:p w14:paraId="61FE45C8" w14:textId="77777777" w:rsidR="00511094" w:rsidRPr="00422961" w:rsidRDefault="00511094" w:rsidP="00D2273C">
      <w:pPr>
        <w:spacing w:after="0" w:line="360" w:lineRule="auto"/>
        <w:contextualSpacing/>
        <w:rPr>
          <w:rFonts w:eastAsia="Calibri" w:cs="Tahoma"/>
          <w:b/>
          <w:bCs/>
        </w:rPr>
      </w:pPr>
    </w:p>
    <w:p w14:paraId="714CD540" w14:textId="10A80B35" w:rsidR="005262AF" w:rsidRPr="00422961" w:rsidRDefault="00BC1D92" w:rsidP="00D2273C">
      <w:pPr>
        <w:spacing w:after="0" w:line="360" w:lineRule="auto"/>
        <w:rPr>
          <w:rFonts w:eastAsia="Times New Roman" w:cs="Tahoma"/>
          <w:lang w:eastAsia="es-ES"/>
        </w:rPr>
      </w:pPr>
      <w:r w:rsidRPr="00422961">
        <w:rPr>
          <w:rFonts w:eastAsia="Times New Roman" w:cs="Tahoma"/>
          <w:lang w:eastAsia="es-ES"/>
        </w:rPr>
        <w:t xml:space="preserve">El </w:t>
      </w:r>
      <w:r w:rsidR="00EE6243" w:rsidRPr="00422961">
        <w:rPr>
          <w:rFonts w:eastAsia="Times New Roman" w:cs="Tahoma"/>
          <w:lang w:eastAsia="es-ES"/>
        </w:rPr>
        <w:t>cinco de agosto</w:t>
      </w:r>
      <w:r w:rsidR="003A18FF" w:rsidRPr="00422961">
        <w:rPr>
          <w:rFonts w:eastAsia="Times New Roman" w:cs="Tahoma"/>
          <w:lang w:eastAsia="es-ES"/>
        </w:rPr>
        <w:t xml:space="preserve"> </w:t>
      </w:r>
      <w:r w:rsidR="00421C8C" w:rsidRPr="00422961">
        <w:rPr>
          <w:rFonts w:eastAsia="Times New Roman" w:cs="Tahoma"/>
          <w:lang w:eastAsia="es-ES"/>
        </w:rPr>
        <w:t xml:space="preserve">de dos mil </w:t>
      </w:r>
      <w:r w:rsidR="003A18FF" w:rsidRPr="00422961">
        <w:rPr>
          <w:rFonts w:eastAsia="Times New Roman" w:cs="Tahoma"/>
          <w:lang w:eastAsia="es-ES"/>
        </w:rPr>
        <w:t>veinti</w:t>
      </w:r>
      <w:r w:rsidR="00AA3C9B" w:rsidRPr="00422961">
        <w:rPr>
          <w:rFonts w:eastAsia="Times New Roman" w:cs="Tahoma"/>
          <w:lang w:eastAsia="es-ES"/>
        </w:rPr>
        <w:t>cuatro</w:t>
      </w:r>
      <w:r w:rsidRPr="00422961">
        <w:rPr>
          <w:rFonts w:eastAsia="Times New Roman" w:cs="Tahoma"/>
          <w:lang w:eastAsia="es-ES"/>
        </w:rPr>
        <w:t xml:space="preserve">, </w:t>
      </w:r>
      <w:r w:rsidR="005262AF" w:rsidRPr="00422961">
        <w:rPr>
          <w:rFonts w:eastAsia="Times New Roman" w:cs="Tahoma"/>
          <w:lang w:eastAsia="es-ES"/>
        </w:rPr>
        <w:t xml:space="preserve">el Particular presentó una solicitud de acceso a la información pública, a través del Sistema de Acceso a la Información Mexiquense (SAIMEX), ante el </w:t>
      </w:r>
      <w:r w:rsidR="0073284C" w:rsidRPr="00422961">
        <w:rPr>
          <w:color w:val="000000"/>
        </w:rPr>
        <w:t>Ayuntamiento de</w:t>
      </w:r>
      <w:r w:rsidR="00EE6243" w:rsidRPr="00422961">
        <w:rPr>
          <w:color w:val="000000"/>
        </w:rPr>
        <w:t xml:space="preserve"> Metepec</w:t>
      </w:r>
      <w:r w:rsidR="005262AF" w:rsidRPr="00422961">
        <w:rPr>
          <w:rFonts w:eastAsia="Calibri" w:cs="Tahoma"/>
        </w:rPr>
        <w:t>,</w:t>
      </w:r>
      <w:r w:rsidR="00DE6549" w:rsidRPr="00422961">
        <w:rPr>
          <w:rFonts w:eastAsia="Calibri" w:cs="Tahoma"/>
        </w:rPr>
        <w:t xml:space="preserve"> </w:t>
      </w:r>
      <w:r w:rsidR="00EE6243" w:rsidRPr="00422961">
        <w:rPr>
          <w:rFonts w:eastAsia="Calibri" w:cs="Times New Roman"/>
          <w:color w:val="000000"/>
        </w:rPr>
        <w:t xml:space="preserve">(ya que si bien, se registró, el dos del mismo mes y año, también lo es, que fue día inhábil), </w:t>
      </w:r>
      <w:r w:rsidR="005262AF" w:rsidRPr="00422961">
        <w:rPr>
          <w:rFonts w:eastAsia="Calibri" w:cs="Tahoma"/>
        </w:rPr>
        <w:t>en los términos</w:t>
      </w:r>
      <w:r w:rsidR="00A70CB7" w:rsidRPr="00422961">
        <w:rPr>
          <w:rFonts w:eastAsia="Calibri" w:cs="Tahoma"/>
        </w:rPr>
        <w:t xml:space="preserve"> siguientes</w:t>
      </w:r>
      <w:r w:rsidR="005262AF" w:rsidRPr="00422961">
        <w:rPr>
          <w:rFonts w:eastAsia="Calibri" w:cs="Tahoma"/>
        </w:rPr>
        <w:t xml:space="preserve">: </w:t>
      </w:r>
    </w:p>
    <w:p w14:paraId="2B9DE379" w14:textId="77777777" w:rsidR="005262AF" w:rsidRPr="00422961" w:rsidRDefault="005262AF" w:rsidP="00D2273C">
      <w:pPr>
        <w:spacing w:after="0" w:line="360" w:lineRule="auto"/>
        <w:rPr>
          <w:rFonts w:eastAsia="Calibri" w:cs="Tahoma"/>
        </w:rPr>
      </w:pPr>
    </w:p>
    <w:p w14:paraId="632C7019" w14:textId="7F0F0C41" w:rsidR="005262AF" w:rsidRPr="00422961" w:rsidRDefault="003D4926" w:rsidP="00D2273C">
      <w:pPr>
        <w:tabs>
          <w:tab w:val="left" w:pos="4667"/>
        </w:tabs>
        <w:spacing w:after="0" w:line="360" w:lineRule="auto"/>
        <w:ind w:left="567" w:right="567"/>
        <w:rPr>
          <w:rFonts w:eastAsia="Times New Roman" w:cs="Tahoma"/>
          <w:b/>
          <w:i/>
          <w:iCs/>
          <w:sz w:val="20"/>
          <w:szCs w:val="20"/>
          <w:lang w:eastAsia="es-ES"/>
        </w:rPr>
      </w:pPr>
      <w:r w:rsidRPr="00422961">
        <w:rPr>
          <w:rFonts w:eastAsia="Times New Roman" w:cs="Tahoma"/>
          <w:b/>
          <w:i/>
          <w:iCs/>
          <w:sz w:val="20"/>
          <w:szCs w:val="20"/>
          <w:lang w:eastAsia="es-ES"/>
        </w:rPr>
        <w:t>“</w:t>
      </w:r>
      <w:r w:rsidR="005262AF" w:rsidRPr="00422961">
        <w:rPr>
          <w:rFonts w:eastAsia="Times New Roman" w:cs="Tahoma"/>
          <w:b/>
          <w:i/>
          <w:iCs/>
          <w:sz w:val="20"/>
          <w:szCs w:val="20"/>
          <w:lang w:eastAsia="es-ES"/>
        </w:rPr>
        <w:t>DESCRIPCIÓN CLARA Y PRECISA DE LA INFORMACIÓN SOLICITADA.</w:t>
      </w:r>
    </w:p>
    <w:p w14:paraId="3AD55270" w14:textId="58758685" w:rsidR="005262AF" w:rsidRPr="00422961" w:rsidRDefault="00EE6243" w:rsidP="00D2273C">
      <w:pPr>
        <w:tabs>
          <w:tab w:val="left" w:pos="4667"/>
        </w:tabs>
        <w:spacing w:after="0" w:line="360" w:lineRule="auto"/>
        <w:ind w:left="567" w:right="567"/>
        <w:rPr>
          <w:rFonts w:eastAsia="Times New Roman" w:cs="Tahoma"/>
          <w:bCs/>
          <w:i/>
          <w:iCs/>
          <w:sz w:val="20"/>
          <w:szCs w:val="20"/>
          <w:lang w:eastAsia="es-ES"/>
        </w:rPr>
      </w:pPr>
      <w:r w:rsidRPr="00422961">
        <w:rPr>
          <w:rFonts w:eastAsia="Times New Roman" w:cs="Tahoma"/>
          <w:bCs/>
          <w:i/>
          <w:iCs/>
          <w:sz w:val="20"/>
          <w:szCs w:val="20"/>
          <w:lang w:eastAsia="es-ES"/>
        </w:rPr>
        <w:t xml:space="preserve">QUIERO SABER QUE BENEFICIOS, ATRIBUCIONES, PLEITECIAS, PRERROGATIVAS,O SIMILARES TIENE EXPO AMARANTO BAZAR,, dicho de propia voz de la secretaria del ayuntamiento y gobernación la agenda para arrendamiento de plazas </w:t>
      </w:r>
      <w:proofErr w:type="spellStart"/>
      <w:r w:rsidRPr="00422961">
        <w:rPr>
          <w:rFonts w:eastAsia="Times New Roman" w:cs="Tahoma"/>
          <w:bCs/>
          <w:i/>
          <w:iCs/>
          <w:sz w:val="20"/>
          <w:szCs w:val="20"/>
          <w:lang w:eastAsia="es-ES"/>
        </w:rPr>
        <w:t>publicas</w:t>
      </w:r>
      <w:proofErr w:type="spellEnd"/>
      <w:r w:rsidRPr="00422961">
        <w:rPr>
          <w:rFonts w:eastAsia="Times New Roman" w:cs="Tahoma"/>
          <w:bCs/>
          <w:i/>
          <w:iCs/>
          <w:sz w:val="20"/>
          <w:szCs w:val="20"/>
          <w:lang w:eastAsia="es-ES"/>
        </w:rPr>
        <w:t xml:space="preserve">, esta sobre saturada, y hay </w:t>
      </w:r>
      <w:proofErr w:type="spellStart"/>
      <w:r w:rsidRPr="00422961">
        <w:rPr>
          <w:rFonts w:eastAsia="Times New Roman" w:cs="Tahoma"/>
          <w:bCs/>
          <w:i/>
          <w:iCs/>
          <w:sz w:val="20"/>
          <w:szCs w:val="20"/>
          <w:lang w:eastAsia="es-ES"/>
        </w:rPr>
        <w:t>mas</w:t>
      </w:r>
      <w:proofErr w:type="spellEnd"/>
      <w:r w:rsidRPr="00422961">
        <w:rPr>
          <w:rFonts w:eastAsia="Times New Roman" w:cs="Tahoma"/>
          <w:bCs/>
          <w:i/>
          <w:iCs/>
          <w:sz w:val="20"/>
          <w:szCs w:val="20"/>
          <w:lang w:eastAsia="es-ES"/>
        </w:rPr>
        <w:t xml:space="preserve"> de tres mil solicitudes previas,¿ porque a ella le han autorizado y siguen autorizando </w:t>
      </w:r>
      <w:proofErr w:type="spellStart"/>
      <w:r w:rsidRPr="00422961">
        <w:rPr>
          <w:rFonts w:eastAsia="Times New Roman" w:cs="Tahoma"/>
          <w:bCs/>
          <w:i/>
          <w:iCs/>
          <w:sz w:val="20"/>
          <w:szCs w:val="20"/>
          <w:lang w:eastAsia="es-ES"/>
        </w:rPr>
        <w:t>mas</w:t>
      </w:r>
      <w:proofErr w:type="spellEnd"/>
      <w:r w:rsidRPr="00422961">
        <w:rPr>
          <w:rFonts w:eastAsia="Times New Roman" w:cs="Tahoma"/>
          <w:bCs/>
          <w:i/>
          <w:iCs/>
          <w:sz w:val="20"/>
          <w:szCs w:val="20"/>
          <w:lang w:eastAsia="es-ES"/>
        </w:rPr>
        <w:t xml:space="preserve"> fechas de bazares como lo anexo en las siguientes fotos? si hay tanta </w:t>
      </w:r>
      <w:r w:rsidRPr="00422961">
        <w:rPr>
          <w:rFonts w:eastAsia="Times New Roman" w:cs="Tahoma"/>
          <w:bCs/>
          <w:i/>
          <w:iCs/>
          <w:sz w:val="20"/>
          <w:szCs w:val="20"/>
          <w:lang w:eastAsia="es-ES"/>
        </w:rPr>
        <w:lastRenderedPageBreak/>
        <w:t xml:space="preserve">solicitud y </w:t>
      </w:r>
      <w:proofErr w:type="spellStart"/>
      <w:r w:rsidRPr="00422961">
        <w:rPr>
          <w:rFonts w:eastAsia="Times New Roman" w:cs="Tahoma"/>
          <w:bCs/>
          <w:i/>
          <w:iCs/>
          <w:sz w:val="20"/>
          <w:szCs w:val="20"/>
          <w:lang w:eastAsia="es-ES"/>
        </w:rPr>
        <w:t>mas</w:t>
      </w:r>
      <w:proofErr w:type="spellEnd"/>
      <w:r w:rsidRPr="00422961">
        <w:rPr>
          <w:rFonts w:eastAsia="Times New Roman" w:cs="Tahoma"/>
          <w:bCs/>
          <w:i/>
          <w:iCs/>
          <w:sz w:val="20"/>
          <w:szCs w:val="20"/>
          <w:lang w:eastAsia="es-ES"/>
        </w:rPr>
        <w:t xml:space="preserve"> causas, por lo tanto considero que existe favoritismo o hasta Nepotismo, por lo que se muestre la </w:t>
      </w:r>
      <w:proofErr w:type="spellStart"/>
      <w:r w:rsidRPr="00422961">
        <w:rPr>
          <w:rFonts w:eastAsia="Times New Roman" w:cs="Tahoma"/>
          <w:bCs/>
          <w:i/>
          <w:iCs/>
          <w:sz w:val="20"/>
          <w:szCs w:val="20"/>
          <w:lang w:eastAsia="es-ES"/>
        </w:rPr>
        <w:t>jusificacion</w:t>
      </w:r>
      <w:proofErr w:type="spellEnd"/>
      <w:r w:rsidRPr="00422961">
        <w:rPr>
          <w:rFonts w:eastAsia="Times New Roman" w:cs="Tahoma"/>
          <w:bCs/>
          <w:i/>
          <w:iCs/>
          <w:sz w:val="20"/>
          <w:szCs w:val="20"/>
          <w:lang w:eastAsia="es-ES"/>
        </w:rPr>
        <w:t xml:space="preserve"> y permisos debidamente firmados y cubriendo los requisitos que enlisten todos los bazares que ha realizado en Metepec de enero a agosto de 2024 </w:t>
      </w:r>
      <w:r w:rsidR="005262AF" w:rsidRPr="00422961">
        <w:rPr>
          <w:rFonts w:eastAsia="Times New Roman" w:cs="Tahoma"/>
          <w:bCs/>
          <w:i/>
          <w:iCs/>
          <w:sz w:val="20"/>
          <w:szCs w:val="20"/>
          <w:lang w:eastAsia="es-ES"/>
        </w:rPr>
        <w:t xml:space="preserve">“(Sic) </w:t>
      </w:r>
    </w:p>
    <w:p w14:paraId="24C866FC" w14:textId="77777777" w:rsidR="005262AF" w:rsidRPr="00422961" w:rsidRDefault="005262AF" w:rsidP="00D2273C">
      <w:pPr>
        <w:tabs>
          <w:tab w:val="left" w:pos="4667"/>
        </w:tabs>
        <w:spacing w:after="0" w:line="360" w:lineRule="auto"/>
        <w:ind w:left="567" w:right="567"/>
        <w:rPr>
          <w:rFonts w:eastAsia="Times New Roman" w:cs="Tahoma"/>
          <w:b/>
          <w:bCs/>
          <w:i/>
          <w:iCs/>
          <w:sz w:val="20"/>
          <w:lang w:eastAsia="es-ES"/>
        </w:rPr>
      </w:pPr>
    </w:p>
    <w:p w14:paraId="37239249" w14:textId="30114408" w:rsidR="005262AF" w:rsidRPr="00422961" w:rsidRDefault="003D4926" w:rsidP="00D2273C">
      <w:pPr>
        <w:tabs>
          <w:tab w:val="left" w:pos="4667"/>
        </w:tabs>
        <w:spacing w:after="0" w:line="360" w:lineRule="auto"/>
        <w:ind w:left="567" w:right="567"/>
        <w:rPr>
          <w:rFonts w:eastAsia="Times New Roman" w:cs="Tahoma"/>
          <w:b/>
          <w:bCs/>
          <w:i/>
          <w:iCs/>
          <w:sz w:val="20"/>
          <w:lang w:eastAsia="es-ES"/>
        </w:rPr>
      </w:pPr>
      <w:r w:rsidRPr="00422961">
        <w:rPr>
          <w:rFonts w:eastAsia="Times New Roman" w:cs="Tahoma"/>
          <w:b/>
          <w:bCs/>
          <w:i/>
          <w:iCs/>
          <w:sz w:val="20"/>
          <w:lang w:eastAsia="es-ES"/>
        </w:rPr>
        <w:t>“</w:t>
      </w:r>
      <w:r w:rsidR="005262AF" w:rsidRPr="00422961">
        <w:rPr>
          <w:rFonts w:eastAsia="Times New Roman" w:cs="Tahoma"/>
          <w:b/>
          <w:bCs/>
          <w:i/>
          <w:iCs/>
          <w:sz w:val="20"/>
          <w:lang w:eastAsia="es-ES"/>
        </w:rPr>
        <w:t>MODALIDAD DE ENTREGA</w:t>
      </w:r>
    </w:p>
    <w:p w14:paraId="551EFB7C" w14:textId="6E87DF07" w:rsidR="00BC1D92" w:rsidRPr="00422961" w:rsidRDefault="005262AF" w:rsidP="00D2273C">
      <w:pPr>
        <w:spacing w:after="0" w:line="360" w:lineRule="auto"/>
        <w:ind w:left="567" w:right="567"/>
        <w:rPr>
          <w:rFonts w:eastAsia="Times New Roman" w:cs="Arial"/>
          <w:bCs/>
          <w:i/>
          <w:iCs/>
          <w:sz w:val="20"/>
          <w:lang w:eastAsia="es-ES"/>
        </w:rPr>
      </w:pPr>
      <w:r w:rsidRPr="00422961">
        <w:rPr>
          <w:rFonts w:eastAsia="Times New Roman" w:cs="Arial"/>
          <w:bCs/>
          <w:i/>
          <w:iCs/>
          <w:sz w:val="20"/>
          <w:lang w:eastAsia="es-ES"/>
        </w:rPr>
        <w:t>A través del SAIMEX”</w:t>
      </w:r>
    </w:p>
    <w:p w14:paraId="5C4C9991" w14:textId="77777777" w:rsidR="00DE6549" w:rsidRPr="00422961" w:rsidRDefault="00DE6549" w:rsidP="00D2273C">
      <w:pPr>
        <w:tabs>
          <w:tab w:val="left" w:pos="4667"/>
        </w:tabs>
        <w:spacing w:after="0" w:line="360" w:lineRule="auto"/>
        <w:ind w:right="567"/>
        <w:rPr>
          <w:rFonts w:eastAsia="Calibri" w:cs="Tahoma"/>
          <w:b/>
          <w:bCs/>
        </w:rPr>
      </w:pPr>
    </w:p>
    <w:p w14:paraId="1A49C75B" w14:textId="510AAF09" w:rsidR="002A186C" w:rsidRPr="00422961" w:rsidRDefault="002A186C" w:rsidP="00D2273C">
      <w:pPr>
        <w:tabs>
          <w:tab w:val="left" w:pos="4667"/>
        </w:tabs>
        <w:spacing w:after="0" w:line="360" w:lineRule="auto"/>
        <w:ind w:right="567"/>
        <w:rPr>
          <w:rFonts w:eastAsia="Calibri" w:cs="Tahoma"/>
        </w:rPr>
      </w:pPr>
      <w:r w:rsidRPr="00422961">
        <w:rPr>
          <w:rFonts w:eastAsia="Calibri" w:cs="Tahoma"/>
        </w:rPr>
        <w:t>El Particular adjuntó la digitalización de diversas imágenes que contienen publicidad de la Expo Amaranto Bazar, como se muestra a continuación:</w:t>
      </w:r>
    </w:p>
    <w:p w14:paraId="0C7BC7D2" w14:textId="77777777" w:rsidR="00EA5A85" w:rsidRPr="00422961" w:rsidRDefault="00EA5A85" w:rsidP="00D2273C">
      <w:pPr>
        <w:tabs>
          <w:tab w:val="left" w:pos="4667"/>
        </w:tabs>
        <w:spacing w:after="0" w:line="360" w:lineRule="auto"/>
        <w:ind w:right="567"/>
        <w:rPr>
          <w:rFonts w:eastAsia="Calibri" w:cs="Tahoma"/>
        </w:rPr>
        <w:sectPr w:rsidR="00EA5A85" w:rsidRPr="00422961">
          <w:headerReference w:type="even" r:id="rId9"/>
          <w:headerReference w:type="default" r:id="rId10"/>
          <w:footerReference w:type="even" r:id="rId11"/>
          <w:footerReference w:type="default" r:id="rId12"/>
          <w:headerReference w:type="first" r:id="rId13"/>
          <w:footerReference w:type="first" r:id="rId14"/>
          <w:pgSz w:w="12240" w:h="15840"/>
          <w:pgMar w:top="1418" w:right="1608" w:bottom="1560" w:left="1701" w:header="993" w:footer="709" w:gutter="0"/>
          <w:pgNumType w:start="1"/>
          <w:cols w:space="720"/>
          <w:titlePg/>
        </w:sectPr>
      </w:pPr>
    </w:p>
    <w:p w14:paraId="20E62BE6" w14:textId="77777777" w:rsidR="002A186C" w:rsidRPr="00422961" w:rsidRDefault="002A186C" w:rsidP="00D2273C">
      <w:pPr>
        <w:tabs>
          <w:tab w:val="left" w:pos="4667"/>
        </w:tabs>
        <w:spacing w:after="0" w:line="360" w:lineRule="auto"/>
        <w:ind w:right="567"/>
        <w:rPr>
          <w:rFonts w:eastAsia="Calibri" w:cs="Tahoma"/>
        </w:rPr>
      </w:pPr>
    </w:p>
    <w:p w14:paraId="534E6379" w14:textId="35ACF2A0" w:rsidR="002A186C" w:rsidRPr="00422961" w:rsidRDefault="002A186C" w:rsidP="002A186C">
      <w:pPr>
        <w:tabs>
          <w:tab w:val="left" w:pos="4667"/>
        </w:tabs>
        <w:spacing w:after="0" w:line="360" w:lineRule="auto"/>
        <w:ind w:right="567"/>
        <w:jc w:val="center"/>
        <w:rPr>
          <w:rFonts w:eastAsia="Calibri" w:cs="Tahoma"/>
        </w:rPr>
      </w:pPr>
      <w:r w:rsidRPr="00422961">
        <w:rPr>
          <w:rFonts w:eastAsia="Calibri" w:cs="Tahoma"/>
          <w:noProof/>
          <w:lang w:eastAsia="es-MX"/>
        </w:rPr>
        <w:drawing>
          <wp:inline distT="0" distB="0" distL="0" distR="0" wp14:anchorId="46E4A816" wp14:editId="2EE88477">
            <wp:extent cx="1577340" cy="1532909"/>
            <wp:effectExtent l="0" t="0" r="3810" b="0"/>
            <wp:docPr id="695062098"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62098" name="Imagen 1" descr="Imagen que contiene Texto&#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2773" cy="1538189"/>
                    </a:xfrm>
                    <a:prstGeom prst="rect">
                      <a:avLst/>
                    </a:prstGeom>
                  </pic:spPr>
                </pic:pic>
              </a:graphicData>
            </a:graphic>
          </wp:inline>
        </w:drawing>
      </w:r>
    </w:p>
    <w:p w14:paraId="0A75E109" w14:textId="77777777" w:rsidR="002A186C" w:rsidRPr="00422961" w:rsidRDefault="002A186C" w:rsidP="002A186C">
      <w:pPr>
        <w:tabs>
          <w:tab w:val="left" w:pos="4667"/>
        </w:tabs>
        <w:spacing w:after="0" w:line="360" w:lineRule="auto"/>
        <w:ind w:right="567"/>
        <w:rPr>
          <w:rFonts w:eastAsia="Calibri" w:cs="Tahoma"/>
        </w:rPr>
      </w:pPr>
    </w:p>
    <w:p w14:paraId="243A5917" w14:textId="475F91C0" w:rsidR="002A186C" w:rsidRPr="00422961" w:rsidRDefault="002A186C" w:rsidP="002A186C">
      <w:pPr>
        <w:tabs>
          <w:tab w:val="left" w:pos="4667"/>
        </w:tabs>
        <w:spacing w:after="0" w:line="360" w:lineRule="auto"/>
        <w:ind w:right="567"/>
        <w:jc w:val="center"/>
        <w:rPr>
          <w:rFonts w:eastAsia="Calibri" w:cs="Tahoma"/>
        </w:rPr>
      </w:pPr>
      <w:r w:rsidRPr="00422961">
        <w:rPr>
          <w:rFonts w:eastAsia="Calibri" w:cs="Tahoma"/>
          <w:noProof/>
          <w:lang w:eastAsia="es-MX"/>
        </w:rPr>
        <w:drawing>
          <wp:inline distT="0" distB="0" distL="0" distR="0" wp14:anchorId="38674F4A" wp14:editId="37090ECD">
            <wp:extent cx="2004060" cy="1952052"/>
            <wp:effectExtent l="0" t="0" r="0" b="0"/>
            <wp:docPr id="1121232731" name="Imagen 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232731" name="Imagen 2" descr="Imagen que contiene Texto&#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8563" cy="1956438"/>
                    </a:xfrm>
                    <a:prstGeom prst="rect">
                      <a:avLst/>
                    </a:prstGeom>
                  </pic:spPr>
                </pic:pic>
              </a:graphicData>
            </a:graphic>
          </wp:inline>
        </w:drawing>
      </w:r>
    </w:p>
    <w:p w14:paraId="6DAD87AB" w14:textId="77777777" w:rsidR="002A186C" w:rsidRPr="00422961" w:rsidRDefault="002A186C" w:rsidP="002A186C">
      <w:pPr>
        <w:tabs>
          <w:tab w:val="left" w:pos="4667"/>
        </w:tabs>
        <w:spacing w:after="0" w:line="360" w:lineRule="auto"/>
        <w:ind w:right="567"/>
        <w:jc w:val="center"/>
        <w:rPr>
          <w:rFonts w:eastAsia="Calibri" w:cs="Tahoma"/>
        </w:rPr>
      </w:pPr>
    </w:p>
    <w:p w14:paraId="2572706C" w14:textId="30A6D06C" w:rsidR="002A186C" w:rsidRPr="00422961" w:rsidRDefault="002A186C" w:rsidP="002A186C">
      <w:pPr>
        <w:tabs>
          <w:tab w:val="left" w:pos="4667"/>
        </w:tabs>
        <w:spacing w:after="0" w:line="360" w:lineRule="auto"/>
        <w:ind w:right="567"/>
        <w:jc w:val="center"/>
        <w:rPr>
          <w:rFonts w:eastAsia="Calibri" w:cs="Tahoma"/>
        </w:rPr>
      </w:pPr>
    </w:p>
    <w:p w14:paraId="1F56E51A" w14:textId="25BDC03C" w:rsidR="002A186C" w:rsidRPr="00422961" w:rsidRDefault="00BB1198" w:rsidP="002A186C">
      <w:pPr>
        <w:tabs>
          <w:tab w:val="left" w:pos="4667"/>
        </w:tabs>
        <w:spacing w:after="0" w:line="360" w:lineRule="auto"/>
        <w:ind w:right="567"/>
        <w:jc w:val="center"/>
        <w:rPr>
          <w:rFonts w:eastAsia="Calibri" w:cs="Tahoma"/>
        </w:rPr>
      </w:pPr>
      <w:r w:rsidRPr="00422961">
        <w:rPr>
          <w:rFonts w:eastAsia="Calibri" w:cs="Tahoma"/>
          <w:noProof/>
          <w:lang w:eastAsia="es-MX"/>
        </w:rPr>
        <w:drawing>
          <wp:inline distT="0" distB="0" distL="0" distR="0" wp14:anchorId="7B84820E" wp14:editId="099B8922">
            <wp:extent cx="1653540" cy="1390347"/>
            <wp:effectExtent l="0" t="0" r="3810" b="635"/>
            <wp:docPr id="1699193478" name="Imagen 4"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193478" name="Imagen 4" descr="Texto&#10;&#10;Descripción generada automáticamente con confianza medi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2520" cy="1397898"/>
                    </a:xfrm>
                    <a:prstGeom prst="rect">
                      <a:avLst/>
                    </a:prstGeom>
                  </pic:spPr>
                </pic:pic>
              </a:graphicData>
            </a:graphic>
          </wp:inline>
        </w:drawing>
      </w:r>
    </w:p>
    <w:p w14:paraId="6A21D791" w14:textId="33A525F6" w:rsidR="002A186C" w:rsidRPr="00422961" w:rsidRDefault="002A186C" w:rsidP="002A186C">
      <w:pPr>
        <w:tabs>
          <w:tab w:val="left" w:pos="4667"/>
        </w:tabs>
        <w:spacing w:after="0" w:line="360" w:lineRule="auto"/>
        <w:ind w:right="567"/>
        <w:jc w:val="center"/>
        <w:rPr>
          <w:rFonts w:eastAsia="Calibri" w:cs="Tahoma"/>
        </w:rPr>
      </w:pPr>
      <w:r w:rsidRPr="00422961">
        <w:rPr>
          <w:rFonts w:eastAsia="Calibri" w:cs="Tahoma"/>
          <w:noProof/>
          <w:lang w:eastAsia="es-MX"/>
        </w:rPr>
        <w:drawing>
          <wp:inline distT="0" distB="0" distL="0" distR="0" wp14:anchorId="68B4874E" wp14:editId="75C1AF03">
            <wp:extent cx="1363980" cy="2143398"/>
            <wp:effectExtent l="0" t="0" r="7620" b="9525"/>
            <wp:docPr id="1367525596" name="Imagen 5"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525596" name="Imagen 5" descr="Gráfico&#10;&#10;Descripción generada automáticamente con confianza media"/>
                    <pic:cNvPicPr/>
                  </pic:nvPicPr>
                  <pic:blipFill>
                    <a:blip r:embed="rId18">
                      <a:extLst>
                        <a:ext uri="{28A0092B-C50C-407E-A947-70E740481C1C}">
                          <a14:useLocalDpi xmlns:a14="http://schemas.microsoft.com/office/drawing/2010/main" val="0"/>
                        </a:ext>
                      </a:extLst>
                    </a:blip>
                    <a:stretch>
                      <a:fillRect/>
                    </a:stretch>
                  </pic:blipFill>
                  <pic:spPr>
                    <a:xfrm>
                      <a:off x="0" y="0"/>
                      <a:ext cx="1368571" cy="2150612"/>
                    </a:xfrm>
                    <a:prstGeom prst="rect">
                      <a:avLst/>
                    </a:prstGeom>
                  </pic:spPr>
                </pic:pic>
              </a:graphicData>
            </a:graphic>
          </wp:inline>
        </w:drawing>
      </w:r>
    </w:p>
    <w:p w14:paraId="03AD8887" w14:textId="77777777" w:rsidR="00EA5A85" w:rsidRPr="00422961" w:rsidRDefault="00EA5A85" w:rsidP="00D2273C">
      <w:pPr>
        <w:tabs>
          <w:tab w:val="left" w:pos="4667"/>
        </w:tabs>
        <w:spacing w:after="0" w:line="360" w:lineRule="auto"/>
        <w:ind w:right="567"/>
        <w:rPr>
          <w:rFonts w:eastAsia="Calibri" w:cs="Tahoma"/>
          <w:b/>
          <w:bCs/>
        </w:rPr>
        <w:sectPr w:rsidR="00EA5A85" w:rsidRPr="00422961" w:rsidSect="00EA5A85">
          <w:type w:val="continuous"/>
          <w:pgSz w:w="12240" w:h="15840"/>
          <w:pgMar w:top="1418" w:right="1608" w:bottom="1560" w:left="1701" w:header="993" w:footer="709" w:gutter="0"/>
          <w:pgNumType w:start="1"/>
          <w:cols w:num="2" w:space="720"/>
          <w:titlePg/>
        </w:sectPr>
      </w:pPr>
    </w:p>
    <w:p w14:paraId="67458A42" w14:textId="77777777" w:rsidR="00BB1198" w:rsidRPr="00422961" w:rsidRDefault="00BB1198" w:rsidP="00D2273C">
      <w:pPr>
        <w:tabs>
          <w:tab w:val="left" w:pos="4667"/>
        </w:tabs>
        <w:spacing w:after="0" w:line="360" w:lineRule="auto"/>
        <w:ind w:right="567"/>
        <w:rPr>
          <w:rFonts w:eastAsia="Calibri" w:cs="Tahoma"/>
          <w:b/>
          <w:bCs/>
        </w:rPr>
      </w:pPr>
    </w:p>
    <w:p w14:paraId="39718FF9" w14:textId="6098F6EB" w:rsidR="00511094" w:rsidRPr="00422961" w:rsidRDefault="0058075C" w:rsidP="00D2273C">
      <w:pPr>
        <w:tabs>
          <w:tab w:val="left" w:pos="4667"/>
        </w:tabs>
        <w:spacing w:after="0" w:line="360" w:lineRule="auto"/>
        <w:ind w:right="567"/>
        <w:rPr>
          <w:rFonts w:eastAsia="Calibri" w:cs="Tahoma"/>
          <w:b/>
          <w:bCs/>
        </w:rPr>
      </w:pPr>
      <w:r w:rsidRPr="00422961">
        <w:rPr>
          <w:rFonts w:eastAsia="Calibri" w:cs="Tahoma"/>
          <w:b/>
          <w:bCs/>
        </w:rPr>
        <w:t>II.</w:t>
      </w:r>
      <w:r w:rsidRPr="00422961">
        <w:rPr>
          <w:rFonts w:cs="Tahoma"/>
          <w:b/>
          <w:bCs/>
        </w:rPr>
        <w:t xml:space="preserve"> </w:t>
      </w:r>
      <w:r w:rsidR="00511094" w:rsidRPr="00422961">
        <w:rPr>
          <w:rFonts w:eastAsia="Calibri" w:cs="Tahoma"/>
          <w:b/>
        </w:rPr>
        <w:t>Respuesta</w:t>
      </w:r>
      <w:r w:rsidR="00511094" w:rsidRPr="00422961">
        <w:rPr>
          <w:rFonts w:eastAsia="Calibri" w:cs="Tahoma"/>
          <w:b/>
          <w:bCs/>
        </w:rPr>
        <w:t xml:space="preserve"> del Sujeto Obligado</w:t>
      </w:r>
    </w:p>
    <w:p w14:paraId="54AB6046" w14:textId="77777777" w:rsidR="00975A2A" w:rsidRPr="00422961" w:rsidRDefault="00975A2A" w:rsidP="00D2273C">
      <w:pPr>
        <w:spacing w:after="0" w:line="360" w:lineRule="auto"/>
        <w:contextualSpacing/>
        <w:rPr>
          <w:rFonts w:eastAsia="Calibri" w:cs="Tahoma"/>
          <w:b/>
          <w:bCs/>
        </w:rPr>
      </w:pPr>
    </w:p>
    <w:p w14:paraId="2A9DE81A" w14:textId="44536A8D" w:rsidR="005A56A8" w:rsidRPr="00422961" w:rsidRDefault="00A650E4" w:rsidP="00D2273C">
      <w:pPr>
        <w:autoSpaceDE w:val="0"/>
        <w:autoSpaceDN w:val="0"/>
        <w:adjustRightInd w:val="0"/>
        <w:spacing w:after="0" w:line="360" w:lineRule="auto"/>
        <w:rPr>
          <w:rFonts w:cs="Tahoma"/>
          <w:bCs/>
        </w:rPr>
      </w:pPr>
      <w:r w:rsidRPr="00422961">
        <w:rPr>
          <w:rFonts w:cs="Tahoma"/>
          <w:bCs/>
        </w:rPr>
        <w:lastRenderedPageBreak/>
        <w:t xml:space="preserve">El </w:t>
      </w:r>
      <w:r w:rsidR="00F206F2" w:rsidRPr="00422961">
        <w:rPr>
          <w:rFonts w:cs="Tahoma"/>
          <w:bCs/>
        </w:rPr>
        <w:t>c</w:t>
      </w:r>
      <w:r w:rsidR="009B0F94" w:rsidRPr="00422961">
        <w:rPr>
          <w:rFonts w:cs="Tahoma"/>
          <w:bCs/>
        </w:rPr>
        <w:t>uatro de septiembre</w:t>
      </w:r>
      <w:r w:rsidR="00421C8C" w:rsidRPr="00422961">
        <w:rPr>
          <w:rFonts w:cs="Tahoma"/>
          <w:bCs/>
        </w:rPr>
        <w:t xml:space="preserve"> de dos mil </w:t>
      </w:r>
      <w:r w:rsidR="003A18FF" w:rsidRPr="00422961">
        <w:rPr>
          <w:rFonts w:cs="Tahoma"/>
          <w:bCs/>
        </w:rPr>
        <w:t>veinti</w:t>
      </w:r>
      <w:r w:rsidR="00AA3C9B" w:rsidRPr="00422961">
        <w:rPr>
          <w:rFonts w:cs="Tahoma"/>
          <w:bCs/>
        </w:rPr>
        <w:t>cuatro</w:t>
      </w:r>
      <w:r w:rsidR="00511094" w:rsidRPr="00422961">
        <w:rPr>
          <w:rFonts w:cs="Tahoma"/>
          <w:bCs/>
        </w:rPr>
        <w:t xml:space="preserve">, </w:t>
      </w:r>
      <w:r w:rsidR="005262AF" w:rsidRPr="00422961">
        <w:rPr>
          <w:rFonts w:cs="Tahoma"/>
          <w:bCs/>
        </w:rPr>
        <w:t xml:space="preserve">el </w:t>
      </w:r>
      <w:r w:rsidR="00AA3C9B" w:rsidRPr="00422961">
        <w:rPr>
          <w:rFonts w:cs="Tahoma"/>
          <w:bCs/>
        </w:rPr>
        <w:t>Sujeto Obligado</w:t>
      </w:r>
      <w:r w:rsidR="00511094" w:rsidRPr="00422961">
        <w:rPr>
          <w:rFonts w:cs="Tahoma"/>
          <w:bCs/>
        </w:rPr>
        <w:t>, notificó, a través del Sistema de Acceso a la Información Mexiquense (SAIMEX),</w:t>
      </w:r>
      <w:r w:rsidR="00EA561F" w:rsidRPr="00422961">
        <w:rPr>
          <w:rFonts w:cs="Tahoma"/>
          <w:bCs/>
        </w:rPr>
        <w:t xml:space="preserve"> </w:t>
      </w:r>
      <w:r w:rsidR="0034588E" w:rsidRPr="00422961">
        <w:rPr>
          <w:rFonts w:cs="Tahoma"/>
          <w:bCs/>
        </w:rPr>
        <w:t xml:space="preserve">la respuesta a la solicitud de acceso a la información pública, </w:t>
      </w:r>
      <w:r w:rsidR="005A56A8" w:rsidRPr="00422961">
        <w:rPr>
          <w:rFonts w:cs="Tahoma"/>
          <w:bCs/>
        </w:rPr>
        <w:t xml:space="preserve">mediante el oficio número </w:t>
      </w:r>
      <w:proofErr w:type="spellStart"/>
      <w:r w:rsidR="005A56A8" w:rsidRPr="00422961">
        <w:rPr>
          <w:rFonts w:cs="Tahoma"/>
          <w:bCs/>
        </w:rPr>
        <w:t>DDETyA</w:t>
      </w:r>
      <w:proofErr w:type="spellEnd"/>
      <w:r w:rsidR="005A56A8" w:rsidRPr="00422961">
        <w:rPr>
          <w:rFonts w:cs="Tahoma"/>
          <w:bCs/>
        </w:rPr>
        <w:t>/808/2024, del veintiséis de agosto de dos mil veinticuatro, suscrito por la Dirección de Desarrollo Económico, Turístico y Artesanal y dirigido al Director de Transparencia y Gobierno Abierto, por medio del cual mencionó lo siguiente:</w:t>
      </w:r>
    </w:p>
    <w:p w14:paraId="51640C41" w14:textId="77777777" w:rsidR="005A56A8" w:rsidRPr="00422961" w:rsidRDefault="005A56A8" w:rsidP="00D2273C">
      <w:pPr>
        <w:autoSpaceDE w:val="0"/>
        <w:autoSpaceDN w:val="0"/>
        <w:adjustRightInd w:val="0"/>
        <w:spacing w:after="0" w:line="360" w:lineRule="auto"/>
        <w:rPr>
          <w:rFonts w:cs="Tahoma"/>
          <w:bCs/>
        </w:rPr>
      </w:pPr>
    </w:p>
    <w:p w14:paraId="03CAAA77" w14:textId="46F6C029" w:rsidR="005A56A8" w:rsidRPr="00422961" w:rsidRDefault="005A56A8" w:rsidP="00AA4E23">
      <w:pPr>
        <w:autoSpaceDE w:val="0"/>
        <w:autoSpaceDN w:val="0"/>
        <w:adjustRightInd w:val="0"/>
        <w:spacing w:after="0" w:line="360" w:lineRule="auto"/>
        <w:ind w:left="720"/>
        <w:rPr>
          <w:rFonts w:cs="Tahoma"/>
          <w:bCs/>
          <w:i/>
          <w:iCs/>
          <w:sz w:val="20"/>
          <w:szCs w:val="20"/>
        </w:rPr>
      </w:pPr>
      <w:r w:rsidRPr="00422961">
        <w:rPr>
          <w:rFonts w:cs="Tahoma"/>
          <w:bCs/>
          <w:i/>
          <w:iCs/>
          <w:sz w:val="20"/>
          <w:szCs w:val="20"/>
        </w:rPr>
        <w:t>“…después de una búsqueda exhaustiva y minuciosa en los archivos documentales que obran en las diferentes áreas de esta Dirección a mi cargo, y en los documentos digitales públicos; no se encontró documento alguno en los términos que su solicitud lo requiere. Asimismo, le informo que con fundamento en la normatividad que regula a esta Dirección, para la expedición de licencias y permisos provisionales para el ejercicio de la actividad comercial, industrial y/o prestación de servicios en este municipio, únicamente se expiden licencias y permisos para unidades económicas establecidas, ya que el artículo 146 del Bando Municipal de Metepec, a la letra dice “La autorización, licencia o permiso no faculta a sus titulares, a utilizar e invadir la vía pública o los bienes que son del dominio público o uso colectivo”.</w:t>
      </w:r>
    </w:p>
    <w:p w14:paraId="60E32EBE" w14:textId="2D2562F9" w:rsidR="005A56A8" w:rsidRPr="00422961" w:rsidRDefault="00AA4E23" w:rsidP="00AA4E23">
      <w:pPr>
        <w:autoSpaceDE w:val="0"/>
        <w:autoSpaceDN w:val="0"/>
        <w:adjustRightInd w:val="0"/>
        <w:spacing w:after="0" w:line="360" w:lineRule="auto"/>
        <w:ind w:left="720"/>
        <w:rPr>
          <w:rFonts w:cs="Tahoma"/>
          <w:bCs/>
          <w:i/>
          <w:iCs/>
          <w:sz w:val="20"/>
          <w:szCs w:val="20"/>
        </w:rPr>
      </w:pPr>
      <w:r w:rsidRPr="00422961">
        <w:rPr>
          <w:rFonts w:cs="Tahoma"/>
          <w:bCs/>
          <w:i/>
          <w:iCs/>
          <w:sz w:val="20"/>
          <w:szCs w:val="20"/>
        </w:rPr>
        <w:t>…”</w:t>
      </w:r>
    </w:p>
    <w:p w14:paraId="1BA4EB12" w14:textId="77777777" w:rsidR="00810D79" w:rsidRPr="00422961" w:rsidRDefault="00810D79" w:rsidP="00D2273C">
      <w:pPr>
        <w:autoSpaceDE w:val="0"/>
        <w:autoSpaceDN w:val="0"/>
        <w:adjustRightInd w:val="0"/>
        <w:spacing w:after="0" w:line="360" w:lineRule="auto"/>
        <w:rPr>
          <w:rFonts w:cs="Tahoma"/>
          <w:bCs/>
        </w:rPr>
      </w:pPr>
    </w:p>
    <w:p w14:paraId="0F67F150" w14:textId="002ADE9A" w:rsidR="00511094" w:rsidRPr="00422961" w:rsidRDefault="00F64017" w:rsidP="00D2273C">
      <w:pPr>
        <w:autoSpaceDE w:val="0"/>
        <w:autoSpaceDN w:val="0"/>
        <w:adjustRightInd w:val="0"/>
        <w:spacing w:after="0" w:line="360" w:lineRule="auto"/>
        <w:contextualSpacing/>
        <w:rPr>
          <w:rFonts w:eastAsia="Calibri" w:cs="Tahoma"/>
          <w:b/>
          <w:color w:val="000000"/>
        </w:rPr>
      </w:pPr>
      <w:r w:rsidRPr="00422961">
        <w:rPr>
          <w:rFonts w:eastAsia="Calibri" w:cs="Tahoma"/>
          <w:b/>
          <w:color w:val="000000"/>
        </w:rPr>
        <w:t>I</w:t>
      </w:r>
      <w:r w:rsidR="0073284C" w:rsidRPr="00422961">
        <w:rPr>
          <w:rFonts w:eastAsia="Calibri" w:cs="Tahoma"/>
          <w:b/>
          <w:color w:val="000000"/>
        </w:rPr>
        <w:t>II</w:t>
      </w:r>
      <w:r w:rsidR="00511094" w:rsidRPr="00422961">
        <w:rPr>
          <w:rFonts w:eastAsia="Calibri" w:cs="Tahoma"/>
          <w:b/>
          <w:color w:val="000000"/>
        </w:rPr>
        <w:t>. Interposición del Recurso de Revisión</w:t>
      </w:r>
    </w:p>
    <w:p w14:paraId="21A13BAB" w14:textId="77777777" w:rsidR="00511094" w:rsidRPr="00422961" w:rsidRDefault="00511094" w:rsidP="00D2273C">
      <w:pPr>
        <w:spacing w:after="0" w:line="360" w:lineRule="auto"/>
        <w:contextualSpacing/>
        <w:rPr>
          <w:rFonts w:eastAsia="Times New Roman" w:cs="Tahoma"/>
          <w:bCs/>
          <w:lang w:eastAsia="es-ES"/>
        </w:rPr>
      </w:pPr>
    </w:p>
    <w:p w14:paraId="417ACC0A" w14:textId="22EEF0F9" w:rsidR="00511094" w:rsidRPr="00422961" w:rsidRDefault="00E82B22" w:rsidP="00D2273C">
      <w:pPr>
        <w:widowControl w:val="0"/>
        <w:spacing w:after="0" w:line="360" w:lineRule="auto"/>
        <w:contextualSpacing/>
        <w:rPr>
          <w:rFonts w:eastAsia="Times New Roman" w:cs="Tahoma"/>
          <w:bCs/>
          <w:lang w:eastAsia="es-ES"/>
        </w:rPr>
      </w:pPr>
      <w:r w:rsidRPr="00422961">
        <w:rPr>
          <w:rFonts w:eastAsia="Calibri" w:cs="Times New Roman"/>
          <w:bCs/>
        </w:rPr>
        <w:t xml:space="preserve">El </w:t>
      </w:r>
      <w:r w:rsidR="00432702" w:rsidRPr="00422961">
        <w:rPr>
          <w:rFonts w:eastAsia="Calibri" w:cs="Times New Roman"/>
          <w:bCs/>
        </w:rPr>
        <w:t>veinticinco de septiembre</w:t>
      </w:r>
      <w:r w:rsidR="00421C8C" w:rsidRPr="00422961">
        <w:rPr>
          <w:rFonts w:eastAsia="Calibri" w:cs="Times New Roman"/>
          <w:bCs/>
        </w:rPr>
        <w:t xml:space="preserve"> de dos mil </w:t>
      </w:r>
      <w:r w:rsidR="00592F48" w:rsidRPr="00422961">
        <w:rPr>
          <w:rFonts w:eastAsia="Calibri" w:cs="Times New Roman"/>
          <w:bCs/>
        </w:rPr>
        <w:t>veinti</w:t>
      </w:r>
      <w:r w:rsidR="00A45768" w:rsidRPr="00422961">
        <w:rPr>
          <w:rFonts w:eastAsia="Calibri" w:cs="Times New Roman"/>
          <w:bCs/>
        </w:rPr>
        <w:t>cuatro</w:t>
      </w:r>
      <w:r w:rsidR="00511094" w:rsidRPr="00422961">
        <w:rPr>
          <w:rFonts w:eastAsia="Calibri" w:cs="Times New Roman"/>
          <w:bCs/>
        </w:rPr>
        <w:t>, se recibió en este Instituto, a través del Sistema de Acceso a la Información Mexiquense (SAIMEX), el Recurso de Revisión interpuesto por la p</w:t>
      </w:r>
      <w:r w:rsidR="00E22489" w:rsidRPr="00422961">
        <w:rPr>
          <w:rFonts w:eastAsia="Calibri" w:cs="Times New Roman"/>
          <w:bCs/>
        </w:rPr>
        <w:t>ersona</w:t>
      </w:r>
      <w:r w:rsidR="00511094" w:rsidRPr="00422961">
        <w:rPr>
          <w:rFonts w:eastAsia="Calibri" w:cs="Times New Roman"/>
          <w:bCs/>
        </w:rPr>
        <w:t xml:space="preserve"> Recurrente, en contra de la respuesta del Sujeto Obligado</w:t>
      </w:r>
      <w:r w:rsidR="00361AFE" w:rsidRPr="00422961">
        <w:rPr>
          <w:rFonts w:eastAsia="Calibri" w:cs="Times New Roman"/>
          <w:b/>
          <w:bCs/>
        </w:rPr>
        <w:t xml:space="preserve">, </w:t>
      </w:r>
      <w:r w:rsidR="00511094" w:rsidRPr="00422961">
        <w:rPr>
          <w:rFonts w:eastAsia="Times New Roman" w:cs="Tahoma"/>
          <w:bCs/>
          <w:lang w:eastAsia="es-ES"/>
        </w:rPr>
        <w:t>en los siguientes términos:</w:t>
      </w:r>
    </w:p>
    <w:p w14:paraId="649A2A5F" w14:textId="77777777" w:rsidR="00C074AB" w:rsidRPr="00422961" w:rsidRDefault="00C074AB" w:rsidP="00D2273C">
      <w:pPr>
        <w:widowControl w:val="0"/>
        <w:spacing w:after="0" w:line="360" w:lineRule="auto"/>
        <w:contextualSpacing/>
        <w:rPr>
          <w:rFonts w:eastAsia="Calibri" w:cs="Times New Roman"/>
          <w:bCs/>
        </w:rPr>
      </w:pPr>
    </w:p>
    <w:p w14:paraId="54B16A3A" w14:textId="300AB12E" w:rsidR="00511094" w:rsidRPr="00422961" w:rsidRDefault="00511094" w:rsidP="00D2273C">
      <w:pPr>
        <w:spacing w:after="0" w:line="360" w:lineRule="auto"/>
        <w:ind w:left="567" w:right="567"/>
        <w:contextualSpacing/>
        <w:rPr>
          <w:rFonts w:cs="Tahoma"/>
          <w:b/>
          <w:bCs/>
          <w:i/>
          <w:sz w:val="20"/>
          <w:szCs w:val="20"/>
        </w:rPr>
      </w:pPr>
      <w:r w:rsidRPr="00422961">
        <w:rPr>
          <w:rFonts w:cs="Tahoma"/>
          <w:b/>
          <w:bCs/>
          <w:i/>
          <w:sz w:val="20"/>
          <w:szCs w:val="20"/>
        </w:rPr>
        <w:t>ACTO IMPUGNADO</w:t>
      </w:r>
    </w:p>
    <w:p w14:paraId="35450A23" w14:textId="238737BD" w:rsidR="00511094" w:rsidRPr="00422961" w:rsidRDefault="00432702" w:rsidP="00D2273C">
      <w:pPr>
        <w:tabs>
          <w:tab w:val="left" w:pos="4667"/>
        </w:tabs>
        <w:spacing w:after="0" w:line="360" w:lineRule="auto"/>
        <w:ind w:left="567" w:right="567"/>
        <w:rPr>
          <w:rFonts w:cs="Tahoma"/>
          <w:bCs/>
          <w:i/>
          <w:sz w:val="20"/>
          <w:szCs w:val="20"/>
        </w:rPr>
      </w:pPr>
      <w:r w:rsidRPr="00422961">
        <w:rPr>
          <w:rFonts w:cs="Tahoma"/>
          <w:bCs/>
          <w:i/>
          <w:sz w:val="20"/>
          <w:szCs w:val="20"/>
        </w:rPr>
        <w:t>FALTA DE INFORMACION REQUERIDA</w:t>
      </w:r>
      <w:r w:rsidR="00511094" w:rsidRPr="00422961">
        <w:rPr>
          <w:rFonts w:cs="Tahoma"/>
          <w:bCs/>
          <w:i/>
          <w:sz w:val="20"/>
          <w:szCs w:val="20"/>
        </w:rPr>
        <w:t>” (Sic.)</w:t>
      </w:r>
    </w:p>
    <w:p w14:paraId="297A4CCC" w14:textId="77777777" w:rsidR="00DC28F3" w:rsidRPr="00422961" w:rsidRDefault="00DC28F3" w:rsidP="00D2273C">
      <w:pPr>
        <w:tabs>
          <w:tab w:val="left" w:pos="4667"/>
        </w:tabs>
        <w:spacing w:after="0" w:line="360" w:lineRule="auto"/>
        <w:ind w:right="567"/>
        <w:rPr>
          <w:rFonts w:cs="Tahoma"/>
          <w:bCs/>
          <w:i/>
          <w:sz w:val="20"/>
          <w:szCs w:val="20"/>
        </w:rPr>
      </w:pPr>
    </w:p>
    <w:p w14:paraId="5DB6033A" w14:textId="253BF1B4" w:rsidR="00E22489" w:rsidRPr="00422961" w:rsidRDefault="00E22489" w:rsidP="00D2273C">
      <w:pPr>
        <w:tabs>
          <w:tab w:val="left" w:pos="4667"/>
        </w:tabs>
        <w:spacing w:after="0" w:line="360" w:lineRule="auto"/>
        <w:ind w:left="567" w:right="567"/>
        <w:rPr>
          <w:rFonts w:cs="Tahoma"/>
          <w:b/>
          <w:i/>
          <w:sz w:val="20"/>
          <w:szCs w:val="20"/>
        </w:rPr>
      </w:pPr>
      <w:r w:rsidRPr="00422961">
        <w:rPr>
          <w:rFonts w:cs="Tahoma"/>
          <w:b/>
          <w:i/>
          <w:sz w:val="20"/>
          <w:szCs w:val="20"/>
        </w:rPr>
        <w:t>RAZONES O MOTIVOS DE INCONFORMIDAD</w:t>
      </w:r>
    </w:p>
    <w:p w14:paraId="13865EEB" w14:textId="716402EB" w:rsidR="00E22489" w:rsidRPr="00422961" w:rsidRDefault="00432702" w:rsidP="00D2273C">
      <w:pPr>
        <w:tabs>
          <w:tab w:val="left" w:pos="4667"/>
        </w:tabs>
        <w:spacing w:after="0" w:line="360" w:lineRule="auto"/>
        <w:ind w:left="567" w:right="567"/>
        <w:rPr>
          <w:rFonts w:cs="Tahoma"/>
          <w:bCs/>
          <w:i/>
          <w:sz w:val="20"/>
          <w:szCs w:val="20"/>
        </w:rPr>
      </w:pPr>
      <w:r w:rsidRPr="00422961">
        <w:rPr>
          <w:i/>
          <w:color w:val="000000"/>
          <w:sz w:val="20"/>
          <w:szCs w:val="14"/>
        </w:rPr>
        <w:t>NO CONTESTARON LO SOLICITADO</w:t>
      </w:r>
      <w:r w:rsidR="00361AFE" w:rsidRPr="00422961">
        <w:rPr>
          <w:i/>
          <w:color w:val="000000"/>
          <w:sz w:val="20"/>
          <w:szCs w:val="14"/>
        </w:rPr>
        <w:t>”</w:t>
      </w:r>
      <w:r w:rsidR="00361AFE" w:rsidRPr="00422961">
        <w:rPr>
          <w:rFonts w:cs="Tahoma"/>
          <w:bCs/>
          <w:i/>
          <w:sz w:val="20"/>
          <w:szCs w:val="20"/>
        </w:rPr>
        <w:t xml:space="preserve"> </w:t>
      </w:r>
    </w:p>
    <w:p w14:paraId="5A467744" w14:textId="77777777" w:rsidR="00511094" w:rsidRPr="00422961" w:rsidRDefault="00511094" w:rsidP="00D2273C">
      <w:pPr>
        <w:spacing w:after="0" w:line="360" w:lineRule="auto"/>
        <w:contextualSpacing/>
        <w:rPr>
          <w:rFonts w:eastAsia="Times New Roman" w:cs="Tahoma"/>
          <w:bCs/>
          <w:sz w:val="20"/>
          <w:szCs w:val="20"/>
          <w:lang w:eastAsia="es-ES"/>
        </w:rPr>
      </w:pPr>
    </w:p>
    <w:p w14:paraId="5C5A592C" w14:textId="07AA609D" w:rsidR="00511094" w:rsidRPr="00422961" w:rsidRDefault="0073284C" w:rsidP="00D2273C">
      <w:pPr>
        <w:spacing w:after="0" w:line="360" w:lineRule="auto"/>
        <w:contextualSpacing/>
        <w:rPr>
          <w:rFonts w:eastAsia="Batang" w:cs="Tahoma"/>
          <w:b/>
          <w:bCs/>
          <w:color w:val="000000"/>
        </w:rPr>
      </w:pPr>
      <w:r w:rsidRPr="00422961">
        <w:rPr>
          <w:rFonts w:eastAsia="Calibri" w:cs="Tahoma"/>
          <w:b/>
          <w:color w:val="000000"/>
        </w:rPr>
        <w:t>I</w:t>
      </w:r>
      <w:r w:rsidR="00511094" w:rsidRPr="00422961">
        <w:rPr>
          <w:rFonts w:eastAsia="Calibri" w:cs="Tahoma"/>
          <w:b/>
          <w:color w:val="000000"/>
        </w:rPr>
        <w:t xml:space="preserve">V. </w:t>
      </w:r>
      <w:r w:rsidR="00511094" w:rsidRPr="00422961">
        <w:rPr>
          <w:rFonts w:eastAsia="Batang" w:cs="Tahoma"/>
          <w:b/>
          <w:bCs/>
          <w:color w:val="000000"/>
        </w:rPr>
        <w:t>Trámite del Recurso de Revisión</w:t>
      </w:r>
      <w:r w:rsidR="00511094" w:rsidRPr="00422961">
        <w:rPr>
          <w:rFonts w:eastAsia="Calibri" w:cs="Tahoma"/>
          <w:b/>
          <w:color w:val="000000"/>
        </w:rPr>
        <w:t xml:space="preserve"> </w:t>
      </w:r>
      <w:r w:rsidR="00511094" w:rsidRPr="00422961">
        <w:rPr>
          <w:rFonts w:eastAsia="Batang" w:cs="Tahoma"/>
          <w:b/>
          <w:bCs/>
          <w:color w:val="000000"/>
        </w:rPr>
        <w:t>ante este Instituto</w:t>
      </w:r>
    </w:p>
    <w:p w14:paraId="111BD54A" w14:textId="77777777" w:rsidR="00511094" w:rsidRPr="00422961" w:rsidRDefault="00511094" w:rsidP="00D2273C">
      <w:pPr>
        <w:spacing w:after="0" w:line="360" w:lineRule="auto"/>
        <w:contextualSpacing/>
        <w:rPr>
          <w:rFonts w:eastAsia="Batang" w:cs="Tahoma"/>
          <w:b/>
          <w:bCs/>
          <w:color w:val="000000"/>
        </w:rPr>
      </w:pPr>
    </w:p>
    <w:p w14:paraId="73D2255D" w14:textId="48962060" w:rsidR="00511094" w:rsidRPr="00422961" w:rsidRDefault="00511094" w:rsidP="00D2273C">
      <w:pPr>
        <w:spacing w:after="0" w:line="360" w:lineRule="auto"/>
        <w:contextualSpacing/>
        <w:rPr>
          <w:rFonts w:eastAsia="Batang" w:cs="Tahoma"/>
          <w:b/>
          <w:bCs/>
          <w:color w:val="000000"/>
        </w:rPr>
      </w:pPr>
      <w:r w:rsidRPr="00422961">
        <w:rPr>
          <w:rFonts w:eastAsia="Batang" w:cs="Tahoma"/>
          <w:b/>
          <w:bCs/>
          <w:color w:val="000000"/>
        </w:rPr>
        <w:t>a) Turno del Medio de Impugnación.</w:t>
      </w:r>
      <w:r w:rsidR="002321CB" w:rsidRPr="00422961">
        <w:rPr>
          <w:rFonts w:eastAsia="Batang" w:cs="Tahoma"/>
          <w:bCs/>
          <w:color w:val="000000"/>
        </w:rPr>
        <w:t xml:space="preserve"> </w:t>
      </w:r>
      <w:r w:rsidR="002321CB" w:rsidRPr="00422961">
        <w:rPr>
          <w:rFonts w:eastAsia="Calibri" w:cs="Times New Roman"/>
          <w:bCs/>
        </w:rPr>
        <w:t xml:space="preserve">El </w:t>
      </w:r>
      <w:r w:rsidR="00C93AB7" w:rsidRPr="00422961">
        <w:rPr>
          <w:rFonts w:eastAsia="Calibri" w:cs="Times New Roman"/>
          <w:bCs/>
        </w:rPr>
        <w:t>veinticinco de septiembre</w:t>
      </w:r>
      <w:r w:rsidR="00A45768" w:rsidRPr="00422961">
        <w:rPr>
          <w:rFonts w:eastAsia="Calibri" w:cs="Times New Roman"/>
          <w:bCs/>
        </w:rPr>
        <w:t xml:space="preserve"> de dos mil veinticuatro</w:t>
      </w:r>
      <w:r w:rsidRPr="00422961">
        <w:rPr>
          <w:rFonts w:eastAsia="Batang" w:cs="Tahoma"/>
          <w:bCs/>
          <w:color w:val="000000"/>
        </w:rPr>
        <w:t xml:space="preserve">, el </w:t>
      </w:r>
      <w:r w:rsidRPr="00422961">
        <w:rPr>
          <w:rFonts w:eastAsia="Calibri" w:cs="Tahoma"/>
          <w:color w:val="000000"/>
        </w:rPr>
        <w:t>Sistema de Acceso a la Información Mexiquense (SAIMEX),</w:t>
      </w:r>
      <w:r w:rsidRPr="00422961">
        <w:rPr>
          <w:rFonts w:eastAsia="Batang" w:cs="Tahoma"/>
          <w:bCs/>
          <w:color w:val="000000"/>
        </w:rPr>
        <w:t xml:space="preserve"> </w:t>
      </w:r>
      <w:r w:rsidRPr="00422961">
        <w:rPr>
          <w:rFonts w:eastAsia="Batang" w:cs="Tahoma"/>
          <w:bCs/>
        </w:rPr>
        <w:t xml:space="preserve">asignó el número de expediente </w:t>
      </w:r>
      <w:r w:rsidR="00361AFE" w:rsidRPr="00422961">
        <w:rPr>
          <w:b/>
        </w:rPr>
        <w:t>0</w:t>
      </w:r>
      <w:r w:rsidR="00C93AB7" w:rsidRPr="00422961">
        <w:rPr>
          <w:b/>
        </w:rPr>
        <w:t>5841</w:t>
      </w:r>
      <w:r w:rsidR="00361AFE" w:rsidRPr="00422961">
        <w:rPr>
          <w:b/>
        </w:rPr>
        <w:t>/INFOEM/IP/RR/202</w:t>
      </w:r>
      <w:r w:rsidR="00A45768" w:rsidRPr="00422961">
        <w:rPr>
          <w:b/>
        </w:rPr>
        <w:t>4</w:t>
      </w:r>
      <w:r w:rsidRPr="00422961">
        <w:rPr>
          <w:rFonts w:eastAsia="Batang" w:cs="Tahoma"/>
          <w:bCs/>
          <w:color w:val="000000"/>
        </w:rPr>
        <w:t xml:space="preserve">, al Medio de Impugnación que nos ocupa, con base en el sistema aprobado por el Pleno de este </w:t>
      </w:r>
      <w:r w:rsidR="00A36A13" w:rsidRPr="00422961">
        <w:rPr>
          <w:rFonts w:eastAsia="Batang" w:cs="Tahoma"/>
          <w:bCs/>
          <w:color w:val="000000"/>
        </w:rPr>
        <w:t>Organismo</w:t>
      </w:r>
      <w:r w:rsidRPr="00422961">
        <w:rPr>
          <w:rFonts w:eastAsia="Batang" w:cs="Tahoma"/>
          <w:bCs/>
          <w:color w:val="000000"/>
        </w:rPr>
        <w:t xml:space="preserve"> Garante y lo turnó al </w:t>
      </w:r>
      <w:r w:rsidRPr="00422961">
        <w:rPr>
          <w:rFonts w:eastAsia="Batang" w:cs="Tahoma"/>
          <w:b/>
          <w:color w:val="000000"/>
        </w:rPr>
        <w:t>Comisionado Ponente Luis Gustavo Parra Noriega</w:t>
      </w:r>
      <w:r w:rsidRPr="00422961">
        <w:rPr>
          <w:rFonts w:eastAsia="Batang" w:cs="Tahoma"/>
          <w:bCs/>
          <w:color w:val="000000"/>
        </w:rPr>
        <w:t>, para los efectos del artículo 185, fracción I de la Ley de Transparencia y Acceso a la Información Pública del Estado de México y Municipios.</w:t>
      </w:r>
    </w:p>
    <w:p w14:paraId="5FF04470" w14:textId="77777777" w:rsidR="00511094" w:rsidRPr="00422961" w:rsidRDefault="00511094" w:rsidP="00D2273C">
      <w:pPr>
        <w:spacing w:after="0" w:line="360" w:lineRule="auto"/>
        <w:contextualSpacing/>
        <w:rPr>
          <w:rFonts w:eastAsia="Batang" w:cs="Tahoma"/>
          <w:bCs/>
          <w:color w:val="000000"/>
        </w:rPr>
      </w:pPr>
    </w:p>
    <w:p w14:paraId="1F7E6D02" w14:textId="4F499F55" w:rsidR="00511094" w:rsidRPr="00422961" w:rsidRDefault="00511094" w:rsidP="00D2273C">
      <w:pPr>
        <w:spacing w:after="0" w:line="360" w:lineRule="auto"/>
        <w:contextualSpacing/>
        <w:rPr>
          <w:rFonts w:eastAsia="Times New Roman" w:cs="Tahoma"/>
          <w:b/>
          <w:bCs/>
          <w:lang w:eastAsia="es-ES"/>
        </w:rPr>
      </w:pPr>
      <w:r w:rsidRPr="00422961">
        <w:rPr>
          <w:rFonts w:eastAsia="Times New Roman" w:cs="Tahoma"/>
          <w:b/>
          <w:bCs/>
          <w:lang w:eastAsia="es-ES"/>
        </w:rPr>
        <w:t>b) Admisión de</w:t>
      </w:r>
      <w:r w:rsidR="00332A9B" w:rsidRPr="00422961">
        <w:rPr>
          <w:rFonts w:eastAsia="Times New Roman" w:cs="Tahoma"/>
          <w:b/>
          <w:bCs/>
          <w:lang w:eastAsia="es-ES"/>
        </w:rPr>
        <w:t>l</w:t>
      </w:r>
      <w:r w:rsidRPr="00422961">
        <w:rPr>
          <w:rFonts w:eastAsia="Times New Roman" w:cs="Tahoma"/>
          <w:b/>
          <w:bCs/>
          <w:lang w:eastAsia="es-ES"/>
        </w:rPr>
        <w:t xml:space="preserve"> Recurso de Revisión. </w:t>
      </w:r>
      <w:r w:rsidRPr="00422961">
        <w:rPr>
          <w:rFonts w:eastAsia="Times New Roman" w:cs="Tahoma"/>
          <w:bCs/>
          <w:lang w:eastAsia="es-ES"/>
        </w:rPr>
        <w:t xml:space="preserve">El </w:t>
      </w:r>
      <w:r w:rsidR="00604457" w:rsidRPr="00422961">
        <w:rPr>
          <w:rFonts w:eastAsia="Calibri" w:cs="Times New Roman"/>
          <w:bCs/>
        </w:rPr>
        <w:t>treinta de septiembre</w:t>
      </w:r>
      <w:r w:rsidR="00A45768" w:rsidRPr="00422961">
        <w:rPr>
          <w:rFonts w:eastAsia="Calibri" w:cs="Times New Roman"/>
          <w:bCs/>
        </w:rPr>
        <w:t xml:space="preserve"> de dos mil veinticuatro</w:t>
      </w:r>
      <w:r w:rsidRPr="00422961">
        <w:rPr>
          <w:rFonts w:eastAsia="Times New Roman" w:cs="Tahoma"/>
          <w:bCs/>
          <w:lang w:eastAsia="es-ES"/>
        </w:rPr>
        <w:t xml:space="preserve">, se acordó la admisión del Recurso de Revisión interpuesto por </w:t>
      </w:r>
      <w:r w:rsidR="00604457" w:rsidRPr="00422961">
        <w:rPr>
          <w:rFonts w:eastAsia="Times New Roman" w:cs="Tahoma"/>
          <w:bCs/>
          <w:lang w:eastAsia="es-ES"/>
        </w:rPr>
        <w:t>la persona</w:t>
      </w:r>
      <w:r w:rsidRPr="00422961">
        <w:rPr>
          <w:rFonts w:eastAsia="Times New Roman" w:cs="Tahoma"/>
          <w:bCs/>
          <w:lang w:eastAsia="es-ES"/>
        </w:rPr>
        <w:t xml:space="preserve"> Recurrente en contra del Sujeto Obligado, en términos del artículo 185, fracciones I y II de la Ley de Transparencia y Acceso a la Información Pública del Estado de México y Municipios, el cual fue notificado a las partes</w:t>
      </w:r>
      <w:r w:rsidR="00421C8C" w:rsidRPr="00422961">
        <w:rPr>
          <w:rFonts w:eastAsia="Times New Roman" w:cs="Tahoma"/>
          <w:bCs/>
          <w:lang w:eastAsia="es-ES"/>
        </w:rPr>
        <w:t xml:space="preserve">, el </w:t>
      </w:r>
      <w:r w:rsidR="00604457" w:rsidRPr="00422961">
        <w:rPr>
          <w:rFonts w:eastAsia="Times New Roman" w:cs="Tahoma"/>
          <w:bCs/>
          <w:lang w:eastAsia="es-ES"/>
        </w:rPr>
        <w:t>dos de junio</w:t>
      </w:r>
      <w:r w:rsidR="00181DC5" w:rsidRPr="00422961">
        <w:rPr>
          <w:rFonts w:eastAsia="Times New Roman" w:cs="Tahoma"/>
          <w:bCs/>
          <w:lang w:eastAsia="es-ES"/>
        </w:rPr>
        <w:t xml:space="preserve"> </w:t>
      </w:r>
      <w:r w:rsidR="0033379D" w:rsidRPr="00422961">
        <w:rPr>
          <w:rFonts w:eastAsia="Times New Roman" w:cs="Tahoma"/>
          <w:bCs/>
          <w:lang w:eastAsia="es-ES"/>
        </w:rPr>
        <w:t>del mismo año</w:t>
      </w:r>
      <w:r w:rsidRPr="00422961">
        <w:rPr>
          <w:rFonts w:eastAsia="Times New Roman" w:cs="Tahoma"/>
          <w:bCs/>
          <w:lang w:eastAsia="es-ES"/>
        </w:rPr>
        <w:t xml:space="preserve">, a través del Sistema de Acceso a la Información Mexiquense (SAIMEX), en el que se les otorgó un plazo de siete días hábiles posteriores a la misma, para que manifestaran lo que a su derecho conviniera y formularan alegatos. </w:t>
      </w:r>
    </w:p>
    <w:p w14:paraId="5028A3EB" w14:textId="77777777" w:rsidR="00511094" w:rsidRPr="00422961" w:rsidRDefault="00511094" w:rsidP="00D2273C">
      <w:pPr>
        <w:spacing w:after="0" w:line="360" w:lineRule="auto"/>
        <w:rPr>
          <w:rFonts w:cs="Tahoma"/>
        </w:rPr>
      </w:pPr>
    </w:p>
    <w:p w14:paraId="40BA65DF" w14:textId="042E152C" w:rsidR="00604457" w:rsidRPr="00422961" w:rsidRDefault="00CD4743" w:rsidP="00D2273C">
      <w:pPr>
        <w:spacing w:after="0" w:line="360" w:lineRule="auto"/>
        <w:rPr>
          <w:rFonts w:cs="Tahoma"/>
        </w:rPr>
      </w:pPr>
      <w:r w:rsidRPr="00422961">
        <w:rPr>
          <w:rFonts w:eastAsia="Times New Roman" w:cs="Tahoma"/>
          <w:b/>
          <w:bCs/>
          <w:lang w:eastAsia="es-ES"/>
        </w:rPr>
        <w:t xml:space="preserve">c) </w:t>
      </w:r>
      <w:r w:rsidRPr="00422961">
        <w:rPr>
          <w:rFonts w:cs="Tahoma"/>
          <w:b/>
        </w:rPr>
        <w:t xml:space="preserve">Informe Justificado. </w:t>
      </w:r>
      <w:r w:rsidRPr="00422961">
        <w:rPr>
          <w:rFonts w:cs="Tahoma"/>
        </w:rPr>
        <w:t xml:space="preserve">El </w:t>
      </w:r>
      <w:r w:rsidR="00604457" w:rsidRPr="00422961">
        <w:rPr>
          <w:rFonts w:cs="Tahoma"/>
        </w:rPr>
        <w:t>cuatro y catorce de octubre</w:t>
      </w:r>
      <w:r w:rsidRPr="00422961">
        <w:rPr>
          <w:rFonts w:cs="Tahoma"/>
        </w:rPr>
        <w:t xml:space="preserve"> de dos mil veinticuatro, se recibió, a través del Sistema de Acceso a la Información Mexiquense (SAIMEX), el Informe Justificado del Sujeto Obligado, por medio </w:t>
      </w:r>
      <w:r w:rsidR="00604457" w:rsidRPr="00422961">
        <w:rPr>
          <w:rFonts w:cs="Tahoma"/>
        </w:rPr>
        <w:t>de los documentos siguientes:</w:t>
      </w:r>
    </w:p>
    <w:p w14:paraId="48B2A85D" w14:textId="77777777" w:rsidR="00604457" w:rsidRPr="00422961" w:rsidRDefault="00604457" w:rsidP="00D2273C">
      <w:pPr>
        <w:spacing w:after="0" w:line="360" w:lineRule="auto"/>
        <w:rPr>
          <w:rFonts w:cs="Tahoma"/>
        </w:rPr>
      </w:pPr>
    </w:p>
    <w:p w14:paraId="415CA947" w14:textId="09AFAF3A" w:rsidR="00604457" w:rsidRPr="00422961" w:rsidRDefault="00604457" w:rsidP="00D2273C">
      <w:pPr>
        <w:spacing w:after="0" w:line="360" w:lineRule="auto"/>
        <w:rPr>
          <w:rFonts w:cs="Tahoma"/>
        </w:rPr>
      </w:pPr>
      <w:r w:rsidRPr="00422961">
        <w:rPr>
          <w:rFonts w:cs="Tahoma"/>
        </w:rPr>
        <w:t xml:space="preserve">i. Oficio número </w:t>
      </w:r>
      <w:proofErr w:type="spellStart"/>
      <w:r w:rsidRPr="00422961">
        <w:rPr>
          <w:rFonts w:cs="Tahoma"/>
        </w:rPr>
        <w:t>DTyGA</w:t>
      </w:r>
      <w:proofErr w:type="spellEnd"/>
      <w:r w:rsidRPr="00422961">
        <w:rPr>
          <w:rFonts w:cs="Tahoma"/>
        </w:rPr>
        <w:t xml:space="preserve">/MET/0887/2024, del dos de octubre de dos mil veinticuatro, suscrito por el Director de Transparencia y Gobierno Abierto y dirigido a la Directora de Desarrollo </w:t>
      </w:r>
      <w:r w:rsidRPr="00422961">
        <w:rPr>
          <w:rFonts w:cs="Tahoma"/>
        </w:rPr>
        <w:lastRenderedPageBreak/>
        <w:t>Económico, Turístico y Artesanal, por medio del cual informó que solicita su respuesta en un plazo no mayor a tres días hábiles.</w:t>
      </w:r>
    </w:p>
    <w:p w14:paraId="008ED444" w14:textId="77777777" w:rsidR="00604457" w:rsidRPr="00422961" w:rsidRDefault="00604457" w:rsidP="00D2273C">
      <w:pPr>
        <w:spacing w:after="0" w:line="360" w:lineRule="auto"/>
        <w:rPr>
          <w:rFonts w:cs="Tahoma"/>
        </w:rPr>
      </w:pPr>
    </w:p>
    <w:p w14:paraId="142D5C70" w14:textId="2B3FE35F" w:rsidR="005E066E" w:rsidRPr="00422961" w:rsidRDefault="00604457" w:rsidP="00D2273C">
      <w:pPr>
        <w:spacing w:after="0" w:line="360" w:lineRule="auto"/>
        <w:rPr>
          <w:rFonts w:cs="Tahoma"/>
        </w:rPr>
      </w:pPr>
      <w:r w:rsidRPr="00422961">
        <w:rPr>
          <w:rFonts w:cs="Tahoma"/>
        </w:rPr>
        <w:t xml:space="preserve">ii. Oficio número </w:t>
      </w:r>
      <w:proofErr w:type="spellStart"/>
      <w:r w:rsidRPr="00422961">
        <w:rPr>
          <w:rFonts w:cs="Tahoma"/>
        </w:rPr>
        <w:t>DDETyA</w:t>
      </w:r>
      <w:proofErr w:type="spellEnd"/>
      <w:r w:rsidRPr="00422961">
        <w:rPr>
          <w:rFonts w:cs="Tahoma"/>
        </w:rPr>
        <w:t xml:space="preserve">/985/2024, del once de octubre de dos mil veinticuatro, suscrito por la Directora de Desarrollo Económico, Turístico y Artesanal y dirigido al Director de Transparencia y Gobierno Abierto, por medio del cual </w:t>
      </w:r>
      <w:r w:rsidR="005E066E" w:rsidRPr="00422961">
        <w:rPr>
          <w:rFonts w:cs="Tahoma"/>
        </w:rPr>
        <w:t>mencionó lo siguiente:</w:t>
      </w:r>
    </w:p>
    <w:p w14:paraId="1E151FFB" w14:textId="77777777" w:rsidR="00604457" w:rsidRPr="00422961" w:rsidRDefault="00604457" w:rsidP="00D2273C">
      <w:pPr>
        <w:spacing w:after="0" w:line="360" w:lineRule="auto"/>
        <w:rPr>
          <w:rFonts w:cs="Tahoma"/>
        </w:rPr>
      </w:pPr>
    </w:p>
    <w:p w14:paraId="4F38045D" w14:textId="79F24DDB" w:rsidR="00604457" w:rsidRPr="00422961" w:rsidRDefault="00604457" w:rsidP="005E066E">
      <w:pPr>
        <w:spacing w:after="0" w:line="360" w:lineRule="auto"/>
        <w:ind w:left="720"/>
        <w:rPr>
          <w:rFonts w:cs="Tahoma"/>
          <w:i/>
          <w:iCs/>
          <w:sz w:val="20"/>
          <w:szCs w:val="20"/>
        </w:rPr>
      </w:pPr>
      <w:r w:rsidRPr="00422961">
        <w:rPr>
          <w:rFonts w:cs="Tahoma"/>
          <w:i/>
          <w:iCs/>
          <w:sz w:val="20"/>
          <w:szCs w:val="20"/>
        </w:rPr>
        <w:t>“…</w:t>
      </w:r>
      <w:r w:rsidR="005E066E" w:rsidRPr="00422961">
        <w:rPr>
          <w:rFonts w:cs="Tahoma"/>
          <w:i/>
          <w:iCs/>
          <w:sz w:val="20"/>
          <w:szCs w:val="20"/>
        </w:rPr>
        <w:t>Expuesto lo anterior, después de una búsqueda exhaustiva y razonable en los archivos documentales que obran en las diferentes áreas de esta Dirección a mi cargo, y en los documentos digitales públicos, no se encontraron permisos de bazares, en el periodo comprendido de enero a agosto de 2024 ya que no fueron generados.</w:t>
      </w:r>
    </w:p>
    <w:p w14:paraId="3B1A8658" w14:textId="2F9AD8DC" w:rsidR="00532577" w:rsidRPr="00422961" w:rsidRDefault="005E066E" w:rsidP="005E066E">
      <w:pPr>
        <w:spacing w:after="0" w:line="360" w:lineRule="auto"/>
        <w:ind w:left="720"/>
        <w:rPr>
          <w:rFonts w:cs="Tahoma"/>
          <w:i/>
          <w:iCs/>
          <w:sz w:val="20"/>
          <w:szCs w:val="20"/>
        </w:rPr>
      </w:pPr>
      <w:r w:rsidRPr="00422961">
        <w:rPr>
          <w:rFonts w:cs="Tahoma"/>
          <w:i/>
          <w:iCs/>
          <w:sz w:val="20"/>
          <w:szCs w:val="20"/>
        </w:rPr>
        <w:t>..”</w:t>
      </w:r>
    </w:p>
    <w:p w14:paraId="2F306440" w14:textId="3135546B" w:rsidR="000E7F75" w:rsidRPr="00422961" w:rsidRDefault="000E7F75" w:rsidP="00D2273C">
      <w:pPr>
        <w:spacing w:after="0" w:line="360" w:lineRule="auto"/>
        <w:rPr>
          <w:rFonts w:cs="Tahoma"/>
        </w:rPr>
      </w:pPr>
    </w:p>
    <w:p w14:paraId="6A454304" w14:textId="0BBB7EFD" w:rsidR="00CD4743" w:rsidRPr="00422961" w:rsidRDefault="005E066E" w:rsidP="00D2273C">
      <w:pPr>
        <w:widowControl w:val="0"/>
        <w:spacing w:after="0" w:line="360" w:lineRule="auto"/>
        <w:rPr>
          <w:bCs/>
        </w:rPr>
      </w:pPr>
      <w:r w:rsidRPr="00422961">
        <w:rPr>
          <w:rFonts w:eastAsia="Times New Roman" w:cs="Tahoma"/>
          <w:b/>
          <w:szCs w:val="24"/>
          <w:lang w:eastAsia="es-ES"/>
        </w:rPr>
        <w:t>d</w:t>
      </w:r>
      <w:r w:rsidR="00CD4743" w:rsidRPr="00422961">
        <w:rPr>
          <w:rFonts w:eastAsia="Times New Roman" w:cs="Tahoma"/>
          <w:b/>
          <w:szCs w:val="24"/>
          <w:lang w:eastAsia="es-ES"/>
        </w:rPr>
        <w:t>) Vista del Informe Justificado.</w:t>
      </w:r>
      <w:r w:rsidR="00CD4743" w:rsidRPr="00422961">
        <w:rPr>
          <w:bCs/>
        </w:rPr>
        <w:t xml:space="preserve"> El </w:t>
      </w:r>
      <w:r w:rsidRPr="00422961">
        <w:rPr>
          <w:bCs/>
        </w:rPr>
        <w:t>treinta</w:t>
      </w:r>
      <w:r w:rsidR="00532577" w:rsidRPr="00422961">
        <w:rPr>
          <w:bCs/>
        </w:rPr>
        <w:t xml:space="preserve"> de octubre</w:t>
      </w:r>
      <w:r w:rsidR="00CD4743" w:rsidRPr="00422961">
        <w:rPr>
          <w:bCs/>
        </w:rPr>
        <w:t xml:space="preserve"> de dos mil veinticuatro, se dictó acuerdo mediante el cual se puso a la vista del Particular el Informe Justificado</w:t>
      </w:r>
      <w:r w:rsidR="009506D3" w:rsidRPr="00422961">
        <w:rPr>
          <w:bCs/>
        </w:rPr>
        <w:t xml:space="preserve"> y el Alcance al Informe Justificado</w:t>
      </w:r>
      <w:r w:rsidR="00CD4743" w:rsidRPr="00422961">
        <w:rPr>
          <w:bCs/>
        </w:rPr>
        <w:t>, entregado por el Sujeto Obligado, así como el documento adjunto, el cual fue notificado a las partes, a través del Sistema de Acceso a la Información Mexiquense (SAIMEX</w:t>
      </w:r>
      <w:r w:rsidR="00532577" w:rsidRPr="00422961">
        <w:rPr>
          <w:bCs/>
        </w:rPr>
        <w:t>)</w:t>
      </w:r>
      <w:r w:rsidR="00CD4743" w:rsidRPr="00422961">
        <w:rPr>
          <w:bCs/>
        </w:rPr>
        <w:t xml:space="preserve">. </w:t>
      </w:r>
    </w:p>
    <w:p w14:paraId="45BD8B76" w14:textId="77777777" w:rsidR="00065D8B" w:rsidRPr="00422961" w:rsidRDefault="00065D8B" w:rsidP="00D2273C">
      <w:pPr>
        <w:spacing w:after="0" w:line="360" w:lineRule="auto"/>
      </w:pPr>
    </w:p>
    <w:p w14:paraId="667D55FE" w14:textId="5BD1A745" w:rsidR="002B6C50" w:rsidRPr="00422961" w:rsidRDefault="005E066E" w:rsidP="005E066E">
      <w:pPr>
        <w:widowControl w:val="0"/>
        <w:spacing w:after="0" w:line="360" w:lineRule="auto"/>
        <w:contextualSpacing/>
        <w:rPr>
          <w:lang w:eastAsia="es-MX"/>
        </w:rPr>
      </w:pPr>
      <w:r w:rsidRPr="00422961">
        <w:rPr>
          <w:rFonts w:eastAsia="Calibri" w:cs="Tahoma"/>
          <w:b/>
          <w:bCs/>
          <w:color w:val="000000"/>
        </w:rPr>
        <w:t>e</w:t>
      </w:r>
      <w:r w:rsidR="00827927" w:rsidRPr="00422961">
        <w:rPr>
          <w:rFonts w:eastAsia="Calibri" w:cs="Tahoma"/>
          <w:b/>
          <w:bCs/>
          <w:color w:val="000000"/>
        </w:rPr>
        <w:t xml:space="preserve">) </w:t>
      </w:r>
      <w:r w:rsidR="00827927" w:rsidRPr="00422961">
        <w:rPr>
          <w:rFonts w:eastAsia="Times New Roman" w:cs="Tahoma"/>
          <w:b/>
          <w:bCs/>
          <w:lang w:eastAsia="es-ES"/>
        </w:rPr>
        <w:t xml:space="preserve">Ampliación de plazo para resolver. </w:t>
      </w:r>
      <w:r w:rsidR="002A5208" w:rsidRPr="00422961">
        <w:rPr>
          <w:lang w:eastAsia="es-MX"/>
        </w:rPr>
        <w:t xml:space="preserve">El </w:t>
      </w:r>
      <w:r w:rsidRPr="00422961">
        <w:rPr>
          <w:lang w:eastAsia="es-MX"/>
        </w:rPr>
        <w:t>treinta</w:t>
      </w:r>
      <w:r w:rsidR="009506D3" w:rsidRPr="00422961">
        <w:rPr>
          <w:lang w:eastAsia="es-MX"/>
        </w:rPr>
        <w:t xml:space="preserve"> de octubre</w:t>
      </w:r>
      <w:r w:rsidR="002A5208" w:rsidRPr="00422961">
        <w:rPr>
          <w:lang w:eastAsia="es-MX"/>
        </w:rPr>
        <w:t xml:space="preserve"> de dos mil veinticuatro, el Comisionado Ponente, con fundamento en lo dispuesto por el artículo 181, párrafo tercero, de la Ley de Transparencia y Acceso a la Información Pública del Estado de México y Municipios, acordó ampliar por un periodo</w:t>
      </w:r>
      <w:r w:rsidRPr="00422961">
        <w:rPr>
          <w:lang w:eastAsia="es-MX"/>
        </w:rPr>
        <w:t xml:space="preserve"> de quince días hábiles</w:t>
      </w:r>
      <w:r w:rsidR="002A5208" w:rsidRPr="00422961">
        <w:rPr>
          <w:lang w:eastAsia="es-MX"/>
        </w:rPr>
        <w:t>, el plazo para resolver el Recurso de Revisión que nos ocupa; acto que fue notificado a las partes el mismo día, mediante el Sistema de Acceso a la Información Mexiquense (SAIMEX).</w:t>
      </w:r>
    </w:p>
    <w:p w14:paraId="5F24281D" w14:textId="77777777" w:rsidR="005E066E" w:rsidRPr="00422961" w:rsidRDefault="005E066E" w:rsidP="005E066E">
      <w:pPr>
        <w:widowControl w:val="0"/>
        <w:spacing w:after="0" w:line="360" w:lineRule="auto"/>
        <w:contextualSpacing/>
        <w:rPr>
          <w:rFonts w:eastAsia="Times New Roman" w:cs="Tahoma"/>
          <w:lang w:eastAsia="es-MX"/>
        </w:rPr>
      </w:pPr>
    </w:p>
    <w:p w14:paraId="2C25A69D" w14:textId="55486CA9" w:rsidR="00511094" w:rsidRPr="00422961" w:rsidRDefault="005E066E" w:rsidP="00D2273C">
      <w:pPr>
        <w:spacing w:after="0" w:line="360" w:lineRule="auto"/>
        <w:contextualSpacing/>
        <w:rPr>
          <w:rFonts w:eastAsia="Calibri" w:cs="Tahoma"/>
          <w:bCs/>
        </w:rPr>
      </w:pPr>
      <w:r w:rsidRPr="00422961">
        <w:rPr>
          <w:rFonts w:eastAsia="Batang" w:cs="Tahoma"/>
          <w:b/>
        </w:rPr>
        <w:lastRenderedPageBreak/>
        <w:t>f</w:t>
      </w:r>
      <w:r w:rsidR="002B6C50" w:rsidRPr="00422961">
        <w:rPr>
          <w:rFonts w:eastAsia="Batang" w:cs="Tahoma"/>
          <w:b/>
        </w:rPr>
        <w:t>)</w:t>
      </w:r>
      <w:r w:rsidR="00212FD7" w:rsidRPr="00422961">
        <w:rPr>
          <w:rFonts w:eastAsia="Batang" w:cs="Tahoma"/>
          <w:b/>
        </w:rPr>
        <w:t xml:space="preserve"> </w:t>
      </w:r>
      <w:r w:rsidR="00511094" w:rsidRPr="00422961">
        <w:rPr>
          <w:rFonts w:eastAsia="Times New Roman" w:cs="Tahoma"/>
          <w:b/>
          <w:szCs w:val="24"/>
          <w:lang w:eastAsia="es-ES"/>
        </w:rPr>
        <w:t>Cierre de instrucción.</w:t>
      </w:r>
      <w:r w:rsidR="00511094" w:rsidRPr="00422961">
        <w:rPr>
          <w:rFonts w:eastAsia="Times New Roman" w:cs="Tahoma"/>
          <w:szCs w:val="24"/>
          <w:lang w:eastAsia="es-ES"/>
        </w:rPr>
        <w:t xml:space="preserve"> El </w:t>
      </w:r>
      <w:r w:rsidRPr="00422961">
        <w:rPr>
          <w:rFonts w:eastAsia="Times New Roman" w:cs="Tahoma"/>
          <w:szCs w:val="24"/>
          <w:lang w:eastAsia="es-ES"/>
        </w:rPr>
        <w:t>seis de noviembre</w:t>
      </w:r>
      <w:r w:rsidR="00511094" w:rsidRPr="00422961">
        <w:rPr>
          <w:rFonts w:eastAsia="Times New Roman" w:cs="Tahoma"/>
          <w:szCs w:val="24"/>
          <w:lang w:eastAsia="es-ES"/>
        </w:rPr>
        <w:t xml:space="preserve"> de dos mil veinti</w:t>
      </w:r>
      <w:r w:rsidR="00254E5D" w:rsidRPr="00422961">
        <w:rPr>
          <w:rFonts w:eastAsia="Times New Roman" w:cs="Tahoma"/>
          <w:szCs w:val="24"/>
          <w:lang w:eastAsia="es-ES"/>
        </w:rPr>
        <w:t>cuatro</w:t>
      </w:r>
      <w:r w:rsidR="00511094" w:rsidRPr="00422961">
        <w:rPr>
          <w:rFonts w:eastAsia="Times New Roman" w:cs="Tahoma"/>
          <w:szCs w:val="24"/>
          <w:lang w:eastAsia="es-ES"/>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w:t>
      </w:r>
      <w:r w:rsidR="00511094" w:rsidRPr="00422961">
        <w:rPr>
          <w:rFonts w:eastAsia="Times New Roman" w:cs="Tahoma"/>
          <w:szCs w:val="20"/>
          <w:lang w:eastAsia="es-ES"/>
        </w:rPr>
        <w:t>Sistema de Acceso a la Información Mexiquense (SAIMEX)</w:t>
      </w:r>
      <w:r w:rsidR="00511094" w:rsidRPr="00422961">
        <w:rPr>
          <w:rFonts w:eastAsia="Times New Roman" w:cs="Tahoma"/>
          <w:szCs w:val="24"/>
          <w:lang w:eastAsia="es-ES"/>
        </w:rPr>
        <w:t xml:space="preserve">. </w:t>
      </w:r>
    </w:p>
    <w:p w14:paraId="5A65FFFF" w14:textId="77777777" w:rsidR="005C690F" w:rsidRPr="00422961" w:rsidRDefault="005C690F" w:rsidP="00D2273C">
      <w:pPr>
        <w:spacing w:after="0" w:line="360" w:lineRule="auto"/>
        <w:ind w:right="-28"/>
      </w:pPr>
    </w:p>
    <w:p w14:paraId="161AC563" w14:textId="77777777" w:rsidR="005C690F" w:rsidRPr="00422961" w:rsidRDefault="007D6307" w:rsidP="00D2273C">
      <w:pPr>
        <w:spacing w:after="0" w:line="360" w:lineRule="auto"/>
        <w:rPr>
          <w:color w:val="000000"/>
        </w:rPr>
      </w:pPr>
      <w:r w:rsidRPr="00422961">
        <w:rPr>
          <w:color w:val="000000"/>
        </w:rPr>
        <w:t>En razón de que fue debidamente sustanciado e integrado el expediente electrónico y no existe diligencia pendiente de desahogo, se emite la resolución que conforme a Derecho proceda, de acuerdo a los siguientes:</w:t>
      </w:r>
    </w:p>
    <w:p w14:paraId="1C132216" w14:textId="77777777" w:rsidR="005C690F" w:rsidRPr="00422961" w:rsidRDefault="005C690F" w:rsidP="00D2273C">
      <w:pPr>
        <w:spacing w:after="0" w:line="360" w:lineRule="auto"/>
        <w:rPr>
          <w:b/>
          <w:color w:val="000000"/>
        </w:rPr>
      </w:pPr>
    </w:p>
    <w:p w14:paraId="250F6589" w14:textId="3F880C72" w:rsidR="005C690F" w:rsidRPr="00422961" w:rsidRDefault="00CD6238" w:rsidP="00D2273C">
      <w:pPr>
        <w:spacing w:after="0" w:line="360" w:lineRule="auto"/>
        <w:jc w:val="center"/>
        <w:rPr>
          <w:b/>
          <w:color w:val="000000"/>
        </w:rPr>
      </w:pPr>
      <w:r w:rsidRPr="00422961">
        <w:rPr>
          <w:b/>
          <w:color w:val="000000"/>
        </w:rPr>
        <w:t>C O N S I D E R A N D O S</w:t>
      </w:r>
    </w:p>
    <w:p w14:paraId="5AB6ED71" w14:textId="77777777" w:rsidR="005C690F" w:rsidRPr="00422961" w:rsidRDefault="005C690F" w:rsidP="00D2273C">
      <w:pPr>
        <w:spacing w:after="0" w:line="360" w:lineRule="auto"/>
        <w:jc w:val="center"/>
        <w:rPr>
          <w:b/>
          <w:color w:val="000000"/>
        </w:rPr>
      </w:pPr>
    </w:p>
    <w:p w14:paraId="36BFFC7E" w14:textId="2F0F17EA" w:rsidR="005C690F" w:rsidRPr="00422961" w:rsidRDefault="007D6307" w:rsidP="00D2273C">
      <w:pPr>
        <w:spacing w:after="0" w:line="360" w:lineRule="auto"/>
        <w:rPr>
          <w:b/>
          <w:color w:val="000000"/>
        </w:rPr>
      </w:pPr>
      <w:r w:rsidRPr="00422961">
        <w:rPr>
          <w:b/>
          <w:color w:val="000000"/>
        </w:rPr>
        <w:t>PRIMERO</w:t>
      </w:r>
      <w:r w:rsidRPr="00422961">
        <w:rPr>
          <w:color w:val="000000"/>
        </w:rPr>
        <w:t xml:space="preserve">. </w:t>
      </w:r>
      <w:r w:rsidR="00CD6238" w:rsidRPr="00422961">
        <w:rPr>
          <w:b/>
          <w:color w:val="000000"/>
        </w:rPr>
        <w:t>Competencia</w:t>
      </w:r>
    </w:p>
    <w:p w14:paraId="7E462B96" w14:textId="77777777" w:rsidR="005C690F" w:rsidRPr="00422961" w:rsidRDefault="005C690F" w:rsidP="00D2273C">
      <w:pPr>
        <w:spacing w:after="0" w:line="360" w:lineRule="auto"/>
        <w:rPr>
          <w:b/>
          <w:color w:val="000000"/>
        </w:rPr>
      </w:pPr>
    </w:p>
    <w:p w14:paraId="65031413" w14:textId="77777777" w:rsidR="005C690F" w:rsidRPr="00422961" w:rsidRDefault="007D6307" w:rsidP="00D2273C">
      <w:pPr>
        <w:spacing w:after="0" w:line="360" w:lineRule="auto"/>
        <w:rPr>
          <w:color w:val="000000"/>
        </w:rPr>
      </w:pPr>
      <w:bookmarkStart w:id="0" w:name="_heading=h.30j0zll" w:colFirst="0" w:colLast="0"/>
      <w:bookmarkEnd w:id="0"/>
      <w:r w:rsidRPr="00422961">
        <w:rPr>
          <w:color w:val="00000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56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w:t>
      </w:r>
      <w:r w:rsidRPr="00422961">
        <w:rPr>
          <w:color w:val="000000"/>
        </w:rPr>
        <w:lastRenderedPageBreak/>
        <w:t>Transparencia, Acceso a la Información Pública y Protección de Datos Personales del Estado de México y Municipios.</w:t>
      </w:r>
    </w:p>
    <w:p w14:paraId="4225FD09" w14:textId="77777777" w:rsidR="005C690F" w:rsidRPr="00422961" w:rsidRDefault="005C690F" w:rsidP="00D2273C">
      <w:pPr>
        <w:spacing w:after="0" w:line="360" w:lineRule="auto"/>
        <w:rPr>
          <w:b/>
          <w:color w:val="000000"/>
        </w:rPr>
      </w:pPr>
    </w:p>
    <w:p w14:paraId="46691DD5" w14:textId="4C1C70AD" w:rsidR="005C690F" w:rsidRPr="00422961" w:rsidRDefault="007D6307" w:rsidP="00D2273C">
      <w:pPr>
        <w:spacing w:after="0" w:line="360" w:lineRule="auto"/>
        <w:rPr>
          <w:color w:val="000000"/>
        </w:rPr>
      </w:pPr>
      <w:r w:rsidRPr="00422961">
        <w:rPr>
          <w:b/>
          <w:color w:val="000000"/>
        </w:rPr>
        <w:t>SEGUNDO</w:t>
      </w:r>
      <w:r w:rsidRPr="00422961">
        <w:rPr>
          <w:color w:val="000000"/>
        </w:rPr>
        <w:t xml:space="preserve">. </w:t>
      </w:r>
      <w:r w:rsidRPr="00422961">
        <w:rPr>
          <w:b/>
          <w:color w:val="000000"/>
        </w:rPr>
        <w:t>Causales de</w:t>
      </w:r>
      <w:r w:rsidR="00CD6238" w:rsidRPr="00422961">
        <w:rPr>
          <w:b/>
          <w:color w:val="000000"/>
        </w:rPr>
        <w:t xml:space="preserve"> improcedencia y sobreseimiento</w:t>
      </w:r>
    </w:p>
    <w:p w14:paraId="49AA4CDE" w14:textId="77777777" w:rsidR="005C690F" w:rsidRPr="00422961" w:rsidRDefault="005C690F" w:rsidP="00D2273C">
      <w:pPr>
        <w:spacing w:after="0" w:line="360" w:lineRule="auto"/>
        <w:rPr>
          <w:color w:val="000000"/>
        </w:rPr>
      </w:pPr>
    </w:p>
    <w:p w14:paraId="2553CE58" w14:textId="77777777" w:rsidR="005C690F" w:rsidRPr="00422961" w:rsidRDefault="007D6307" w:rsidP="00D2273C">
      <w:pPr>
        <w:spacing w:after="0" w:line="360" w:lineRule="auto"/>
        <w:rPr>
          <w:color w:val="000000"/>
        </w:rPr>
      </w:pPr>
      <w:r w:rsidRPr="00422961">
        <w:rPr>
          <w:color w:val="000000"/>
        </w:rPr>
        <w:t xml:space="preserve">De las constancias que forma parte del Recurso de Revisión que se analiza, se advierte que previo al estudio del fondo de la </w:t>
      </w:r>
      <w:r w:rsidRPr="00422961">
        <w:rPr>
          <w:i/>
          <w:color w:val="000000"/>
        </w:rPr>
        <w:t>litis</w:t>
      </w:r>
      <w:r w:rsidRPr="00422961">
        <w:rPr>
          <w:color w:val="000000"/>
        </w:rPr>
        <w:t>, es necesario estudiar las causales de improcedencia y sobreseimiento que se adviertan, para determinar lo que en Derecho proceda.</w:t>
      </w:r>
    </w:p>
    <w:p w14:paraId="1B1FDCD0" w14:textId="77777777" w:rsidR="005C690F" w:rsidRPr="00422961" w:rsidRDefault="005C690F" w:rsidP="00D2273C">
      <w:pPr>
        <w:spacing w:after="0" w:line="360" w:lineRule="auto"/>
        <w:rPr>
          <w:b/>
        </w:rPr>
      </w:pPr>
    </w:p>
    <w:p w14:paraId="3066DF0C" w14:textId="77777777" w:rsidR="005C690F" w:rsidRPr="00422961" w:rsidRDefault="007D6307" w:rsidP="00D2273C">
      <w:pPr>
        <w:spacing w:after="0" w:line="360" w:lineRule="auto"/>
        <w:rPr>
          <w:b/>
        </w:rPr>
      </w:pPr>
      <w:r w:rsidRPr="00422961">
        <w:rPr>
          <w:b/>
        </w:rPr>
        <w:t>Causales de improcedencia</w:t>
      </w:r>
    </w:p>
    <w:p w14:paraId="75878DC6" w14:textId="77777777" w:rsidR="005C690F" w:rsidRPr="00422961" w:rsidRDefault="005C690F" w:rsidP="00D2273C">
      <w:pPr>
        <w:spacing w:after="0" w:line="360" w:lineRule="auto"/>
      </w:pPr>
    </w:p>
    <w:p w14:paraId="6C56CA88" w14:textId="77777777" w:rsidR="005C690F" w:rsidRPr="00422961" w:rsidRDefault="007D6307" w:rsidP="00D2273C">
      <w:pPr>
        <w:spacing w:after="0" w:line="360" w:lineRule="auto"/>
        <w:rPr>
          <w:color w:val="000000"/>
        </w:rPr>
      </w:pPr>
      <w:r w:rsidRPr="00422961">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8A4A8EF" w14:textId="77777777" w:rsidR="005C690F" w:rsidRPr="00422961" w:rsidRDefault="005C690F" w:rsidP="00D2273C">
      <w:pPr>
        <w:spacing w:after="0" w:line="360" w:lineRule="auto"/>
        <w:rPr>
          <w:color w:val="000000"/>
        </w:rPr>
      </w:pPr>
    </w:p>
    <w:p w14:paraId="3FF1B775" w14:textId="77777777" w:rsidR="005C690F" w:rsidRPr="00422961" w:rsidRDefault="007D6307" w:rsidP="00D2273C">
      <w:pPr>
        <w:spacing w:after="0" w:line="360" w:lineRule="auto"/>
        <w:rPr>
          <w:color w:val="000000"/>
        </w:rPr>
      </w:pPr>
      <w:r w:rsidRPr="00422961">
        <w:rPr>
          <w:color w:val="000000"/>
        </w:rPr>
        <w:t>En el presente caso, </w:t>
      </w:r>
      <w:r w:rsidRPr="00422961">
        <w:rPr>
          <w:b/>
          <w:color w:val="000000"/>
        </w:rPr>
        <w:t>no se actualiza ninguna de las causales de improcedencia</w:t>
      </w:r>
      <w:r w:rsidRPr="00422961">
        <w:rPr>
          <w:color w:val="000000"/>
        </w:rPr>
        <w:t>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42A35DCA" w14:textId="77777777" w:rsidR="00356D9B" w:rsidRPr="00422961" w:rsidRDefault="00356D9B" w:rsidP="00D2273C">
      <w:pPr>
        <w:spacing w:after="0" w:line="360" w:lineRule="auto"/>
        <w:rPr>
          <w:color w:val="000000"/>
        </w:rPr>
      </w:pPr>
    </w:p>
    <w:p w14:paraId="2BF1CF5B" w14:textId="11B3C4C7" w:rsidR="005C690F" w:rsidRPr="00422961" w:rsidRDefault="007D6307" w:rsidP="00D2273C">
      <w:pPr>
        <w:spacing w:after="0" w:line="360" w:lineRule="auto"/>
      </w:pPr>
      <w:r w:rsidRPr="00422961">
        <w:t xml:space="preserve">Por lo cual, se actualiza la causal de procedencia del Recurso de Revisión señalada en el artículo 179, fracción </w:t>
      </w:r>
      <w:r w:rsidR="00B152A2" w:rsidRPr="00422961">
        <w:t>V</w:t>
      </w:r>
      <w:r w:rsidR="00D96B0C" w:rsidRPr="00422961">
        <w:t>I</w:t>
      </w:r>
      <w:r w:rsidRPr="00422961">
        <w:t xml:space="preserve">, de la Ley en cita, pues la parte Recurrente se inconformó de </w:t>
      </w:r>
      <w:r w:rsidR="00B152A2" w:rsidRPr="00422961">
        <w:t xml:space="preserve">la entrega de información </w:t>
      </w:r>
      <w:r w:rsidR="00D96B0C" w:rsidRPr="00422961">
        <w:t>que no corresponde con lo solicitado.</w:t>
      </w:r>
    </w:p>
    <w:p w14:paraId="76AC95E5" w14:textId="77777777" w:rsidR="005C690F" w:rsidRPr="00422961" w:rsidRDefault="005C690F" w:rsidP="00D2273C">
      <w:pPr>
        <w:spacing w:after="0" w:line="360" w:lineRule="auto"/>
      </w:pPr>
    </w:p>
    <w:p w14:paraId="55FF691A" w14:textId="0A127635" w:rsidR="005C690F" w:rsidRPr="00422961" w:rsidRDefault="007D6307" w:rsidP="00D2273C">
      <w:pPr>
        <w:spacing w:after="0" w:line="360" w:lineRule="auto"/>
        <w:rPr>
          <w:color w:val="0D0D0D"/>
        </w:rPr>
      </w:pPr>
      <w:r w:rsidRPr="00422961">
        <w:rPr>
          <w:b/>
          <w:color w:val="0D0D0D"/>
        </w:rPr>
        <w:t>Ca</w:t>
      </w:r>
      <w:r w:rsidR="00CD6238" w:rsidRPr="00422961">
        <w:rPr>
          <w:b/>
          <w:color w:val="0D0D0D"/>
        </w:rPr>
        <w:t>usales de sobreseimiento</w:t>
      </w:r>
    </w:p>
    <w:p w14:paraId="426FEE7A" w14:textId="77777777" w:rsidR="005C690F" w:rsidRPr="00422961" w:rsidRDefault="005C690F" w:rsidP="00D2273C">
      <w:pPr>
        <w:spacing w:after="0" w:line="360" w:lineRule="auto"/>
        <w:rPr>
          <w:color w:val="0D0D0D"/>
        </w:rPr>
      </w:pPr>
    </w:p>
    <w:p w14:paraId="1370804E" w14:textId="77777777" w:rsidR="000E2024" w:rsidRPr="00422961" w:rsidRDefault="000E2024" w:rsidP="00D2273C">
      <w:pPr>
        <w:spacing w:after="0" w:line="360" w:lineRule="auto"/>
        <w:rPr>
          <w:rFonts w:cs="Tahoma"/>
        </w:rPr>
      </w:pPr>
      <w:r w:rsidRPr="00422961">
        <w:rPr>
          <w:rFonts w:cs="Tahoma"/>
        </w:rPr>
        <w:t>Por ser de previo y especial pronunciamiento, este Instituto analiza si se actualiza alguna causal de sobreseimiento.</w:t>
      </w:r>
    </w:p>
    <w:p w14:paraId="5DF6FB30" w14:textId="77777777" w:rsidR="000E2024" w:rsidRPr="00422961" w:rsidRDefault="000E2024" w:rsidP="00D2273C">
      <w:pPr>
        <w:spacing w:after="0" w:line="360" w:lineRule="auto"/>
        <w:rPr>
          <w:rFonts w:cs="Tahoma"/>
        </w:rPr>
      </w:pPr>
    </w:p>
    <w:p w14:paraId="3D672A18" w14:textId="77777777" w:rsidR="007C6798" w:rsidRPr="00422961" w:rsidRDefault="007C6798" w:rsidP="00D2273C">
      <w:pPr>
        <w:spacing w:after="0" w:line="360" w:lineRule="auto"/>
        <w:rPr>
          <w:color w:val="000000"/>
          <w:lang w:eastAsia="es-MX"/>
        </w:rPr>
      </w:pPr>
      <w:r w:rsidRPr="00422961">
        <w:rPr>
          <w:color w:val="0D0D0D"/>
          <w:lang w:eastAsia="es-MX"/>
        </w:rPr>
        <w:t>Sobre el tema, e</w:t>
      </w:r>
      <w:r w:rsidRPr="00422961">
        <w:rPr>
          <w:color w:val="000000"/>
          <w:lang w:eastAsia="es-MX"/>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sobreviniera alguna causal de improcedencia, que el Sujeto Obligado hubiese modificado o revocado el acto impugnado o bien, haya quedado sin materia.</w:t>
      </w:r>
    </w:p>
    <w:p w14:paraId="39C6B229" w14:textId="77777777" w:rsidR="007C6798" w:rsidRPr="00422961" w:rsidRDefault="007C6798" w:rsidP="00D2273C">
      <w:pPr>
        <w:spacing w:after="0" w:line="360" w:lineRule="auto"/>
        <w:rPr>
          <w:color w:val="000000"/>
          <w:lang w:eastAsia="es-MX"/>
        </w:rPr>
      </w:pPr>
    </w:p>
    <w:p w14:paraId="16ADA7C3" w14:textId="77777777" w:rsidR="007C6798" w:rsidRPr="00422961" w:rsidRDefault="007C6798" w:rsidP="00D2273C">
      <w:pPr>
        <w:spacing w:after="0" w:line="360" w:lineRule="auto"/>
        <w:rPr>
          <w:color w:val="0D0D0D"/>
          <w:lang w:eastAsia="es-MX"/>
        </w:rPr>
      </w:pPr>
      <w:r w:rsidRPr="00422961">
        <w:rPr>
          <w:color w:val="0D0D0D"/>
          <w:lang w:eastAsia="es-MX"/>
        </w:rPr>
        <w:t xml:space="preserve">Por tales motivos, se considera procedente entrar al fondo del presente asunto. </w:t>
      </w:r>
    </w:p>
    <w:p w14:paraId="3B2EB888" w14:textId="77777777" w:rsidR="005C690F" w:rsidRPr="00422961" w:rsidRDefault="005C690F" w:rsidP="00D2273C">
      <w:pPr>
        <w:spacing w:after="0" w:line="360" w:lineRule="auto"/>
        <w:rPr>
          <w:b/>
          <w:color w:val="000000"/>
        </w:rPr>
      </w:pPr>
    </w:p>
    <w:p w14:paraId="0A6A0BAE" w14:textId="184EF292" w:rsidR="005C690F" w:rsidRPr="00422961" w:rsidRDefault="007D6307" w:rsidP="00D2273C">
      <w:pPr>
        <w:spacing w:after="0" w:line="360" w:lineRule="auto"/>
        <w:rPr>
          <w:b/>
          <w:color w:val="000000"/>
        </w:rPr>
      </w:pPr>
      <w:r w:rsidRPr="00422961">
        <w:rPr>
          <w:b/>
          <w:color w:val="000000"/>
        </w:rPr>
        <w:t>TERCERO. De</w:t>
      </w:r>
      <w:r w:rsidR="00CD6238" w:rsidRPr="00422961">
        <w:rPr>
          <w:b/>
          <w:color w:val="000000"/>
        </w:rPr>
        <w:t>terminación de la Controversia</w:t>
      </w:r>
    </w:p>
    <w:p w14:paraId="214ED69F" w14:textId="77777777" w:rsidR="005C690F" w:rsidRPr="00422961" w:rsidRDefault="005C690F" w:rsidP="00D2273C">
      <w:pPr>
        <w:spacing w:after="0" w:line="360" w:lineRule="auto"/>
        <w:rPr>
          <w:color w:val="000000"/>
        </w:rPr>
      </w:pPr>
    </w:p>
    <w:p w14:paraId="764F11C3" w14:textId="6AB3BBA9" w:rsidR="00F20A87" w:rsidRPr="00422961" w:rsidRDefault="00F31177" w:rsidP="00F20A87">
      <w:pPr>
        <w:spacing w:after="0" w:line="360" w:lineRule="auto"/>
        <w:rPr>
          <w:color w:val="000000"/>
        </w:rPr>
      </w:pPr>
      <w:r w:rsidRPr="00422961">
        <w:rPr>
          <w:color w:val="000000"/>
        </w:rPr>
        <w:t xml:space="preserve">Una vez realizado el estudio de las constancias que integran el expediente en que se actúa, se desprende que el Particular requirió, </w:t>
      </w:r>
      <w:r w:rsidR="00F20A87" w:rsidRPr="00422961">
        <w:rPr>
          <w:color w:val="000000"/>
        </w:rPr>
        <w:t xml:space="preserve">los permisos debidamente firmados </w:t>
      </w:r>
      <w:r w:rsidR="00CB1EAE" w:rsidRPr="00422961">
        <w:rPr>
          <w:color w:val="000000"/>
        </w:rPr>
        <w:t xml:space="preserve">y </w:t>
      </w:r>
      <w:r w:rsidR="00F20A87" w:rsidRPr="00422961">
        <w:rPr>
          <w:color w:val="000000"/>
        </w:rPr>
        <w:t xml:space="preserve">requisitos </w:t>
      </w:r>
      <w:r w:rsidR="00A232FC" w:rsidRPr="00422961">
        <w:rPr>
          <w:color w:val="000000"/>
        </w:rPr>
        <w:t xml:space="preserve">que los acrediten, de todos </w:t>
      </w:r>
      <w:proofErr w:type="spellStart"/>
      <w:r w:rsidR="00A232FC" w:rsidRPr="00422961">
        <w:rPr>
          <w:color w:val="000000"/>
        </w:rPr>
        <w:t>lo</w:t>
      </w:r>
      <w:proofErr w:type="spellEnd"/>
      <w:r w:rsidR="00A232FC" w:rsidRPr="00422961">
        <w:rPr>
          <w:color w:val="000000"/>
        </w:rPr>
        <w:t xml:space="preserve"> bazares, del primero de enero al </w:t>
      </w:r>
      <w:r w:rsidR="003C373E" w:rsidRPr="00422961">
        <w:rPr>
          <w:color w:val="000000"/>
        </w:rPr>
        <w:t xml:space="preserve">cinco </w:t>
      </w:r>
      <w:r w:rsidR="00A232FC" w:rsidRPr="00422961">
        <w:rPr>
          <w:color w:val="000000"/>
        </w:rPr>
        <w:t>de agosto de dos mil veinticuatro.</w:t>
      </w:r>
    </w:p>
    <w:p w14:paraId="0548FB2A" w14:textId="77777777" w:rsidR="00F20A87" w:rsidRPr="00422961" w:rsidRDefault="00F20A87" w:rsidP="00D2273C">
      <w:pPr>
        <w:spacing w:after="0" w:line="360" w:lineRule="auto"/>
        <w:rPr>
          <w:color w:val="000000"/>
        </w:rPr>
      </w:pPr>
    </w:p>
    <w:p w14:paraId="4F05769C" w14:textId="546BE66D" w:rsidR="002B6D07" w:rsidRPr="00422961" w:rsidRDefault="00F31177" w:rsidP="00D2273C">
      <w:pPr>
        <w:spacing w:after="0" w:line="360" w:lineRule="auto"/>
        <w:rPr>
          <w:color w:val="000000"/>
        </w:rPr>
      </w:pPr>
      <w:r w:rsidRPr="00422961">
        <w:rPr>
          <w:color w:val="000000"/>
        </w:rPr>
        <w:t>En respuesta, el Sujeto Obligado, a través de</w:t>
      </w:r>
      <w:r w:rsidR="00A232FC" w:rsidRPr="00422961">
        <w:rPr>
          <w:color w:val="000000"/>
        </w:rPr>
        <w:t xml:space="preserve"> la Directora de Desarrollo Económico, Turístico y Artesanal, mencionó que después de una búsqueda exhaustiva y minuciosa </w:t>
      </w:r>
      <w:r w:rsidR="002B6D07" w:rsidRPr="00422961">
        <w:rPr>
          <w:color w:val="000000"/>
        </w:rPr>
        <w:t>en sus archivos, no encontró los documentos solicitados, pues la Dirección únicamente expide licencias y permisos para unidades económicas</w:t>
      </w:r>
      <w:r w:rsidRPr="00422961">
        <w:t xml:space="preserve">; </w:t>
      </w:r>
      <w:r w:rsidRPr="00422961">
        <w:rPr>
          <w:rFonts w:cs="Tahoma"/>
        </w:rPr>
        <w:t>ante dicha circunstancia, el Particular se inconformó</w:t>
      </w:r>
      <w:r w:rsidR="002B6D07" w:rsidRPr="00422961">
        <w:rPr>
          <w:rFonts w:cs="Tahoma"/>
        </w:rPr>
        <w:t xml:space="preserve"> de la entrega de información que no corresponde con lo solicitado</w:t>
      </w:r>
      <w:r w:rsidRPr="00422961">
        <w:rPr>
          <w:rFonts w:cs="Tahoma"/>
        </w:rPr>
        <w:t xml:space="preserve">, lo cual </w:t>
      </w:r>
      <w:r w:rsidRPr="00422961">
        <w:rPr>
          <w:rFonts w:eastAsia="Calibri" w:cs="Tahoma"/>
        </w:rPr>
        <w:t xml:space="preserve">actualiza la causal de procedencia prevista en la fracción </w:t>
      </w:r>
      <w:r w:rsidR="00CE4E0C" w:rsidRPr="00422961">
        <w:rPr>
          <w:rFonts w:eastAsia="Calibri" w:cs="Tahoma"/>
        </w:rPr>
        <w:t>V</w:t>
      </w:r>
      <w:r w:rsidR="002B6D07" w:rsidRPr="00422961">
        <w:rPr>
          <w:rFonts w:eastAsia="Calibri" w:cs="Tahoma"/>
        </w:rPr>
        <w:t>I</w:t>
      </w:r>
      <w:r w:rsidRPr="00422961">
        <w:rPr>
          <w:rFonts w:eastAsia="Calibri" w:cs="Tahoma"/>
        </w:rPr>
        <w:t>, del artículo 179 de la Ley de Transparencia y Acceso a la Información Pública del Estado de México y Municipios</w:t>
      </w:r>
      <w:r w:rsidRPr="00422961">
        <w:rPr>
          <w:color w:val="0D0D0D"/>
        </w:rPr>
        <w:t xml:space="preserve">. </w:t>
      </w:r>
      <w:r w:rsidRPr="00422961">
        <w:rPr>
          <w:rFonts w:eastAsia="Calibri" w:cs="Tahoma"/>
        </w:rPr>
        <w:t>Así, las cosas, una vez admitido y notificado el Recurso de Revisión, el Sujeto Obligado a través de</w:t>
      </w:r>
      <w:r w:rsidR="002C0A45" w:rsidRPr="00422961">
        <w:rPr>
          <w:rFonts w:eastAsia="Calibri" w:cs="Tahoma"/>
        </w:rPr>
        <w:t xml:space="preserve"> la Directora de Desarrollo Económico</w:t>
      </w:r>
      <w:r w:rsidR="002B6D07" w:rsidRPr="00422961">
        <w:rPr>
          <w:rFonts w:eastAsia="Calibri" w:cs="Tahoma"/>
        </w:rPr>
        <w:t xml:space="preserve">, </w:t>
      </w:r>
      <w:r w:rsidR="002B6D07" w:rsidRPr="00422961">
        <w:rPr>
          <w:color w:val="000000"/>
        </w:rPr>
        <w:t>Turístico y Artesanal, precisó que después de una búsqueda exhaustiva y razonable en sus archivos no encontró permisos de bazares en el periodo del primero de enero al treinta y uno de agosto de dos mil veinticuatro, ya que no fueron generados.</w:t>
      </w:r>
    </w:p>
    <w:p w14:paraId="15F0ED82" w14:textId="4A73B75E" w:rsidR="000F562C" w:rsidRPr="00422961" w:rsidRDefault="000F562C" w:rsidP="00D2273C">
      <w:pPr>
        <w:spacing w:after="0" w:line="360" w:lineRule="auto"/>
        <w:rPr>
          <w:color w:val="000000"/>
        </w:rPr>
      </w:pPr>
    </w:p>
    <w:p w14:paraId="2CD56355" w14:textId="3C94494B" w:rsidR="00A232FC" w:rsidRPr="00422961" w:rsidRDefault="00A232FC" w:rsidP="00A232FC">
      <w:pPr>
        <w:spacing w:after="0" w:line="360" w:lineRule="auto"/>
        <w:rPr>
          <w:rFonts w:eastAsia="Times New Roman" w:cs="Times New Roman"/>
          <w:lang w:eastAsia="es-ES"/>
        </w:rPr>
      </w:pPr>
      <w:r w:rsidRPr="00422961">
        <w:rPr>
          <w:rFonts w:eastAsia="Times New Roman" w:cs="Times New Roman"/>
          <w:lang w:eastAsia="es-ES"/>
        </w:rPr>
        <w:t>Por otra parte, a través de la solicitud de información, el Particular realizó las siguientes manifestaciones: “</w:t>
      </w:r>
      <w:r w:rsidR="002B6D07" w:rsidRPr="00422961">
        <w:rPr>
          <w:i/>
          <w:iCs/>
          <w:color w:val="000000"/>
        </w:rPr>
        <w:t xml:space="preserve">QUIERO SABER QUE BENEFICIOS, ATRIBUCIONES, PLEITECIAS, PRERROGATIVAS,O SIMILARES TIENE EXPO AMARANTO BAZAR,, dicho de propia voz de la secretaria del ayuntamiento y gobernación la agenda para arrendamiento de plazas </w:t>
      </w:r>
      <w:proofErr w:type="spellStart"/>
      <w:r w:rsidR="002B6D07" w:rsidRPr="00422961">
        <w:rPr>
          <w:i/>
          <w:iCs/>
          <w:color w:val="000000"/>
        </w:rPr>
        <w:t>publicas</w:t>
      </w:r>
      <w:proofErr w:type="spellEnd"/>
      <w:r w:rsidR="002B6D07" w:rsidRPr="00422961">
        <w:rPr>
          <w:i/>
          <w:iCs/>
          <w:color w:val="000000"/>
        </w:rPr>
        <w:t xml:space="preserve">, esta sobre saturada, y hay </w:t>
      </w:r>
      <w:proofErr w:type="spellStart"/>
      <w:r w:rsidR="002B6D07" w:rsidRPr="00422961">
        <w:rPr>
          <w:i/>
          <w:iCs/>
          <w:color w:val="000000"/>
        </w:rPr>
        <w:t>mas</w:t>
      </w:r>
      <w:proofErr w:type="spellEnd"/>
      <w:r w:rsidR="002B6D07" w:rsidRPr="00422961">
        <w:rPr>
          <w:i/>
          <w:iCs/>
          <w:color w:val="000000"/>
        </w:rPr>
        <w:t xml:space="preserve"> de tres mil solicitudes previas,¿ porque a ella le han autorizado y siguen autorizando </w:t>
      </w:r>
      <w:proofErr w:type="spellStart"/>
      <w:r w:rsidR="002B6D07" w:rsidRPr="00422961">
        <w:rPr>
          <w:i/>
          <w:iCs/>
          <w:color w:val="000000"/>
        </w:rPr>
        <w:t>mas</w:t>
      </w:r>
      <w:proofErr w:type="spellEnd"/>
      <w:r w:rsidR="002B6D07" w:rsidRPr="00422961">
        <w:rPr>
          <w:i/>
          <w:iCs/>
          <w:color w:val="000000"/>
        </w:rPr>
        <w:t xml:space="preserve"> fechas de bazares como lo anexo en las siguientes fotos? si hay tanta solicitud y </w:t>
      </w:r>
      <w:proofErr w:type="spellStart"/>
      <w:r w:rsidR="002B6D07" w:rsidRPr="00422961">
        <w:rPr>
          <w:i/>
          <w:iCs/>
          <w:color w:val="000000"/>
        </w:rPr>
        <w:t>mas</w:t>
      </w:r>
      <w:proofErr w:type="spellEnd"/>
      <w:r w:rsidR="002B6D07" w:rsidRPr="00422961">
        <w:rPr>
          <w:i/>
          <w:iCs/>
          <w:color w:val="000000"/>
        </w:rPr>
        <w:t xml:space="preserve"> causas, por lo tanto considero que existe favoritismo o hasta Nepotismo, por lo que se muestre la </w:t>
      </w:r>
      <w:proofErr w:type="spellStart"/>
      <w:r w:rsidR="002B6D07" w:rsidRPr="00422961">
        <w:rPr>
          <w:i/>
          <w:iCs/>
          <w:color w:val="000000"/>
        </w:rPr>
        <w:t>jusificacion</w:t>
      </w:r>
      <w:proofErr w:type="spellEnd"/>
      <w:r w:rsidR="002B6D07" w:rsidRPr="00422961">
        <w:rPr>
          <w:i/>
          <w:iCs/>
          <w:color w:val="000000"/>
        </w:rPr>
        <w:t>…</w:t>
      </w:r>
      <w:r w:rsidRPr="00422961">
        <w:rPr>
          <w:color w:val="000000"/>
        </w:rPr>
        <w:t>”</w:t>
      </w:r>
      <w:r w:rsidRPr="00422961">
        <w:rPr>
          <w:rFonts w:eastAsia="Times New Roman" w:cs="Times New Roman"/>
          <w:lang w:eastAsia="es-ES"/>
        </w:rPr>
        <w:t xml:space="preserve">; las cuales únicamente contienen afirmaciones sobre apreciaciones subjetivas carentes de sustento, al no presentar, ni aportar elementos que apoyen la localización de la información requerida, ya que refieren  pronunciamientos del actuar </w:t>
      </w:r>
      <w:r w:rsidR="00081C05" w:rsidRPr="00422961">
        <w:rPr>
          <w:rFonts w:eastAsia="Times New Roman" w:cs="Times New Roman"/>
          <w:lang w:eastAsia="es-ES"/>
        </w:rPr>
        <w:t xml:space="preserve">de Particulares y </w:t>
      </w:r>
      <w:r w:rsidRPr="00422961">
        <w:rPr>
          <w:rFonts w:eastAsia="Times New Roman" w:cs="Times New Roman"/>
          <w:lang w:eastAsia="es-ES"/>
        </w:rPr>
        <w:t xml:space="preserve">del Sujeto Obligado, mismas que no corresponden a una solicitud de acceso y por lo tanto, las </w:t>
      </w:r>
      <w:r w:rsidRPr="00422961">
        <w:rPr>
          <w:rFonts w:eastAsia="Times New Roman" w:cs="Times New Roman"/>
          <w:lang w:eastAsia="es-ES"/>
        </w:rPr>
        <w:lastRenderedPageBreak/>
        <w:t>mismas devienen de IMPROCEDENTES; por lo que deben desestimarse para todos los efectos a que haya lugar.</w:t>
      </w:r>
    </w:p>
    <w:p w14:paraId="082DC26D" w14:textId="77777777" w:rsidR="00081C05" w:rsidRPr="00422961" w:rsidRDefault="00081C05" w:rsidP="00D2273C">
      <w:pPr>
        <w:tabs>
          <w:tab w:val="left" w:pos="4962"/>
        </w:tabs>
        <w:spacing w:after="0" w:line="360" w:lineRule="auto"/>
      </w:pPr>
    </w:p>
    <w:p w14:paraId="0463098B" w14:textId="1FCCA049" w:rsidR="005C690F" w:rsidRPr="00422961" w:rsidRDefault="007D6307" w:rsidP="00D2273C">
      <w:pPr>
        <w:tabs>
          <w:tab w:val="left" w:pos="4962"/>
        </w:tabs>
        <w:spacing w:after="0" w:line="360" w:lineRule="auto"/>
      </w:pPr>
      <w:r w:rsidRPr="00422961">
        <w:t xml:space="preserve">Lo anterior, se desprende de las documentales que obran en el expediente de referencia, materia de la presente resolución, consistente en: la solicitud de acceso a la información, el escrito </w:t>
      </w:r>
      <w:proofErr w:type="spellStart"/>
      <w:r w:rsidRPr="00422961">
        <w:t>recursal</w:t>
      </w:r>
      <w:proofErr w:type="spellEnd"/>
      <w:r w:rsidRPr="00422961">
        <w:t xml:space="preserve">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6671CD45" w14:textId="77777777" w:rsidR="005C690F" w:rsidRPr="00422961" w:rsidRDefault="005C690F" w:rsidP="00D2273C">
      <w:pPr>
        <w:spacing w:after="0" w:line="360" w:lineRule="auto"/>
        <w:rPr>
          <w:b/>
          <w:color w:val="000000"/>
        </w:rPr>
      </w:pPr>
    </w:p>
    <w:p w14:paraId="36DCBD9D" w14:textId="5B125308" w:rsidR="005C690F" w:rsidRPr="00422961" w:rsidRDefault="007D6307" w:rsidP="00D2273C">
      <w:pPr>
        <w:spacing w:after="0" w:line="360" w:lineRule="auto"/>
        <w:rPr>
          <w:b/>
          <w:color w:val="000000"/>
        </w:rPr>
      </w:pPr>
      <w:r w:rsidRPr="00422961">
        <w:rPr>
          <w:b/>
          <w:color w:val="000000"/>
        </w:rPr>
        <w:t xml:space="preserve">CUARTO. Marco normativo aplicable en materia de transparencia y </w:t>
      </w:r>
      <w:r w:rsidR="00CD6238" w:rsidRPr="00422961">
        <w:rPr>
          <w:b/>
          <w:color w:val="000000"/>
        </w:rPr>
        <w:t>acceso a la información pública</w:t>
      </w:r>
    </w:p>
    <w:p w14:paraId="4D62F8F1" w14:textId="77777777" w:rsidR="005C690F" w:rsidRPr="00422961" w:rsidRDefault="005C690F" w:rsidP="00D2273C">
      <w:pPr>
        <w:spacing w:after="0" w:line="360" w:lineRule="auto"/>
        <w:rPr>
          <w:color w:val="000000"/>
        </w:rPr>
      </w:pPr>
    </w:p>
    <w:p w14:paraId="68F50546" w14:textId="77777777" w:rsidR="005C690F" w:rsidRPr="00422961" w:rsidRDefault="007D6307" w:rsidP="00D2273C">
      <w:pPr>
        <w:spacing w:after="0" w:line="360" w:lineRule="auto"/>
        <w:rPr>
          <w:color w:val="000000"/>
        </w:rPr>
      </w:pPr>
      <w:r w:rsidRPr="00422961">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AD83276" w14:textId="77777777" w:rsidR="005C690F" w:rsidRPr="00422961" w:rsidRDefault="005C690F" w:rsidP="00D2273C">
      <w:pPr>
        <w:spacing w:after="0" w:line="360" w:lineRule="auto"/>
        <w:rPr>
          <w:color w:val="000000"/>
        </w:rPr>
      </w:pPr>
    </w:p>
    <w:p w14:paraId="73149F26" w14:textId="77777777" w:rsidR="005C690F" w:rsidRPr="00422961" w:rsidRDefault="007D6307" w:rsidP="00D2273C">
      <w:pPr>
        <w:spacing w:after="0" w:line="360" w:lineRule="auto"/>
        <w:rPr>
          <w:color w:val="000000"/>
        </w:rPr>
      </w:pPr>
      <w:r w:rsidRPr="00422961">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779F41DB" w14:textId="77777777" w:rsidR="00570AF3" w:rsidRPr="00422961" w:rsidRDefault="00570AF3" w:rsidP="00D2273C">
      <w:pPr>
        <w:spacing w:after="0" w:line="360" w:lineRule="auto"/>
        <w:rPr>
          <w:color w:val="000000"/>
        </w:rPr>
      </w:pPr>
    </w:p>
    <w:p w14:paraId="69458899" w14:textId="77777777" w:rsidR="005C690F" w:rsidRPr="00422961" w:rsidRDefault="007D6307" w:rsidP="00D2273C">
      <w:pPr>
        <w:spacing w:after="0" w:line="360" w:lineRule="auto"/>
        <w:rPr>
          <w:color w:val="000000"/>
        </w:rPr>
      </w:pPr>
      <w:r w:rsidRPr="00422961">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B963C29" w14:textId="77777777" w:rsidR="005C690F" w:rsidRPr="00422961" w:rsidRDefault="005C690F" w:rsidP="00D2273C">
      <w:pPr>
        <w:spacing w:after="0" w:line="360" w:lineRule="auto"/>
        <w:rPr>
          <w:color w:val="000000"/>
        </w:rPr>
      </w:pPr>
    </w:p>
    <w:p w14:paraId="3D8EBDEC" w14:textId="77777777" w:rsidR="005C690F" w:rsidRPr="00422961" w:rsidRDefault="007D6307" w:rsidP="00D2273C">
      <w:pPr>
        <w:spacing w:after="0" w:line="360" w:lineRule="auto"/>
        <w:rPr>
          <w:color w:val="000000"/>
        </w:rPr>
      </w:pPr>
      <w:r w:rsidRPr="00422961">
        <w:rPr>
          <w:color w:val="000000"/>
        </w:rPr>
        <w:t>Por su parte, la Ley de Transparencia y Acceso a la Información Pública del Estado de México y Municipios (Reglamentaria del artículo 5° de la Constitución Local), establece lo siguiente:</w:t>
      </w:r>
    </w:p>
    <w:p w14:paraId="2818D616" w14:textId="77777777" w:rsidR="005C690F" w:rsidRPr="00422961" w:rsidRDefault="005C690F" w:rsidP="00D2273C">
      <w:pPr>
        <w:spacing w:after="0" w:line="360" w:lineRule="auto"/>
        <w:rPr>
          <w:color w:val="000000"/>
        </w:rPr>
      </w:pPr>
    </w:p>
    <w:p w14:paraId="5BD9CB2E" w14:textId="77777777" w:rsidR="005C690F" w:rsidRPr="00422961" w:rsidRDefault="007D6307" w:rsidP="00D2273C">
      <w:pPr>
        <w:spacing w:after="0" w:line="360" w:lineRule="auto"/>
        <w:rPr>
          <w:color w:val="000000"/>
        </w:rPr>
      </w:pPr>
      <w:r w:rsidRPr="00422961">
        <w:rPr>
          <w:color w:val="000000"/>
        </w:rPr>
        <w:t>El artículo 12, que, quienes generen, recopilen, administren, manejen, procesen, archiven o conserven información pública serán responsables de la misma.</w:t>
      </w:r>
    </w:p>
    <w:p w14:paraId="4D547E99" w14:textId="77777777" w:rsidR="005C690F" w:rsidRPr="00422961" w:rsidRDefault="005C690F" w:rsidP="00D2273C">
      <w:pPr>
        <w:spacing w:after="0" w:line="360" w:lineRule="auto"/>
        <w:rPr>
          <w:color w:val="000000"/>
        </w:rPr>
      </w:pPr>
    </w:p>
    <w:p w14:paraId="3D899A16" w14:textId="77777777" w:rsidR="005C690F" w:rsidRPr="00422961" w:rsidRDefault="007D6307" w:rsidP="00D2273C">
      <w:pPr>
        <w:widowControl w:val="0"/>
        <w:spacing w:after="0" w:line="360" w:lineRule="auto"/>
        <w:rPr>
          <w:color w:val="000000"/>
        </w:rPr>
      </w:pPr>
      <w:r w:rsidRPr="00422961">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62E9040C" w14:textId="77777777" w:rsidR="005C690F" w:rsidRPr="00422961" w:rsidRDefault="005C690F" w:rsidP="00D2273C">
      <w:pPr>
        <w:spacing w:after="0" w:line="360" w:lineRule="auto"/>
        <w:rPr>
          <w:color w:val="000000"/>
        </w:rPr>
      </w:pPr>
    </w:p>
    <w:p w14:paraId="632E9862" w14:textId="0D98DAFF" w:rsidR="00EF592F" w:rsidRPr="00422961" w:rsidRDefault="007D6307" w:rsidP="00D2273C">
      <w:pPr>
        <w:spacing w:after="0" w:line="360" w:lineRule="auto"/>
        <w:rPr>
          <w:color w:val="000000"/>
        </w:rPr>
      </w:pPr>
      <w:r w:rsidRPr="00422961">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4FBB4A8" w14:textId="77777777" w:rsidR="00936CFC" w:rsidRPr="00422961" w:rsidRDefault="00936CFC" w:rsidP="00D2273C">
      <w:pPr>
        <w:spacing w:after="0" w:line="360" w:lineRule="auto"/>
        <w:rPr>
          <w:color w:val="000000"/>
        </w:rPr>
      </w:pPr>
    </w:p>
    <w:p w14:paraId="3AF871E5" w14:textId="7E874C16" w:rsidR="005C690F" w:rsidRPr="00422961" w:rsidRDefault="00CD6238" w:rsidP="00D2273C">
      <w:pPr>
        <w:spacing w:after="0" w:line="360" w:lineRule="auto"/>
        <w:rPr>
          <w:b/>
          <w:color w:val="000000"/>
        </w:rPr>
      </w:pPr>
      <w:r w:rsidRPr="00422961">
        <w:rPr>
          <w:b/>
          <w:color w:val="000000"/>
        </w:rPr>
        <w:t>Quinto. Estudio de Fondo</w:t>
      </w:r>
    </w:p>
    <w:p w14:paraId="3921609C" w14:textId="77777777" w:rsidR="00EF592F" w:rsidRPr="00422961" w:rsidRDefault="00EF592F" w:rsidP="00D2273C">
      <w:pPr>
        <w:spacing w:after="0" w:line="360" w:lineRule="auto"/>
        <w:rPr>
          <w:b/>
          <w:color w:val="000000"/>
        </w:rPr>
      </w:pPr>
    </w:p>
    <w:p w14:paraId="477846E6" w14:textId="4A71DD75" w:rsidR="009F6C22" w:rsidRPr="00422961" w:rsidRDefault="007D6307" w:rsidP="00D2273C">
      <w:pPr>
        <w:widowControl w:val="0"/>
        <w:spacing w:after="0" w:line="360" w:lineRule="auto"/>
        <w:rPr>
          <w:color w:val="000000"/>
        </w:rPr>
      </w:pPr>
      <w:r w:rsidRPr="00422961">
        <w:rPr>
          <w:color w:val="000000"/>
        </w:rPr>
        <w:t xml:space="preserve">Expuestas las posturas de las partes, se procede al análisis del agravio hecho valer por </w:t>
      </w:r>
      <w:r w:rsidR="00CB1EAE" w:rsidRPr="00422961">
        <w:rPr>
          <w:color w:val="000000"/>
        </w:rPr>
        <w:t>la persona</w:t>
      </w:r>
      <w:r w:rsidRPr="00422961">
        <w:rPr>
          <w:color w:val="000000"/>
        </w:rPr>
        <w:t xml:space="preserve"> Recurrente, concerniente </w:t>
      </w:r>
      <w:r w:rsidR="00BC61E6" w:rsidRPr="00422961">
        <w:t>a</w:t>
      </w:r>
      <w:r w:rsidR="009E112F" w:rsidRPr="00422961">
        <w:t xml:space="preserve"> la entrega de información</w:t>
      </w:r>
      <w:r w:rsidR="00CB1EAE" w:rsidRPr="00422961">
        <w:t xml:space="preserve"> que no corresponde con lo solicitado</w:t>
      </w:r>
      <w:r w:rsidRPr="00422961">
        <w:rPr>
          <w:color w:val="000000"/>
        </w:rPr>
        <w:t>, para lo cual</w:t>
      </w:r>
      <w:r w:rsidR="00BC61E6" w:rsidRPr="00422961">
        <w:rPr>
          <w:color w:val="000000"/>
        </w:rPr>
        <w:t>,</w:t>
      </w:r>
      <w:r w:rsidRPr="00422961">
        <w:rPr>
          <w:color w:val="000000"/>
        </w:rPr>
        <w:t xml:space="preserve"> es necesario contextualizar la solicitud de información.</w:t>
      </w:r>
      <w:r w:rsidR="00EF592F" w:rsidRPr="00422961">
        <w:rPr>
          <w:color w:val="000000"/>
        </w:rPr>
        <w:t xml:space="preserve"> </w:t>
      </w:r>
    </w:p>
    <w:p w14:paraId="60C5E38A" w14:textId="77777777" w:rsidR="00CB1EAE" w:rsidRPr="00422961" w:rsidRDefault="00CB1EAE" w:rsidP="00D2273C">
      <w:pPr>
        <w:widowControl w:val="0"/>
        <w:spacing w:after="0" w:line="360" w:lineRule="auto"/>
        <w:rPr>
          <w:color w:val="000000"/>
        </w:rPr>
      </w:pPr>
    </w:p>
    <w:p w14:paraId="2BE21F2F" w14:textId="77777777" w:rsidR="00CB1EAE" w:rsidRPr="00422961" w:rsidRDefault="00CB1EAE" w:rsidP="00CB1EAE">
      <w:pPr>
        <w:spacing w:after="0" w:line="360" w:lineRule="auto"/>
        <w:rPr>
          <w:rFonts w:eastAsia="Times New Roman" w:cs="Tahoma"/>
          <w:iCs/>
          <w:lang w:eastAsia="es-ES"/>
        </w:rPr>
      </w:pPr>
      <w:r w:rsidRPr="00422961">
        <w:rPr>
          <w:rFonts w:eastAsia="Times New Roman" w:cs="Tahoma"/>
          <w:iCs/>
          <w:lang w:eastAsia="es-ES"/>
        </w:rPr>
        <w:t xml:space="preserve">Respecto al tema, Eduardo López Sosa, Natalia López Sosa. (2014). “Derecho Administrativo Mexicano”. (p. 262), establece que la autorización, la licencia, o el permiso es el acto administrativo por medio de los cuales se otorga a un particular, por un órgano administrativo, la facultad o el derecho para realizar una actividad o para hacer alguna cosa. </w:t>
      </w:r>
    </w:p>
    <w:p w14:paraId="1CD3260B" w14:textId="77777777" w:rsidR="00CB1EAE" w:rsidRPr="00422961" w:rsidRDefault="00CB1EAE" w:rsidP="00CB1EAE">
      <w:pPr>
        <w:spacing w:after="0" w:line="360" w:lineRule="auto"/>
        <w:rPr>
          <w:rFonts w:eastAsia="Calibri" w:cs="Times New Roman"/>
          <w:color w:val="000000"/>
        </w:rPr>
      </w:pPr>
    </w:p>
    <w:p w14:paraId="6B6730E9" w14:textId="66EEB5D3" w:rsidR="00CB1EAE" w:rsidRPr="00422961" w:rsidRDefault="00CB1EAE" w:rsidP="00CB1EAE">
      <w:pPr>
        <w:spacing w:after="0" w:line="360" w:lineRule="auto"/>
        <w:rPr>
          <w:rFonts w:eastAsia="Calibri" w:cs="Tahoma"/>
          <w:bCs/>
        </w:rPr>
      </w:pPr>
      <w:r w:rsidRPr="00422961">
        <w:rPr>
          <w:rFonts w:eastAsia="Times New Roman" w:cs="Tahoma"/>
          <w:lang w:eastAsia="es-ES"/>
        </w:rPr>
        <w:t xml:space="preserve">Sobre dichos documentos, </w:t>
      </w:r>
      <w:r w:rsidRPr="00422961">
        <w:rPr>
          <w:rFonts w:eastAsia="Calibri" w:cs="Tahoma"/>
          <w:bCs/>
        </w:rPr>
        <w:t xml:space="preserve">el artículo 31, fracciones, XXIV </w:t>
      </w:r>
      <w:proofErr w:type="spellStart"/>
      <w:r w:rsidRPr="00422961">
        <w:rPr>
          <w:rFonts w:eastAsia="Calibri" w:cs="Tahoma"/>
          <w:bCs/>
        </w:rPr>
        <w:t>Quáter</w:t>
      </w:r>
      <w:proofErr w:type="spellEnd"/>
      <w:r w:rsidRPr="00422961">
        <w:rPr>
          <w:rFonts w:eastAsia="Calibri" w:cs="Tahoma"/>
          <w:bCs/>
        </w:rPr>
        <w:t xml:space="preserve"> y XLIV, de la Ley Orgánica Municipal el Estado de México, establece que los Ayuntamientos, son los encargados de otorgar licencias</w:t>
      </w:r>
      <w:r w:rsidR="00245063" w:rsidRPr="00422961">
        <w:rPr>
          <w:rFonts w:eastAsia="Calibri" w:cs="Tahoma"/>
          <w:bCs/>
        </w:rPr>
        <w:t xml:space="preserve"> o permisos</w:t>
      </w:r>
      <w:r w:rsidRPr="00422961">
        <w:rPr>
          <w:rFonts w:eastAsia="Calibri" w:cs="Tahoma"/>
          <w:bCs/>
        </w:rPr>
        <w:t xml:space="preserve"> para el funcionamiento de unidades económicas</w:t>
      </w:r>
      <w:r w:rsidR="00245063" w:rsidRPr="00422961">
        <w:rPr>
          <w:rFonts w:eastAsia="Calibri" w:cs="Tahoma"/>
          <w:bCs/>
        </w:rPr>
        <w:t xml:space="preserve"> o establecimientos.</w:t>
      </w:r>
    </w:p>
    <w:p w14:paraId="70CC4E55" w14:textId="77777777" w:rsidR="00CB1EAE" w:rsidRPr="00422961" w:rsidRDefault="00CB1EAE" w:rsidP="00CB1EAE">
      <w:pPr>
        <w:spacing w:after="0" w:line="360" w:lineRule="auto"/>
        <w:rPr>
          <w:rFonts w:eastAsia="Calibri" w:cs="Tahoma"/>
          <w:bCs/>
        </w:rPr>
      </w:pPr>
    </w:p>
    <w:p w14:paraId="68E5FE19" w14:textId="67A6B53F" w:rsidR="00CB1EAE" w:rsidRPr="00422961" w:rsidRDefault="00CB1EAE" w:rsidP="00CB1EAE">
      <w:pPr>
        <w:spacing w:after="0" w:line="360" w:lineRule="auto"/>
        <w:rPr>
          <w:rFonts w:eastAsia="Calibri" w:cs="Tahoma"/>
          <w:bCs/>
        </w:rPr>
      </w:pPr>
      <w:r w:rsidRPr="00422961">
        <w:rPr>
          <w:rFonts w:eastAsia="Calibri" w:cs="Tahoma"/>
          <w:bCs/>
        </w:rPr>
        <w:t>Para lograr lo anterior, los Ayuntamientos contarán con un</w:t>
      </w:r>
      <w:r w:rsidR="00245063" w:rsidRPr="00422961">
        <w:rPr>
          <w:rFonts w:eastAsia="Calibri" w:cs="Tahoma"/>
          <w:bCs/>
        </w:rPr>
        <w:t xml:space="preserve">a Dirección </w:t>
      </w:r>
      <w:r w:rsidRPr="00422961">
        <w:rPr>
          <w:rFonts w:eastAsia="Calibri" w:cs="Tahoma"/>
          <w:bCs/>
        </w:rPr>
        <w:t xml:space="preserve">de Desarrollo Económico o equivalente que impulsa la simplificación de trámites y reducción de plazos para el otorgamiento de permisos, </w:t>
      </w:r>
      <w:r w:rsidRPr="00422961">
        <w:rPr>
          <w:rFonts w:eastAsia="Calibri" w:cs="Tahoma"/>
        </w:rPr>
        <w:t>licencias y a</w:t>
      </w:r>
      <w:r w:rsidRPr="00422961">
        <w:rPr>
          <w:rFonts w:eastAsia="Calibri" w:cs="Tahoma"/>
          <w:bCs/>
        </w:rPr>
        <w:t xml:space="preserve">utorizaciones del orden municipal, así como de operar y actualizar el Registro Municipal de Unidades Económicas de los permisos o licencias de funcionamiento otorgadas, de conformidad con el artículo 96 </w:t>
      </w:r>
      <w:proofErr w:type="spellStart"/>
      <w:r w:rsidRPr="00422961">
        <w:rPr>
          <w:rFonts w:eastAsia="Calibri" w:cs="Tahoma"/>
          <w:bCs/>
        </w:rPr>
        <w:t>Quáter</w:t>
      </w:r>
      <w:proofErr w:type="spellEnd"/>
      <w:r w:rsidRPr="00422961">
        <w:rPr>
          <w:rFonts w:eastAsia="Calibri" w:cs="Tahoma"/>
          <w:bCs/>
        </w:rPr>
        <w:t xml:space="preserve"> de la Ley señalada en el párrafo anterior.</w:t>
      </w:r>
    </w:p>
    <w:p w14:paraId="5A520296" w14:textId="77777777" w:rsidR="00CB1EAE" w:rsidRPr="00422961" w:rsidRDefault="00CB1EAE" w:rsidP="00CB1EAE">
      <w:pPr>
        <w:spacing w:after="0" w:line="360" w:lineRule="auto"/>
        <w:rPr>
          <w:rFonts w:eastAsia="Calibri" w:cs="Tahoma"/>
          <w:bCs/>
        </w:rPr>
      </w:pPr>
    </w:p>
    <w:p w14:paraId="146CB504" w14:textId="1FFFEB0F" w:rsidR="00CB1EAE" w:rsidRPr="00422961" w:rsidRDefault="00CB1EAE" w:rsidP="00CB1EAE">
      <w:pPr>
        <w:spacing w:after="0" w:line="360" w:lineRule="auto"/>
        <w:rPr>
          <w:rFonts w:eastAsia="Calibri" w:cs="Tahoma"/>
          <w:bCs/>
        </w:rPr>
      </w:pPr>
      <w:r w:rsidRPr="00422961">
        <w:rPr>
          <w:rFonts w:eastAsia="Calibri" w:cs="Tahoma"/>
          <w:bCs/>
        </w:rPr>
        <w:t>En ese sentido, en el artículo 2, fracci</w:t>
      </w:r>
      <w:r w:rsidR="00245063" w:rsidRPr="00422961">
        <w:rPr>
          <w:rFonts w:eastAsia="Calibri" w:cs="Tahoma"/>
          <w:bCs/>
        </w:rPr>
        <w:t xml:space="preserve">ones XIX y XVI, 26, 27, 28 y 29, </w:t>
      </w:r>
      <w:r w:rsidRPr="00422961">
        <w:rPr>
          <w:rFonts w:eastAsia="Calibri" w:cs="Tahoma"/>
          <w:bCs/>
        </w:rPr>
        <w:t xml:space="preserve">de la Ley de Competitividad y Ordenamiento Comercial del Estado de México, establece que </w:t>
      </w:r>
      <w:r w:rsidR="00245063" w:rsidRPr="00422961">
        <w:rPr>
          <w:rFonts w:eastAsia="Calibri" w:cs="Tahoma"/>
          <w:bCs/>
        </w:rPr>
        <w:t xml:space="preserve">el permiso </w:t>
      </w:r>
      <w:r w:rsidR="001F7A53" w:rsidRPr="00422961">
        <w:rPr>
          <w:rFonts w:eastAsia="Calibri" w:cs="Tahoma"/>
          <w:bCs/>
        </w:rPr>
        <w:t xml:space="preserve">de funcionamiento </w:t>
      </w:r>
      <w:r w:rsidR="00245063" w:rsidRPr="00422961">
        <w:rPr>
          <w:rFonts w:eastAsia="Calibri" w:cs="Tahoma"/>
          <w:bCs/>
        </w:rPr>
        <w:t xml:space="preserve">es </w:t>
      </w:r>
      <w:r w:rsidR="001F7A53" w:rsidRPr="00422961">
        <w:rPr>
          <w:rFonts w:eastAsia="Calibri" w:cs="Tahoma"/>
          <w:bCs/>
        </w:rPr>
        <w:t>el acto administrativo por el cual la autoridad, una vez cumplidos los requisitos establecidos en las normas jurídicas aplicables, autoriza a una persona física o jurídica colectiva para que inicie sus actividades económicas, por un plazo no mayor a noventa días naturales.</w:t>
      </w:r>
    </w:p>
    <w:p w14:paraId="5AD17F76" w14:textId="77777777" w:rsidR="00CB1EAE" w:rsidRPr="00422961" w:rsidRDefault="00CB1EAE" w:rsidP="00CB1EAE">
      <w:pPr>
        <w:spacing w:after="0" w:line="360" w:lineRule="auto"/>
        <w:rPr>
          <w:rFonts w:eastAsia="Calibri" w:cs="Tahoma"/>
          <w:bCs/>
        </w:rPr>
      </w:pPr>
    </w:p>
    <w:p w14:paraId="3213C2A3" w14:textId="394C4234" w:rsidR="00CB1EAE" w:rsidRPr="00422961" w:rsidRDefault="00CB1EAE" w:rsidP="00CB1EAE">
      <w:pPr>
        <w:widowControl w:val="0"/>
        <w:spacing w:after="0" w:line="360" w:lineRule="auto"/>
        <w:rPr>
          <w:rFonts w:eastAsia="Calibri" w:cs="Tahoma"/>
          <w:bCs/>
        </w:rPr>
      </w:pPr>
      <w:r w:rsidRPr="00422961">
        <w:rPr>
          <w:rFonts w:eastAsia="Calibri" w:cs="Tahoma"/>
          <w:bCs/>
        </w:rPr>
        <w:t xml:space="preserve">En ese contexto, la operación de la </w:t>
      </w:r>
      <w:r w:rsidRPr="00422961">
        <w:rPr>
          <w:rFonts w:eastAsia="Calibri" w:cs="Tahoma"/>
          <w:b/>
          <w:bCs/>
        </w:rPr>
        <w:t xml:space="preserve">Ventanilla Única </w:t>
      </w:r>
      <w:r w:rsidRPr="00422961">
        <w:rPr>
          <w:rFonts w:eastAsia="Calibri" w:cs="Tahoma"/>
          <w:bCs/>
        </w:rPr>
        <w:t xml:space="preserve">y la expedición de las </w:t>
      </w:r>
      <w:r w:rsidRPr="00422961">
        <w:rPr>
          <w:rFonts w:eastAsia="Calibri" w:cs="Tahoma"/>
          <w:b/>
          <w:bCs/>
        </w:rPr>
        <w:t>licencias</w:t>
      </w:r>
      <w:r w:rsidR="001F7A53" w:rsidRPr="00422961">
        <w:rPr>
          <w:rFonts w:eastAsia="Calibri" w:cs="Tahoma"/>
          <w:b/>
          <w:bCs/>
        </w:rPr>
        <w:t xml:space="preserve"> y permisos</w:t>
      </w:r>
      <w:r w:rsidRPr="00422961">
        <w:rPr>
          <w:rFonts w:eastAsia="Calibri" w:cs="Tahoma"/>
          <w:b/>
          <w:bCs/>
        </w:rPr>
        <w:t xml:space="preserve"> de funcionamient</w:t>
      </w:r>
      <w:r w:rsidR="001F7A53" w:rsidRPr="00422961">
        <w:rPr>
          <w:rFonts w:eastAsia="Calibri" w:cs="Tahoma"/>
          <w:b/>
          <w:bCs/>
        </w:rPr>
        <w:t>o</w:t>
      </w:r>
      <w:r w:rsidRPr="00422961">
        <w:rPr>
          <w:rFonts w:eastAsia="Calibri" w:cs="Tahoma"/>
          <w:bCs/>
        </w:rPr>
        <w:t>, le corresponde a los Ayuntamientos, al coordinar la gestión de trámites para la recepción, integración y verificación de los expedientes que presentan los particulares; por tales circunstancias, cada Municipio deberá apegarse a las disposiciones legales que emita, ello conforme a los artículos 16 y 22, fracción I, del Reglamento de la Ley de Competitividad y Ordenamiento Comercial del Estado de México.</w:t>
      </w:r>
    </w:p>
    <w:p w14:paraId="04DF21D8" w14:textId="77777777" w:rsidR="00472EBD" w:rsidRPr="00422961" w:rsidRDefault="00472EBD" w:rsidP="00CB1EAE">
      <w:pPr>
        <w:widowControl w:val="0"/>
        <w:spacing w:after="0" w:line="360" w:lineRule="auto"/>
        <w:rPr>
          <w:rFonts w:eastAsia="Calibri" w:cs="Tahoma"/>
          <w:bCs/>
        </w:rPr>
      </w:pPr>
    </w:p>
    <w:p w14:paraId="299C913E" w14:textId="3D320A39" w:rsidR="00472EBD" w:rsidRPr="00422961" w:rsidRDefault="00472EBD" w:rsidP="00472EBD">
      <w:pPr>
        <w:widowControl w:val="0"/>
        <w:spacing w:after="0" w:line="360" w:lineRule="auto"/>
        <w:rPr>
          <w:rFonts w:eastAsia="Calibri" w:cs="Tahoma"/>
          <w:bCs/>
        </w:rPr>
      </w:pPr>
      <w:r w:rsidRPr="00422961">
        <w:rPr>
          <w:rFonts w:eastAsia="Calibri" w:cs="Tahoma"/>
          <w:bCs/>
        </w:rPr>
        <w:t xml:space="preserve">En ese sentido, resulta necesario traer a estudio los artículos 3.126, 3.127, </w:t>
      </w:r>
      <w:r w:rsidR="00AD58F0" w:rsidRPr="00422961">
        <w:rPr>
          <w:rFonts w:eastAsia="Calibri" w:cs="Tahoma"/>
          <w:bCs/>
        </w:rPr>
        <w:t xml:space="preserve">3.185 y 3.186, 3.187, 3.192 y 3.193, </w:t>
      </w:r>
      <w:r w:rsidRPr="00422961">
        <w:rPr>
          <w:rFonts w:eastAsia="Calibri" w:cs="Tahoma"/>
          <w:bCs/>
        </w:rPr>
        <w:t>del Código de Reglamentación Municipal de Metepec, dos mil veinticuatro, los cuales establecen que, para el desempeño de sus funciones, con las áreas, organismos y entidades de la Administración Pública Municipal, el Ayuntamiento se auxiliará de las Unidades Administrativas siguientes:</w:t>
      </w:r>
    </w:p>
    <w:p w14:paraId="1CC64114" w14:textId="77777777" w:rsidR="00472EBD" w:rsidRPr="00422961" w:rsidRDefault="00472EBD" w:rsidP="00472EBD">
      <w:pPr>
        <w:widowControl w:val="0"/>
        <w:spacing w:after="0" w:line="360" w:lineRule="auto"/>
        <w:rPr>
          <w:rFonts w:eastAsia="Calibri" w:cs="Tahoma"/>
          <w:b/>
          <w:bCs/>
        </w:rPr>
      </w:pPr>
    </w:p>
    <w:p w14:paraId="7CBB6EFC" w14:textId="77777777" w:rsidR="00472EBD" w:rsidRPr="00422961" w:rsidRDefault="00472EBD" w:rsidP="00472EBD">
      <w:pPr>
        <w:widowControl w:val="0"/>
        <w:numPr>
          <w:ilvl w:val="0"/>
          <w:numId w:val="23"/>
        </w:numPr>
        <w:spacing w:after="0" w:line="360" w:lineRule="auto"/>
        <w:rPr>
          <w:rFonts w:eastAsia="Calibri" w:cs="Tahoma"/>
          <w:b/>
          <w:bCs/>
        </w:rPr>
      </w:pPr>
      <w:r w:rsidRPr="00422961">
        <w:rPr>
          <w:rFonts w:eastAsia="Calibri" w:cs="Tahoma"/>
          <w:b/>
          <w:bCs/>
        </w:rPr>
        <w:t xml:space="preserve">Dirección de Desarrollo Económico, Turístico y Artesanal: </w:t>
      </w:r>
      <w:r w:rsidRPr="00422961">
        <w:rPr>
          <w:rFonts w:eastAsia="Calibri" w:cs="Tahoma"/>
          <w:bCs/>
        </w:rPr>
        <w:t xml:space="preserve">Que se encarga de desarrollar y ejecutar las políticas públicas y los programas orientados a generar una derrama económica, a través de una regulación de la actividad industrial, comercial y de servicios; de fomentar la vinculación de la oferta con la demanda de mano de obra en las empresas privadas; de promover técnicas de producción, preservación y sustentabilidad de las actividades agropecuarias; de incentivar las acciones orientadas a potenciar la actividad artesanal, el atractivo turístico del Municipio y del Pueblo Mágico; de autorizar el otorgamiento de permisos, refrendos y licencias de funcionamiento, que se relacionen con actividades comerciales, de espectáculos, turísticas, artesanales, industriales y de prestación de servicios; de diseñar y promover políticas públicas, que generen inversiones productivas y empleos remunerados; de promover programas de simplificación, desregulación y transparencia administrativa para facilitar la actividad económica; de difundir los requisitos y procedimientos aplicables para la apertura operación, ampliación y regularización de negocios relacionados con las actividades económicas; de organizar y coordinar eventos culturales y recreativos, exposiciones artísticas, de turismo, </w:t>
      </w:r>
      <w:proofErr w:type="spellStart"/>
      <w:r w:rsidRPr="00422961">
        <w:rPr>
          <w:rFonts w:eastAsia="Calibri" w:cs="Tahoma"/>
          <w:bCs/>
        </w:rPr>
        <w:t>emprendedurismo</w:t>
      </w:r>
      <w:proofErr w:type="spellEnd"/>
      <w:r w:rsidRPr="00422961">
        <w:rPr>
          <w:rFonts w:eastAsia="Calibri" w:cs="Tahoma"/>
          <w:bCs/>
        </w:rPr>
        <w:t xml:space="preserve">, muestras gastronómicas, ferias y otros eventos similares para el desarrollo económico y turístico del Municipio; de apoyar a la producción y comercialización artesanal, </w:t>
      </w:r>
      <w:proofErr w:type="spellStart"/>
      <w:r w:rsidRPr="00422961">
        <w:rPr>
          <w:rFonts w:eastAsia="Calibri" w:cs="Tahoma"/>
          <w:bCs/>
        </w:rPr>
        <w:t>tabiquera</w:t>
      </w:r>
      <w:proofErr w:type="spellEnd"/>
      <w:r w:rsidRPr="00422961">
        <w:rPr>
          <w:rFonts w:eastAsia="Calibri" w:cs="Tahoma"/>
          <w:bCs/>
        </w:rPr>
        <w:t xml:space="preserve"> y agropecuaria; de fomentar la creación de </w:t>
      </w:r>
      <w:r w:rsidRPr="00422961">
        <w:rPr>
          <w:rFonts w:eastAsia="Calibri" w:cs="Tahoma"/>
          <w:bCs/>
        </w:rPr>
        <w:lastRenderedPageBreak/>
        <w:t>fuentes de empleo, impulsando el desarrollo comercial, turístico, artesanal, de servicios e industria; de promover el turismo y las ferias tradicionales, comerciales, agropecuarias, artesanales y turísticas;  de promover una cultura para conservar y dar mantenimiento de sitios de atractivo turístico que impulsa las actividades económicas del Municipio.</w:t>
      </w:r>
    </w:p>
    <w:p w14:paraId="3D9DA7C4" w14:textId="77777777" w:rsidR="00472EBD" w:rsidRPr="00422961" w:rsidRDefault="00472EBD" w:rsidP="00472EBD">
      <w:pPr>
        <w:widowControl w:val="0"/>
        <w:spacing w:after="0" w:line="360" w:lineRule="auto"/>
        <w:rPr>
          <w:rFonts w:eastAsia="Calibri" w:cs="Tahoma"/>
          <w:b/>
          <w:bCs/>
        </w:rPr>
      </w:pPr>
    </w:p>
    <w:p w14:paraId="12065F10" w14:textId="5246C890" w:rsidR="00AD58F0" w:rsidRPr="00422961" w:rsidRDefault="00472EBD" w:rsidP="00472EBD">
      <w:pPr>
        <w:widowControl w:val="0"/>
        <w:numPr>
          <w:ilvl w:val="0"/>
          <w:numId w:val="23"/>
        </w:numPr>
        <w:spacing w:after="0" w:line="360" w:lineRule="auto"/>
        <w:rPr>
          <w:rFonts w:eastAsia="Calibri" w:cs="Tahoma"/>
          <w:b/>
          <w:bCs/>
        </w:rPr>
      </w:pPr>
      <w:r w:rsidRPr="00422961">
        <w:rPr>
          <w:rFonts w:eastAsia="Calibri" w:cs="Tahoma"/>
          <w:b/>
          <w:bCs/>
        </w:rPr>
        <w:t>Dirección de Gobernación</w:t>
      </w:r>
      <w:r w:rsidR="00AD58F0" w:rsidRPr="00422961">
        <w:rPr>
          <w:rFonts w:eastAsia="Calibri" w:cs="Tahoma"/>
          <w:b/>
          <w:bCs/>
        </w:rPr>
        <w:t xml:space="preserve">, </w:t>
      </w:r>
      <w:r w:rsidR="00AD58F0" w:rsidRPr="00422961">
        <w:rPr>
          <w:rFonts w:eastAsia="Calibri" w:cs="Tahoma"/>
        </w:rPr>
        <w:t>a través de la Subdirección de Verificación y Regulación del Comercio y el Departamento de Regulación del Comercio Semifijo, Tianguis y Mercados, se encargará de tramitar los permisos del Comercio Semifijo, Tianguis y Mercados referentes a degustaciones, tianguistas, locatarios, y espectáculos, eventos públicos y diversiones (circo), integrando las carpetas de evidencia que permitan al departamento de verificación realizar sus funciones en campo; Generar el archivo correspondiente; Entregar permisos correspondientes a las y los usuarios que cumplen con el total de requisitos y pago de derechos y asesorar a las y los usuarios en la realización de los trámites.</w:t>
      </w:r>
    </w:p>
    <w:p w14:paraId="1A6D8915" w14:textId="77777777" w:rsidR="00AD58F0" w:rsidRPr="00422961" w:rsidRDefault="00AD58F0" w:rsidP="00AD58F0">
      <w:pPr>
        <w:widowControl w:val="0"/>
        <w:spacing w:after="0" w:line="360" w:lineRule="auto"/>
        <w:rPr>
          <w:rFonts w:eastAsia="Calibri" w:cs="Tahoma"/>
          <w:b/>
          <w:bCs/>
        </w:rPr>
      </w:pPr>
    </w:p>
    <w:p w14:paraId="3DFD4FB7" w14:textId="33CB9FA4" w:rsidR="00AD58F0" w:rsidRPr="00422961" w:rsidRDefault="00AD58F0" w:rsidP="00AD58F0">
      <w:pPr>
        <w:widowControl w:val="0"/>
        <w:spacing w:after="0" w:line="360" w:lineRule="auto"/>
        <w:rPr>
          <w:rFonts w:eastAsia="Calibri" w:cs="Tahoma"/>
        </w:rPr>
      </w:pPr>
      <w:r w:rsidRPr="00422961">
        <w:rPr>
          <w:rFonts w:eastAsia="Calibri" w:cs="Tahoma"/>
        </w:rPr>
        <w:t xml:space="preserve">En ese contexto, se localizó el Procedimiento MET-DGO-04-2021 “Permiso para espectáculos, eventos públicos y diversiones (circo)”, del Manual de Procedimientos de la Dirección de Gobernación, vigente, que, a través de la Subdirección de Verificación y Regulación del Comercio y del Departamento de Regulación del Comercio Semifijo, Tianguis y Mercados, tienen como objetivo autorizar la realización de Espectáculos o Eventos Públicos y Diversiones, tales como conciertos, bailes públicos, circos, exposiciones, </w:t>
      </w:r>
      <w:r w:rsidRPr="00422961">
        <w:rPr>
          <w:rFonts w:eastAsia="Calibri" w:cs="Tahoma"/>
          <w:b/>
          <w:bCs/>
        </w:rPr>
        <w:t>bazares</w:t>
      </w:r>
      <w:r w:rsidRPr="00422961">
        <w:rPr>
          <w:rFonts w:eastAsia="Calibri" w:cs="Tahoma"/>
        </w:rPr>
        <w:t>, ferias, juegos mecánicos, kermeses; por lo que, define a los bazares como la denominación de los Comercios que ofrecen diferentes tipos de productos.</w:t>
      </w:r>
    </w:p>
    <w:p w14:paraId="26E6E1E1" w14:textId="77777777" w:rsidR="00265C57" w:rsidRPr="00422961" w:rsidRDefault="00265C57" w:rsidP="00AD58F0">
      <w:pPr>
        <w:widowControl w:val="0"/>
        <w:spacing w:after="0" w:line="360" w:lineRule="auto"/>
        <w:rPr>
          <w:rFonts w:eastAsia="Calibri" w:cs="Tahoma"/>
        </w:rPr>
      </w:pPr>
    </w:p>
    <w:p w14:paraId="3C3A88C4" w14:textId="77777777" w:rsidR="003D4926" w:rsidRPr="00422961" w:rsidRDefault="003D4926" w:rsidP="00AD58F0">
      <w:pPr>
        <w:widowControl w:val="0"/>
        <w:spacing w:after="0" w:line="360" w:lineRule="auto"/>
        <w:rPr>
          <w:rFonts w:eastAsia="Calibri" w:cs="Tahoma"/>
        </w:rPr>
      </w:pPr>
    </w:p>
    <w:p w14:paraId="24D8BC4C" w14:textId="77777777" w:rsidR="003D4926" w:rsidRPr="00422961" w:rsidRDefault="003D4926" w:rsidP="00AD58F0">
      <w:pPr>
        <w:widowControl w:val="0"/>
        <w:spacing w:after="0" w:line="360" w:lineRule="auto"/>
        <w:rPr>
          <w:rFonts w:eastAsia="Calibri" w:cs="Tahoma"/>
        </w:rPr>
      </w:pPr>
    </w:p>
    <w:p w14:paraId="41C3C347" w14:textId="64022BB3" w:rsidR="00265C57" w:rsidRPr="00422961" w:rsidRDefault="00265C57" w:rsidP="00AD58F0">
      <w:pPr>
        <w:widowControl w:val="0"/>
        <w:spacing w:after="0" w:line="360" w:lineRule="auto"/>
        <w:rPr>
          <w:rFonts w:eastAsia="Calibri" w:cs="Tahoma"/>
        </w:rPr>
      </w:pPr>
      <w:r w:rsidRPr="00422961">
        <w:rPr>
          <w:rFonts w:eastAsia="Calibri" w:cs="Tahoma"/>
        </w:rPr>
        <w:t xml:space="preserve">Asimismo, este Instituto realizó una búsqueda en la página oficial del Ayuntamiento de Metepec, donde localizó en el apartado de “Trámites” y “Registro Municipal de Trámites y Servicios” de la Dirección de Gobernación el trámite de permiso de espectáculos, eventos públicos y diversiones (circo), que consiste en otorgar un permiso con autorización del Ayuntamiento, a través del Departamento de Regulación del Comercio Semifijo, Tianguis y Mercados de la Dirección de Gobernación para las personas Físicas o Jurídico Colectivas que deseen llevar a cabo eventos tales como: Conciertos, Bailes Públicos, Circos, Exposiciones, </w:t>
      </w:r>
      <w:r w:rsidRPr="00422961">
        <w:rPr>
          <w:rFonts w:eastAsia="Calibri" w:cs="Tahoma"/>
          <w:b/>
          <w:bCs/>
        </w:rPr>
        <w:t>Bazares</w:t>
      </w:r>
      <w:r w:rsidRPr="00422961">
        <w:rPr>
          <w:rFonts w:eastAsia="Calibri" w:cs="Tahoma"/>
        </w:rPr>
        <w:t>, ferias, Juegos Mecánicos, Kermeses y otros, en áreas privadas o públicas y que la normatividad vigente lo permita, así como, los requisitos para personas físicas y personas jurídico colectivas, pasos a seguir, documentos a obtener, formatos para el trámite, etc., como se muestra a continuación:</w:t>
      </w:r>
    </w:p>
    <w:p w14:paraId="1335D6EF" w14:textId="77777777" w:rsidR="00265C57" w:rsidRPr="00422961" w:rsidRDefault="00265C57" w:rsidP="00AD58F0">
      <w:pPr>
        <w:widowControl w:val="0"/>
        <w:spacing w:after="0" w:line="360" w:lineRule="auto"/>
        <w:rPr>
          <w:rFonts w:eastAsia="Calibri" w:cs="Tahoma"/>
        </w:rPr>
      </w:pPr>
    </w:p>
    <w:p w14:paraId="2C1AC696" w14:textId="54F3A48A" w:rsidR="00265C57" w:rsidRPr="00422961" w:rsidRDefault="00265C57" w:rsidP="00265C57">
      <w:pPr>
        <w:widowControl w:val="0"/>
        <w:spacing w:after="0" w:line="360" w:lineRule="auto"/>
        <w:jc w:val="center"/>
        <w:rPr>
          <w:rFonts w:eastAsia="Calibri" w:cs="Tahoma"/>
        </w:rPr>
      </w:pPr>
      <w:r w:rsidRPr="00422961">
        <w:rPr>
          <w:rFonts w:eastAsia="Calibri" w:cs="Tahoma"/>
          <w:noProof/>
          <w:lang w:eastAsia="es-MX"/>
        </w:rPr>
        <w:drawing>
          <wp:inline distT="0" distB="0" distL="0" distR="0" wp14:anchorId="21FC353A" wp14:editId="29A3060B">
            <wp:extent cx="5173980" cy="2312099"/>
            <wp:effectExtent l="0" t="0" r="7620" b="0"/>
            <wp:docPr id="87898564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85641" name="Imagen 1" descr="Interfaz de usuario gráfica, Aplicación&#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5176849" cy="2313381"/>
                    </a:xfrm>
                    <a:prstGeom prst="rect">
                      <a:avLst/>
                    </a:prstGeom>
                  </pic:spPr>
                </pic:pic>
              </a:graphicData>
            </a:graphic>
          </wp:inline>
        </w:drawing>
      </w:r>
    </w:p>
    <w:p w14:paraId="1D62F2EC" w14:textId="77777777" w:rsidR="00265C57" w:rsidRPr="00422961" w:rsidRDefault="00265C57" w:rsidP="00AD58F0">
      <w:pPr>
        <w:widowControl w:val="0"/>
        <w:spacing w:after="0" w:line="360" w:lineRule="auto"/>
        <w:rPr>
          <w:rFonts w:eastAsia="Calibri" w:cs="Tahoma"/>
        </w:rPr>
      </w:pPr>
    </w:p>
    <w:p w14:paraId="4E1179C5" w14:textId="3A970340" w:rsidR="00265C57" w:rsidRPr="00422961" w:rsidRDefault="00265C57" w:rsidP="00265C57">
      <w:pPr>
        <w:widowControl w:val="0"/>
        <w:spacing w:after="0" w:line="360" w:lineRule="auto"/>
        <w:jc w:val="center"/>
        <w:rPr>
          <w:rFonts w:eastAsia="Calibri" w:cs="Tahoma"/>
        </w:rPr>
      </w:pPr>
      <w:r w:rsidRPr="00422961">
        <w:rPr>
          <w:rFonts w:eastAsia="Calibri" w:cs="Tahoma"/>
          <w:noProof/>
          <w:lang w:eastAsia="es-MX"/>
        </w:rPr>
        <w:drawing>
          <wp:inline distT="0" distB="0" distL="0" distR="0" wp14:anchorId="4E647EA6" wp14:editId="31216FE1">
            <wp:extent cx="5196204" cy="752475"/>
            <wp:effectExtent l="0" t="0" r="5080" b="0"/>
            <wp:docPr id="1646047076" name="Imagen 2"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047076" name="Imagen 2" descr="Tabla&#10;&#10;Descripción generada automáticamente con confianza media"/>
                    <pic:cNvPicPr/>
                  </pic:nvPicPr>
                  <pic:blipFill rotWithShape="1">
                    <a:blip r:embed="rId20">
                      <a:extLst>
                        <a:ext uri="{28A0092B-C50C-407E-A947-70E740481C1C}">
                          <a14:useLocalDpi xmlns:a14="http://schemas.microsoft.com/office/drawing/2010/main" val="0"/>
                        </a:ext>
                      </a:extLst>
                    </a:blip>
                    <a:srcRect t="-2" b="86341"/>
                    <a:stretch/>
                  </pic:blipFill>
                  <pic:spPr bwMode="auto">
                    <a:xfrm>
                      <a:off x="0" y="0"/>
                      <a:ext cx="5200432" cy="753087"/>
                    </a:xfrm>
                    <a:prstGeom prst="rect">
                      <a:avLst/>
                    </a:prstGeom>
                    <a:ln>
                      <a:noFill/>
                    </a:ln>
                    <a:extLst>
                      <a:ext uri="{53640926-AAD7-44D8-BBD7-CCE9431645EC}">
                        <a14:shadowObscured xmlns:a14="http://schemas.microsoft.com/office/drawing/2010/main"/>
                      </a:ext>
                    </a:extLst>
                  </pic:spPr>
                </pic:pic>
              </a:graphicData>
            </a:graphic>
          </wp:inline>
        </w:drawing>
      </w:r>
    </w:p>
    <w:p w14:paraId="12161F3B" w14:textId="75B8E0CA" w:rsidR="003D4926" w:rsidRPr="00422961" w:rsidRDefault="003D4926" w:rsidP="00265C57">
      <w:pPr>
        <w:widowControl w:val="0"/>
        <w:spacing w:after="0" w:line="360" w:lineRule="auto"/>
        <w:jc w:val="center"/>
        <w:rPr>
          <w:rFonts w:eastAsia="Calibri" w:cs="Tahoma"/>
        </w:rPr>
      </w:pPr>
      <w:r w:rsidRPr="00422961">
        <w:rPr>
          <w:rFonts w:eastAsia="Calibri" w:cs="Tahoma"/>
          <w:noProof/>
          <w:lang w:eastAsia="es-MX"/>
        </w:rPr>
        <w:lastRenderedPageBreak/>
        <w:drawing>
          <wp:inline distT="0" distB="0" distL="0" distR="0" wp14:anchorId="509494BA" wp14:editId="58BDEF8B">
            <wp:extent cx="5196543" cy="4727575"/>
            <wp:effectExtent l="0" t="0" r="4445" b="0"/>
            <wp:docPr id="1025149353" name="Imagen 2"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047076" name="Imagen 2" descr="Tabla&#10;&#10;Descripción generada automáticamente con confianza media"/>
                    <pic:cNvPicPr/>
                  </pic:nvPicPr>
                  <pic:blipFill rotWithShape="1">
                    <a:blip r:embed="rId20">
                      <a:extLst>
                        <a:ext uri="{28A0092B-C50C-407E-A947-70E740481C1C}">
                          <a14:useLocalDpi xmlns:a14="http://schemas.microsoft.com/office/drawing/2010/main" val="0"/>
                        </a:ext>
                      </a:extLst>
                    </a:blip>
                    <a:srcRect t="14179"/>
                    <a:stretch/>
                  </pic:blipFill>
                  <pic:spPr bwMode="auto">
                    <a:xfrm>
                      <a:off x="0" y="0"/>
                      <a:ext cx="5200432" cy="4731113"/>
                    </a:xfrm>
                    <a:prstGeom prst="rect">
                      <a:avLst/>
                    </a:prstGeom>
                    <a:ln>
                      <a:noFill/>
                    </a:ln>
                    <a:extLst>
                      <a:ext uri="{53640926-AAD7-44D8-BBD7-CCE9431645EC}">
                        <a14:shadowObscured xmlns:a14="http://schemas.microsoft.com/office/drawing/2010/main"/>
                      </a:ext>
                    </a:extLst>
                  </pic:spPr>
                </pic:pic>
              </a:graphicData>
            </a:graphic>
          </wp:inline>
        </w:drawing>
      </w:r>
    </w:p>
    <w:p w14:paraId="23C87B3B" w14:textId="77777777" w:rsidR="00187991" w:rsidRPr="00422961" w:rsidRDefault="00187991" w:rsidP="00D2273C">
      <w:pPr>
        <w:widowControl w:val="0"/>
        <w:spacing w:after="0" w:line="360" w:lineRule="auto"/>
        <w:rPr>
          <w:color w:val="000000"/>
        </w:rPr>
      </w:pPr>
    </w:p>
    <w:p w14:paraId="2760B4D4" w14:textId="24798775" w:rsidR="00C5377F" w:rsidRPr="00422961" w:rsidRDefault="00425A01" w:rsidP="00C5377F">
      <w:pPr>
        <w:spacing w:after="0" w:line="360" w:lineRule="auto"/>
        <w:rPr>
          <w:color w:val="000000"/>
        </w:rPr>
      </w:pPr>
      <w:r w:rsidRPr="00422961">
        <w:rPr>
          <w:rFonts w:eastAsia="Calibri" w:cs="Times New Roman"/>
          <w:color w:val="000000"/>
        </w:rPr>
        <w:t>Conforme a lo anterior, se logra vislumbrar que la pretensión de</w:t>
      </w:r>
      <w:r w:rsidR="00187991" w:rsidRPr="00422961">
        <w:rPr>
          <w:rFonts w:eastAsia="Calibri" w:cs="Times New Roman"/>
          <w:color w:val="000000"/>
        </w:rPr>
        <w:t xml:space="preserve"> la persona</w:t>
      </w:r>
      <w:r w:rsidRPr="00422961">
        <w:rPr>
          <w:rFonts w:eastAsia="Calibri" w:cs="Times New Roman"/>
          <w:color w:val="000000"/>
        </w:rPr>
        <w:t xml:space="preserve"> Recurrente es obtener</w:t>
      </w:r>
      <w:r w:rsidR="00FC52C6" w:rsidRPr="00422961">
        <w:rPr>
          <w:rFonts w:eastAsia="Calibri" w:cs="Times New Roman"/>
          <w:color w:val="000000"/>
        </w:rPr>
        <w:t xml:space="preserve">, </w:t>
      </w:r>
      <w:r w:rsidR="00D81A0C" w:rsidRPr="00422961">
        <w:rPr>
          <w:rFonts w:eastAsia="Calibri" w:cs="Times New Roman"/>
          <w:color w:val="000000"/>
        </w:rPr>
        <w:t xml:space="preserve">los expedientes de los permisos que autorizaron la realización de </w:t>
      </w:r>
      <w:r w:rsidR="00C5377F" w:rsidRPr="00422961">
        <w:rPr>
          <w:rFonts w:eastAsia="Calibri" w:cs="Times New Roman"/>
          <w:color w:val="000000"/>
        </w:rPr>
        <w:t xml:space="preserve">los bazares </w:t>
      </w:r>
      <w:r w:rsidR="00D81A0C" w:rsidRPr="00422961">
        <w:rPr>
          <w:color w:val="000000"/>
        </w:rPr>
        <w:t xml:space="preserve">del primero de enero al </w:t>
      </w:r>
      <w:r w:rsidR="003C373E" w:rsidRPr="00422961">
        <w:rPr>
          <w:color w:val="000000"/>
        </w:rPr>
        <w:t>cinco</w:t>
      </w:r>
      <w:r w:rsidR="00D81A0C" w:rsidRPr="00422961">
        <w:rPr>
          <w:color w:val="000000"/>
        </w:rPr>
        <w:t xml:space="preserve"> de agosto de dos mil veinticuatro</w:t>
      </w:r>
      <w:r w:rsidR="00D81A0C" w:rsidRPr="00422961">
        <w:rPr>
          <w:rFonts w:eastAsia="Calibri" w:cs="Times New Roman"/>
          <w:color w:val="000000"/>
        </w:rPr>
        <w:t>.</w:t>
      </w:r>
    </w:p>
    <w:p w14:paraId="2CE19DF6" w14:textId="77777777" w:rsidR="00C5377F" w:rsidRPr="00422961" w:rsidRDefault="00C5377F" w:rsidP="00C5377F">
      <w:pPr>
        <w:spacing w:after="0" w:line="360" w:lineRule="auto"/>
        <w:rPr>
          <w:color w:val="000000"/>
        </w:rPr>
      </w:pPr>
    </w:p>
    <w:p w14:paraId="0F14D259" w14:textId="4299CEF2" w:rsidR="00187991" w:rsidRPr="00422961" w:rsidRDefault="00187991" w:rsidP="00D2273C">
      <w:pPr>
        <w:widowControl w:val="0"/>
        <w:spacing w:after="0" w:line="360" w:lineRule="auto"/>
        <w:rPr>
          <w:color w:val="000000"/>
        </w:rPr>
      </w:pPr>
      <w:r w:rsidRPr="00422961">
        <w:rPr>
          <w:color w:val="000000"/>
        </w:rPr>
        <w:t>Ahora bien, es necesario precisar que, en respuesta</w:t>
      </w:r>
      <w:r w:rsidR="00D97F83" w:rsidRPr="00422961">
        <w:rPr>
          <w:color w:val="000000"/>
        </w:rPr>
        <w:t xml:space="preserve"> y en Informe Justificado</w:t>
      </w:r>
      <w:r w:rsidRPr="00422961">
        <w:rPr>
          <w:color w:val="000000"/>
        </w:rPr>
        <w:t>, se pronunció la Dirección de</w:t>
      </w:r>
      <w:r w:rsidR="00D97F83" w:rsidRPr="00422961">
        <w:rPr>
          <w:color w:val="000000"/>
        </w:rPr>
        <w:t xml:space="preserve"> Desarrollo Económico</w:t>
      </w:r>
      <w:r w:rsidR="00C5377F" w:rsidRPr="00422961">
        <w:rPr>
          <w:color w:val="000000"/>
        </w:rPr>
        <w:t>, Turístico y Artesanal</w:t>
      </w:r>
      <w:r w:rsidRPr="00422961">
        <w:rPr>
          <w:color w:val="000000"/>
        </w:rPr>
        <w:t xml:space="preserve">; </w:t>
      </w:r>
      <w:r w:rsidRPr="00422961">
        <w:t xml:space="preserve">por lo que, es oportuno hacer referencia al </w:t>
      </w:r>
      <w:r w:rsidRPr="00422961">
        <w:rPr>
          <w:b/>
        </w:rPr>
        <w:t>procedimiento de búsqueda que deben de seguir los Sujetos Obligados para localizar la información</w:t>
      </w:r>
      <w:r w:rsidRPr="00422961">
        <w:t xml:space="preserve">, el cual se encuentra previsto en los artículos 160 y 162 de la Ley de </w:t>
      </w:r>
      <w:r w:rsidRPr="00422961">
        <w:lastRenderedPageBreak/>
        <w:t xml:space="preserve">Transparencia y Acceso a la Información Pública del Estado de México y Municipios, mismo que es el </w:t>
      </w:r>
      <w:r w:rsidRPr="00422961">
        <w:rPr>
          <w:color w:val="000000"/>
        </w:rPr>
        <w:t>siguiente:</w:t>
      </w:r>
    </w:p>
    <w:p w14:paraId="2CD65FCC" w14:textId="77777777" w:rsidR="00187991" w:rsidRPr="00422961" w:rsidRDefault="00187991" w:rsidP="00D2273C">
      <w:pPr>
        <w:spacing w:after="0" w:line="360" w:lineRule="auto"/>
        <w:rPr>
          <w:color w:val="000000"/>
        </w:rPr>
      </w:pPr>
    </w:p>
    <w:p w14:paraId="3725E92E" w14:textId="77777777" w:rsidR="00187991" w:rsidRPr="00422961" w:rsidRDefault="00187991" w:rsidP="00D2273C">
      <w:pPr>
        <w:numPr>
          <w:ilvl w:val="0"/>
          <w:numId w:val="11"/>
        </w:numPr>
        <w:spacing w:after="0" w:line="360" w:lineRule="auto"/>
      </w:pPr>
      <w:r w:rsidRPr="00422961">
        <w:t>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 y</w:t>
      </w:r>
    </w:p>
    <w:p w14:paraId="446F5BE8" w14:textId="77777777" w:rsidR="00187991" w:rsidRPr="00422961" w:rsidRDefault="00187991" w:rsidP="00D2273C">
      <w:pPr>
        <w:spacing w:after="0" w:line="360" w:lineRule="auto"/>
        <w:ind w:left="720"/>
      </w:pPr>
    </w:p>
    <w:p w14:paraId="7F25B715" w14:textId="77777777" w:rsidR="00187991" w:rsidRPr="00422961" w:rsidRDefault="00187991" w:rsidP="00D2273C">
      <w:pPr>
        <w:numPr>
          <w:ilvl w:val="0"/>
          <w:numId w:val="11"/>
        </w:numPr>
        <w:spacing w:after="0" w:line="360" w:lineRule="auto"/>
      </w:pPr>
      <w:r w:rsidRPr="00422961">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64ED9EBB" w14:textId="77777777" w:rsidR="00187991" w:rsidRPr="00422961" w:rsidRDefault="00187991" w:rsidP="00D2273C">
      <w:pPr>
        <w:spacing w:after="0" w:line="360" w:lineRule="auto"/>
      </w:pPr>
    </w:p>
    <w:p w14:paraId="0AEF60C0" w14:textId="532A12F4" w:rsidR="00187991" w:rsidRPr="00422961" w:rsidRDefault="00187991" w:rsidP="00D2273C">
      <w:pPr>
        <w:spacing w:after="0" w:line="360" w:lineRule="auto"/>
        <w:rPr>
          <w:bCs/>
          <w:iCs/>
        </w:rPr>
      </w:pPr>
      <w:r w:rsidRPr="00422961">
        <w:t xml:space="preserve">Conforme a lo establecido en párrafos anteriores, </w:t>
      </w:r>
      <w:r w:rsidRPr="00422961">
        <w:rPr>
          <w:bCs/>
          <w:iCs/>
        </w:rPr>
        <w:t xml:space="preserve">se advierte que el Sujeto Obligado, </w:t>
      </w:r>
      <w:r w:rsidR="00C5377F" w:rsidRPr="00422961">
        <w:rPr>
          <w:bCs/>
          <w:iCs/>
        </w:rPr>
        <w:t xml:space="preserve">no </w:t>
      </w:r>
      <w:r w:rsidRPr="00422961">
        <w:rPr>
          <w:bCs/>
          <w:iCs/>
        </w:rPr>
        <w:t xml:space="preserve">cumplió con el procedimiento de búsqueda previsto en el artículo 162 de la Ley de Transparencia y Acceso a la Información Pública del Estado de México y Municipios, toda vez </w:t>
      </w:r>
      <w:r w:rsidR="00C5377F" w:rsidRPr="00422961">
        <w:rPr>
          <w:bCs/>
          <w:iCs/>
        </w:rPr>
        <w:t xml:space="preserve">que no </w:t>
      </w:r>
      <w:r w:rsidRPr="00422961">
        <w:rPr>
          <w:bCs/>
          <w:iCs/>
        </w:rPr>
        <w:t>se pronunció el área competente de conocer lo solicitado</w:t>
      </w:r>
      <w:r w:rsidR="00C5377F" w:rsidRPr="00422961">
        <w:rPr>
          <w:bCs/>
          <w:iCs/>
        </w:rPr>
        <w:t xml:space="preserve">, a saber, la Dirección de Gobernación quien </w:t>
      </w:r>
      <w:r w:rsidR="00C5377F" w:rsidRPr="00422961">
        <w:rPr>
          <w:rFonts w:eastAsia="Calibri" w:cs="Tahoma"/>
        </w:rPr>
        <w:t xml:space="preserve">otorga los permisos para las personas Físicas o Jurídico Colectivas que deseen llevar a cabo eventos tales como los </w:t>
      </w:r>
      <w:r w:rsidR="00C5377F" w:rsidRPr="00422961">
        <w:rPr>
          <w:rFonts w:eastAsia="Calibri" w:cs="Tahoma"/>
          <w:b/>
          <w:bCs/>
        </w:rPr>
        <w:t>Bazares</w:t>
      </w:r>
      <w:r w:rsidR="00C5377F" w:rsidRPr="00422961">
        <w:rPr>
          <w:rFonts w:eastAsia="Calibri" w:cs="Tahoma"/>
        </w:rPr>
        <w:t xml:space="preserve"> en áreas privadas o públicas.</w:t>
      </w:r>
    </w:p>
    <w:p w14:paraId="1C5F600C" w14:textId="77777777" w:rsidR="00187991" w:rsidRPr="00422961" w:rsidRDefault="00187991" w:rsidP="00D2273C">
      <w:pPr>
        <w:spacing w:after="0" w:line="360" w:lineRule="auto"/>
        <w:rPr>
          <w:bCs/>
          <w:iCs/>
        </w:rPr>
      </w:pPr>
    </w:p>
    <w:p w14:paraId="4A00370F" w14:textId="77777777" w:rsidR="002B04E2" w:rsidRPr="00422961" w:rsidRDefault="00187991" w:rsidP="002B04E2">
      <w:pPr>
        <w:spacing w:after="0" w:line="360" w:lineRule="auto"/>
        <w:ind w:right="-93"/>
        <w:rPr>
          <w:rFonts w:cs="Tahoma"/>
        </w:rPr>
      </w:pPr>
      <w:r w:rsidRPr="00422961">
        <w:rPr>
          <w:bCs/>
          <w:iCs/>
        </w:rPr>
        <w:t xml:space="preserve">Ahora bien, </w:t>
      </w:r>
      <w:r w:rsidR="00D97F83" w:rsidRPr="00422961">
        <w:rPr>
          <w:bCs/>
          <w:iCs/>
        </w:rPr>
        <w:t>en respuesta</w:t>
      </w:r>
      <w:r w:rsidR="00EF54ED" w:rsidRPr="00422961">
        <w:rPr>
          <w:bCs/>
          <w:iCs/>
        </w:rPr>
        <w:t xml:space="preserve"> como en Informe Justificado, </w:t>
      </w:r>
      <w:r w:rsidR="00EF54ED" w:rsidRPr="00422961">
        <w:rPr>
          <w:color w:val="000000"/>
        </w:rPr>
        <w:t xml:space="preserve">la Dirección de Desarrollo Económico, Turístico y Artesanal, mencionó que después de una búsqueda exhaustiva y minuciosa en sus archivos, no encontró permisos de bazares en el periodo del primero de enero al treinta y uno de agosto de dos mil veinticuatro, ya que no fueron generados; </w:t>
      </w:r>
      <w:r w:rsidR="002B04E2" w:rsidRPr="00422961">
        <w:rPr>
          <w:rFonts w:eastAsia="Calibri" w:cs="Tahoma"/>
          <w:iCs/>
          <w:lang w:eastAsia="es-ES_tradnl"/>
        </w:rPr>
        <w:t xml:space="preserve">sobre el tema, el Criterio SO/014/2017, emitido por el Instituto Nacional de Transparencia, Acceso a la Información </w:t>
      </w:r>
      <w:r w:rsidR="002B04E2" w:rsidRPr="00422961">
        <w:rPr>
          <w:rFonts w:eastAsia="Calibri" w:cs="Tahoma"/>
          <w:iCs/>
          <w:lang w:eastAsia="es-ES_tradnl"/>
        </w:rPr>
        <w:lastRenderedPageBreak/>
        <w:t xml:space="preserve">Pública y Protección de Datos Personales en el Estado de México y Municipios, establece que la inexistencia de la información, es una cuestión de hecho que se le atribuye a la misma, cuando ésta no se encuentra en los archivos del sujeto obligado. </w:t>
      </w:r>
    </w:p>
    <w:p w14:paraId="054D2959" w14:textId="77777777" w:rsidR="002B04E2" w:rsidRPr="00422961" w:rsidRDefault="002B04E2" w:rsidP="002B04E2">
      <w:pPr>
        <w:tabs>
          <w:tab w:val="left" w:pos="4962"/>
        </w:tabs>
        <w:spacing w:after="0" w:line="360" w:lineRule="auto"/>
        <w:contextualSpacing/>
        <w:rPr>
          <w:rFonts w:eastAsia="Calibri" w:cs="Tahoma"/>
          <w:iCs/>
          <w:lang w:eastAsia="es-ES_tradnl"/>
        </w:rPr>
      </w:pPr>
    </w:p>
    <w:p w14:paraId="7C37E836" w14:textId="77777777" w:rsidR="002B04E2" w:rsidRPr="00422961" w:rsidRDefault="002B04E2" w:rsidP="002B04E2">
      <w:pPr>
        <w:tabs>
          <w:tab w:val="left" w:pos="4962"/>
        </w:tabs>
        <w:spacing w:after="0" w:line="360" w:lineRule="auto"/>
        <w:contextualSpacing/>
        <w:rPr>
          <w:rFonts w:eastAsia="Calibri" w:cs="Tahoma"/>
          <w:iCs/>
          <w:lang w:eastAsia="es-ES_tradnl"/>
        </w:rPr>
      </w:pPr>
      <w:r w:rsidRPr="00422961">
        <w:rPr>
          <w:rFonts w:eastAsia="Calibri" w:cs="Tahoma"/>
          <w:iCs/>
          <w:lang w:eastAsia="es-ES_tradnl"/>
        </w:rPr>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07D45841" w14:textId="77777777" w:rsidR="002B04E2" w:rsidRPr="00422961" w:rsidRDefault="002B04E2" w:rsidP="002B04E2">
      <w:pPr>
        <w:tabs>
          <w:tab w:val="left" w:pos="4962"/>
        </w:tabs>
        <w:spacing w:after="0" w:line="360" w:lineRule="auto"/>
        <w:contextualSpacing/>
        <w:rPr>
          <w:rFonts w:eastAsia="Calibri" w:cs="Tahoma"/>
          <w:b/>
          <w:bCs/>
          <w:iCs/>
          <w:lang w:eastAsia="es-ES_tradnl"/>
        </w:rPr>
      </w:pPr>
    </w:p>
    <w:p w14:paraId="784A7A2B" w14:textId="77777777" w:rsidR="002B04E2" w:rsidRPr="00422961" w:rsidRDefault="002B04E2" w:rsidP="002B04E2">
      <w:pPr>
        <w:tabs>
          <w:tab w:val="left" w:pos="4962"/>
        </w:tabs>
        <w:spacing w:after="0" w:line="360" w:lineRule="auto"/>
        <w:contextualSpacing/>
        <w:rPr>
          <w:rFonts w:eastAsia="Calibri" w:cs="Tahoma"/>
          <w:iCs/>
          <w:lang w:eastAsia="es-ES_tradnl"/>
        </w:rPr>
      </w:pPr>
      <w:r w:rsidRPr="00422961">
        <w:rPr>
          <w:rFonts w:eastAsia="Calibri" w:cs="Tahoma"/>
          <w:iCs/>
          <w:lang w:eastAsia="es-ES_tradnl"/>
        </w:rPr>
        <w:t xml:space="preserve">Conforme a lo anterior, la </w:t>
      </w:r>
      <w:r w:rsidRPr="00422961">
        <w:rPr>
          <w:rFonts w:eastAsia="Calibri" w:cs="Tahoma"/>
          <w:b/>
          <w:iCs/>
          <w:lang w:eastAsia="es-ES_tradnl"/>
        </w:rPr>
        <w:t>inexistencia</w:t>
      </w:r>
      <w:r w:rsidRPr="00422961">
        <w:rPr>
          <w:rFonts w:eastAsia="Calibri" w:cs="Tahoma"/>
          <w:iCs/>
          <w:lang w:eastAsia="es-ES_tradnl"/>
        </w:rPr>
        <w:t xml:space="preserve"> presupone la competencia del sujeto obligado para conocer de la información, pero por alguna circunstancia, la documentación solicitada no obra en sus archivos; sin embargo, para poder acreditar dicha circunstancia, se considera que los Sujetos Obligados, </w:t>
      </w:r>
      <w:r w:rsidRPr="00422961">
        <w:rPr>
          <w:rFonts w:eastAsia="Calibri" w:cs="Tahoma"/>
          <w:b/>
          <w:bCs/>
          <w:iCs/>
          <w:lang w:eastAsia="es-ES_tradnl"/>
        </w:rPr>
        <w:t>primero deben realizar una indagación en todos los archivos de las áreas con funciones para conocer de lo peticionado.</w:t>
      </w:r>
    </w:p>
    <w:p w14:paraId="5C3DCB8A" w14:textId="77777777" w:rsidR="002B04E2" w:rsidRPr="00422961" w:rsidRDefault="002B04E2" w:rsidP="002B04E2">
      <w:pPr>
        <w:tabs>
          <w:tab w:val="left" w:pos="4962"/>
        </w:tabs>
        <w:spacing w:after="0" w:line="360" w:lineRule="auto"/>
        <w:contextualSpacing/>
        <w:rPr>
          <w:rFonts w:eastAsia="Calibri" w:cs="Tahoma"/>
          <w:bCs/>
          <w:iCs/>
          <w:lang w:eastAsia="es-ES_tradnl"/>
        </w:rPr>
      </w:pPr>
    </w:p>
    <w:p w14:paraId="49B65A27" w14:textId="77777777" w:rsidR="002B04E2" w:rsidRPr="00422961" w:rsidRDefault="002B04E2" w:rsidP="002B04E2">
      <w:pPr>
        <w:tabs>
          <w:tab w:val="left" w:pos="4962"/>
        </w:tabs>
        <w:spacing w:after="0" w:line="360" w:lineRule="auto"/>
        <w:contextualSpacing/>
        <w:rPr>
          <w:rFonts w:eastAsia="Calibri" w:cs="Tahoma"/>
          <w:b/>
          <w:bCs/>
          <w:iCs/>
          <w:lang w:eastAsia="es-ES_tradnl"/>
        </w:rPr>
      </w:pPr>
      <w:r w:rsidRPr="00422961">
        <w:rPr>
          <w:rFonts w:eastAsia="Calibri" w:cs="Tahoma"/>
          <w:bCs/>
          <w:iCs/>
          <w:lang w:eastAsia="es-ES_tradnl"/>
        </w:rPr>
        <w:t xml:space="preserve">En ese sentido, según Jarquín, Soledad (2019), en el “Diccionario de Transparencia y Acceso a la Información Pública” (p. 68), </w:t>
      </w:r>
      <w:r w:rsidRPr="00422961">
        <w:rPr>
          <w:rFonts w:eastAsia="Calibri" w:cs="Tahoma"/>
          <w:b/>
          <w:bCs/>
          <w:iCs/>
          <w:lang w:eastAsia="es-ES_tradnl"/>
        </w:rPr>
        <w:t>la búsqueda exhaustiva</w:t>
      </w:r>
      <w:r w:rsidRPr="00422961">
        <w:rPr>
          <w:rFonts w:eastAsia="Calibri" w:cs="Tahoma"/>
          <w:bCs/>
          <w:iCs/>
          <w:lang w:eastAsia="es-ES_tradnl"/>
        </w:rPr>
        <w:t xml:space="preserve"> es la obligación del área administrativa del Sujeto Obligado que cuenta o puede contar con la información requerida, la cual consiste en localizar toda aquella que atienda la solicitud, </w:t>
      </w:r>
      <w:r w:rsidRPr="00422961">
        <w:rPr>
          <w:rFonts w:eastAsia="Calibri" w:cs="Tahoma"/>
          <w:b/>
          <w:bCs/>
          <w:iCs/>
          <w:lang w:eastAsia="es-ES_tradnl"/>
        </w:rPr>
        <w:t>hasta agotar por completo las posibilidades de indagación.</w:t>
      </w:r>
    </w:p>
    <w:p w14:paraId="73AD6F05" w14:textId="77777777" w:rsidR="002B04E2" w:rsidRPr="00422961" w:rsidRDefault="002B04E2" w:rsidP="002B04E2">
      <w:pPr>
        <w:tabs>
          <w:tab w:val="left" w:pos="4962"/>
        </w:tabs>
        <w:spacing w:after="0" w:line="360" w:lineRule="auto"/>
        <w:contextualSpacing/>
        <w:rPr>
          <w:rFonts w:eastAsia="Calibri" w:cs="Tahoma"/>
          <w:b/>
          <w:bCs/>
          <w:iCs/>
          <w:lang w:eastAsia="es-ES_tradnl"/>
        </w:rPr>
      </w:pPr>
    </w:p>
    <w:p w14:paraId="5F88FF63" w14:textId="77777777" w:rsidR="002B04E2" w:rsidRPr="00422961" w:rsidRDefault="002B04E2" w:rsidP="002B04E2">
      <w:pPr>
        <w:tabs>
          <w:tab w:val="left" w:pos="4962"/>
        </w:tabs>
        <w:spacing w:after="0" w:line="360" w:lineRule="auto"/>
        <w:contextualSpacing/>
        <w:rPr>
          <w:rFonts w:eastAsia="Calibri" w:cs="Tahoma"/>
          <w:b/>
          <w:bCs/>
          <w:iCs/>
          <w:lang w:eastAsia="es-ES_tradnl"/>
        </w:rPr>
      </w:pPr>
      <w:r w:rsidRPr="00422961">
        <w:rPr>
          <w:rFonts w:eastAsia="Calibri" w:cs="Tahoma"/>
          <w:bCs/>
          <w:iCs/>
          <w:lang w:eastAsia="es-ES_tradnl"/>
        </w:rPr>
        <w:t xml:space="preserve">Además, según Calero, Natalia (2016), en la “Ley General de Transparencia y Acceso a la Información Pública Comentada” (p. 408), para que exista una búsqueda exhaustiva y razonable, se debe hacer una </w:t>
      </w:r>
      <w:r w:rsidRPr="00422961">
        <w:rPr>
          <w:rFonts w:eastAsia="Calibri" w:cs="Tahoma"/>
          <w:b/>
          <w:bCs/>
          <w:iCs/>
          <w:lang w:eastAsia="es-ES_tradnl"/>
        </w:rPr>
        <w:t xml:space="preserve">indagación consiente y minuciosa en sus archivos físicos y electrónicos. </w:t>
      </w:r>
    </w:p>
    <w:p w14:paraId="25BA5A73" w14:textId="77777777" w:rsidR="002B04E2" w:rsidRPr="00422961" w:rsidRDefault="002B04E2" w:rsidP="002B04E2">
      <w:pPr>
        <w:tabs>
          <w:tab w:val="left" w:pos="4962"/>
        </w:tabs>
        <w:spacing w:after="0" w:line="360" w:lineRule="auto"/>
        <w:contextualSpacing/>
        <w:rPr>
          <w:rFonts w:eastAsia="Calibri" w:cs="Tahoma"/>
          <w:b/>
          <w:bCs/>
          <w:iCs/>
          <w:lang w:eastAsia="es-ES_tradnl"/>
        </w:rPr>
      </w:pPr>
    </w:p>
    <w:p w14:paraId="792CAD50" w14:textId="77777777" w:rsidR="002B04E2" w:rsidRPr="00422961" w:rsidRDefault="002B04E2" w:rsidP="002B04E2">
      <w:pPr>
        <w:tabs>
          <w:tab w:val="left" w:pos="4962"/>
        </w:tabs>
        <w:spacing w:after="0" w:line="360" w:lineRule="auto"/>
        <w:contextualSpacing/>
        <w:rPr>
          <w:rFonts w:eastAsia="Calibri" w:cs="Tahoma"/>
          <w:b/>
          <w:iCs/>
          <w:lang w:eastAsia="es-ES_tradnl"/>
        </w:rPr>
      </w:pPr>
      <w:r w:rsidRPr="00422961">
        <w:rPr>
          <w:rFonts w:eastAsia="Calibri" w:cs="Tahoma"/>
          <w:iCs/>
          <w:lang w:eastAsia="es-ES_tradnl"/>
        </w:rPr>
        <w:lastRenderedPageBreak/>
        <w:t xml:space="preserve">Conforme a lo anterior, para poder acreditar el carácter exhaustivo de la búsqueda realizada por los Sujetos Obligados, se deben motivar las razones por las que se buscó la información en determinadas áreas, </w:t>
      </w:r>
      <w:r w:rsidRPr="00422961">
        <w:rPr>
          <w:rFonts w:eastAsia="Calibri" w:cs="Tahoma"/>
          <w:b/>
          <w:iCs/>
          <w:lang w:eastAsia="es-ES_tradnl"/>
        </w:rPr>
        <w:t>los criterios de búsqueda utilizados y demás circunstancias que fueron tomadas en cuenta.</w:t>
      </w:r>
    </w:p>
    <w:p w14:paraId="4201D777" w14:textId="77777777" w:rsidR="002B04E2" w:rsidRPr="00422961" w:rsidRDefault="002B04E2" w:rsidP="002B04E2">
      <w:pPr>
        <w:tabs>
          <w:tab w:val="left" w:pos="4962"/>
        </w:tabs>
        <w:spacing w:after="0" w:line="360" w:lineRule="auto"/>
        <w:contextualSpacing/>
        <w:rPr>
          <w:rFonts w:eastAsia="Calibri" w:cs="Tahoma"/>
          <w:iCs/>
          <w:lang w:eastAsia="es-ES_tradnl"/>
        </w:rPr>
      </w:pPr>
    </w:p>
    <w:p w14:paraId="5BB3BE61" w14:textId="77777777" w:rsidR="002B04E2" w:rsidRPr="00422961" w:rsidRDefault="002B04E2" w:rsidP="002B04E2">
      <w:pPr>
        <w:tabs>
          <w:tab w:val="left" w:pos="4962"/>
        </w:tabs>
        <w:spacing w:after="0" w:line="360" w:lineRule="auto"/>
        <w:contextualSpacing/>
        <w:rPr>
          <w:rFonts w:eastAsia="Calibri" w:cs="Tahoma"/>
          <w:iCs/>
          <w:lang w:eastAsia="es-ES_tradnl"/>
        </w:rPr>
      </w:pPr>
      <w:r w:rsidRPr="00422961">
        <w:rPr>
          <w:rFonts w:eastAsia="Calibri" w:cs="Tahoma"/>
          <w:iCs/>
          <w:lang w:eastAsia="es-ES_tradnl"/>
        </w:rPr>
        <w:t>En ese contexto, de conformidad con los criterios con</w:t>
      </w:r>
      <w:r w:rsidRPr="00422961">
        <w:rPr>
          <w:rFonts w:eastAsia="Calibri" w:cs="Tahoma"/>
          <w:bCs/>
          <w:iCs/>
          <w:lang w:eastAsia="es-ES_tradnl"/>
        </w:rPr>
        <w:t xml:space="preserve"> clave de control SO/012/2010 y SO/004/2019</w:t>
      </w:r>
      <w:r w:rsidRPr="00422961">
        <w:rPr>
          <w:rFonts w:eastAsia="Calibri" w:cs="Tahoma"/>
          <w:iCs/>
          <w:lang w:eastAsia="es-ES_tradnl"/>
        </w:rPr>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199B7A63" w14:textId="77777777" w:rsidR="002B04E2" w:rsidRPr="00422961" w:rsidRDefault="002B04E2" w:rsidP="002B04E2">
      <w:pPr>
        <w:tabs>
          <w:tab w:val="left" w:pos="4962"/>
        </w:tabs>
        <w:spacing w:after="0" w:line="360" w:lineRule="auto"/>
        <w:contextualSpacing/>
        <w:rPr>
          <w:rFonts w:eastAsia="Calibri" w:cs="Tahoma"/>
          <w:iCs/>
          <w:lang w:eastAsia="es-ES_tradnl"/>
        </w:rPr>
      </w:pPr>
    </w:p>
    <w:p w14:paraId="7CB2F80F" w14:textId="77777777" w:rsidR="002B04E2" w:rsidRPr="00422961" w:rsidRDefault="002B04E2" w:rsidP="002B04E2">
      <w:pPr>
        <w:numPr>
          <w:ilvl w:val="0"/>
          <w:numId w:val="26"/>
        </w:numPr>
        <w:tabs>
          <w:tab w:val="left" w:pos="4962"/>
        </w:tabs>
        <w:spacing w:after="0" w:line="360" w:lineRule="auto"/>
        <w:contextualSpacing/>
        <w:rPr>
          <w:rFonts w:eastAsia="Calibri" w:cs="Tahoma"/>
          <w:iCs/>
          <w:lang w:eastAsia="es-ES_tradnl"/>
        </w:rPr>
      </w:pPr>
      <w:r w:rsidRPr="00422961">
        <w:rPr>
          <w:rFonts w:eastAsia="Calibri" w:cs="Tahoma"/>
          <w:iCs/>
          <w:lang w:eastAsia="es-ES_tradnl"/>
        </w:rPr>
        <w:t>Motivación por las que se buscó la información, en determinadas unidades administrativas;</w:t>
      </w:r>
    </w:p>
    <w:p w14:paraId="78E35E51" w14:textId="77777777" w:rsidR="002B04E2" w:rsidRPr="00422961" w:rsidRDefault="002B04E2" w:rsidP="002B04E2">
      <w:pPr>
        <w:numPr>
          <w:ilvl w:val="0"/>
          <w:numId w:val="26"/>
        </w:numPr>
        <w:tabs>
          <w:tab w:val="left" w:pos="4962"/>
        </w:tabs>
        <w:spacing w:after="0" w:line="360" w:lineRule="auto"/>
        <w:contextualSpacing/>
        <w:rPr>
          <w:rFonts w:eastAsia="Calibri" w:cs="Tahoma"/>
          <w:iCs/>
          <w:lang w:eastAsia="es-ES_tradnl"/>
        </w:rPr>
      </w:pPr>
      <w:r w:rsidRPr="00422961">
        <w:rPr>
          <w:rFonts w:eastAsia="Calibri" w:cs="Tahoma"/>
          <w:iCs/>
          <w:lang w:eastAsia="es-ES_tradnl"/>
        </w:rPr>
        <w:t>Los criterios de búsqueda utilizados, y</w:t>
      </w:r>
    </w:p>
    <w:p w14:paraId="45A647D4" w14:textId="77777777" w:rsidR="002B04E2" w:rsidRPr="00422961" w:rsidRDefault="002B04E2" w:rsidP="002B04E2">
      <w:pPr>
        <w:numPr>
          <w:ilvl w:val="0"/>
          <w:numId w:val="26"/>
        </w:numPr>
        <w:tabs>
          <w:tab w:val="left" w:pos="4962"/>
        </w:tabs>
        <w:spacing w:after="0" w:line="360" w:lineRule="auto"/>
        <w:contextualSpacing/>
        <w:rPr>
          <w:rFonts w:eastAsia="Calibri" w:cs="Tahoma"/>
          <w:iCs/>
          <w:lang w:eastAsia="es-ES_tradnl"/>
        </w:rPr>
      </w:pPr>
      <w:r w:rsidRPr="00422961">
        <w:rPr>
          <w:rFonts w:eastAsia="Calibri" w:cs="Tahoma"/>
          <w:iCs/>
          <w:lang w:eastAsia="es-ES_tradnl"/>
        </w:rPr>
        <w:t>Las circunstancias que fueron tomadas en cuenta.</w:t>
      </w:r>
    </w:p>
    <w:p w14:paraId="171E7A57" w14:textId="77777777" w:rsidR="002B04E2" w:rsidRPr="00422961" w:rsidRDefault="002B04E2" w:rsidP="002B04E2">
      <w:pPr>
        <w:tabs>
          <w:tab w:val="left" w:pos="4962"/>
        </w:tabs>
        <w:spacing w:after="0" w:line="360" w:lineRule="auto"/>
        <w:contextualSpacing/>
        <w:rPr>
          <w:rFonts w:eastAsia="Calibri" w:cs="Tahoma"/>
          <w:iCs/>
          <w:lang w:eastAsia="es-ES_tradnl"/>
        </w:rPr>
      </w:pPr>
    </w:p>
    <w:p w14:paraId="07482BC8" w14:textId="77777777" w:rsidR="002B04E2" w:rsidRPr="00422961" w:rsidRDefault="002B04E2" w:rsidP="002B04E2">
      <w:pPr>
        <w:tabs>
          <w:tab w:val="left" w:pos="4962"/>
        </w:tabs>
        <w:spacing w:after="0" w:line="360" w:lineRule="auto"/>
        <w:contextualSpacing/>
        <w:rPr>
          <w:rFonts w:eastAsia="Calibri" w:cs="Tahoma"/>
          <w:iCs/>
          <w:lang w:eastAsia="es-ES_tradnl"/>
        </w:rPr>
      </w:pPr>
      <w:r w:rsidRPr="00422961">
        <w:rPr>
          <w:rFonts w:eastAsia="Calibri" w:cs="Tahoma"/>
          <w:iCs/>
          <w:lang w:eastAsia="es-ES_tradnl"/>
        </w:rPr>
        <w:t>De tales circunstancias, se considera que para que los Sujetos Obligado justifiquen que realizaron una búsqueda exhaustiva y razonable, deben indicar de manera clara, lo siguiente:</w:t>
      </w:r>
    </w:p>
    <w:p w14:paraId="76C458C4" w14:textId="77777777" w:rsidR="002B04E2" w:rsidRPr="00422961" w:rsidRDefault="002B04E2" w:rsidP="002B04E2">
      <w:pPr>
        <w:tabs>
          <w:tab w:val="left" w:pos="4962"/>
        </w:tabs>
        <w:spacing w:after="0" w:line="360" w:lineRule="auto"/>
        <w:contextualSpacing/>
        <w:rPr>
          <w:rFonts w:eastAsia="Calibri" w:cs="Tahoma"/>
          <w:iCs/>
          <w:lang w:eastAsia="es-ES_tradnl"/>
        </w:rPr>
      </w:pPr>
    </w:p>
    <w:p w14:paraId="658E517C" w14:textId="77777777" w:rsidR="002B04E2" w:rsidRPr="00422961" w:rsidRDefault="002B04E2" w:rsidP="002B04E2">
      <w:pPr>
        <w:numPr>
          <w:ilvl w:val="0"/>
          <w:numId w:val="27"/>
        </w:numPr>
        <w:tabs>
          <w:tab w:val="left" w:pos="4962"/>
        </w:tabs>
        <w:spacing w:after="0" w:line="360" w:lineRule="auto"/>
        <w:contextualSpacing/>
        <w:rPr>
          <w:rFonts w:eastAsia="Calibri" w:cs="Tahoma"/>
          <w:iCs/>
          <w:lang w:eastAsia="es-ES_tradnl"/>
        </w:rPr>
      </w:pPr>
      <w:r w:rsidRPr="00422961">
        <w:rPr>
          <w:rFonts w:eastAsia="Calibri" w:cs="Tahoma"/>
          <w:iCs/>
          <w:lang w:eastAsia="es-ES_tradnl"/>
        </w:rPr>
        <w:t>Las áreas donde se buscó la información;</w:t>
      </w:r>
    </w:p>
    <w:p w14:paraId="1FD8ECAC" w14:textId="77777777" w:rsidR="002B04E2" w:rsidRPr="00422961" w:rsidRDefault="002B04E2" w:rsidP="002B04E2">
      <w:pPr>
        <w:numPr>
          <w:ilvl w:val="0"/>
          <w:numId w:val="27"/>
        </w:numPr>
        <w:tabs>
          <w:tab w:val="left" w:pos="4962"/>
        </w:tabs>
        <w:spacing w:after="0" w:line="360" w:lineRule="auto"/>
        <w:contextualSpacing/>
        <w:rPr>
          <w:rFonts w:eastAsia="Calibri" w:cs="Tahoma"/>
          <w:iCs/>
          <w:lang w:eastAsia="es-ES_tradnl"/>
        </w:rPr>
      </w:pPr>
      <w:r w:rsidRPr="00422961">
        <w:rPr>
          <w:rFonts w:eastAsia="Calibri" w:cs="Tahoma"/>
          <w:iCs/>
          <w:lang w:eastAsia="es-ES_tradnl"/>
        </w:rPr>
        <w:t>Tipo de archivos buscados (físicos o electrónicos);</w:t>
      </w:r>
    </w:p>
    <w:p w14:paraId="5FFC482B" w14:textId="77777777" w:rsidR="002B04E2" w:rsidRPr="00422961" w:rsidRDefault="002B04E2" w:rsidP="002B04E2">
      <w:pPr>
        <w:numPr>
          <w:ilvl w:val="0"/>
          <w:numId w:val="27"/>
        </w:numPr>
        <w:tabs>
          <w:tab w:val="left" w:pos="4962"/>
        </w:tabs>
        <w:spacing w:after="0" w:line="360" w:lineRule="auto"/>
        <w:contextualSpacing/>
        <w:rPr>
          <w:rFonts w:eastAsia="Calibri" w:cs="Tahoma"/>
          <w:iCs/>
          <w:lang w:eastAsia="es-ES_tradnl"/>
        </w:rPr>
      </w:pPr>
      <w:r w:rsidRPr="00422961">
        <w:rPr>
          <w:rFonts w:eastAsia="Calibri" w:cs="Tahoma"/>
          <w:iCs/>
          <w:lang w:eastAsia="es-ES_tradnl"/>
        </w:rPr>
        <w:t xml:space="preserve">Los criterios de búsqueda utilizados, y </w:t>
      </w:r>
    </w:p>
    <w:p w14:paraId="6C69709C" w14:textId="77777777" w:rsidR="002B04E2" w:rsidRPr="00422961" w:rsidRDefault="002B04E2" w:rsidP="002B04E2">
      <w:pPr>
        <w:numPr>
          <w:ilvl w:val="0"/>
          <w:numId w:val="27"/>
        </w:numPr>
        <w:tabs>
          <w:tab w:val="left" w:pos="4962"/>
        </w:tabs>
        <w:spacing w:after="0" w:line="360" w:lineRule="auto"/>
        <w:contextualSpacing/>
        <w:rPr>
          <w:rFonts w:eastAsia="Calibri" w:cs="Tahoma"/>
          <w:iCs/>
          <w:lang w:eastAsia="es-ES_tradnl"/>
        </w:rPr>
      </w:pPr>
      <w:r w:rsidRPr="00422961">
        <w:rPr>
          <w:rFonts w:eastAsia="Calibri" w:cs="Tahoma"/>
          <w:iCs/>
          <w:lang w:eastAsia="es-ES_tradnl"/>
        </w:rPr>
        <w:t>Las circunstancias que fueron tomadas en cuenta.</w:t>
      </w:r>
      <w:r w:rsidRPr="00422961">
        <w:rPr>
          <w:rFonts w:eastAsia="Calibri" w:cs="Tahoma"/>
          <w:iCs/>
          <w:lang w:eastAsia="es-ES_tradnl"/>
        </w:rPr>
        <w:tab/>
      </w:r>
    </w:p>
    <w:p w14:paraId="24120C75" w14:textId="77777777" w:rsidR="002B04E2" w:rsidRPr="00422961" w:rsidRDefault="002B04E2" w:rsidP="002B04E2">
      <w:pPr>
        <w:spacing w:after="0" w:line="360" w:lineRule="auto"/>
        <w:rPr>
          <w:rFonts w:eastAsia="Calibri" w:cs="Tahoma"/>
          <w:iCs/>
          <w:lang w:eastAsia="es-ES_tradnl"/>
        </w:rPr>
      </w:pPr>
    </w:p>
    <w:p w14:paraId="6945221E" w14:textId="031F3759" w:rsidR="00026330" w:rsidRPr="00422961" w:rsidRDefault="002B04E2" w:rsidP="002B04E2">
      <w:pPr>
        <w:spacing w:after="0" w:line="360" w:lineRule="auto"/>
        <w:rPr>
          <w:rFonts w:eastAsia="Calibri" w:cs="Times New Roman"/>
          <w:b/>
          <w:bCs/>
        </w:rPr>
      </w:pPr>
      <w:r w:rsidRPr="00422961">
        <w:rPr>
          <w:rFonts w:eastAsia="Calibri" w:cs="Tahoma"/>
          <w:iCs/>
          <w:lang w:eastAsia="es-ES_tradnl"/>
        </w:rPr>
        <w:lastRenderedPageBreak/>
        <w:t xml:space="preserve">En atención a lo anterior y con base a lo expuesto en párrafos anteriores, se logra vislumbrar que no se turnó la solicitud de información a todas las unidades administrativas competentes, pues se omitió turnar a la Dirección de Gobernación encargada de </w:t>
      </w:r>
      <w:r w:rsidRPr="00422961">
        <w:rPr>
          <w:rFonts w:eastAsia="Calibri" w:cs="Tahoma"/>
        </w:rPr>
        <w:t xml:space="preserve">otorgar los permisos para las personas Físicas o Jurídico Colectivas que deseen llevar a cabo eventos tales como los Bazares en áreas privadas o públicas, </w:t>
      </w:r>
      <w:r w:rsidRPr="00422961">
        <w:rPr>
          <w:rFonts w:eastAsia="Calibri" w:cs="Tahoma"/>
          <w:iCs/>
          <w:lang w:eastAsia="es-ES_tradnl"/>
        </w:rPr>
        <w:t xml:space="preserve">a efecto de que esta verificara si existen permisos para bazares en la temporalidad solicitada, por lo que, </w:t>
      </w:r>
      <w:r w:rsidR="00026330" w:rsidRPr="00422961">
        <w:rPr>
          <w:rFonts w:eastAsia="Times New Roman" w:cs="Times New Roman"/>
          <w:lang w:eastAsia="es-ES"/>
        </w:rPr>
        <w:t xml:space="preserve">el </w:t>
      </w:r>
      <w:r w:rsidR="00026330" w:rsidRPr="00422961">
        <w:rPr>
          <w:rFonts w:eastAsia="Calibri" w:cs="Times New Roman"/>
        </w:rPr>
        <w:t xml:space="preserve">agravio </w:t>
      </w:r>
      <w:r w:rsidRPr="00422961">
        <w:rPr>
          <w:rFonts w:eastAsia="Calibri" w:cs="Times New Roman"/>
        </w:rPr>
        <w:t>resulta ser</w:t>
      </w:r>
      <w:r w:rsidR="00026330" w:rsidRPr="00422961">
        <w:rPr>
          <w:rFonts w:eastAsia="Calibri" w:cs="Times New Roman"/>
        </w:rPr>
        <w:t xml:space="preserve"> </w:t>
      </w:r>
      <w:r w:rsidR="00026330" w:rsidRPr="00422961">
        <w:rPr>
          <w:rFonts w:eastAsia="Calibri" w:cs="Times New Roman"/>
          <w:b/>
          <w:bCs/>
        </w:rPr>
        <w:t>PARCIALMENTE</w:t>
      </w:r>
      <w:r w:rsidR="00026330" w:rsidRPr="00422961">
        <w:rPr>
          <w:rFonts w:eastAsia="Calibri" w:cs="Times New Roman"/>
        </w:rPr>
        <w:t xml:space="preserve"> </w:t>
      </w:r>
      <w:r w:rsidR="00026330" w:rsidRPr="00422961">
        <w:rPr>
          <w:rFonts w:eastAsia="Calibri" w:cs="Times New Roman"/>
          <w:b/>
          <w:bCs/>
        </w:rPr>
        <w:t>FUNDADO</w:t>
      </w:r>
      <w:r w:rsidRPr="00422961">
        <w:rPr>
          <w:rFonts w:eastAsia="Calibri" w:cs="Times New Roman"/>
          <w:b/>
          <w:bCs/>
        </w:rPr>
        <w:t>.</w:t>
      </w:r>
    </w:p>
    <w:p w14:paraId="589010D2" w14:textId="77777777" w:rsidR="002B04E2" w:rsidRPr="00422961" w:rsidRDefault="002B04E2" w:rsidP="002B04E2">
      <w:pPr>
        <w:spacing w:after="0" w:line="360" w:lineRule="auto"/>
        <w:rPr>
          <w:rFonts w:eastAsia="Calibri" w:cs="Times New Roman"/>
          <w:b/>
          <w:bCs/>
        </w:rPr>
      </w:pPr>
    </w:p>
    <w:p w14:paraId="4C85BF1C" w14:textId="47E43E86" w:rsidR="002B04E2" w:rsidRPr="00422961" w:rsidRDefault="002B04E2" w:rsidP="002B04E2">
      <w:pPr>
        <w:spacing w:after="0" w:line="360" w:lineRule="auto"/>
        <w:rPr>
          <w:rFonts w:eastAsia="Times New Roman" w:cs="Times New Roman"/>
          <w:bCs/>
          <w:lang w:eastAsia="es-ES"/>
        </w:rPr>
      </w:pPr>
      <w:r w:rsidRPr="00422961">
        <w:rPr>
          <w:rFonts w:eastAsia="Times New Roman" w:cs="Times New Roman"/>
          <w:bCs/>
          <w:lang w:eastAsia="es-ES"/>
        </w:rPr>
        <w:t xml:space="preserve">Por lo anterior, este Instituto considera que, para atender el requerimiento de información, el Sujeto Obligado deberá realizar una búsqueda exhaustiva y razonable en los archivos de la Dirección de Gobernación, a efecto de proporcionar los permisos de bazares con los requisitos que los acrediten, del primero de enero al </w:t>
      </w:r>
      <w:r w:rsidR="003C373E" w:rsidRPr="00422961">
        <w:rPr>
          <w:rFonts w:eastAsia="Times New Roman" w:cs="Times New Roman"/>
          <w:bCs/>
          <w:lang w:eastAsia="es-ES"/>
        </w:rPr>
        <w:t xml:space="preserve">cinco </w:t>
      </w:r>
      <w:r w:rsidRPr="00422961">
        <w:rPr>
          <w:rFonts w:eastAsia="Times New Roman" w:cs="Times New Roman"/>
          <w:bCs/>
          <w:lang w:eastAsia="es-ES"/>
        </w:rPr>
        <w:t>de agosto de dos mil veinticuatro;</w:t>
      </w:r>
      <w:r w:rsidRPr="00422961">
        <w:rPr>
          <w:rFonts w:eastAsia="Times New Roman" w:cs="Times New Roman"/>
          <w:lang w:eastAsia="es-ES"/>
        </w:rPr>
        <w:t xml:space="preserve"> dicha determinación toma sustento, en el artículo 12 de la Ley de la materia,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42016173" w14:textId="77777777" w:rsidR="002B04E2" w:rsidRPr="00422961" w:rsidRDefault="002B04E2" w:rsidP="002B04E2">
      <w:pPr>
        <w:spacing w:after="0" w:line="360" w:lineRule="auto"/>
        <w:rPr>
          <w:rFonts w:eastAsia="Times New Roman" w:cs="Times New Roman"/>
          <w:lang w:eastAsia="es-ES"/>
        </w:rPr>
      </w:pPr>
    </w:p>
    <w:p w14:paraId="4A044F2B" w14:textId="77777777" w:rsidR="002B04E2" w:rsidRPr="00422961" w:rsidRDefault="002B04E2" w:rsidP="002B04E2">
      <w:pPr>
        <w:spacing w:after="0" w:line="360" w:lineRule="auto"/>
        <w:rPr>
          <w:rFonts w:eastAsia="Times New Roman" w:cs="Times New Roman"/>
          <w:lang w:eastAsia="es-ES"/>
        </w:rPr>
      </w:pPr>
      <w:r w:rsidRPr="00422961">
        <w:rPr>
          <w:rFonts w:eastAsia="Times New Roman" w:cs="Times New Roman"/>
          <w:lang w:eastAsia="es-ES"/>
        </w:rPr>
        <w:t xml:space="preserve">De esta manera, el derecho de acceso a la información pública se satisface en aquellos casos en que se entregue el soporte documental en el que conste la información solicitada, sin necesidad de elaborar documentos </w:t>
      </w:r>
      <w:r w:rsidRPr="00422961">
        <w:rPr>
          <w:rFonts w:eastAsia="Times New Roman" w:cs="Times New Roman"/>
          <w:i/>
          <w:lang w:eastAsia="es-ES"/>
        </w:rPr>
        <w:t>ad hoc</w:t>
      </w:r>
      <w:r w:rsidRPr="00422961">
        <w:rPr>
          <w:rFonts w:eastAsia="Times New Roman" w:cs="Times New Roman"/>
          <w:lang w:eastAsia="es-ES"/>
        </w:rPr>
        <w:t>, situación que toma sustento, toma sustento en el artículo 160 de la Ley de Transparencia y Acceso a la Información Pública del Estado de México y Municipios, el cual refiere que los sujetos obligados únicamente deberán entregar la información que obre en sus archivos.</w:t>
      </w:r>
    </w:p>
    <w:p w14:paraId="225E0F05" w14:textId="77777777" w:rsidR="002B04E2" w:rsidRPr="00422961" w:rsidRDefault="002B04E2" w:rsidP="002B04E2">
      <w:pPr>
        <w:spacing w:after="0" w:line="360" w:lineRule="auto"/>
        <w:rPr>
          <w:rFonts w:eastAsia="Times New Roman" w:cs="Times New Roman"/>
          <w:lang w:eastAsia="es-ES"/>
        </w:rPr>
      </w:pPr>
    </w:p>
    <w:p w14:paraId="0D7309F6" w14:textId="31587230" w:rsidR="002B04E2" w:rsidRPr="00422961" w:rsidRDefault="002B04E2" w:rsidP="002B04E2">
      <w:pPr>
        <w:spacing w:after="0" w:line="360" w:lineRule="auto"/>
        <w:rPr>
          <w:rFonts w:eastAsia="Times New Roman" w:cs="Times New Roman"/>
          <w:lang w:eastAsia="es-ES"/>
        </w:rPr>
      </w:pPr>
      <w:r w:rsidRPr="00422961">
        <w:rPr>
          <w:rFonts w:eastAsia="Times New Roman" w:cs="Times New Roman"/>
          <w:lang w:eastAsia="es-ES"/>
        </w:rPr>
        <w:lastRenderedPageBreak/>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entregar los </w:t>
      </w:r>
      <w:r w:rsidR="00EA64C5" w:rsidRPr="00422961">
        <w:rPr>
          <w:rFonts w:eastAsia="Times New Roman" w:cs="Times New Roman"/>
          <w:lang w:eastAsia="es-ES"/>
        </w:rPr>
        <w:t>expedientes, con sus respectivos permisos</w:t>
      </w:r>
      <w:r w:rsidRPr="00422961">
        <w:rPr>
          <w:rFonts w:eastAsia="Times New Roman" w:cs="Times New Roman"/>
          <w:lang w:eastAsia="es-ES"/>
        </w:rPr>
        <w:t>.</w:t>
      </w:r>
    </w:p>
    <w:p w14:paraId="530C7395" w14:textId="77777777" w:rsidR="002B04E2" w:rsidRPr="00422961" w:rsidRDefault="002B04E2" w:rsidP="002B04E2">
      <w:pPr>
        <w:spacing w:after="0" w:line="360" w:lineRule="auto"/>
        <w:rPr>
          <w:rFonts w:eastAsia="Times New Roman" w:cs="Times New Roman"/>
          <w:lang w:eastAsia="es-ES"/>
        </w:rPr>
      </w:pPr>
    </w:p>
    <w:p w14:paraId="05C714B2" w14:textId="77777777" w:rsidR="00EA64C5" w:rsidRPr="00422961" w:rsidRDefault="00EA64C5" w:rsidP="00EA64C5">
      <w:pPr>
        <w:spacing w:after="0" w:line="360" w:lineRule="auto"/>
        <w:rPr>
          <w:rFonts w:eastAsia="Times New Roman" w:cs="Tahoma"/>
          <w:szCs w:val="24"/>
          <w:lang w:eastAsia="es-ES"/>
        </w:rPr>
      </w:pPr>
      <w:r w:rsidRPr="00422961">
        <w:rPr>
          <w:rFonts w:eastAsia="Times New Roman" w:cs="Tahoma"/>
          <w:szCs w:val="24"/>
          <w:lang w:eastAsia="es-ES"/>
        </w:rPr>
        <w:t>contienen datos que pudieran ser considerados personales, a saber, los siguientes:</w:t>
      </w:r>
    </w:p>
    <w:p w14:paraId="4171924F" w14:textId="77777777" w:rsidR="00EA64C5" w:rsidRPr="00422961" w:rsidRDefault="00EA64C5" w:rsidP="00EA64C5">
      <w:pPr>
        <w:spacing w:after="0" w:line="360" w:lineRule="auto"/>
        <w:rPr>
          <w:rFonts w:eastAsia="Times New Roman" w:cs="Tahoma"/>
          <w:szCs w:val="24"/>
          <w:lang w:eastAsia="es-ES"/>
        </w:rPr>
      </w:pPr>
    </w:p>
    <w:p w14:paraId="3D06A988" w14:textId="546412E0" w:rsidR="00EA64C5" w:rsidRPr="00422961" w:rsidRDefault="00EA64C5" w:rsidP="00EA64C5">
      <w:pPr>
        <w:numPr>
          <w:ilvl w:val="0"/>
          <w:numId w:val="30"/>
        </w:numPr>
        <w:spacing w:after="0" w:line="360" w:lineRule="auto"/>
        <w:contextualSpacing/>
        <w:jc w:val="left"/>
        <w:rPr>
          <w:rFonts w:eastAsia="Times New Roman" w:cs="Tahoma"/>
          <w:szCs w:val="24"/>
          <w:lang w:eastAsia="es-ES"/>
        </w:rPr>
      </w:pPr>
      <w:r w:rsidRPr="00422961">
        <w:rPr>
          <w:rFonts w:eastAsia="Times New Roman" w:cs="Tahoma"/>
          <w:szCs w:val="24"/>
          <w:lang w:eastAsia="es-ES"/>
        </w:rPr>
        <w:t>Nombre del Titular del permiso;</w:t>
      </w:r>
    </w:p>
    <w:p w14:paraId="43A28F29" w14:textId="121F7A5E" w:rsidR="00EA64C5" w:rsidRPr="00422961" w:rsidRDefault="00EA64C5" w:rsidP="00EA64C5">
      <w:pPr>
        <w:numPr>
          <w:ilvl w:val="0"/>
          <w:numId w:val="30"/>
        </w:numPr>
        <w:spacing w:after="0" w:line="360" w:lineRule="auto"/>
        <w:contextualSpacing/>
        <w:jc w:val="left"/>
        <w:rPr>
          <w:rFonts w:eastAsia="Times New Roman" w:cs="Tahoma"/>
          <w:szCs w:val="24"/>
          <w:lang w:eastAsia="es-ES"/>
        </w:rPr>
      </w:pPr>
      <w:r w:rsidRPr="00422961">
        <w:rPr>
          <w:rFonts w:eastAsia="Times New Roman" w:cs="Tahoma"/>
          <w:szCs w:val="24"/>
          <w:lang w:eastAsia="es-ES"/>
        </w:rPr>
        <w:t>Registro Federal de Contribuyentes;</w:t>
      </w:r>
    </w:p>
    <w:p w14:paraId="141D9245" w14:textId="77777777" w:rsidR="00EA64C5" w:rsidRPr="00422961" w:rsidRDefault="00EA64C5" w:rsidP="00EA64C5">
      <w:pPr>
        <w:numPr>
          <w:ilvl w:val="0"/>
          <w:numId w:val="30"/>
        </w:numPr>
        <w:spacing w:after="0" w:line="360" w:lineRule="auto"/>
        <w:contextualSpacing/>
        <w:jc w:val="left"/>
        <w:rPr>
          <w:rFonts w:eastAsia="Times New Roman" w:cs="Tahoma"/>
          <w:szCs w:val="24"/>
          <w:lang w:eastAsia="es-ES"/>
        </w:rPr>
      </w:pPr>
      <w:r w:rsidRPr="00422961">
        <w:rPr>
          <w:rFonts w:eastAsia="Times New Roman" w:cs="Tahoma"/>
          <w:szCs w:val="24"/>
          <w:lang w:eastAsia="es-ES"/>
        </w:rPr>
        <w:t>Domicilio del establecimiento;</w:t>
      </w:r>
    </w:p>
    <w:p w14:paraId="4D812699" w14:textId="43414882" w:rsidR="00EA64C5" w:rsidRPr="00422961" w:rsidRDefault="00EA64C5" w:rsidP="00EA64C5">
      <w:pPr>
        <w:numPr>
          <w:ilvl w:val="0"/>
          <w:numId w:val="30"/>
        </w:numPr>
        <w:spacing w:after="0" w:line="360" w:lineRule="auto"/>
        <w:contextualSpacing/>
        <w:jc w:val="left"/>
        <w:rPr>
          <w:rFonts w:eastAsia="Times New Roman" w:cs="Tahoma"/>
          <w:szCs w:val="24"/>
          <w:lang w:eastAsia="es-ES"/>
        </w:rPr>
      </w:pPr>
      <w:r w:rsidRPr="00422961">
        <w:rPr>
          <w:rFonts w:eastAsia="Times New Roman" w:cs="Tahoma"/>
          <w:szCs w:val="24"/>
          <w:lang w:eastAsia="es-ES"/>
        </w:rPr>
        <w:t>Clave catastral;</w:t>
      </w:r>
    </w:p>
    <w:p w14:paraId="7B8DBE91" w14:textId="4E2D4E7C" w:rsidR="00EA64C5" w:rsidRPr="00422961" w:rsidRDefault="00EA64C5" w:rsidP="00EA64C5">
      <w:pPr>
        <w:numPr>
          <w:ilvl w:val="0"/>
          <w:numId w:val="30"/>
        </w:numPr>
        <w:spacing w:after="0" w:line="360" w:lineRule="auto"/>
        <w:contextualSpacing/>
        <w:jc w:val="left"/>
        <w:rPr>
          <w:rFonts w:eastAsia="Times New Roman" w:cs="Tahoma"/>
          <w:szCs w:val="24"/>
          <w:lang w:eastAsia="es-ES"/>
        </w:rPr>
      </w:pPr>
      <w:r w:rsidRPr="00422961">
        <w:rPr>
          <w:rFonts w:eastAsia="Times New Roman" w:cs="Tahoma"/>
          <w:szCs w:val="24"/>
          <w:lang w:eastAsia="es-ES"/>
        </w:rPr>
        <w:t>Credencial de elector;</w:t>
      </w:r>
    </w:p>
    <w:p w14:paraId="26B14328" w14:textId="66E4C0DE" w:rsidR="00EA64C5" w:rsidRPr="00422961" w:rsidRDefault="00EA64C5" w:rsidP="00EA64C5">
      <w:pPr>
        <w:numPr>
          <w:ilvl w:val="0"/>
          <w:numId w:val="30"/>
        </w:numPr>
        <w:spacing w:after="0" w:line="360" w:lineRule="auto"/>
        <w:contextualSpacing/>
        <w:jc w:val="left"/>
        <w:rPr>
          <w:rFonts w:eastAsia="Times New Roman" w:cs="Tahoma"/>
          <w:szCs w:val="24"/>
          <w:lang w:eastAsia="es-ES"/>
        </w:rPr>
      </w:pPr>
      <w:r w:rsidRPr="00422961">
        <w:rPr>
          <w:rFonts w:eastAsia="Times New Roman" w:cs="Tahoma"/>
          <w:szCs w:val="24"/>
          <w:lang w:eastAsia="es-ES"/>
        </w:rPr>
        <w:t>Acta constitutiva.</w:t>
      </w:r>
    </w:p>
    <w:p w14:paraId="6EB2AAFF" w14:textId="77777777" w:rsidR="00EA64C5" w:rsidRPr="00422961" w:rsidRDefault="00EA64C5" w:rsidP="00EA64C5">
      <w:pPr>
        <w:spacing w:after="0" w:line="360" w:lineRule="auto"/>
        <w:rPr>
          <w:rFonts w:eastAsia="Calibri" w:cs="Tahoma"/>
          <w:b/>
          <w:color w:val="FF0000"/>
        </w:rPr>
      </w:pPr>
    </w:p>
    <w:p w14:paraId="5756FCA9" w14:textId="77777777" w:rsidR="00EA64C5" w:rsidRPr="00422961" w:rsidRDefault="00EA64C5" w:rsidP="00EA64C5">
      <w:pPr>
        <w:spacing w:after="0" w:line="360" w:lineRule="auto"/>
        <w:rPr>
          <w:rFonts w:eastAsia="Times New Roman" w:cs="Tahoma"/>
          <w:bCs/>
          <w:lang w:eastAsia="es-ES"/>
        </w:rPr>
      </w:pPr>
      <w:r w:rsidRPr="00422961">
        <w:rPr>
          <w:rFonts w:eastAsia="Times New Roman" w:cs="Tahoma"/>
          <w:bCs/>
          <w:lang w:eastAsia="es-ES"/>
        </w:rPr>
        <w:t>Así se procede analizar, si los datos previamente referidos son considerados confidenciales o públicos, conforme a la normatividad aplicable.</w:t>
      </w:r>
    </w:p>
    <w:p w14:paraId="3F27BB55" w14:textId="77777777" w:rsidR="00EA64C5" w:rsidRPr="00422961" w:rsidRDefault="00EA64C5" w:rsidP="00EA64C5">
      <w:pPr>
        <w:spacing w:after="0" w:line="360" w:lineRule="auto"/>
        <w:rPr>
          <w:rFonts w:eastAsia="Times New Roman" w:cs="Tahoma"/>
          <w:bCs/>
          <w:lang w:eastAsia="es-ES"/>
        </w:rPr>
      </w:pPr>
    </w:p>
    <w:p w14:paraId="724A80D8" w14:textId="77777777" w:rsidR="00EA64C5" w:rsidRPr="00422961" w:rsidRDefault="00EA64C5" w:rsidP="00EA64C5">
      <w:pPr>
        <w:spacing w:after="0" w:line="360" w:lineRule="auto"/>
        <w:rPr>
          <w:rFonts w:eastAsia="Times New Roman" w:cs="Tahoma"/>
          <w:szCs w:val="24"/>
          <w:lang w:eastAsia="es-ES"/>
        </w:rPr>
      </w:pPr>
      <w:r w:rsidRPr="00422961">
        <w:rPr>
          <w:rFonts w:eastAsia="Calibri" w:cs="Tahoma"/>
          <w:bCs/>
        </w:rPr>
        <w:t xml:space="preserve">Al respecto, de conformidad con el artículo 3°, fracción IX, de la Ley de Transparencia y Acceso a la Información Pública del Estado de México y Municipios, con relación el diverso 4°, fracciones XI y XII, de la Ley de Protección de Datos Personales en Posesión de Sujetos </w:t>
      </w:r>
      <w:r w:rsidRPr="00422961">
        <w:rPr>
          <w:rFonts w:eastAsia="Times New Roman" w:cs="Tahoma"/>
          <w:szCs w:val="24"/>
          <w:lang w:eastAsia="es-ES"/>
        </w:rPr>
        <w:t xml:space="preserve">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2F3DDDEC" w14:textId="77777777" w:rsidR="00EA64C5" w:rsidRPr="00422961" w:rsidRDefault="00EA64C5" w:rsidP="00EA64C5">
      <w:pPr>
        <w:spacing w:after="0" w:line="360" w:lineRule="auto"/>
        <w:rPr>
          <w:rFonts w:eastAsia="Times New Roman" w:cs="Tahoma"/>
          <w:szCs w:val="24"/>
          <w:lang w:eastAsia="es-ES"/>
        </w:rPr>
      </w:pPr>
    </w:p>
    <w:p w14:paraId="73777F86" w14:textId="77777777" w:rsidR="00EA64C5" w:rsidRPr="00422961" w:rsidRDefault="00EA64C5" w:rsidP="00EA64C5">
      <w:pPr>
        <w:spacing w:after="0" w:line="360" w:lineRule="auto"/>
        <w:rPr>
          <w:rFonts w:eastAsia="Times New Roman" w:cs="Tahoma"/>
          <w:szCs w:val="24"/>
          <w:lang w:eastAsia="es-ES"/>
        </w:rPr>
      </w:pPr>
      <w:r w:rsidRPr="00422961">
        <w:rPr>
          <w:rFonts w:eastAsia="Times New Roman" w:cs="Tahoma"/>
          <w:szCs w:val="24"/>
          <w:lang w:eastAsia="es-ES"/>
        </w:rPr>
        <w:lastRenderedPageBreak/>
        <w:t>Además, en el artículo 5° de dicho ordenamiento jurídico, establece que es la Ley aplicable para todo tratamiento de datos personales.</w:t>
      </w:r>
    </w:p>
    <w:p w14:paraId="4A641AE2" w14:textId="77777777" w:rsidR="00EA64C5" w:rsidRPr="00422961" w:rsidRDefault="00EA64C5" w:rsidP="00EA64C5">
      <w:pPr>
        <w:spacing w:after="0" w:line="360" w:lineRule="auto"/>
        <w:rPr>
          <w:rFonts w:eastAsia="Times New Roman" w:cs="Tahoma"/>
          <w:szCs w:val="24"/>
          <w:lang w:eastAsia="es-ES"/>
        </w:rPr>
      </w:pPr>
    </w:p>
    <w:p w14:paraId="7D683CD2" w14:textId="77777777" w:rsidR="00EA64C5" w:rsidRPr="00422961" w:rsidRDefault="00EA64C5" w:rsidP="00EA64C5">
      <w:pPr>
        <w:spacing w:after="0" w:line="360" w:lineRule="auto"/>
        <w:rPr>
          <w:rFonts w:eastAsia="Times New Roman" w:cs="Tahoma"/>
          <w:szCs w:val="24"/>
          <w:lang w:eastAsia="es-ES"/>
        </w:rPr>
      </w:pPr>
      <w:r w:rsidRPr="00422961">
        <w:rPr>
          <w:rFonts w:eastAsia="Times New Roman" w:cs="Tahoma"/>
          <w:szCs w:val="24"/>
          <w:lang w:eastAsia="es-ES"/>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22F233A2" w14:textId="77777777" w:rsidR="00EA64C5" w:rsidRPr="00422961" w:rsidRDefault="00EA64C5" w:rsidP="00EA64C5">
      <w:pPr>
        <w:spacing w:after="0" w:line="360" w:lineRule="auto"/>
        <w:rPr>
          <w:rFonts w:eastAsia="Times New Roman" w:cs="Tahoma"/>
          <w:szCs w:val="24"/>
          <w:lang w:eastAsia="es-ES"/>
        </w:rPr>
      </w:pPr>
    </w:p>
    <w:p w14:paraId="40B3A4B2" w14:textId="77777777" w:rsidR="00EA64C5" w:rsidRPr="00422961" w:rsidRDefault="00EA64C5" w:rsidP="00EA64C5">
      <w:pPr>
        <w:spacing w:after="0" w:line="360" w:lineRule="auto"/>
        <w:rPr>
          <w:rFonts w:eastAsia="Times New Roman" w:cs="Tahoma"/>
          <w:szCs w:val="24"/>
          <w:lang w:eastAsia="es-ES"/>
        </w:rPr>
      </w:pPr>
      <w:r w:rsidRPr="00422961">
        <w:rPr>
          <w:rFonts w:eastAsia="Times New Roman" w:cs="Tahoma"/>
          <w:szCs w:val="24"/>
          <w:lang w:eastAsia="es-ES"/>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46C20825" w14:textId="77777777" w:rsidR="00EA64C5" w:rsidRPr="00422961" w:rsidRDefault="00EA64C5" w:rsidP="00EA64C5">
      <w:pPr>
        <w:spacing w:after="0" w:line="360" w:lineRule="auto"/>
        <w:rPr>
          <w:rFonts w:eastAsia="Times New Roman" w:cs="Tahoma"/>
          <w:szCs w:val="24"/>
          <w:lang w:eastAsia="es-ES"/>
        </w:rPr>
      </w:pPr>
    </w:p>
    <w:p w14:paraId="1CBF5839" w14:textId="77777777" w:rsidR="00EA64C5" w:rsidRPr="00422961" w:rsidRDefault="00EA64C5" w:rsidP="00EA64C5">
      <w:pPr>
        <w:spacing w:after="0" w:line="360" w:lineRule="auto"/>
        <w:rPr>
          <w:rFonts w:eastAsia="Times New Roman" w:cs="Tahoma"/>
          <w:szCs w:val="24"/>
          <w:lang w:eastAsia="es-ES"/>
        </w:rPr>
      </w:pPr>
      <w:r w:rsidRPr="00422961">
        <w:rPr>
          <w:rFonts w:eastAsia="Times New Roman" w:cs="Tahoma"/>
          <w:szCs w:val="24"/>
          <w:lang w:eastAsia="es-ES"/>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73A841F2" w14:textId="77777777" w:rsidR="00EA64C5" w:rsidRPr="00422961" w:rsidRDefault="00EA64C5" w:rsidP="00EA64C5">
      <w:pPr>
        <w:spacing w:after="0" w:line="360" w:lineRule="auto"/>
        <w:rPr>
          <w:rFonts w:eastAsia="Times New Roman" w:cs="Tahoma"/>
          <w:szCs w:val="24"/>
          <w:lang w:eastAsia="es-ES"/>
        </w:rPr>
      </w:pPr>
    </w:p>
    <w:p w14:paraId="18F6C672" w14:textId="77777777" w:rsidR="00EA64C5" w:rsidRPr="00422961" w:rsidRDefault="00EA64C5" w:rsidP="00EA64C5">
      <w:pPr>
        <w:spacing w:after="0" w:line="360" w:lineRule="auto"/>
        <w:rPr>
          <w:rFonts w:eastAsia="Times New Roman" w:cs="Tahoma"/>
          <w:szCs w:val="24"/>
          <w:lang w:eastAsia="es-ES"/>
        </w:rPr>
      </w:pPr>
      <w:r w:rsidRPr="00422961">
        <w:rPr>
          <w:rFonts w:eastAsia="Times New Roman" w:cs="Tahoma"/>
          <w:szCs w:val="24"/>
          <w:lang w:eastAsia="es-ES"/>
        </w:rPr>
        <w:lastRenderedPageBreak/>
        <w:t>De tal suerte, las instituciones públicas tienen la doble responsabilidad, por un lado de proteger los datos personales y por otro, darles publicidad cuando la relevancia de esos datos sea de interés público.</w:t>
      </w:r>
    </w:p>
    <w:p w14:paraId="4E27BBAF" w14:textId="77777777" w:rsidR="00EA64C5" w:rsidRPr="00422961" w:rsidRDefault="00EA64C5" w:rsidP="00EA64C5">
      <w:pPr>
        <w:spacing w:after="0" w:line="360" w:lineRule="auto"/>
        <w:rPr>
          <w:rFonts w:eastAsia="Times New Roman" w:cs="Tahoma"/>
          <w:szCs w:val="24"/>
          <w:lang w:eastAsia="es-ES"/>
        </w:rPr>
      </w:pPr>
    </w:p>
    <w:p w14:paraId="65581239" w14:textId="77777777" w:rsidR="00EA64C5" w:rsidRPr="00422961" w:rsidRDefault="00EA64C5" w:rsidP="00EA64C5">
      <w:pPr>
        <w:spacing w:after="0" w:line="360" w:lineRule="auto"/>
        <w:rPr>
          <w:rFonts w:eastAsia="Times New Roman" w:cs="Tahoma"/>
          <w:szCs w:val="24"/>
          <w:lang w:eastAsia="es-ES"/>
        </w:rPr>
      </w:pPr>
      <w:r w:rsidRPr="00422961">
        <w:rPr>
          <w:rFonts w:eastAsia="Times New Roman" w:cs="Tahoma"/>
          <w:szCs w:val="24"/>
          <w:lang w:eastAsia="es-ES"/>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7EBFF2E3" w14:textId="77777777" w:rsidR="00EA64C5" w:rsidRPr="00422961" w:rsidRDefault="00EA64C5" w:rsidP="00EA64C5">
      <w:pPr>
        <w:spacing w:after="0" w:line="360" w:lineRule="auto"/>
        <w:rPr>
          <w:rFonts w:eastAsia="Times New Roman" w:cs="Tahoma"/>
          <w:szCs w:val="24"/>
          <w:lang w:eastAsia="es-ES"/>
        </w:rPr>
      </w:pPr>
    </w:p>
    <w:p w14:paraId="24D5FB08" w14:textId="77777777" w:rsidR="00EA64C5" w:rsidRPr="00422961" w:rsidRDefault="00EA64C5" w:rsidP="00EA64C5">
      <w:pPr>
        <w:spacing w:after="0" w:line="360" w:lineRule="auto"/>
        <w:rPr>
          <w:rFonts w:eastAsia="Times New Roman" w:cs="Tahoma"/>
          <w:szCs w:val="24"/>
          <w:lang w:eastAsia="es-ES"/>
        </w:rPr>
      </w:pPr>
      <w:r w:rsidRPr="00422961">
        <w:rPr>
          <w:rFonts w:eastAsia="Times New Roman" w:cs="Tahoma"/>
          <w:szCs w:val="24"/>
          <w:lang w:eastAsia="es-ES"/>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400C3274" w14:textId="77777777" w:rsidR="00EA64C5" w:rsidRPr="00422961" w:rsidRDefault="00EA64C5" w:rsidP="00EA64C5">
      <w:pPr>
        <w:spacing w:after="0" w:line="360" w:lineRule="auto"/>
        <w:rPr>
          <w:rFonts w:eastAsia="Times New Roman" w:cs="Tahoma"/>
          <w:szCs w:val="24"/>
          <w:lang w:eastAsia="es-ES"/>
        </w:rPr>
      </w:pPr>
    </w:p>
    <w:p w14:paraId="2EF87019" w14:textId="77777777" w:rsidR="00EA64C5" w:rsidRPr="00422961" w:rsidRDefault="00EA64C5" w:rsidP="00EA64C5">
      <w:pPr>
        <w:spacing w:after="0" w:line="360" w:lineRule="auto"/>
        <w:rPr>
          <w:rFonts w:eastAsia="Times New Roman" w:cs="Tahoma"/>
          <w:szCs w:val="24"/>
          <w:lang w:eastAsia="es-ES"/>
        </w:rPr>
      </w:pPr>
      <w:r w:rsidRPr="00422961">
        <w:rPr>
          <w:rFonts w:eastAsia="Times New Roman" w:cs="Tahoma"/>
          <w:szCs w:val="24"/>
          <w:lang w:eastAsia="es-ES"/>
        </w:rPr>
        <w:t xml:space="preserve">Ahora bien, cuando las personas tienen una relación comercial, laboral, de servicios, trámites o del tipo que sea, necesariamente por un tema de interés público, debe cederse un poco de </w:t>
      </w:r>
      <w:r w:rsidRPr="00422961">
        <w:rPr>
          <w:rFonts w:eastAsia="Times New Roman" w:cs="Tahoma"/>
          <w:szCs w:val="24"/>
          <w:lang w:eastAsia="es-ES"/>
        </w:rPr>
        <w:lastRenderedPageBreak/>
        <w:t>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0BF12E66" w14:textId="77777777" w:rsidR="00EA64C5" w:rsidRPr="00422961" w:rsidRDefault="00EA64C5" w:rsidP="00EA64C5">
      <w:pPr>
        <w:spacing w:after="0" w:line="360" w:lineRule="auto"/>
        <w:rPr>
          <w:rFonts w:eastAsia="Times New Roman" w:cs="Tahoma"/>
          <w:szCs w:val="24"/>
          <w:lang w:eastAsia="es-ES"/>
        </w:rPr>
      </w:pPr>
    </w:p>
    <w:p w14:paraId="3E8DC530" w14:textId="77777777" w:rsidR="00EA64C5" w:rsidRPr="00422961" w:rsidRDefault="00EA64C5" w:rsidP="00EA64C5">
      <w:pPr>
        <w:spacing w:after="0" w:line="360" w:lineRule="auto"/>
        <w:rPr>
          <w:rFonts w:eastAsia="Times New Roman" w:cs="Tahoma"/>
          <w:szCs w:val="24"/>
          <w:lang w:eastAsia="es-ES"/>
        </w:rPr>
      </w:pPr>
      <w:r w:rsidRPr="00422961">
        <w:rPr>
          <w:rFonts w:eastAsia="Times New Roman" w:cs="Tahoma"/>
          <w:szCs w:val="24"/>
          <w:lang w:eastAsia="es-ES"/>
        </w:rPr>
        <w:t xml:space="preserve">Bajo este contexto, se analizarán si los datos previamente referidos deben ser considerados confidenciales o públicos. </w:t>
      </w:r>
    </w:p>
    <w:p w14:paraId="5FD29CE0" w14:textId="77777777" w:rsidR="00EA64C5" w:rsidRPr="00422961" w:rsidRDefault="00EA64C5" w:rsidP="00EA64C5">
      <w:pPr>
        <w:spacing w:after="0" w:line="360" w:lineRule="auto"/>
        <w:rPr>
          <w:rFonts w:eastAsia="Times New Roman" w:cs="Tahoma"/>
          <w:lang w:eastAsia="es-ES"/>
        </w:rPr>
      </w:pPr>
    </w:p>
    <w:p w14:paraId="2DD9206E" w14:textId="22357749" w:rsidR="00EA64C5" w:rsidRPr="00422961" w:rsidRDefault="00EA64C5" w:rsidP="00EA64C5">
      <w:pPr>
        <w:numPr>
          <w:ilvl w:val="0"/>
          <w:numId w:val="31"/>
        </w:numPr>
        <w:spacing w:after="0" w:line="360" w:lineRule="auto"/>
        <w:ind w:right="-93"/>
        <w:contextualSpacing/>
        <w:jc w:val="left"/>
        <w:rPr>
          <w:rFonts w:eastAsia="Calibri" w:cs="Tahoma"/>
          <w:bCs/>
        </w:rPr>
      </w:pPr>
      <w:r w:rsidRPr="00422961">
        <w:rPr>
          <w:rFonts w:eastAsia="Calibri" w:cs="Tahoma"/>
          <w:b/>
          <w:bCs/>
        </w:rPr>
        <w:t>Nombre del titular de permiso (persona física)</w:t>
      </w:r>
    </w:p>
    <w:p w14:paraId="7DBDFABE" w14:textId="77777777" w:rsidR="00EA64C5" w:rsidRPr="00422961" w:rsidRDefault="00EA64C5" w:rsidP="00EA64C5">
      <w:pPr>
        <w:spacing w:after="0" w:line="360" w:lineRule="auto"/>
        <w:rPr>
          <w:rFonts w:eastAsia="Calibri" w:cs="Tahoma"/>
          <w:bCs/>
        </w:rPr>
      </w:pPr>
    </w:p>
    <w:p w14:paraId="7C49429B" w14:textId="77777777" w:rsidR="00EA64C5" w:rsidRPr="00422961" w:rsidRDefault="00EA64C5" w:rsidP="00EA64C5">
      <w:pPr>
        <w:spacing w:after="0" w:line="360" w:lineRule="auto"/>
        <w:ind w:right="-93"/>
        <w:rPr>
          <w:rFonts w:eastAsia="Calibri" w:cs="Tahoma"/>
          <w:b/>
          <w:bCs/>
        </w:rPr>
      </w:pPr>
      <w:r w:rsidRPr="00422961">
        <w:rPr>
          <w:rFonts w:eastAsia="Calibri" w:cs="Tahoma"/>
          <w:bCs/>
        </w:rPr>
        <w:t xml:space="preserve">Al respecto, se considera que el nombre de una persona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422961">
        <w:rPr>
          <w:rFonts w:eastAsia="Calibri" w:cs="Tahoma"/>
          <w:bCs/>
          <w:i/>
        </w:rPr>
        <w:t>per se</w:t>
      </w:r>
      <w:r w:rsidRPr="00422961">
        <w:rPr>
          <w:rFonts w:eastAsia="Calibri" w:cs="Tahoma"/>
          <w:bCs/>
        </w:rPr>
        <w:t xml:space="preserve"> es un elemento que hace a una persona física identificada o identificable, por lo que, </w:t>
      </w:r>
      <w:r w:rsidRPr="00422961">
        <w:rPr>
          <w:rFonts w:eastAsia="Calibri" w:cs="Tahoma"/>
          <w:b/>
          <w:bCs/>
        </w:rPr>
        <w:t>se considera un dato personal.</w:t>
      </w:r>
    </w:p>
    <w:p w14:paraId="218D309E" w14:textId="77777777" w:rsidR="00EA64C5" w:rsidRPr="00422961" w:rsidRDefault="00EA64C5" w:rsidP="00EA64C5">
      <w:pPr>
        <w:spacing w:after="0" w:line="360" w:lineRule="auto"/>
        <w:ind w:right="-93"/>
        <w:rPr>
          <w:rFonts w:eastAsia="Calibri" w:cs="Tahoma"/>
          <w:b/>
          <w:bCs/>
        </w:rPr>
      </w:pPr>
    </w:p>
    <w:p w14:paraId="408EDE10" w14:textId="77777777" w:rsidR="00EA64C5" w:rsidRPr="00422961" w:rsidRDefault="00EA64C5" w:rsidP="00EA64C5">
      <w:pPr>
        <w:spacing w:after="0" w:line="360" w:lineRule="auto"/>
        <w:rPr>
          <w:rFonts w:eastAsia="Calibri" w:cs="Tahoma"/>
          <w:bCs/>
        </w:rPr>
      </w:pPr>
      <w:r w:rsidRPr="00422961">
        <w:rPr>
          <w:rFonts w:eastAsia="Calibri" w:cs="Tahoma"/>
          <w:bCs/>
        </w:rPr>
        <w:t>Sobre el tema, se tiene presente que este Instituto emitió el Criterio Relevante 01/18, de la Segunda Época de este Instituto, que establece que el nombre del titular de una licencia (persona física), como en el caso que nos ocupa, es información confidencial, cuando no involucra aprovechamiento de recursos públicos.</w:t>
      </w:r>
    </w:p>
    <w:p w14:paraId="43E9DC49" w14:textId="77777777" w:rsidR="00EA64C5" w:rsidRPr="00422961" w:rsidRDefault="00EA64C5" w:rsidP="00EA64C5">
      <w:pPr>
        <w:spacing w:after="0" w:line="360" w:lineRule="auto"/>
        <w:rPr>
          <w:rFonts w:eastAsia="Calibri" w:cs="Tahoma"/>
          <w:bCs/>
          <w:sz w:val="20"/>
        </w:rPr>
      </w:pPr>
    </w:p>
    <w:p w14:paraId="7DB4B981" w14:textId="77777777" w:rsidR="00EA64C5" w:rsidRPr="00422961" w:rsidRDefault="00EA64C5" w:rsidP="00EA64C5">
      <w:pPr>
        <w:spacing w:after="0" w:line="360" w:lineRule="auto"/>
        <w:ind w:left="567" w:right="567"/>
        <w:rPr>
          <w:rFonts w:eastAsia="Calibri" w:cs="Tahoma"/>
          <w:bCs/>
          <w:i/>
          <w:sz w:val="20"/>
          <w:lang w:eastAsia="es-MX"/>
        </w:rPr>
      </w:pPr>
      <w:r w:rsidRPr="00422961">
        <w:rPr>
          <w:rFonts w:eastAsia="Calibri" w:cs="Tahoma"/>
          <w:b/>
          <w:bCs/>
          <w:i/>
          <w:sz w:val="20"/>
          <w:lang w:eastAsia="es-MX"/>
        </w:rPr>
        <w:t>“Nombre del titular de una licencia que no involucre el aprovechamiento de bienes, servicios y/o recursos públicos, constituye un dato personal susceptible de clasificar como confidencial.</w:t>
      </w:r>
      <w:r w:rsidRPr="00422961">
        <w:rPr>
          <w:rFonts w:eastAsia="Calibri" w:cs="Tahoma"/>
          <w:bCs/>
          <w:i/>
          <w:sz w:val="20"/>
          <w:lang w:eastAsia="es-MX"/>
        </w:rPr>
        <w:t xml:space="preserve"> El artículo 1, párrafo segundo de la Constitución Política de los Estados Unidos Mexicanos determina que las normas relativas a los derechos humanos se interpretarán de </w:t>
      </w:r>
      <w:r w:rsidRPr="00422961">
        <w:rPr>
          <w:rFonts w:eastAsia="Calibri" w:cs="Tahoma"/>
          <w:bCs/>
          <w:i/>
          <w:sz w:val="20"/>
          <w:lang w:eastAsia="es-MX"/>
        </w:rPr>
        <w:lastRenderedPageBreak/>
        <w:t>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14:paraId="193D73AA" w14:textId="77777777" w:rsidR="00EA64C5" w:rsidRPr="00422961" w:rsidRDefault="00EA64C5" w:rsidP="00EA64C5">
      <w:pPr>
        <w:spacing w:after="0" w:line="360" w:lineRule="auto"/>
        <w:ind w:right="-93"/>
        <w:rPr>
          <w:rFonts w:eastAsia="Calibri" w:cs="Tahoma"/>
          <w:bCs/>
        </w:rPr>
      </w:pPr>
    </w:p>
    <w:p w14:paraId="658B0684" w14:textId="77777777" w:rsidR="00EA64C5" w:rsidRPr="00422961" w:rsidRDefault="00EA64C5" w:rsidP="00EA64C5">
      <w:pPr>
        <w:spacing w:after="0" w:line="360" w:lineRule="auto"/>
        <w:ind w:right="-93"/>
        <w:rPr>
          <w:rFonts w:eastAsia="Calibri" w:cs="Tahoma"/>
          <w:bCs/>
        </w:rPr>
      </w:pPr>
      <w:r w:rsidRPr="00422961">
        <w:rPr>
          <w:rFonts w:eastAsia="Calibri" w:cs="Tahoma"/>
          <w:bCs/>
        </w:rPr>
        <w:t>En el Criterio en cita, se argumenta que si bien el nombre de los titulares de las licencias es un dato de carácter público, en términos del artículo 92, fracción XXXII de la Ley de Transparencia y Acceso a la Información Pública del Estado de México y Municipios, dicho precepto legal debe ser interpretado de manera armónica y sistemática, pues la intromisión a los datos personales de particulares únicamente se verá justificada cuando involucre el aprovechamiento de bienes, servicios o recursos públicos; por lo que constituye un dato personal, a menos que se actualice alguno de los supuestos previamente señalados.</w:t>
      </w:r>
    </w:p>
    <w:p w14:paraId="2185D3EA" w14:textId="77777777" w:rsidR="00EA64C5" w:rsidRPr="00422961" w:rsidRDefault="00EA64C5" w:rsidP="00EA64C5">
      <w:pPr>
        <w:spacing w:after="0" w:line="360" w:lineRule="auto"/>
        <w:ind w:right="-93"/>
        <w:rPr>
          <w:rFonts w:eastAsia="Calibri" w:cs="Tahoma"/>
          <w:bCs/>
        </w:rPr>
      </w:pPr>
    </w:p>
    <w:p w14:paraId="261F894F" w14:textId="1C87ADD0" w:rsidR="00EA64C5" w:rsidRPr="00422961" w:rsidRDefault="00EA64C5" w:rsidP="00EA64C5">
      <w:pPr>
        <w:spacing w:after="0" w:line="360" w:lineRule="auto"/>
        <w:ind w:right="-93"/>
        <w:rPr>
          <w:rFonts w:eastAsia="Calibri" w:cs="Tahoma"/>
          <w:bCs/>
        </w:rPr>
      </w:pPr>
      <w:r w:rsidRPr="00422961">
        <w:rPr>
          <w:rFonts w:eastAsia="Calibri" w:cs="Tahoma"/>
          <w:bCs/>
        </w:rPr>
        <w:lastRenderedPageBreak/>
        <w:t xml:space="preserve">No obstante, se considera que el nombre localizado en </w:t>
      </w:r>
      <w:bookmarkStart w:id="1" w:name="_GoBack"/>
      <w:bookmarkEnd w:id="1"/>
      <w:r w:rsidR="003B7C91" w:rsidRPr="00422961">
        <w:rPr>
          <w:rFonts w:eastAsia="Calibri" w:cs="Tahoma"/>
          <w:bCs/>
        </w:rPr>
        <w:t>un</w:t>
      </w:r>
      <w:r w:rsidRPr="00422961">
        <w:rPr>
          <w:rFonts w:eastAsia="Calibri" w:cs="Tahoma"/>
          <w:bCs/>
        </w:rPr>
        <w:t xml:space="preserve"> permiso para realizar un evento público, como lo es un bazar, guarda cierto interés público, dado que cualquier actividad comercial, industrial o económica, es regulada por el Municipio de Metepec dentro de su circunscripción territorial, pues ayuda a transparentar la gestión pública.</w:t>
      </w:r>
    </w:p>
    <w:p w14:paraId="22E35240" w14:textId="77777777" w:rsidR="00EA64C5" w:rsidRPr="00422961" w:rsidRDefault="00EA64C5" w:rsidP="00EA64C5">
      <w:pPr>
        <w:spacing w:after="0" w:line="360" w:lineRule="auto"/>
        <w:ind w:right="-93"/>
        <w:rPr>
          <w:rFonts w:eastAsia="Calibri" w:cs="Tahoma"/>
          <w:bCs/>
        </w:rPr>
      </w:pPr>
    </w:p>
    <w:p w14:paraId="05D71DB9" w14:textId="673C2155" w:rsidR="00EA64C5" w:rsidRPr="00422961" w:rsidRDefault="00EA64C5" w:rsidP="00EA64C5">
      <w:pPr>
        <w:spacing w:after="0" w:line="360" w:lineRule="auto"/>
        <w:ind w:right="-93"/>
        <w:rPr>
          <w:rFonts w:eastAsia="Calibri" w:cs="Tahoma"/>
          <w:bCs/>
        </w:rPr>
      </w:pPr>
      <w:r w:rsidRPr="00422961">
        <w:rPr>
          <w:rFonts w:eastAsia="Calibri" w:cs="Tahoma"/>
          <w:bCs/>
        </w:rPr>
        <w:t>Al respecto, cabe puntualizar que las licencias, tal como se estableció en párrafos anteriores, se refiere a los documentos que contienen la autorización por parte del Ayuntamiento de Metepec, a través de la Dirección de Gobernación, para que un particular o persona jurídica colectiva pueda realizar una actividad económica, comercial o industrial, regulada por las Leyes respectivas.</w:t>
      </w:r>
    </w:p>
    <w:p w14:paraId="289BE5BA" w14:textId="77777777" w:rsidR="00EA64C5" w:rsidRPr="00422961" w:rsidRDefault="00EA64C5" w:rsidP="00EA64C5">
      <w:pPr>
        <w:spacing w:after="0" w:line="360" w:lineRule="auto"/>
        <w:ind w:right="-93"/>
        <w:rPr>
          <w:rFonts w:eastAsia="Calibri" w:cs="Tahoma"/>
          <w:bCs/>
        </w:rPr>
      </w:pPr>
    </w:p>
    <w:p w14:paraId="7FC8C7CA" w14:textId="77777777" w:rsidR="00EA64C5" w:rsidRPr="00422961" w:rsidRDefault="00EA64C5" w:rsidP="00EA64C5">
      <w:pPr>
        <w:spacing w:after="0" w:line="360" w:lineRule="auto"/>
        <w:ind w:right="-93"/>
        <w:rPr>
          <w:rFonts w:eastAsia="Calibri" w:cs="Tahoma"/>
          <w:bCs/>
        </w:rPr>
      </w:pPr>
      <w:r w:rsidRPr="00422961">
        <w:rPr>
          <w:rFonts w:eastAsia="Calibri" w:cs="Tahoma"/>
          <w:bCs/>
        </w:rPr>
        <w:t xml:space="preserve">En ese sentido, de acuerdo con el artículo 92, fracción XXXII de la Ley en cita, el legislador contempló como información de interés público y que debe estar disponible para consulta, aquellas licencias otorgadas, especificando </w:t>
      </w:r>
      <w:r w:rsidRPr="00422961">
        <w:rPr>
          <w:rFonts w:eastAsia="Calibri" w:cs="Tahoma"/>
          <w:b/>
          <w:bCs/>
        </w:rPr>
        <w:t>el nombre de su titular</w:t>
      </w:r>
      <w:r w:rsidRPr="00422961">
        <w:rPr>
          <w:rFonts w:eastAsia="Calibri" w:cs="Tahoma"/>
          <w:bCs/>
        </w:rPr>
        <w:t xml:space="preserve"> y las características principales. Lo anterior, en concordancia a lo establecido en la Ley General de Transparencia y Acceso a la Información Pública. </w:t>
      </w:r>
    </w:p>
    <w:p w14:paraId="54A58B90" w14:textId="77777777" w:rsidR="00EA64C5" w:rsidRPr="00422961" w:rsidRDefault="00EA64C5" w:rsidP="00EA64C5">
      <w:pPr>
        <w:spacing w:after="0" w:line="360" w:lineRule="auto"/>
        <w:ind w:right="-93"/>
        <w:rPr>
          <w:rFonts w:eastAsia="Calibri" w:cs="Tahoma"/>
          <w:bCs/>
        </w:rPr>
      </w:pPr>
    </w:p>
    <w:p w14:paraId="6DE804D4" w14:textId="77777777" w:rsidR="00EA64C5" w:rsidRPr="00422961" w:rsidRDefault="00EA64C5" w:rsidP="00EA64C5">
      <w:pPr>
        <w:spacing w:after="0" w:line="360" w:lineRule="auto"/>
        <w:ind w:right="-93"/>
        <w:rPr>
          <w:rFonts w:eastAsia="Calibri" w:cs="Tahoma"/>
          <w:bCs/>
        </w:rPr>
      </w:pPr>
      <w:r w:rsidRPr="00422961">
        <w:rPr>
          <w:rFonts w:eastAsia="Calibri" w:cs="Tahoma"/>
          <w:bCs/>
        </w:rPr>
        <w:t>Ello, con la finalidad de asegurar su mayor difusión, que permita a los ciudadanos evaluar de manera permanente los indicadores más importantes de la gestión pública, como lo son, la autorización de licencias de funcionamiento, pues es facultad exclusiva de los Municipios, ver las cuestiones relacionadas con el tema en cuestión.</w:t>
      </w:r>
      <w:r w:rsidRPr="00422961">
        <w:rPr>
          <w:rFonts w:eastAsia="Times New Roman" w:cs="Tahoma"/>
          <w:lang w:eastAsia="es-ES"/>
        </w:rPr>
        <w:t xml:space="preserve"> </w:t>
      </w:r>
      <w:r w:rsidRPr="00422961">
        <w:rPr>
          <w:rFonts w:eastAsia="Calibri" w:cs="Tahoma"/>
          <w:bCs/>
        </w:rPr>
        <w:t>Además, se incluyó el deber para los sujetos obligados de proporcionar, en la medida de lo posible, esta información con valor agregado, a efecto de facilitar su uso, comprensión y permitir evaluar su calidad, confiabilidad, oportunidad y veracidad.</w:t>
      </w:r>
    </w:p>
    <w:p w14:paraId="790E19F8" w14:textId="77777777" w:rsidR="00EA64C5" w:rsidRPr="00422961" w:rsidRDefault="00EA64C5" w:rsidP="00EA64C5">
      <w:pPr>
        <w:spacing w:after="0" w:line="360" w:lineRule="auto"/>
        <w:ind w:right="-93"/>
        <w:rPr>
          <w:rFonts w:eastAsia="Calibri" w:cs="Tahoma"/>
          <w:bCs/>
        </w:rPr>
      </w:pPr>
    </w:p>
    <w:p w14:paraId="2D074119" w14:textId="77777777" w:rsidR="00EA64C5" w:rsidRPr="00422961" w:rsidRDefault="00EA64C5" w:rsidP="00EA64C5">
      <w:pPr>
        <w:spacing w:after="0" w:line="360" w:lineRule="auto"/>
        <w:ind w:right="-93"/>
        <w:rPr>
          <w:rFonts w:eastAsia="Calibri" w:cs="Tahoma"/>
          <w:bCs/>
        </w:rPr>
      </w:pPr>
      <w:r w:rsidRPr="00422961">
        <w:rPr>
          <w:rFonts w:eastAsia="Calibri" w:cs="Tahoma"/>
          <w:bCs/>
        </w:rPr>
        <w:lastRenderedPageBreak/>
        <w:t>Toma sustento, dicha situación, en el Dictamen de las Comisiones Unidas de Anticorrupción y Participación Ciudadana, de Gobernación y de Estudios Legislativos, segunda; relativo a la iniciativa que contiene el proyecto de Decreto por el que se expide la Ley General de Transparencia y Acceso a la Información Pública, ya que de este se desprende que el Poder Legislativo consideró que una de las principales contribuciones que trajo dicha Ley, es el catálogo de las obligaciones de transparencia, a través de un listado amplio, completo, detallado y preciso para todos los sujetos obligados del país, que permitan garantizar, el efectivo ejercicio del derecho de acceso a la información.</w:t>
      </w:r>
    </w:p>
    <w:p w14:paraId="0A591542" w14:textId="77777777" w:rsidR="00EA64C5" w:rsidRPr="00422961" w:rsidRDefault="00EA64C5" w:rsidP="00EA64C5">
      <w:pPr>
        <w:spacing w:after="0" w:line="360" w:lineRule="auto"/>
        <w:ind w:right="-93"/>
        <w:rPr>
          <w:rFonts w:eastAsia="Calibri" w:cs="Tahoma"/>
          <w:bCs/>
        </w:rPr>
      </w:pPr>
    </w:p>
    <w:p w14:paraId="169128CC" w14:textId="77777777" w:rsidR="00EA64C5" w:rsidRPr="00422961" w:rsidRDefault="00EA64C5" w:rsidP="00EA64C5">
      <w:pPr>
        <w:spacing w:after="0" w:line="360" w:lineRule="auto"/>
        <w:ind w:right="-93"/>
        <w:rPr>
          <w:rFonts w:eastAsia="Calibri" w:cs="Tahoma"/>
          <w:bCs/>
        </w:rPr>
      </w:pPr>
      <w:r w:rsidRPr="00422961">
        <w:rPr>
          <w:rFonts w:eastAsia="Calibri" w:cs="Tahoma"/>
          <w:bCs/>
        </w:rPr>
        <w:t>Igualmente, se destacó que aún determinando causales de reserva en las leyes especiales diversas a la Ley General o las Estatales de Transparencia, todos los sujetos obligados deben de dar cumplimiento con todos los principios y procedimientos establecidos en la Ley General de Transparencia y Acceso a la Información Pública, así como con los recursos y criterios de la misma.</w:t>
      </w:r>
    </w:p>
    <w:p w14:paraId="59D6C6D7" w14:textId="77777777" w:rsidR="00EA64C5" w:rsidRPr="00422961" w:rsidRDefault="00EA64C5" w:rsidP="00EA64C5">
      <w:pPr>
        <w:spacing w:after="0" w:line="360" w:lineRule="auto"/>
        <w:ind w:right="-93"/>
        <w:rPr>
          <w:rFonts w:eastAsia="Calibri" w:cs="Tahoma"/>
          <w:bCs/>
        </w:rPr>
      </w:pPr>
    </w:p>
    <w:p w14:paraId="1F9710CE" w14:textId="77777777" w:rsidR="00EA64C5" w:rsidRPr="00422961" w:rsidRDefault="00EA64C5" w:rsidP="00EA64C5">
      <w:pPr>
        <w:spacing w:after="0" w:line="360" w:lineRule="auto"/>
        <w:ind w:right="-93"/>
        <w:rPr>
          <w:rFonts w:eastAsia="Calibri" w:cs="Tahoma"/>
          <w:bCs/>
        </w:rPr>
      </w:pPr>
      <w:r w:rsidRPr="00422961">
        <w:rPr>
          <w:rFonts w:eastAsia="Calibri" w:cs="Tahoma"/>
          <w:bCs/>
        </w:rPr>
        <w:t>Bajo tal premisa, podría concluirse que la hipótesis normativa del artículo 92, fracción XXXII de la Ley de Transparencia y Acceso a la Información Pública del Estado de México y los Municipios, se traduce en una excepción a la información personal que debe ser protegida, tal como es en el caso que nos ocupa el nombre del titular persona física de una licencia de funcionamiento, por lo que no es dable, como se asienta en el Criterio Relevante, considerar que el nombre de los titulares estas, deba ser considerado confidencial, aún y cuando el mismo no involucre aprovechamiento de bienes o recursos públicos.</w:t>
      </w:r>
    </w:p>
    <w:p w14:paraId="016C7B7E" w14:textId="77777777" w:rsidR="00EA64C5" w:rsidRPr="00422961" w:rsidRDefault="00EA64C5" w:rsidP="00EA64C5">
      <w:pPr>
        <w:spacing w:after="0" w:line="360" w:lineRule="auto"/>
        <w:ind w:right="-93"/>
        <w:rPr>
          <w:rFonts w:eastAsia="Calibri" w:cs="Tahoma"/>
          <w:bCs/>
        </w:rPr>
      </w:pPr>
    </w:p>
    <w:p w14:paraId="39CA3D48" w14:textId="77777777" w:rsidR="00EA64C5" w:rsidRPr="00422961" w:rsidRDefault="00EA64C5" w:rsidP="00EA64C5">
      <w:pPr>
        <w:spacing w:after="0" w:line="360" w:lineRule="auto"/>
        <w:ind w:right="-93"/>
        <w:rPr>
          <w:rFonts w:eastAsia="Calibri" w:cs="Tahoma"/>
          <w:bCs/>
        </w:rPr>
      </w:pPr>
      <w:r w:rsidRPr="00422961">
        <w:rPr>
          <w:rFonts w:eastAsia="Calibri" w:cs="Tahoma"/>
          <w:bCs/>
        </w:rPr>
        <w:t xml:space="preserve">A mayor abundamiento se puede referir que, el artículo 91 de dicho ordenamiento jurídico, establece que la información pública será restringida excepcionalmente, cuando ésta sea clasificada como reservada o confidencial; por lo que, se colige que las obligaciones de </w:t>
      </w:r>
      <w:r w:rsidRPr="00422961">
        <w:rPr>
          <w:rFonts w:eastAsia="Calibri" w:cs="Tahoma"/>
          <w:bCs/>
        </w:rPr>
        <w:lastRenderedPageBreak/>
        <w:t>transparencia no superan de forma automática la prohibición de no difundir datos personales sin el consentimiento de su titular, como sucede en el caso concreto.</w:t>
      </w:r>
    </w:p>
    <w:p w14:paraId="1E9DC8F4" w14:textId="77777777" w:rsidR="00EA64C5" w:rsidRPr="00422961" w:rsidRDefault="00EA64C5" w:rsidP="00EA64C5">
      <w:pPr>
        <w:spacing w:after="0" w:line="360" w:lineRule="auto"/>
        <w:ind w:right="-93"/>
        <w:rPr>
          <w:rFonts w:eastAsia="Calibri" w:cs="Tahoma"/>
          <w:bCs/>
        </w:rPr>
      </w:pPr>
    </w:p>
    <w:p w14:paraId="2632F6C2" w14:textId="77777777" w:rsidR="00EA64C5" w:rsidRPr="00422961" w:rsidRDefault="00EA64C5" w:rsidP="00EA64C5">
      <w:pPr>
        <w:spacing w:after="0" w:line="360" w:lineRule="auto"/>
        <w:ind w:right="-93"/>
        <w:rPr>
          <w:rFonts w:eastAsia="Calibri" w:cs="Tahoma"/>
          <w:bCs/>
        </w:rPr>
      </w:pPr>
      <w:r w:rsidRPr="00422961">
        <w:rPr>
          <w:rFonts w:eastAsia="Calibri" w:cs="Tahoma"/>
          <w:bCs/>
        </w:rPr>
        <w:t xml:space="preserve">Ante tales circunstancias, se desprende que, en el caso concreto, sobreviene una </w:t>
      </w:r>
      <w:r w:rsidRPr="00422961">
        <w:rPr>
          <w:rFonts w:eastAsia="Calibri" w:cs="Tahoma"/>
          <w:b/>
          <w:bCs/>
        </w:rPr>
        <w:t>colisión de derechos fundamentales,</w:t>
      </w:r>
      <w:r w:rsidRPr="00422961">
        <w:rPr>
          <w:rFonts w:eastAsia="Calibri" w:cs="Tahoma"/>
          <w:bCs/>
        </w:rPr>
        <w:t xml:space="preserve"> esto es, por una parte, se tiene el derecho de acceso a la información del Particular para conocer el nombre de la persona a la cual se le otorgó una licencia para desarrollar determinada actividad, y por la otra, el derecho a la protección de los nombres de aquellas a quienes obtuvieron una autorización específica, lo cual implica dar a conocer datos personales confidenciales consistentes, en el nombre de personas físicas y este vincularlo en la actividad que desarrollan y el lugar en el que se ubica su establecimiento.</w:t>
      </w:r>
    </w:p>
    <w:p w14:paraId="0C313A36" w14:textId="77777777" w:rsidR="00EA64C5" w:rsidRPr="00422961" w:rsidRDefault="00EA64C5" w:rsidP="00EA64C5">
      <w:pPr>
        <w:spacing w:after="0" w:line="360" w:lineRule="auto"/>
        <w:ind w:right="-93"/>
        <w:rPr>
          <w:rFonts w:eastAsia="Calibri" w:cs="Tahoma"/>
          <w:bCs/>
        </w:rPr>
      </w:pPr>
    </w:p>
    <w:p w14:paraId="5792D2E7" w14:textId="77777777" w:rsidR="00EA64C5" w:rsidRPr="00422961" w:rsidRDefault="00EA64C5" w:rsidP="00EA64C5">
      <w:pPr>
        <w:spacing w:after="0" w:line="360" w:lineRule="auto"/>
        <w:ind w:right="-93"/>
        <w:rPr>
          <w:rFonts w:eastAsia="Calibri" w:cs="Tahoma"/>
          <w:bCs/>
        </w:rPr>
      </w:pPr>
      <w:r w:rsidRPr="00422961">
        <w:rPr>
          <w:rFonts w:eastAsia="Calibri" w:cs="Tahoma"/>
          <w:bCs/>
        </w:rPr>
        <w:t>Sobre el particular, debe señalarse que en un sistema jurídico racional, el contenido de ciertos derechos fundamentales no es absoluto y la colisión entre derechos fundamentales debe resolverse mediante una ponderación que determine el derecho que ha de prevalecer en el caso concretó, y no apelando a reglas de prioridad entre normas.</w:t>
      </w:r>
    </w:p>
    <w:p w14:paraId="36B1C4FB" w14:textId="77777777" w:rsidR="00EA64C5" w:rsidRPr="00422961" w:rsidRDefault="00EA64C5" w:rsidP="00EA64C5">
      <w:pPr>
        <w:spacing w:after="0" w:line="360" w:lineRule="auto"/>
        <w:ind w:right="-93"/>
        <w:rPr>
          <w:rFonts w:eastAsia="Calibri" w:cs="Tahoma"/>
          <w:bCs/>
        </w:rPr>
      </w:pPr>
    </w:p>
    <w:p w14:paraId="5CDE9B96" w14:textId="77777777" w:rsidR="00EA64C5" w:rsidRPr="00422961" w:rsidRDefault="00EA64C5" w:rsidP="00EA64C5">
      <w:pPr>
        <w:spacing w:after="0" w:line="360" w:lineRule="auto"/>
        <w:ind w:right="-93"/>
        <w:rPr>
          <w:rFonts w:eastAsia="Calibri" w:cs="Tahoma"/>
          <w:bCs/>
        </w:rPr>
      </w:pPr>
      <w:r w:rsidRPr="00422961">
        <w:rPr>
          <w:rFonts w:eastAsia="Calibri" w:cs="Tahoma"/>
          <w:bCs/>
        </w:rPr>
        <w:t xml:space="preserve">Por cuanto hace a la colisión entre el derecho a la información y el derecho a la intimidad o a la vida privada, el Poder Judicial de la Federación ha sostenido la </w:t>
      </w:r>
      <w:r w:rsidRPr="00422961">
        <w:rPr>
          <w:rFonts w:eastAsia="Calibri" w:cs="Tahoma"/>
          <w:b/>
          <w:bCs/>
        </w:rPr>
        <w:t xml:space="preserve">necesidad de resolver el conflicto apuntado mediante el ejercicio de ponderación; además, que el interés público que tenga cierta información, será concepto legitimador de las intromisiones en la intimidad o la vida privada, en donde este derecho debe ceder a favor del derecho a comunicar y recibir información, atendiendo a las circunstancias de cada caso en concreto, </w:t>
      </w:r>
      <w:r w:rsidRPr="00422961">
        <w:rPr>
          <w:rFonts w:eastAsia="Calibri" w:cs="Tahoma"/>
          <w:bCs/>
        </w:rPr>
        <w:t>tal y como se desprende de la tesis 1a. XLIII/2010, emitida por la Primera Sala de la Suprema Corte de Justicia de la Nación, publicada en el Semanario Judicial de la Federación y su Gaceta, Tomo XXXI, página 928, de marzo de 2010, Novena Época, materia constitucional.</w:t>
      </w:r>
    </w:p>
    <w:p w14:paraId="6303B17E" w14:textId="77777777" w:rsidR="00EA64C5" w:rsidRPr="00422961" w:rsidRDefault="00EA64C5" w:rsidP="00EA64C5">
      <w:pPr>
        <w:spacing w:after="0" w:line="360" w:lineRule="auto"/>
        <w:jc w:val="left"/>
        <w:rPr>
          <w:rFonts w:eastAsia="Calibri" w:cs="Tahoma"/>
          <w:bCs/>
        </w:rPr>
      </w:pPr>
    </w:p>
    <w:p w14:paraId="1FBD0D1C" w14:textId="77777777" w:rsidR="00EA64C5" w:rsidRPr="00422961" w:rsidRDefault="00EA64C5" w:rsidP="00EA64C5">
      <w:pPr>
        <w:spacing w:after="0" w:line="360" w:lineRule="auto"/>
        <w:rPr>
          <w:rFonts w:eastAsia="Times New Roman" w:cs="Tahoma"/>
          <w:bCs/>
          <w:iCs/>
          <w:lang w:eastAsia="es-ES"/>
        </w:rPr>
      </w:pPr>
      <w:r w:rsidRPr="00422961">
        <w:rPr>
          <w:rFonts w:eastAsia="Calibri" w:cs="Tahoma"/>
          <w:bCs/>
        </w:rPr>
        <w:lastRenderedPageBreak/>
        <w:t>En ese mismo sentido y atendiendo a la naturaleza del derecho a la protección de datos personales, por analogía, este debe ceder cuando exista un interés público mayor de acuerdo a las circunstancias del caso.</w:t>
      </w:r>
      <w:r w:rsidRPr="00422961">
        <w:rPr>
          <w:rFonts w:eastAsia="Times New Roman" w:cs="Tahoma"/>
          <w:bCs/>
          <w:iCs/>
          <w:lang w:eastAsia="es-ES"/>
        </w:rPr>
        <w:t xml:space="preserve"> Precisado lo anterior, resulta necesario realizar una ponderación de los dos intereses jurídicos tutelados que convergen en la controversia que se dirime; para lo cual, el artículo </w:t>
      </w:r>
      <w:r w:rsidRPr="00422961">
        <w:rPr>
          <w:rFonts w:eastAsia="Calibri" w:cs="Tahoma"/>
          <w:bCs/>
        </w:rPr>
        <w:t>184 de la Ley de Transparencia y Acceso a la Información Pública del Estado de México y Municipios</w:t>
      </w:r>
      <w:r w:rsidRPr="00422961">
        <w:rPr>
          <w:rFonts w:eastAsia="Times New Roman" w:cs="Tahoma"/>
          <w:bCs/>
          <w:iCs/>
          <w:lang w:eastAsia="es-ES"/>
        </w:rPr>
        <w:t xml:space="preserve"> prevé que cuando exista una colisión de derechos, este Instituto, al resolver el recurso de revisión, debe aplicar una prueba de interés público con base en elementos de idoneidad, necesidad y proporcionalidad. Para estos efectos, se entenderá por: </w:t>
      </w:r>
    </w:p>
    <w:p w14:paraId="32ACB8F3" w14:textId="77777777" w:rsidR="00EA64C5" w:rsidRPr="00422961" w:rsidRDefault="00EA64C5" w:rsidP="00EA64C5">
      <w:pPr>
        <w:spacing w:after="0" w:line="360" w:lineRule="auto"/>
        <w:ind w:right="49"/>
        <w:rPr>
          <w:rFonts w:eastAsia="Times New Roman" w:cs="Tahoma"/>
          <w:bCs/>
          <w:iCs/>
          <w:lang w:eastAsia="es-ES"/>
        </w:rPr>
      </w:pPr>
    </w:p>
    <w:p w14:paraId="27400A96" w14:textId="77777777" w:rsidR="00EA64C5" w:rsidRPr="00422961" w:rsidRDefault="00EA64C5" w:rsidP="00EA64C5">
      <w:pPr>
        <w:numPr>
          <w:ilvl w:val="0"/>
          <w:numId w:val="17"/>
        </w:numPr>
        <w:spacing w:after="0" w:line="360" w:lineRule="auto"/>
        <w:ind w:left="426" w:right="49" w:hanging="426"/>
        <w:contextualSpacing/>
        <w:jc w:val="left"/>
        <w:rPr>
          <w:rFonts w:eastAsia="Times New Roman" w:cs="Tahoma"/>
          <w:bCs/>
          <w:iCs/>
          <w:lang w:eastAsia="es-ES"/>
        </w:rPr>
      </w:pPr>
      <w:r w:rsidRPr="00422961">
        <w:rPr>
          <w:rFonts w:eastAsia="Times New Roman" w:cs="Tahoma"/>
          <w:b/>
          <w:bCs/>
          <w:iCs/>
          <w:lang w:eastAsia="es-ES"/>
        </w:rPr>
        <w:t>Idoneidad:</w:t>
      </w:r>
      <w:r w:rsidRPr="00422961">
        <w:rPr>
          <w:rFonts w:eastAsia="Times New Roman" w:cs="Tahoma"/>
          <w:bCs/>
          <w:iCs/>
          <w:lang w:eastAsia="es-ES"/>
        </w:rPr>
        <w:t xml:space="preserve"> La legitimidad del derecho adoptado como preferente, que sea el adecuado para el logro de un fin constitucionalmente válido o apto para conseguir el fin pretendido;</w:t>
      </w:r>
    </w:p>
    <w:p w14:paraId="5EE2DAD5" w14:textId="77777777" w:rsidR="00EA64C5" w:rsidRPr="00422961" w:rsidRDefault="00EA64C5" w:rsidP="00EA64C5">
      <w:pPr>
        <w:spacing w:after="0" w:line="360" w:lineRule="auto"/>
        <w:ind w:left="426" w:right="49"/>
        <w:contextualSpacing/>
        <w:rPr>
          <w:rFonts w:eastAsia="Times New Roman" w:cs="Tahoma"/>
          <w:bCs/>
          <w:iCs/>
          <w:lang w:eastAsia="es-ES"/>
        </w:rPr>
      </w:pPr>
    </w:p>
    <w:p w14:paraId="3FF1FC03" w14:textId="77777777" w:rsidR="00EA64C5" w:rsidRPr="00422961" w:rsidRDefault="00EA64C5" w:rsidP="00EA64C5">
      <w:pPr>
        <w:numPr>
          <w:ilvl w:val="0"/>
          <w:numId w:val="17"/>
        </w:numPr>
        <w:spacing w:after="0" w:line="360" w:lineRule="auto"/>
        <w:ind w:left="426" w:right="49" w:hanging="426"/>
        <w:contextualSpacing/>
        <w:jc w:val="left"/>
        <w:rPr>
          <w:rFonts w:eastAsia="Times New Roman" w:cs="Tahoma"/>
          <w:bCs/>
          <w:iCs/>
          <w:lang w:eastAsia="es-ES"/>
        </w:rPr>
      </w:pPr>
      <w:r w:rsidRPr="00422961">
        <w:rPr>
          <w:rFonts w:eastAsia="Times New Roman" w:cs="Tahoma"/>
          <w:b/>
          <w:bCs/>
          <w:iCs/>
          <w:lang w:eastAsia="es-ES"/>
        </w:rPr>
        <w:t>Necesidad:</w:t>
      </w:r>
      <w:r w:rsidRPr="00422961">
        <w:rPr>
          <w:rFonts w:eastAsia="Times New Roman" w:cs="Tahoma"/>
          <w:bCs/>
          <w:iCs/>
          <w:lang w:eastAsia="es-ES"/>
        </w:rPr>
        <w:t xml:space="preserve"> La falta de un medio alternativo menos lesivo a la apertura de la información, para satisfacer el interés público, y</w:t>
      </w:r>
    </w:p>
    <w:p w14:paraId="415DE8BD" w14:textId="77777777" w:rsidR="00EA64C5" w:rsidRPr="00422961" w:rsidRDefault="00EA64C5" w:rsidP="00EA64C5">
      <w:pPr>
        <w:spacing w:after="0" w:line="360" w:lineRule="auto"/>
        <w:ind w:left="426" w:right="49"/>
        <w:contextualSpacing/>
        <w:rPr>
          <w:rFonts w:eastAsia="Times New Roman" w:cs="Tahoma"/>
          <w:bCs/>
          <w:iCs/>
          <w:lang w:eastAsia="es-ES"/>
        </w:rPr>
      </w:pPr>
    </w:p>
    <w:p w14:paraId="4AB678D8" w14:textId="77777777" w:rsidR="00EA64C5" w:rsidRPr="00422961" w:rsidRDefault="00EA64C5" w:rsidP="00EA64C5">
      <w:pPr>
        <w:widowControl w:val="0"/>
        <w:numPr>
          <w:ilvl w:val="0"/>
          <w:numId w:val="17"/>
        </w:numPr>
        <w:spacing w:after="0" w:line="360" w:lineRule="auto"/>
        <w:ind w:left="425" w:right="51" w:hanging="425"/>
        <w:contextualSpacing/>
        <w:jc w:val="left"/>
        <w:rPr>
          <w:rFonts w:eastAsia="Times New Roman" w:cs="Tahoma"/>
          <w:bCs/>
          <w:iCs/>
          <w:lang w:eastAsia="es-ES"/>
        </w:rPr>
      </w:pPr>
      <w:r w:rsidRPr="00422961">
        <w:rPr>
          <w:rFonts w:eastAsia="Times New Roman" w:cs="Tahoma"/>
          <w:b/>
          <w:bCs/>
          <w:iCs/>
          <w:lang w:eastAsia="es-ES"/>
        </w:rPr>
        <w:t>Proporcionalidad:</w:t>
      </w:r>
      <w:r w:rsidRPr="00422961">
        <w:rPr>
          <w:rFonts w:eastAsia="Times New Roman" w:cs="Tahoma"/>
          <w:bCs/>
          <w:iCs/>
          <w:lang w:eastAsia="es-ES"/>
        </w:rPr>
        <w:t xml:space="preserve"> El equilibrio entre perjuicio y beneficio a favor del interés público, a fin de que la decisión tomada represente un beneficio mayor al perjuicio que podría causar a la población.</w:t>
      </w:r>
    </w:p>
    <w:p w14:paraId="5546DCAC" w14:textId="77777777" w:rsidR="00EA64C5" w:rsidRPr="00422961" w:rsidRDefault="00EA64C5" w:rsidP="00EA64C5">
      <w:pPr>
        <w:spacing w:after="0" w:line="360" w:lineRule="auto"/>
        <w:ind w:right="-93"/>
        <w:rPr>
          <w:rFonts w:eastAsia="Calibri" w:cs="Tahoma"/>
          <w:bCs/>
        </w:rPr>
      </w:pPr>
    </w:p>
    <w:p w14:paraId="1A8C8309" w14:textId="77777777" w:rsidR="00EA64C5" w:rsidRPr="00422961" w:rsidRDefault="00EA64C5" w:rsidP="00EA64C5">
      <w:pPr>
        <w:spacing w:after="0" w:line="360" w:lineRule="auto"/>
        <w:ind w:right="-1"/>
        <w:rPr>
          <w:rFonts w:eastAsia="Calibri" w:cs="Tahoma"/>
          <w:lang w:eastAsia="es-ES"/>
        </w:rPr>
      </w:pPr>
      <w:r w:rsidRPr="00422961">
        <w:rPr>
          <w:rFonts w:eastAsia="Calibri" w:cs="Tahoma"/>
          <w:lang w:eastAsia="es-ES"/>
        </w:rPr>
        <w:t>En ese orden de ideas, resulta procedente analizar cada uno de los elementos referidos, partiendo de que, en el caso concreto, se estima como preferente el derecho de acceso a la información, bajo las consideraciones que se verterán a continuación.</w:t>
      </w:r>
    </w:p>
    <w:p w14:paraId="1B8BADDD" w14:textId="77777777" w:rsidR="00EA64C5" w:rsidRPr="00422961" w:rsidRDefault="00EA64C5" w:rsidP="00EA64C5">
      <w:pPr>
        <w:spacing w:after="0" w:line="360" w:lineRule="auto"/>
        <w:ind w:right="-1"/>
        <w:rPr>
          <w:rFonts w:eastAsia="Calibri" w:cs="Tahoma"/>
          <w:lang w:eastAsia="es-ES"/>
        </w:rPr>
      </w:pPr>
    </w:p>
    <w:p w14:paraId="5899B699" w14:textId="15B9FA05" w:rsidR="00EA64C5" w:rsidRPr="00422961" w:rsidRDefault="00EA64C5" w:rsidP="00EA64C5">
      <w:pPr>
        <w:spacing w:after="0" w:line="360" w:lineRule="auto"/>
        <w:ind w:right="-93"/>
        <w:rPr>
          <w:rFonts w:eastAsia="Calibri" w:cs="Tahoma"/>
          <w:bCs/>
        </w:rPr>
      </w:pPr>
      <w:r w:rsidRPr="00422961">
        <w:rPr>
          <w:rFonts w:eastAsia="Calibri" w:cs="Tahoma"/>
          <w:b/>
          <w:bCs/>
          <w:iCs/>
          <w:lang w:eastAsia="es-ES"/>
        </w:rPr>
        <w:lastRenderedPageBreak/>
        <w:t>a) Idoneidad</w:t>
      </w:r>
      <w:r w:rsidRPr="00422961">
        <w:rPr>
          <w:rFonts w:eastAsia="Calibri" w:cs="Tahoma"/>
          <w:bCs/>
        </w:rPr>
        <w:t>. Existe un fin constitucionalmente válido para dar a conocer el nombre de aquellas personas físicas a quienes les fue otorgado un permiso para realizar una actividad económica, comercial o industrial en el Municipios de Metepec, sobre todo en vía pública; dicho fin la rendición de cuentas sobre el quehacer gubernamental que permita identificar a aquellas personas que han sido autorizadas por el Ayuntamiento, para realizar actividades lícitas; esto es, las localizadas dentro de los Trámites de la Dirección de Gobernación, a efecto de determinar si la misma se realizó atendiendo a la normatividad aplicable.</w:t>
      </w:r>
    </w:p>
    <w:p w14:paraId="1BFEF815" w14:textId="77777777" w:rsidR="00EA64C5" w:rsidRPr="00422961" w:rsidRDefault="00EA64C5" w:rsidP="00EA64C5">
      <w:pPr>
        <w:spacing w:after="0" w:line="360" w:lineRule="auto"/>
        <w:ind w:right="-93"/>
        <w:rPr>
          <w:rFonts w:eastAsia="Calibri" w:cs="Tahoma"/>
          <w:bCs/>
        </w:rPr>
      </w:pPr>
    </w:p>
    <w:p w14:paraId="1F7FF1B5" w14:textId="6E58F320" w:rsidR="00EA64C5" w:rsidRPr="00422961" w:rsidRDefault="00EA64C5" w:rsidP="00EA64C5">
      <w:pPr>
        <w:spacing w:after="0" w:line="360" w:lineRule="auto"/>
        <w:ind w:right="-93"/>
        <w:rPr>
          <w:rFonts w:eastAsia="Calibri" w:cs="Tahoma"/>
          <w:bCs/>
        </w:rPr>
      </w:pPr>
      <w:r w:rsidRPr="00422961">
        <w:rPr>
          <w:rFonts w:eastAsia="Calibri" w:cs="Tahoma"/>
          <w:bCs/>
        </w:rPr>
        <w:t xml:space="preserve">Al respecto, es de señalar que la </w:t>
      </w:r>
      <w:r w:rsidRPr="00422961">
        <w:rPr>
          <w:rFonts w:eastAsia="Calibri" w:cs="Tahoma"/>
          <w:b/>
          <w:bCs/>
        </w:rPr>
        <w:t xml:space="preserve">transparencia </w:t>
      </w:r>
      <w:r w:rsidRPr="00422961">
        <w:rPr>
          <w:rFonts w:eastAsia="Calibri" w:cs="Tahoma"/>
          <w:bCs/>
        </w:rPr>
        <w:t xml:space="preserve">está orientada a maximizar el uso social de la información de los organismos gubernamentales, misma que sirve para exigir cuentas a las autoridades; mientras que la </w:t>
      </w:r>
      <w:r w:rsidRPr="00422961">
        <w:rPr>
          <w:rFonts w:eastAsia="Calibri" w:cs="Tahoma"/>
          <w:b/>
          <w:bCs/>
        </w:rPr>
        <w:t>rendición de cuentas</w:t>
      </w:r>
      <w:r w:rsidRPr="00422961">
        <w:rPr>
          <w:rFonts w:eastAsia="Calibri" w:cs="Tahoma"/>
          <w:bCs/>
        </w:rPr>
        <w:t xml:space="preserve"> debe entenderse como la obligación de los funcionarios de responder por lo que hacen y la que atañe al poder de los ciudadanos para sancionar los resultados de la gestión en caso de que los servidores públicos hayan violado sus deberes públicos. Por lo que, estos dos conceptos están asociados de manera notable y, por tanto, los gobernados requieren información para evaluar críticamente a sus gobernantes y exigirles cuentas.</w:t>
      </w:r>
    </w:p>
    <w:p w14:paraId="0A686973" w14:textId="77777777" w:rsidR="00EA64C5" w:rsidRPr="00422961" w:rsidRDefault="00EA64C5" w:rsidP="00EA64C5">
      <w:pPr>
        <w:spacing w:after="0" w:line="360" w:lineRule="auto"/>
        <w:ind w:right="-93"/>
        <w:rPr>
          <w:rFonts w:eastAsia="Calibri" w:cs="Tahoma"/>
          <w:bCs/>
        </w:rPr>
      </w:pPr>
    </w:p>
    <w:p w14:paraId="62A21932" w14:textId="77777777" w:rsidR="00EA64C5" w:rsidRPr="00422961" w:rsidRDefault="00EA64C5" w:rsidP="00EA64C5">
      <w:pPr>
        <w:spacing w:after="0" w:line="360" w:lineRule="auto"/>
        <w:ind w:right="-93"/>
        <w:rPr>
          <w:rFonts w:eastAsia="Calibri" w:cs="Tahoma"/>
          <w:b/>
          <w:bCs/>
        </w:rPr>
      </w:pPr>
      <w:r w:rsidRPr="00422961">
        <w:rPr>
          <w:rFonts w:eastAsia="Calibri" w:cs="Tahoma"/>
          <w:bCs/>
        </w:rPr>
        <w:t xml:space="preserve">En ese orden de ideas, la transparencia, al permitir y ayudar a la rendición de cuentas, funciona de doble manera, </w:t>
      </w:r>
      <w:r w:rsidRPr="00422961">
        <w:rPr>
          <w:rFonts w:eastAsia="Calibri" w:cs="Tahoma"/>
          <w:bCs/>
          <w:u w:val="single"/>
        </w:rPr>
        <w:t>capacitadora</w:t>
      </w:r>
      <w:r w:rsidRPr="00422961">
        <w:rPr>
          <w:rFonts w:eastAsia="Calibri" w:cs="Tahoma"/>
          <w:bCs/>
        </w:rPr>
        <w:t xml:space="preserve">, al permitir a la sociedad premiar o castigar el desempeño de los entes públicos, y cómo </w:t>
      </w:r>
      <w:r w:rsidRPr="00422961">
        <w:rPr>
          <w:rFonts w:eastAsia="Calibri" w:cs="Tahoma"/>
          <w:bCs/>
          <w:u w:val="single"/>
        </w:rPr>
        <w:t>inhibidora</w:t>
      </w:r>
      <w:r w:rsidRPr="00422961">
        <w:rPr>
          <w:rFonts w:eastAsia="Calibri" w:cs="Tahoma"/>
          <w:bCs/>
        </w:rPr>
        <w:t xml:space="preserve"> de conductas y acciones que atenten contra </w:t>
      </w:r>
      <w:r w:rsidRPr="00422961">
        <w:rPr>
          <w:rFonts w:eastAsia="Calibri" w:cs="Tahoma"/>
          <w:b/>
          <w:bCs/>
        </w:rPr>
        <w:t xml:space="preserve">el interés público. </w:t>
      </w:r>
    </w:p>
    <w:p w14:paraId="7FAD8ABF" w14:textId="77777777" w:rsidR="00EA64C5" w:rsidRPr="00422961" w:rsidRDefault="00EA64C5" w:rsidP="00EA64C5">
      <w:pPr>
        <w:spacing w:after="0" w:line="360" w:lineRule="auto"/>
        <w:ind w:right="-93"/>
        <w:rPr>
          <w:rFonts w:eastAsia="Calibri" w:cs="Tahoma"/>
          <w:bCs/>
        </w:rPr>
      </w:pPr>
    </w:p>
    <w:p w14:paraId="3FB0BDB1" w14:textId="440B8342" w:rsidR="00EA64C5" w:rsidRPr="00422961" w:rsidRDefault="00EA64C5" w:rsidP="00EA64C5">
      <w:pPr>
        <w:spacing w:after="0" w:line="360" w:lineRule="auto"/>
        <w:ind w:right="-93"/>
        <w:rPr>
          <w:rFonts w:eastAsia="Calibri" w:cs="Tahoma"/>
          <w:b/>
          <w:bCs/>
        </w:rPr>
      </w:pPr>
      <w:r w:rsidRPr="00422961">
        <w:rPr>
          <w:rFonts w:eastAsia="Calibri" w:cs="Tahoma"/>
          <w:bCs/>
        </w:rPr>
        <w:t xml:space="preserve">Ahora bien, tal como se estableció en párrafos anteriores, cualquier actividad comercial, industrial o económica, únicamente podrá ser llevada a cabo en vía pública, bajo el amparo de permiso expedida, en el presente caso, por el Ayuntamiento de Metepec, siempre y cuando cumplan con los requisitos establecidos en la normatividad aplicable; en tal virtud, los </w:t>
      </w:r>
      <w:r w:rsidRPr="00422961">
        <w:rPr>
          <w:rFonts w:eastAsia="Calibri" w:cs="Tahoma"/>
          <w:bCs/>
        </w:rPr>
        <w:lastRenderedPageBreak/>
        <w:t xml:space="preserve">nombres de las personas que tienen una autorización para poder realizar diversas actividades  económicas, </w:t>
      </w:r>
      <w:r w:rsidRPr="00422961">
        <w:rPr>
          <w:rFonts w:eastAsia="Calibri" w:cs="Tahoma"/>
          <w:b/>
          <w:bCs/>
        </w:rPr>
        <w:t>se traduce en información que permite transparentar el otorgamiento por parte del Estado de dichos documentos a diversos particulares.</w:t>
      </w:r>
    </w:p>
    <w:p w14:paraId="7A6A1653" w14:textId="77777777" w:rsidR="00EA64C5" w:rsidRPr="00422961" w:rsidRDefault="00EA64C5" w:rsidP="00EA64C5">
      <w:pPr>
        <w:spacing w:after="0" w:line="360" w:lineRule="auto"/>
        <w:ind w:right="-93"/>
        <w:rPr>
          <w:rFonts w:eastAsia="Calibri" w:cs="Tahoma"/>
          <w:bCs/>
        </w:rPr>
      </w:pPr>
    </w:p>
    <w:p w14:paraId="52E764FD" w14:textId="77777777" w:rsidR="00EA64C5" w:rsidRPr="00422961" w:rsidRDefault="00EA64C5" w:rsidP="00EA64C5">
      <w:pPr>
        <w:widowControl w:val="0"/>
        <w:spacing w:after="0" w:line="360" w:lineRule="auto"/>
        <w:ind w:right="-91"/>
        <w:rPr>
          <w:rFonts w:eastAsia="Calibri" w:cs="Tahoma"/>
          <w:bCs/>
        </w:rPr>
      </w:pPr>
      <w:r w:rsidRPr="00422961">
        <w:rPr>
          <w:rFonts w:eastAsia="Calibri" w:cs="Tahoma"/>
          <w:bCs/>
        </w:rPr>
        <w:t>En ese orden de ideas, la Suprema Corte de Justicia de la Nación, ha definido el acceso a la información como un derecho en sí mismo y como un medio o instrumento para el ejercicio de otros derechos,</w:t>
      </w:r>
      <w:r w:rsidRPr="00422961">
        <w:rPr>
          <w:rFonts w:eastAsia="Calibri" w:cs="Tahoma"/>
          <w:b/>
          <w:bCs/>
        </w:rPr>
        <w:t xml:space="preserve"> para que los gobernados ejerzan un control respecto del funcionamiento institucional de los poderes públicos, por lo que se constituye como una exigencia social de todo Estado de Derecho, y como un derecho colectivo o garantía social</w:t>
      </w:r>
      <w:r w:rsidRPr="00422961">
        <w:rPr>
          <w:rFonts w:eastAsia="Calibri" w:cs="Tahoma"/>
          <w:bCs/>
        </w:rPr>
        <w:t>, a fin de lograr la publicidad de los actos de gobierno y la transparencia de la administración pública. Lo anterior, a través de la jurisprudencia número P./J. 54/2008, publicada en el Semanario Judicial de la Federación y su Gaceta, Tomo XXVII, página 743, Novena Época, en junio de dos mil ocho.</w:t>
      </w:r>
    </w:p>
    <w:p w14:paraId="121A1B0D" w14:textId="77777777" w:rsidR="00EA64C5" w:rsidRPr="00422961" w:rsidRDefault="00EA64C5" w:rsidP="00EA64C5">
      <w:pPr>
        <w:spacing w:after="0" w:line="360" w:lineRule="auto"/>
        <w:ind w:right="-93"/>
        <w:rPr>
          <w:rFonts w:eastAsia="Calibri" w:cs="Tahoma"/>
          <w:bCs/>
        </w:rPr>
      </w:pPr>
    </w:p>
    <w:p w14:paraId="0E8C6CBC" w14:textId="77777777" w:rsidR="00EA64C5" w:rsidRPr="00422961" w:rsidRDefault="00EA64C5" w:rsidP="00EA64C5">
      <w:pPr>
        <w:spacing w:after="0" w:line="360" w:lineRule="auto"/>
        <w:ind w:right="-93"/>
        <w:rPr>
          <w:rFonts w:eastAsia="Calibri" w:cs="Tahoma"/>
          <w:bCs/>
        </w:rPr>
      </w:pPr>
      <w:r w:rsidRPr="00422961">
        <w:rPr>
          <w:rFonts w:eastAsia="Calibri" w:cs="Tahoma"/>
          <w:bCs/>
        </w:rPr>
        <w:t>A mayor precisión, la transparencia de la información requerida permitiría a la sociedad, en general, conocer los nombres de las personas que acreditaron los elementos necesarios para poder realizar una actividad económica dentro del territorio del Municipio; esto es, de los requisitos establecidos en las leyes respectivas.</w:t>
      </w:r>
    </w:p>
    <w:p w14:paraId="3C3425D0" w14:textId="77777777" w:rsidR="00EA64C5" w:rsidRPr="00422961" w:rsidRDefault="00EA64C5" w:rsidP="00EA64C5">
      <w:pPr>
        <w:spacing w:after="0" w:line="360" w:lineRule="auto"/>
        <w:ind w:right="-93"/>
        <w:rPr>
          <w:rFonts w:eastAsia="Calibri" w:cs="Tahoma"/>
          <w:bCs/>
        </w:rPr>
      </w:pPr>
    </w:p>
    <w:p w14:paraId="1F0871A4" w14:textId="706DDE42" w:rsidR="00EA64C5" w:rsidRPr="00422961" w:rsidRDefault="00EA64C5" w:rsidP="00EA64C5">
      <w:pPr>
        <w:spacing w:after="0" w:line="360" w:lineRule="auto"/>
        <w:ind w:right="-93"/>
        <w:rPr>
          <w:rFonts w:eastAsia="Calibri" w:cs="Tahoma"/>
          <w:bCs/>
          <w:u w:val="single"/>
        </w:rPr>
      </w:pPr>
      <w:r w:rsidRPr="00422961">
        <w:rPr>
          <w:rFonts w:eastAsia="Calibri" w:cs="Tahoma"/>
          <w:bCs/>
        </w:rPr>
        <w:t xml:space="preserve">Por ende, otorgar el nombre de la persona autorizada, a través de un permiso, </w:t>
      </w:r>
      <w:r w:rsidRPr="00422961">
        <w:rPr>
          <w:rFonts w:eastAsia="Calibri" w:cs="Tahoma"/>
          <w:bCs/>
          <w:u w:val="single"/>
        </w:rPr>
        <w:t>permite corroborar que esta cumple con los requisitos legales para realizar la actividad económica dentro del territorio municipal.</w:t>
      </w:r>
    </w:p>
    <w:p w14:paraId="21FC60CB" w14:textId="77777777" w:rsidR="00EA64C5" w:rsidRPr="00422961" w:rsidRDefault="00EA64C5" w:rsidP="00EA64C5">
      <w:pPr>
        <w:spacing w:after="0" w:line="360" w:lineRule="auto"/>
        <w:ind w:right="-93"/>
        <w:rPr>
          <w:rFonts w:eastAsia="Calibri" w:cs="Tahoma"/>
          <w:bCs/>
          <w:u w:val="single"/>
        </w:rPr>
      </w:pPr>
    </w:p>
    <w:p w14:paraId="6A1A18C5" w14:textId="77777777" w:rsidR="00EA64C5" w:rsidRPr="00422961" w:rsidRDefault="00EA64C5" w:rsidP="00EA64C5">
      <w:pPr>
        <w:spacing w:after="0" w:line="360" w:lineRule="auto"/>
        <w:ind w:right="-93"/>
        <w:rPr>
          <w:rFonts w:eastAsia="Calibri" w:cs="Tahoma"/>
          <w:bCs/>
        </w:rPr>
      </w:pPr>
      <w:r w:rsidRPr="00422961">
        <w:rPr>
          <w:rFonts w:eastAsia="Calibri" w:cs="Tahoma"/>
          <w:bCs/>
        </w:rPr>
        <w:t>Bajo esa premisa, se entiende que la materia sobre la cual versa la presente solicitud, reviste un interés colectivo para la sociedad, dado que el Estado a nivel municipal, es el encargado de regular los establecimientos comerciales o industriales dentro de extensión territorial.</w:t>
      </w:r>
    </w:p>
    <w:p w14:paraId="06353348" w14:textId="77777777" w:rsidR="00EA64C5" w:rsidRPr="00422961" w:rsidRDefault="00EA64C5" w:rsidP="00EA64C5">
      <w:pPr>
        <w:spacing w:after="0" w:line="360" w:lineRule="auto"/>
        <w:ind w:right="-93"/>
        <w:rPr>
          <w:rFonts w:eastAsia="Calibri" w:cs="Tahoma"/>
          <w:bCs/>
        </w:rPr>
      </w:pPr>
    </w:p>
    <w:p w14:paraId="41FD1258" w14:textId="5BBA34FB" w:rsidR="00EA64C5" w:rsidRPr="00422961" w:rsidRDefault="00EA64C5" w:rsidP="00EA64C5">
      <w:pPr>
        <w:spacing w:after="0" w:line="360" w:lineRule="auto"/>
        <w:ind w:right="-93"/>
        <w:rPr>
          <w:rFonts w:eastAsia="Calibri" w:cs="Tahoma"/>
          <w:b/>
          <w:bCs/>
        </w:rPr>
      </w:pPr>
      <w:r w:rsidRPr="00422961">
        <w:rPr>
          <w:rFonts w:eastAsia="Calibri" w:cs="Tahoma"/>
          <w:bCs/>
        </w:rPr>
        <w:t xml:space="preserve">Así, mediante la difusión de los nombres de aquellas personas que cuentan un permiso, permitiría una debida rendición de cuentas, pues es indispensable que se conozcan aquellos que están autorizados por parte del Municipio de Metepec para realizar actividades económicas, mismas que se encuentran reguladas, por lo que, con ello se garantizaría que la sociedad tenga certeza de que </w:t>
      </w:r>
      <w:r w:rsidRPr="00422961">
        <w:rPr>
          <w:rFonts w:eastAsia="Calibri" w:cs="Tahoma"/>
          <w:b/>
          <w:bCs/>
        </w:rPr>
        <w:t>las autorizaciones colocadas en los establecimientos, fueron efectivamente emitidas por el sujeto obligado, y no funcionan fuera del marco de la normatividad aplicable.</w:t>
      </w:r>
    </w:p>
    <w:p w14:paraId="24B594DC" w14:textId="77777777" w:rsidR="00EA64C5" w:rsidRPr="00422961" w:rsidRDefault="00EA64C5" w:rsidP="00EA64C5">
      <w:pPr>
        <w:spacing w:after="0" w:line="360" w:lineRule="auto"/>
        <w:ind w:right="-93"/>
        <w:rPr>
          <w:rFonts w:eastAsia="Calibri" w:cs="Tahoma"/>
          <w:bCs/>
        </w:rPr>
      </w:pPr>
    </w:p>
    <w:p w14:paraId="651C7C0F" w14:textId="591A8BCB" w:rsidR="00EA64C5" w:rsidRPr="00422961" w:rsidRDefault="00EA64C5" w:rsidP="00EA64C5">
      <w:pPr>
        <w:spacing w:after="0" w:line="360" w:lineRule="auto"/>
        <w:ind w:right="-93"/>
        <w:rPr>
          <w:rFonts w:eastAsia="Calibri" w:cs="Tahoma"/>
          <w:bCs/>
        </w:rPr>
      </w:pPr>
      <w:r w:rsidRPr="00422961">
        <w:rPr>
          <w:rFonts w:eastAsia="Calibri" w:cs="Tahoma"/>
          <w:bCs/>
        </w:rPr>
        <w:t>Es bajo ese contexto, que se considera que el derecho de acceso a la información debe prevalecer frente a la protección del nombre de los titules de los permisos para realizar bazares, pues resulta de interés público, el que la sociedad pueda identificar a quiénes están autorizados para ejercer la actividad comercial.</w:t>
      </w:r>
    </w:p>
    <w:p w14:paraId="10D037E0" w14:textId="77777777" w:rsidR="00EA64C5" w:rsidRPr="00422961" w:rsidRDefault="00EA64C5" w:rsidP="00EA64C5">
      <w:pPr>
        <w:spacing w:after="0" w:line="360" w:lineRule="auto"/>
        <w:ind w:right="-93"/>
        <w:rPr>
          <w:rFonts w:eastAsia="Calibri" w:cs="Tahoma"/>
          <w:bCs/>
        </w:rPr>
      </w:pPr>
    </w:p>
    <w:p w14:paraId="1EFC397C" w14:textId="15C4FE2A" w:rsidR="00EA64C5" w:rsidRPr="00422961" w:rsidRDefault="00EA64C5" w:rsidP="00EA64C5">
      <w:pPr>
        <w:spacing w:after="0" w:line="360" w:lineRule="auto"/>
        <w:ind w:right="-93"/>
        <w:rPr>
          <w:rFonts w:eastAsia="Calibri" w:cs="Tahoma"/>
          <w:bCs/>
        </w:rPr>
      </w:pPr>
      <w:r w:rsidRPr="00422961">
        <w:rPr>
          <w:rFonts w:eastAsia="Calibri" w:cs="Tahoma"/>
          <w:bCs/>
        </w:rPr>
        <w:t>Igualmente, permitiría el escrutinio de la actividad de la autoridad encargada de emitir dichas licencias, en tanto que la sociedad podría advertir si se autorizaron a quienes cumplen con los requisitos establecidos la normatividad aplicable e incluso si dicho permiso se encuentra vigente.</w:t>
      </w:r>
    </w:p>
    <w:p w14:paraId="4D360ADC" w14:textId="77777777" w:rsidR="00EA64C5" w:rsidRPr="00422961" w:rsidRDefault="00EA64C5" w:rsidP="00EA64C5">
      <w:pPr>
        <w:spacing w:after="0" w:line="360" w:lineRule="auto"/>
        <w:ind w:right="-93"/>
        <w:rPr>
          <w:rFonts w:eastAsia="Calibri" w:cs="Tahoma"/>
          <w:b/>
          <w:lang w:eastAsia="es-ES"/>
        </w:rPr>
      </w:pPr>
    </w:p>
    <w:p w14:paraId="2D4B7855" w14:textId="527E79BE" w:rsidR="00EA64C5" w:rsidRPr="00422961" w:rsidRDefault="00EA64C5" w:rsidP="00EA64C5">
      <w:pPr>
        <w:spacing w:after="0" w:line="360" w:lineRule="auto"/>
        <w:ind w:right="-93"/>
        <w:rPr>
          <w:rFonts w:eastAsia="Calibri" w:cs="Tahoma"/>
          <w:b/>
          <w:bCs/>
        </w:rPr>
      </w:pPr>
      <w:r w:rsidRPr="00422961">
        <w:rPr>
          <w:rFonts w:eastAsia="Calibri" w:cs="Tahoma"/>
          <w:b/>
          <w:lang w:eastAsia="es-ES"/>
        </w:rPr>
        <w:t>b) Necesidad.</w:t>
      </w:r>
      <w:r w:rsidRPr="00422961">
        <w:rPr>
          <w:rFonts w:eastAsia="Calibri" w:cs="Tahoma"/>
          <w:bCs/>
        </w:rPr>
        <w:t xml:space="preserve"> El sacrifico de la protección del nombre de aquellas personas que se les otorgó una licencia de funcionamiento, como medio para lograr el fin constitucionalmente válido señalado previamente, se justifica en razón de que se satisface el interés mayor de los ciudadanos de conocer si los establecimientos comerciales cuentan con la autorización correspondiente. Además, corrobora si la localizada en el inmueble para llevar a cabo la actividad, fue emitida por el Sujeto Obligado, </w:t>
      </w:r>
      <w:r w:rsidRPr="00422961">
        <w:rPr>
          <w:rFonts w:eastAsia="Calibri" w:cs="Tahoma"/>
          <w:b/>
          <w:bCs/>
        </w:rPr>
        <w:t>como regulador de las actividades económicas del Municipio</w:t>
      </w:r>
      <w:r w:rsidR="00AC3438" w:rsidRPr="00422961">
        <w:rPr>
          <w:rFonts w:eastAsia="Calibri" w:cs="Tahoma"/>
          <w:b/>
          <w:bCs/>
        </w:rPr>
        <w:t>.</w:t>
      </w:r>
    </w:p>
    <w:p w14:paraId="0ECDA350" w14:textId="77777777" w:rsidR="00EA64C5" w:rsidRPr="00422961" w:rsidRDefault="00EA64C5" w:rsidP="00EA64C5">
      <w:pPr>
        <w:spacing w:after="0" w:line="360" w:lineRule="auto"/>
        <w:ind w:right="-93"/>
        <w:rPr>
          <w:rFonts w:eastAsia="Calibri" w:cs="Tahoma"/>
          <w:bCs/>
        </w:rPr>
      </w:pPr>
      <w:r w:rsidRPr="00422961">
        <w:rPr>
          <w:rFonts w:eastAsia="Calibri" w:cs="Tahoma"/>
          <w:bCs/>
        </w:rPr>
        <w:lastRenderedPageBreak/>
        <w:t>Sobre el particular, el artículo 2° de la Ley de Transparencia y Acceso a la Información Pública del Estado de México y Municipios, dispone que entre los objetivos de la misma, se encuentran: i) transparentar la gestión pública mediante la difusión de la información generada por los Sujetos Obligados; ii) promover, fomentar y la cultura de la transparencia, el acceso a la información y a la rendición de cuentas y, iii) propiciar la participación ciudadana en la toma de las decisiones públicas, a fin de contribuir a la consolidación de la democracia.</w:t>
      </w:r>
    </w:p>
    <w:p w14:paraId="01FEF2C8" w14:textId="77777777" w:rsidR="00EA64C5" w:rsidRPr="00422961" w:rsidRDefault="00EA64C5" w:rsidP="00EA64C5">
      <w:pPr>
        <w:spacing w:after="0" w:line="360" w:lineRule="auto"/>
        <w:ind w:right="-93"/>
        <w:rPr>
          <w:rFonts w:eastAsia="Calibri" w:cs="Tahoma"/>
          <w:bCs/>
        </w:rPr>
      </w:pPr>
    </w:p>
    <w:p w14:paraId="2CB49768" w14:textId="5B53FAEA" w:rsidR="00EA64C5" w:rsidRPr="00422961" w:rsidRDefault="00EA64C5" w:rsidP="00EA64C5">
      <w:pPr>
        <w:spacing w:after="0" w:line="360" w:lineRule="auto"/>
        <w:ind w:right="-93"/>
        <w:rPr>
          <w:rFonts w:eastAsia="Calibri" w:cs="Tahoma"/>
          <w:bCs/>
        </w:rPr>
      </w:pPr>
      <w:r w:rsidRPr="00422961">
        <w:rPr>
          <w:rFonts w:eastAsia="Calibri" w:cs="Tahoma"/>
          <w:bCs/>
        </w:rPr>
        <w:t xml:space="preserve">En el caso concreto, se considera que no existe un medio menos oneroso que el ejercicio del derecho de acceso a la información para lograr el fin constitucionalmente válido, que es transparentar y rendir cuentas a la sociedad sobre las personas a quiénes se les otorgaron licencias, por parte del Municipio de </w:t>
      </w:r>
      <w:r w:rsidR="00AC3438" w:rsidRPr="00422961">
        <w:rPr>
          <w:rFonts w:eastAsia="Calibri" w:cs="Tahoma"/>
          <w:bCs/>
        </w:rPr>
        <w:t>Metepec</w:t>
      </w:r>
      <w:r w:rsidRPr="00422961">
        <w:rPr>
          <w:rFonts w:eastAsia="Calibri" w:cs="Tahoma"/>
          <w:bCs/>
        </w:rPr>
        <w:t xml:space="preserve">, a través de la Dirección </w:t>
      </w:r>
      <w:r w:rsidR="00AC3438" w:rsidRPr="00422961">
        <w:rPr>
          <w:rFonts w:eastAsia="Calibri" w:cs="Tahoma"/>
          <w:bCs/>
        </w:rPr>
        <w:t>de Gobernación</w:t>
      </w:r>
      <w:r w:rsidRPr="00422961">
        <w:rPr>
          <w:rFonts w:eastAsia="Calibri" w:cs="Tahoma"/>
          <w:bCs/>
        </w:rPr>
        <w:t>, para que pudieran realizar actividades económicas, comerciales o industriales</w:t>
      </w:r>
      <w:r w:rsidR="00AC3438" w:rsidRPr="00422961">
        <w:rPr>
          <w:rFonts w:eastAsia="Calibri" w:cs="Tahoma"/>
          <w:bCs/>
        </w:rPr>
        <w:t xml:space="preserve"> en vía pública.</w:t>
      </w:r>
    </w:p>
    <w:p w14:paraId="272145D4" w14:textId="77777777" w:rsidR="00EA64C5" w:rsidRPr="00422961" w:rsidRDefault="00EA64C5" w:rsidP="00EA64C5">
      <w:pPr>
        <w:spacing w:after="0" w:line="360" w:lineRule="auto"/>
        <w:ind w:right="-93"/>
        <w:rPr>
          <w:rFonts w:eastAsia="Calibri" w:cs="Tahoma"/>
          <w:bCs/>
        </w:rPr>
      </w:pPr>
    </w:p>
    <w:p w14:paraId="4280A6B7" w14:textId="5F91278C" w:rsidR="00EA64C5" w:rsidRPr="00422961" w:rsidRDefault="00EA64C5" w:rsidP="00EA64C5">
      <w:pPr>
        <w:spacing w:after="0" w:line="360" w:lineRule="auto"/>
        <w:ind w:right="-93"/>
        <w:rPr>
          <w:rFonts w:eastAsia="Calibri" w:cs="Tahoma"/>
          <w:bCs/>
        </w:rPr>
      </w:pPr>
      <w:r w:rsidRPr="00422961">
        <w:rPr>
          <w:rFonts w:eastAsia="Calibri" w:cs="Tahoma"/>
          <w:bCs/>
        </w:rPr>
        <w:t xml:space="preserve">En otras palabras, se considera que sólo con la difusión del nombre del titular </w:t>
      </w:r>
      <w:r w:rsidR="00AC3438" w:rsidRPr="00422961">
        <w:rPr>
          <w:rFonts w:eastAsia="Calibri" w:cs="Tahoma"/>
          <w:bCs/>
        </w:rPr>
        <w:t>de los permisos</w:t>
      </w:r>
      <w:r w:rsidRPr="00422961">
        <w:rPr>
          <w:rFonts w:eastAsia="Calibri" w:cs="Tahoma"/>
          <w:bCs/>
        </w:rPr>
        <w:t xml:space="preserve">, se podrían aportar los elementos necesarios a la ciudadanía para conocer que </w:t>
      </w:r>
      <w:r w:rsidR="00AC3438" w:rsidRPr="00422961">
        <w:rPr>
          <w:rFonts w:eastAsia="Calibri" w:cs="Tahoma"/>
          <w:bCs/>
        </w:rPr>
        <w:t>los bazares colocados en el Municipio</w:t>
      </w:r>
      <w:r w:rsidRPr="00422961">
        <w:rPr>
          <w:rFonts w:eastAsia="Calibri" w:cs="Tahoma"/>
          <w:bCs/>
        </w:rPr>
        <w:t xml:space="preserve"> cuenta</w:t>
      </w:r>
      <w:r w:rsidR="00AC3438" w:rsidRPr="00422961">
        <w:rPr>
          <w:rFonts w:eastAsia="Calibri" w:cs="Tahoma"/>
          <w:bCs/>
        </w:rPr>
        <w:t>n</w:t>
      </w:r>
      <w:r w:rsidRPr="00422961">
        <w:rPr>
          <w:rFonts w:eastAsia="Calibri" w:cs="Tahoma"/>
          <w:bCs/>
        </w:rPr>
        <w:t xml:space="preserve"> con la autorización emitida por el Ayuntamiento.</w:t>
      </w:r>
    </w:p>
    <w:p w14:paraId="5C888602" w14:textId="77777777" w:rsidR="00EA64C5" w:rsidRPr="00422961" w:rsidRDefault="00EA64C5" w:rsidP="00EA64C5">
      <w:pPr>
        <w:spacing w:after="0" w:line="360" w:lineRule="auto"/>
        <w:ind w:right="-93"/>
        <w:rPr>
          <w:rFonts w:eastAsia="Calibri" w:cs="Tahoma"/>
          <w:bCs/>
        </w:rPr>
      </w:pPr>
    </w:p>
    <w:p w14:paraId="7C89D829" w14:textId="5FF443C2" w:rsidR="00EA64C5" w:rsidRPr="00422961" w:rsidRDefault="00EA64C5" w:rsidP="00EA64C5">
      <w:pPr>
        <w:spacing w:after="0" w:line="360" w:lineRule="auto"/>
        <w:ind w:right="-93"/>
        <w:rPr>
          <w:rFonts w:eastAsia="Calibri" w:cs="Tahoma"/>
          <w:bCs/>
        </w:rPr>
      </w:pPr>
      <w:r w:rsidRPr="00422961">
        <w:rPr>
          <w:rFonts w:eastAsia="Calibri" w:cs="Tahoma"/>
          <w:bCs/>
        </w:rPr>
        <w:t xml:space="preserve">Es decir, si se negara el derecho de acceso a la información al nombre localizado en dicho documento, se impediría conocer o identificar a la persona responsable </w:t>
      </w:r>
      <w:r w:rsidR="00AC3438" w:rsidRPr="00422961">
        <w:rPr>
          <w:rFonts w:eastAsia="Calibri" w:cs="Tahoma"/>
          <w:bCs/>
        </w:rPr>
        <w:t>de los bazares</w:t>
      </w:r>
      <w:r w:rsidRPr="00422961">
        <w:rPr>
          <w:rFonts w:eastAsia="Calibri" w:cs="Tahoma"/>
          <w:bCs/>
        </w:rPr>
        <w:t xml:space="preserve">, para atender asuntos relacionados con este, pues debe tener presente que </w:t>
      </w:r>
      <w:r w:rsidR="00AC3438" w:rsidRPr="00422961">
        <w:rPr>
          <w:rFonts w:eastAsia="Calibri" w:cs="Tahoma"/>
          <w:bCs/>
        </w:rPr>
        <w:t>el permiso</w:t>
      </w:r>
      <w:r w:rsidRPr="00422961">
        <w:rPr>
          <w:rFonts w:eastAsia="Calibri" w:cs="Tahoma"/>
          <w:bCs/>
        </w:rPr>
        <w:t xml:space="preserve"> se entrega para brindar servicios a terceros</w:t>
      </w:r>
      <w:r w:rsidR="00AC3438" w:rsidRPr="00422961">
        <w:rPr>
          <w:rFonts w:eastAsia="Calibri" w:cs="Tahoma"/>
          <w:bCs/>
        </w:rPr>
        <w:t>, por medio de bazares</w:t>
      </w:r>
      <w:r w:rsidRPr="00422961">
        <w:rPr>
          <w:rFonts w:eastAsia="Calibri" w:cs="Tahoma"/>
          <w:bCs/>
        </w:rPr>
        <w:t>, de ahí que se advierta un tema de interés público y que resulte imperativo la difusión de la información, advirtiéndose una desventaja de menor proporción en cuanto a la afectación de la protección de los datos personales.</w:t>
      </w:r>
    </w:p>
    <w:p w14:paraId="4F368A24" w14:textId="77777777" w:rsidR="00EA64C5" w:rsidRPr="00422961" w:rsidRDefault="00EA64C5" w:rsidP="00EA64C5">
      <w:pPr>
        <w:spacing w:after="0" w:line="360" w:lineRule="auto"/>
        <w:ind w:right="-93"/>
        <w:rPr>
          <w:rFonts w:eastAsia="Calibri" w:cs="Tahoma"/>
          <w:bCs/>
        </w:rPr>
      </w:pPr>
    </w:p>
    <w:p w14:paraId="7A5E5A9F" w14:textId="77777777" w:rsidR="00EA64C5" w:rsidRPr="00422961" w:rsidRDefault="00EA64C5" w:rsidP="00EA64C5">
      <w:pPr>
        <w:spacing w:after="0" w:line="360" w:lineRule="auto"/>
        <w:ind w:right="-93"/>
        <w:rPr>
          <w:rFonts w:eastAsia="Calibri" w:cs="Tahoma"/>
          <w:bCs/>
        </w:rPr>
      </w:pPr>
      <w:r w:rsidRPr="00422961">
        <w:rPr>
          <w:rFonts w:eastAsia="Times New Roman" w:cs="Tahoma"/>
          <w:b/>
          <w:lang w:eastAsia="es-ES"/>
        </w:rPr>
        <w:lastRenderedPageBreak/>
        <w:t>c) Proporcionalidad en sentido estricto</w:t>
      </w:r>
      <w:r w:rsidRPr="00422961">
        <w:rPr>
          <w:rFonts w:eastAsia="Times New Roman" w:cs="Tahoma"/>
          <w:lang w:eastAsia="es-ES"/>
        </w:rPr>
        <w:t xml:space="preserve">. </w:t>
      </w:r>
      <w:r w:rsidRPr="00422961">
        <w:rPr>
          <w:rFonts w:eastAsia="Calibri" w:cs="Tahoma"/>
          <w:bCs/>
        </w:rPr>
        <w:t>El sacrificio de la protección al nombre de aquellas personas que se les otorgó una licencia para realizar actividades económicas, como medio para lograr el fin constitucionalmente válido señalado previamente, se justifica en razón de que se satisface el interés mayor de los ciudadanos de conocer si los comerciantes cuentan con la autorización correspondiente para llevar a cabo dichas actividades, las cuales son reguladas, específicamente por los Municipios del Estado de México.</w:t>
      </w:r>
    </w:p>
    <w:p w14:paraId="10C773E9" w14:textId="77777777" w:rsidR="00EA64C5" w:rsidRPr="00422961" w:rsidRDefault="00EA64C5" w:rsidP="00EA64C5">
      <w:pPr>
        <w:spacing w:after="0" w:line="360" w:lineRule="auto"/>
        <w:ind w:right="-93"/>
        <w:rPr>
          <w:rFonts w:eastAsia="Calibri" w:cs="Tahoma"/>
          <w:bCs/>
        </w:rPr>
      </w:pPr>
    </w:p>
    <w:p w14:paraId="4EB665B8" w14:textId="38D84A36" w:rsidR="00EA64C5" w:rsidRPr="00422961" w:rsidRDefault="00EA64C5" w:rsidP="00EA64C5">
      <w:pPr>
        <w:spacing w:after="0" w:line="360" w:lineRule="auto"/>
        <w:ind w:right="-93"/>
        <w:rPr>
          <w:rFonts w:eastAsia="Calibri" w:cs="Tahoma"/>
          <w:bCs/>
        </w:rPr>
      </w:pPr>
      <w:r w:rsidRPr="00422961">
        <w:rPr>
          <w:rFonts w:eastAsia="Calibri" w:cs="Tahoma"/>
          <w:bCs/>
        </w:rPr>
        <w:t>Aunado a ello, se aportarían elementos para determinar si esas autorizaciones se emitieron conforme a derecho y que se cumplen con los requisitos legales que marcan las disposiciones antes estudiadas.</w:t>
      </w:r>
    </w:p>
    <w:p w14:paraId="466926E6" w14:textId="77777777" w:rsidR="00EA64C5" w:rsidRPr="00422961" w:rsidRDefault="00EA64C5" w:rsidP="00EA64C5">
      <w:pPr>
        <w:spacing w:after="0" w:line="360" w:lineRule="auto"/>
        <w:ind w:right="-93"/>
        <w:rPr>
          <w:rFonts w:eastAsia="Calibri" w:cs="Tahoma"/>
          <w:bCs/>
        </w:rPr>
      </w:pPr>
    </w:p>
    <w:p w14:paraId="4B062457" w14:textId="0A4AACF6" w:rsidR="00EA64C5" w:rsidRPr="00422961" w:rsidRDefault="00EA64C5" w:rsidP="00EA64C5">
      <w:pPr>
        <w:widowControl w:val="0"/>
        <w:spacing w:after="0" w:line="360" w:lineRule="auto"/>
        <w:ind w:right="-91"/>
        <w:rPr>
          <w:rFonts w:eastAsia="Calibri" w:cs="Tahoma"/>
          <w:bCs/>
        </w:rPr>
      </w:pPr>
      <w:r w:rsidRPr="00422961">
        <w:rPr>
          <w:rFonts w:eastAsia="Calibri" w:cs="Tahoma"/>
          <w:bCs/>
        </w:rPr>
        <w:t xml:space="preserve">Conforme a lo anterior, el </w:t>
      </w:r>
      <w:r w:rsidRPr="00422961">
        <w:rPr>
          <w:rFonts w:eastAsia="Times New Roman" w:cs="Tahoma"/>
          <w:lang w:eastAsia="es-ES"/>
        </w:rPr>
        <w:t xml:space="preserve">bien jurídico tutelado por el supuesto de confidencialidad previsto en el artículo 143, fracción I de la Ley de la materia, debe ceder frente al derecho de la sociedad de obtener información, en tanto que es mayor el beneficio que representa su publicidad, pues la misma da cuenta del correcto actuar del Sujeto Obligado como regulador de las actividades comerciales en la extensión territorial del Municipio de </w:t>
      </w:r>
      <w:r w:rsidR="00AC3438" w:rsidRPr="00422961">
        <w:rPr>
          <w:rFonts w:eastAsia="Times New Roman" w:cs="Tahoma"/>
          <w:lang w:eastAsia="es-ES"/>
        </w:rPr>
        <w:t>Metepec</w:t>
      </w:r>
      <w:r w:rsidRPr="00422961">
        <w:rPr>
          <w:rFonts w:eastAsia="Times New Roman" w:cs="Tahoma"/>
          <w:lang w:eastAsia="es-ES"/>
        </w:rPr>
        <w:t xml:space="preserve"> y permite a los usuarios del </w:t>
      </w:r>
      <w:r w:rsidR="00AC3438" w:rsidRPr="00422961">
        <w:rPr>
          <w:rFonts w:eastAsia="Times New Roman" w:cs="Tahoma"/>
          <w:lang w:eastAsia="es-ES"/>
        </w:rPr>
        <w:t>del bazar, verificar si se cumplen con los requisitos.</w:t>
      </w:r>
    </w:p>
    <w:p w14:paraId="45ACEED4" w14:textId="77777777" w:rsidR="00EA64C5" w:rsidRPr="00422961" w:rsidRDefault="00EA64C5" w:rsidP="00EA64C5">
      <w:pPr>
        <w:spacing w:after="0" w:line="360" w:lineRule="auto"/>
        <w:ind w:right="-93"/>
        <w:rPr>
          <w:rFonts w:eastAsia="Calibri" w:cs="Tahoma"/>
          <w:bCs/>
        </w:rPr>
      </w:pPr>
    </w:p>
    <w:p w14:paraId="165310F6" w14:textId="3C41F29E" w:rsidR="00EA64C5" w:rsidRPr="00422961" w:rsidRDefault="00EA64C5" w:rsidP="00EA64C5">
      <w:pPr>
        <w:spacing w:after="0" w:line="360" w:lineRule="auto"/>
        <w:ind w:right="-93"/>
        <w:rPr>
          <w:rFonts w:eastAsia="Calibri" w:cs="Tahoma"/>
          <w:bCs/>
        </w:rPr>
      </w:pPr>
      <w:r w:rsidRPr="00422961">
        <w:rPr>
          <w:rFonts w:eastAsia="Calibri" w:cs="Tahoma"/>
          <w:bCs/>
        </w:rPr>
        <w:t xml:space="preserve">En ese sentido, </w:t>
      </w:r>
      <w:r w:rsidR="003F134A" w:rsidRPr="00422961">
        <w:rPr>
          <w:rFonts w:eastAsia="Calibri" w:cs="Tahoma"/>
          <w:bCs/>
        </w:rPr>
        <w:t>la difusión del nombre de los titulares de los permisos reviste</w:t>
      </w:r>
      <w:r w:rsidRPr="00422961">
        <w:rPr>
          <w:rFonts w:eastAsia="Calibri" w:cs="Tahoma"/>
          <w:bCs/>
        </w:rPr>
        <w:t xml:space="preserve"> un claro interés público, puesto que existe una necesidad colectiva de conocer y evaluar la emisión de dichas autorizaciones; en razón de que se trata de información generada con motivo del ejercicio de las funciones del Ente Recurrido, a través de la Dirección </w:t>
      </w:r>
      <w:r w:rsidR="00AC3438" w:rsidRPr="00422961">
        <w:rPr>
          <w:rFonts w:eastAsia="Calibri" w:cs="Tahoma"/>
          <w:bCs/>
        </w:rPr>
        <w:t>de Gobernación</w:t>
      </w:r>
      <w:r w:rsidRPr="00422961">
        <w:rPr>
          <w:rFonts w:eastAsia="Calibri" w:cs="Tahoma"/>
          <w:bCs/>
        </w:rPr>
        <w:t>, como regulador de cualquier actividad económica</w:t>
      </w:r>
      <w:r w:rsidR="00AC3438" w:rsidRPr="00422961">
        <w:rPr>
          <w:rFonts w:eastAsia="Calibri" w:cs="Tahoma"/>
          <w:bCs/>
        </w:rPr>
        <w:t xml:space="preserve"> o comercial en la vía pública.</w:t>
      </w:r>
    </w:p>
    <w:p w14:paraId="0BBE6DF5" w14:textId="77777777" w:rsidR="00EA64C5" w:rsidRPr="00422961" w:rsidRDefault="00EA64C5" w:rsidP="00EA64C5">
      <w:pPr>
        <w:spacing w:after="0" w:line="360" w:lineRule="auto"/>
        <w:ind w:right="-93"/>
        <w:rPr>
          <w:rFonts w:eastAsia="Calibri" w:cs="Tahoma"/>
          <w:bCs/>
        </w:rPr>
      </w:pPr>
    </w:p>
    <w:p w14:paraId="238D1983" w14:textId="5F921C9F" w:rsidR="00EA64C5" w:rsidRPr="00422961" w:rsidRDefault="00EA64C5" w:rsidP="00EA64C5">
      <w:pPr>
        <w:spacing w:after="0" w:line="360" w:lineRule="auto"/>
        <w:ind w:right="-93"/>
        <w:rPr>
          <w:rFonts w:eastAsia="Calibri" w:cs="Tahoma"/>
          <w:bCs/>
        </w:rPr>
      </w:pPr>
      <w:r w:rsidRPr="00422961">
        <w:rPr>
          <w:rFonts w:eastAsia="Calibri" w:cs="Tahoma"/>
          <w:bCs/>
        </w:rPr>
        <w:t xml:space="preserve">Por todo lo expuesto, </w:t>
      </w:r>
      <w:r w:rsidRPr="00422961">
        <w:rPr>
          <w:rFonts w:eastAsia="Calibri" w:cs="Tahoma"/>
          <w:b/>
          <w:bCs/>
        </w:rPr>
        <w:t xml:space="preserve">dar a conocer el nombre de los titulares de </w:t>
      </w:r>
      <w:r w:rsidR="00AC3438" w:rsidRPr="00422961">
        <w:rPr>
          <w:rFonts w:eastAsia="Calibri" w:cs="Tahoma"/>
          <w:b/>
          <w:bCs/>
        </w:rPr>
        <w:t>permisos</w:t>
      </w:r>
      <w:r w:rsidRPr="00422961">
        <w:rPr>
          <w:rFonts w:eastAsia="Calibri" w:cs="Tahoma"/>
          <w:b/>
          <w:bCs/>
        </w:rPr>
        <w:t xml:space="preserve">, prevalece sobre la protección de los datos personales confidenciales de dichas personas, en razón del interés </w:t>
      </w:r>
      <w:r w:rsidRPr="00422961">
        <w:rPr>
          <w:rFonts w:eastAsia="Calibri" w:cs="Tahoma"/>
          <w:b/>
          <w:bCs/>
        </w:rPr>
        <w:lastRenderedPageBreak/>
        <w:t>público que reviste;</w:t>
      </w:r>
      <w:r w:rsidRPr="00422961">
        <w:rPr>
          <w:rFonts w:eastAsia="Calibri" w:cs="Tahoma"/>
          <w:bCs/>
        </w:rPr>
        <w:t xml:space="preserve"> por lo que, no resulta aplicable, en el presente caso, el artículo 143, fracción I, de la Ley de Transparencia y Acceso a la Información Pública del Estado de México y Municipios.</w:t>
      </w:r>
    </w:p>
    <w:p w14:paraId="77187155" w14:textId="77777777" w:rsidR="00EA64C5" w:rsidRPr="00422961" w:rsidRDefault="00EA64C5" w:rsidP="00EA64C5">
      <w:pPr>
        <w:spacing w:after="0" w:line="360" w:lineRule="auto"/>
        <w:rPr>
          <w:rFonts w:eastAsia="Times New Roman" w:cs="Tahoma"/>
          <w:lang w:eastAsia="es-ES"/>
        </w:rPr>
      </w:pPr>
    </w:p>
    <w:p w14:paraId="7FC0B34D" w14:textId="77777777" w:rsidR="00EA64C5" w:rsidRPr="00422961" w:rsidRDefault="00EA64C5" w:rsidP="00EA64C5">
      <w:pPr>
        <w:spacing w:after="0" w:line="360" w:lineRule="auto"/>
        <w:ind w:right="-93"/>
        <w:rPr>
          <w:rFonts w:eastAsia="Calibri" w:cs="Tahoma"/>
          <w:b/>
          <w:bCs/>
        </w:rPr>
      </w:pPr>
      <w:r w:rsidRPr="00422961">
        <w:rPr>
          <w:rFonts w:eastAsia="Calibri" w:cs="Tahoma"/>
          <w:b/>
          <w:bCs/>
        </w:rPr>
        <w:t>Persona Jurídico-Colectiva.</w:t>
      </w:r>
    </w:p>
    <w:p w14:paraId="1EAB80B1" w14:textId="77777777" w:rsidR="00EA64C5" w:rsidRPr="00422961" w:rsidRDefault="00EA64C5" w:rsidP="00EA64C5">
      <w:pPr>
        <w:spacing w:after="0" w:line="360" w:lineRule="auto"/>
        <w:ind w:right="-93"/>
        <w:rPr>
          <w:rFonts w:eastAsia="Calibri" w:cs="Tahoma"/>
          <w:b/>
          <w:bCs/>
        </w:rPr>
      </w:pPr>
    </w:p>
    <w:p w14:paraId="3474D98C" w14:textId="77777777" w:rsidR="00EA64C5" w:rsidRPr="00422961" w:rsidRDefault="00EA64C5" w:rsidP="00EA64C5">
      <w:pPr>
        <w:spacing w:after="0" w:line="360" w:lineRule="auto"/>
        <w:rPr>
          <w:rFonts w:eastAsia="Calibri" w:cs="Tahoma"/>
          <w:bCs/>
        </w:rPr>
      </w:pPr>
      <w:r w:rsidRPr="00422961">
        <w:rPr>
          <w:rFonts w:eastAsia="Calibri" w:cs="Tahoma"/>
          <w:bCs/>
        </w:rPr>
        <w:t>Al respecto, se considera que la denominación o razón social de una persona moral, es pública, pues dichos datos se encuentran inscritos en el Registro Público del Comercio; lo anterior, toma sustento en el Criterio de interpretación, con clave de control SO/008/2019, de la Segunda Época, emitido por el Pleno del Instituto Nacional de Transparencia, Acceso a la Información y Protección de Datos Personales, el cual establece lo siguiente:</w:t>
      </w:r>
    </w:p>
    <w:p w14:paraId="01CAA222" w14:textId="77777777" w:rsidR="00EA64C5" w:rsidRPr="00422961" w:rsidRDefault="00EA64C5" w:rsidP="00EA64C5">
      <w:pPr>
        <w:spacing w:after="0" w:line="360" w:lineRule="auto"/>
        <w:rPr>
          <w:rFonts w:eastAsia="Calibri" w:cs="Tahoma"/>
          <w:bCs/>
        </w:rPr>
      </w:pPr>
    </w:p>
    <w:p w14:paraId="55BAB6C3" w14:textId="77777777" w:rsidR="00EA64C5" w:rsidRPr="00422961" w:rsidRDefault="00EA64C5" w:rsidP="00EA64C5">
      <w:pPr>
        <w:spacing w:after="0" w:line="360" w:lineRule="auto"/>
        <w:ind w:left="567" w:right="567"/>
        <w:rPr>
          <w:rFonts w:eastAsia="Calibri" w:cs="Tahoma"/>
          <w:bCs/>
          <w:i/>
          <w:sz w:val="20"/>
          <w:szCs w:val="20"/>
        </w:rPr>
      </w:pPr>
      <w:r w:rsidRPr="00422961">
        <w:rPr>
          <w:rFonts w:eastAsia="Calibri" w:cs="Tahoma"/>
          <w:b/>
          <w:bCs/>
          <w:i/>
          <w:sz w:val="20"/>
          <w:szCs w:val="20"/>
        </w:rPr>
        <w:t xml:space="preserve">“Razón social y RFC de personas morales. </w:t>
      </w:r>
      <w:r w:rsidRPr="00422961">
        <w:rPr>
          <w:rFonts w:eastAsia="Calibri" w:cs="Tahoma"/>
          <w:bCs/>
          <w:i/>
          <w:sz w:val="20"/>
          <w:szCs w:val="20"/>
        </w:rPr>
        <w:t>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p>
    <w:p w14:paraId="77022A76" w14:textId="77777777" w:rsidR="00EA64C5" w:rsidRPr="00422961" w:rsidRDefault="00EA64C5" w:rsidP="00EA64C5">
      <w:pPr>
        <w:spacing w:after="0" w:line="360" w:lineRule="auto"/>
        <w:rPr>
          <w:rFonts w:eastAsia="Calibri" w:cs="Tahoma"/>
          <w:b/>
          <w:bCs/>
        </w:rPr>
      </w:pPr>
    </w:p>
    <w:p w14:paraId="2923D69F" w14:textId="77777777" w:rsidR="00EA64C5" w:rsidRPr="00422961" w:rsidRDefault="00EA64C5" w:rsidP="00EA64C5">
      <w:pPr>
        <w:spacing w:after="0" w:line="360" w:lineRule="auto"/>
        <w:rPr>
          <w:rFonts w:eastAsia="Calibri" w:cs="Tahoma"/>
          <w:bCs/>
        </w:rPr>
      </w:pPr>
      <w:r w:rsidRPr="00422961">
        <w:rPr>
          <w:rFonts w:eastAsia="Calibri" w:cs="Tahoma"/>
          <w:bCs/>
        </w:rPr>
        <w:t>Lo anterior, se robustece con el hecho de que el Ente Recurrido tiene como obligación común de transparencia, poner a disposición del público las concesiones, contratos, convenios, permisos, licencias o autorizaciones, el cual debe incluir la razón social del titular, de conformidad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den de difundir los sujetos obligados en los portales de Internet y en la Plataforma Nacional de Transparencia –Lineamientos técnicos generales-, tal como se observa a continuación:</w:t>
      </w:r>
    </w:p>
    <w:p w14:paraId="5362DA58" w14:textId="77777777" w:rsidR="00EA64C5" w:rsidRPr="00422961" w:rsidRDefault="00EA64C5" w:rsidP="003F134A">
      <w:pPr>
        <w:spacing w:after="0" w:line="360" w:lineRule="auto"/>
        <w:jc w:val="center"/>
        <w:rPr>
          <w:rFonts w:eastAsia="Calibri" w:cs="Tahoma"/>
          <w:bCs/>
        </w:rPr>
      </w:pPr>
      <w:r w:rsidRPr="00422961">
        <w:rPr>
          <w:rFonts w:ascii="Times New Roman" w:eastAsia="Times New Roman" w:hAnsi="Times New Roman" w:cs="Times New Roman"/>
          <w:noProof/>
          <w:sz w:val="20"/>
          <w:szCs w:val="20"/>
          <w:lang w:eastAsia="es-MX"/>
        </w:rPr>
        <w:lastRenderedPageBreak/>
        <mc:AlternateContent>
          <mc:Choice Requires="wps">
            <w:drawing>
              <wp:anchor distT="0" distB="0" distL="114300" distR="114300" simplePos="0" relativeHeight="251659264" behindDoc="0" locked="0" layoutInCell="1" allowOverlap="1" wp14:anchorId="5951BCD4" wp14:editId="3CEB1CC1">
                <wp:simplePos x="0" y="0"/>
                <wp:positionH relativeFrom="column">
                  <wp:posOffset>3634740</wp:posOffset>
                </wp:positionH>
                <wp:positionV relativeFrom="paragraph">
                  <wp:posOffset>608330</wp:posOffset>
                </wp:positionV>
                <wp:extent cx="762000" cy="476250"/>
                <wp:effectExtent l="19050" t="19050" r="38100" b="38100"/>
                <wp:wrapNone/>
                <wp:docPr id="10" name="Rectángulo 10"/>
                <wp:cNvGraphicFramePr/>
                <a:graphic xmlns:a="http://schemas.openxmlformats.org/drawingml/2006/main">
                  <a:graphicData uri="http://schemas.microsoft.com/office/word/2010/wordprocessingShape">
                    <wps:wsp>
                      <wps:cNvSpPr/>
                      <wps:spPr>
                        <a:xfrm>
                          <a:off x="0" y="0"/>
                          <a:ext cx="762000" cy="476250"/>
                        </a:xfrm>
                        <a:prstGeom prst="rect">
                          <a:avLst/>
                        </a:pr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EACEB7" id="Rectángulo 10" o:spid="_x0000_s1026" style="position:absolute;margin-left:286.2pt;margin-top:47.9pt;width:60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" filled="f" strokecolor="windowText" strokeweight="4.5pt"/>
            </w:pict>
          </mc:Fallback>
        </mc:AlternateContent>
      </w:r>
      <w:r w:rsidRPr="00422961">
        <w:rPr>
          <w:rFonts w:ascii="Times New Roman" w:eastAsia="Times New Roman" w:hAnsi="Times New Roman" w:cs="Times New Roman"/>
          <w:noProof/>
          <w:sz w:val="20"/>
          <w:szCs w:val="20"/>
          <w:lang w:eastAsia="es-MX"/>
        </w:rPr>
        <w:drawing>
          <wp:inline distT="0" distB="0" distL="0" distR="0" wp14:anchorId="577C1D78" wp14:editId="0E3C880B">
            <wp:extent cx="4629150" cy="1103543"/>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52183" cy="1109034"/>
                    </a:xfrm>
                    <a:prstGeom prst="rect">
                      <a:avLst/>
                    </a:prstGeom>
                  </pic:spPr>
                </pic:pic>
              </a:graphicData>
            </a:graphic>
          </wp:inline>
        </w:drawing>
      </w:r>
    </w:p>
    <w:p w14:paraId="125F3D29" w14:textId="77777777" w:rsidR="00EA64C5" w:rsidRPr="00422961" w:rsidRDefault="00EA64C5" w:rsidP="00EA64C5">
      <w:pPr>
        <w:spacing w:after="0" w:line="360" w:lineRule="auto"/>
        <w:rPr>
          <w:rFonts w:eastAsia="Calibri" w:cs="Tahoma"/>
          <w:bCs/>
        </w:rPr>
      </w:pPr>
    </w:p>
    <w:p w14:paraId="6ABA038A" w14:textId="39A501A8" w:rsidR="00EA64C5" w:rsidRPr="00422961" w:rsidRDefault="00EA64C5" w:rsidP="00EA64C5">
      <w:pPr>
        <w:spacing w:after="0" w:line="360" w:lineRule="auto"/>
        <w:rPr>
          <w:rFonts w:eastAsia="Calibri" w:cs="Tahoma"/>
          <w:bCs/>
        </w:rPr>
      </w:pPr>
      <w:r w:rsidRPr="00422961">
        <w:rPr>
          <w:rFonts w:eastAsia="Calibri" w:cs="Tahoma"/>
          <w:bCs/>
        </w:rPr>
        <w:t xml:space="preserve">Por lo tanto, </w:t>
      </w:r>
      <w:r w:rsidRPr="00422961">
        <w:rPr>
          <w:rFonts w:eastAsia="Calibri" w:cs="Tahoma"/>
          <w:b/>
          <w:bCs/>
        </w:rPr>
        <w:t xml:space="preserve">no procede la clasificación del nombre de las personas morales localizadas en </w:t>
      </w:r>
      <w:r w:rsidR="00AC3438" w:rsidRPr="00422961">
        <w:rPr>
          <w:rFonts w:eastAsia="Calibri" w:cs="Tahoma"/>
          <w:b/>
          <w:bCs/>
        </w:rPr>
        <w:t>de los permisos solicitados</w:t>
      </w:r>
      <w:r w:rsidRPr="00422961">
        <w:rPr>
          <w:rFonts w:eastAsia="Calibri" w:cs="Tahoma"/>
          <w:bCs/>
        </w:rPr>
        <w:t>, en términos del artículo 143, fracción I de la Ley de Transparencia y Acceso a la Información Pública del Estado de México y Municipios; situación que se robustece, con el hecho de que permite corroborar que la exhibida en el establecimiento comercial, fue emitida efectivamente por la autoridad competente y que su titular corresponde al establecimiento en cuestión.</w:t>
      </w:r>
    </w:p>
    <w:p w14:paraId="7D26C76E" w14:textId="77777777" w:rsidR="00EA64C5" w:rsidRPr="00422961" w:rsidRDefault="00EA64C5" w:rsidP="00EA64C5">
      <w:pPr>
        <w:spacing w:after="0" w:line="360" w:lineRule="auto"/>
        <w:rPr>
          <w:rFonts w:eastAsia="Calibri" w:cs="Tahoma"/>
          <w:bCs/>
        </w:rPr>
      </w:pPr>
    </w:p>
    <w:p w14:paraId="53BDC24B" w14:textId="77777777" w:rsidR="00EA64C5" w:rsidRPr="00422961" w:rsidRDefault="00EA64C5" w:rsidP="00EA64C5">
      <w:pPr>
        <w:numPr>
          <w:ilvl w:val="0"/>
          <w:numId w:val="31"/>
        </w:numPr>
        <w:spacing w:after="0" w:line="360" w:lineRule="auto"/>
        <w:ind w:right="-93"/>
        <w:contextualSpacing/>
        <w:jc w:val="left"/>
        <w:rPr>
          <w:rFonts w:eastAsia="Calibri" w:cs="Tahoma"/>
          <w:b/>
          <w:bCs/>
        </w:rPr>
      </w:pPr>
      <w:r w:rsidRPr="00422961">
        <w:rPr>
          <w:rFonts w:eastAsia="Calibri" w:cs="Tahoma"/>
          <w:b/>
          <w:bCs/>
        </w:rPr>
        <w:t>Registro Federal de Contribuyentes (RFC)</w:t>
      </w:r>
    </w:p>
    <w:p w14:paraId="31D3907D" w14:textId="77777777" w:rsidR="00EA64C5" w:rsidRPr="00422961" w:rsidRDefault="00EA64C5" w:rsidP="00EA64C5">
      <w:pPr>
        <w:spacing w:after="0" w:line="360" w:lineRule="auto"/>
        <w:ind w:right="-93"/>
        <w:rPr>
          <w:rFonts w:eastAsia="Calibri" w:cs="Tahoma"/>
          <w:bCs/>
        </w:rPr>
      </w:pPr>
    </w:p>
    <w:p w14:paraId="1C5ACBB3" w14:textId="22BAF434" w:rsidR="00EA64C5" w:rsidRPr="00422961" w:rsidRDefault="00EA64C5" w:rsidP="00EA64C5">
      <w:pPr>
        <w:spacing w:after="0" w:line="360" w:lineRule="auto"/>
        <w:ind w:right="-93"/>
        <w:rPr>
          <w:rFonts w:eastAsia="Calibri" w:cs="Tahoma"/>
          <w:b/>
          <w:bCs/>
        </w:rPr>
      </w:pPr>
      <w:r w:rsidRPr="00422961">
        <w:rPr>
          <w:rFonts w:eastAsia="Calibri" w:cs="Tahoma"/>
          <w:b/>
          <w:bCs/>
        </w:rPr>
        <w:t>Persona física</w:t>
      </w:r>
    </w:p>
    <w:p w14:paraId="62456605" w14:textId="77777777" w:rsidR="00EA64C5" w:rsidRPr="00422961" w:rsidRDefault="00EA64C5" w:rsidP="00EA64C5">
      <w:pPr>
        <w:spacing w:after="0" w:line="360" w:lineRule="auto"/>
        <w:ind w:right="-93"/>
        <w:rPr>
          <w:rFonts w:eastAsia="Calibri" w:cs="Tahoma"/>
          <w:bCs/>
        </w:rPr>
      </w:pPr>
    </w:p>
    <w:p w14:paraId="1B67BF69" w14:textId="77777777" w:rsidR="00EA64C5" w:rsidRPr="00422961" w:rsidRDefault="00EA64C5" w:rsidP="00EA64C5">
      <w:pPr>
        <w:spacing w:after="0" w:line="360" w:lineRule="auto"/>
        <w:contextualSpacing/>
        <w:rPr>
          <w:rFonts w:eastAsia="Times New Roman" w:cs="Tahoma"/>
          <w:lang w:eastAsia="es-MX"/>
        </w:rPr>
      </w:pPr>
      <w:r w:rsidRPr="00422961">
        <w:rPr>
          <w:rFonts w:eastAsia="Times New Roman" w:cs="Tahoma"/>
          <w:lang w:eastAsia="es-MX"/>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7626E0B4" w14:textId="77777777" w:rsidR="00EA64C5" w:rsidRPr="00422961" w:rsidRDefault="00EA64C5" w:rsidP="00EA64C5">
      <w:pPr>
        <w:spacing w:after="0" w:line="360" w:lineRule="auto"/>
        <w:contextualSpacing/>
        <w:rPr>
          <w:rFonts w:eastAsia="Times New Roman" w:cs="Tahoma"/>
          <w:lang w:eastAsia="es-MX"/>
        </w:rPr>
      </w:pPr>
    </w:p>
    <w:p w14:paraId="4C87571F" w14:textId="77777777" w:rsidR="00EA64C5" w:rsidRPr="00422961" w:rsidRDefault="00EA64C5" w:rsidP="003F134A">
      <w:pPr>
        <w:spacing w:after="0" w:line="360" w:lineRule="auto"/>
        <w:contextualSpacing/>
        <w:rPr>
          <w:rFonts w:eastAsia="Times New Roman" w:cs="Tahoma"/>
          <w:lang w:eastAsia="es-MX"/>
        </w:rPr>
      </w:pPr>
      <w:r w:rsidRPr="00422961">
        <w:rPr>
          <w:rFonts w:eastAsia="Times New Roman" w:cs="Tahoma"/>
          <w:lang w:eastAsia="es-MX"/>
        </w:rPr>
        <w:t xml:space="preserve">De acuerdo a lo establecido en el artículo en comento, esta clave se compone de trece caracteres alfanuméricos, con datos obtenidos de los apellidos, nombre(s), fecha de </w:t>
      </w:r>
      <w:r w:rsidRPr="00422961">
        <w:rPr>
          <w:rFonts w:eastAsia="Times New Roman" w:cs="Tahoma"/>
          <w:lang w:eastAsia="es-MX"/>
        </w:rPr>
        <w:lastRenderedPageBreak/>
        <w:t xml:space="preserve">nacimiento del titular, más una </w:t>
      </w:r>
      <w:proofErr w:type="spellStart"/>
      <w:r w:rsidRPr="00422961">
        <w:rPr>
          <w:rFonts w:eastAsia="Times New Roman" w:cs="Tahoma"/>
          <w:lang w:eastAsia="es-MX"/>
        </w:rPr>
        <w:t>homoclave</w:t>
      </w:r>
      <w:proofErr w:type="spellEnd"/>
      <w:r w:rsidRPr="00422961">
        <w:rPr>
          <w:rFonts w:eastAsia="Times New Roman" w:cs="Tahoma"/>
          <w:lang w:eastAsia="es-MX"/>
        </w:rPr>
        <w:t xml:space="preserve"> que establece el sistema automático del Servicio de Administración Tributaria.</w:t>
      </w:r>
    </w:p>
    <w:p w14:paraId="7F26124E" w14:textId="77777777" w:rsidR="00EA64C5" w:rsidRPr="00422961" w:rsidRDefault="00EA64C5" w:rsidP="00EA64C5">
      <w:pPr>
        <w:spacing w:after="0" w:line="360" w:lineRule="auto"/>
        <w:contextualSpacing/>
        <w:rPr>
          <w:rFonts w:eastAsia="Times New Roman" w:cs="Tahoma"/>
          <w:lang w:eastAsia="es-MX"/>
        </w:rPr>
      </w:pPr>
    </w:p>
    <w:p w14:paraId="72993690" w14:textId="77777777" w:rsidR="00EA64C5" w:rsidRPr="00422961" w:rsidRDefault="00EA64C5" w:rsidP="00EA64C5">
      <w:pPr>
        <w:spacing w:after="0" w:line="360" w:lineRule="auto"/>
        <w:contextualSpacing/>
        <w:rPr>
          <w:rFonts w:eastAsia="Times New Roman" w:cs="Tahoma"/>
          <w:lang w:eastAsia="es-MX"/>
        </w:rPr>
      </w:pPr>
      <w:r w:rsidRPr="00422961">
        <w:rPr>
          <w:rFonts w:eastAsia="Times New Roman" w:cs="Tahoma"/>
          <w:lang w:eastAsia="es-MX"/>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7ACF38CE" w14:textId="77777777" w:rsidR="00EA64C5" w:rsidRPr="00422961" w:rsidRDefault="00EA64C5" w:rsidP="00EA64C5">
      <w:pPr>
        <w:spacing w:after="0" w:line="360" w:lineRule="auto"/>
        <w:contextualSpacing/>
        <w:rPr>
          <w:rFonts w:eastAsia="Times New Roman" w:cs="Tahoma"/>
          <w:lang w:eastAsia="es-MX"/>
        </w:rPr>
      </w:pPr>
    </w:p>
    <w:p w14:paraId="7AC338D5" w14:textId="77777777" w:rsidR="00EA64C5" w:rsidRPr="00422961" w:rsidRDefault="00EA64C5" w:rsidP="00EA64C5">
      <w:pPr>
        <w:spacing w:after="0" w:line="360" w:lineRule="auto"/>
        <w:contextualSpacing/>
        <w:rPr>
          <w:rFonts w:eastAsia="Times New Roman" w:cs="Tahoma"/>
          <w:lang w:eastAsia="es-MX"/>
        </w:rPr>
      </w:pPr>
      <w:r w:rsidRPr="00422961">
        <w:rPr>
          <w:rFonts w:eastAsia="Times New Roman" w:cs="Tahoma"/>
          <w:lang w:eastAsia="es-MX"/>
        </w:rPr>
        <w:t xml:space="preserve">Conforme a lo expuesto,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2E684947" w14:textId="77777777" w:rsidR="00EA64C5" w:rsidRPr="00422961" w:rsidRDefault="00EA64C5" w:rsidP="00EA64C5">
      <w:pPr>
        <w:spacing w:after="0" w:line="360" w:lineRule="auto"/>
        <w:contextualSpacing/>
        <w:rPr>
          <w:rFonts w:eastAsia="Times New Roman" w:cs="Tahoma"/>
          <w:lang w:eastAsia="es-MX"/>
        </w:rPr>
      </w:pPr>
    </w:p>
    <w:p w14:paraId="71CFF30B" w14:textId="77777777" w:rsidR="00EA64C5" w:rsidRPr="00422961" w:rsidRDefault="00EA64C5" w:rsidP="00EA64C5">
      <w:pPr>
        <w:widowControl w:val="0"/>
        <w:spacing w:after="0" w:line="360" w:lineRule="auto"/>
        <w:rPr>
          <w:rFonts w:eastAsia="Calibri" w:cs="Tahoma"/>
          <w:bCs/>
          <w:lang w:eastAsia="es-MX"/>
        </w:rPr>
      </w:pPr>
      <w:r w:rsidRPr="00422961">
        <w:rPr>
          <w:rFonts w:eastAsia="Calibri" w:cs="Tahoma"/>
          <w:bCs/>
          <w:lang w:eastAsia="es-MX"/>
        </w:rPr>
        <w:t>Lo anterior, resulta congruente con el Criterio 19/17 emitido por el Instituto Nacional de Transparencia, Acceso a la Información y Protección de Datos Personales, en el cual se señala lo siguiente:</w:t>
      </w:r>
    </w:p>
    <w:p w14:paraId="51ABED6C" w14:textId="77777777" w:rsidR="00EA64C5" w:rsidRPr="00422961" w:rsidRDefault="00EA64C5" w:rsidP="00EA64C5">
      <w:pPr>
        <w:spacing w:after="0" w:line="360" w:lineRule="auto"/>
        <w:contextualSpacing/>
        <w:rPr>
          <w:rFonts w:eastAsia="Times New Roman" w:cs="Tahoma"/>
          <w:sz w:val="20"/>
          <w:szCs w:val="20"/>
          <w:lang w:eastAsia="es-MX"/>
        </w:rPr>
      </w:pPr>
    </w:p>
    <w:p w14:paraId="4BC02EF6" w14:textId="77777777" w:rsidR="00EA64C5" w:rsidRPr="00422961" w:rsidRDefault="00EA64C5" w:rsidP="00EA64C5">
      <w:pPr>
        <w:spacing w:after="0" w:line="360" w:lineRule="auto"/>
        <w:ind w:left="567" w:right="567"/>
        <w:contextualSpacing/>
        <w:rPr>
          <w:rFonts w:eastAsia="Times New Roman" w:cs="Tahoma"/>
          <w:i/>
          <w:sz w:val="20"/>
          <w:szCs w:val="20"/>
          <w:lang w:eastAsia="es-ES"/>
        </w:rPr>
      </w:pPr>
      <w:r w:rsidRPr="00422961">
        <w:rPr>
          <w:rFonts w:eastAsia="Times New Roman" w:cs="Tahoma"/>
          <w:b/>
          <w:i/>
          <w:sz w:val="20"/>
          <w:szCs w:val="20"/>
          <w:lang w:eastAsia="es-ES"/>
        </w:rPr>
        <w:t>“Registro Federal de Contribuyentes (RFC) de personas físicas.</w:t>
      </w:r>
      <w:r w:rsidRPr="00422961">
        <w:rPr>
          <w:rFonts w:eastAsia="Times New Roman" w:cs="Tahoma"/>
          <w:i/>
          <w:sz w:val="20"/>
          <w:szCs w:val="20"/>
          <w:lang w:eastAsia="es-ES"/>
        </w:rPr>
        <w:t xml:space="preserve"> El RFC es una clave de carácter fiscal, única e irrepetible, que permite identificar al titular, su edad y fecha de nacimiento, por lo que es un dato personal de carácter confidencial.”</w:t>
      </w:r>
    </w:p>
    <w:p w14:paraId="26D66E55" w14:textId="77777777" w:rsidR="00EA64C5" w:rsidRPr="00422961" w:rsidRDefault="00EA64C5" w:rsidP="00EA64C5">
      <w:pPr>
        <w:spacing w:after="0" w:line="360" w:lineRule="auto"/>
        <w:ind w:left="567"/>
        <w:contextualSpacing/>
        <w:rPr>
          <w:rFonts w:eastAsia="Times New Roman" w:cs="Tahoma"/>
          <w:lang w:eastAsia="es-ES"/>
        </w:rPr>
      </w:pPr>
    </w:p>
    <w:p w14:paraId="0B5379FD" w14:textId="77777777" w:rsidR="00EA64C5" w:rsidRPr="00422961" w:rsidRDefault="00EA64C5" w:rsidP="003F134A">
      <w:pPr>
        <w:spacing w:after="0" w:line="360" w:lineRule="auto"/>
        <w:contextualSpacing/>
        <w:rPr>
          <w:rFonts w:eastAsia="Calibri" w:cs="Tahoma"/>
          <w:bCs/>
        </w:rPr>
      </w:pPr>
      <w:r w:rsidRPr="00422961">
        <w:rPr>
          <w:rFonts w:eastAsia="Times New Roman" w:cs="Tahoma"/>
          <w:lang w:eastAsia="es-MX"/>
        </w:rPr>
        <w:t xml:space="preserve">De tal suerte, el Registro Federal de Contribuyentes de los servidores públicos no guarda relación con la transparencia de los recursos públicos, por lo que constituye un dato personal </w:t>
      </w:r>
      <w:r w:rsidRPr="00422961">
        <w:rPr>
          <w:rFonts w:eastAsia="Times New Roman" w:cs="Tahoma"/>
          <w:lang w:eastAsia="es-MX"/>
        </w:rPr>
        <w:lastRenderedPageBreak/>
        <w:t xml:space="preserve">confidencial </w:t>
      </w:r>
      <w:r w:rsidRPr="00422961">
        <w:rPr>
          <w:rFonts w:eastAsia="Times New Roman" w:cs="Tahoma"/>
          <w:lang w:eastAsia="es-ES"/>
        </w:rPr>
        <w:t>al actualizar el supuesto normativo del artículo 143, fracción I, de la Ley de Transparencia y Acceso a la Información Pública del Estado de México y Municipios</w:t>
      </w:r>
      <w:r w:rsidRPr="00422961">
        <w:rPr>
          <w:rFonts w:eastAsia="Times New Roman" w:cs="Tahoma"/>
          <w:lang w:eastAsia="es-MX"/>
        </w:rPr>
        <w:t>.</w:t>
      </w:r>
    </w:p>
    <w:p w14:paraId="1C7BA0D9" w14:textId="77777777" w:rsidR="00EA64C5" w:rsidRPr="00422961" w:rsidRDefault="00EA64C5" w:rsidP="00EA64C5">
      <w:pPr>
        <w:spacing w:after="0" w:line="360" w:lineRule="auto"/>
        <w:ind w:right="-93"/>
        <w:rPr>
          <w:rFonts w:eastAsia="Calibri" w:cs="Tahoma"/>
          <w:bCs/>
        </w:rPr>
      </w:pPr>
    </w:p>
    <w:p w14:paraId="4DD678AD" w14:textId="77777777" w:rsidR="00EA64C5" w:rsidRPr="00422961" w:rsidRDefault="00EA64C5" w:rsidP="00EA64C5">
      <w:pPr>
        <w:spacing w:after="0" w:line="360" w:lineRule="auto"/>
        <w:ind w:right="-93"/>
        <w:rPr>
          <w:rFonts w:eastAsia="Calibri" w:cs="Tahoma"/>
          <w:b/>
        </w:rPr>
      </w:pPr>
      <w:r w:rsidRPr="00422961">
        <w:rPr>
          <w:rFonts w:eastAsia="Calibri" w:cs="Tahoma"/>
          <w:b/>
        </w:rPr>
        <w:t>Persona Moral</w:t>
      </w:r>
    </w:p>
    <w:p w14:paraId="37E06881" w14:textId="77777777" w:rsidR="00EA64C5" w:rsidRPr="00422961" w:rsidRDefault="00EA64C5" w:rsidP="00EA64C5">
      <w:pPr>
        <w:spacing w:after="0" w:line="360" w:lineRule="auto"/>
        <w:ind w:right="-93"/>
        <w:rPr>
          <w:rFonts w:eastAsia="Calibri" w:cs="Tahoma"/>
          <w:bCs/>
        </w:rPr>
      </w:pPr>
    </w:p>
    <w:p w14:paraId="3715E6AB" w14:textId="77777777" w:rsidR="00EA64C5" w:rsidRPr="00422961" w:rsidRDefault="00EA64C5" w:rsidP="00EA64C5">
      <w:pPr>
        <w:spacing w:after="0" w:line="360" w:lineRule="auto"/>
        <w:ind w:right="-93"/>
        <w:rPr>
          <w:rFonts w:eastAsia="Calibri" w:cs="Tahoma"/>
          <w:bCs/>
        </w:rPr>
      </w:pPr>
      <w:r w:rsidRPr="00422961">
        <w:rPr>
          <w:rFonts w:eastAsia="Calibri" w:cs="Tahoma"/>
          <w:bCs/>
        </w:rPr>
        <w:t xml:space="preserve">Al respecto, el Registro Federal de Contribuyentes, inicia con un preinscripción por Internet y se concluye en cualquier Administración Desconcentrada de Servicios al Contribuyente, en donde aquellas personas que realicen el trámite tendrán que entregar ciertos documentos, que para las personas jurídico colectivas, serán, entre otros, la copia certificada del documento constitutivo debidamente protocolizado, comprobante de domicilio, identificación personal, número de folio asignado que se le proporcionó al realizar el envío de su preinscripción y copia certificada del poder notarial con el que se acredite la personalidad del representante legal, o carta poder firmada ante dos testigos y ratificadas las firmas ante las autoridades fiscales o ante notario o fedatario público. </w:t>
      </w:r>
    </w:p>
    <w:p w14:paraId="5E3F04BD" w14:textId="77777777" w:rsidR="00EA64C5" w:rsidRPr="00422961" w:rsidRDefault="00EA64C5" w:rsidP="00EA64C5">
      <w:pPr>
        <w:spacing w:after="0" w:line="360" w:lineRule="auto"/>
        <w:ind w:right="-93"/>
        <w:rPr>
          <w:rFonts w:eastAsia="Calibri" w:cs="Tahoma"/>
          <w:bCs/>
        </w:rPr>
      </w:pPr>
    </w:p>
    <w:p w14:paraId="32A59F9A" w14:textId="77777777" w:rsidR="00EA64C5" w:rsidRPr="00422961" w:rsidRDefault="00EA64C5" w:rsidP="00EA64C5">
      <w:pPr>
        <w:spacing w:after="0" w:line="360" w:lineRule="auto"/>
        <w:ind w:right="-93"/>
        <w:rPr>
          <w:rFonts w:eastAsia="Calibri" w:cs="Tahoma"/>
          <w:b/>
          <w:bCs/>
        </w:rPr>
      </w:pPr>
      <w:r w:rsidRPr="00422961">
        <w:rPr>
          <w:rFonts w:eastAsia="Calibri" w:cs="Tahoma"/>
          <w:bCs/>
        </w:rPr>
        <w:t xml:space="preserve">Derivado del trámite se obtiene, entre otros, la </w:t>
      </w:r>
      <w:r w:rsidRPr="00422961">
        <w:rPr>
          <w:rFonts w:eastAsia="Calibri" w:cs="Tahoma"/>
          <w:b/>
          <w:bCs/>
        </w:rPr>
        <w:t>cédula de identificación fiscal o constancia de registro.</w:t>
      </w:r>
    </w:p>
    <w:p w14:paraId="16E8A1BA" w14:textId="77777777" w:rsidR="00EA64C5" w:rsidRPr="00422961" w:rsidRDefault="00EA64C5" w:rsidP="00EA64C5">
      <w:pPr>
        <w:spacing w:after="0" w:line="360" w:lineRule="auto"/>
        <w:ind w:right="-93"/>
        <w:rPr>
          <w:rFonts w:eastAsia="Calibri" w:cs="Tahoma"/>
          <w:bCs/>
        </w:rPr>
      </w:pPr>
    </w:p>
    <w:p w14:paraId="1D95BEC6" w14:textId="15B324D4" w:rsidR="00EA64C5" w:rsidRPr="00422961" w:rsidRDefault="00EA64C5" w:rsidP="003F134A">
      <w:pPr>
        <w:widowControl w:val="0"/>
        <w:spacing w:after="0" w:line="360" w:lineRule="auto"/>
        <w:ind w:right="-91"/>
        <w:rPr>
          <w:rFonts w:eastAsia="Calibri" w:cs="Tahoma"/>
          <w:bCs/>
        </w:rPr>
      </w:pPr>
      <w:r w:rsidRPr="00422961">
        <w:rPr>
          <w:rFonts w:eastAsia="Calibri" w:cs="Tahoma"/>
          <w:bCs/>
        </w:rPr>
        <w:t>Por ende, la información correspondiente al Registro Federal de Contribuyentes de una persona moral da cuenta del cumplimiento o no en sus obligaciones fiscales; por tanto, no se actualiza su clasificación como confidencial.</w:t>
      </w:r>
      <w:r w:rsidR="003F134A" w:rsidRPr="00422961">
        <w:rPr>
          <w:rFonts w:eastAsia="Calibri" w:cs="Tahoma"/>
          <w:bCs/>
        </w:rPr>
        <w:t xml:space="preserve"> </w:t>
      </w:r>
      <w:r w:rsidRPr="00422961">
        <w:rPr>
          <w:rFonts w:eastAsia="Calibri" w:cs="Tahoma"/>
          <w:bCs/>
        </w:rPr>
        <w:t>Además, resulta aplicable el Criterio de interpretación, con clave de control SO/008/2019, de la Segunda Época, emitido por el Instituto Nacional de Transparencia, Acceso a la Información y Protección de Datos Personales, que precisa que el Registro Federal de Contribuyentes de personas morales, es público, al no referir a hechos o actos de carácter económico, contable, jurídico o administrativo que sean útiles o representen una ventaja a sus competidores.</w:t>
      </w:r>
    </w:p>
    <w:p w14:paraId="4DEEB2E4" w14:textId="77777777" w:rsidR="00EA64C5" w:rsidRPr="00422961" w:rsidRDefault="00EA64C5" w:rsidP="00EA64C5">
      <w:pPr>
        <w:spacing w:after="0" w:line="360" w:lineRule="auto"/>
        <w:ind w:right="-93"/>
        <w:rPr>
          <w:rFonts w:eastAsia="Calibri" w:cs="Tahoma"/>
          <w:bCs/>
        </w:rPr>
      </w:pPr>
      <w:r w:rsidRPr="00422961">
        <w:rPr>
          <w:rFonts w:eastAsia="Calibri" w:cs="Tahoma"/>
          <w:bCs/>
        </w:rPr>
        <w:lastRenderedPageBreak/>
        <w:t>De tales circunstancias, el Registro Federal de Contribuyentes de personas morales, no actualizan la causal de clasificación, prevista en el artículo 143, fracción I de la Ley de Transparencia y Acceso a la Información Pública del Estado de México y Municipios, al ser de naturaleza pública.</w:t>
      </w:r>
    </w:p>
    <w:p w14:paraId="6F58F592" w14:textId="77777777" w:rsidR="00EA64C5" w:rsidRPr="00422961" w:rsidRDefault="00EA64C5" w:rsidP="002B04E2">
      <w:pPr>
        <w:spacing w:after="0" w:line="360" w:lineRule="auto"/>
        <w:rPr>
          <w:rFonts w:eastAsia="Times New Roman" w:cs="Times New Roman"/>
          <w:lang w:eastAsia="es-ES"/>
        </w:rPr>
      </w:pPr>
    </w:p>
    <w:p w14:paraId="4AC3867F" w14:textId="7BCF5CA2" w:rsidR="00AC3438" w:rsidRPr="00422961" w:rsidRDefault="00AC3438" w:rsidP="00AC3438">
      <w:pPr>
        <w:numPr>
          <w:ilvl w:val="0"/>
          <w:numId w:val="31"/>
        </w:numPr>
        <w:spacing w:after="0" w:line="360" w:lineRule="auto"/>
        <w:ind w:right="-93"/>
        <w:contextualSpacing/>
        <w:jc w:val="left"/>
        <w:rPr>
          <w:rFonts w:eastAsia="Times New Roman" w:cs="Tahoma"/>
          <w:b/>
          <w:bCs/>
          <w:iCs/>
          <w:lang w:eastAsia="es-ES"/>
        </w:rPr>
      </w:pPr>
      <w:r w:rsidRPr="00422961">
        <w:rPr>
          <w:rFonts w:eastAsia="Times New Roman" w:cs="Tahoma"/>
          <w:b/>
          <w:bCs/>
          <w:iCs/>
          <w:lang w:eastAsia="es-ES"/>
        </w:rPr>
        <w:t>Credencial para Votar</w:t>
      </w:r>
    </w:p>
    <w:p w14:paraId="4A0B87A9" w14:textId="77777777" w:rsidR="00AC3438" w:rsidRPr="00422961" w:rsidRDefault="00AC3438" w:rsidP="00AC3438">
      <w:pPr>
        <w:spacing w:after="0" w:line="360" w:lineRule="auto"/>
        <w:rPr>
          <w:rFonts w:eastAsia="Times New Roman" w:cs="Tahoma"/>
          <w:b/>
          <w:bCs/>
          <w:iCs/>
          <w:lang w:eastAsia="es-ES"/>
        </w:rPr>
      </w:pPr>
    </w:p>
    <w:p w14:paraId="376029D9" w14:textId="77777777" w:rsidR="00AC3438" w:rsidRPr="00422961" w:rsidRDefault="00AC3438" w:rsidP="00AC3438">
      <w:pPr>
        <w:spacing w:after="0" w:line="360" w:lineRule="auto"/>
        <w:rPr>
          <w:rFonts w:eastAsia="Times New Roman" w:cs="Tahoma"/>
          <w:bCs/>
          <w:iCs/>
          <w:lang w:eastAsia="es-ES"/>
        </w:rPr>
      </w:pPr>
      <w:r w:rsidRPr="00422961">
        <w:rPr>
          <w:rFonts w:eastAsia="Times New Roman" w:cs="Tahoma"/>
          <w:bCs/>
          <w:iCs/>
          <w:lang w:eastAsia="es-ES"/>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7F32404C" w14:textId="77777777" w:rsidR="00AC3438" w:rsidRPr="00422961" w:rsidRDefault="00AC3438" w:rsidP="00AC3438">
      <w:pPr>
        <w:spacing w:after="0" w:line="360" w:lineRule="auto"/>
        <w:rPr>
          <w:rFonts w:eastAsia="Times New Roman" w:cs="Tahoma"/>
          <w:b/>
          <w:bCs/>
          <w:iCs/>
          <w:lang w:eastAsia="es-ES"/>
        </w:rPr>
      </w:pPr>
      <w:r w:rsidRPr="00422961">
        <w:rPr>
          <w:rFonts w:eastAsia="Times New Roman" w:cs="Tahoma"/>
          <w:bCs/>
          <w:iCs/>
          <w:lang w:eastAsia="es-ES"/>
        </w:rPr>
        <w:t>De manera particular el artículo 156, de la Ley General de Instituciones y Procedimientos Electorales dispone que la credencial para votar deberá contener, cuando menos, los siguientes datos:</w:t>
      </w:r>
    </w:p>
    <w:p w14:paraId="45D994FA" w14:textId="77777777" w:rsidR="00AC3438" w:rsidRPr="00422961" w:rsidRDefault="00AC3438" w:rsidP="00AC3438">
      <w:pPr>
        <w:spacing w:after="0" w:line="360" w:lineRule="auto"/>
        <w:rPr>
          <w:rFonts w:eastAsia="Times New Roman" w:cs="Tahoma"/>
          <w:bCs/>
          <w:iCs/>
          <w:lang w:eastAsia="es-ES"/>
        </w:rPr>
      </w:pPr>
    </w:p>
    <w:p w14:paraId="47350DEA" w14:textId="77777777" w:rsidR="00AC3438" w:rsidRPr="00422961" w:rsidRDefault="00AC3438" w:rsidP="00AC3438">
      <w:pPr>
        <w:spacing w:after="0" w:line="360" w:lineRule="auto"/>
        <w:ind w:left="567" w:right="567"/>
        <w:rPr>
          <w:rFonts w:eastAsia="Times New Roman" w:cs="Tahoma"/>
          <w:bCs/>
          <w:i/>
          <w:iCs/>
          <w:sz w:val="20"/>
          <w:szCs w:val="20"/>
          <w:lang w:eastAsia="es-ES"/>
        </w:rPr>
      </w:pPr>
      <w:r w:rsidRPr="00422961">
        <w:rPr>
          <w:rFonts w:eastAsia="Times New Roman" w:cs="Tahoma"/>
          <w:bCs/>
          <w:i/>
          <w:iCs/>
          <w:sz w:val="20"/>
          <w:szCs w:val="20"/>
          <w:lang w:eastAsia="es-ES"/>
        </w:rPr>
        <w:t>“…</w:t>
      </w:r>
    </w:p>
    <w:p w14:paraId="5963B4B4" w14:textId="77777777" w:rsidR="00AC3438" w:rsidRPr="00422961" w:rsidRDefault="00AC3438" w:rsidP="00AC3438">
      <w:pPr>
        <w:spacing w:after="0" w:line="360" w:lineRule="auto"/>
        <w:ind w:left="567" w:right="567"/>
        <w:rPr>
          <w:rFonts w:eastAsia="Times New Roman" w:cs="Tahoma"/>
          <w:bCs/>
          <w:i/>
          <w:iCs/>
          <w:sz w:val="20"/>
          <w:szCs w:val="20"/>
          <w:lang w:eastAsia="es-ES"/>
        </w:rPr>
      </w:pPr>
      <w:r w:rsidRPr="00422961">
        <w:rPr>
          <w:rFonts w:eastAsia="Times New Roman" w:cs="Tahoma"/>
          <w:b/>
          <w:bCs/>
          <w:i/>
          <w:iCs/>
          <w:sz w:val="20"/>
          <w:szCs w:val="20"/>
          <w:lang w:eastAsia="es-ES"/>
        </w:rPr>
        <w:t xml:space="preserve">a) </w:t>
      </w:r>
      <w:r w:rsidRPr="00422961">
        <w:rPr>
          <w:rFonts w:eastAsia="Times New Roman" w:cs="Tahoma"/>
          <w:bCs/>
          <w:i/>
          <w:iCs/>
          <w:sz w:val="20"/>
          <w:szCs w:val="20"/>
          <w:lang w:eastAsia="es-ES"/>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14:paraId="61185067" w14:textId="77777777" w:rsidR="00AC3438" w:rsidRPr="00422961" w:rsidRDefault="00AC3438" w:rsidP="00AC3438">
      <w:pPr>
        <w:spacing w:after="0" w:line="360" w:lineRule="auto"/>
        <w:ind w:left="567" w:right="567"/>
        <w:rPr>
          <w:rFonts w:eastAsia="Times New Roman" w:cs="Tahoma"/>
          <w:bCs/>
          <w:i/>
          <w:iCs/>
          <w:sz w:val="20"/>
          <w:szCs w:val="20"/>
          <w:lang w:eastAsia="es-ES"/>
        </w:rPr>
      </w:pPr>
      <w:r w:rsidRPr="00422961">
        <w:rPr>
          <w:rFonts w:eastAsia="Times New Roman" w:cs="Tahoma"/>
          <w:b/>
          <w:bCs/>
          <w:i/>
          <w:iCs/>
          <w:sz w:val="20"/>
          <w:szCs w:val="20"/>
          <w:lang w:eastAsia="es-ES"/>
        </w:rPr>
        <w:t xml:space="preserve">b) </w:t>
      </w:r>
      <w:r w:rsidRPr="00422961">
        <w:rPr>
          <w:rFonts w:eastAsia="Times New Roman" w:cs="Tahoma"/>
          <w:bCs/>
          <w:i/>
          <w:iCs/>
          <w:sz w:val="20"/>
          <w:szCs w:val="20"/>
          <w:lang w:eastAsia="es-ES"/>
        </w:rPr>
        <w:t xml:space="preserve">Sección electoral en donde deberá votar el ciudadano. En el caso de los ciudadanos residentes en el extranjero no será necesario incluir este requisito; </w:t>
      </w:r>
    </w:p>
    <w:p w14:paraId="7CD178A6" w14:textId="77777777" w:rsidR="00AC3438" w:rsidRPr="00422961" w:rsidRDefault="00AC3438" w:rsidP="00AC3438">
      <w:pPr>
        <w:spacing w:after="0" w:line="360" w:lineRule="auto"/>
        <w:ind w:left="567" w:right="567"/>
        <w:rPr>
          <w:rFonts w:eastAsia="Times New Roman" w:cs="Tahoma"/>
          <w:bCs/>
          <w:i/>
          <w:iCs/>
          <w:sz w:val="20"/>
          <w:szCs w:val="20"/>
          <w:lang w:eastAsia="es-ES"/>
        </w:rPr>
      </w:pPr>
      <w:r w:rsidRPr="00422961">
        <w:rPr>
          <w:rFonts w:eastAsia="Times New Roman" w:cs="Tahoma"/>
          <w:b/>
          <w:bCs/>
          <w:i/>
          <w:iCs/>
          <w:sz w:val="20"/>
          <w:szCs w:val="20"/>
          <w:lang w:eastAsia="es-ES"/>
        </w:rPr>
        <w:t xml:space="preserve">c) </w:t>
      </w:r>
      <w:r w:rsidRPr="00422961">
        <w:rPr>
          <w:rFonts w:eastAsia="Times New Roman" w:cs="Tahoma"/>
          <w:bCs/>
          <w:i/>
          <w:iCs/>
          <w:sz w:val="20"/>
          <w:szCs w:val="20"/>
          <w:lang w:eastAsia="es-ES"/>
        </w:rPr>
        <w:t xml:space="preserve">Apellido paterno, apellido materno y nombre completo; </w:t>
      </w:r>
    </w:p>
    <w:p w14:paraId="0B0E7477" w14:textId="77777777" w:rsidR="00AC3438" w:rsidRPr="00422961" w:rsidRDefault="00AC3438" w:rsidP="00AC3438">
      <w:pPr>
        <w:spacing w:after="0" w:line="360" w:lineRule="auto"/>
        <w:ind w:left="567" w:right="567"/>
        <w:rPr>
          <w:rFonts w:eastAsia="Times New Roman" w:cs="Tahoma"/>
          <w:bCs/>
          <w:i/>
          <w:iCs/>
          <w:sz w:val="20"/>
          <w:szCs w:val="20"/>
          <w:lang w:eastAsia="es-ES"/>
        </w:rPr>
      </w:pPr>
      <w:r w:rsidRPr="00422961">
        <w:rPr>
          <w:rFonts w:eastAsia="Times New Roman" w:cs="Tahoma"/>
          <w:b/>
          <w:bCs/>
          <w:i/>
          <w:iCs/>
          <w:sz w:val="20"/>
          <w:szCs w:val="20"/>
          <w:lang w:eastAsia="es-ES"/>
        </w:rPr>
        <w:t xml:space="preserve">d) </w:t>
      </w:r>
      <w:r w:rsidRPr="00422961">
        <w:rPr>
          <w:rFonts w:eastAsia="Times New Roman" w:cs="Tahoma"/>
          <w:bCs/>
          <w:i/>
          <w:iCs/>
          <w:sz w:val="20"/>
          <w:szCs w:val="20"/>
          <w:lang w:eastAsia="es-ES"/>
        </w:rPr>
        <w:t xml:space="preserve">Domicilio; </w:t>
      </w:r>
    </w:p>
    <w:p w14:paraId="4496ABF5" w14:textId="77777777" w:rsidR="00AC3438" w:rsidRPr="00422961" w:rsidRDefault="00AC3438" w:rsidP="00AC3438">
      <w:pPr>
        <w:spacing w:after="0" w:line="360" w:lineRule="auto"/>
        <w:ind w:left="567" w:right="567"/>
        <w:rPr>
          <w:rFonts w:eastAsia="Times New Roman" w:cs="Tahoma"/>
          <w:bCs/>
          <w:i/>
          <w:iCs/>
          <w:sz w:val="20"/>
          <w:szCs w:val="20"/>
          <w:lang w:eastAsia="es-ES"/>
        </w:rPr>
      </w:pPr>
      <w:r w:rsidRPr="00422961">
        <w:rPr>
          <w:rFonts w:eastAsia="Times New Roman" w:cs="Tahoma"/>
          <w:b/>
          <w:bCs/>
          <w:i/>
          <w:iCs/>
          <w:sz w:val="20"/>
          <w:szCs w:val="20"/>
          <w:lang w:eastAsia="es-ES"/>
        </w:rPr>
        <w:t xml:space="preserve">e) </w:t>
      </w:r>
      <w:r w:rsidRPr="00422961">
        <w:rPr>
          <w:rFonts w:eastAsia="Times New Roman" w:cs="Tahoma"/>
          <w:bCs/>
          <w:i/>
          <w:iCs/>
          <w:sz w:val="20"/>
          <w:szCs w:val="20"/>
          <w:lang w:eastAsia="es-ES"/>
        </w:rPr>
        <w:t xml:space="preserve">Sexo; </w:t>
      </w:r>
    </w:p>
    <w:p w14:paraId="634FAEB8" w14:textId="77777777" w:rsidR="00AC3438" w:rsidRPr="00422961" w:rsidRDefault="00AC3438" w:rsidP="00AC3438">
      <w:pPr>
        <w:spacing w:after="0" w:line="360" w:lineRule="auto"/>
        <w:ind w:left="567" w:right="567"/>
        <w:rPr>
          <w:rFonts w:eastAsia="Times New Roman" w:cs="Tahoma"/>
          <w:bCs/>
          <w:i/>
          <w:iCs/>
          <w:sz w:val="20"/>
          <w:szCs w:val="20"/>
          <w:lang w:eastAsia="es-ES"/>
        </w:rPr>
      </w:pPr>
      <w:r w:rsidRPr="00422961">
        <w:rPr>
          <w:rFonts w:eastAsia="Times New Roman" w:cs="Tahoma"/>
          <w:b/>
          <w:bCs/>
          <w:i/>
          <w:iCs/>
          <w:sz w:val="20"/>
          <w:szCs w:val="20"/>
          <w:lang w:eastAsia="es-ES"/>
        </w:rPr>
        <w:t xml:space="preserve">f) </w:t>
      </w:r>
      <w:r w:rsidRPr="00422961">
        <w:rPr>
          <w:rFonts w:eastAsia="Times New Roman" w:cs="Tahoma"/>
          <w:bCs/>
          <w:i/>
          <w:iCs/>
          <w:sz w:val="20"/>
          <w:szCs w:val="20"/>
          <w:lang w:eastAsia="es-ES"/>
        </w:rPr>
        <w:t>Edad y año de registro;</w:t>
      </w:r>
    </w:p>
    <w:p w14:paraId="02EEA516" w14:textId="77777777" w:rsidR="00AC3438" w:rsidRPr="00422961" w:rsidRDefault="00AC3438" w:rsidP="00AC3438">
      <w:pPr>
        <w:spacing w:after="0" w:line="360" w:lineRule="auto"/>
        <w:ind w:left="567" w:right="567"/>
        <w:rPr>
          <w:rFonts w:eastAsia="Times New Roman" w:cs="Tahoma"/>
          <w:bCs/>
          <w:i/>
          <w:iCs/>
          <w:sz w:val="20"/>
          <w:szCs w:val="20"/>
          <w:lang w:eastAsia="es-ES"/>
        </w:rPr>
      </w:pPr>
      <w:r w:rsidRPr="00422961">
        <w:rPr>
          <w:rFonts w:eastAsia="Times New Roman" w:cs="Tahoma"/>
          <w:b/>
          <w:bCs/>
          <w:i/>
          <w:iCs/>
          <w:sz w:val="20"/>
          <w:szCs w:val="20"/>
          <w:lang w:eastAsia="es-ES"/>
        </w:rPr>
        <w:lastRenderedPageBreak/>
        <w:t xml:space="preserve">g) </w:t>
      </w:r>
      <w:r w:rsidRPr="00422961">
        <w:rPr>
          <w:rFonts w:eastAsia="Times New Roman" w:cs="Tahoma"/>
          <w:bCs/>
          <w:i/>
          <w:iCs/>
          <w:sz w:val="20"/>
          <w:szCs w:val="20"/>
          <w:lang w:eastAsia="es-ES"/>
        </w:rPr>
        <w:t xml:space="preserve">Firma, huella digital y fotografía del elector; </w:t>
      </w:r>
    </w:p>
    <w:p w14:paraId="183FE11C" w14:textId="77777777" w:rsidR="00AC3438" w:rsidRPr="00422961" w:rsidRDefault="00AC3438" w:rsidP="00AC3438">
      <w:pPr>
        <w:spacing w:after="0" w:line="360" w:lineRule="auto"/>
        <w:ind w:left="567" w:right="567"/>
        <w:rPr>
          <w:rFonts w:eastAsia="Times New Roman" w:cs="Tahoma"/>
          <w:bCs/>
          <w:i/>
          <w:iCs/>
          <w:sz w:val="20"/>
          <w:szCs w:val="20"/>
          <w:lang w:eastAsia="es-ES"/>
        </w:rPr>
      </w:pPr>
      <w:r w:rsidRPr="00422961">
        <w:rPr>
          <w:rFonts w:eastAsia="Times New Roman" w:cs="Tahoma"/>
          <w:b/>
          <w:bCs/>
          <w:i/>
          <w:iCs/>
          <w:sz w:val="20"/>
          <w:szCs w:val="20"/>
          <w:lang w:eastAsia="es-ES"/>
        </w:rPr>
        <w:t xml:space="preserve">h) </w:t>
      </w:r>
      <w:r w:rsidRPr="00422961">
        <w:rPr>
          <w:rFonts w:eastAsia="Times New Roman" w:cs="Tahoma"/>
          <w:bCs/>
          <w:i/>
          <w:iCs/>
          <w:sz w:val="20"/>
          <w:szCs w:val="20"/>
          <w:lang w:eastAsia="es-ES"/>
        </w:rPr>
        <w:t xml:space="preserve">Clave de registro, y </w:t>
      </w:r>
    </w:p>
    <w:p w14:paraId="65ABB7C7" w14:textId="77777777" w:rsidR="00AC3438" w:rsidRPr="00422961" w:rsidRDefault="00AC3438" w:rsidP="00AC3438">
      <w:pPr>
        <w:spacing w:after="0" w:line="360" w:lineRule="auto"/>
        <w:ind w:left="567" w:right="567"/>
        <w:rPr>
          <w:rFonts w:eastAsia="Times New Roman" w:cs="Tahoma"/>
          <w:bCs/>
          <w:i/>
          <w:iCs/>
          <w:sz w:val="20"/>
          <w:szCs w:val="20"/>
          <w:lang w:eastAsia="es-ES"/>
        </w:rPr>
      </w:pPr>
      <w:r w:rsidRPr="00422961">
        <w:rPr>
          <w:rFonts w:eastAsia="Times New Roman" w:cs="Tahoma"/>
          <w:b/>
          <w:bCs/>
          <w:i/>
          <w:iCs/>
          <w:sz w:val="20"/>
          <w:szCs w:val="20"/>
          <w:lang w:eastAsia="es-ES"/>
        </w:rPr>
        <w:t xml:space="preserve">i) </w:t>
      </w:r>
      <w:r w:rsidRPr="00422961">
        <w:rPr>
          <w:rFonts w:eastAsia="Times New Roman" w:cs="Tahoma"/>
          <w:bCs/>
          <w:i/>
          <w:iCs/>
          <w:sz w:val="20"/>
          <w:szCs w:val="20"/>
          <w:lang w:eastAsia="es-ES"/>
        </w:rPr>
        <w:t xml:space="preserve">Clave Única del Registro de Población. </w:t>
      </w:r>
    </w:p>
    <w:p w14:paraId="7588ECAC" w14:textId="77777777" w:rsidR="00AC3438" w:rsidRPr="00422961" w:rsidRDefault="00AC3438" w:rsidP="00AC3438">
      <w:pPr>
        <w:spacing w:after="0" w:line="360" w:lineRule="auto"/>
        <w:ind w:left="567" w:right="567"/>
        <w:rPr>
          <w:rFonts w:eastAsia="Times New Roman" w:cs="Tahoma"/>
          <w:bCs/>
          <w:i/>
          <w:iCs/>
          <w:sz w:val="20"/>
          <w:szCs w:val="20"/>
          <w:lang w:eastAsia="es-ES"/>
        </w:rPr>
      </w:pPr>
      <w:r w:rsidRPr="00422961">
        <w:rPr>
          <w:rFonts w:eastAsia="Times New Roman" w:cs="Tahoma"/>
          <w:b/>
          <w:bCs/>
          <w:i/>
          <w:iCs/>
          <w:sz w:val="20"/>
          <w:szCs w:val="20"/>
          <w:lang w:eastAsia="es-ES"/>
        </w:rPr>
        <w:t xml:space="preserve">2. </w:t>
      </w:r>
      <w:r w:rsidRPr="00422961">
        <w:rPr>
          <w:rFonts w:eastAsia="Times New Roman" w:cs="Tahoma"/>
          <w:bCs/>
          <w:i/>
          <w:iCs/>
          <w:sz w:val="20"/>
          <w:szCs w:val="20"/>
          <w:lang w:eastAsia="es-ES"/>
        </w:rPr>
        <w:t xml:space="preserve">Además tendrá: </w:t>
      </w:r>
    </w:p>
    <w:p w14:paraId="20EC6E75" w14:textId="77777777" w:rsidR="00AC3438" w:rsidRPr="00422961" w:rsidRDefault="00AC3438" w:rsidP="00AC3438">
      <w:pPr>
        <w:spacing w:after="0" w:line="360" w:lineRule="auto"/>
        <w:ind w:left="567" w:right="567"/>
        <w:rPr>
          <w:rFonts w:eastAsia="Times New Roman" w:cs="Tahoma"/>
          <w:bCs/>
          <w:i/>
          <w:iCs/>
          <w:sz w:val="20"/>
          <w:szCs w:val="20"/>
          <w:lang w:eastAsia="es-ES"/>
        </w:rPr>
      </w:pPr>
      <w:r w:rsidRPr="00422961">
        <w:rPr>
          <w:rFonts w:eastAsia="Times New Roman" w:cs="Tahoma"/>
          <w:b/>
          <w:bCs/>
          <w:i/>
          <w:iCs/>
          <w:sz w:val="20"/>
          <w:szCs w:val="20"/>
          <w:lang w:eastAsia="es-ES"/>
        </w:rPr>
        <w:t xml:space="preserve">a) </w:t>
      </w:r>
      <w:r w:rsidRPr="00422961">
        <w:rPr>
          <w:rFonts w:eastAsia="Times New Roman" w:cs="Tahoma"/>
          <w:bCs/>
          <w:i/>
          <w:iCs/>
          <w:sz w:val="20"/>
          <w:szCs w:val="20"/>
          <w:lang w:eastAsia="es-ES"/>
        </w:rPr>
        <w:t xml:space="preserve">Espacios necesarios para marcar año y elección de que se trate; </w:t>
      </w:r>
    </w:p>
    <w:p w14:paraId="29564E9B" w14:textId="77777777" w:rsidR="00AC3438" w:rsidRPr="00422961" w:rsidRDefault="00AC3438" w:rsidP="00AC3438">
      <w:pPr>
        <w:spacing w:after="0" w:line="360" w:lineRule="auto"/>
        <w:ind w:left="567" w:right="567"/>
        <w:rPr>
          <w:rFonts w:eastAsia="Times New Roman" w:cs="Tahoma"/>
          <w:bCs/>
          <w:i/>
          <w:iCs/>
          <w:sz w:val="20"/>
          <w:szCs w:val="20"/>
          <w:lang w:eastAsia="es-ES"/>
        </w:rPr>
      </w:pPr>
      <w:r w:rsidRPr="00422961">
        <w:rPr>
          <w:rFonts w:eastAsia="Times New Roman" w:cs="Tahoma"/>
          <w:b/>
          <w:bCs/>
          <w:i/>
          <w:iCs/>
          <w:sz w:val="20"/>
          <w:szCs w:val="20"/>
          <w:lang w:eastAsia="es-ES"/>
        </w:rPr>
        <w:t xml:space="preserve">b) </w:t>
      </w:r>
      <w:r w:rsidRPr="00422961">
        <w:rPr>
          <w:rFonts w:eastAsia="Times New Roman" w:cs="Tahoma"/>
          <w:bCs/>
          <w:i/>
          <w:iCs/>
          <w:sz w:val="20"/>
          <w:szCs w:val="20"/>
          <w:lang w:eastAsia="es-ES"/>
        </w:rPr>
        <w:t xml:space="preserve">Firma impresa del Secretario Ejecutivo del Instituto; </w:t>
      </w:r>
    </w:p>
    <w:p w14:paraId="6F124A73" w14:textId="77777777" w:rsidR="00AC3438" w:rsidRPr="00422961" w:rsidRDefault="00AC3438" w:rsidP="00AC3438">
      <w:pPr>
        <w:spacing w:after="0" w:line="360" w:lineRule="auto"/>
        <w:ind w:left="567" w:right="567"/>
        <w:rPr>
          <w:rFonts w:eastAsia="Times New Roman" w:cs="Tahoma"/>
          <w:bCs/>
          <w:i/>
          <w:iCs/>
          <w:sz w:val="20"/>
          <w:szCs w:val="20"/>
          <w:lang w:eastAsia="es-ES"/>
        </w:rPr>
      </w:pPr>
      <w:r w:rsidRPr="00422961">
        <w:rPr>
          <w:rFonts w:eastAsia="Times New Roman" w:cs="Tahoma"/>
          <w:b/>
          <w:bCs/>
          <w:i/>
          <w:iCs/>
          <w:sz w:val="20"/>
          <w:szCs w:val="20"/>
          <w:lang w:eastAsia="es-ES"/>
        </w:rPr>
        <w:t xml:space="preserve">c) </w:t>
      </w:r>
      <w:r w:rsidRPr="00422961">
        <w:rPr>
          <w:rFonts w:eastAsia="Times New Roman" w:cs="Tahoma"/>
          <w:bCs/>
          <w:i/>
          <w:iCs/>
          <w:sz w:val="20"/>
          <w:szCs w:val="20"/>
          <w:lang w:eastAsia="es-ES"/>
        </w:rPr>
        <w:t xml:space="preserve">Año de emisión; </w:t>
      </w:r>
    </w:p>
    <w:p w14:paraId="2BBF1C2F" w14:textId="77777777" w:rsidR="00AC3438" w:rsidRPr="00422961" w:rsidRDefault="00AC3438" w:rsidP="00AC3438">
      <w:pPr>
        <w:spacing w:after="0" w:line="360" w:lineRule="auto"/>
        <w:ind w:left="567" w:right="567"/>
        <w:rPr>
          <w:rFonts w:eastAsia="Times New Roman" w:cs="Tahoma"/>
          <w:bCs/>
          <w:i/>
          <w:iCs/>
          <w:sz w:val="20"/>
          <w:szCs w:val="20"/>
          <w:lang w:eastAsia="es-ES"/>
        </w:rPr>
      </w:pPr>
      <w:r w:rsidRPr="00422961">
        <w:rPr>
          <w:rFonts w:eastAsia="Times New Roman" w:cs="Tahoma"/>
          <w:b/>
          <w:bCs/>
          <w:i/>
          <w:iCs/>
          <w:sz w:val="20"/>
          <w:szCs w:val="20"/>
          <w:lang w:eastAsia="es-ES"/>
        </w:rPr>
        <w:t xml:space="preserve">d) </w:t>
      </w:r>
      <w:r w:rsidRPr="00422961">
        <w:rPr>
          <w:rFonts w:eastAsia="Times New Roman" w:cs="Tahoma"/>
          <w:bCs/>
          <w:i/>
          <w:iCs/>
          <w:sz w:val="20"/>
          <w:szCs w:val="20"/>
          <w:lang w:eastAsia="es-ES"/>
        </w:rPr>
        <w:t xml:space="preserve">Año en el que expira su vigencia, y </w:t>
      </w:r>
    </w:p>
    <w:p w14:paraId="5DA8FB08" w14:textId="77777777" w:rsidR="00AC3438" w:rsidRPr="00422961" w:rsidRDefault="00AC3438" w:rsidP="00AC3438">
      <w:pPr>
        <w:spacing w:after="0" w:line="360" w:lineRule="auto"/>
        <w:ind w:left="567" w:right="567"/>
        <w:rPr>
          <w:rFonts w:eastAsia="Times New Roman" w:cs="Tahoma"/>
          <w:bCs/>
          <w:i/>
          <w:iCs/>
          <w:sz w:val="18"/>
          <w:szCs w:val="18"/>
          <w:lang w:eastAsia="es-ES"/>
        </w:rPr>
      </w:pPr>
      <w:r w:rsidRPr="00422961">
        <w:rPr>
          <w:rFonts w:eastAsia="Times New Roman" w:cs="Tahoma"/>
          <w:b/>
          <w:bCs/>
          <w:i/>
          <w:iCs/>
          <w:sz w:val="20"/>
          <w:szCs w:val="20"/>
          <w:lang w:eastAsia="es-ES"/>
        </w:rPr>
        <w:t xml:space="preserve">e) </w:t>
      </w:r>
      <w:r w:rsidRPr="00422961">
        <w:rPr>
          <w:rFonts w:eastAsia="Times New Roman" w:cs="Tahoma"/>
          <w:bCs/>
          <w:i/>
          <w:iCs/>
          <w:sz w:val="20"/>
          <w:szCs w:val="20"/>
          <w:lang w:eastAsia="es-ES"/>
        </w:rPr>
        <w:t>En el caso de la que se expida al ciudadano residente en el extranjero, la leyenda “Para Votar desde el Extranjero”.</w:t>
      </w:r>
    </w:p>
    <w:p w14:paraId="36B35872" w14:textId="77777777" w:rsidR="00AC3438" w:rsidRPr="00422961" w:rsidRDefault="00AC3438" w:rsidP="00AC3438">
      <w:pPr>
        <w:spacing w:after="0" w:line="360" w:lineRule="auto"/>
        <w:rPr>
          <w:rFonts w:eastAsia="Times New Roman" w:cs="Tahoma"/>
          <w:bCs/>
          <w:iCs/>
          <w:lang w:eastAsia="es-ES"/>
        </w:rPr>
      </w:pPr>
    </w:p>
    <w:p w14:paraId="1954CE88" w14:textId="77777777" w:rsidR="00AC3438" w:rsidRPr="00422961" w:rsidRDefault="00AC3438" w:rsidP="00AC3438">
      <w:pPr>
        <w:spacing w:after="0" w:line="360" w:lineRule="auto"/>
        <w:rPr>
          <w:rFonts w:eastAsia="Times New Roman" w:cs="Tahoma"/>
          <w:bCs/>
          <w:iCs/>
          <w:lang w:eastAsia="es-ES"/>
        </w:rPr>
      </w:pPr>
      <w:r w:rsidRPr="00422961">
        <w:rPr>
          <w:rFonts w:eastAsia="Times New Roman" w:cs="Tahoma"/>
          <w:bCs/>
          <w:iCs/>
          <w:lang w:eastAsia="es-ES"/>
        </w:rPr>
        <w:t>Como se advierte, todos los elementos contenidos en la credencial hacen a su titular, identificado, identificable e incluso ubicable en su domicilio. 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14:paraId="6583E4F6" w14:textId="77777777" w:rsidR="00AC3438" w:rsidRPr="00422961" w:rsidRDefault="00AC3438" w:rsidP="00AC3438">
      <w:pPr>
        <w:spacing w:after="0" w:line="360" w:lineRule="auto"/>
        <w:rPr>
          <w:rFonts w:eastAsia="Times New Roman" w:cs="Tahoma"/>
          <w:bCs/>
          <w:iCs/>
          <w:lang w:eastAsia="es-ES"/>
        </w:rPr>
      </w:pPr>
    </w:p>
    <w:p w14:paraId="0FF39BFE" w14:textId="77777777" w:rsidR="00AC3438" w:rsidRPr="00422961" w:rsidRDefault="00AC3438" w:rsidP="00AC3438">
      <w:pPr>
        <w:spacing w:after="0" w:line="360" w:lineRule="auto"/>
        <w:rPr>
          <w:rFonts w:eastAsia="Times New Roman" w:cs="Tahoma"/>
          <w:bCs/>
          <w:iCs/>
          <w:lang w:eastAsia="es-ES"/>
        </w:rPr>
      </w:pPr>
      <w:r w:rsidRPr="00422961">
        <w:rPr>
          <w:rFonts w:eastAsia="Times New Roman" w:cs="Tahoma"/>
          <w:bCs/>
          <w:iCs/>
          <w:lang w:eastAsia="es-ES"/>
        </w:rPr>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14:paraId="0FB424F6" w14:textId="77777777" w:rsidR="00AC3438" w:rsidRPr="00422961" w:rsidRDefault="00AC3438" w:rsidP="00AC3438">
      <w:pPr>
        <w:spacing w:after="0" w:line="360" w:lineRule="auto"/>
        <w:rPr>
          <w:rFonts w:eastAsia="Times New Roman" w:cs="Tahoma"/>
          <w:bCs/>
          <w:iCs/>
          <w:lang w:eastAsia="es-ES"/>
        </w:rPr>
      </w:pPr>
    </w:p>
    <w:p w14:paraId="0CFAA200" w14:textId="77777777" w:rsidR="00AC3438" w:rsidRPr="00422961" w:rsidRDefault="00AC3438" w:rsidP="00AC3438">
      <w:pPr>
        <w:spacing w:after="0" w:line="360" w:lineRule="auto"/>
        <w:rPr>
          <w:rFonts w:eastAsia="Times New Roman" w:cs="Tahoma"/>
          <w:bCs/>
          <w:iCs/>
          <w:lang w:eastAsia="es-ES"/>
        </w:rPr>
      </w:pPr>
      <w:r w:rsidRPr="00422961">
        <w:rPr>
          <w:rFonts w:eastAsia="Times New Roman" w:cs="Tahoma"/>
          <w:bCs/>
          <w:iCs/>
          <w:lang w:eastAsia="es-ES"/>
        </w:rPr>
        <w:t xml:space="preserve">Dada esta relevancia y que no guarda relación directa con el ejercicio de atribuciones de servidores públicos es que su contenido debe ser analizado en función del documento total, </w:t>
      </w:r>
      <w:r w:rsidRPr="00422961">
        <w:rPr>
          <w:rFonts w:eastAsia="Times New Roman" w:cs="Tahoma"/>
          <w:bCs/>
          <w:iCs/>
          <w:lang w:eastAsia="es-ES"/>
        </w:rPr>
        <w:lastRenderedPageBreak/>
        <w:t xml:space="preserve">ya que esta obra por ser el medio preferible de identificación como ciudadano y no en función del cargo público, por lo que se entiende que se analizan en su conjunto los datos personales contenidos en la misma, con excepción del nombre; por lo que, en el presente caso, se considera que la credencial de elector, </w:t>
      </w:r>
      <w:r w:rsidRPr="00422961">
        <w:rPr>
          <w:rFonts w:eastAsia="Times New Roman" w:cs="Tahoma"/>
          <w:b/>
          <w:iCs/>
          <w:lang w:eastAsia="es-ES"/>
        </w:rPr>
        <w:t>es confidencial y actualiza la causal de clasificación</w:t>
      </w:r>
      <w:r w:rsidRPr="00422961">
        <w:rPr>
          <w:rFonts w:eastAsia="Times New Roman" w:cs="Tahoma"/>
          <w:bCs/>
          <w:iCs/>
          <w:lang w:eastAsia="es-ES"/>
        </w:rPr>
        <w:t>, establecida en el artículo 143, fracción I, de la Ley de Transparencia y Acceso a la Información Pública del Estado de México y Municipios.</w:t>
      </w:r>
    </w:p>
    <w:p w14:paraId="4573D6D9" w14:textId="77777777" w:rsidR="00AC3438" w:rsidRPr="00422961" w:rsidRDefault="00AC3438" w:rsidP="002B04E2">
      <w:pPr>
        <w:spacing w:after="0" w:line="360" w:lineRule="auto"/>
        <w:rPr>
          <w:rFonts w:eastAsia="Times New Roman" w:cs="Times New Roman"/>
          <w:lang w:eastAsia="es-ES"/>
        </w:rPr>
      </w:pPr>
    </w:p>
    <w:p w14:paraId="1B78F080" w14:textId="77777777" w:rsidR="00AC3438" w:rsidRPr="00422961" w:rsidRDefault="00AC3438" w:rsidP="00AC3438">
      <w:pPr>
        <w:numPr>
          <w:ilvl w:val="0"/>
          <w:numId w:val="33"/>
        </w:numPr>
        <w:spacing w:after="0" w:line="360" w:lineRule="auto"/>
        <w:contextualSpacing/>
        <w:jc w:val="left"/>
        <w:rPr>
          <w:rFonts w:eastAsia="Calibri" w:cs="Tahoma"/>
          <w:b/>
          <w:color w:val="000000"/>
          <w:kern w:val="2"/>
          <w:lang w:eastAsia="es-MX"/>
          <w14:ligatures w14:val="standardContextual"/>
        </w:rPr>
      </w:pPr>
      <w:r w:rsidRPr="00422961">
        <w:rPr>
          <w:rFonts w:eastAsia="Calibri" w:cs="Tahoma"/>
          <w:b/>
          <w:iCs/>
          <w:kern w:val="2"/>
          <w:lang w:eastAsia="es-ES"/>
          <w14:ligatures w14:val="standardContextual"/>
        </w:rPr>
        <w:t>Acta Constitutiva e instrumentos notariales.</w:t>
      </w:r>
    </w:p>
    <w:p w14:paraId="09AF2E9A" w14:textId="77777777" w:rsidR="00AC3438" w:rsidRPr="00422961" w:rsidRDefault="00AC3438" w:rsidP="00AC3438">
      <w:pPr>
        <w:spacing w:after="0" w:line="360" w:lineRule="auto"/>
        <w:contextualSpacing/>
        <w:rPr>
          <w:rFonts w:eastAsia="Calibri" w:cs="Tahoma"/>
          <w:bCs/>
          <w:lang w:eastAsia="es-ES"/>
        </w:rPr>
      </w:pPr>
    </w:p>
    <w:p w14:paraId="209B8418" w14:textId="77777777" w:rsidR="00AC3438" w:rsidRPr="00422961" w:rsidRDefault="00AC3438" w:rsidP="00AC3438">
      <w:pPr>
        <w:spacing w:after="0" w:line="360" w:lineRule="auto"/>
        <w:contextualSpacing/>
        <w:rPr>
          <w:rFonts w:eastAsia="Times New Roman" w:cs="Tahoma"/>
          <w:bCs/>
          <w:iCs/>
          <w:lang w:eastAsia="es-ES"/>
        </w:rPr>
      </w:pPr>
      <w:r w:rsidRPr="00422961">
        <w:rPr>
          <w:rFonts w:eastAsia="Times New Roman" w:cs="Tahoma"/>
          <w:bCs/>
          <w:iCs/>
          <w:lang w:eastAsia="es-ES"/>
        </w:rPr>
        <w:t xml:space="preserve">Sobre este documento, se debe señalar que debe ser analizado en su integridad, al ser este un acto que emana de la libertad de las personas para asociarse, derecho humano, que es reconocido en el artículo 9° de la Constitución Política de los Estados Unidos Mexicanos. En esa tesitura, debe entenderse que las personas físicas pueden asociarse para crear personas morales, y con este acto dotarlas de personalidad jurídica. </w:t>
      </w:r>
    </w:p>
    <w:p w14:paraId="09273E66" w14:textId="77777777" w:rsidR="00AC3438" w:rsidRPr="00422961" w:rsidRDefault="00AC3438" w:rsidP="00AC3438">
      <w:pPr>
        <w:spacing w:after="0" w:line="360" w:lineRule="auto"/>
        <w:contextualSpacing/>
        <w:rPr>
          <w:rFonts w:eastAsia="Times New Roman" w:cs="Tahoma"/>
          <w:bCs/>
          <w:iCs/>
          <w:lang w:eastAsia="es-ES"/>
        </w:rPr>
      </w:pPr>
    </w:p>
    <w:p w14:paraId="419192F1" w14:textId="77777777" w:rsidR="00AC3438" w:rsidRPr="00422961" w:rsidRDefault="00AC3438" w:rsidP="00AC3438">
      <w:pPr>
        <w:spacing w:after="0" w:line="360" w:lineRule="auto"/>
        <w:contextualSpacing/>
        <w:rPr>
          <w:rFonts w:eastAsia="Times New Roman" w:cs="Tahoma"/>
          <w:bCs/>
          <w:iCs/>
          <w:lang w:eastAsia="es-ES"/>
        </w:rPr>
      </w:pPr>
      <w:r w:rsidRPr="00422961">
        <w:rPr>
          <w:rFonts w:eastAsia="Times New Roman" w:cs="Tahoma"/>
          <w:bCs/>
          <w:iCs/>
          <w:lang w:eastAsia="es-ES"/>
        </w:rPr>
        <w:t xml:space="preserve">Es necesario precisar que la Doctrina Jurídica, ha reconocido que las personas morales </w:t>
      </w:r>
      <w:r w:rsidRPr="00422961">
        <w:rPr>
          <w:rFonts w:eastAsia="Times New Roman" w:cs="Tahoma"/>
          <w:bCs/>
          <w:i/>
          <w:lang w:eastAsia="es-ES"/>
        </w:rPr>
        <w:t>son realidades orgánicas que nacen de un acto social constitutivo, en el que la voluntad de las partes se proyecta unilateralmente y crea un complejo de derechos y deberes de las partes entre si y de estas con la corporación y, sobre todo, crea la norma jurídica objetiva, es decir, los estatutos que constituyen la ley de la sociedad</w:t>
      </w:r>
      <w:r w:rsidRPr="00422961">
        <w:rPr>
          <w:rFonts w:eastAsia="Times New Roman" w:cs="Tahoma"/>
          <w:bCs/>
          <w:iCs/>
          <w:lang w:eastAsia="es-ES"/>
        </w:rPr>
        <w:t xml:space="preserve">., (Manuel García Rendón. (2016). Sociedades Mercantiles. Ciudad de México. Oxford. Pág. 18). De lo anterior, se puede inferir que las sociedades no nacen de un contrato ordinario, si no, de un contrato de organización. </w:t>
      </w:r>
    </w:p>
    <w:p w14:paraId="08BEF0C2" w14:textId="77777777" w:rsidR="00AC3438" w:rsidRPr="00422961" w:rsidRDefault="00AC3438" w:rsidP="00AC3438">
      <w:pPr>
        <w:spacing w:after="0" w:line="360" w:lineRule="auto"/>
        <w:contextualSpacing/>
        <w:rPr>
          <w:rFonts w:eastAsia="Times New Roman" w:cs="Tahoma"/>
          <w:bCs/>
          <w:iCs/>
          <w:lang w:eastAsia="es-ES"/>
        </w:rPr>
      </w:pPr>
    </w:p>
    <w:p w14:paraId="202707B6" w14:textId="77777777" w:rsidR="00AC3438" w:rsidRPr="00422961" w:rsidRDefault="00AC3438" w:rsidP="00AC3438">
      <w:pPr>
        <w:spacing w:after="0" w:line="360" w:lineRule="auto"/>
        <w:contextualSpacing/>
        <w:rPr>
          <w:rFonts w:eastAsia="Times New Roman" w:cs="Tahoma"/>
          <w:bCs/>
          <w:iCs/>
          <w:lang w:eastAsia="es-ES"/>
        </w:rPr>
      </w:pPr>
      <w:r w:rsidRPr="00422961">
        <w:rPr>
          <w:rFonts w:eastAsia="Times New Roman" w:cs="Tahoma"/>
          <w:bCs/>
          <w:iCs/>
          <w:lang w:eastAsia="es-ES"/>
        </w:rPr>
        <w:t xml:space="preserve">No debe perderse de vista, que el contrato social de una sociedad mercantil está sujeto a diversas formalidades de entre las cuales destaca la prevista en el artículo 5°, primer párrafo de la Ley General de Sociedad Mercantiles, al señalar: </w:t>
      </w:r>
    </w:p>
    <w:p w14:paraId="145FA4AA" w14:textId="77777777" w:rsidR="00AC3438" w:rsidRPr="00422961" w:rsidRDefault="00AC3438" w:rsidP="00AC3438">
      <w:pPr>
        <w:spacing w:after="0" w:line="360" w:lineRule="auto"/>
        <w:contextualSpacing/>
        <w:rPr>
          <w:rFonts w:eastAsia="Times New Roman" w:cs="Tahoma"/>
          <w:bCs/>
          <w:iCs/>
          <w:lang w:eastAsia="es-ES"/>
        </w:rPr>
      </w:pPr>
    </w:p>
    <w:p w14:paraId="343CD58A" w14:textId="77777777" w:rsidR="00AC3438" w:rsidRPr="00422961" w:rsidRDefault="00AC3438" w:rsidP="00AC3438">
      <w:pPr>
        <w:spacing w:after="0" w:line="360" w:lineRule="auto"/>
        <w:ind w:left="567" w:right="567"/>
        <w:contextualSpacing/>
        <w:rPr>
          <w:rFonts w:eastAsia="Times New Roman" w:cs="Tahoma"/>
          <w:bCs/>
          <w:i/>
          <w:sz w:val="20"/>
          <w:szCs w:val="20"/>
          <w:lang w:eastAsia="es-ES"/>
        </w:rPr>
      </w:pPr>
      <w:r w:rsidRPr="00422961">
        <w:rPr>
          <w:rFonts w:eastAsia="Times New Roman" w:cs="Tahoma"/>
          <w:b/>
          <w:i/>
          <w:sz w:val="20"/>
          <w:szCs w:val="20"/>
          <w:lang w:eastAsia="es-ES"/>
        </w:rPr>
        <w:t>“Artículo 5o</w:t>
      </w:r>
      <w:r w:rsidRPr="00422961">
        <w:rPr>
          <w:rFonts w:eastAsia="Times New Roman" w:cs="Tahoma"/>
          <w:bCs/>
          <w:i/>
          <w:sz w:val="20"/>
          <w:szCs w:val="20"/>
          <w:lang w:eastAsia="es-ES"/>
        </w:rPr>
        <w:t>. Las sociedades se constituirán ante fedatario público y en la misma forma se harán constar con sus modificaciones. El fedatario público no autorizará la escritura o póliza cuando los estatutos o sus modificaciones contravengan lo dispuesto por esta Ley.”</w:t>
      </w:r>
    </w:p>
    <w:p w14:paraId="1CD8E96D" w14:textId="77777777" w:rsidR="00AC3438" w:rsidRPr="00422961" w:rsidRDefault="00AC3438" w:rsidP="00AC3438">
      <w:pPr>
        <w:spacing w:after="0" w:line="360" w:lineRule="auto"/>
        <w:contextualSpacing/>
        <w:rPr>
          <w:rFonts w:eastAsia="Times New Roman" w:cs="Tahoma"/>
          <w:bCs/>
          <w:iCs/>
          <w:lang w:eastAsia="es-ES"/>
        </w:rPr>
      </w:pPr>
    </w:p>
    <w:p w14:paraId="487FA95A" w14:textId="77777777" w:rsidR="00AC3438" w:rsidRPr="00422961" w:rsidRDefault="00AC3438" w:rsidP="00AC3438">
      <w:pPr>
        <w:spacing w:after="0" w:line="360" w:lineRule="auto"/>
        <w:contextualSpacing/>
        <w:rPr>
          <w:rFonts w:eastAsia="Times New Roman" w:cs="Tahoma"/>
          <w:bCs/>
          <w:iCs/>
          <w:lang w:eastAsia="es-ES"/>
        </w:rPr>
      </w:pPr>
      <w:r w:rsidRPr="00422961">
        <w:rPr>
          <w:rFonts w:eastAsia="Times New Roman" w:cs="Tahoma"/>
          <w:bCs/>
          <w:iCs/>
          <w:lang w:eastAsia="es-ES"/>
        </w:rPr>
        <w:t xml:space="preserve">Asimismo, debe entenderse que la constitución de una sociedad mercantil emana de un acuerdo de voluntades de sus socios, del cual deriva un contrato social y que, a su vez, la Ley le establece formalidades. </w:t>
      </w:r>
    </w:p>
    <w:p w14:paraId="6490C8B8" w14:textId="77777777" w:rsidR="00AC3438" w:rsidRPr="00422961" w:rsidRDefault="00AC3438" w:rsidP="00AC3438">
      <w:pPr>
        <w:spacing w:after="0" w:line="360" w:lineRule="auto"/>
        <w:contextualSpacing/>
        <w:rPr>
          <w:rFonts w:eastAsia="Times New Roman" w:cs="Tahoma"/>
          <w:bCs/>
          <w:iCs/>
          <w:lang w:eastAsia="es-ES"/>
        </w:rPr>
      </w:pPr>
    </w:p>
    <w:p w14:paraId="217131AF" w14:textId="77777777" w:rsidR="00AC3438" w:rsidRPr="00422961" w:rsidRDefault="00AC3438" w:rsidP="00AC3438">
      <w:pPr>
        <w:spacing w:after="0" w:line="360" w:lineRule="auto"/>
        <w:contextualSpacing/>
        <w:rPr>
          <w:rFonts w:eastAsia="Times New Roman" w:cs="Tahoma"/>
          <w:bCs/>
          <w:i/>
          <w:lang w:eastAsia="es-ES"/>
        </w:rPr>
      </w:pPr>
      <w:r w:rsidRPr="00422961">
        <w:rPr>
          <w:rFonts w:eastAsia="Times New Roman" w:cs="Tahoma"/>
          <w:bCs/>
          <w:iCs/>
          <w:lang w:eastAsia="es-ES"/>
        </w:rPr>
        <w:t>Al respecto, dicho contrato social, también conocido como acta constitutiva, conforme al artículo 6° de la Ley General de Sociedades Mercantiles, se conforma de los siguientes datos:</w:t>
      </w:r>
      <w:r w:rsidRPr="00422961">
        <w:rPr>
          <w:rFonts w:eastAsia="Times New Roman" w:cs="Tahoma"/>
          <w:bCs/>
          <w:i/>
          <w:lang w:eastAsia="es-ES"/>
        </w:rPr>
        <w:t xml:space="preserve">  </w:t>
      </w:r>
    </w:p>
    <w:p w14:paraId="0E8BBD33" w14:textId="77777777" w:rsidR="00AC3438" w:rsidRPr="00422961" w:rsidRDefault="00AC3438" w:rsidP="00AC3438">
      <w:pPr>
        <w:spacing w:after="0" w:line="360" w:lineRule="auto"/>
        <w:contextualSpacing/>
        <w:rPr>
          <w:rFonts w:eastAsia="Times New Roman" w:cs="Tahoma"/>
          <w:bCs/>
          <w:i/>
          <w:lang w:eastAsia="es-ES"/>
        </w:rPr>
      </w:pPr>
    </w:p>
    <w:p w14:paraId="21E610F7" w14:textId="77777777" w:rsidR="00AC3438" w:rsidRPr="00422961" w:rsidRDefault="00AC3438" w:rsidP="003F134A">
      <w:pPr>
        <w:numPr>
          <w:ilvl w:val="0"/>
          <w:numId w:val="34"/>
        </w:numPr>
        <w:spacing w:after="0" w:line="360" w:lineRule="auto"/>
        <w:contextualSpacing/>
        <w:rPr>
          <w:rFonts w:eastAsia="Times New Roman" w:cs="Tahoma"/>
          <w:bCs/>
          <w:kern w:val="2"/>
          <w:lang w:eastAsia="es-ES"/>
          <w14:ligatures w14:val="standardContextual"/>
        </w:rPr>
      </w:pPr>
      <w:r w:rsidRPr="00422961">
        <w:rPr>
          <w:rFonts w:eastAsia="Times New Roman" w:cs="Tahoma"/>
          <w:bCs/>
          <w:kern w:val="2"/>
          <w:lang w:eastAsia="es-ES"/>
          <w14:ligatures w14:val="standardContextual"/>
        </w:rPr>
        <w:t>Los nombres, nacionalidad y domicilio de las personas físicas o morales que constituyan la sociedad;</w:t>
      </w:r>
    </w:p>
    <w:p w14:paraId="477E2E5F" w14:textId="77777777" w:rsidR="00AC3438" w:rsidRPr="00422961" w:rsidRDefault="00AC3438" w:rsidP="003F134A">
      <w:pPr>
        <w:numPr>
          <w:ilvl w:val="0"/>
          <w:numId w:val="34"/>
        </w:numPr>
        <w:spacing w:after="0" w:line="360" w:lineRule="auto"/>
        <w:ind w:right="567"/>
        <w:contextualSpacing/>
        <w:rPr>
          <w:rFonts w:eastAsia="Times New Roman" w:cs="Tahoma"/>
          <w:bCs/>
          <w:lang w:eastAsia="es-ES"/>
        </w:rPr>
      </w:pPr>
      <w:r w:rsidRPr="00422961">
        <w:rPr>
          <w:rFonts w:eastAsia="Times New Roman" w:cs="Tahoma"/>
          <w:bCs/>
          <w:lang w:eastAsia="es-ES"/>
        </w:rPr>
        <w:t>El objeto de la sociedad;</w:t>
      </w:r>
    </w:p>
    <w:p w14:paraId="13F5B91D" w14:textId="77777777" w:rsidR="00AC3438" w:rsidRPr="00422961" w:rsidRDefault="00AC3438" w:rsidP="003F134A">
      <w:pPr>
        <w:numPr>
          <w:ilvl w:val="0"/>
          <w:numId w:val="34"/>
        </w:numPr>
        <w:spacing w:after="0" w:line="360" w:lineRule="auto"/>
        <w:ind w:right="567"/>
        <w:contextualSpacing/>
        <w:rPr>
          <w:rFonts w:eastAsia="Times New Roman" w:cs="Tahoma"/>
          <w:bCs/>
          <w:lang w:eastAsia="es-ES"/>
        </w:rPr>
      </w:pPr>
      <w:r w:rsidRPr="00422961">
        <w:rPr>
          <w:rFonts w:eastAsia="Times New Roman" w:cs="Tahoma"/>
          <w:bCs/>
          <w:lang w:eastAsia="es-ES"/>
        </w:rPr>
        <w:t>Su razón social o denominación;</w:t>
      </w:r>
    </w:p>
    <w:p w14:paraId="15E2D23F" w14:textId="77777777" w:rsidR="00AC3438" w:rsidRPr="00422961" w:rsidRDefault="00AC3438" w:rsidP="003F134A">
      <w:pPr>
        <w:numPr>
          <w:ilvl w:val="0"/>
          <w:numId w:val="34"/>
        </w:numPr>
        <w:spacing w:after="0" w:line="360" w:lineRule="auto"/>
        <w:ind w:right="567"/>
        <w:contextualSpacing/>
        <w:rPr>
          <w:rFonts w:eastAsia="Times New Roman" w:cs="Tahoma"/>
          <w:bCs/>
          <w:lang w:eastAsia="es-ES"/>
        </w:rPr>
      </w:pPr>
      <w:r w:rsidRPr="00422961">
        <w:rPr>
          <w:rFonts w:eastAsia="Times New Roman" w:cs="Tahoma"/>
          <w:bCs/>
          <w:lang w:eastAsia="es-ES"/>
        </w:rPr>
        <w:t>Su duración, misma que podrá ser indefinida;</w:t>
      </w:r>
    </w:p>
    <w:p w14:paraId="0E2E70FE" w14:textId="77777777" w:rsidR="00AC3438" w:rsidRPr="00422961" w:rsidRDefault="00AC3438" w:rsidP="003F134A">
      <w:pPr>
        <w:numPr>
          <w:ilvl w:val="0"/>
          <w:numId w:val="34"/>
        </w:numPr>
        <w:spacing w:after="0" w:line="360" w:lineRule="auto"/>
        <w:ind w:right="567"/>
        <w:contextualSpacing/>
        <w:rPr>
          <w:rFonts w:eastAsia="Times New Roman" w:cs="Tahoma"/>
          <w:bCs/>
          <w:lang w:eastAsia="es-ES"/>
        </w:rPr>
      </w:pPr>
      <w:r w:rsidRPr="00422961">
        <w:rPr>
          <w:rFonts w:eastAsia="Times New Roman" w:cs="Tahoma"/>
          <w:bCs/>
          <w:lang w:eastAsia="es-ES"/>
        </w:rPr>
        <w:t>El importe del capital social;</w:t>
      </w:r>
    </w:p>
    <w:p w14:paraId="043EB58F" w14:textId="77777777" w:rsidR="00AC3438" w:rsidRPr="00422961" w:rsidRDefault="00AC3438" w:rsidP="003F134A">
      <w:pPr>
        <w:numPr>
          <w:ilvl w:val="0"/>
          <w:numId w:val="34"/>
        </w:numPr>
        <w:spacing w:after="0" w:line="360" w:lineRule="auto"/>
        <w:ind w:right="567"/>
        <w:contextualSpacing/>
        <w:rPr>
          <w:rFonts w:eastAsia="Times New Roman" w:cs="Tahoma"/>
          <w:bCs/>
          <w:lang w:eastAsia="es-ES"/>
        </w:rPr>
      </w:pPr>
      <w:r w:rsidRPr="00422961">
        <w:rPr>
          <w:rFonts w:eastAsia="Times New Roman" w:cs="Tahoma"/>
          <w:bCs/>
          <w:lang w:eastAsia="es-ES"/>
        </w:rPr>
        <w:t xml:space="preserve">La expresión de lo que cada socio aporte en dinero o en otros bienes; el valor atribuido a éstos y el criterio seguido para su valorización. </w:t>
      </w:r>
    </w:p>
    <w:p w14:paraId="33857E6D" w14:textId="77777777" w:rsidR="00AC3438" w:rsidRPr="00422961" w:rsidRDefault="00AC3438" w:rsidP="003F134A">
      <w:pPr>
        <w:numPr>
          <w:ilvl w:val="0"/>
          <w:numId w:val="34"/>
        </w:numPr>
        <w:spacing w:after="0" w:line="360" w:lineRule="auto"/>
        <w:ind w:right="567"/>
        <w:contextualSpacing/>
        <w:rPr>
          <w:rFonts w:eastAsia="Times New Roman" w:cs="Tahoma"/>
          <w:bCs/>
          <w:lang w:eastAsia="es-ES"/>
        </w:rPr>
      </w:pPr>
      <w:r w:rsidRPr="00422961">
        <w:rPr>
          <w:rFonts w:eastAsia="Times New Roman" w:cs="Tahoma"/>
          <w:bCs/>
          <w:lang w:eastAsia="es-ES"/>
        </w:rPr>
        <w:t>Cuando el capital sea variable, así se expresará indicándose el mínimo que se fije;</w:t>
      </w:r>
    </w:p>
    <w:p w14:paraId="4B5FB431" w14:textId="77777777" w:rsidR="00AC3438" w:rsidRPr="00422961" w:rsidRDefault="00AC3438" w:rsidP="003F134A">
      <w:pPr>
        <w:numPr>
          <w:ilvl w:val="0"/>
          <w:numId w:val="34"/>
        </w:numPr>
        <w:spacing w:after="0" w:line="360" w:lineRule="auto"/>
        <w:ind w:right="567"/>
        <w:contextualSpacing/>
        <w:rPr>
          <w:rFonts w:eastAsia="Times New Roman" w:cs="Tahoma"/>
          <w:bCs/>
          <w:lang w:eastAsia="es-ES"/>
        </w:rPr>
      </w:pPr>
      <w:r w:rsidRPr="00422961">
        <w:rPr>
          <w:rFonts w:eastAsia="Times New Roman" w:cs="Tahoma"/>
          <w:bCs/>
          <w:lang w:eastAsia="es-ES"/>
        </w:rPr>
        <w:t>El domicilio de la sociedad;</w:t>
      </w:r>
    </w:p>
    <w:p w14:paraId="10905FDC" w14:textId="77777777" w:rsidR="00AC3438" w:rsidRPr="00422961" w:rsidRDefault="00AC3438" w:rsidP="003F134A">
      <w:pPr>
        <w:numPr>
          <w:ilvl w:val="0"/>
          <w:numId w:val="34"/>
        </w:numPr>
        <w:spacing w:after="0" w:line="360" w:lineRule="auto"/>
        <w:ind w:right="567"/>
        <w:contextualSpacing/>
        <w:rPr>
          <w:rFonts w:eastAsia="Times New Roman" w:cs="Tahoma"/>
          <w:bCs/>
          <w:lang w:eastAsia="es-ES"/>
        </w:rPr>
      </w:pPr>
      <w:r w:rsidRPr="00422961">
        <w:rPr>
          <w:rFonts w:eastAsia="Times New Roman" w:cs="Tahoma"/>
          <w:bCs/>
          <w:lang w:eastAsia="es-ES"/>
        </w:rPr>
        <w:t>La manera conforme a la cual haya de administrarse la sociedad y las facultades de los administradores;</w:t>
      </w:r>
    </w:p>
    <w:p w14:paraId="3C0E3FA8" w14:textId="77777777" w:rsidR="00AC3438" w:rsidRPr="00422961" w:rsidRDefault="00AC3438" w:rsidP="003F134A">
      <w:pPr>
        <w:numPr>
          <w:ilvl w:val="0"/>
          <w:numId w:val="34"/>
        </w:numPr>
        <w:spacing w:after="0" w:line="360" w:lineRule="auto"/>
        <w:ind w:right="567"/>
        <w:contextualSpacing/>
        <w:rPr>
          <w:rFonts w:eastAsia="Times New Roman" w:cs="Tahoma"/>
          <w:bCs/>
          <w:lang w:eastAsia="es-ES"/>
        </w:rPr>
      </w:pPr>
      <w:r w:rsidRPr="00422961">
        <w:rPr>
          <w:rFonts w:eastAsia="Times New Roman" w:cs="Tahoma"/>
          <w:bCs/>
          <w:lang w:eastAsia="es-ES"/>
        </w:rPr>
        <w:t>El nombramiento de los administradores y la designación de los que han de llevar la firma social;</w:t>
      </w:r>
    </w:p>
    <w:p w14:paraId="487B2E5B" w14:textId="77777777" w:rsidR="00AC3438" w:rsidRPr="00422961" w:rsidRDefault="00AC3438" w:rsidP="003F134A">
      <w:pPr>
        <w:numPr>
          <w:ilvl w:val="0"/>
          <w:numId w:val="34"/>
        </w:numPr>
        <w:spacing w:after="0" w:line="360" w:lineRule="auto"/>
        <w:ind w:right="567"/>
        <w:contextualSpacing/>
        <w:rPr>
          <w:rFonts w:eastAsia="Times New Roman" w:cs="Tahoma"/>
          <w:bCs/>
          <w:lang w:eastAsia="es-ES"/>
        </w:rPr>
      </w:pPr>
      <w:r w:rsidRPr="00422961">
        <w:rPr>
          <w:rFonts w:eastAsia="Times New Roman" w:cs="Tahoma"/>
          <w:bCs/>
          <w:lang w:eastAsia="es-ES"/>
        </w:rPr>
        <w:lastRenderedPageBreak/>
        <w:t>La manera de hacer la distribución de las utilidades y pérdidas entre los miembros de la sociedad;</w:t>
      </w:r>
    </w:p>
    <w:p w14:paraId="10DA5116" w14:textId="77777777" w:rsidR="00AC3438" w:rsidRPr="00422961" w:rsidRDefault="00AC3438" w:rsidP="003F134A">
      <w:pPr>
        <w:numPr>
          <w:ilvl w:val="0"/>
          <w:numId w:val="34"/>
        </w:numPr>
        <w:spacing w:after="0" w:line="360" w:lineRule="auto"/>
        <w:ind w:right="567"/>
        <w:contextualSpacing/>
        <w:rPr>
          <w:rFonts w:eastAsia="Times New Roman" w:cs="Tahoma"/>
          <w:bCs/>
          <w:lang w:eastAsia="es-ES"/>
        </w:rPr>
      </w:pPr>
      <w:r w:rsidRPr="00422961">
        <w:rPr>
          <w:rFonts w:eastAsia="Times New Roman" w:cs="Tahoma"/>
          <w:bCs/>
          <w:lang w:eastAsia="es-ES"/>
        </w:rPr>
        <w:t>El importe del fondo de reserva;</w:t>
      </w:r>
    </w:p>
    <w:p w14:paraId="2B9C9FA0" w14:textId="77777777" w:rsidR="00AC3438" w:rsidRPr="00422961" w:rsidRDefault="00AC3438" w:rsidP="003F134A">
      <w:pPr>
        <w:numPr>
          <w:ilvl w:val="0"/>
          <w:numId w:val="34"/>
        </w:numPr>
        <w:spacing w:after="0" w:line="360" w:lineRule="auto"/>
        <w:ind w:right="567"/>
        <w:contextualSpacing/>
        <w:rPr>
          <w:rFonts w:eastAsia="Times New Roman" w:cs="Tahoma"/>
          <w:bCs/>
          <w:lang w:eastAsia="es-ES"/>
        </w:rPr>
      </w:pPr>
      <w:r w:rsidRPr="00422961">
        <w:rPr>
          <w:rFonts w:eastAsia="Times New Roman" w:cs="Tahoma"/>
          <w:bCs/>
          <w:lang w:eastAsia="es-ES"/>
        </w:rPr>
        <w:t>Los casos en que la sociedad haya de disolverse anticipadamente, y</w:t>
      </w:r>
    </w:p>
    <w:p w14:paraId="6BCAFB3B" w14:textId="77777777" w:rsidR="00AC3438" w:rsidRPr="00422961" w:rsidRDefault="00AC3438" w:rsidP="003F134A">
      <w:pPr>
        <w:numPr>
          <w:ilvl w:val="0"/>
          <w:numId w:val="34"/>
        </w:numPr>
        <w:spacing w:after="0" w:line="360" w:lineRule="auto"/>
        <w:ind w:right="567"/>
        <w:contextualSpacing/>
        <w:rPr>
          <w:rFonts w:eastAsia="Times New Roman" w:cs="Tahoma"/>
          <w:bCs/>
          <w:lang w:eastAsia="es-ES"/>
        </w:rPr>
      </w:pPr>
      <w:r w:rsidRPr="00422961">
        <w:rPr>
          <w:rFonts w:eastAsia="Times New Roman" w:cs="Tahoma"/>
          <w:bCs/>
          <w:lang w:eastAsia="es-ES"/>
        </w:rPr>
        <w:t>Las bases para practicar la liquidación de la sociedad y el modo de proceder a la elección de los liquidadores, cuando no hayan sido designados anticipadamente.</w:t>
      </w:r>
    </w:p>
    <w:p w14:paraId="6515097B" w14:textId="77777777" w:rsidR="00AC3438" w:rsidRPr="00422961" w:rsidRDefault="00AC3438" w:rsidP="00AC3438">
      <w:pPr>
        <w:spacing w:after="0" w:line="360" w:lineRule="auto"/>
        <w:contextualSpacing/>
        <w:rPr>
          <w:rFonts w:eastAsia="Times New Roman" w:cs="Arial"/>
          <w:lang w:eastAsia="es-ES"/>
        </w:rPr>
      </w:pPr>
    </w:p>
    <w:p w14:paraId="7319A80B" w14:textId="77777777" w:rsidR="00AC3438" w:rsidRPr="00422961" w:rsidRDefault="00AC3438" w:rsidP="00AC3438">
      <w:pPr>
        <w:spacing w:after="0" w:line="360" w:lineRule="auto"/>
        <w:contextualSpacing/>
        <w:rPr>
          <w:rFonts w:eastAsia="Times New Roman" w:cs="Arial"/>
          <w:lang w:eastAsia="es-ES"/>
        </w:rPr>
      </w:pPr>
      <w:r w:rsidRPr="00422961">
        <w:rPr>
          <w:rFonts w:eastAsia="Times New Roman" w:cs="Arial"/>
          <w:lang w:eastAsia="es-ES"/>
        </w:rPr>
        <w:t xml:space="preserve">En ese contexto, es necesario precisar que </w:t>
      </w:r>
      <w:r w:rsidRPr="00422961">
        <w:rPr>
          <w:rFonts w:eastAsia="Times New Roman" w:cs="Arial"/>
          <w:b/>
          <w:bCs/>
          <w:lang w:eastAsia="es-ES"/>
        </w:rPr>
        <w:t>la publicidad de información relativa a la constitución legal de una empresa proveedora del Estado, debe considerarse de interés público</w:t>
      </w:r>
      <w:r w:rsidRPr="00422961">
        <w:rPr>
          <w:rFonts w:eastAsia="Times New Roman" w:cs="Arial"/>
          <w:lang w:eastAsia="es-ES"/>
        </w:rPr>
        <w:t>, lo anterior es así, pues debe privilegiarse el principio de máxima publicidad y rendición de cuentas; pues su publicidad radica en que permite a la ciudadanía conocer de manera clara y precisa, que una empresa que está obteniendo recursos públicos, se encuentra debidamente registrada y constituida; por lo que, se considera correcto que se haya entregado en versión pública, sin embargo, es necesario analizar si los datos testados actualizan la clasificación o no.</w:t>
      </w:r>
    </w:p>
    <w:p w14:paraId="3A50B192" w14:textId="77777777" w:rsidR="00AC3438" w:rsidRPr="00422961" w:rsidRDefault="00AC3438" w:rsidP="00AC3438">
      <w:pPr>
        <w:spacing w:after="0" w:line="360" w:lineRule="auto"/>
        <w:contextualSpacing/>
        <w:rPr>
          <w:rFonts w:eastAsia="Times New Roman" w:cs="Arial"/>
          <w:lang w:eastAsia="es-ES"/>
        </w:rPr>
      </w:pPr>
    </w:p>
    <w:p w14:paraId="44B90661" w14:textId="77777777" w:rsidR="00AC3438" w:rsidRPr="00422961" w:rsidRDefault="00AC3438" w:rsidP="00AC3438">
      <w:pPr>
        <w:spacing w:after="0" w:line="360" w:lineRule="auto"/>
        <w:contextualSpacing/>
        <w:rPr>
          <w:rFonts w:eastAsia="Times New Roman" w:cs="Arial"/>
          <w:lang w:eastAsia="es-ES"/>
        </w:rPr>
      </w:pPr>
      <w:r w:rsidRPr="00422961">
        <w:rPr>
          <w:rFonts w:eastAsia="Times New Roman" w:cs="Arial"/>
          <w:lang w:eastAsia="es-ES"/>
        </w:rPr>
        <w:t>Sobre el tema, el artículo 116, último párrafo de la Ley General de Transparencia y Acceso a la Información Pública y el 143, fracción III, de la Ley de Transparencia y Acceso a la Información Pública del Estado de México y Municipios, establecen que será información confidencial, aquella que presenten los particulares con dicho carácter.</w:t>
      </w:r>
    </w:p>
    <w:p w14:paraId="09369700" w14:textId="77777777" w:rsidR="00AC3438" w:rsidRPr="00422961" w:rsidRDefault="00AC3438" w:rsidP="00AC3438">
      <w:pPr>
        <w:spacing w:after="0" w:line="360" w:lineRule="auto"/>
        <w:contextualSpacing/>
        <w:rPr>
          <w:rFonts w:eastAsia="Times New Roman" w:cs="Arial"/>
          <w:lang w:eastAsia="es-ES"/>
        </w:rPr>
      </w:pPr>
    </w:p>
    <w:p w14:paraId="0E4B93B9" w14:textId="463EB861" w:rsidR="00AC3438" w:rsidRPr="00422961" w:rsidRDefault="00AC3438" w:rsidP="00AC3438">
      <w:pPr>
        <w:spacing w:after="0" w:line="360" w:lineRule="auto"/>
        <w:contextualSpacing/>
        <w:rPr>
          <w:rFonts w:eastAsia="Times New Roman" w:cs="Arial"/>
          <w:lang w:eastAsia="es-ES"/>
        </w:rPr>
      </w:pPr>
      <w:r w:rsidRPr="00422961">
        <w:rPr>
          <w:rFonts w:eastAsia="Times New Roman" w:cs="Arial"/>
          <w:lang w:eastAsia="es-ES"/>
        </w:rPr>
        <w:t>Además, el Cuadragésimo de los Lineamientos Generales en Materia de Clasificación y Desclasificación de la Información, así́ como, para la Elaboración de Versiones Públicas, establece que la información susceptible a ser clasificada por dicha causal, es la siguiente:</w:t>
      </w:r>
    </w:p>
    <w:p w14:paraId="046EE6F1" w14:textId="77777777" w:rsidR="00AC3438" w:rsidRPr="00422961" w:rsidRDefault="00AC3438" w:rsidP="00AC3438">
      <w:pPr>
        <w:spacing w:after="0" w:line="360" w:lineRule="auto"/>
        <w:contextualSpacing/>
        <w:rPr>
          <w:rFonts w:eastAsia="Times New Roman" w:cs="Arial"/>
          <w:lang w:eastAsia="es-ES"/>
        </w:rPr>
      </w:pPr>
    </w:p>
    <w:p w14:paraId="2D9E7103" w14:textId="77777777" w:rsidR="00AC3438" w:rsidRPr="00422961" w:rsidRDefault="00AC3438" w:rsidP="00AC3438">
      <w:pPr>
        <w:numPr>
          <w:ilvl w:val="0"/>
          <w:numId w:val="35"/>
        </w:numPr>
        <w:spacing w:after="0" w:line="360" w:lineRule="auto"/>
        <w:contextualSpacing/>
        <w:jc w:val="left"/>
        <w:rPr>
          <w:rFonts w:eastAsia="Times New Roman" w:cs="Arial"/>
          <w:kern w:val="2"/>
          <w:lang w:eastAsia="es-ES"/>
          <w14:ligatures w14:val="standardContextual"/>
        </w:rPr>
      </w:pPr>
      <w:r w:rsidRPr="00422961">
        <w:rPr>
          <w:rFonts w:eastAsia="Times New Roman" w:cs="Arial"/>
          <w:kern w:val="2"/>
          <w:lang w:eastAsia="es-ES"/>
          <w14:ligatures w14:val="standardContextual"/>
        </w:rPr>
        <w:lastRenderedPageBreak/>
        <w:t>La que se refiera al patrimonio de una persona moral, y</w:t>
      </w:r>
    </w:p>
    <w:p w14:paraId="7E919A20" w14:textId="77777777" w:rsidR="00AC3438" w:rsidRPr="00422961" w:rsidRDefault="00AC3438" w:rsidP="00AC3438">
      <w:pPr>
        <w:numPr>
          <w:ilvl w:val="0"/>
          <w:numId w:val="35"/>
        </w:numPr>
        <w:spacing w:after="0" w:line="360" w:lineRule="auto"/>
        <w:contextualSpacing/>
        <w:rPr>
          <w:rFonts w:eastAsia="Times New Roman" w:cs="Arial"/>
          <w:kern w:val="2"/>
          <w:lang w:eastAsia="es-ES"/>
          <w14:ligatures w14:val="standardContextual"/>
        </w:rPr>
      </w:pPr>
      <w:r w:rsidRPr="00422961">
        <w:rPr>
          <w:rFonts w:eastAsia="Times New Roman" w:cs="Arial"/>
          <w:kern w:val="2"/>
          <w:lang w:eastAsia="es-ES"/>
          <w14:ligatures w14:val="standardContextual"/>
        </w:rPr>
        <w:t>La que comprenda hechos y actos de carácter económico, contable, jurídico o administrativo relativos a una persona, que pudiera ser útil para un competidor; así como, aquella relativa a detalles sobre el manejo de una empresa, sobre su proceso de toma de decisiones o información que pudiera afectar sus negociaciones.</w:t>
      </w:r>
    </w:p>
    <w:p w14:paraId="32D2BF67" w14:textId="77777777" w:rsidR="00AC3438" w:rsidRPr="00422961" w:rsidRDefault="00AC3438" w:rsidP="00AC3438">
      <w:pPr>
        <w:spacing w:after="0" w:line="360" w:lineRule="auto"/>
        <w:contextualSpacing/>
        <w:rPr>
          <w:rFonts w:eastAsia="Times New Roman" w:cs="Arial"/>
          <w:lang w:eastAsia="es-ES"/>
        </w:rPr>
      </w:pPr>
    </w:p>
    <w:p w14:paraId="23972500" w14:textId="025354D7" w:rsidR="00AC3438" w:rsidRPr="00422961" w:rsidRDefault="00AC3438" w:rsidP="00AC3438">
      <w:pPr>
        <w:spacing w:after="0" w:line="360" w:lineRule="auto"/>
        <w:contextualSpacing/>
        <w:rPr>
          <w:rFonts w:eastAsia="Times New Roman" w:cs="Arial"/>
          <w:lang w:eastAsia="es-ES"/>
        </w:rPr>
      </w:pPr>
      <w:r w:rsidRPr="00422961">
        <w:rPr>
          <w:rFonts w:eastAsia="Times New Roman" w:cs="Arial"/>
          <w:lang w:eastAsia="es-ES"/>
        </w:rPr>
        <w:t>Conforme a dicha circunstancia, se logra observar que los únicos datos que son clasificables por dicha causal, son aquellos que den pauta del patrimonio de la persona moral y de los socios, pues corresponden al conjunto de bienes, derechos y obligaciones correspondientes a una persona moral y física, que constituyen una universalidad jurídica; por lo que, revelar dicha información se estaría vulnerando su privacidad, al ser el conjunto de bienes y activos con los que cuenta.</w:t>
      </w:r>
      <w:r w:rsidR="003F134A" w:rsidRPr="00422961">
        <w:rPr>
          <w:rFonts w:eastAsia="Times New Roman" w:cs="Arial"/>
          <w:lang w:eastAsia="es-ES"/>
        </w:rPr>
        <w:t xml:space="preserve"> </w:t>
      </w:r>
      <w:r w:rsidRPr="00422961">
        <w:rPr>
          <w:rFonts w:eastAsia="Times New Roman" w:cs="Arial"/>
          <w:lang w:eastAsia="es-ES"/>
        </w:rPr>
        <w:t>Así mismo, resultaría procedente la clasificación de los datos de carácter económico, contable, jurídico o administrativo que de ventaja a un tercero; así como, aquellos que den detalles sobre el manejo de una empresa, el proceso de toma de decisiones o información que afecten sus negociaciones.</w:t>
      </w:r>
    </w:p>
    <w:p w14:paraId="78733F86" w14:textId="77777777" w:rsidR="00AC3438" w:rsidRPr="00422961" w:rsidRDefault="00AC3438" w:rsidP="00AC3438">
      <w:pPr>
        <w:spacing w:after="0" w:line="360" w:lineRule="auto"/>
        <w:contextualSpacing/>
        <w:rPr>
          <w:rFonts w:eastAsia="Times New Roman" w:cs="Arial"/>
          <w:lang w:eastAsia="es-ES"/>
        </w:rPr>
      </w:pPr>
    </w:p>
    <w:p w14:paraId="7858DF4D" w14:textId="77777777" w:rsidR="00AC3438" w:rsidRPr="00422961" w:rsidRDefault="00AC3438" w:rsidP="00AC3438">
      <w:pPr>
        <w:spacing w:after="0" w:line="360" w:lineRule="auto"/>
        <w:contextualSpacing/>
        <w:rPr>
          <w:rFonts w:eastAsia="Times New Roman" w:cs="Arial"/>
          <w:lang w:eastAsia="es-ES"/>
        </w:rPr>
      </w:pPr>
      <w:r w:rsidRPr="00422961">
        <w:rPr>
          <w:rFonts w:eastAsia="Times New Roman" w:cs="Arial"/>
          <w:lang w:eastAsia="es-ES"/>
        </w:rPr>
        <w:t>No obstante, por lo que, hace al nombre de los socios y sus datos de contacto, ubicación e identificación, no son susceptibles a ser clasificados en términos del artículo 143, fracción III, de la Ley de Transparencia y Acceso a la Información Pública del Estado de México, pues son datos personales que los hacen identificables, por lo que, no entran en la categoría de la causal referida.</w:t>
      </w:r>
    </w:p>
    <w:p w14:paraId="047B9545" w14:textId="77777777" w:rsidR="00AC3438" w:rsidRPr="00422961" w:rsidRDefault="00AC3438" w:rsidP="00AC3438">
      <w:pPr>
        <w:spacing w:after="0" w:line="360" w:lineRule="auto"/>
        <w:contextualSpacing/>
        <w:rPr>
          <w:rFonts w:eastAsia="Times New Roman" w:cs="Arial"/>
          <w:lang w:eastAsia="es-ES"/>
        </w:rPr>
      </w:pPr>
    </w:p>
    <w:p w14:paraId="1AB4BF18" w14:textId="5EB6AC79" w:rsidR="002B04E2" w:rsidRPr="00422961" w:rsidRDefault="00AC3438" w:rsidP="002B04E2">
      <w:pPr>
        <w:spacing w:after="0" w:line="360" w:lineRule="auto"/>
        <w:rPr>
          <w:rFonts w:eastAsia="Times New Roman" w:cs="Times New Roman"/>
          <w:lang w:eastAsia="es-ES"/>
        </w:rPr>
      </w:pPr>
      <w:r w:rsidRPr="00422961">
        <w:rPr>
          <w:rFonts w:eastAsia="Times New Roman" w:cs="Times New Roman"/>
          <w:bCs/>
          <w:iCs/>
          <w:lang w:eastAsia="es-ES"/>
        </w:rPr>
        <w:t>Así, para el caso de que</w:t>
      </w:r>
      <w:r w:rsidR="002B04E2" w:rsidRPr="00422961">
        <w:rPr>
          <w:rFonts w:eastAsia="Times New Roman" w:cs="Times New Roman"/>
          <w:bCs/>
          <w:iCs/>
          <w:lang w:eastAsia="es-ES"/>
        </w:rPr>
        <w:t xml:space="preserve"> los documentos que den cuenta de lo solicitado, </w:t>
      </w:r>
      <w:r w:rsidRPr="00422961">
        <w:rPr>
          <w:rFonts w:eastAsia="Times New Roman" w:cs="Times New Roman"/>
          <w:bCs/>
          <w:iCs/>
          <w:lang w:eastAsia="es-ES"/>
        </w:rPr>
        <w:t>contengan</w:t>
      </w:r>
      <w:r w:rsidR="002B04E2" w:rsidRPr="00422961">
        <w:rPr>
          <w:rFonts w:eastAsia="Times New Roman" w:cs="Times New Roman"/>
          <w:bCs/>
          <w:iCs/>
          <w:lang w:eastAsia="es-ES"/>
        </w:rPr>
        <w:t xml:space="preserve"> datos o información clasificada; al respecto, conforme al artículo 3°, fracción XLV, relacionado con el 137, ambos de la Ley de Transparencia y Acceso a la Información Pública del Estado de México y Municipios, cuando un documento contenga información pública y reservada o </w:t>
      </w:r>
      <w:r w:rsidR="002B04E2" w:rsidRPr="00422961">
        <w:rPr>
          <w:rFonts w:eastAsia="Times New Roman" w:cs="Times New Roman"/>
          <w:bCs/>
          <w:iCs/>
          <w:lang w:eastAsia="es-ES"/>
        </w:rPr>
        <w:lastRenderedPageBreak/>
        <w:t>confidencial, la Unidad de Transparencia para efectos de atender al requerimiento informativo, deberá elaborar una versión Pública en la que se testen las partes o secciones clasificadas, indicando su contenido de manera genérica y fundando y motivando su clasificación.</w:t>
      </w:r>
      <w:r w:rsidR="003F134A" w:rsidRPr="00422961">
        <w:rPr>
          <w:rFonts w:eastAsia="Times New Roman" w:cs="Times New Roman"/>
          <w:lang w:eastAsia="es-ES"/>
        </w:rPr>
        <w:t xml:space="preserve"> </w:t>
      </w:r>
      <w:r w:rsidR="002B04E2" w:rsidRPr="00422961">
        <w:rPr>
          <w:rFonts w:eastAsia="Times New Roman" w:cs="Times New Roman"/>
          <w:bCs/>
          <w:iCs/>
          <w:lang w:eastAsia="es-E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2D2F3C6D" w14:textId="77777777" w:rsidR="0040026C" w:rsidRPr="00422961" w:rsidRDefault="0040026C" w:rsidP="00D2273C">
      <w:pPr>
        <w:spacing w:after="0" w:line="360" w:lineRule="auto"/>
        <w:rPr>
          <w:rFonts w:eastAsia="Times New Roman" w:cs="Tahoma"/>
          <w:lang w:eastAsia="es-ES"/>
        </w:rPr>
      </w:pPr>
    </w:p>
    <w:p w14:paraId="082DECFB" w14:textId="6A9F9EB9" w:rsidR="0040026C" w:rsidRPr="00422961" w:rsidRDefault="0040026C" w:rsidP="00D2273C">
      <w:pPr>
        <w:spacing w:after="0" w:line="360" w:lineRule="auto"/>
        <w:rPr>
          <w:rFonts w:eastAsia="Times New Roman" w:cs="Tahoma"/>
          <w:b/>
          <w:bCs/>
          <w:lang w:eastAsia="es-ES"/>
        </w:rPr>
      </w:pPr>
      <w:r w:rsidRPr="00422961">
        <w:rPr>
          <w:rFonts w:eastAsia="Times New Roman" w:cs="Tahoma"/>
          <w:b/>
          <w:bCs/>
          <w:lang w:eastAsia="es-ES"/>
        </w:rPr>
        <w:t>SEXTO. Decisión</w:t>
      </w:r>
    </w:p>
    <w:p w14:paraId="6ADBC309" w14:textId="77777777" w:rsidR="000C5453" w:rsidRPr="00422961" w:rsidRDefault="000C5453" w:rsidP="00D2273C">
      <w:pPr>
        <w:spacing w:after="0" w:line="360" w:lineRule="auto"/>
        <w:rPr>
          <w:rFonts w:eastAsia="Times New Roman" w:cs="Tahoma"/>
          <w:b/>
          <w:bCs/>
          <w:lang w:eastAsia="es-ES"/>
        </w:rPr>
      </w:pPr>
    </w:p>
    <w:p w14:paraId="6E6AB165" w14:textId="60BFD51F" w:rsidR="000C5453" w:rsidRPr="00422961" w:rsidRDefault="000C5453" w:rsidP="00D2273C">
      <w:pPr>
        <w:spacing w:after="0" w:line="360" w:lineRule="auto"/>
        <w:rPr>
          <w:rFonts w:cs="Tahoma"/>
        </w:rPr>
      </w:pPr>
      <w:r w:rsidRPr="00422961">
        <w:rPr>
          <w:rFonts w:cs="Tahoma"/>
        </w:rPr>
        <w:t xml:space="preserve">Con fundamento en el artículo 186, fracción III, de la Ley de Transparencia y Acceso a la Información Pública del Estado de México y Municipios, este Instituto considera procedente </w:t>
      </w:r>
      <w:r w:rsidR="00D81A0C" w:rsidRPr="00422961">
        <w:rPr>
          <w:b/>
          <w:bCs/>
        </w:rPr>
        <w:t>REVO</w:t>
      </w:r>
      <w:r w:rsidRPr="00422961">
        <w:rPr>
          <w:b/>
          <w:bCs/>
        </w:rPr>
        <w:t>CAR</w:t>
      </w:r>
      <w:r w:rsidRPr="00422961">
        <w:rPr>
          <w:rFonts w:cs="Tahoma"/>
        </w:rPr>
        <w:t xml:space="preserve"> la respuesta otorgada por el Sujeto Obligado a la solicitud de información 005</w:t>
      </w:r>
      <w:r w:rsidR="002B04E2" w:rsidRPr="00422961">
        <w:rPr>
          <w:rFonts w:cs="Tahoma"/>
        </w:rPr>
        <w:t>81</w:t>
      </w:r>
      <w:r w:rsidRPr="00422961">
        <w:rPr>
          <w:rFonts w:cs="Tahoma"/>
        </w:rPr>
        <w:t>/</w:t>
      </w:r>
      <w:r w:rsidR="002B04E2" w:rsidRPr="00422961">
        <w:rPr>
          <w:rFonts w:cs="Tahoma"/>
        </w:rPr>
        <w:t>METEPEC</w:t>
      </w:r>
      <w:r w:rsidRPr="00422961">
        <w:rPr>
          <w:rFonts w:cs="Tahoma"/>
        </w:rPr>
        <w:t>/IP/2024, a efecto de que entregue, en</w:t>
      </w:r>
      <w:r w:rsidR="002B04E2" w:rsidRPr="00422961">
        <w:rPr>
          <w:rFonts w:cs="Tahoma"/>
        </w:rPr>
        <w:t xml:space="preserve"> su caso, en versión pública</w:t>
      </w:r>
      <w:r w:rsidRPr="00422961">
        <w:rPr>
          <w:rFonts w:cs="Tahoma"/>
        </w:rPr>
        <w:t>, la información requerida.</w:t>
      </w:r>
    </w:p>
    <w:p w14:paraId="31E5090B" w14:textId="77777777" w:rsidR="00AC3438" w:rsidRPr="00422961" w:rsidRDefault="00AC3438" w:rsidP="00D2273C">
      <w:pPr>
        <w:spacing w:after="0" w:line="360" w:lineRule="auto"/>
        <w:rPr>
          <w:rFonts w:cs="Tahoma"/>
        </w:rPr>
      </w:pPr>
    </w:p>
    <w:p w14:paraId="315E554F" w14:textId="77777777" w:rsidR="000C5453" w:rsidRPr="00422961" w:rsidRDefault="000C5453" w:rsidP="00D2273C">
      <w:pPr>
        <w:spacing w:after="0" w:line="360" w:lineRule="auto"/>
        <w:rPr>
          <w:b/>
        </w:rPr>
      </w:pPr>
      <w:r w:rsidRPr="00422961">
        <w:rPr>
          <w:b/>
        </w:rPr>
        <w:t>Términos de la Resolución para conocimiento del Particular</w:t>
      </w:r>
    </w:p>
    <w:p w14:paraId="3B94AC79" w14:textId="77777777" w:rsidR="003F134A" w:rsidRPr="00422961" w:rsidRDefault="003F134A" w:rsidP="00D2273C">
      <w:pPr>
        <w:spacing w:after="0" w:line="360" w:lineRule="auto"/>
        <w:rPr>
          <w:b/>
        </w:rPr>
      </w:pPr>
    </w:p>
    <w:p w14:paraId="2A166BBB" w14:textId="4F39D0EC" w:rsidR="00AC3438" w:rsidRPr="00422961" w:rsidRDefault="000C5453" w:rsidP="003F134A">
      <w:pPr>
        <w:spacing w:after="0" w:line="360" w:lineRule="auto"/>
        <w:rPr>
          <w:bCs/>
        </w:rPr>
      </w:pPr>
      <w:bookmarkStart w:id="2" w:name="_heading=h.1fob9te"/>
      <w:bookmarkEnd w:id="2"/>
      <w:r w:rsidRPr="00422961">
        <w:t xml:space="preserve">Se le hace del conocimiento a la persona Recurrente que, en el presente asunto, se le da parcialmente la razón, pues el Sujeto Obligado </w:t>
      </w:r>
      <w:r w:rsidR="002B04E2" w:rsidRPr="00422961">
        <w:t>no turnó a todas las áreas competentes de conocer la información solicitada</w:t>
      </w:r>
      <w:r w:rsidRPr="00422961">
        <w:t>, por lo que, deberá hacer la entrega de la información</w:t>
      </w:r>
      <w:r w:rsidR="002B04E2" w:rsidRPr="00422961">
        <w:t xml:space="preserve">. </w:t>
      </w:r>
      <w:r w:rsidR="003F134A" w:rsidRPr="00422961">
        <w:rPr>
          <w:rFonts w:eastAsia="Calibri" w:cs="Tahoma"/>
          <w:bCs/>
          <w:iCs/>
          <w:color w:val="000000" w:themeColor="text1"/>
        </w:rPr>
        <w:t>La</w:t>
      </w:r>
      <w:r w:rsidR="00AC3438" w:rsidRPr="00422961">
        <w:rPr>
          <w:rFonts w:eastAsia="Calibri" w:cs="Tahoma"/>
          <w:bCs/>
          <w:iCs/>
          <w:color w:val="000000" w:themeColor="text1"/>
        </w:rPr>
        <w:t xml:space="preserve"> labor del Instituto, es apoyar a la población a acceder a la información pública y garantizar la protección de los datos personales.</w:t>
      </w:r>
    </w:p>
    <w:p w14:paraId="5DA7947B" w14:textId="77777777" w:rsidR="00D2273C" w:rsidRPr="00422961" w:rsidRDefault="00D2273C" w:rsidP="00D2273C">
      <w:pPr>
        <w:spacing w:after="0" w:line="360" w:lineRule="auto"/>
      </w:pPr>
    </w:p>
    <w:p w14:paraId="1FF7454F" w14:textId="77777777" w:rsidR="000C5453" w:rsidRPr="00422961" w:rsidRDefault="000C5453" w:rsidP="00D2273C">
      <w:pPr>
        <w:spacing w:after="0" w:line="360" w:lineRule="auto"/>
      </w:pPr>
      <w:r w:rsidRPr="00422961">
        <w:t>Por lo expuesto y fundado, este Pleno:</w:t>
      </w:r>
    </w:p>
    <w:p w14:paraId="32BEF5D4" w14:textId="77777777" w:rsidR="003F134A" w:rsidRPr="00422961" w:rsidRDefault="003F134A" w:rsidP="00D2273C">
      <w:pPr>
        <w:spacing w:after="0" w:line="360" w:lineRule="auto"/>
        <w:ind w:left="720" w:hanging="720"/>
        <w:jc w:val="center"/>
        <w:rPr>
          <w:b/>
        </w:rPr>
      </w:pPr>
    </w:p>
    <w:p w14:paraId="395F0138" w14:textId="1299D64D" w:rsidR="000C5453" w:rsidRPr="00422961" w:rsidRDefault="000C5453" w:rsidP="00D2273C">
      <w:pPr>
        <w:spacing w:after="0" w:line="360" w:lineRule="auto"/>
        <w:ind w:left="720" w:hanging="720"/>
        <w:jc w:val="center"/>
        <w:rPr>
          <w:b/>
        </w:rPr>
      </w:pPr>
      <w:r w:rsidRPr="00422961">
        <w:rPr>
          <w:b/>
        </w:rPr>
        <w:t>R E S U E L V E</w:t>
      </w:r>
    </w:p>
    <w:p w14:paraId="0CBE9425" w14:textId="77777777" w:rsidR="000C5453" w:rsidRPr="00422961" w:rsidRDefault="000C5453" w:rsidP="00D2273C">
      <w:pPr>
        <w:spacing w:after="0" w:line="360" w:lineRule="auto"/>
      </w:pPr>
    </w:p>
    <w:p w14:paraId="0645F7E8" w14:textId="554B6F3A" w:rsidR="000C5453" w:rsidRPr="00422961" w:rsidRDefault="000C5453" w:rsidP="00D2273C">
      <w:pPr>
        <w:spacing w:after="0" w:line="360" w:lineRule="auto"/>
      </w:pPr>
      <w:r w:rsidRPr="00422961">
        <w:rPr>
          <w:b/>
        </w:rPr>
        <w:t xml:space="preserve">PRIMERO. </w:t>
      </w:r>
      <w:r w:rsidRPr="00422961">
        <w:t xml:space="preserve">Se </w:t>
      </w:r>
      <w:r w:rsidR="00D81A0C" w:rsidRPr="00422961">
        <w:rPr>
          <w:b/>
        </w:rPr>
        <w:t>REVO</w:t>
      </w:r>
      <w:r w:rsidRPr="00422961">
        <w:rPr>
          <w:b/>
        </w:rPr>
        <w:t xml:space="preserve">CA </w:t>
      </w:r>
      <w:r w:rsidRPr="00422961">
        <w:t xml:space="preserve">la respuesta entregada por el Ayuntamiento de </w:t>
      </w:r>
      <w:r w:rsidR="00ED0F4A" w:rsidRPr="00422961">
        <w:t>Metepec</w:t>
      </w:r>
      <w:r w:rsidRPr="00422961">
        <w:t>, a la solicitud de información</w:t>
      </w:r>
      <w:r w:rsidRPr="00422961">
        <w:rPr>
          <w:rFonts w:cs="Tahoma"/>
        </w:rPr>
        <w:t xml:space="preserve"> 005</w:t>
      </w:r>
      <w:r w:rsidR="00ED0F4A" w:rsidRPr="00422961">
        <w:rPr>
          <w:rFonts w:cs="Tahoma"/>
        </w:rPr>
        <w:t>81</w:t>
      </w:r>
      <w:r w:rsidRPr="00422961">
        <w:rPr>
          <w:rFonts w:cs="Tahoma"/>
        </w:rPr>
        <w:t>/</w:t>
      </w:r>
      <w:r w:rsidR="00ED0F4A" w:rsidRPr="00422961">
        <w:rPr>
          <w:rFonts w:cs="Tahoma"/>
        </w:rPr>
        <w:t>METEPEC</w:t>
      </w:r>
      <w:r w:rsidRPr="00422961">
        <w:rPr>
          <w:rFonts w:cs="Tahoma"/>
        </w:rPr>
        <w:t>/IP/2024</w:t>
      </w:r>
      <w:r w:rsidRPr="00422961">
        <w:rPr>
          <w:color w:val="000000"/>
        </w:rPr>
        <w:t>,</w:t>
      </w:r>
      <w:r w:rsidRPr="00422961">
        <w:t xml:space="preserve"> por resultar </w:t>
      </w:r>
      <w:r w:rsidR="00ED0F4A" w:rsidRPr="00422961">
        <w:rPr>
          <w:b/>
          <w:bCs/>
        </w:rPr>
        <w:t>PARCIALMENTE</w:t>
      </w:r>
      <w:r w:rsidR="00ED0F4A" w:rsidRPr="00422961">
        <w:t xml:space="preserve"> </w:t>
      </w:r>
      <w:r w:rsidRPr="00422961">
        <w:rPr>
          <w:b/>
          <w:bCs/>
        </w:rPr>
        <w:t>FUNDADAS</w:t>
      </w:r>
      <w:r w:rsidRPr="00422961">
        <w:rPr>
          <w:b/>
        </w:rPr>
        <w:t xml:space="preserve"> </w:t>
      </w:r>
      <w:r w:rsidRPr="00422961">
        <w:t>las razones o motivos de inconformidad hechos valer por la persona Recurrente, en términos de los considerandos QUINTO y SEXTO de la presente Resolución.</w:t>
      </w:r>
    </w:p>
    <w:p w14:paraId="4544360E" w14:textId="77777777" w:rsidR="000C5453" w:rsidRPr="00422961" w:rsidRDefault="000C5453" w:rsidP="00D2273C">
      <w:pPr>
        <w:spacing w:after="0" w:line="360" w:lineRule="auto"/>
      </w:pPr>
    </w:p>
    <w:p w14:paraId="64DA8875" w14:textId="5A493521" w:rsidR="000C5453" w:rsidRPr="00422961" w:rsidRDefault="000C5453" w:rsidP="00D2273C">
      <w:pPr>
        <w:pStyle w:val="paragraph"/>
        <w:spacing w:before="0" w:beforeAutospacing="0" w:after="0" w:afterAutospacing="0" w:line="360" w:lineRule="auto"/>
        <w:ind w:right="-30"/>
        <w:jc w:val="both"/>
        <w:textAlignment w:val="baseline"/>
        <w:rPr>
          <w:rFonts w:ascii="Palatino Linotype" w:hAnsi="Palatino Linotype"/>
          <w:sz w:val="22"/>
          <w:szCs w:val="22"/>
          <w:lang w:val="es-MX"/>
        </w:rPr>
      </w:pPr>
      <w:r w:rsidRPr="00422961">
        <w:rPr>
          <w:rFonts w:ascii="Palatino Linotype" w:hAnsi="Palatino Linotype"/>
          <w:b/>
          <w:sz w:val="22"/>
          <w:szCs w:val="22"/>
          <w:lang w:val="es-MX"/>
        </w:rPr>
        <w:t xml:space="preserve">SEGUNDO. </w:t>
      </w:r>
      <w:r w:rsidRPr="00422961">
        <w:rPr>
          <w:rFonts w:ascii="Palatino Linotype" w:hAnsi="Palatino Linotype"/>
          <w:sz w:val="22"/>
          <w:szCs w:val="22"/>
          <w:lang w:val="es-MX"/>
        </w:rPr>
        <w:t xml:space="preserve">Se </w:t>
      </w:r>
      <w:r w:rsidRPr="00422961">
        <w:rPr>
          <w:rFonts w:ascii="Palatino Linotype" w:hAnsi="Palatino Linotype"/>
          <w:b/>
          <w:sz w:val="22"/>
          <w:szCs w:val="22"/>
          <w:lang w:val="es-MX"/>
        </w:rPr>
        <w:t>ORDENA</w:t>
      </w:r>
      <w:r w:rsidRPr="00422961">
        <w:rPr>
          <w:rFonts w:ascii="Palatino Linotype" w:hAnsi="Palatino Linotype"/>
          <w:sz w:val="22"/>
          <w:szCs w:val="22"/>
          <w:lang w:val="es-MX"/>
        </w:rPr>
        <w:t xml:space="preserve"> al Sujeto Obligado</w:t>
      </w:r>
      <w:r w:rsidRPr="00422961">
        <w:rPr>
          <w:rFonts w:ascii="Palatino Linotype" w:hAnsi="Palatino Linotype"/>
          <w:b/>
          <w:sz w:val="22"/>
          <w:szCs w:val="22"/>
          <w:lang w:val="es-MX"/>
        </w:rPr>
        <w:t xml:space="preserve">, </w:t>
      </w:r>
      <w:r w:rsidRPr="00422961">
        <w:rPr>
          <w:rFonts w:ascii="Palatino Linotype" w:hAnsi="Palatino Linotype"/>
          <w:sz w:val="22"/>
          <w:szCs w:val="22"/>
          <w:lang w:val="es-MX"/>
        </w:rPr>
        <w:t>a efecto de que</w:t>
      </w:r>
      <w:r w:rsidR="003F134A" w:rsidRPr="00422961">
        <w:rPr>
          <w:rFonts w:ascii="Palatino Linotype" w:hAnsi="Palatino Linotype"/>
          <w:sz w:val="22"/>
          <w:szCs w:val="22"/>
          <w:lang w:val="es-MX"/>
        </w:rPr>
        <w:t xml:space="preserve"> previa búsqueda exhaustiva y razonable en los archivos de las unidades administrativas competentes,</w:t>
      </w:r>
      <w:r w:rsidRPr="00422961">
        <w:rPr>
          <w:rFonts w:ascii="Palatino Linotype" w:hAnsi="Palatino Linotype"/>
          <w:sz w:val="22"/>
          <w:szCs w:val="22"/>
          <w:lang w:val="es-MX"/>
        </w:rPr>
        <w:t xml:space="preserve"> entregue a través del Sistema de Acceso a la Información Mexiquense (SAIMEX), </w:t>
      </w:r>
      <w:r w:rsidR="00ED0F4A" w:rsidRPr="00422961">
        <w:rPr>
          <w:rFonts w:ascii="Palatino Linotype" w:hAnsi="Palatino Linotype"/>
          <w:sz w:val="22"/>
          <w:szCs w:val="22"/>
          <w:lang w:val="es-MX"/>
        </w:rPr>
        <w:t>en su caso</w:t>
      </w:r>
      <w:r w:rsidR="00D81A0C" w:rsidRPr="00422961">
        <w:rPr>
          <w:rFonts w:ascii="Palatino Linotype" w:hAnsi="Palatino Linotype"/>
          <w:sz w:val="22"/>
          <w:szCs w:val="22"/>
          <w:lang w:val="es-MX"/>
        </w:rPr>
        <w:t>,</w:t>
      </w:r>
      <w:r w:rsidR="00ED0F4A" w:rsidRPr="00422961">
        <w:rPr>
          <w:rFonts w:ascii="Palatino Linotype" w:hAnsi="Palatino Linotype"/>
          <w:sz w:val="22"/>
          <w:szCs w:val="22"/>
          <w:lang w:val="es-MX"/>
        </w:rPr>
        <w:t xml:space="preserve"> </w:t>
      </w:r>
      <w:r w:rsidRPr="00422961">
        <w:rPr>
          <w:rFonts w:ascii="Palatino Linotype" w:hAnsi="Palatino Linotype"/>
          <w:sz w:val="22"/>
          <w:szCs w:val="22"/>
          <w:lang w:val="es-MX"/>
        </w:rPr>
        <w:t>en versión pública, lo siguiente:</w:t>
      </w:r>
    </w:p>
    <w:p w14:paraId="2EB1D462" w14:textId="77777777" w:rsidR="000C5453" w:rsidRPr="00422961" w:rsidRDefault="000C5453" w:rsidP="00D2273C">
      <w:pPr>
        <w:pStyle w:val="paragraph"/>
        <w:spacing w:before="0" w:beforeAutospacing="0" w:after="0" w:afterAutospacing="0" w:line="360" w:lineRule="auto"/>
        <w:ind w:right="-30"/>
        <w:jc w:val="both"/>
        <w:textAlignment w:val="baseline"/>
        <w:rPr>
          <w:rFonts w:ascii="Palatino Linotype" w:hAnsi="Palatino Linotype"/>
          <w:sz w:val="22"/>
          <w:szCs w:val="22"/>
          <w:lang w:val="es-MX"/>
        </w:rPr>
      </w:pPr>
    </w:p>
    <w:p w14:paraId="0D65941B" w14:textId="105F5E54" w:rsidR="000C5453" w:rsidRPr="00422961" w:rsidRDefault="00ED0F4A" w:rsidP="00D81A0C">
      <w:pPr>
        <w:pStyle w:val="Prrafodelista"/>
        <w:numPr>
          <w:ilvl w:val="0"/>
          <w:numId w:val="29"/>
        </w:numPr>
        <w:spacing w:line="360" w:lineRule="auto"/>
        <w:rPr>
          <w:rFonts w:cs="Tahoma"/>
          <w:bCs/>
          <w:iCs/>
        </w:rPr>
      </w:pPr>
      <w:r w:rsidRPr="00422961">
        <w:rPr>
          <w:rFonts w:cs="Tahoma"/>
          <w:bCs/>
          <w:iCs/>
        </w:rPr>
        <w:t xml:space="preserve">Los </w:t>
      </w:r>
      <w:r w:rsidR="00D81A0C" w:rsidRPr="00422961">
        <w:rPr>
          <w:rFonts w:cs="Tahoma"/>
          <w:bCs/>
          <w:iCs/>
        </w:rPr>
        <w:t xml:space="preserve">expedientes de los permisos que autorizaron la realización de los bazares del primero de enero al </w:t>
      </w:r>
      <w:r w:rsidR="003C373E" w:rsidRPr="00422961">
        <w:rPr>
          <w:rFonts w:cs="Tahoma"/>
          <w:bCs/>
          <w:iCs/>
        </w:rPr>
        <w:t>cinco</w:t>
      </w:r>
      <w:r w:rsidR="00D81A0C" w:rsidRPr="00422961">
        <w:rPr>
          <w:rFonts w:cs="Tahoma"/>
          <w:bCs/>
          <w:iCs/>
        </w:rPr>
        <w:t xml:space="preserve"> de agosto de dos mil veinticuatro.</w:t>
      </w:r>
    </w:p>
    <w:p w14:paraId="61F3CD54" w14:textId="77777777" w:rsidR="00D81A0C" w:rsidRPr="00422961" w:rsidRDefault="00D81A0C" w:rsidP="00D81A0C">
      <w:pPr>
        <w:pStyle w:val="Prrafodelista"/>
        <w:spacing w:line="360" w:lineRule="auto"/>
        <w:rPr>
          <w:rFonts w:cs="Tahoma"/>
          <w:bCs/>
          <w:iCs/>
        </w:rPr>
      </w:pPr>
    </w:p>
    <w:p w14:paraId="24A5D999" w14:textId="5B242142" w:rsidR="005D51CE" w:rsidRPr="00422961" w:rsidRDefault="005D51CE" w:rsidP="005D51CE">
      <w:pPr>
        <w:spacing w:after="0" w:line="360" w:lineRule="auto"/>
        <w:rPr>
          <w:rFonts w:cs="Tahoma"/>
          <w:bCs/>
          <w:iCs/>
        </w:rPr>
      </w:pPr>
      <w:r w:rsidRPr="00422961">
        <w:rPr>
          <w:rFonts w:cs="Tahoma"/>
          <w:bCs/>
          <w:iCs/>
        </w:rPr>
        <w:t>Además, de ser necesario, deberá proporcionar el Acuerdo de Clasificación donde el Comité de Transparencia, confirme la eliminación de los datos confidenciales</w:t>
      </w:r>
      <w:r w:rsidR="00D81A0C" w:rsidRPr="00422961">
        <w:rPr>
          <w:rFonts w:cs="Tahoma"/>
          <w:bCs/>
          <w:iCs/>
        </w:rPr>
        <w:t xml:space="preserve"> en la versión pública o bien, la clasificación de documentos en su totalidad</w:t>
      </w:r>
      <w:r w:rsidR="00921474" w:rsidRPr="00422961">
        <w:rPr>
          <w:rFonts w:cs="Tahoma"/>
          <w:bCs/>
          <w:iCs/>
        </w:rPr>
        <w:t xml:space="preserve"> (credencial de elector)</w:t>
      </w:r>
      <w:r w:rsidRPr="00422961">
        <w:rPr>
          <w:rFonts w:cs="Tahoma"/>
          <w:bCs/>
          <w:iCs/>
        </w:rPr>
        <w:t>, de conformidad con los artículos 49, fracciones II y VIII, 132, fracción II, 143, fracción I</w:t>
      </w:r>
      <w:r w:rsidR="00921474" w:rsidRPr="00422961">
        <w:rPr>
          <w:rFonts w:cs="Tahoma"/>
          <w:bCs/>
          <w:iCs/>
        </w:rPr>
        <w:t>,</w:t>
      </w:r>
      <w:r w:rsidRPr="00422961">
        <w:rPr>
          <w:rFonts w:cs="Tahoma"/>
          <w:bCs/>
          <w:iCs/>
        </w:rPr>
        <w:t xml:space="preserve"> y 149 de la Ley de Transparencia y Acceso a la Información Pública del Estado de México y Municipios.</w:t>
      </w:r>
    </w:p>
    <w:p w14:paraId="1D459CB7" w14:textId="77777777" w:rsidR="003F134A" w:rsidRPr="00422961" w:rsidRDefault="003F134A" w:rsidP="005D51CE">
      <w:pPr>
        <w:spacing w:after="0" w:line="360" w:lineRule="auto"/>
        <w:rPr>
          <w:rFonts w:cs="Tahoma"/>
          <w:bCs/>
          <w:iCs/>
        </w:rPr>
      </w:pPr>
    </w:p>
    <w:p w14:paraId="5C2A57D3" w14:textId="77777777" w:rsidR="000C5453" w:rsidRPr="00422961" w:rsidRDefault="000C5453" w:rsidP="00D2273C">
      <w:pPr>
        <w:spacing w:after="0" w:line="360" w:lineRule="auto"/>
        <w:ind w:right="-28"/>
        <w:rPr>
          <w:b/>
          <w:lang w:eastAsia="es-MX"/>
        </w:rPr>
      </w:pPr>
      <w:r w:rsidRPr="00422961">
        <w:rPr>
          <w:b/>
          <w:lang w:eastAsia="es-MX"/>
        </w:rPr>
        <w:t xml:space="preserve">TERCERO. NOTIFÍQUESE POR SAIMEX </w:t>
      </w:r>
      <w:r w:rsidRPr="00422961">
        <w:rPr>
          <w:lang w:eastAsia="es-MX"/>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w:t>
      </w:r>
      <w:r w:rsidRPr="00422961">
        <w:rPr>
          <w:lang w:eastAsia="es-MX"/>
        </w:rPr>
        <w:lastRenderedPageBreak/>
        <w:t>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5F782FD0" w14:textId="77777777" w:rsidR="000C5453" w:rsidRPr="00422961" w:rsidRDefault="000C5453" w:rsidP="00D2273C">
      <w:pPr>
        <w:spacing w:after="0" w:line="360" w:lineRule="auto"/>
        <w:ind w:right="-28"/>
        <w:rPr>
          <w:color w:val="000000"/>
          <w:lang w:eastAsia="es-MX"/>
        </w:rPr>
      </w:pPr>
    </w:p>
    <w:p w14:paraId="20CF2990" w14:textId="20B76646" w:rsidR="000C5453" w:rsidRPr="00422961" w:rsidRDefault="000C5453" w:rsidP="00D2273C">
      <w:pPr>
        <w:spacing w:after="0" w:line="360" w:lineRule="auto"/>
        <w:rPr>
          <w:color w:val="000000"/>
          <w:lang w:eastAsia="es-MX"/>
        </w:rPr>
      </w:pPr>
      <w:r w:rsidRPr="00422961">
        <w:rPr>
          <w:color w:val="000000"/>
          <w:lang w:eastAsia="es-MX"/>
        </w:rPr>
        <w:t xml:space="preserve">De conformidad con el artículo 198 de la </w:t>
      </w:r>
      <w:r w:rsidR="003F134A" w:rsidRPr="00422961">
        <w:rPr>
          <w:color w:val="000000"/>
          <w:lang w:eastAsia="es-MX"/>
        </w:rPr>
        <w:t>Ley referida,</w:t>
      </w:r>
      <w:r w:rsidRPr="00422961">
        <w:rPr>
          <w:color w:val="000000"/>
          <w:lang w:eastAsia="es-MX"/>
        </w:rPr>
        <w:t xml:space="preserve"> de considerarlo procedente, el Sujeto Obligado de manera fundada y motivada, podrá solicitar una ampliación de plazo para el cumplimiento de la presente resolución.</w:t>
      </w:r>
    </w:p>
    <w:p w14:paraId="76EF0889" w14:textId="77777777" w:rsidR="003F134A" w:rsidRPr="00422961" w:rsidRDefault="003F134A" w:rsidP="00D2273C">
      <w:pPr>
        <w:spacing w:after="0" w:line="360" w:lineRule="auto"/>
        <w:rPr>
          <w:color w:val="000000"/>
          <w:lang w:eastAsia="es-MX"/>
        </w:rPr>
      </w:pPr>
    </w:p>
    <w:p w14:paraId="5A4879B5" w14:textId="5F85CA1C" w:rsidR="000C5453" w:rsidRPr="00422961" w:rsidRDefault="000C5453" w:rsidP="00D2273C">
      <w:pPr>
        <w:spacing w:after="0" w:line="360" w:lineRule="auto"/>
        <w:ind w:right="-93"/>
        <w:rPr>
          <w:rFonts w:cs="Tahoma"/>
        </w:rPr>
      </w:pPr>
      <w:r w:rsidRPr="00422961">
        <w:rPr>
          <w:b/>
          <w:bCs/>
          <w:color w:val="000000"/>
        </w:rPr>
        <w:t xml:space="preserve">CUARTO. </w:t>
      </w:r>
      <w:r w:rsidRPr="00422961">
        <w:rPr>
          <w:b/>
          <w:lang w:eastAsia="es-MX"/>
        </w:rPr>
        <w:t>NOTIFÍQUESE POR SAIMEX</w:t>
      </w:r>
      <w:r w:rsidRPr="00422961">
        <w:rPr>
          <w:color w:val="000000"/>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r w:rsidR="00A93A5C" w:rsidRPr="00422961">
        <w:rPr>
          <w:color w:val="000000"/>
        </w:rPr>
        <w:t>.</w:t>
      </w:r>
    </w:p>
    <w:p w14:paraId="537D09EF" w14:textId="77777777" w:rsidR="000C5453" w:rsidRPr="00422961" w:rsidRDefault="000C5453" w:rsidP="00D2273C">
      <w:pPr>
        <w:spacing w:after="0" w:line="360" w:lineRule="auto"/>
        <w:contextualSpacing/>
        <w:rPr>
          <w:color w:val="000000"/>
        </w:rPr>
      </w:pPr>
    </w:p>
    <w:p w14:paraId="7EF2FDAC" w14:textId="0C81A8B5" w:rsidR="000C5453" w:rsidRPr="00AC3438" w:rsidRDefault="000C5453" w:rsidP="00D2273C">
      <w:pPr>
        <w:spacing w:after="0" w:line="360" w:lineRule="auto"/>
      </w:pPr>
      <w:r w:rsidRPr="00422961">
        <w:t>ASÍ LO RESUELVE, POR </w:t>
      </w:r>
      <w:r w:rsidRPr="00422961">
        <w:rPr>
          <w:b/>
        </w:rPr>
        <w:t>UNANIMIDAD</w:t>
      </w:r>
      <w:r w:rsidRPr="00422961">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sidR="00A93A5C" w:rsidRPr="00422961">
        <w:t>OCTAVA</w:t>
      </w:r>
      <w:r w:rsidRPr="00422961">
        <w:t xml:space="preserve"> SESIÓN ORDINARIA, CELEBRADA EL </w:t>
      </w:r>
      <w:r w:rsidR="00A93A5C" w:rsidRPr="00422961">
        <w:t xml:space="preserve">SEIS DE NOVIEMBRE </w:t>
      </w:r>
      <w:r w:rsidRPr="00422961">
        <w:t>DE DOS MIL VEINTICUATRO, ANTE EL SECRETARIO TÉCNICO DEL PLENO, ALEXIS TAPIA RAMÍREZ.</w:t>
      </w:r>
    </w:p>
    <w:p w14:paraId="2B6E8BDF" w14:textId="77777777" w:rsidR="000C5453" w:rsidRPr="00AC3438" w:rsidRDefault="000C5453" w:rsidP="00D2273C">
      <w:pPr>
        <w:spacing w:after="0" w:line="360" w:lineRule="auto"/>
        <w:rPr>
          <w:rFonts w:cs="Tahoma"/>
        </w:rPr>
      </w:pPr>
    </w:p>
    <w:p w14:paraId="3747E644" w14:textId="4E927AA3" w:rsidR="004F20D5" w:rsidRDefault="004F20D5" w:rsidP="00D2273C">
      <w:pPr>
        <w:spacing w:after="0" w:line="360" w:lineRule="auto"/>
      </w:pPr>
    </w:p>
    <w:p w14:paraId="1B758198" w14:textId="77777777" w:rsidR="006431AB" w:rsidRDefault="006431AB" w:rsidP="00D2273C">
      <w:pPr>
        <w:spacing w:after="0" w:line="360" w:lineRule="auto"/>
      </w:pPr>
    </w:p>
    <w:p w14:paraId="05F96D81" w14:textId="77777777" w:rsidR="006431AB" w:rsidRPr="00AC3438" w:rsidRDefault="006431AB" w:rsidP="00D2273C">
      <w:pPr>
        <w:spacing w:after="0" w:line="360" w:lineRule="auto"/>
      </w:pPr>
    </w:p>
    <w:sectPr w:rsidR="006431AB" w:rsidRPr="00AC3438" w:rsidSect="00EA5A85">
      <w:type w:val="continuous"/>
      <w:pgSz w:w="12240" w:h="15840"/>
      <w:pgMar w:top="1418" w:right="1608" w:bottom="1560" w:left="1701" w:header="993"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A5A976" w14:textId="77777777" w:rsidR="00747B25" w:rsidRDefault="00747B25">
      <w:pPr>
        <w:spacing w:after="0" w:line="240" w:lineRule="auto"/>
      </w:pPr>
      <w:r>
        <w:separator/>
      </w:r>
    </w:p>
  </w:endnote>
  <w:endnote w:type="continuationSeparator" w:id="0">
    <w:p w14:paraId="3737ED96" w14:textId="77777777" w:rsidR="00747B25" w:rsidRDefault="00747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C53DA" w14:textId="77777777" w:rsidR="00D81BC1" w:rsidRDefault="00D81BC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873E9F">
      <w:rPr>
        <w:b/>
        <w:noProof/>
        <w:color w:val="000000"/>
        <w:sz w:val="24"/>
        <w:szCs w:val="24"/>
      </w:rPr>
      <w:t>48</w:t>
    </w:r>
    <w:r>
      <w:rPr>
        <w:b/>
        <w:color w:val="000000"/>
        <w:sz w:val="24"/>
        <w:szCs w:val="24"/>
      </w:rPr>
      <w:fldChar w:fldCharType="end"/>
    </w:r>
  </w:p>
  <w:p w14:paraId="7EB9860B" w14:textId="77777777" w:rsidR="00D81BC1" w:rsidRDefault="00D81BC1">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28E74" w14:textId="77777777" w:rsidR="00D81BC1" w:rsidRDefault="00D81BC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3B7C91">
      <w:rPr>
        <w:b/>
        <w:noProof/>
        <w:color w:val="000000"/>
        <w:sz w:val="24"/>
        <w:szCs w:val="24"/>
      </w:rPr>
      <w:t>46</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3B7C91">
      <w:rPr>
        <w:b/>
        <w:noProof/>
        <w:color w:val="000000"/>
        <w:sz w:val="24"/>
        <w:szCs w:val="24"/>
      </w:rPr>
      <w:t>48</w:t>
    </w:r>
    <w:r>
      <w:rPr>
        <w:b/>
        <w:color w:val="000000"/>
        <w:sz w:val="24"/>
        <w:szCs w:val="24"/>
      </w:rPr>
      <w:fldChar w:fldCharType="end"/>
    </w:r>
  </w:p>
  <w:p w14:paraId="0D7FA8D9" w14:textId="77777777" w:rsidR="00D81BC1" w:rsidRDefault="00D81BC1">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ECEF7" w14:textId="77777777" w:rsidR="00D81BC1" w:rsidRDefault="00D81BC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3B7C91">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3B7C91">
      <w:rPr>
        <w:b/>
        <w:noProof/>
        <w:color w:val="000000"/>
        <w:sz w:val="24"/>
        <w:szCs w:val="24"/>
      </w:rPr>
      <w:t>48</w:t>
    </w:r>
    <w:r>
      <w:rPr>
        <w:b/>
        <w:color w:val="000000"/>
        <w:sz w:val="24"/>
        <w:szCs w:val="24"/>
      </w:rPr>
      <w:fldChar w:fldCharType="end"/>
    </w:r>
  </w:p>
  <w:p w14:paraId="6796AF5F" w14:textId="77777777" w:rsidR="00D81BC1" w:rsidRDefault="00D81BC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412942" w14:textId="77777777" w:rsidR="00747B25" w:rsidRDefault="00747B25">
      <w:pPr>
        <w:spacing w:after="0" w:line="240" w:lineRule="auto"/>
      </w:pPr>
      <w:r>
        <w:separator/>
      </w:r>
    </w:p>
  </w:footnote>
  <w:footnote w:type="continuationSeparator" w:id="0">
    <w:p w14:paraId="68258012" w14:textId="77777777" w:rsidR="00747B25" w:rsidRDefault="00747B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A9F14" w14:textId="77777777" w:rsidR="00D81BC1" w:rsidRDefault="00D81BC1">
    <w:pPr>
      <w:widowControl w:val="0"/>
      <w:pBdr>
        <w:top w:val="nil"/>
        <w:left w:val="nil"/>
        <w:bottom w:val="nil"/>
        <w:right w:val="nil"/>
        <w:between w:val="nil"/>
      </w:pBdr>
      <w:spacing w:after="0" w:line="276" w:lineRule="auto"/>
      <w:jc w:val="left"/>
      <w:rPr>
        <w:color w:val="000000"/>
      </w:rPr>
    </w:pPr>
  </w:p>
  <w:tbl>
    <w:tblPr>
      <w:tblStyle w:val="a1"/>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D81BC1" w14:paraId="10C29E94" w14:textId="77777777">
      <w:trPr>
        <w:trHeight w:val="132"/>
      </w:trPr>
      <w:tc>
        <w:tcPr>
          <w:tcW w:w="2691" w:type="dxa"/>
        </w:tcPr>
        <w:p w14:paraId="7D85A4B8" w14:textId="77777777" w:rsidR="00D81BC1" w:rsidRDefault="00D81BC1">
          <w:pPr>
            <w:tabs>
              <w:tab w:val="right" w:pos="8838"/>
            </w:tabs>
            <w:ind w:right="-105"/>
            <w:rPr>
              <w:b/>
            </w:rPr>
          </w:pPr>
          <w:r>
            <w:rPr>
              <w:b/>
            </w:rPr>
            <w:t>Recurso de Revisión:</w:t>
          </w:r>
        </w:p>
      </w:tc>
      <w:tc>
        <w:tcPr>
          <w:tcW w:w="3405" w:type="dxa"/>
        </w:tcPr>
        <w:p w14:paraId="0B0D1A9D" w14:textId="77777777" w:rsidR="00D81BC1" w:rsidRDefault="00D81BC1">
          <w:pPr>
            <w:tabs>
              <w:tab w:val="right" w:pos="8838"/>
            </w:tabs>
            <w:ind w:left="-28" w:right="-32"/>
          </w:pPr>
          <w:r>
            <w:t>03846/INFOEM/IP/RR/2020</w:t>
          </w:r>
        </w:p>
      </w:tc>
    </w:tr>
    <w:tr w:rsidR="00D81BC1" w14:paraId="2F47AC72" w14:textId="77777777">
      <w:trPr>
        <w:trHeight w:val="261"/>
      </w:trPr>
      <w:tc>
        <w:tcPr>
          <w:tcW w:w="2691" w:type="dxa"/>
        </w:tcPr>
        <w:p w14:paraId="154A4752" w14:textId="77777777" w:rsidR="00D81BC1" w:rsidRDefault="00D81BC1">
          <w:pPr>
            <w:tabs>
              <w:tab w:val="right" w:pos="8838"/>
            </w:tabs>
            <w:ind w:right="-105"/>
            <w:rPr>
              <w:b/>
            </w:rPr>
          </w:pPr>
          <w:r>
            <w:rPr>
              <w:b/>
            </w:rPr>
            <w:t>Sujeto Obligado:</w:t>
          </w:r>
        </w:p>
      </w:tc>
      <w:tc>
        <w:tcPr>
          <w:tcW w:w="3405" w:type="dxa"/>
        </w:tcPr>
        <w:p w14:paraId="5D9EC711" w14:textId="77777777" w:rsidR="00D81BC1" w:rsidRDefault="00D81BC1">
          <w:pPr>
            <w:tabs>
              <w:tab w:val="right" w:pos="8838"/>
            </w:tabs>
            <w:ind w:right="-32"/>
          </w:pPr>
          <w:r>
            <w:t>Ayuntamiento de Temascalcingo</w:t>
          </w:r>
        </w:p>
      </w:tc>
    </w:tr>
    <w:tr w:rsidR="00D81BC1" w14:paraId="11FBB450" w14:textId="77777777">
      <w:trPr>
        <w:trHeight w:val="261"/>
      </w:trPr>
      <w:tc>
        <w:tcPr>
          <w:tcW w:w="2691" w:type="dxa"/>
        </w:tcPr>
        <w:p w14:paraId="6BAF6003" w14:textId="77777777" w:rsidR="00D81BC1" w:rsidRDefault="00D81BC1">
          <w:pPr>
            <w:tabs>
              <w:tab w:val="right" w:pos="8838"/>
            </w:tabs>
            <w:ind w:right="-105"/>
            <w:rPr>
              <w:b/>
            </w:rPr>
          </w:pPr>
          <w:r>
            <w:rPr>
              <w:b/>
            </w:rPr>
            <w:t>Comisionado Ponente:</w:t>
          </w:r>
        </w:p>
      </w:tc>
      <w:tc>
        <w:tcPr>
          <w:tcW w:w="3405" w:type="dxa"/>
        </w:tcPr>
        <w:p w14:paraId="420341AF" w14:textId="77777777" w:rsidR="00D81BC1" w:rsidRDefault="00D81BC1">
          <w:pPr>
            <w:tabs>
              <w:tab w:val="right" w:pos="8838"/>
            </w:tabs>
            <w:ind w:right="-32"/>
            <w:rPr>
              <w:b/>
            </w:rPr>
          </w:pPr>
          <w:r>
            <w:t>Luis Gustavo Parra Noriega</w:t>
          </w:r>
        </w:p>
      </w:tc>
    </w:tr>
  </w:tbl>
  <w:p w14:paraId="00411D75" w14:textId="77777777" w:rsidR="00D81BC1" w:rsidRDefault="00747B25">
    <w:pPr>
      <w:pBdr>
        <w:top w:val="nil"/>
        <w:left w:val="nil"/>
        <w:bottom w:val="nil"/>
        <w:right w:val="nil"/>
        <w:between w:val="nil"/>
      </w:pBdr>
      <w:tabs>
        <w:tab w:val="center" w:pos="4419"/>
        <w:tab w:val="right" w:pos="8838"/>
      </w:tabs>
      <w:spacing w:after="0" w:line="240" w:lineRule="auto"/>
      <w:rPr>
        <w:color w:val="000000"/>
      </w:rPr>
    </w:pPr>
    <w:r>
      <w:rPr>
        <w:color w:val="000000"/>
      </w:rPr>
      <w:pict w14:anchorId="390D4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C8C837" w14:textId="77777777" w:rsidR="00D81BC1" w:rsidRDefault="00D81BC1">
    <w:pPr>
      <w:widowControl w:val="0"/>
      <w:pBdr>
        <w:top w:val="nil"/>
        <w:left w:val="nil"/>
        <w:bottom w:val="nil"/>
        <w:right w:val="nil"/>
        <w:between w:val="nil"/>
      </w:pBdr>
      <w:spacing w:after="0" w:line="276" w:lineRule="auto"/>
      <w:jc w:val="left"/>
    </w:pPr>
  </w:p>
  <w:tbl>
    <w:tblPr>
      <w:tblStyle w:val="a0"/>
      <w:tblW w:w="6803" w:type="dxa"/>
      <w:tblInd w:w="3828"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2"/>
    </w:tblGrid>
    <w:tr w:rsidR="00D81BC1" w14:paraId="40D5D5A3" w14:textId="77777777" w:rsidTr="00EE6243">
      <w:trPr>
        <w:trHeight w:val="138"/>
      </w:trPr>
      <w:tc>
        <w:tcPr>
          <w:tcW w:w="2551" w:type="dxa"/>
          <w:vAlign w:val="center"/>
        </w:tcPr>
        <w:p w14:paraId="1DB5C8D0" w14:textId="77777777" w:rsidR="00D81BC1" w:rsidRDefault="00D81BC1">
          <w:pPr>
            <w:tabs>
              <w:tab w:val="right" w:pos="8838"/>
            </w:tabs>
            <w:ind w:right="-105"/>
            <w:jc w:val="left"/>
            <w:rPr>
              <w:b/>
            </w:rPr>
          </w:pPr>
          <w:r>
            <w:rPr>
              <w:b/>
            </w:rPr>
            <w:t>Recurso de Revisión:</w:t>
          </w:r>
        </w:p>
      </w:tc>
      <w:tc>
        <w:tcPr>
          <w:tcW w:w="4252" w:type="dxa"/>
        </w:tcPr>
        <w:p w14:paraId="61E59D71" w14:textId="5D128DE0" w:rsidR="00D81BC1" w:rsidRDefault="00AA3C9B">
          <w:pPr>
            <w:tabs>
              <w:tab w:val="right" w:pos="8838"/>
            </w:tabs>
            <w:ind w:left="-113" w:right="57"/>
          </w:pPr>
          <w:r>
            <w:t>0</w:t>
          </w:r>
          <w:r w:rsidR="00EE6243">
            <w:t>5841</w:t>
          </w:r>
          <w:r>
            <w:t>/INFOEM/IP/RR/2024</w:t>
          </w:r>
        </w:p>
      </w:tc>
    </w:tr>
    <w:tr w:rsidR="00D81BC1" w14:paraId="7A281F30" w14:textId="77777777" w:rsidTr="00EE6243">
      <w:trPr>
        <w:trHeight w:val="273"/>
      </w:trPr>
      <w:tc>
        <w:tcPr>
          <w:tcW w:w="2551" w:type="dxa"/>
        </w:tcPr>
        <w:p w14:paraId="6671A308" w14:textId="77777777" w:rsidR="00D81BC1" w:rsidRDefault="00D81BC1">
          <w:pPr>
            <w:tabs>
              <w:tab w:val="right" w:pos="8838"/>
            </w:tabs>
            <w:ind w:right="-105"/>
            <w:rPr>
              <w:b/>
            </w:rPr>
          </w:pPr>
          <w:r>
            <w:rPr>
              <w:b/>
            </w:rPr>
            <w:t>Sujeto Obligado:</w:t>
          </w:r>
        </w:p>
      </w:tc>
      <w:tc>
        <w:tcPr>
          <w:tcW w:w="4252" w:type="dxa"/>
        </w:tcPr>
        <w:p w14:paraId="30885B6D" w14:textId="315F35E0" w:rsidR="00D81BC1" w:rsidRDefault="005F1E1A" w:rsidP="00DC28F3">
          <w:pPr>
            <w:tabs>
              <w:tab w:val="right" w:pos="8838"/>
            </w:tabs>
            <w:ind w:left="-113" w:right="174"/>
          </w:pPr>
          <w:r>
            <w:rPr>
              <w:color w:val="000000"/>
            </w:rPr>
            <w:t>Ayuntamiento de</w:t>
          </w:r>
          <w:r w:rsidR="00EE6243">
            <w:rPr>
              <w:color w:val="000000"/>
            </w:rPr>
            <w:t xml:space="preserve"> Metepec</w:t>
          </w:r>
          <w:r w:rsidR="00810D79">
            <w:rPr>
              <w:color w:val="000000"/>
            </w:rPr>
            <w:t xml:space="preserve"> </w:t>
          </w:r>
        </w:p>
      </w:tc>
    </w:tr>
    <w:tr w:rsidR="00D81BC1" w14:paraId="00C22F2F" w14:textId="77777777" w:rsidTr="00EE6243">
      <w:trPr>
        <w:trHeight w:val="273"/>
      </w:trPr>
      <w:tc>
        <w:tcPr>
          <w:tcW w:w="2551" w:type="dxa"/>
        </w:tcPr>
        <w:p w14:paraId="70417649" w14:textId="77777777" w:rsidR="00D81BC1" w:rsidRDefault="00D81BC1">
          <w:pPr>
            <w:tabs>
              <w:tab w:val="right" w:pos="8838"/>
            </w:tabs>
            <w:ind w:right="-105"/>
            <w:rPr>
              <w:b/>
            </w:rPr>
          </w:pPr>
          <w:r>
            <w:rPr>
              <w:b/>
            </w:rPr>
            <w:t>Comisionado Ponente:</w:t>
          </w:r>
        </w:p>
      </w:tc>
      <w:tc>
        <w:tcPr>
          <w:tcW w:w="4252" w:type="dxa"/>
        </w:tcPr>
        <w:p w14:paraId="1A63C67B" w14:textId="77777777" w:rsidR="00D81BC1" w:rsidRDefault="00D81BC1">
          <w:pPr>
            <w:tabs>
              <w:tab w:val="right" w:pos="8838"/>
            </w:tabs>
            <w:ind w:left="-113" w:right="-170"/>
            <w:rPr>
              <w:b/>
            </w:rPr>
          </w:pPr>
          <w:r>
            <w:t>Luis Gustavo Parra Noriega</w:t>
          </w:r>
        </w:p>
      </w:tc>
    </w:tr>
  </w:tbl>
  <w:p w14:paraId="3498D107" w14:textId="77777777" w:rsidR="00D81BC1" w:rsidRDefault="00747B25">
    <w:pPr>
      <w:pBdr>
        <w:top w:val="nil"/>
        <w:left w:val="nil"/>
        <w:bottom w:val="nil"/>
        <w:right w:val="nil"/>
        <w:between w:val="nil"/>
      </w:pBdr>
      <w:tabs>
        <w:tab w:val="center" w:pos="4419"/>
        <w:tab w:val="right" w:pos="8838"/>
      </w:tabs>
      <w:spacing w:after="0" w:line="240" w:lineRule="auto"/>
      <w:rPr>
        <w:color w:val="000000"/>
      </w:rPr>
    </w:pPr>
    <w:r>
      <w:rPr>
        <w:color w:val="000000"/>
      </w:rPr>
      <w:pict w14:anchorId="4CAD8A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MARCA DE AGUA - HOJA RESOLUCIÓN" style="position:absolute;left:0;text-align:left;margin-left:-90.6pt;margin-top:-122.05pt;width:663.5pt;height:12in;z-index:-251659776;mso-position-horizontal:absolute;mso-position-horizontal-relative:margin;mso-position-vertical:absolute;mso-position-vertical-relative:margin">
          <v:imagedata r:id="rId1" o:title="image5"/>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6804" w:type="dxa"/>
      <w:tblInd w:w="3686"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D81BC1" w14:paraId="6B3232BD" w14:textId="77777777" w:rsidTr="00EE6243">
      <w:trPr>
        <w:trHeight w:val="132"/>
      </w:trPr>
      <w:tc>
        <w:tcPr>
          <w:tcW w:w="2551" w:type="dxa"/>
        </w:tcPr>
        <w:p w14:paraId="38F16E2F" w14:textId="77777777" w:rsidR="00D81BC1" w:rsidRDefault="00D81BC1">
          <w:pPr>
            <w:tabs>
              <w:tab w:val="right" w:pos="8838"/>
            </w:tabs>
            <w:ind w:right="-105"/>
            <w:rPr>
              <w:b/>
            </w:rPr>
          </w:pPr>
          <w:r>
            <w:rPr>
              <w:b/>
            </w:rPr>
            <w:t>Recurso de Revisión:</w:t>
          </w:r>
        </w:p>
      </w:tc>
      <w:tc>
        <w:tcPr>
          <w:tcW w:w="4253" w:type="dxa"/>
        </w:tcPr>
        <w:p w14:paraId="211CDC0A" w14:textId="5A22B5D0" w:rsidR="00D81BC1" w:rsidRDefault="00D81BC1" w:rsidP="00F64017">
          <w:pPr>
            <w:tabs>
              <w:tab w:val="right" w:pos="8838"/>
            </w:tabs>
            <w:ind w:left="-111" w:right="-32"/>
          </w:pPr>
          <w:r>
            <w:t>0</w:t>
          </w:r>
          <w:r w:rsidR="00EE6243">
            <w:t>5841</w:t>
          </w:r>
          <w:r>
            <w:t>/INFOEM/IP/RR/202</w:t>
          </w:r>
          <w:r w:rsidR="00AA3C9B">
            <w:t>4</w:t>
          </w:r>
        </w:p>
      </w:tc>
    </w:tr>
    <w:tr w:rsidR="00D81BC1" w14:paraId="6AA3CC58" w14:textId="77777777" w:rsidTr="00EE6243">
      <w:trPr>
        <w:trHeight w:val="132"/>
      </w:trPr>
      <w:tc>
        <w:tcPr>
          <w:tcW w:w="2551" w:type="dxa"/>
          <w:shd w:val="clear" w:color="auto" w:fill="auto"/>
        </w:tcPr>
        <w:p w14:paraId="7FD164F5" w14:textId="77777777" w:rsidR="00D81BC1" w:rsidRDefault="00D81BC1">
          <w:pPr>
            <w:tabs>
              <w:tab w:val="left" w:pos="1875"/>
            </w:tabs>
            <w:ind w:right="-105"/>
            <w:rPr>
              <w:b/>
            </w:rPr>
          </w:pPr>
          <w:r>
            <w:rPr>
              <w:b/>
            </w:rPr>
            <w:t>Recurrente:</w:t>
          </w:r>
          <w:r>
            <w:rPr>
              <w:b/>
            </w:rPr>
            <w:tab/>
          </w:r>
        </w:p>
      </w:tc>
      <w:tc>
        <w:tcPr>
          <w:tcW w:w="4253" w:type="dxa"/>
          <w:shd w:val="clear" w:color="auto" w:fill="auto"/>
        </w:tcPr>
        <w:p w14:paraId="1F1B0537" w14:textId="33CF155F" w:rsidR="00D81BC1" w:rsidRDefault="00CF6C65" w:rsidP="003F134A">
          <w:pPr>
            <w:tabs>
              <w:tab w:val="left" w:pos="1425"/>
            </w:tabs>
            <w:ind w:left="-108"/>
          </w:pPr>
          <w:r w:rsidRPr="00CF6C65">
            <w:rPr>
              <w:highlight w:val="black"/>
            </w:rPr>
            <w:t>XXXXXXXXXXX</w:t>
          </w:r>
          <w:r w:rsidR="00EE6243">
            <w:t xml:space="preserve"> </w:t>
          </w:r>
        </w:p>
      </w:tc>
    </w:tr>
    <w:tr w:rsidR="00D81BC1" w14:paraId="5113CAA6" w14:textId="77777777" w:rsidTr="00EE6243">
      <w:trPr>
        <w:trHeight w:val="261"/>
      </w:trPr>
      <w:tc>
        <w:tcPr>
          <w:tcW w:w="2551" w:type="dxa"/>
        </w:tcPr>
        <w:p w14:paraId="28E3431B" w14:textId="77777777" w:rsidR="00D81BC1" w:rsidRDefault="00D81BC1">
          <w:pPr>
            <w:tabs>
              <w:tab w:val="right" w:pos="8838"/>
            </w:tabs>
            <w:ind w:right="-105"/>
            <w:rPr>
              <w:b/>
            </w:rPr>
          </w:pPr>
          <w:r>
            <w:rPr>
              <w:b/>
            </w:rPr>
            <w:t>Sujeto Obligado:</w:t>
          </w:r>
        </w:p>
      </w:tc>
      <w:tc>
        <w:tcPr>
          <w:tcW w:w="4253" w:type="dxa"/>
        </w:tcPr>
        <w:p w14:paraId="3192354E" w14:textId="3AAA90B5" w:rsidR="00D81BC1" w:rsidRPr="00AA3C9B" w:rsidRDefault="005F1E1A" w:rsidP="00F64017">
          <w:pPr>
            <w:tabs>
              <w:tab w:val="right" w:pos="8838"/>
            </w:tabs>
            <w:ind w:left="-111" w:right="176"/>
          </w:pPr>
          <w:r>
            <w:rPr>
              <w:color w:val="000000"/>
            </w:rPr>
            <w:t>Ayuntamiento de</w:t>
          </w:r>
          <w:r w:rsidR="00EE6243">
            <w:rPr>
              <w:color w:val="000000"/>
            </w:rPr>
            <w:t xml:space="preserve"> Metepec</w:t>
          </w:r>
          <w:r>
            <w:rPr>
              <w:color w:val="000000"/>
            </w:rPr>
            <w:t xml:space="preserve"> </w:t>
          </w:r>
        </w:p>
      </w:tc>
    </w:tr>
    <w:tr w:rsidR="00D81BC1" w14:paraId="5D4C2A35" w14:textId="77777777" w:rsidTr="00EE6243">
      <w:trPr>
        <w:trHeight w:val="261"/>
      </w:trPr>
      <w:tc>
        <w:tcPr>
          <w:tcW w:w="2551" w:type="dxa"/>
        </w:tcPr>
        <w:p w14:paraId="7F522FEC" w14:textId="77777777" w:rsidR="00D81BC1" w:rsidRDefault="00D81BC1">
          <w:pPr>
            <w:tabs>
              <w:tab w:val="right" w:pos="8838"/>
            </w:tabs>
            <w:ind w:right="-105"/>
            <w:rPr>
              <w:b/>
            </w:rPr>
          </w:pPr>
          <w:r>
            <w:rPr>
              <w:b/>
            </w:rPr>
            <w:t>Comisionado Ponente:</w:t>
          </w:r>
        </w:p>
      </w:tc>
      <w:tc>
        <w:tcPr>
          <w:tcW w:w="4253" w:type="dxa"/>
        </w:tcPr>
        <w:p w14:paraId="0F0566F9" w14:textId="77777777" w:rsidR="00D81BC1" w:rsidRDefault="00D81BC1">
          <w:pPr>
            <w:tabs>
              <w:tab w:val="right" w:pos="8838"/>
            </w:tabs>
            <w:ind w:left="-111" w:right="-32"/>
            <w:rPr>
              <w:b/>
            </w:rPr>
          </w:pPr>
          <w:r>
            <w:t>Luis Gustavo Parra Noriega</w:t>
          </w:r>
        </w:p>
      </w:tc>
    </w:tr>
  </w:tbl>
  <w:p w14:paraId="4DFC2598" w14:textId="77777777" w:rsidR="00D81BC1" w:rsidRDefault="00747B25">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389CC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72FDB"/>
    <w:multiLevelType w:val="hybridMultilevel"/>
    <w:tmpl w:val="8174C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482586"/>
    <w:multiLevelType w:val="hybridMultilevel"/>
    <w:tmpl w:val="A238B7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2912BF"/>
    <w:multiLevelType w:val="hybridMultilevel"/>
    <w:tmpl w:val="B93CCFC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8445937"/>
    <w:multiLevelType w:val="hybridMultilevel"/>
    <w:tmpl w:val="F872C4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0096E0F"/>
    <w:multiLevelType w:val="hybridMultilevel"/>
    <w:tmpl w:val="19A2C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929698E"/>
    <w:multiLevelType w:val="hybridMultilevel"/>
    <w:tmpl w:val="A99EA856"/>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D70436"/>
    <w:multiLevelType w:val="hybridMultilevel"/>
    <w:tmpl w:val="E74E4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0B1CCF"/>
    <w:multiLevelType w:val="hybridMultilevel"/>
    <w:tmpl w:val="B4966C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D3205A"/>
    <w:multiLevelType w:val="hybridMultilevel"/>
    <w:tmpl w:val="9AE4A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2910085C"/>
    <w:multiLevelType w:val="hybridMultilevel"/>
    <w:tmpl w:val="E39A41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2ADC7310"/>
    <w:multiLevelType w:val="hybridMultilevel"/>
    <w:tmpl w:val="DD663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B6C092F"/>
    <w:multiLevelType w:val="hybridMultilevel"/>
    <w:tmpl w:val="F2B8259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3" w15:restartNumberingAfterBreak="0">
    <w:nsid w:val="2DD21506"/>
    <w:multiLevelType w:val="hybridMultilevel"/>
    <w:tmpl w:val="611CF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3468F2"/>
    <w:multiLevelType w:val="hybridMultilevel"/>
    <w:tmpl w:val="D9727AD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3D4E1B32"/>
    <w:multiLevelType w:val="hybridMultilevel"/>
    <w:tmpl w:val="E12269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D9F47C7"/>
    <w:multiLevelType w:val="hybridMultilevel"/>
    <w:tmpl w:val="06DED0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0386E21"/>
    <w:multiLevelType w:val="hybridMultilevel"/>
    <w:tmpl w:val="558C6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36F3D68"/>
    <w:multiLevelType w:val="hybridMultilevel"/>
    <w:tmpl w:val="020619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3C05840"/>
    <w:multiLevelType w:val="hybridMultilevel"/>
    <w:tmpl w:val="AA02AC4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2" w15:restartNumberingAfterBreak="0">
    <w:nsid w:val="54F203E3"/>
    <w:multiLevelType w:val="hybridMultilevel"/>
    <w:tmpl w:val="AC5495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53B6D56"/>
    <w:multiLevelType w:val="hybridMultilevel"/>
    <w:tmpl w:val="53C87220"/>
    <w:lvl w:ilvl="0" w:tplc="080A0015">
      <w:start w:val="1"/>
      <w:numFmt w:val="upperLetter"/>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24" w15:restartNumberingAfterBreak="0">
    <w:nsid w:val="56EE2D28"/>
    <w:multiLevelType w:val="hybridMultilevel"/>
    <w:tmpl w:val="82D81098"/>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97F286E"/>
    <w:multiLevelType w:val="hybridMultilevel"/>
    <w:tmpl w:val="741A8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16B193C"/>
    <w:multiLevelType w:val="hybridMultilevel"/>
    <w:tmpl w:val="72303D9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7" w15:restartNumberingAfterBreak="0">
    <w:nsid w:val="620D5BA2"/>
    <w:multiLevelType w:val="hybridMultilevel"/>
    <w:tmpl w:val="3DC049B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63C95A0C"/>
    <w:multiLevelType w:val="hybridMultilevel"/>
    <w:tmpl w:val="F7E0EF30"/>
    <w:lvl w:ilvl="0" w:tplc="5796777A">
      <w:start w:val="1"/>
      <w:numFmt w:val="bullet"/>
      <w:lvlText w:val="-"/>
      <w:lvlJc w:val="left"/>
      <w:pPr>
        <w:ind w:left="720" w:hanging="360"/>
      </w:pPr>
      <w:rPr>
        <w:rFonts w:ascii="Palatino Linotype" w:eastAsiaTheme="minorHAnsi" w:hAnsi="Palatino Linotype"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67492030"/>
    <w:multiLevelType w:val="multilevel"/>
    <w:tmpl w:val="07127926"/>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6CC169F3"/>
    <w:multiLevelType w:val="hybridMultilevel"/>
    <w:tmpl w:val="97807F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E307ED3"/>
    <w:multiLevelType w:val="hybridMultilevel"/>
    <w:tmpl w:val="871A5D24"/>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4982F1C"/>
    <w:multiLevelType w:val="hybridMultilevel"/>
    <w:tmpl w:val="EC144290"/>
    <w:lvl w:ilvl="0" w:tplc="0A0E19A2">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17"/>
  </w:num>
  <w:num w:numId="4">
    <w:abstractNumId w:val="13"/>
  </w:num>
  <w:num w:numId="5">
    <w:abstractNumId w:val="4"/>
  </w:num>
  <w:num w:numId="6">
    <w:abstractNumId w:val="7"/>
  </w:num>
  <w:num w:numId="7">
    <w:abstractNumId w:val="6"/>
  </w:num>
  <w:num w:numId="8">
    <w:abstractNumId w:val="22"/>
  </w:num>
  <w:num w:numId="9">
    <w:abstractNumId w:val="19"/>
  </w:num>
  <w:num w:numId="10">
    <w:abstractNumId w:val="1"/>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26"/>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31"/>
  </w:num>
  <w:num w:numId="17">
    <w:abstractNumId w:val="15"/>
  </w:num>
  <w:num w:numId="18">
    <w:abstractNumId w:val="8"/>
  </w:num>
  <w:num w:numId="19">
    <w:abstractNumId w:val="20"/>
  </w:num>
  <w:num w:numId="20">
    <w:abstractNumId w:val="12"/>
  </w:num>
  <w:num w:numId="21">
    <w:abstractNumId w:val="9"/>
  </w:num>
  <w:num w:numId="22">
    <w:abstractNumId w:val="27"/>
  </w:num>
  <w:num w:numId="23">
    <w:abstractNumId w:val="28"/>
  </w:num>
  <w:num w:numId="24">
    <w:abstractNumId w:val="11"/>
  </w:num>
  <w:num w:numId="25">
    <w:abstractNumId w:val="18"/>
  </w:num>
  <w:num w:numId="26">
    <w:abstractNumId w:val="5"/>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16"/>
  </w:num>
  <w:num w:numId="30">
    <w:abstractNumId w:val="30"/>
  </w:num>
  <w:num w:numId="31">
    <w:abstractNumId w:val="0"/>
  </w:num>
  <w:num w:numId="32">
    <w:abstractNumId w:val="3"/>
  </w:num>
  <w:num w:numId="33">
    <w:abstractNumId w:val="24"/>
  </w:num>
  <w:num w:numId="34">
    <w:abstractNumId w:val="14"/>
  </w:num>
  <w:num w:numId="35">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90F"/>
    <w:rsid w:val="00004DB7"/>
    <w:rsid w:val="00006EF0"/>
    <w:rsid w:val="0001229A"/>
    <w:rsid w:val="00013193"/>
    <w:rsid w:val="00013A06"/>
    <w:rsid w:val="00013EEF"/>
    <w:rsid w:val="00014049"/>
    <w:rsid w:val="00014F4C"/>
    <w:rsid w:val="00015603"/>
    <w:rsid w:val="00016290"/>
    <w:rsid w:val="00016811"/>
    <w:rsid w:val="000215C1"/>
    <w:rsid w:val="00022267"/>
    <w:rsid w:val="000243CB"/>
    <w:rsid w:val="00026330"/>
    <w:rsid w:val="00027861"/>
    <w:rsid w:val="0003084A"/>
    <w:rsid w:val="00030EE1"/>
    <w:rsid w:val="00031DC6"/>
    <w:rsid w:val="00037FEE"/>
    <w:rsid w:val="00042D4C"/>
    <w:rsid w:val="00055724"/>
    <w:rsid w:val="00061123"/>
    <w:rsid w:val="00065D8B"/>
    <w:rsid w:val="0006626D"/>
    <w:rsid w:val="000715A5"/>
    <w:rsid w:val="000735F0"/>
    <w:rsid w:val="000749EA"/>
    <w:rsid w:val="0007704E"/>
    <w:rsid w:val="0008041A"/>
    <w:rsid w:val="00081C05"/>
    <w:rsid w:val="00082D8B"/>
    <w:rsid w:val="000862CB"/>
    <w:rsid w:val="00087074"/>
    <w:rsid w:val="00090A54"/>
    <w:rsid w:val="00092CA8"/>
    <w:rsid w:val="00095D76"/>
    <w:rsid w:val="00096095"/>
    <w:rsid w:val="000A7772"/>
    <w:rsid w:val="000B1D57"/>
    <w:rsid w:val="000B32CB"/>
    <w:rsid w:val="000B3D6D"/>
    <w:rsid w:val="000C5453"/>
    <w:rsid w:val="000C7D5D"/>
    <w:rsid w:val="000D2B7B"/>
    <w:rsid w:val="000D3A4E"/>
    <w:rsid w:val="000D3AD3"/>
    <w:rsid w:val="000E15D8"/>
    <w:rsid w:val="000E1DE4"/>
    <w:rsid w:val="000E2024"/>
    <w:rsid w:val="000E475C"/>
    <w:rsid w:val="000E7F75"/>
    <w:rsid w:val="000F1EF0"/>
    <w:rsid w:val="000F562C"/>
    <w:rsid w:val="00100150"/>
    <w:rsid w:val="00100CCE"/>
    <w:rsid w:val="001065C6"/>
    <w:rsid w:val="001066ED"/>
    <w:rsid w:val="00107A0F"/>
    <w:rsid w:val="00107BD1"/>
    <w:rsid w:val="00117132"/>
    <w:rsid w:val="001202A0"/>
    <w:rsid w:val="00122FB2"/>
    <w:rsid w:val="00125E78"/>
    <w:rsid w:val="00136316"/>
    <w:rsid w:val="0014205C"/>
    <w:rsid w:val="001434E7"/>
    <w:rsid w:val="00144CE7"/>
    <w:rsid w:val="001479C0"/>
    <w:rsid w:val="001558BD"/>
    <w:rsid w:val="00155BD1"/>
    <w:rsid w:val="00170ACC"/>
    <w:rsid w:val="001736D8"/>
    <w:rsid w:val="00175910"/>
    <w:rsid w:val="00175F21"/>
    <w:rsid w:val="00181DC5"/>
    <w:rsid w:val="00185058"/>
    <w:rsid w:val="00187991"/>
    <w:rsid w:val="00192C48"/>
    <w:rsid w:val="0019756E"/>
    <w:rsid w:val="00197A43"/>
    <w:rsid w:val="001B4962"/>
    <w:rsid w:val="001B4FA5"/>
    <w:rsid w:val="001C014F"/>
    <w:rsid w:val="001C0ADD"/>
    <w:rsid w:val="001C50CD"/>
    <w:rsid w:val="001C7258"/>
    <w:rsid w:val="001C73DE"/>
    <w:rsid w:val="001D0BC8"/>
    <w:rsid w:val="001D5DBE"/>
    <w:rsid w:val="001E201B"/>
    <w:rsid w:val="001E31D7"/>
    <w:rsid w:val="001E31E5"/>
    <w:rsid w:val="001E36B5"/>
    <w:rsid w:val="001E4A66"/>
    <w:rsid w:val="001F7A53"/>
    <w:rsid w:val="0020291F"/>
    <w:rsid w:val="00212B61"/>
    <w:rsid w:val="00212FD7"/>
    <w:rsid w:val="00215479"/>
    <w:rsid w:val="00215DCF"/>
    <w:rsid w:val="00220B70"/>
    <w:rsid w:val="0022143B"/>
    <w:rsid w:val="0022295C"/>
    <w:rsid w:val="00222B66"/>
    <w:rsid w:val="002239C7"/>
    <w:rsid w:val="00225557"/>
    <w:rsid w:val="00226462"/>
    <w:rsid w:val="002268C7"/>
    <w:rsid w:val="00230000"/>
    <w:rsid w:val="00230985"/>
    <w:rsid w:val="002321CB"/>
    <w:rsid w:val="002355C5"/>
    <w:rsid w:val="002369CA"/>
    <w:rsid w:val="0024254C"/>
    <w:rsid w:val="00245063"/>
    <w:rsid w:val="00250C82"/>
    <w:rsid w:val="00254E5D"/>
    <w:rsid w:val="00257C0C"/>
    <w:rsid w:val="00261CB4"/>
    <w:rsid w:val="0026345D"/>
    <w:rsid w:val="00265C57"/>
    <w:rsid w:val="00275989"/>
    <w:rsid w:val="002805EF"/>
    <w:rsid w:val="0028072A"/>
    <w:rsid w:val="00294527"/>
    <w:rsid w:val="00294A65"/>
    <w:rsid w:val="00294AAD"/>
    <w:rsid w:val="00294C03"/>
    <w:rsid w:val="0029665B"/>
    <w:rsid w:val="002A08C3"/>
    <w:rsid w:val="002A186C"/>
    <w:rsid w:val="002A5208"/>
    <w:rsid w:val="002A5DEB"/>
    <w:rsid w:val="002B04E2"/>
    <w:rsid w:val="002B151D"/>
    <w:rsid w:val="002B18D6"/>
    <w:rsid w:val="002B385E"/>
    <w:rsid w:val="002B6B98"/>
    <w:rsid w:val="002B6C50"/>
    <w:rsid w:val="002B6D07"/>
    <w:rsid w:val="002C0A45"/>
    <w:rsid w:val="002D045F"/>
    <w:rsid w:val="002D46D6"/>
    <w:rsid w:val="002D6989"/>
    <w:rsid w:val="002E1739"/>
    <w:rsid w:val="002E1CB5"/>
    <w:rsid w:val="002E4E20"/>
    <w:rsid w:val="002E5C60"/>
    <w:rsid w:val="002E640D"/>
    <w:rsid w:val="002F08A1"/>
    <w:rsid w:val="002F2997"/>
    <w:rsid w:val="002F4257"/>
    <w:rsid w:val="002F708D"/>
    <w:rsid w:val="00301777"/>
    <w:rsid w:val="003026E3"/>
    <w:rsid w:val="00302BCB"/>
    <w:rsid w:val="00305FE9"/>
    <w:rsid w:val="003064BD"/>
    <w:rsid w:val="00307F1A"/>
    <w:rsid w:val="003131F2"/>
    <w:rsid w:val="00320B8D"/>
    <w:rsid w:val="0032113B"/>
    <w:rsid w:val="00325B13"/>
    <w:rsid w:val="00327235"/>
    <w:rsid w:val="00330A04"/>
    <w:rsid w:val="00332A9B"/>
    <w:rsid w:val="0033379D"/>
    <w:rsid w:val="0033681E"/>
    <w:rsid w:val="0034588E"/>
    <w:rsid w:val="003532EF"/>
    <w:rsid w:val="00356D9B"/>
    <w:rsid w:val="00361AFE"/>
    <w:rsid w:val="00362003"/>
    <w:rsid w:val="0036246D"/>
    <w:rsid w:val="003624F9"/>
    <w:rsid w:val="00366BB8"/>
    <w:rsid w:val="003724D7"/>
    <w:rsid w:val="00373CFD"/>
    <w:rsid w:val="0037798F"/>
    <w:rsid w:val="00382504"/>
    <w:rsid w:val="00384583"/>
    <w:rsid w:val="00387194"/>
    <w:rsid w:val="00390ACA"/>
    <w:rsid w:val="00392B07"/>
    <w:rsid w:val="00397762"/>
    <w:rsid w:val="003A18FF"/>
    <w:rsid w:val="003A3199"/>
    <w:rsid w:val="003A4538"/>
    <w:rsid w:val="003A46FA"/>
    <w:rsid w:val="003B2589"/>
    <w:rsid w:val="003B61FB"/>
    <w:rsid w:val="003B7126"/>
    <w:rsid w:val="003B7C91"/>
    <w:rsid w:val="003C28F2"/>
    <w:rsid w:val="003C373E"/>
    <w:rsid w:val="003C3B1F"/>
    <w:rsid w:val="003D1DC8"/>
    <w:rsid w:val="003D4926"/>
    <w:rsid w:val="003D4C2E"/>
    <w:rsid w:val="003D4DAD"/>
    <w:rsid w:val="003D5A3A"/>
    <w:rsid w:val="003E108A"/>
    <w:rsid w:val="003E3ADE"/>
    <w:rsid w:val="003E3C47"/>
    <w:rsid w:val="003F134A"/>
    <w:rsid w:val="003F6C39"/>
    <w:rsid w:val="003F6C55"/>
    <w:rsid w:val="0040026C"/>
    <w:rsid w:val="00404EB8"/>
    <w:rsid w:val="0041501F"/>
    <w:rsid w:val="00415991"/>
    <w:rsid w:val="00416C27"/>
    <w:rsid w:val="00421C8C"/>
    <w:rsid w:val="00422961"/>
    <w:rsid w:val="00424B70"/>
    <w:rsid w:val="00425A01"/>
    <w:rsid w:val="00432702"/>
    <w:rsid w:val="00434428"/>
    <w:rsid w:val="0043451D"/>
    <w:rsid w:val="00442C5F"/>
    <w:rsid w:val="0044451C"/>
    <w:rsid w:val="00445071"/>
    <w:rsid w:val="00447C26"/>
    <w:rsid w:val="00454FAB"/>
    <w:rsid w:val="00455E83"/>
    <w:rsid w:val="00457331"/>
    <w:rsid w:val="004614C5"/>
    <w:rsid w:val="00461681"/>
    <w:rsid w:val="00466665"/>
    <w:rsid w:val="00472EBD"/>
    <w:rsid w:val="00480229"/>
    <w:rsid w:val="004813C6"/>
    <w:rsid w:val="0048221E"/>
    <w:rsid w:val="004830E7"/>
    <w:rsid w:val="00484D39"/>
    <w:rsid w:val="004859C1"/>
    <w:rsid w:val="004952A7"/>
    <w:rsid w:val="00495337"/>
    <w:rsid w:val="004955F6"/>
    <w:rsid w:val="004A76BC"/>
    <w:rsid w:val="004B0D34"/>
    <w:rsid w:val="004B58D3"/>
    <w:rsid w:val="004B6150"/>
    <w:rsid w:val="004D1148"/>
    <w:rsid w:val="004D40C7"/>
    <w:rsid w:val="004D6526"/>
    <w:rsid w:val="004E1571"/>
    <w:rsid w:val="004E4052"/>
    <w:rsid w:val="004E47CC"/>
    <w:rsid w:val="004E4B62"/>
    <w:rsid w:val="004E52C6"/>
    <w:rsid w:val="004E7246"/>
    <w:rsid w:val="004F0490"/>
    <w:rsid w:val="004F20D5"/>
    <w:rsid w:val="004F2421"/>
    <w:rsid w:val="004F7373"/>
    <w:rsid w:val="00505105"/>
    <w:rsid w:val="00511094"/>
    <w:rsid w:val="00512879"/>
    <w:rsid w:val="00515399"/>
    <w:rsid w:val="00515C71"/>
    <w:rsid w:val="005221D3"/>
    <w:rsid w:val="005227AF"/>
    <w:rsid w:val="005262AF"/>
    <w:rsid w:val="00531A8A"/>
    <w:rsid w:val="00532577"/>
    <w:rsid w:val="00535CD9"/>
    <w:rsid w:val="00537885"/>
    <w:rsid w:val="0054169E"/>
    <w:rsid w:val="005425CB"/>
    <w:rsid w:val="005432F6"/>
    <w:rsid w:val="00546A7F"/>
    <w:rsid w:val="00550E7E"/>
    <w:rsid w:val="00556C27"/>
    <w:rsid w:val="0056010D"/>
    <w:rsid w:val="00561C52"/>
    <w:rsid w:val="00563B73"/>
    <w:rsid w:val="0056443F"/>
    <w:rsid w:val="00564838"/>
    <w:rsid w:val="00565A6A"/>
    <w:rsid w:val="00570AF3"/>
    <w:rsid w:val="0057192E"/>
    <w:rsid w:val="00571D10"/>
    <w:rsid w:val="00571F08"/>
    <w:rsid w:val="00572946"/>
    <w:rsid w:val="00580345"/>
    <w:rsid w:val="0058075C"/>
    <w:rsid w:val="005816DE"/>
    <w:rsid w:val="00581C48"/>
    <w:rsid w:val="00587CAF"/>
    <w:rsid w:val="00592F48"/>
    <w:rsid w:val="005936A8"/>
    <w:rsid w:val="005A56A8"/>
    <w:rsid w:val="005A61E8"/>
    <w:rsid w:val="005B1947"/>
    <w:rsid w:val="005B6EC9"/>
    <w:rsid w:val="005C6174"/>
    <w:rsid w:val="005C690F"/>
    <w:rsid w:val="005C7A70"/>
    <w:rsid w:val="005D2773"/>
    <w:rsid w:val="005D38F1"/>
    <w:rsid w:val="005D51CE"/>
    <w:rsid w:val="005D648B"/>
    <w:rsid w:val="005D7E3D"/>
    <w:rsid w:val="005E04A9"/>
    <w:rsid w:val="005E066E"/>
    <w:rsid w:val="005E16CC"/>
    <w:rsid w:val="005E5C96"/>
    <w:rsid w:val="005F1E1A"/>
    <w:rsid w:val="005F36FE"/>
    <w:rsid w:val="005F5498"/>
    <w:rsid w:val="005F71C9"/>
    <w:rsid w:val="006037C1"/>
    <w:rsid w:val="00604457"/>
    <w:rsid w:val="00604A41"/>
    <w:rsid w:val="00604DD1"/>
    <w:rsid w:val="00605FED"/>
    <w:rsid w:val="006164DF"/>
    <w:rsid w:val="00620817"/>
    <w:rsid w:val="006208CD"/>
    <w:rsid w:val="006242F2"/>
    <w:rsid w:val="006243F7"/>
    <w:rsid w:val="00625AEB"/>
    <w:rsid w:val="00630598"/>
    <w:rsid w:val="00636823"/>
    <w:rsid w:val="006414DC"/>
    <w:rsid w:val="00641926"/>
    <w:rsid w:val="00642854"/>
    <w:rsid w:val="006431AB"/>
    <w:rsid w:val="00644D95"/>
    <w:rsid w:val="0065689A"/>
    <w:rsid w:val="00662D89"/>
    <w:rsid w:val="00663CDF"/>
    <w:rsid w:val="00671B38"/>
    <w:rsid w:val="00677662"/>
    <w:rsid w:val="00681E9B"/>
    <w:rsid w:val="00682448"/>
    <w:rsid w:val="00690202"/>
    <w:rsid w:val="00692B87"/>
    <w:rsid w:val="00693870"/>
    <w:rsid w:val="006A0D6E"/>
    <w:rsid w:val="006B6D24"/>
    <w:rsid w:val="006C0BD7"/>
    <w:rsid w:val="006C2C5B"/>
    <w:rsid w:val="006C324C"/>
    <w:rsid w:val="006C43E9"/>
    <w:rsid w:val="006C6233"/>
    <w:rsid w:val="006C6CD6"/>
    <w:rsid w:val="006D3127"/>
    <w:rsid w:val="006D57C1"/>
    <w:rsid w:val="006D65A5"/>
    <w:rsid w:val="006E0AAF"/>
    <w:rsid w:val="006E2921"/>
    <w:rsid w:val="006E6C18"/>
    <w:rsid w:val="006E72D4"/>
    <w:rsid w:val="006F1838"/>
    <w:rsid w:val="006F3746"/>
    <w:rsid w:val="006F3830"/>
    <w:rsid w:val="006F3BE6"/>
    <w:rsid w:val="006F686D"/>
    <w:rsid w:val="006F79F1"/>
    <w:rsid w:val="006F7B5F"/>
    <w:rsid w:val="00702D5F"/>
    <w:rsid w:val="0070440D"/>
    <w:rsid w:val="00704E44"/>
    <w:rsid w:val="0072468E"/>
    <w:rsid w:val="0072524B"/>
    <w:rsid w:val="00730AA9"/>
    <w:rsid w:val="00731955"/>
    <w:rsid w:val="0073284C"/>
    <w:rsid w:val="007436DB"/>
    <w:rsid w:val="007440C6"/>
    <w:rsid w:val="00744C05"/>
    <w:rsid w:val="00747B25"/>
    <w:rsid w:val="00750E17"/>
    <w:rsid w:val="00754F72"/>
    <w:rsid w:val="00755544"/>
    <w:rsid w:val="00755C2D"/>
    <w:rsid w:val="007579F8"/>
    <w:rsid w:val="0076103D"/>
    <w:rsid w:val="0076657F"/>
    <w:rsid w:val="00770E69"/>
    <w:rsid w:val="00772BBA"/>
    <w:rsid w:val="007733AD"/>
    <w:rsid w:val="007765CD"/>
    <w:rsid w:val="00784B5E"/>
    <w:rsid w:val="00784CEA"/>
    <w:rsid w:val="007853EE"/>
    <w:rsid w:val="00785547"/>
    <w:rsid w:val="00787499"/>
    <w:rsid w:val="0079777E"/>
    <w:rsid w:val="007A073A"/>
    <w:rsid w:val="007A4F6D"/>
    <w:rsid w:val="007B0293"/>
    <w:rsid w:val="007B16F8"/>
    <w:rsid w:val="007B17C0"/>
    <w:rsid w:val="007B2763"/>
    <w:rsid w:val="007B7029"/>
    <w:rsid w:val="007C2E4B"/>
    <w:rsid w:val="007C349C"/>
    <w:rsid w:val="007C4C8E"/>
    <w:rsid w:val="007C4D13"/>
    <w:rsid w:val="007C6798"/>
    <w:rsid w:val="007D10C8"/>
    <w:rsid w:val="007D14F7"/>
    <w:rsid w:val="007D354B"/>
    <w:rsid w:val="007D3E11"/>
    <w:rsid w:val="007D4DD4"/>
    <w:rsid w:val="007D6307"/>
    <w:rsid w:val="007D7528"/>
    <w:rsid w:val="007F6198"/>
    <w:rsid w:val="007F6273"/>
    <w:rsid w:val="007F78AB"/>
    <w:rsid w:val="00810943"/>
    <w:rsid w:val="00810D79"/>
    <w:rsid w:val="0081756A"/>
    <w:rsid w:val="0082101B"/>
    <w:rsid w:val="008278B8"/>
    <w:rsid w:val="00827927"/>
    <w:rsid w:val="00830696"/>
    <w:rsid w:val="00832487"/>
    <w:rsid w:val="00834E70"/>
    <w:rsid w:val="008402F8"/>
    <w:rsid w:val="0084188B"/>
    <w:rsid w:val="00842A21"/>
    <w:rsid w:val="00845B0E"/>
    <w:rsid w:val="00852658"/>
    <w:rsid w:val="00854721"/>
    <w:rsid w:val="00860754"/>
    <w:rsid w:val="008614CC"/>
    <w:rsid w:val="00865290"/>
    <w:rsid w:val="008668A6"/>
    <w:rsid w:val="00873CC0"/>
    <w:rsid w:val="00873E9F"/>
    <w:rsid w:val="008822C1"/>
    <w:rsid w:val="008822CD"/>
    <w:rsid w:val="00887239"/>
    <w:rsid w:val="0088747C"/>
    <w:rsid w:val="00890748"/>
    <w:rsid w:val="008A3BEC"/>
    <w:rsid w:val="008B7D4E"/>
    <w:rsid w:val="008C3428"/>
    <w:rsid w:val="008D3B3F"/>
    <w:rsid w:val="008D4F34"/>
    <w:rsid w:val="008E1073"/>
    <w:rsid w:val="008F343B"/>
    <w:rsid w:val="0090412E"/>
    <w:rsid w:val="00907C6E"/>
    <w:rsid w:val="00910028"/>
    <w:rsid w:val="00912018"/>
    <w:rsid w:val="009165F9"/>
    <w:rsid w:val="00917AAE"/>
    <w:rsid w:val="00921474"/>
    <w:rsid w:val="009222A7"/>
    <w:rsid w:val="00922F61"/>
    <w:rsid w:val="00927131"/>
    <w:rsid w:val="00933B69"/>
    <w:rsid w:val="0093642E"/>
    <w:rsid w:val="00936CFC"/>
    <w:rsid w:val="009432AB"/>
    <w:rsid w:val="00943435"/>
    <w:rsid w:val="009458D6"/>
    <w:rsid w:val="009506D3"/>
    <w:rsid w:val="00950D76"/>
    <w:rsid w:val="009643D0"/>
    <w:rsid w:val="00964403"/>
    <w:rsid w:val="00964755"/>
    <w:rsid w:val="00971DB0"/>
    <w:rsid w:val="00972833"/>
    <w:rsid w:val="009739BA"/>
    <w:rsid w:val="00975A2A"/>
    <w:rsid w:val="00982343"/>
    <w:rsid w:val="00983120"/>
    <w:rsid w:val="0098572B"/>
    <w:rsid w:val="0099391A"/>
    <w:rsid w:val="00995987"/>
    <w:rsid w:val="00996BDA"/>
    <w:rsid w:val="009A0186"/>
    <w:rsid w:val="009B0F94"/>
    <w:rsid w:val="009B1B0E"/>
    <w:rsid w:val="009B4BAE"/>
    <w:rsid w:val="009C0177"/>
    <w:rsid w:val="009C3466"/>
    <w:rsid w:val="009C3A1D"/>
    <w:rsid w:val="009D7D07"/>
    <w:rsid w:val="009E0F24"/>
    <w:rsid w:val="009E112F"/>
    <w:rsid w:val="009F4204"/>
    <w:rsid w:val="009F6C22"/>
    <w:rsid w:val="00A01FC1"/>
    <w:rsid w:val="00A03AD8"/>
    <w:rsid w:val="00A042BC"/>
    <w:rsid w:val="00A045F2"/>
    <w:rsid w:val="00A07350"/>
    <w:rsid w:val="00A13D37"/>
    <w:rsid w:val="00A225FE"/>
    <w:rsid w:val="00A22EE0"/>
    <w:rsid w:val="00A232FC"/>
    <w:rsid w:val="00A23D44"/>
    <w:rsid w:val="00A26EF4"/>
    <w:rsid w:val="00A342DD"/>
    <w:rsid w:val="00A36A13"/>
    <w:rsid w:val="00A36E65"/>
    <w:rsid w:val="00A37856"/>
    <w:rsid w:val="00A421C7"/>
    <w:rsid w:val="00A42F61"/>
    <w:rsid w:val="00A45768"/>
    <w:rsid w:val="00A45EE8"/>
    <w:rsid w:val="00A462A9"/>
    <w:rsid w:val="00A650E4"/>
    <w:rsid w:val="00A66137"/>
    <w:rsid w:val="00A70CB7"/>
    <w:rsid w:val="00A73E9A"/>
    <w:rsid w:val="00A82397"/>
    <w:rsid w:val="00A85D06"/>
    <w:rsid w:val="00A85D07"/>
    <w:rsid w:val="00A87CBB"/>
    <w:rsid w:val="00A93A5C"/>
    <w:rsid w:val="00A94490"/>
    <w:rsid w:val="00A9568D"/>
    <w:rsid w:val="00A95E07"/>
    <w:rsid w:val="00AA3C9B"/>
    <w:rsid w:val="00AA4AB7"/>
    <w:rsid w:val="00AA4B78"/>
    <w:rsid w:val="00AA4E23"/>
    <w:rsid w:val="00AA6E4A"/>
    <w:rsid w:val="00AA75C3"/>
    <w:rsid w:val="00AA7A9D"/>
    <w:rsid w:val="00AB458D"/>
    <w:rsid w:val="00AB4BB1"/>
    <w:rsid w:val="00AC3438"/>
    <w:rsid w:val="00AC3609"/>
    <w:rsid w:val="00AC3A1D"/>
    <w:rsid w:val="00AD468B"/>
    <w:rsid w:val="00AD58F0"/>
    <w:rsid w:val="00AE18E8"/>
    <w:rsid w:val="00AE2C5D"/>
    <w:rsid w:val="00AE5058"/>
    <w:rsid w:val="00AE512D"/>
    <w:rsid w:val="00AF1D0B"/>
    <w:rsid w:val="00AF39B0"/>
    <w:rsid w:val="00AF4DA4"/>
    <w:rsid w:val="00B04D4D"/>
    <w:rsid w:val="00B050D9"/>
    <w:rsid w:val="00B10310"/>
    <w:rsid w:val="00B11189"/>
    <w:rsid w:val="00B152A2"/>
    <w:rsid w:val="00B20484"/>
    <w:rsid w:val="00B223FF"/>
    <w:rsid w:val="00B229D2"/>
    <w:rsid w:val="00B22A17"/>
    <w:rsid w:val="00B22B9F"/>
    <w:rsid w:val="00B24D5E"/>
    <w:rsid w:val="00B426A8"/>
    <w:rsid w:val="00B432A1"/>
    <w:rsid w:val="00B4767D"/>
    <w:rsid w:val="00B54843"/>
    <w:rsid w:val="00B565FF"/>
    <w:rsid w:val="00B675A3"/>
    <w:rsid w:val="00B679A1"/>
    <w:rsid w:val="00B72538"/>
    <w:rsid w:val="00B737EA"/>
    <w:rsid w:val="00B7386C"/>
    <w:rsid w:val="00B740BC"/>
    <w:rsid w:val="00B76572"/>
    <w:rsid w:val="00B81077"/>
    <w:rsid w:val="00B93EED"/>
    <w:rsid w:val="00B9455A"/>
    <w:rsid w:val="00B961BD"/>
    <w:rsid w:val="00B967D8"/>
    <w:rsid w:val="00B96BA6"/>
    <w:rsid w:val="00BA321E"/>
    <w:rsid w:val="00BA5BB0"/>
    <w:rsid w:val="00BB1198"/>
    <w:rsid w:val="00BB2B2C"/>
    <w:rsid w:val="00BB3E2E"/>
    <w:rsid w:val="00BB5711"/>
    <w:rsid w:val="00BC1D92"/>
    <w:rsid w:val="00BC23C6"/>
    <w:rsid w:val="00BC5D5A"/>
    <w:rsid w:val="00BC61E6"/>
    <w:rsid w:val="00BC64B2"/>
    <w:rsid w:val="00BD33F6"/>
    <w:rsid w:val="00BD3CAB"/>
    <w:rsid w:val="00BD6505"/>
    <w:rsid w:val="00BE5A79"/>
    <w:rsid w:val="00BF0000"/>
    <w:rsid w:val="00BF0C25"/>
    <w:rsid w:val="00BF0D74"/>
    <w:rsid w:val="00BF0FFA"/>
    <w:rsid w:val="00BF1761"/>
    <w:rsid w:val="00BF5044"/>
    <w:rsid w:val="00BF6F7F"/>
    <w:rsid w:val="00BF7F6E"/>
    <w:rsid w:val="00C00C58"/>
    <w:rsid w:val="00C0281C"/>
    <w:rsid w:val="00C074AB"/>
    <w:rsid w:val="00C12FF6"/>
    <w:rsid w:val="00C2226B"/>
    <w:rsid w:val="00C25F8B"/>
    <w:rsid w:val="00C26B0F"/>
    <w:rsid w:val="00C4049C"/>
    <w:rsid w:val="00C42A8E"/>
    <w:rsid w:val="00C4405C"/>
    <w:rsid w:val="00C4727D"/>
    <w:rsid w:val="00C500A8"/>
    <w:rsid w:val="00C529B0"/>
    <w:rsid w:val="00C5377F"/>
    <w:rsid w:val="00C53D83"/>
    <w:rsid w:val="00C60055"/>
    <w:rsid w:val="00C60D14"/>
    <w:rsid w:val="00C7019D"/>
    <w:rsid w:val="00C7054B"/>
    <w:rsid w:val="00C76A82"/>
    <w:rsid w:val="00C775BF"/>
    <w:rsid w:val="00C77FEB"/>
    <w:rsid w:val="00C8214A"/>
    <w:rsid w:val="00C825E5"/>
    <w:rsid w:val="00C849B4"/>
    <w:rsid w:val="00C91E33"/>
    <w:rsid w:val="00C91EF7"/>
    <w:rsid w:val="00C93AB7"/>
    <w:rsid w:val="00C97C1F"/>
    <w:rsid w:val="00C97D03"/>
    <w:rsid w:val="00CA4C3A"/>
    <w:rsid w:val="00CA7F1D"/>
    <w:rsid w:val="00CB1EAE"/>
    <w:rsid w:val="00CB6E87"/>
    <w:rsid w:val="00CB74AF"/>
    <w:rsid w:val="00CC1D85"/>
    <w:rsid w:val="00CC4E66"/>
    <w:rsid w:val="00CD4743"/>
    <w:rsid w:val="00CD6238"/>
    <w:rsid w:val="00CD6876"/>
    <w:rsid w:val="00CE0B7D"/>
    <w:rsid w:val="00CE2973"/>
    <w:rsid w:val="00CE4E0C"/>
    <w:rsid w:val="00CE719D"/>
    <w:rsid w:val="00CF2153"/>
    <w:rsid w:val="00CF23B9"/>
    <w:rsid w:val="00CF2D0B"/>
    <w:rsid w:val="00CF2FAE"/>
    <w:rsid w:val="00CF6C65"/>
    <w:rsid w:val="00CF723E"/>
    <w:rsid w:val="00CF75EA"/>
    <w:rsid w:val="00D02831"/>
    <w:rsid w:val="00D07E4B"/>
    <w:rsid w:val="00D12082"/>
    <w:rsid w:val="00D12B95"/>
    <w:rsid w:val="00D144B1"/>
    <w:rsid w:val="00D164BC"/>
    <w:rsid w:val="00D17F34"/>
    <w:rsid w:val="00D20434"/>
    <w:rsid w:val="00D20AC4"/>
    <w:rsid w:val="00D2273C"/>
    <w:rsid w:val="00D26996"/>
    <w:rsid w:val="00D306E0"/>
    <w:rsid w:val="00D32932"/>
    <w:rsid w:val="00D34C0F"/>
    <w:rsid w:val="00D36A13"/>
    <w:rsid w:val="00D4213B"/>
    <w:rsid w:val="00D4498D"/>
    <w:rsid w:val="00D52ABD"/>
    <w:rsid w:val="00D64C4F"/>
    <w:rsid w:val="00D6520E"/>
    <w:rsid w:val="00D72E57"/>
    <w:rsid w:val="00D77D2E"/>
    <w:rsid w:val="00D81275"/>
    <w:rsid w:val="00D81A0C"/>
    <w:rsid w:val="00D81BC1"/>
    <w:rsid w:val="00D82691"/>
    <w:rsid w:val="00D8328A"/>
    <w:rsid w:val="00D87B97"/>
    <w:rsid w:val="00D96B0C"/>
    <w:rsid w:val="00D97F83"/>
    <w:rsid w:val="00DA04B8"/>
    <w:rsid w:val="00DA12E8"/>
    <w:rsid w:val="00DA1EA0"/>
    <w:rsid w:val="00DA3235"/>
    <w:rsid w:val="00DB0E6B"/>
    <w:rsid w:val="00DB144B"/>
    <w:rsid w:val="00DB2597"/>
    <w:rsid w:val="00DC28F3"/>
    <w:rsid w:val="00DD22BB"/>
    <w:rsid w:val="00DD30C7"/>
    <w:rsid w:val="00DD4191"/>
    <w:rsid w:val="00DD7A70"/>
    <w:rsid w:val="00DE1D4B"/>
    <w:rsid w:val="00DE6549"/>
    <w:rsid w:val="00DE76E1"/>
    <w:rsid w:val="00DF43D9"/>
    <w:rsid w:val="00DF4FF3"/>
    <w:rsid w:val="00E012E0"/>
    <w:rsid w:val="00E22489"/>
    <w:rsid w:val="00E24DC5"/>
    <w:rsid w:val="00E31CB8"/>
    <w:rsid w:val="00E332FF"/>
    <w:rsid w:val="00E36882"/>
    <w:rsid w:val="00E41D18"/>
    <w:rsid w:val="00E50193"/>
    <w:rsid w:val="00E547F7"/>
    <w:rsid w:val="00E6481C"/>
    <w:rsid w:val="00E67036"/>
    <w:rsid w:val="00E71DCB"/>
    <w:rsid w:val="00E82B22"/>
    <w:rsid w:val="00E90AA2"/>
    <w:rsid w:val="00E9126A"/>
    <w:rsid w:val="00E9201E"/>
    <w:rsid w:val="00E959C4"/>
    <w:rsid w:val="00E97367"/>
    <w:rsid w:val="00EA372C"/>
    <w:rsid w:val="00EA561F"/>
    <w:rsid w:val="00EA5A85"/>
    <w:rsid w:val="00EA64C5"/>
    <w:rsid w:val="00EB1B75"/>
    <w:rsid w:val="00EB43B2"/>
    <w:rsid w:val="00EB444E"/>
    <w:rsid w:val="00EB6CF0"/>
    <w:rsid w:val="00ED0F4A"/>
    <w:rsid w:val="00ED2F9F"/>
    <w:rsid w:val="00ED3627"/>
    <w:rsid w:val="00ED5B3F"/>
    <w:rsid w:val="00ED6D70"/>
    <w:rsid w:val="00EE3D9B"/>
    <w:rsid w:val="00EE6243"/>
    <w:rsid w:val="00EF4795"/>
    <w:rsid w:val="00EF54ED"/>
    <w:rsid w:val="00EF592F"/>
    <w:rsid w:val="00EF5A23"/>
    <w:rsid w:val="00EF6B39"/>
    <w:rsid w:val="00EF6C8B"/>
    <w:rsid w:val="00F03B76"/>
    <w:rsid w:val="00F206F2"/>
    <w:rsid w:val="00F20A87"/>
    <w:rsid w:val="00F25468"/>
    <w:rsid w:val="00F31177"/>
    <w:rsid w:val="00F34345"/>
    <w:rsid w:val="00F365D3"/>
    <w:rsid w:val="00F43464"/>
    <w:rsid w:val="00F44817"/>
    <w:rsid w:val="00F46ED3"/>
    <w:rsid w:val="00F50072"/>
    <w:rsid w:val="00F50BC3"/>
    <w:rsid w:val="00F5345C"/>
    <w:rsid w:val="00F61FB6"/>
    <w:rsid w:val="00F62B7F"/>
    <w:rsid w:val="00F64017"/>
    <w:rsid w:val="00F65096"/>
    <w:rsid w:val="00F65D8D"/>
    <w:rsid w:val="00F673C7"/>
    <w:rsid w:val="00F71918"/>
    <w:rsid w:val="00F75281"/>
    <w:rsid w:val="00F84A56"/>
    <w:rsid w:val="00F87926"/>
    <w:rsid w:val="00F91069"/>
    <w:rsid w:val="00F92B7B"/>
    <w:rsid w:val="00F936DE"/>
    <w:rsid w:val="00FA3C3D"/>
    <w:rsid w:val="00FA5506"/>
    <w:rsid w:val="00FA7876"/>
    <w:rsid w:val="00FB09CD"/>
    <w:rsid w:val="00FB0D59"/>
    <w:rsid w:val="00FB2F49"/>
    <w:rsid w:val="00FB52FD"/>
    <w:rsid w:val="00FC2034"/>
    <w:rsid w:val="00FC52C6"/>
    <w:rsid w:val="00FC6308"/>
    <w:rsid w:val="00FC69EE"/>
    <w:rsid w:val="00FC7906"/>
    <w:rsid w:val="00FD78EB"/>
    <w:rsid w:val="00FE4F1D"/>
    <w:rsid w:val="00FE62B8"/>
    <w:rsid w:val="00FE69A6"/>
    <w:rsid w:val="00FF0361"/>
    <w:rsid w:val="00FF383B"/>
    <w:rsid w:val="00FF40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5B0F61"/>
  <w15:docId w15:val="{5FC65C4B-E43C-4E5B-8E61-F50345CC1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04E2"/>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character" w:styleId="Hipervnculo">
    <w:name w:val="Hyperlink"/>
    <w:basedOn w:val="Fuentedeprrafopredeter"/>
    <w:uiPriority w:val="99"/>
    <w:unhideWhenUsed/>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color w:val="000000" w:themeColor="text1"/>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39"/>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5425CB"/>
    <w:rPr>
      <w:color w:val="605E5C"/>
      <w:shd w:val="clear" w:color="auto" w:fill="E1DFDD"/>
    </w:rPr>
  </w:style>
  <w:style w:type="character" w:customStyle="1" w:styleId="PuestoCar">
    <w:name w:val="Puesto Car"/>
    <w:basedOn w:val="Fuentedeprrafopredeter"/>
    <w:link w:val="Puesto"/>
    <w:uiPriority w:val="10"/>
    <w:rsid w:val="00220B70"/>
    <w:rPr>
      <w:b/>
      <w:sz w:val="72"/>
      <w:szCs w:val="72"/>
    </w:rPr>
  </w:style>
  <w:style w:type="paragraph" w:styleId="Revisin">
    <w:name w:val="Revision"/>
    <w:hidden/>
    <w:uiPriority w:val="99"/>
    <w:semiHidden/>
    <w:rsid w:val="00421C8C"/>
    <w:pPr>
      <w:spacing w:after="0" w:line="240" w:lineRule="auto"/>
      <w:jc w:val="left"/>
    </w:pPr>
  </w:style>
  <w:style w:type="character" w:customStyle="1" w:styleId="Mencinsinresolver4">
    <w:name w:val="Mención sin resolver4"/>
    <w:basedOn w:val="Fuentedeprrafopredeter"/>
    <w:uiPriority w:val="99"/>
    <w:semiHidden/>
    <w:unhideWhenUsed/>
    <w:rsid w:val="001850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00833">
      <w:bodyDiv w:val="1"/>
      <w:marLeft w:val="0"/>
      <w:marRight w:val="0"/>
      <w:marTop w:val="0"/>
      <w:marBottom w:val="0"/>
      <w:divBdr>
        <w:top w:val="none" w:sz="0" w:space="0" w:color="auto"/>
        <w:left w:val="none" w:sz="0" w:space="0" w:color="auto"/>
        <w:bottom w:val="none" w:sz="0" w:space="0" w:color="auto"/>
        <w:right w:val="none" w:sz="0" w:space="0" w:color="auto"/>
      </w:divBdr>
    </w:div>
    <w:div w:id="78214272">
      <w:bodyDiv w:val="1"/>
      <w:marLeft w:val="0"/>
      <w:marRight w:val="0"/>
      <w:marTop w:val="0"/>
      <w:marBottom w:val="0"/>
      <w:divBdr>
        <w:top w:val="none" w:sz="0" w:space="0" w:color="auto"/>
        <w:left w:val="none" w:sz="0" w:space="0" w:color="auto"/>
        <w:bottom w:val="none" w:sz="0" w:space="0" w:color="auto"/>
        <w:right w:val="none" w:sz="0" w:space="0" w:color="auto"/>
      </w:divBdr>
    </w:div>
    <w:div w:id="99683583">
      <w:bodyDiv w:val="1"/>
      <w:marLeft w:val="0"/>
      <w:marRight w:val="0"/>
      <w:marTop w:val="0"/>
      <w:marBottom w:val="0"/>
      <w:divBdr>
        <w:top w:val="none" w:sz="0" w:space="0" w:color="auto"/>
        <w:left w:val="none" w:sz="0" w:space="0" w:color="auto"/>
        <w:bottom w:val="none" w:sz="0" w:space="0" w:color="auto"/>
        <w:right w:val="none" w:sz="0" w:space="0" w:color="auto"/>
      </w:divBdr>
    </w:div>
    <w:div w:id="100809732">
      <w:bodyDiv w:val="1"/>
      <w:marLeft w:val="0"/>
      <w:marRight w:val="0"/>
      <w:marTop w:val="0"/>
      <w:marBottom w:val="0"/>
      <w:divBdr>
        <w:top w:val="none" w:sz="0" w:space="0" w:color="auto"/>
        <w:left w:val="none" w:sz="0" w:space="0" w:color="auto"/>
        <w:bottom w:val="none" w:sz="0" w:space="0" w:color="auto"/>
        <w:right w:val="none" w:sz="0" w:space="0" w:color="auto"/>
      </w:divBdr>
    </w:div>
    <w:div w:id="110170123">
      <w:bodyDiv w:val="1"/>
      <w:marLeft w:val="0"/>
      <w:marRight w:val="0"/>
      <w:marTop w:val="0"/>
      <w:marBottom w:val="0"/>
      <w:divBdr>
        <w:top w:val="none" w:sz="0" w:space="0" w:color="auto"/>
        <w:left w:val="none" w:sz="0" w:space="0" w:color="auto"/>
        <w:bottom w:val="none" w:sz="0" w:space="0" w:color="auto"/>
        <w:right w:val="none" w:sz="0" w:space="0" w:color="auto"/>
      </w:divBdr>
    </w:div>
    <w:div w:id="111676541">
      <w:bodyDiv w:val="1"/>
      <w:marLeft w:val="0"/>
      <w:marRight w:val="0"/>
      <w:marTop w:val="0"/>
      <w:marBottom w:val="0"/>
      <w:divBdr>
        <w:top w:val="none" w:sz="0" w:space="0" w:color="auto"/>
        <w:left w:val="none" w:sz="0" w:space="0" w:color="auto"/>
        <w:bottom w:val="none" w:sz="0" w:space="0" w:color="auto"/>
        <w:right w:val="none" w:sz="0" w:space="0" w:color="auto"/>
      </w:divBdr>
    </w:div>
    <w:div w:id="197670164">
      <w:bodyDiv w:val="1"/>
      <w:marLeft w:val="0"/>
      <w:marRight w:val="0"/>
      <w:marTop w:val="0"/>
      <w:marBottom w:val="0"/>
      <w:divBdr>
        <w:top w:val="none" w:sz="0" w:space="0" w:color="auto"/>
        <w:left w:val="none" w:sz="0" w:space="0" w:color="auto"/>
        <w:bottom w:val="none" w:sz="0" w:space="0" w:color="auto"/>
        <w:right w:val="none" w:sz="0" w:space="0" w:color="auto"/>
      </w:divBdr>
    </w:div>
    <w:div w:id="259266464">
      <w:bodyDiv w:val="1"/>
      <w:marLeft w:val="0"/>
      <w:marRight w:val="0"/>
      <w:marTop w:val="0"/>
      <w:marBottom w:val="0"/>
      <w:divBdr>
        <w:top w:val="none" w:sz="0" w:space="0" w:color="auto"/>
        <w:left w:val="none" w:sz="0" w:space="0" w:color="auto"/>
        <w:bottom w:val="none" w:sz="0" w:space="0" w:color="auto"/>
        <w:right w:val="none" w:sz="0" w:space="0" w:color="auto"/>
      </w:divBdr>
    </w:div>
    <w:div w:id="285963118">
      <w:bodyDiv w:val="1"/>
      <w:marLeft w:val="0"/>
      <w:marRight w:val="0"/>
      <w:marTop w:val="0"/>
      <w:marBottom w:val="0"/>
      <w:divBdr>
        <w:top w:val="none" w:sz="0" w:space="0" w:color="auto"/>
        <w:left w:val="none" w:sz="0" w:space="0" w:color="auto"/>
        <w:bottom w:val="none" w:sz="0" w:space="0" w:color="auto"/>
        <w:right w:val="none" w:sz="0" w:space="0" w:color="auto"/>
      </w:divBdr>
    </w:div>
    <w:div w:id="365717903">
      <w:bodyDiv w:val="1"/>
      <w:marLeft w:val="0"/>
      <w:marRight w:val="0"/>
      <w:marTop w:val="0"/>
      <w:marBottom w:val="0"/>
      <w:divBdr>
        <w:top w:val="none" w:sz="0" w:space="0" w:color="auto"/>
        <w:left w:val="none" w:sz="0" w:space="0" w:color="auto"/>
        <w:bottom w:val="none" w:sz="0" w:space="0" w:color="auto"/>
        <w:right w:val="none" w:sz="0" w:space="0" w:color="auto"/>
      </w:divBdr>
    </w:div>
    <w:div w:id="396781848">
      <w:bodyDiv w:val="1"/>
      <w:marLeft w:val="0"/>
      <w:marRight w:val="0"/>
      <w:marTop w:val="0"/>
      <w:marBottom w:val="0"/>
      <w:divBdr>
        <w:top w:val="none" w:sz="0" w:space="0" w:color="auto"/>
        <w:left w:val="none" w:sz="0" w:space="0" w:color="auto"/>
        <w:bottom w:val="none" w:sz="0" w:space="0" w:color="auto"/>
        <w:right w:val="none" w:sz="0" w:space="0" w:color="auto"/>
      </w:divBdr>
    </w:div>
    <w:div w:id="398290046">
      <w:bodyDiv w:val="1"/>
      <w:marLeft w:val="0"/>
      <w:marRight w:val="0"/>
      <w:marTop w:val="0"/>
      <w:marBottom w:val="0"/>
      <w:divBdr>
        <w:top w:val="none" w:sz="0" w:space="0" w:color="auto"/>
        <w:left w:val="none" w:sz="0" w:space="0" w:color="auto"/>
        <w:bottom w:val="none" w:sz="0" w:space="0" w:color="auto"/>
        <w:right w:val="none" w:sz="0" w:space="0" w:color="auto"/>
      </w:divBdr>
    </w:div>
    <w:div w:id="443961323">
      <w:bodyDiv w:val="1"/>
      <w:marLeft w:val="0"/>
      <w:marRight w:val="0"/>
      <w:marTop w:val="0"/>
      <w:marBottom w:val="0"/>
      <w:divBdr>
        <w:top w:val="none" w:sz="0" w:space="0" w:color="auto"/>
        <w:left w:val="none" w:sz="0" w:space="0" w:color="auto"/>
        <w:bottom w:val="none" w:sz="0" w:space="0" w:color="auto"/>
        <w:right w:val="none" w:sz="0" w:space="0" w:color="auto"/>
      </w:divBdr>
    </w:div>
    <w:div w:id="567770280">
      <w:bodyDiv w:val="1"/>
      <w:marLeft w:val="0"/>
      <w:marRight w:val="0"/>
      <w:marTop w:val="0"/>
      <w:marBottom w:val="0"/>
      <w:divBdr>
        <w:top w:val="none" w:sz="0" w:space="0" w:color="auto"/>
        <w:left w:val="none" w:sz="0" w:space="0" w:color="auto"/>
        <w:bottom w:val="none" w:sz="0" w:space="0" w:color="auto"/>
        <w:right w:val="none" w:sz="0" w:space="0" w:color="auto"/>
      </w:divBdr>
    </w:div>
    <w:div w:id="580018389">
      <w:bodyDiv w:val="1"/>
      <w:marLeft w:val="0"/>
      <w:marRight w:val="0"/>
      <w:marTop w:val="0"/>
      <w:marBottom w:val="0"/>
      <w:divBdr>
        <w:top w:val="none" w:sz="0" w:space="0" w:color="auto"/>
        <w:left w:val="none" w:sz="0" w:space="0" w:color="auto"/>
        <w:bottom w:val="none" w:sz="0" w:space="0" w:color="auto"/>
        <w:right w:val="none" w:sz="0" w:space="0" w:color="auto"/>
      </w:divBdr>
    </w:div>
    <w:div w:id="619342602">
      <w:bodyDiv w:val="1"/>
      <w:marLeft w:val="0"/>
      <w:marRight w:val="0"/>
      <w:marTop w:val="0"/>
      <w:marBottom w:val="0"/>
      <w:divBdr>
        <w:top w:val="none" w:sz="0" w:space="0" w:color="auto"/>
        <w:left w:val="none" w:sz="0" w:space="0" w:color="auto"/>
        <w:bottom w:val="none" w:sz="0" w:space="0" w:color="auto"/>
        <w:right w:val="none" w:sz="0" w:space="0" w:color="auto"/>
      </w:divBdr>
    </w:div>
    <w:div w:id="706832331">
      <w:bodyDiv w:val="1"/>
      <w:marLeft w:val="0"/>
      <w:marRight w:val="0"/>
      <w:marTop w:val="0"/>
      <w:marBottom w:val="0"/>
      <w:divBdr>
        <w:top w:val="none" w:sz="0" w:space="0" w:color="auto"/>
        <w:left w:val="none" w:sz="0" w:space="0" w:color="auto"/>
        <w:bottom w:val="none" w:sz="0" w:space="0" w:color="auto"/>
        <w:right w:val="none" w:sz="0" w:space="0" w:color="auto"/>
      </w:divBdr>
    </w:div>
    <w:div w:id="736363224">
      <w:bodyDiv w:val="1"/>
      <w:marLeft w:val="0"/>
      <w:marRight w:val="0"/>
      <w:marTop w:val="0"/>
      <w:marBottom w:val="0"/>
      <w:divBdr>
        <w:top w:val="none" w:sz="0" w:space="0" w:color="auto"/>
        <w:left w:val="none" w:sz="0" w:space="0" w:color="auto"/>
        <w:bottom w:val="none" w:sz="0" w:space="0" w:color="auto"/>
        <w:right w:val="none" w:sz="0" w:space="0" w:color="auto"/>
      </w:divBdr>
    </w:div>
    <w:div w:id="773981577">
      <w:bodyDiv w:val="1"/>
      <w:marLeft w:val="0"/>
      <w:marRight w:val="0"/>
      <w:marTop w:val="0"/>
      <w:marBottom w:val="0"/>
      <w:divBdr>
        <w:top w:val="none" w:sz="0" w:space="0" w:color="auto"/>
        <w:left w:val="none" w:sz="0" w:space="0" w:color="auto"/>
        <w:bottom w:val="none" w:sz="0" w:space="0" w:color="auto"/>
        <w:right w:val="none" w:sz="0" w:space="0" w:color="auto"/>
      </w:divBdr>
    </w:div>
    <w:div w:id="811555648">
      <w:bodyDiv w:val="1"/>
      <w:marLeft w:val="0"/>
      <w:marRight w:val="0"/>
      <w:marTop w:val="0"/>
      <w:marBottom w:val="0"/>
      <w:divBdr>
        <w:top w:val="none" w:sz="0" w:space="0" w:color="auto"/>
        <w:left w:val="none" w:sz="0" w:space="0" w:color="auto"/>
        <w:bottom w:val="none" w:sz="0" w:space="0" w:color="auto"/>
        <w:right w:val="none" w:sz="0" w:space="0" w:color="auto"/>
      </w:divBdr>
    </w:div>
    <w:div w:id="1049652340">
      <w:bodyDiv w:val="1"/>
      <w:marLeft w:val="0"/>
      <w:marRight w:val="0"/>
      <w:marTop w:val="0"/>
      <w:marBottom w:val="0"/>
      <w:divBdr>
        <w:top w:val="none" w:sz="0" w:space="0" w:color="auto"/>
        <w:left w:val="none" w:sz="0" w:space="0" w:color="auto"/>
        <w:bottom w:val="none" w:sz="0" w:space="0" w:color="auto"/>
        <w:right w:val="none" w:sz="0" w:space="0" w:color="auto"/>
      </w:divBdr>
    </w:div>
    <w:div w:id="1115633147">
      <w:bodyDiv w:val="1"/>
      <w:marLeft w:val="0"/>
      <w:marRight w:val="0"/>
      <w:marTop w:val="0"/>
      <w:marBottom w:val="0"/>
      <w:divBdr>
        <w:top w:val="none" w:sz="0" w:space="0" w:color="auto"/>
        <w:left w:val="none" w:sz="0" w:space="0" w:color="auto"/>
        <w:bottom w:val="none" w:sz="0" w:space="0" w:color="auto"/>
        <w:right w:val="none" w:sz="0" w:space="0" w:color="auto"/>
      </w:divBdr>
    </w:div>
    <w:div w:id="1139028987">
      <w:bodyDiv w:val="1"/>
      <w:marLeft w:val="0"/>
      <w:marRight w:val="0"/>
      <w:marTop w:val="0"/>
      <w:marBottom w:val="0"/>
      <w:divBdr>
        <w:top w:val="none" w:sz="0" w:space="0" w:color="auto"/>
        <w:left w:val="none" w:sz="0" w:space="0" w:color="auto"/>
        <w:bottom w:val="none" w:sz="0" w:space="0" w:color="auto"/>
        <w:right w:val="none" w:sz="0" w:space="0" w:color="auto"/>
      </w:divBdr>
    </w:div>
    <w:div w:id="1356225141">
      <w:bodyDiv w:val="1"/>
      <w:marLeft w:val="0"/>
      <w:marRight w:val="0"/>
      <w:marTop w:val="0"/>
      <w:marBottom w:val="0"/>
      <w:divBdr>
        <w:top w:val="none" w:sz="0" w:space="0" w:color="auto"/>
        <w:left w:val="none" w:sz="0" w:space="0" w:color="auto"/>
        <w:bottom w:val="none" w:sz="0" w:space="0" w:color="auto"/>
        <w:right w:val="none" w:sz="0" w:space="0" w:color="auto"/>
      </w:divBdr>
    </w:div>
    <w:div w:id="1605653053">
      <w:bodyDiv w:val="1"/>
      <w:marLeft w:val="0"/>
      <w:marRight w:val="0"/>
      <w:marTop w:val="0"/>
      <w:marBottom w:val="0"/>
      <w:divBdr>
        <w:top w:val="none" w:sz="0" w:space="0" w:color="auto"/>
        <w:left w:val="none" w:sz="0" w:space="0" w:color="auto"/>
        <w:bottom w:val="none" w:sz="0" w:space="0" w:color="auto"/>
        <w:right w:val="none" w:sz="0" w:space="0" w:color="auto"/>
      </w:divBdr>
    </w:div>
    <w:div w:id="1606770353">
      <w:bodyDiv w:val="1"/>
      <w:marLeft w:val="0"/>
      <w:marRight w:val="0"/>
      <w:marTop w:val="0"/>
      <w:marBottom w:val="0"/>
      <w:divBdr>
        <w:top w:val="none" w:sz="0" w:space="0" w:color="auto"/>
        <w:left w:val="none" w:sz="0" w:space="0" w:color="auto"/>
        <w:bottom w:val="none" w:sz="0" w:space="0" w:color="auto"/>
        <w:right w:val="none" w:sz="0" w:space="0" w:color="auto"/>
      </w:divBdr>
    </w:div>
    <w:div w:id="1629123656">
      <w:bodyDiv w:val="1"/>
      <w:marLeft w:val="0"/>
      <w:marRight w:val="0"/>
      <w:marTop w:val="0"/>
      <w:marBottom w:val="0"/>
      <w:divBdr>
        <w:top w:val="none" w:sz="0" w:space="0" w:color="auto"/>
        <w:left w:val="none" w:sz="0" w:space="0" w:color="auto"/>
        <w:bottom w:val="none" w:sz="0" w:space="0" w:color="auto"/>
        <w:right w:val="none" w:sz="0" w:space="0" w:color="auto"/>
      </w:divBdr>
    </w:div>
    <w:div w:id="1653682953">
      <w:bodyDiv w:val="1"/>
      <w:marLeft w:val="0"/>
      <w:marRight w:val="0"/>
      <w:marTop w:val="0"/>
      <w:marBottom w:val="0"/>
      <w:divBdr>
        <w:top w:val="none" w:sz="0" w:space="0" w:color="auto"/>
        <w:left w:val="none" w:sz="0" w:space="0" w:color="auto"/>
        <w:bottom w:val="none" w:sz="0" w:space="0" w:color="auto"/>
        <w:right w:val="none" w:sz="0" w:space="0" w:color="auto"/>
      </w:divBdr>
    </w:div>
    <w:div w:id="1733652469">
      <w:bodyDiv w:val="1"/>
      <w:marLeft w:val="0"/>
      <w:marRight w:val="0"/>
      <w:marTop w:val="0"/>
      <w:marBottom w:val="0"/>
      <w:divBdr>
        <w:top w:val="none" w:sz="0" w:space="0" w:color="auto"/>
        <w:left w:val="none" w:sz="0" w:space="0" w:color="auto"/>
        <w:bottom w:val="none" w:sz="0" w:space="0" w:color="auto"/>
        <w:right w:val="none" w:sz="0" w:space="0" w:color="auto"/>
      </w:divBdr>
    </w:div>
    <w:div w:id="1767001952">
      <w:bodyDiv w:val="1"/>
      <w:marLeft w:val="0"/>
      <w:marRight w:val="0"/>
      <w:marTop w:val="0"/>
      <w:marBottom w:val="0"/>
      <w:divBdr>
        <w:top w:val="none" w:sz="0" w:space="0" w:color="auto"/>
        <w:left w:val="none" w:sz="0" w:space="0" w:color="auto"/>
        <w:bottom w:val="none" w:sz="0" w:space="0" w:color="auto"/>
        <w:right w:val="none" w:sz="0" w:space="0" w:color="auto"/>
      </w:divBdr>
    </w:div>
    <w:div w:id="1793279456">
      <w:bodyDiv w:val="1"/>
      <w:marLeft w:val="0"/>
      <w:marRight w:val="0"/>
      <w:marTop w:val="0"/>
      <w:marBottom w:val="0"/>
      <w:divBdr>
        <w:top w:val="none" w:sz="0" w:space="0" w:color="auto"/>
        <w:left w:val="none" w:sz="0" w:space="0" w:color="auto"/>
        <w:bottom w:val="none" w:sz="0" w:space="0" w:color="auto"/>
        <w:right w:val="none" w:sz="0" w:space="0" w:color="auto"/>
      </w:divBdr>
    </w:div>
    <w:div w:id="1841892371">
      <w:bodyDiv w:val="1"/>
      <w:marLeft w:val="0"/>
      <w:marRight w:val="0"/>
      <w:marTop w:val="0"/>
      <w:marBottom w:val="0"/>
      <w:divBdr>
        <w:top w:val="none" w:sz="0" w:space="0" w:color="auto"/>
        <w:left w:val="none" w:sz="0" w:space="0" w:color="auto"/>
        <w:bottom w:val="none" w:sz="0" w:space="0" w:color="auto"/>
        <w:right w:val="none" w:sz="0" w:space="0" w:color="auto"/>
      </w:divBdr>
    </w:div>
    <w:div w:id="1862205478">
      <w:bodyDiv w:val="1"/>
      <w:marLeft w:val="0"/>
      <w:marRight w:val="0"/>
      <w:marTop w:val="0"/>
      <w:marBottom w:val="0"/>
      <w:divBdr>
        <w:top w:val="none" w:sz="0" w:space="0" w:color="auto"/>
        <w:left w:val="none" w:sz="0" w:space="0" w:color="auto"/>
        <w:bottom w:val="none" w:sz="0" w:space="0" w:color="auto"/>
        <w:right w:val="none" w:sz="0" w:space="0" w:color="auto"/>
      </w:divBdr>
    </w:div>
    <w:div w:id="1963999806">
      <w:bodyDiv w:val="1"/>
      <w:marLeft w:val="0"/>
      <w:marRight w:val="0"/>
      <w:marTop w:val="0"/>
      <w:marBottom w:val="0"/>
      <w:divBdr>
        <w:top w:val="none" w:sz="0" w:space="0" w:color="auto"/>
        <w:left w:val="none" w:sz="0" w:space="0" w:color="auto"/>
        <w:bottom w:val="none" w:sz="0" w:space="0" w:color="auto"/>
        <w:right w:val="none" w:sz="0" w:space="0" w:color="auto"/>
      </w:divBdr>
    </w:div>
    <w:div w:id="1993752961">
      <w:bodyDiv w:val="1"/>
      <w:marLeft w:val="0"/>
      <w:marRight w:val="0"/>
      <w:marTop w:val="0"/>
      <w:marBottom w:val="0"/>
      <w:divBdr>
        <w:top w:val="none" w:sz="0" w:space="0" w:color="auto"/>
        <w:left w:val="none" w:sz="0" w:space="0" w:color="auto"/>
        <w:bottom w:val="none" w:sz="0" w:space="0" w:color="auto"/>
        <w:right w:val="none" w:sz="0" w:space="0" w:color="auto"/>
      </w:divBdr>
    </w:div>
    <w:div w:id="2050717720">
      <w:bodyDiv w:val="1"/>
      <w:marLeft w:val="0"/>
      <w:marRight w:val="0"/>
      <w:marTop w:val="0"/>
      <w:marBottom w:val="0"/>
      <w:divBdr>
        <w:top w:val="none" w:sz="0" w:space="0" w:color="auto"/>
        <w:left w:val="none" w:sz="0" w:space="0" w:color="auto"/>
        <w:bottom w:val="none" w:sz="0" w:space="0" w:color="auto"/>
        <w:right w:val="none" w:sz="0" w:space="0" w:color="auto"/>
      </w:divBdr>
    </w:div>
    <w:div w:id="2057266760">
      <w:bodyDiv w:val="1"/>
      <w:marLeft w:val="0"/>
      <w:marRight w:val="0"/>
      <w:marTop w:val="0"/>
      <w:marBottom w:val="0"/>
      <w:divBdr>
        <w:top w:val="none" w:sz="0" w:space="0" w:color="auto"/>
        <w:left w:val="none" w:sz="0" w:space="0" w:color="auto"/>
        <w:bottom w:val="none" w:sz="0" w:space="0" w:color="auto"/>
        <w:right w:val="none" w:sz="0" w:space="0" w:color="auto"/>
      </w:divBdr>
    </w:div>
    <w:div w:id="2146585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tmp"/><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tmp"/><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3aIr9UojQM/wV1y+E4JPptzeNOA==">AMUW2mX6XfWilKOZK325xv/8M4yzOmA2OkxSKU0cxeQkI7/5C+L14wzYNPjHVed38/q5p+UJBCIwrB1FJ81EWWzvz1TYXvB7p50zJ/cXBPaOV3ut7E7zbwDZNHEZBBoL0vthUU+e2Gs1hK9VUYOLeXNIGt3WyENayg==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FE8B47F-BF53-4F56-B9BB-32B74BAFE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48</Pages>
  <Words>11888</Words>
  <Characters>65384</Characters>
  <Application>Microsoft Office Word</Application>
  <DocSecurity>0</DocSecurity>
  <Lines>544</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INFOEM415</cp:lastModifiedBy>
  <cp:revision>5</cp:revision>
  <cp:lastPrinted>2024-11-08T16:51:00Z</cp:lastPrinted>
  <dcterms:created xsi:type="dcterms:W3CDTF">2024-11-08T16:50:00Z</dcterms:created>
  <dcterms:modified xsi:type="dcterms:W3CDTF">2025-02-07T19:31:00Z</dcterms:modified>
</cp:coreProperties>
</file>