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17ABC" w14:textId="09BB314A"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191860" w:rsidRPr="001C0F0A">
        <w:rPr>
          <w:rFonts w:ascii="Palatino Linotype" w:eastAsia="Palatino Linotype" w:hAnsi="Palatino Linotype" w:cs="Palatino Linotype"/>
        </w:rPr>
        <w:t>nueve</w:t>
      </w:r>
      <w:r w:rsidR="007B04C3" w:rsidRPr="001C0F0A">
        <w:rPr>
          <w:rFonts w:ascii="Palatino Linotype" w:eastAsia="Palatino Linotype" w:hAnsi="Palatino Linotype" w:cs="Palatino Linotype"/>
        </w:rPr>
        <w:t xml:space="preserve"> de mayo</w:t>
      </w:r>
      <w:r w:rsidR="007D2ABD" w:rsidRPr="001C0F0A">
        <w:rPr>
          <w:rFonts w:ascii="Palatino Linotype" w:eastAsia="Palatino Linotype" w:hAnsi="Palatino Linotype" w:cs="Palatino Linotype"/>
        </w:rPr>
        <w:t xml:space="preserve"> de dos mil veinticuatro. </w:t>
      </w:r>
    </w:p>
    <w:p w14:paraId="31FE3944" w14:textId="77777777" w:rsidR="00DE32F1" w:rsidRPr="001C0F0A" w:rsidRDefault="00DE32F1">
      <w:pPr>
        <w:spacing w:after="0" w:line="360" w:lineRule="auto"/>
        <w:ind w:right="49"/>
        <w:jc w:val="center"/>
        <w:rPr>
          <w:rFonts w:ascii="Palatino Linotype" w:eastAsia="Palatino Linotype" w:hAnsi="Palatino Linotype" w:cs="Palatino Linotype"/>
        </w:rPr>
      </w:pPr>
    </w:p>
    <w:p w14:paraId="00E7BDAC" w14:textId="56870243"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Visto el expediente relativo al recurso de revisión </w:t>
      </w:r>
      <w:r w:rsidR="007B04C3" w:rsidRPr="001C0F0A">
        <w:rPr>
          <w:rFonts w:ascii="Palatino Linotype" w:eastAsia="Palatino Linotype" w:hAnsi="Palatino Linotype" w:cs="Palatino Linotype"/>
          <w:b/>
        </w:rPr>
        <w:t>0</w:t>
      </w:r>
      <w:r w:rsidR="00191860" w:rsidRPr="001C0F0A">
        <w:rPr>
          <w:rFonts w:ascii="Palatino Linotype" w:eastAsia="Palatino Linotype" w:hAnsi="Palatino Linotype" w:cs="Palatino Linotype"/>
          <w:b/>
        </w:rPr>
        <w:t>8364</w:t>
      </w:r>
      <w:r w:rsidRPr="001C0F0A">
        <w:rPr>
          <w:rFonts w:ascii="Palatino Linotype" w:eastAsia="Palatino Linotype" w:hAnsi="Palatino Linotype" w:cs="Palatino Linotype"/>
          <w:b/>
        </w:rPr>
        <w:t>/INFOEM/IP/RR/2023</w:t>
      </w:r>
      <w:r w:rsidRPr="001C0F0A">
        <w:rPr>
          <w:rFonts w:ascii="Palatino Linotype" w:eastAsia="Palatino Linotype" w:hAnsi="Palatino Linotype" w:cs="Palatino Linotype"/>
        </w:rPr>
        <w:t xml:space="preserve">, interpuesto por </w:t>
      </w:r>
      <w:r w:rsidR="009B6E7D">
        <w:rPr>
          <w:rFonts w:ascii="Palatino Linotype" w:eastAsia="Palatino Linotype" w:hAnsi="Palatino Linotype" w:cs="Palatino Linotype"/>
          <w:b/>
        </w:rPr>
        <w:t>XXXXXXX XXXXX XXXXXX</w:t>
      </w:r>
      <w:r w:rsidRPr="001C0F0A">
        <w:rPr>
          <w:rFonts w:ascii="Palatino Linotype" w:eastAsia="Palatino Linotype" w:hAnsi="Palatino Linotype" w:cs="Palatino Linotype"/>
        </w:rPr>
        <w:t xml:space="preserve">, al cual en lo sucesivo se le denominará la parte </w:t>
      </w:r>
      <w:r w:rsidRPr="001C0F0A">
        <w:rPr>
          <w:rFonts w:ascii="Palatino Linotype" w:eastAsia="Palatino Linotype" w:hAnsi="Palatino Linotype" w:cs="Palatino Linotype"/>
          <w:b/>
        </w:rPr>
        <w:t>RECURRENTE</w:t>
      </w:r>
      <w:r w:rsidRPr="001C0F0A">
        <w:rPr>
          <w:rFonts w:ascii="Palatino Linotype" w:eastAsia="Palatino Linotype" w:hAnsi="Palatino Linotype" w:cs="Palatino Linotype"/>
        </w:rPr>
        <w:t xml:space="preserve">, en contra de la respuesta a su solicitud de información identificada con número de folio </w:t>
      </w:r>
      <w:r w:rsidR="007B04C3" w:rsidRPr="001C0F0A">
        <w:rPr>
          <w:rFonts w:ascii="Palatino Linotype" w:eastAsia="Palatino Linotype" w:hAnsi="Palatino Linotype" w:cs="Palatino Linotype"/>
          <w:b/>
        </w:rPr>
        <w:t>00</w:t>
      </w:r>
      <w:r w:rsidR="00191860" w:rsidRPr="001C0F0A">
        <w:rPr>
          <w:rFonts w:ascii="Palatino Linotype" w:eastAsia="Palatino Linotype" w:hAnsi="Palatino Linotype" w:cs="Palatino Linotype"/>
          <w:b/>
        </w:rPr>
        <w:t>310</w:t>
      </w:r>
      <w:r w:rsidR="007B04C3" w:rsidRPr="001C0F0A">
        <w:rPr>
          <w:rFonts w:ascii="Palatino Linotype" w:eastAsia="Palatino Linotype" w:hAnsi="Palatino Linotype" w:cs="Palatino Linotype"/>
          <w:b/>
        </w:rPr>
        <w:t>/</w:t>
      </w:r>
      <w:r w:rsidR="00191860" w:rsidRPr="001C0F0A">
        <w:rPr>
          <w:rFonts w:ascii="Palatino Linotype" w:eastAsia="Palatino Linotype" w:hAnsi="Palatino Linotype" w:cs="Palatino Linotype"/>
          <w:b/>
        </w:rPr>
        <w:t>GUBERNA</w:t>
      </w:r>
      <w:r w:rsidRPr="001C0F0A">
        <w:rPr>
          <w:rFonts w:ascii="Palatino Linotype" w:eastAsia="Palatino Linotype" w:hAnsi="Palatino Linotype" w:cs="Palatino Linotype"/>
          <w:b/>
        </w:rPr>
        <w:t>/IP/2023</w:t>
      </w:r>
      <w:r w:rsidRPr="001C0F0A">
        <w:rPr>
          <w:rFonts w:ascii="Palatino Linotype" w:eastAsia="Palatino Linotype" w:hAnsi="Palatino Linotype" w:cs="Palatino Linotype"/>
        </w:rPr>
        <w:t xml:space="preserve"> proporcionada por parte de</w:t>
      </w:r>
      <w:r w:rsidR="00191860" w:rsidRPr="001C0F0A">
        <w:rPr>
          <w:rFonts w:ascii="Palatino Linotype" w:eastAsia="Palatino Linotype" w:hAnsi="Palatino Linotype" w:cs="Palatino Linotype"/>
        </w:rPr>
        <w:t xml:space="preserve"> la </w:t>
      </w:r>
      <w:r w:rsidR="00191860" w:rsidRPr="001C0F0A">
        <w:rPr>
          <w:rFonts w:ascii="Palatino Linotype" w:eastAsia="Palatino Linotype" w:hAnsi="Palatino Linotype" w:cs="Palatino Linotype"/>
          <w:b/>
          <w:bCs/>
        </w:rPr>
        <w:t>Gubernatura</w:t>
      </w:r>
      <w:r w:rsidRPr="001C0F0A">
        <w:rPr>
          <w:rFonts w:ascii="Palatino Linotype" w:eastAsia="Palatino Linotype" w:hAnsi="Palatino Linotype" w:cs="Palatino Linotype"/>
        </w:rPr>
        <w:t xml:space="preserve">, en lo sucesivo el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 se procede a dictar la presente resolución, con base en los siguientes:</w:t>
      </w:r>
    </w:p>
    <w:p w14:paraId="55642C66"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F0838BE" w14:textId="77777777" w:rsidR="00DE32F1" w:rsidRPr="001C0F0A" w:rsidRDefault="001B31D0">
      <w:pPr>
        <w:spacing w:after="0" w:line="360" w:lineRule="auto"/>
        <w:ind w:right="49"/>
        <w:jc w:val="center"/>
        <w:rPr>
          <w:rFonts w:ascii="Palatino Linotype" w:eastAsia="Palatino Linotype" w:hAnsi="Palatino Linotype" w:cs="Palatino Linotype"/>
          <w:b/>
        </w:rPr>
      </w:pPr>
      <w:r w:rsidRPr="001C0F0A">
        <w:rPr>
          <w:rFonts w:ascii="Palatino Linotype" w:eastAsia="Palatino Linotype" w:hAnsi="Palatino Linotype" w:cs="Palatino Linotype"/>
          <w:b/>
        </w:rPr>
        <w:t>I.</w:t>
      </w:r>
      <w:r w:rsidRPr="001C0F0A">
        <w:rPr>
          <w:rFonts w:ascii="Palatino Linotype" w:eastAsia="Palatino Linotype" w:hAnsi="Palatino Linotype" w:cs="Palatino Linotype"/>
          <w:b/>
        </w:rPr>
        <w:tab/>
        <w:t>A N T E C E D E N T E S</w:t>
      </w:r>
    </w:p>
    <w:p w14:paraId="7975C7B5" w14:textId="77777777" w:rsidR="00DE32F1" w:rsidRPr="001C0F0A" w:rsidRDefault="00DE32F1">
      <w:pPr>
        <w:spacing w:after="0" w:line="360" w:lineRule="auto"/>
        <w:ind w:right="49"/>
        <w:jc w:val="both"/>
        <w:rPr>
          <w:rFonts w:ascii="Palatino Linotype" w:eastAsia="Palatino Linotype" w:hAnsi="Palatino Linotype" w:cs="Palatino Linotype"/>
        </w:rPr>
      </w:pPr>
    </w:p>
    <w:p w14:paraId="367B602B" w14:textId="77775D15" w:rsidR="00DE32F1" w:rsidRPr="001C0F0A"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Solicitud de acceso a la información.</w:t>
      </w:r>
      <w:r w:rsidRPr="001C0F0A">
        <w:rPr>
          <w:rFonts w:ascii="Palatino Linotype" w:eastAsia="Palatino Linotype" w:hAnsi="Palatino Linotype" w:cs="Palatino Linotype"/>
        </w:rPr>
        <w:t xml:space="preserve"> Con fecha </w:t>
      </w:r>
      <w:r w:rsidR="00191860" w:rsidRPr="001C0F0A">
        <w:rPr>
          <w:rFonts w:ascii="Palatino Linotype" w:eastAsia="Palatino Linotype" w:hAnsi="Palatino Linotype" w:cs="Palatino Linotype"/>
          <w:b/>
        </w:rPr>
        <w:t>diez de noviembre</w:t>
      </w:r>
      <w:r w:rsidRPr="001C0F0A">
        <w:rPr>
          <w:rFonts w:ascii="Palatino Linotype" w:eastAsia="Palatino Linotype" w:hAnsi="Palatino Linotype" w:cs="Palatino Linotype"/>
          <w:b/>
        </w:rPr>
        <w:t xml:space="preserve"> de dos mil veintitrés</w:t>
      </w:r>
      <w:r w:rsidRPr="001C0F0A">
        <w:rPr>
          <w:rFonts w:ascii="Palatino Linotype" w:eastAsia="Palatino Linotype" w:hAnsi="Palatino Linotype" w:cs="Palatino Linotype"/>
        </w:rPr>
        <w:t xml:space="preserve">, la parte </w:t>
      </w:r>
      <w:r w:rsidRPr="001C0F0A">
        <w:rPr>
          <w:rFonts w:ascii="Palatino Linotype" w:eastAsia="Palatino Linotype" w:hAnsi="Palatino Linotype" w:cs="Palatino Linotype"/>
          <w:b/>
        </w:rPr>
        <w:t>RECURRENTE</w:t>
      </w:r>
      <w:r w:rsidRPr="001C0F0A">
        <w:rPr>
          <w:rFonts w:ascii="Palatino Linotype" w:eastAsia="Palatino Linotype" w:hAnsi="Palatino Linotype" w:cs="Palatino Linotype"/>
        </w:rPr>
        <w:t xml:space="preserve"> formuló solicitud de acceso a información pública al</w:t>
      </w:r>
      <w:r w:rsidRPr="001C0F0A">
        <w:rPr>
          <w:rFonts w:ascii="Palatino Linotype" w:eastAsia="Palatino Linotype" w:hAnsi="Palatino Linotype" w:cs="Palatino Linotype"/>
          <w:b/>
        </w:rPr>
        <w:t xml:space="preserve"> SUJETO OBLIGADO</w:t>
      </w:r>
      <w:r w:rsidRPr="001C0F0A">
        <w:rPr>
          <w:rFonts w:ascii="Palatino Linotype" w:eastAsia="Palatino Linotype" w:hAnsi="Palatino Linotype" w:cs="Palatino Linotype"/>
        </w:rPr>
        <w:t xml:space="preserve"> a través del Sistema de Acceso a la Información Mexiquense, en adelante SAIMEX, en la que requirió lo siguiente: </w:t>
      </w:r>
    </w:p>
    <w:p w14:paraId="36251D60" w14:textId="77777777" w:rsidR="00DE32F1" w:rsidRPr="001C0F0A" w:rsidRDefault="00DE32F1">
      <w:pPr>
        <w:spacing w:after="0" w:line="360" w:lineRule="auto"/>
        <w:ind w:right="49"/>
        <w:jc w:val="both"/>
        <w:rPr>
          <w:rFonts w:ascii="Palatino Linotype" w:eastAsia="Palatino Linotype" w:hAnsi="Palatino Linotype" w:cs="Palatino Linotype"/>
        </w:rPr>
      </w:pPr>
    </w:p>
    <w:p w14:paraId="48E4B7DA" w14:textId="33C3DD05" w:rsidR="00DE32F1" w:rsidRPr="001C0F0A" w:rsidRDefault="001B31D0">
      <w:pPr>
        <w:ind w:left="567" w:right="560"/>
        <w:jc w:val="both"/>
        <w:rPr>
          <w:rFonts w:ascii="Palatino Linotype" w:eastAsia="Palatino Linotype" w:hAnsi="Palatino Linotype" w:cs="Palatino Linotype"/>
          <w:i/>
        </w:rPr>
      </w:pPr>
      <w:bookmarkStart w:id="0" w:name="_heading=h.30j0zll" w:colFirst="0" w:colLast="0"/>
      <w:bookmarkEnd w:id="0"/>
      <w:r w:rsidRPr="001C0F0A">
        <w:rPr>
          <w:rFonts w:ascii="Palatino Linotype" w:eastAsia="Palatino Linotype" w:hAnsi="Palatino Linotype" w:cs="Palatino Linotype"/>
          <w:i/>
        </w:rPr>
        <w:t>“</w:t>
      </w:r>
      <w:r w:rsidR="00191860" w:rsidRPr="001C0F0A">
        <w:rPr>
          <w:rFonts w:ascii="Palatino Linotype" w:eastAsia="Palatino Linotype" w:hAnsi="Palatino Linotype" w:cs="Palatino Linotype"/>
          <w:i/>
        </w:rPr>
        <w:t xml:space="preserve">Solicito al gobierno del Estado de México, oficio del consejo indígena del trueque Tianguistenco dirigido a Alfredo del Mazo Maza, Gobernador del Estado de México del 26 </w:t>
      </w:r>
      <w:r w:rsidR="00191860" w:rsidRPr="001C0F0A">
        <w:rPr>
          <w:rFonts w:ascii="Palatino Linotype" w:eastAsia="Palatino Linotype" w:hAnsi="Palatino Linotype" w:cs="Palatino Linotype"/>
          <w:b/>
          <w:bCs/>
          <w:i/>
          <w:u w:val="single"/>
        </w:rPr>
        <w:t>de junio del 2018</w:t>
      </w:r>
      <w:r w:rsidR="00191860" w:rsidRPr="001C0F0A">
        <w:rPr>
          <w:rFonts w:ascii="Palatino Linotype" w:eastAsia="Palatino Linotype" w:hAnsi="Palatino Linotype" w:cs="Palatino Linotype"/>
          <w:i/>
        </w:rPr>
        <w:t xml:space="preserve">, acompañado de toda la documentación que contenga el expediente de atención ciudadana que se </w:t>
      </w:r>
      <w:proofErr w:type="spellStart"/>
      <w:r w:rsidR="00191860" w:rsidRPr="001C0F0A">
        <w:rPr>
          <w:rFonts w:ascii="Palatino Linotype" w:eastAsia="Palatino Linotype" w:hAnsi="Palatino Linotype" w:cs="Palatino Linotype"/>
          <w:i/>
        </w:rPr>
        <w:t>genero</w:t>
      </w:r>
      <w:proofErr w:type="spellEnd"/>
      <w:r w:rsidR="00191860" w:rsidRPr="001C0F0A">
        <w:rPr>
          <w:rFonts w:ascii="Palatino Linotype" w:eastAsia="Palatino Linotype" w:hAnsi="Palatino Linotype" w:cs="Palatino Linotype"/>
          <w:i/>
        </w:rPr>
        <w:t xml:space="preserve"> a consecuencia del oficio antes mencionado y todo lo actuado en consecuencia,</w:t>
      </w:r>
      <w:r w:rsidRPr="001C0F0A">
        <w:rPr>
          <w:rFonts w:ascii="Palatino Linotype" w:eastAsia="Palatino Linotype" w:hAnsi="Palatino Linotype" w:cs="Palatino Linotype"/>
          <w:i/>
        </w:rPr>
        <w:t xml:space="preserve">”. </w:t>
      </w:r>
    </w:p>
    <w:p w14:paraId="096E0715" w14:textId="77777777" w:rsidR="00DE32F1" w:rsidRPr="001C0F0A" w:rsidRDefault="00DE32F1">
      <w:pPr>
        <w:spacing w:after="0" w:line="360" w:lineRule="auto"/>
        <w:ind w:left="567" w:right="560"/>
        <w:jc w:val="both"/>
        <w:rPr>
          <w:rFonts w:ascii="Palatino Linotype" w:eastAsia="Palatino Linotype" w:hAnsi="Palatino Linotype" w:cs="Palatino Linotype"/>
          <w:i/>
        </w:rPr>
      </w:pPr>
    </w:p>
    <w:p w14:paraId="24CB1AAA" w14:textId="1922B493"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Modalidad elegida para la entrega de la información:</w:t>
      </w:r>
      <w:r w:rsidRPr="001C0F0A">
        <w:rPr>
          <w:rFonts w:ascii="Palatino Linotype" w:eastAsia="Palatino Linotype" w:hAnsi="Palatino Linotype" w:cs="Palatino Linotype"/>
        </w:rPr>
        <w:t xml:space="preserve"> a través del Sistema de Acceso a la Información Mexiquense (SAIMEX). </w:t>
      </w:r>
    </w:p>
    <w:p w14:paraId="1ECAB6D7" w14:textId="76DF842F" w:rsidR="00DE32F1" w:rsidRPr="001C0F0A" w:rsidRDefault="0019186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lastRenderedPageBreak/>
        <w:t>Información que Puede estar en Poder de Otro Sujeto Obligado</w:t>
      </w:r>
      <w:r w:rsidR="001B31D0" w:rsidRPr="001C0F0A">
        <w:rPr>
          <w:rFonts w:ascii="Palatino Linotype" w:eastAsia="Palatino Linotype" w:hAnsi="Palatino Linotype" w:cs="Palatino Linotype"/>
          <w:b/>
        </w:rPr>
        <w:t>.</w:t>
      </w:r>
      <w:r w:rsidR="001B31D0" w:rsidRPr="001C0F0A">
        <w:rPr>
          <w:rFonts w:ascii="Palatino Linotype" w:eastAsia="Palatino Linotype" w:hAnsi="Palatino Linotype" w:cs="Palatino Linotype"/>
        </w:rPr>
        <w:t xml:space="preserve"> Con fecha </w:t>
      </w:r>
      <w:r w:rsidRPr="001C0F0A">
        <w:rPr>
          <w:rFonts w:ascii="Palatino Linotype" w:eastAsia="Palatino Linotype" w:hAnsi="Palatino Linotype" w:cs="Palatino Linotype"/>
          <w:b/>
        </w:rPr>
        <w:t>quince de noviembre</w:t>
      </w:r>
      <w:r w:rsidR="001B31D0" w:rsidRPr="001C0F0A">
        <w:rPr>
          <w:rFonts w:ascii="Palatino Linotype" w:eastAsia="Palatino Linotype" w:hAnsi="Palatino Linotype" w:cs="Palatino Linotype"/>
          <w:b/>
        </w:rPr>
        <w:t xml:space="preserve"> de dos mil veintitrés</w:t>
      </w:r>
      <w:r w:rsidR="001B31D0" w:rsidRPr="001C0F0A">
        <w:rPr>
          <w:rFonts w:ascii="Palatino Linotype" w:eastAsia="Palatino Linotype" w:hAnsi="Palatino Linotype" w:cs="Palatino Linotype"/>
        </w:rPr>
        <w:t xml:space="preserve">, el </w:t>
      </w:r>
      <w:r w:rsidR="001B31D0" w:rsidRPr="001C0F0A">
        <w:rPr>
          <w:rFonts w:ascii="Palatino Linotype" w:eastAsia="Palatino Linotype" w:hAnsi="Palatino Linotype" w:cs="Palatino Linotype"/>
          <w:b/>
        </w:rPr>
        <w:t>SUJETO OBLIGADO</w:t>
      </w:r>
      <w:r w:rsidR="001B31D0" w:rsidRPr="001C0F0A">
        <w:rPr>
          <w:rFonts w:ascii="Palatino Linotype" w:eastAsia="Palatino Linotype" w:hAnsi="Palatino Linotype" w:cs="Palatino Linotype"/>
        </w:rPr>
        <w:t xml:space="preserve"> envió su respuesta a la solicitud de acceso a la información a través del SAIMEX, la cual versa como sigue:</w:t>
      </w:r>
    </w:p>
    <w:p w14:paraId="61D509BB" w14:textId="77777777" w:rsidR="00DE32F1" w:rsidRPr="001C0F0A" w:rsidRDefault="00DE32F1">
      <w:pPr>
        <w:spacing w:after="0" w:line="360" w:lineRule="auto"/>
        <w:ind w:right="49"/>
        <w:jc w:val="both"/>
        <w:rPr>
          <w:rFonts w:ascii="Palatino Linotype" w:eastAsia="Palatino Linotype" w:hAnsi="Palatino Linotype" w:cs="Palatino Linotype"/>
        </w:rPr>
      </w:pPr>
    </w:p>
    <w:p w14:paraId="378AC975" w14:textId="2467C999" w:rsidR="00191860" w:rsidRPr="001C0F0A" w:rsidRDefault="00191860" w:rsidP="00376470">
      <w:pPr>
        <w:spacing w:after="0" w:line="360" w:lineRule="auto"/>
        <w:ind w:right="49"/>
        <w:jc w:val="center"/>
        <w:rPr>
          <w:rFonts w:ascii="Palatino Linotype" w:eastAsia="Palatino Linotype" w:hAnsi="Palatino Linotype" w:cs="Palatino Linotype"/>
          <w:i/>
          <w:iCs/>
        </w:rPr>
      </w:pPr>
      <w:r w:rsidRPr="001C0F0A">
        <w:rPr>
          <w:rFonts w:ascii="Palatino Linotype" w:eastAsia="Palatino Linotype" w:hAnsi="Palatino Linotype" w:cs="Palatino Linotype"/>
          <w:i/>
          <w:iCs/>
        </w:rPr>
        <w:t>Se anexa documento.</w:t>
      </w:r>
    </w:p>
    <w:p w14:paraId="6EFEA5A4" w14:textId="77777777" w:rsidR="00191860" w:rsidRPr="001C0F0A" w:rsidRDefault="00191860">
      <w:pPr>
        <w:spacing w:after="0" w:line="360" w:lineRule="auto"/>
        <w:ind w:right="49"/>
        <w:jc w:val="both"/>
        <w:rPr>
          <w:rFonts w:ascii="Palatino Linotype" w:eastAsia="Palatino Linotype" w:hAnsi="Palatino Linotype" w:cs="Palatino Linotype"/>
          <w:i/>
          <w:iCs/>
        </w:rPr>
      </w:pPr>
    </w:p>
    <w:p w14:paraId="173A73EB"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El Sujeto Obligado</w:t>
      </w:r>
      <w:r w:rsidR="00A57E23" w:rsidRPr="001C0F0A">
        <w:rPr>
          <w:rFonts w:ascii="Palatino Linotype" w:eastAsia="Palatino Linotype" w:hAnsi="Palatino Linotype" w:cs="Palatino Linotype"/>
        </w:rPr>
        <w:t xml:space="preserve"> a su respuesta adjuntó el documento que se describe</w:t>
      </w:r>
      <w:r w:rsidRPr="001C0F0A">
        <w:rPr>
          <w:rFonts w:ascii="Palatino Linotype" w:eastAsia="Palatino Linotype" w:hAnsi="Palatino Linotype" w:cs="Palatino Linotype"/>
        </w:rPr>
        <w:t xml:space="preserve"> a continuación:  </w:t>
      </w:r>
    </w:p>
    <w:p w14:paraId="387DC315" w14:textId="77777777" w:rsidR="00DE32F1" w:rsidRPr="001C0F0A" w:rsidRDefault="00DE32F1">
      <w:pPr>
        <w:spacing w:after="0" w:line="360" w:lineRule="auto"/>
        <w:ind w:right="49"/>
        <w:jc w:val="both"/>
        <w:rPr>
          <w:rFonts w:ascii="Palatino Linotype" w:eastAsia="Palatino Linotype" w:hAnsi="Palatino Linotype" w:cs="Palatino Linotype"/>
        </w:rPr>
      </w:pPr>
    </w:p>
    <w:p w14:paraId="4BB1C5C2" w14:textId="4D195C90" w:rsidR="00722B63" w:rsidRPr="001C0F0A" w:rsidRDefault="001B31D0" w:rsidP="00722B63">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Oficio de fecha</w:t>
      </w:r>
      <w:r w:rsidR="00A57E23" w:rsidRPr="001C0F0A">
        <w:rPr>
          <w:rFonts w:ascii="Palatino Linotype" w:eastAsia="Palatino Linotype" w:hAnsi="Palatino Linotype" w:cs="Palatino Linotype"/>
        </w:rPr>
        <w:t xml:space="preserve"> </w:t>
      </w:r>
      <w:r w:rsidR="00191860" w:rsidRPr="001C0F0A">
        <w:rPr>
          <w:rFonts w:ascii="Palatino Linotype" w:eastAsia="Palatino Linotype" w:hAnsi="Palatino Linotype" w:cs="Palatino Linotype"/>
        </w:rPr>
        <w:t xml:space="preserve">quince de noviembre de dos mil veintitrés, </w:t>
      </w:r>
      <w:r w:rsidR="00191860" w:rsidRPr="001C0F0A">
        <w:rPr>
          <w:rFonts w:ascii="Palatino Linotype" w:eastAsia="Palatino Linotype" w:hAnsi="Palatino Linotype" w:cs="Palatino Linotype"/>
          <w:b/>
          <w:bCs/>
          <w:u w:val="single"/>
        </w:rPr>
        <w:t>signado por el Titular de la Unidad de Transparencia de la Gubernatura</w:t>
      </w:r>
      <w:r w:rsidR="00272ED8" w:rsidRPr="001C0F0A">
        <w:rPr>
          <w:rFonts w:ascii="Palatino Linotype" w:eastAsia="Palatino Linotype" w:hAnsi="Palatino Linotype" w:cs="Palatino Linotype"/>
        </w:rPr>
        <w:t xml:space="preserve">, mediante el cual informa que se realizó una búsqueda exhaustiva dentro de los archivos de la Gubernatura y no se encontró antecedente relativo, por lo que, se sugiere que dirija su solicitud de información a la Secretaría de Finanzas. </w:t>
      </w:r>
    </w:p>
    <w:p w14:paraId="7DFC881A" w14:textId="77777777" w:rsidR="00A57E23" w:rsidRPr="001C0F0A" w:rsidRDefault="00A57E23" w:rsidP="00722B63">
      <w:pPr>
        <w:pBdr>
          <w:top w:val="nil"/>
          <w:left w:val="nil"/>
          <w:bottom w:val="nil"/>
          <w:right w:val="nil"/>
          <w:between w:val="nil"/>
        </w:pBdr>
        <w:spacing w:after="0" w:line="360" w:lineRule="auto"/>
        <w:ind w:left="360" w:right="49"/>
        <w:jc w:val="both"/>
        <w:rPr>
          <w:rFonts w:ascii="Palatino Linotype" w:eastAsia="Palatino Linotype" w:hAnsi="Palatino Linotype" w:cs="Palatino Linotype"/>
        </w:rPr>
      </w:pPr>
    </w:p>
    <w:p w14:paraId="5BFE4B79" w14:textId="3B2086E9" w:rsidR="00DE32F1" w:rsidRPr="001C0F0A"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Interposición del Recurso de Revisión</w:t>
      </w:r>
      <w:r w:rsidRPr="001C0F0A">
        <w:rPr>
          <w:rFonts w:ascii="Palatino Linotype" w:eastAsia="Palatino Linotype" w:hAnsi="Palatino Linotype" w:cs="Palatino Linotype"/>
        </w:rPr>
        <w:t xml:space="preserve">. La parte Solicitante, derivado de la respuesta del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 xml:space="preserve"> interpuso Recurso de Revisión a través del </w:t>
      </w:r>
      <w:r w:rsidRPr="001C0F0A">
        <w:rPr>
          <w:rFonts w:ascii="Palatino Linotype" w:eastAsia="Palatino Linotype" w:hAnsi="Palatino Linotype" w:cs="Palatino Linotype"/>
          <w:b/>
        </w:rPr>
        <w:t>SAIMEX</w:t>
      </w:r>
      <w:r w:rsidRPr="001C0F0A">
        <w:rPr>
          <w:rFonts w:ascii="Palatino Linotype" w:eastAsia="Palatino Linotype" w:hAnsi="Palatino Linotype" w:cs="Palatino Linotype"/>
        </w:rPr>
        <w:t xml:space="preserve"> en fecha </w:t>
      </w:r>
      <w:r w:rsidR="00272ED8" w:rsidRPr="001C0F0A">
        <w:rPr>
          <w:rFonts w:ascii="Palatino Linotype" w:eastAsia="Palatino Linotype" w:hAnsi="Palatino Linotype" w:cs="Palatino Linotype"/>
          <w:b/>
        </w:rPr>
        <w:t xml:space="preserve">cuatro de diciembre </w:t>
      </w:r>
      <w:r w:rsidRPr="001C0F0A">
        <w:rPr>
          <w:rFonts w:ascii="Palatino Linotype" w:eastAsia="Palatino Linotype" w:hAnsi="Palatino Linotype" w:cs="Palatino Linotype"/>
          <w:b/>
        </w:rPr>
        <w:t>de dos mil veintitrés</w:t>
      </w:r>
      <w:r w:rsidRPr="001C0F0A">
        <w:rPr>
          <w:rFonts w:ascii="Palatino Linotype" w:eastAsia="Palatino Linotype" w:hAnsi="Palatino Linotype" w:cs="Palatino Linotype"/>
        </w:rPr>
        <w:t>, a través del cual expresó lo siguiente:</w:t>
      </w:r>
    </w:p>
    <w:p w14:paraId="45A24EE0" w14:textId="77777777" w:rsidR="00DE32F1" w:rsidRPr="001C0F0A" w:rsidRDefault="00DE32F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EB8D31E" w14:textId="7B23B4F6" w:rsidR="00DE32F1" w:rsidRPr="001C0F0A" w:rsidRDefault="001B31D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r w:rsidRPr="001C0F0A">
        <w:rPr>
          <w:rFonts w:ascii="Palatino Linotype" w:eastAsia="Palatino Linotype" w:hAnsi="Palatino Linotype" w:cs="Palatino Linotype"/>
          <w:b/>
        </w:rPr>
        <w:t xml:space="preserve">Acto impugnado. </w:t>
      </w:r>
      <w:r w:rsidRPr="001C0F0A">
        <w:rPr>
          <w:rFonts w:ascii="Palatino Linotype" w:eastAsia="Palatino Linotype" w:hAnsi="Palatino Linotype" w:cs="Palatino Linotype"/>
          <w:i/>
          <w:iCs/>
        </w:rPr>
        <w:t>“</w:t>
      </w:r>
      <w:r w:rsidR="00272ED8" w:rsidRPr="001C0F0A">
        <w:rPr>
          <w:rFonts w:ascii="Palatino Linotype" w:eastAsia="Palatino Linotype" w:hAnsi="Palatino Linotype" w:cs="Palatino Linotype"/>
          <w:i/>
          <w:iCs/>
        </w:rPr>
        <w:t xml:space="preserve">no entrega información y solicita que se dirija la solicitud a otra dependencia </w:t>
      </w:r>
      <w:proofErr w:type="spellStart"/>
      <w:r w:rsidR="00272ED8" w:rsidRPr="001C0F0A">
        <w:rPr>
          <w:rFonts w:ascii="Palatino Linotype" w:eastAsia="Palatino Linotype" w:hAnsi="Palatino Linotype" w:cs="Palatino Linotype"/>
          <w:i/>
          <w:iCs/>
        </w:rPr>
        <w:t>por que</w:t>
      </w:r>
      <w:proofErr w:type="spellEnd"/>
      <w:r w:rsidR="00272ED8" w:rsidRPr="001C0F0A">
        <w:rPr>
          <w:rFonts w:ascii="Palatino Linotype" w:eastAsia="Palatino Linotype" w:hAnsi="Palatino Linotype" w:cs="Palatino Linotype"/>
          <w:i/>
          <w:iCs/>
        </w:rPr>
        <w:t xml:space="preserve"> es incompetente</w:t>
      </w:r>
      <w:r w:rsidR="00722B63" w:rsidRPr="001C0F0A">
        <w:rPr>
          <w:rFonts w:ascii="Palatino Linotype" w:eastAsia="Palatino Linotype" w:hAnsi="Palatino Linotype" w:cs="Palatino Linotype"/>
          <w:i/>
          <w:iCs/>
        </w:rPr>
        <w:t>.</w:t>
      </w:r>
      <w:r w:rsidRPr="001C0F0A">
        <w:rPr>
          <w:rFonts w:ascii="Palatino Linotype" w:eastAsia="Palatino Linotype" w:hAnsi="Palatino Linotype" w:cs="Palatino Linotype"/>
          <w:i/>
          <w:iCs/>
        </w:rPr>
        <w:t>”</w:t>
      </w:r>
    </w:p>
    <w:p w14:paraId="13882DBF" w14:textId="77777777" w:rsidR="00DE32F1" w:rsidRPr="001C0F0A" w:rsidRDefault="00DE32F1">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rPr>
      </w:pPr>
    </w:p>
    <w:p w14:paraId="6A4FB800" w14:textId="1EFC914E" w:rsidR="00DE32F1" w:rsidRPr="001C0F0A" w:rsidRDefault="001B31D0">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i/>
          <w:iCs/>
        </w:rPr>
      </w:pPr>
      <w:r w:rsidRPr="001C0F0A">
        <w:rPr>
          <w:rFonts w:ascii="Palatino Linotype" w:eastAsia="Palatino Linotype" w:hAnsi="Palatino Linotype" w:cs="Palatino Linotype"/>
          <w:b/>
        </w:rPr>
        <w:t xml:space="preserve">Razones o motivos de la inconformidad: </w:t>
      </w:r>
      <w:r w:rsidRPr="001C0F0A">
        <w:rPr>
          <w:rFonts w:ascii="Palatino Linotype" w:eastAsia="Palatino Linotype" w:hAnsi="Palatino Linotype" w:cs="Palatino Linotype"/>
          <w:i/>
          <w:iCs/>
        </w:rPr>
        <w:t>“</w:t>
      </w:r>
      <w:r w:rsidR="00272ED8" w:rsidRPr="001C0F0A">
        <w:rPr>
          <w:rFonts w:ascii="Palatino Linotype" w:eastAsia="Palatino Linotype" w:hAnsi="Palatino Linotype" w:cs="Palatino Linotype"/>
          <w:i/>
          <w:iCs/>
        </w:rPr>
        <w:t>manifiesta el sujeto obligado que hay que dirigir la solicitud de información a otra dependencia.</w:t>
      </w:r>
      <w:r w:rsidRPr="001C0F0A">
        <w:rPr>
          <w:rFonts w:ascii="Palatino Linotype" w:eastAsia="Palatino Linotype" w:hAnsi="Palatino Linotype" w:cs="Palatino Linotype"/>
          <w:i/>
          <w:iCs/>
        </w:rPr>
        <w:t>”.</w:t>
      </w:r>
    </w:p>
    <w:p w14:paraId="0F52BA02"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3B6A8AE" w14:textId="280A9F4C" w:rsidR="00DE32F1" w:rsidRPr="001C0F0A"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Turno.</w:t>
      </w:r>
      <w:r w:rsidRPr="001C0F0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722B63" w:rsidRPr="001C0F0A">
        <w:rPr>
          <w:rFonts w:ascii="Palatino Linotype" w:eastAsia="Palatino Linotype" w:hAnsi="Palatino Linotype" w:cs="Palatino Linotype"/>
          <w:b/>
        </w:rPr>
        <w:t>0</w:t>
      </w:r>
      <w:r w:rsidR="00272ED8" w:rsidRPr="001C0F0A">
        <w:rPr>
          <w:rFonts w:ascii="Palatino Linotype" w:eastAsia="Palatino Linotype" w:hAnsi="Palatino Linotype" w:cs="Palatino Linotype"/>
          <w:b/>
        </w:rPr>
        <w:t>8364</w:t>
      </w:r>
      <w:r w:rsidRPr="001C0F0A">
        <w:rPr>
          <w:rFonts w:ascii="Palatino Linotype" w:eastAsia="Palatino Linotype" w:hAnsi="Palatino Linotype" w:cs="Palatino Linotype"/>
          <w:b/>
        </w:rPr>
        <w:t>/INFOEM/IP/RR/2023</w:t>
      </w:r>
      <w:r w:rsidRPr="001C0F0A">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w:t>
      </w:r>
      <w:r w:rsidRPr="001C0F0A">
        <w:rPr>
          <w:rFonts w:ascii="Palatino Linotype" w:eastAsia="Palatino Linotype" w:hAnsi="Palatino Linotype" w:cs="Palatino Linotype"/>
        </w:rPr>
        <w:lastRenderedPageBreak/>
        <w:t>de México y Municipios, a la Comisionada Guadalupe Ramírez Peña para su análisis, estudio, elaboración del proyecto y presentación ante el Pleno de este Instituto.</w:t>
      </w:r>
    </w:p>
    <w:p w14:paraId="4171FFC4" w14:textId="77777777" w:rsidR="00DE32F1" w:rsidRPr="001C0F0A" w:rsidRDefault="00DE32F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D6DD30D" w14:textId="0A1EDFD7" w:rsidR="00DE32F1" w:rsidRPr="001C0F0A"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Admisión del recurso de revisión</w:t>
      </w:r>
      <w:r w:rsidRPr="001C0F0A">
        <w:rPr>
          <w:rFonts w:ascii="Palatino Linotype" w:eastAsia="Palatino Linotype" w:hAnsi="Palatino Linotype" w:cs="Palatino Linotype"/>
        </w:rPr>
        <w:t xml:space="preserve">: En fecha </w:t>
      </w:r>
      <w:r w:rsidR="00272ED8" w:rsidRPr="001C0F0A">
        <w:rPr>
          <w:rFonts w:ascii="Palatino Linotype" w:eastAsia="Palatino Linotype" w:hAnsi="Palatino Linotype" w:cs="Palatino Linotype"/>
          <w:b/>
        </w:rPr>
        <w:t>siete de diciembre</w:t>
      </w:r>
      <w:r w:rsidRPr="001C0F0A">
        <w:rPr>
          <w:rFonts w:ascii="Palatino Linotype" w:eastAsia="Palatino Linotype" w:hAnsi="Palatino Linotype" w:cs="Palatino Linotype"/>
          <w:b/>
        </w:rPr>
        <w:t xml:space="preserve"> de dos mil veintitrés</w:t>
      </w:r>
      <w:r w:rsidRPr="001C0F0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9467331" w14:textId="77777777" w:rsidR="00DE32F1" w:rsidRPr="001C0F0A" w:rsidRDefault="00DE32F1">
      <w:pPr>
        <w:pBdr>
          <w:top w:val="nil"/>
          <w:left w:val="nil"/>
          <w:bottom w:val="nil"/>
          <w:right w:val="nil"/>
          <w:between w:val="nil"/>
        </w:pBdr>
        <w:ind w:left="720"/>
        <w:rPr>
          <w:rFonts w:ascii="Palatino Linotype" w:eastAsia="Palatino Linotype" w:hAnsi="Palatino Linotype" w:cs="Palatino Linotype"/>
        </w:rPr>
      </w:pPr>
    </w:p>
    <w:p w14:paraId="0286877D" w14:textId="4FB02FB0" w:rsidR="00DE32F1" w:rsidRPr="001C0F0A" w:rsidRDefault="001B31D0" w:rsidP="00272ED8">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 xml:space="preserve">Informe Justificado. </w:t>
      </w:r>
      <w:r w:rsidR="007D2ABD" w:rsidRPr="001C0F0A">
        <w:rPr>
          <w:rFonts w:ascii="Palatino Linotype" w:eastAsia="Palatino Linotype" w:hAnsi="Palatino Linotype" w:cs="Palatino Linotype"/>
        </w:rPr>
        <w:t xml:space="preserve">En fecha </w:t>
      </w:r>
      <w:r w:rsidR="00272ED8" w:rsidRPr="001C0F0A">
        <w:rPr>
          <w:rFonts w:ascii="Palatino Linotype" w:eastAsia="Palatino Linotype" w:hAnsi="Palatino Linotype" w:cs="Palatino Linotype"/>
          <w:b/>
        </w:rPr>
        <w:t>dieciocho de diciembre</w:t>
      </w:r>
      <w:r w:rsidR="007D2ABD" w:rsidRPr="001C0F0A">
        <w:rPr>
          <w:rFonts w:ascii="Palatino Linotype" w:eastAsia="Palatino Linotype" w:hAnsi="Palatino Linotype" w:cs="Palatino Linotype"/>
          <w:b/>
        </w:rPr>
        <w:t xml:space="preserve"> </w:t>
      </w:r>
      <w:r w:rsidR="00722B63" w:rsidRPr="001C0F0A">
        <w:rPr>
          <w:rFonts w:ascii="Palatino Linotype" w:eastAsia="Palatino Linotype" w:hAnsi="Palatino Linotype" w:cs="Palatino Linotype"/>
          <w:b/>
        </w:rPr>
        <w:t>d</w:t>
      </w:r>
      <w:r w:rsidRPr="001C0F0A">
        <w:rPr>
          <w:rFonts w:ascii="Palatino Linotype" w:eastAsia="Palatino Linotype" w:hAnsi="Palatino Linotype" w:cs="Palatino Linotype"/>
          <w:b/>
        </w:rPr>
        <w:t>e dos mil veintitrés</w:t>
      </w:r>
      <w:r w:rsidRPr="001C0F0A">
        <w:rPr>
          <w:rFonts w:ascii="Palatino Linotype" w:eastAsia="Palatino Linotype" w:hAnsi="Palatino Linotype" w:cs="Palatino Linotype"/>
        </w:rPr>
        <w:t xml:space="preserve">, el </w:t>
      </w:r>
      <w:r w:rsidRPr="001C0F0A">
        <w:rPr>
          <w:rFonts w:ascii="Palatino Linotype" w:eastAsia="Palatino Linotype" w:hAnsi="Palatino Linotype" w:cs="Palatino Linotype"/>
          <w:b/>
        </w:rPr>
        <w:t xml:space="preserve">SUJETO OBLIGADO </w:t>
      </w:r>
      <w:r w:rsidRPr="001C0F0A">
        <w:rPr>
          <w:rFonts w:ascii="Palatino Linotype" w:eastAsia="Palatino Linotype" w:hAnsi="Palatino Linotype" w:cs="Palatino Linotype"/>
        </w:rPr>
        <w:t xml:space="preserve">remitió en informe justificado lo siguiente: </w:t>
      </w:r>
    </w:p>
    <w:p w14:paraId="7F52C6B0" w14:textId="77777777" w:rsidR="00272ED8" w:rsidRPr="001C0F0A" w:rsidRDefault="00272ED8" w:rsidP="00272ED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8AAAA15" w14:textId="21F357CC" w:rsidR="00272ED8" w:rsidRPr="001C0F0A" w:rsidRDefault="001B31D0" w:rsidP="00272ED8">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Oficio de fecha </w:t>
      </w:r>
      <w:r w:rsidR="00272ED8" w:rsidRPr="001C0F0A">
        <w:rPr>
          <w:rFonts w:ascii="Palatino Linotype" w:eastAsia="Palatino Linotype" w:hAnsi="Palatino Linotype" w:cs="Palatino Linotype"/>
        </w:rPr>
        <w:t xml:space="preserve">dieciocho de diciembre de dos mil veintitrés, signado por el Titular de la Unidad de Transparencia de la Gubernatura del Estado de México, mediante el cual ratificó su respuesta inicial. </w:t>
      </w:r>
    </w:p>
    <w:p w14:paraId="651B9563" w14:textId="77777777" w:rsidR="00272ED8" w:rsidRPr="001C0F0A" w:rsidRDefault="00272ED8" w:rsidP="00272ED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1F2E32B" w14:textId="68AD5038" w:rsidR="00272ED8" w:rsidRPr="001C0F0A" w:rsidRDefault="00272ED8" w:rsidP="00272ED8">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r w:rsidRPr="001C0F0A">
        <w:rPr>
          <w:rFonts w:ascii="Palatino Linotype" w:eastAsia="Palatino Linotype" w:hAnsi="Palatino Linotype" w:cs="Palatino Linotype"/>
        </w:rPr>
        <w:t xml:space="preserve">Documento que se hizo del conocimiento en fecha </w:t>
      </w:r>
      <w:r w:rsidRPr="001C0F0A">
        <w:rPr>
          <w:rFonts w:ascii="Palatino Linotype" w:eastAsia="Palatino Linotype" w:hAnsi="Palatino Linotype" w:cs="Palatino Linotype"/>
          <w:b/>
          <w:bCs/>
        </w:rPr>
        <w:t xml:space="preserve">treinta de abril de dos mil veinticuatro. </w:t>
      </w:r>
    </w:p>
    <w:p w14:paraId="35067FDA" w14:textId="77777777" w:rsidR="00272ED8" w:rsidRPr="001C0F0A" w:rsidRDefault="00272ED8" w:rsidP="00272ED8">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p>
    <w:p w14:paraId="48E6595E" w14:textId="13FDBB4D" w:rsidR="00DE32F1" w:rsidRPr="001C0F0A" w:rsidRDefault="001B31D0" w:rsidP="00272ED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La parte Recurrente no realizó manifestaciones. </w:t>
      </w:r>
    </w:p>
    <w:p w14:paraId="1632AA19" w14:textId="77777777" w:rsidR="00272ED8" w:rsidRPr="001C0F0A" w:rsidRDefault="00272ED8" w:rsidP="00272ED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FF4D87" w14:textId="077D379F" w:rsidR="00DE32F1" w:rsidRPr="001C0F0A" w:rsidRDefault="001B31D0">
      <w:pPr>
        <w:numPr>
          <w:ilvl w:val="0"/>
          <w:numId w:val="7"/>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Ampliación de plazo:</w:t>
      </w:r>
      <w:r w:rsidRPr="001C0F0A">
        <w:rPr>
          <w:rFonts w:ascii="Palatino Linotype" w:eastAsia="Palatino Linotype" w:hAnsi="Palatino Linotype" w:cs="Palatino Linotype"/>
        </w:rPr>
        <w:t xml:space="preserve"> El </w:t>
      </w:r>
      <w:r w:rsidR="00272ED8" w:rsidRPr="001C0F0A">
        <w:rPr>
          <w:rFonts w:ascii="Palatino Linotype" w:eastAsia="Palatino Linotype" w:hAnsi="Palatino Linotype" w:cs="Palatino Linotype"/>
          <w:b/>
        </w:rPr>
        <w:t>dos de mayo de dos mil veinticuatro</w:t>
      </w:r>
      <w:r w:rsidRPr="001C0F0A">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84E20D7" w14:textId="77777777" w:rsidR="00DE32F1" w:rsidRPr="001C0F0A" w:rsidRDefault="00DE32F1">
      <w:pPr>
        <w:spacing w:after="0" w:line="360" w:lineRule="auto"/>
        <w:ind w:right="49"/>
        <w:jc w:val="both"/>
        <w:rPr>
          <w:rFonts w:ascii="Palatino Linotype" w:eastAsia="Palatino Linotype" w:hAnsi="Palatino Linotype" w:cs="Palatino Linotype"/>
        </w:rPr>
      </w:pPr>
    </w:p>
    <w:p w14:paraId="584EA80E" w14:textId="77777777" w:rsidR="00DE32F1" w:rsidRPr="001C0F0A" w:rsidRDefault="001B31D0">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C91F3A8" w14:textId="77777777" w:rsidR="00DE32F1" w:rsidRPr="001C0F0A" w:rsidRDefault="00DE32F1">
      <w:pPr>
        <w:spacing w:after="0" w:line="360" w:lineRule="auto"/>
        <w:ind w:right="49"/>
        <w:jc w:val="both"/>
        <w:rPr>
          <w:rFonts w:ascii="Palatino Linotype" w:eastAsia="Palatino Linotype" w:hAnsi="Palatino Linotype" w:cs="Palatino Linotype"/>
        </w:rPr>
      </w:pPr>
    </w:p>
    <w:p w14:paraId="663D5450"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9D86A8F"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 </w:t>
      </w:r>
    </w:p>
    <w:p w14:paraId="5E7CE68F"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A5EA64" w14:textId="77777777" w:rsidR="00DE32F1" w:rsidRPr="001C0F0A" w:rsidRDefault="00DE32F1">
      <w:pPr>
        <w:spacing w:after="0" w:line="360" w:lineRule="auto"/>
        <w:ind w:right="49"/>
        <w:jc w:val="both"/>
        <w:rPr>
          <w:rFonts w:ascii="Palatino Linotype" w:eastAsia="Palatino Linotype" w:hAnsi="Palatino Linotype" w:cs="Palatino Linotype"/>
        </w:rPr>
      </w:pPr>
    </w:p>
    <w:p w14:paraId="101DF47E"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8394A7B"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8EB402C"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409E2F9" w14:textId="77777777" w:rsidR="00DE32F1" w:rsidRPr="001C0F0A" w:rsidRDefault="00DE32F1">
      <w:pPr>
        <w:spacing w:after="0" w:line="360" w:lineRule="auto"/>
        <w:ind w:right="49"/>
        <w:jc w:val="both"/>
        <w:rPr>
          <w:rFonts w:ascii="Palatino Linotype" w:eastAsia="Palatino Linotype" w:hAnsi="Palatino Linotype" w:cs="Palatino Linotype"/>
        </w:rPr>
      </w:pPr>
    </w:p>
    <w:p w14:paraId="3A556890" w14:textId="77777777" w:rsidR="00DE32F1" w:rsidRPr="001C0F0A" w:rsidRDefault="001B31D0">
      <w:pPr>
        <w:tabs>
          <w:tab w:val="left" w:pos="709"/>
        </w:tabs>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b/>
        </w:rPr>
        <w:t>a)    Complejidad del asunto:</w:t>
      </w:r>
      <w:r w:rsidRPr="001C0F0A">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9992AC2" w14:textId="77777777" w:rsidR="00DE32F1" w:rsidRPr="001C0F0A" w:rsidRDefault="001B31D0">
      <w:pPr>
        <w:tabs>
          <w:tab w:val="left" w:pos="709"/>
        </w:tabs>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b/>
        </w:rPr>
        <w:lastRenderedPageBreak/>
        <w:t>b)   Actividad Procesal del interesado</w:t>
      </w:r>
      <w:r w:rsidRPr="001C0F0A">
        <w:rPr>
          <w:rFonts w:ascii="Palatino Linotype" w:eastAsia="Palatino Linotype" w:hAnsi="Palatino Linotype" w:cs="Palatino Linotype"/>
        </w:rPr>
        <w:t>: Acciones u omisiones del interesado.</w:t>
      </w:r>
    </w:p>
    <w:p w14:paraId="040A5B80" w14:textId="77777777" w:rsidR="00DE32F1" w:rsidRPr="001C0F0A" w:rsidRDefault="001B31D0">
      <w:pPr>
        <w:tabs>
          <w:tab w:val="left" w:pos="851"/>
        </w:tabs>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b/>
        </w:rPr>
        <w:t>c)  Conducta de la Autoridad:</w:t>
      </w:r>
      <w:r w:rsidRPr="001C0F0A">
        <w:rPr>
          <w:rFonts w:ascii="Palatino Linotype" w:eastAsia="Palatino Linotype" w:hAnsi="Palatino Linotype" w:cs="Palatino Linotype"/>
        </w:rPr>
        <w:t xml:space="preserve"> Las Acciones u omisiones realizadas en el procedimiento. Así como si la autoridad actuó con la debida diligencia.</w:t>
      </w:r>
    </w:p>
    <w:p w14:paraId="1C64FD44" w14:textId="77777777" w:rsidR="00DE32F1" w:rsidRPr="001C0F0A" w:rsidRDefault="001B31D0">
      <w:pPr>
        <w:tabs>
          <w:tab w:val="left" w:pos="851"/>
        </w:tabs>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b/>
        </w:rPr>
        <w:t>d) La afectación generada en la situación jurídica de la persona involucrada en el proceso:</w:t>
      </w:r>
      <w:r w:rsidRPr="001C0F0A">
        <w:rPr>
          <w:rFonts w:ascii="Palatino Linotype" w:eastAsia="Palatino Linotype" w:hAnsi="Palatino Linotype" w:cs="Palatino Linotype"/>
        </w:rPr>
        <w:t xml:space="preserve"> Violación a sus derechos humanos.</w:t>
      </w:r>
    </w:p>
    <w:p w14:paraId="6954E348"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8A0293A"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5AA1BD"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 </w:t>
      </w:r>
    </w:p>
    <w:p w14:paraId="36FB9951"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Argumento que encuentra sustento en la jurisprudencia P./J. 32/92 emitida por el Pleno de la Suprema Corte de Justicia de la Nación de rubro “</w:t>
      </w:r>
      <w:r w:rsidRPr="001C0F0A">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1C0F0A">
        <w:rPr>
          <w:rFonts w:ascii="Palatino Linotype" w:eastAsia="Palatino Linotype" w:hAnsi="Palatino Linotype" w:cs="Palatino Linotype"/>
        </w:rPr>
        <w:t>, visible en la Gaceta del Seminario Judicial de la Federación con el registro digital 205635.</w:t>
      </w:r>
    </w:p>
    <w:p w14:paraId="6D35811B"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 </w:t>
      </w:r>
    </w:p>
    <w:p w14:paraId="38A6C9FE"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1C0F0A">
        <w:rPr>
          <w:rFonts w:ascii="Palatino Linotype" w:eastAsia="Palatino Linotype" w:hAnsi="Palatino Linotype" w:cs="Palatino Linotype"/>
        </w:rPr>
        <w:lastRenderedPageBreak/>
        <w:t>de los términos legales previamente establecidos por la Ley, por tratarse de causas de fuerza mayor.</w:t>
      </w:r>
    </w:p>
    <w:p w14:paraId="719FDF60" w14:textId="77777777" w:rsidR="00DE32F1" w:rsidRPr="001C0F0A" w:rsidRDefault="00DE32F1">
      <w:pPr>
        <w:spacing w:after="0" w:line="360" w:lineRule="auto"/>
        <w:ind w:right="49"/>
        <w:jc w:val="both"/>
        <w:rPr>
          <w:rFonts w:ascii="Palatino Linotype" w:eastAsia="Palatino Linotype" w:hAnsi="Palatino Linotype" w:cs="Palatino Linotype"/>
        </w:rPr>
      </w:pPr>
    </w:p>
    <w:p w14:paraId="1D49585E"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CFD69B"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 </w:t>
      </w:r>
    </w:p>
    <w:p w14:paraId="3D68C496" w14:textId="77777777" w:rsidR="00DE32F1" w:rsidRPr="001C0F0A" w:rsidRDefault="001B31D0">
      <w:pPr>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b/>
        </w:rPr>
        <w:t xml:space="preserve"> “PLAZO RAZONABLE PARA RESOLVER. DIMENSIÓN Y EFECTOS DE ESTE CONCEPTO CUANDO SE ADUCE EXCESIVA CARGA DE TRABAJO.”</w:t>
      </w:r>
      <w:r w:rsidRPr="001C0F0A">
        <w:rPr>
          <w:rFonts w:ascii="Palatino Linotype" w:eastAsia="Palatino Linotype" w:hAnsi="Palatino Linotype" w:cs="Palatino Linotype"/>
        </w:rPr>
        <w:t xml:space="preserve"> consultable en el Seminario Judicial de la Federación y su gaceta, con el registro digital 2002351.</w:t>
      </w:r>
    </w:p>
    <w:p w14:paraId="774A84E2" w14:textId="77777777" w:rsidR="00DE32F1" w:rsidRPr="001C0F0A" w:rsidRDefault="001B31D0">
      <w:pPr>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 </w:t>
      </w:r>
    </w:p>
    <w:p w14:paraId="00D8BC81" w14:textId="77777777" w:rsidR="00DE32F1" w:rsidRPr="001C0F0A" w:rsidRDefault="001B31D0">
      <w:pPr>
        <w:spacing w:after="0" w:line="360" w:lineRule="auto"/>
        <w:ind w:left="567" w:right="560"/>
        <w:jc w:val="both"/>
        <w:rPr>
          <w:rFonts w:ascii="Palatino Linotype" w:eastAsia="Palatino Linotype" w:hAnsi="Palatino Linotype" w:cs="Palatino Linotype"/>
        </w:rPr>
      </w:pPr>
      <w:r w:rsidRPr="001C0F0A">
        <w:rPr>
          <w:rFonts w:ascii="Palatino Linotype" w:eastAsia="Palatino Linotype" w:hAnsi="Palatino Linotype" w:cs="Palatino Linotype"/>
          <w:b/>
        </w:rPr>
        <w:t>“PLAZO RAZONABLE PARA RESOLVER. CONCEPTO Y ELEMENTOS QUE LO INTEGRAN A LA LUZ DEL DERECHO INTERNACIONAL DE LOS DERECHOS HUMANOS.”,</w:t>
      </w:r>
      <w:r w:rsidRPr="001C0F0A">
        <w:rPr>
          <w:rFonts w:ascii="Palatino Linotype" w:eastAsia="Palatino Linotype" w:hAnsi="Palatino Linotype" w:cs="Palatino Linotype"/>
        </w:rPr>
        <w:t xml:space="preserve"> visible en el Seminario Judicial de la Federación y su gaceta, con el registro digital 2002350.</w:t>
      </w:r>
    </w:p>
    <w:p w14:paraId="15C451A5" w14:textId="77777777" w:rsidR="00DE32F1" w:rsidRPr="001C0F0A" w:rsidRDefault="00DE32F1">
      <w:pPr>
        <w:spacing w:after="0" w:line="360" w:lineRule="auto"/>
        <w:ind w:left="567" w:right="560"/>
        <w:jc w:val="both"/>
        <w:rPr>
          <w:rFonts w:ascii="Palatino Linotype" w:eastAsia="Palatino Linotype" w:hAnsi="Palatino Linotype" w:cs="Palatino Linotype"/>
        </w:rPr>
      </w:pPr>
    </w:p>
    <w:p w14:paraId="277CE3F0" w14:textId="77777777" w:rsidR="00DE32F1" w:rsidRPr="001C0F0A" w:rsidRDefault="001B31D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D41279E" w14:textId="77777777" w:rsidR="00DE32F1" w:rsidRPr="001C0F0A" w:rsidRDefault="00DE32F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799CE26" w14:textId="030554BC" w:rsidR="00DE32F1" w:rsidRPr="001C0F0A" w:rsidRDefault="001B31D0">
      <w:pPr>
        <w:numPr>
          <w:ilvl w:val="0"/>
          <w:numId w:val="7"/>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1C0F0A">
        <w:rPr>
          <w:rFonts w:ascii="Palatino Linotype" w:eastAsia="Palatino Linotype" w:hAnsi="Palatino Linotype" w:cs="Palatino Linotype"/>
          <w:b/>
        </w:rPr>
        <w:t>Cierre de instrucción</w:t>
      </w:r>
      <w:r w:rsidRPr="001C0F0A">
        <w:rPr>
          <w:rFonts w:ascii="Palatino Linotype" w:eastAsia="Palatino Linotype" w:hAnsi="Palatino Linotype" w:cs="Palatino Linotype"/>
        </w:rPr>
        <w:t xml:space="preserve">. En fecha </w:t>
      </w:r>
      <w:r w:rsidR="00F304E6" w:rsidRPr="001C0F0A">
        <w:rPr>
          <w:rFonts w:ascii="Palatino Linotype" w:eastAsia="Palatino Linotype" w:hAnsi="Palatino Linotype" w:cs="Palatino Linotype"/>
          <w:b/>
        </w:rPr>
        <w:t>nueve</w:t>
      </w:r>
      <w:r w:rsidR="00272ED8" w:rsidRPr="001C0F0A">
        <w:rPr>
          <w:rFonts w:ascii="Palatino Linotype" w:eastAsia="Palatino Linotype" w:hAnsi="Palatino Linotype" w:cs="Palatino Linotype"/>
          <w:b/>
        </w:rPr>
        <w:t xml:space="preserve"> de mayo</w:t>
      </w:r>
      <w:r w:rsidRPr="001C0F0A">
        <w:rPr>
          <w:rFonts w:ascii="Palatino Linotype" w:eastAsia="Palatino Linotype" w:hAnsi="Palatino Linotype" w:cs="Palatino Linotype"/>
          <w:b/>
        </w:rPr>
        <w:t xml:space="preserve"> de dos mil veinti</w:t>
      </w:r>
      <w:r w:rsidR="00272ED8" w:rsidRPr="001C0F0A">
        <w:rPr>
          <w:rFonts w:ascii="Palatino Linotype" w:eastAsia="Palatino Linotype" w:hAnsi="Palatino Linotype" w:cs="Palatino Linotype"/>
          <w:b/>
        </w:rPr>
        <w:t>cuatro</w:t>
      </w:r>
      <w:r w:rsidRPr="001C0F0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2865FB1" w14:textId="77777777" w:rsidR="00DE32F1" w:rsidRPr="001C0F0A" w:rsidRDefault="00DE32F1">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8120BFA"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57624744"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054E68C" w14:textId="77777777" w:rsidR="00DE32F1" w:rsidRPr="001C0F0A" w:rsidRDefault="001B31D0">
      <w:pPr>
        <w:spacing w:after="0" w:line="360" w:lineRule="auto"/>
        <w:ind w:right="49"/>
        <w:jc w:val="center"/>
        <w:rPr>
          <w:rFonts w:ascii="Palatino Linotype" w:eastAsia="Palatino Linotype" w:hAnsi="Palatino Linotype" w:cs="Palatino Linotype"/>
          <w:b/>
        </w:rPr>
      </w:pPr>
      <w:r w:rsidRPr="001C0F0A">
        <w:rPr>
          <w:rFonts w:ascii="Palatino Linotype" w:eastAsia="Palatino Linotype" w:hAnsi="Palatino Linotype" w:cs="Palatino Linotype"/>
          <w:b/>
        </w:rPr>
        <w:t>II.</w:t>
      </w:r>
      <w:r w:rsidRPr="001C0F0A">
        <w:rPr>
          <w:rFonts w:ascii="Palatino Linotype" w:eastAsia="Palatino Linotype" w:hAnsi="Palatino Linotype" w:cs="Palatino Linotype"/>
          <w:b/>
        </w:rPr>
        <w:tab/>
        <w:t>C O N S I D E R A N D O:</w:t>
      </w:r>
    </w:p>
    <w:p w14:paraId="041D89D1"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C3CBB43"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Primero. Competencia.</w:t>
      </w:r>
      <w:r w:rsidRPr="001C0F0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0E8FD37" w14:textId="77777777" w:rsidR="00DE32F1" w:rsidRPr="001C0F0A" w:rsidRDefault="00DE32F1">
      <w:pPr>
        <w:spacing w:after="0" w:line="360" w:lineRule="auto"/>
        <w:ind w:right="49"/>
        <w:jc w:val="both"/>
        <w:rPr>
          <w:rFonts w:ascii="Palatino Linotype" w:eastAsia="Palatino Linotype" w:hAnsi="Palatino Linotype" w:cs="Palatino Linotype"/>
        </w:rPr>
      </w:pPr>
    </w:p>
    <w:p w14:paraId="4546F4D5"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Segundo. Oportunidad y Procedibilidad del Recurso de Revisión.</w:t>
      </w:r>
      <w:r w:rsidRPr="001C0F0A">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E2B5EA7"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0DB0D3F" w14:textId="7C4553BC"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 xml:space="preserve"> remitió la respuesta a la solicitud de información el </w:t>
      </w:r>
      <w:r w:rsidR="00272ED8" w:rsidRPr="001C0F0A">
        <w:rPr>
          <w:rFonts w:ascii="Palatino Linotype" w:eastAsia="Palatino Linotype" w:hAnsi="Palatino Linotype" w:cs="Palatino Linotype"/>
          <w:b/>
        </w:rPr>
        <w:t>quince de noviembre</w:t>
      </w:r>
      <w:r w:rsidRPr="001C0F0A">
        <w:rPr>
          <w:rFonts w:ascii="Palatino Linotype" w:eastAsia="Palatino Linotype" w:hAnsi="Palatino Linotype" w:cs="Palatino Linotype"/>
          <w:b/>
        </w:rPr>
        <w:t xml:space="preserve"> de dos mil veintitrés</w:t>
      </w:r>
      <w:r w:rsidRPr="001C0F0A">
        <w:rPr>
          <w:rFonts w:ascii="Palatino Linotype" w:eastAsia="Palatino Linotype" w:hAnsi="Palatino Linotype" w:cs="Palatino Linotype"/>
        </w:rPr>
        <w:t xml:space="preserve">, mientras que el recurso de </w:t>
      </w:r>
      <w:r w:rsidRPr="001C0F0A">
        <w:rPr>
          <w:rFonts w:ascii="Palatino Linotype" w:eastAsia="Palatino Linotype" w:hAnsi="Palatino Linotype" w:cs="Palatino Linotype"/>
        </w:rPr>
        <w:lastRenderedPageBreak/>
        <w:t xml:space="preserve">revisión interpuesto por la parte </w:t>
      </w:r>
      <w:r w:rsidRPr="001C0F0A">
        <w:rPr>
          <w:rFonts w:ascii="Palatino Linotype" w:eastAsia="Palatino Linotype" w:hAnsi="Palatino Linotype" w:cs="Palatino Linotype"/>
          <w:b/>
        </w:rPr>
        <w:t xml:space="preserve">RECURRENTE </w:t>
      </w:r>
      <w:r w:rsidRPr="001C0F0A">
        <w:rPr>
          <w:rFonts w:ascii="Palatino Linotype" w:eastAsia="Palatino Linotype" w:hAnsi="Palatino Linotype" w:cs="Palatino Linotype"/>
        </w:rPr>
        <w:t xml:space="preserve">se tuvo por presentado el </w:t>
      </w:r>
      <w:r w:rsidR="00FD156B" w:rsidRPr="001C0F0A">
        <w:rPr>
          <w:rFonts w:ascii="Palatino Linotype" w:eastAsia="Palatino Linotype" w:hAnsi="Palatino Linotype" w:cs="Palatino Linotype"/>
          <w:b/>
        </w:rPr>
        <w:t>cuatro de diciembre</w:t>
      </w:r>
      <w:r w:rsidR="006F5E1A" w:rsidRPr="001C0F0A">
        <w:rPr>
          <w:rFonts w:ascii="Palatino Linotype" w:eastAsia="Palatino Linotype" w:hAnsi="Palatino Linotype" w:cs="Palatino Linotype"/>
          <w:b/>
        </w:rPr>
        <w:t xml:space="preserve"> </w:t>
      </w:r>
      <w:r w:rsidRPr="001C0F0A">
        <w:rPr>
          <w:rFonts w:ascii="Palatino Linotype" w:eastAsia="Palatino Linotype" w:hAnsi="Palatino Linotype" w:cs="Palatino Linotype"/>
          <w:b/>
        </w:rPr>
        <w:t>de dos mil veintitrés</w:t>
      </w:r>
      <w:r w:rsidRPr="001C0F0A">
        <w:rPr>
          <w:rFonts w:ascii="Palatino Linotype" w:eastAsia="Palatino Linotype" w:hAnsi="Palatino Linotype" w:cs="Palatino Linotype"/>
        </w:rPr>
        <w:t xml:space="preserve">, esto es al </w:t>
      </w:r>
      <w:r w:rsidR="00FD156B" w:rsidRPr="001C0F0A">
        <w:rPr>
          <w:rFonts w:ascii="Palatino Linotype" w:eastAsia="Palatino Linotype" w:hAnsi="Palatino Linotype" w:cs="Palatino Linotype"/>
        </w:rPr>
        <w:t>décimo primer día</w:t>
      </w:r>
      <w:r w:rsidRPr="001C0F0A">
        <w:rPr>
          <w:rFonts w:ascii="Palatino Linotype" w:eastAsia="Palatino Linotype" w:hAnsi="Palatino Linotype" w:cs="Palatino Linotype"/>
        </w:rPr>
        <w:t xml:space="preserve"> hábil siguiente en que se tuvo conocimiento de la respuesta. </w:t>
      </w:r>
    </w:p>
    <w:p w14:paraId="1E982F43" w14:textId="77777777" w:rsidR="00DE32F1" w:rsidRPr="001C0F0A" w:rsidRDefault="00DE32F1">
      <w:pPr>
        <w:spacing w:after="0" w:line="360" w:lineRule="auto"/>
        <w:ind w:right="49"/>
        <w:jc w:val="both"/>
        <w:rPr>
          <w:rFonts w:ascii="Palatino Linotype" w:eastAsia="Palatino Linotype" w:hAnsi="Palatino Linotype" w:cs="Palatino Linotype"/>
        </w:rPr>
      </w:pPr>
    </w:p>
    <w:p w14:paraId="4F59DD1A"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En este sentido, al considerar la fecha en que se formuló la solicitud y la fecha en que respondió a esta el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788EA40A" w14:textId="77777777" w:rsidR="00DE32F1" w:rsidRPr="001C0F0A" w:rsidRDefault="00DE32F1">
      <w:pPr>
        <w:spacing w:after="0" w:line="360" w:lineRule="auto"/>
        <w:ind w:right="49"/>
        <w:jc w:val="both"/>
        <w:rPr>
          <w:rFonts w:ascii="Palatino Linotype" w:eastAsia="Palatino Linotype" w:hAnsi="Palatino Linotype" w:cs="Palatino Linotype"/>
        </w:rPr>
      </w:pPr>
    </w:p>
    <w:p w14:paraId="1337F8F0"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1C0F0A">
        <w:rPr>
          <w:rFonts w:ascii="Palatino Linotype" w:eastAsia="Palatino Linotype" w:hAnsi="Palatino Linotype" w:cs="Palatino Linotype"/>
          <w:b/>
        </w:rPr>
        <w:t>SAIMEX</w:t>
      </w:r>
      <w:r w:rsidRPr="001C0F0A">
        <w:rPr>
          <w:rFonts w:ascii="Palatino Linotype" w:eastAsia="Palatino Linotype" w:hAnsi="Palatino Linotype" w:cs="Palatino Linotype"/>
        </w:rPr>
        <w:t xml:space="preserve">.  </w:t>
      </w:r>
    </w:p>
    <w:p w14:paraId="6555D8D7" w14:textId="77777777" w:rsidR="00DE32F1" w:rsidRPr="001C0F0A" w:rsidRDefault="00DE32F1">
      <w:pPr>
        <w:spacing w:after="0" w:line="360" w:lineRule="auto"/>
        <w:jc w:val="both"/>
        <w:rPr>
          <w:rFonts w:ascii="Palatino Linotype" w:eastAsia="Palatino Linotype" w:hAnsi="Palatino Linotype" w:cs="Palatino Linotype"/>
        </w:rPr>
      </w:pPr>
    </w:p>
    <w:p w14:paraId="296C9F27" w14:textId="2157B61E" w:rsidR="00DE32F1" w:rsidRPr="001C0F0A" w:rsidRDefault="001B31D0">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Asimismo, resulta procedente la interposición del recurso de revisión al rubro anotado, toda vez que se actualiza la hipótesis previst</w:t>
      </w:r>
      <w:r w:rsidR="007D2ABD" w:rsidRPr="001C0F0A">
        <w:rPr>
          <w:rFonts w:ascii="Palatino Linotype" w:eastAsia="Palatino Linotype" w:hAnsi="Palatino Linotype" w:cs="Palatino Linotype"/>
        </w:rPr>
        <w:t xml:space="preserve">a en el artículo 179, fracción IV </w:t>
      </w:r>
      <w:r w:rsidRPr="001C0F0A">
        <w:rPr>
          <w:rFonts w:ascii="Palatino Linotype" w:eastAsia="Palatino Linotype" w:hAnsi="Palatino Linotype" w:cs="Palatino Linotype"/>
        </w:rPr>
        <w:t>de la ley de la materia, que a la letra dice:</w:t>
      </w:r>
    </w:p>
    <w:p w14:paraId="472255FD" w14:textId="77777777" w:rsidR="00DE32F1" w:rsidRPr="001C0F0A" w:rsidRDefault="00DE32F1">
      <w:pPr>
        <w:spacing w:after="0" w:line="360" w:lineRule="auto"/>
        <w:jc w:val="both"/>
        <w:rPr>
          <w:rFonts w:ascii="Palatino Linotype" w:eastAsia="Palatino Linotype" w:hAnsi="Palatino Linotype" w:cs="Palatino Linotype"/>
        </w:rPr>
      </w:pPr>
    </w:p>
    <w:p w14:paraId="0B4994F1" w14:textId="77777777" w:rsidR="00DE32F1" w:rsidRPr="001C0F0A" w:rsidRDefault="001B31D0">
      <w:pPr>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r w:rsidRPr="001C0F0A">
        <w:rPr>
          <w:rFonts w:ascii="Palatino Linotype" w:eastAsia="Palatino Linotype" w:hAnsi="Palatino Linotype" w:cs="Palatino Linotype"/>
          <w:b/>
          <w:i/>
        </w:rPr>
        <w:t xml:space="preserve">Artículo 179. </w:t>
      </w:r>
      <w:r w:rsidRPr="001C0F0A">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0E3A6B6" w14:textId="77777777" w:rsidR="00DE32F1" w:rsidRPr="001C0F0A" w:rsidRDefault="001B31D0">
      <w:pPr>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p>
    <w:p w14:paraId="29AD5891" w14:textId="0860B3E7" w:rsidR="00DE32F1" w:rsidRPr="001C0F0A" w:rsidRDefault="007D2ABD">
      <w:pPr>
        <w:spacing w:after="0" w:line="360" w:lineRule="auto"/>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IV. La declaración de incompetencia por el sujeto obligado;</w:t>
      </w:r>
      <w:r w:rsidRPr="001C0F0A">
        <w:rPr>
          <w:rFonts w:ascii="Palatino Linotype" w:eastAsia="Palatino Linotype" w:hAnsi="Palatino Linotype" w:cs="Palatino Linotype"/>
          <w:i/>
        </w:rPr>
        <w:cr/>
      </w:r>
      <w:r w:rsidR="001B31D0" w:rsidRPr="001C0F0A">
        <w:rPr>
          <w:rFonts w:ascii="Palatino Linotype" w:eastAsia="Palatino Linotype" w:hAnsi="Palatino Linotype" w:cs="Palatino Linotype"/>
          <w:i/>
        </w:rPr>
        <w:t xml:space="preserve">…” </w:t>
      </w:r>
    </w:p>
    <w:p w14:paraId="28DF47B5" w14:textId="77777777" w:rsidR="001240D9" w:rsidRPr="001C0F0A" w:rsidRDefault="001240D9">
      <w:pPr>
        <w:spacing w:after="0" w:line="360" w:lineRule="auto"/>
        <w:jc w:val="both"/>
        <w:rPr>
          <w:rFonts w:ascii="Palatino Linotype" w:eastAsia="Palatino Linotype" w:hAnsi="Palatino Linotype" w:cs="Palatino Linotype"/>
        </w:rPr>
      </w:pPr>
    </w:p>
    <w:p w14:paraId="73BD557E" w14:textId="4711B833" w:rsidR="00DE32F1" w:rsidRPr="001C0F0A" w:rsidRDefault="001B31D0">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b/>
        </w:rPr>
        <w:t>Tercero. Materia de Revisión</w:t>
      </w:r>
      <w:r w:rsidRPr="001C0F0A">
        <w:rPr>
          <w:rFonts w:ascii="Palatino Linotype" w:eastAsia="Palatino Linotype" w:hAnsi="Palatino Linotype" w:cs="Palatino Linotype"/>
        </w:rPr>
        <w:t>: De las constancias que integran el expediente electrónico se advierte que el tema sobre el que este Instituto se pronunciará será en determinar</w:t>
      </w:r>
      <w:r w:rsidR="007D2ABD" w:rsidRPr="001C0F0A">
        <w:rPr>
          <w:rFonts w:ascii="Palatino Linotype" w:eastAsia="Palatino Linotype" w:hAnsi="Palatino Linotype" w:cs="Palatino Linotype"/>
        </w:rPr>
        <w:t xml:space="preserve"> si se </w:t>
      </w:r>
      <w:r w:rsidR="007D2ABD" w:rsidRPr="001C0F0A">
        <w:rPr>
          <w:rFonts w:ascii="Palatino Linotype" w:eastAsia="Palatino Linotype" w:hAnsi="Palatino Linotype" w:cs="Palatino Linotype"/>
        </w:rPr>
        <w:lastRenderedPageBreak/>
        <w:t>actualiza la</w:t>
      </w:r>
      <w:r w:rsidR="00FD156B" w:rsidRPr="001C0F0A">
        <w:rPr>
          <w:rFonts w:ascii="Palatino Linotype" w:eastAsia="Palatino Linotype" w:hAnsi="Palatino Linotype" w:cs="Palatino Linotype"/>
        </w:rPr>
        <w:t xml:space="preserve"> </w:t>
      </w:r>
      <w:r w:rsidR="007D2ABD" w:rsidRPr="001C0F0A">
        <w:rPr>
          <w:rFonts w:ascii="Palatino Linotype" w:eastAsia="Palatino Linotype" w:hAnsi="Palatino Linotype" w:cs="Palatino Linotype"/>
        </w:rPr>
        <w:t xml:space="preserve">fracción IV </w:t>
      </w:r>
      <w:r w:rsidRPr="001C0F0A">
        <w:rPr>
          <w:rFonts w:ascii="Palatino Linotype" w:eastAsia="Palatino Linotype" w:hAnsi="Palatino Linotype" w:cs="Palatino Linotype"/>
        </w:rPr>
        <w:t xml:space="preserve">del artículo 179 de la Ley de Transparencia y Acceso a la Información Pública del Estado de México y Municipios.  </w:t>
      </w:r>
    </w:p>
    <w:p w14:paraId="4185BE7B" w14:textId="77777777" w:rsidR="00DE32F1" w:rsidRPr="001C0F0A" w:rsidRDefault="00DE32F1">
      <w:pPr>
        <w:spacing w:after="0" w:line="360" w:lineRule="auto"/>
        <w:jc w:val="both"/>
        <w:rPr>
          <w:rFonts w:ascii="Palatino Linotype" w:eastAsia="Palatino Linotype" w:hAnsi="Palatino Linotype" w:cs="Palatino Linotype"/>
        </w:rPr>
      </w:pPr>
    </w:p>
    <w:p w14:paraId="0AD54399" w14:textId="0DD45A0B" w:rsidR="00DE32F1" w:rsidRPr="001C0F0A" w:rsidRDefault="001B31D0" w:rsidP="00FD156B">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Cuarto.</w:t>
      </w:r>
      <w:r w:rsidRPr="001C0F0A">
        <w:rPr>
          <w:rFonts w:ascii="Palatino Linotype" w:eastAsia="Palatino Linotype" w:hAnsi="Palatino Linotype" w:cs="Palatino Linotype"/>
        </w:rPr>
        <w:t xml:space="preserve"> </w:t>
      </w:r>
      <w:r w:rsidRPr="001C0F0A">
        <w:rPr>
          <w:rFonts w:ascii="Palatino Linotype" w:eastAsia="Palatino Linotype" w:hAnsi="Palatino Linotype" w:cs="Palatino Linotype"/>
          <w:b/>
        </w:rPr>
        <w:t>Estudio de fondo del asunto.</w:t>
      </w:r>
      <w:r w:rsidRPr="001C0F0A">
        <w:rPr>
          <w:rFonts w:ascii="Palatino Linotype" w:eastAsia="Palatino Linotype" w:hAnsi="Palatino Linotype" w:cs="Palatino Linotype"/>
        </w:rPr>
        <w:t xml:space="preserve">  Es conveniente analizar si la respuesta del Sujeto Obligado</w:t>
      </w:r>
      <w:r w:rsidRPr="001C0F0A">
        <w:rPr>
          <w:rFonts w:ascii="Palatino Linotype" w:eastAsia="Palatino Linotype" w:hAnsi="Palatino Linotype" w:cs="Palatino Linotype"/>
          <w:b/>
        </w:rPr>
        <w:t xml:space="preserve"> </w:t>
      </w:r>
      <w:r w:rsidRPr="001C0F0A">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CEE7EE0" w14:textId="77777777" w:rsidR="00376470" w:rsidRPr="001C0F0A" w:rsidRDefault="00376470" w:rsidP="00FD156B">
      <w:pPr>
        <w:spacing w:after="0" w:line="360" w:lineRule="auto"/>
        <w:ind w:right="49"/>
        <w:jc w:val="both"/>
        <w:rPr>
          <w:rFonts w:ascii="Palatino Linotype" w:eastAsia="Palatino Linotype" w:hAnsi="Palatino Linotype" w:cs="Palatino Linotype"/>
        </w:rPr>
      </w:pPr>
    </w:p>
    <w:p w14:paraId="328EF835" w14:textId="77777777" w:rsidR="00DE32F1" w:rsidRPr="001C0F0A" w:rsidRDefault="001B31D0">
      <w:pPr>
        <w:tabs>
          <w:tab w:val="left" w:pos="851"/>
        </w:tabs>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r w:rsidRPr="001C0F0A">
        <w:rPr>
          <w:rFonts w:ascii="Palatino Linotype" w:eastAsia="Palatino Linotype" w:hAnsi="Palatino Linotype" w:cs="Palatino Linotype"/>
          <w:b/>
          <w:i/>
        </w:rPr>
        <w:t>Artículo 4</w:t>
      </w:r>
      <w:r w:rsidRPr="001C0F0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D4E8DD" w14:textId="77777777" w:rsidR="00DE32F1" w:rsidRPr="001C0F0A" w:rsidRDefault="001B31D0">
      <w:pPr>
        <w:tabs>
          <w:tab w:val="left" w:pos="851"/>
        </w:tabs>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C0F0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F6376F" w14:textId="77777777" w:rsidR="00DE32F1" w:rsidRPr="001C0F0A" w:rsidRDefault="001B31D0">
      <w:pPr>
        <w:tabs>
          <w:tab w:val="left" w:pos="851"/>
        </w:tabs>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C0F0A">
        <w:rPr>
          <w:rFonts w:ascii="Palatino Linotype" w:eastAsia="Palatino Linotype" w:hAnsi="Palatino Linotype" w:cs="Palatino Linotype"/>
          <w:i/>
        </w:rPr>
        <w:t>.”</w:t>
      </w:r>
    </w:p>
    <w:p w14:paraId="33B96C4D" w14:textId="77777777" w:rsidR="00DE32F1" w:rsidRPr="001C0F0A" w:rsidRDefault="00DE32F1">
      <w:pPr>
        <w:spacing w:after="0" w:line="360" w:lineRule="auto"/>
        <w:jc w:val="both"/>
        <w:rPr>
          <w:rFonts w:ascii="Palatino Linotype" w:eastAsia="Palatino Linotype" w:hAnsi="Palatino Linotype" w:cs="Palatino Linotype"/>
        </w:rPr>
      </w:pPr>
    </w:p>
    <w:p w14:paraId="6B7C8AAE" w14:textId="77777777" w:rsidR="00DE32F1" w:rsidRPr="001C0F0A" w:rsidRDefault="001B31D0">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w:t>
      </w:r>
      <w:r w:rsidRPr="001C0F0A">
        <w:rPr>
          <w:rFonts w:ascii="Palatino Linotype" w:eastAsia="Palatino Linotype" w:hAnsi="Palatino Linotype" w:cs="Palatino Linotype"/>
        </w:rPr>
        <w:lastRenderedPageBreak/>
        <w:t>procesamiento de la misma, ni presentarla conforme al interés del solicitante; como así lo establece el artículo 12 de la Ley de Transparencia y Acceso a la Información Pública del Estado de México y Municipios, que a la letra dice:</w:t>
      </w:r>
    </w:p>
    <w:p w14:paraId="23E124B5" w14:textId="77777777" w:rsidR="00DE32F1" w:rsidRPr="001C0F0A" w:rsidRDefault="00DE32F1">
      <w:pPr>
        <w:spacing w:after="0"/>
        <w:ind w:left="567" w:right="616"/>
        <w:jc w:val="both"/>
        <w:rPr>
          <w:rFonts w:ascii="Palatino Linotype" w:eastAsia="Palatino Linotype" w:hAnsi="Palatino Linotype" w:cs="Palatino Linotype"/>
        </w:rPr>
      </w:pPr>
    </w:p>
    <w:p w14:paraId="0F49F206" w14:textId="77777777" w:rsidR="00DE32F1" w:rsidRPr="001C0F0A" w:rsidRDefault="001B31D0">
      <w:pPr>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r w:rsidRPr="001C0F0A">
        <w:rPr>
          <w:rFonts w:ascii="Palatino Linotype" w:eastAsia="Palatino Linotype" w:hAnsi="Palatino Linotype" w:cs="Palatino Linotype"/>
          <w:b/>
          <w:i/>
        </w:rPr>
        <w:t>Artículo 12.-</w:t>
      </w:r>
      <w:r w:rsidRPr="001C0F0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2D6817C" w14:textId="77777777" w:rsidR="00DE32F1" w:rsidRPr="001C0F0A" w:rsidRDefault="00DE32F1">
      <w:pPr>
        <w:spacing w:after="0"/>
        <w:ind w:left="567" w:right="616"/>
        <w:jc w:val="both"/>
        <w:rPr>
          <w:rFonts w:ascii="Palatino Linotype" w:eastAsia="Palatino Linotype" w:hAnsi="Palatino Linotype" w:cs="Palatino Linotype"/>
          <w:i/>
        </w:rPr>
      </w:pPr>
    </w:p>
    <w:p w14:paraId="13D2F4F4" w14:textId="268EFF7C" w:rsidR="00DE32F1" w:rsidRPr="001C0F0A" w:rsidRDefault="001B31D0" w:rsidP="00FD156B">
      <w:pPr>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C0F0A">
        <w:rPr>
          <w:rFonts w:ascii="Palatino Linotype" w:eastAsia="Palatino Linotype" w:hAnsi="Palatino Linotype" w:cs="Palatino Linotype"/>
          <w:i/>
        </w:rPr>
        <w:t xml:space="preserve">. </w:t>
      </w:r>
      <w:r w:rsidRPr="001C0F0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1C0F0A">
        <w:rPr>
          <w:rFonts w:ascii="Palatino Linotype" w:eastAsia="Palatino Linotype" w:hAnsi="Palatino Linotype" w:cs="Palatino Linotype"/>
          <w:i/>
        </w:rPr>
        <w:t xml:space="preserve">.” </w:t>
      </w:r>
    </w:p>
    <w:p w14:paraId="04861A37" w14:textId="77777777" w:rsidR="00376470" w:rsidRPr="001C0F0A" w:rsidRDefault="00376470" w:rsidP="00FD156B">
      <w:pPr>
        <w:spacing w:after="0"/>
        <w:ind w:left="567" w:right="616"/>
        <w:jc w:val="both"/>
        <w:rPr>
          <w:rFonts w:ascii="Palatino Linotype" w:eastAsia="Palatino Linotype" w:hAnsi="Palatino Linotype" w:cs="Palatino Linotype"/>
          <w:i/>
        </w:rPr>
      </w:pPr>
    </w:p>
    <w:p w14:paraId="1F0BF801" w14:textId="77777777" w:rsidR="00DE32F1" w:rsidRPr="001C0F0A" w:rsidRDefault="001B31D0">
      <w:pPr>
        <w:spacing w:after="0" w:line="360" w:lineRule="auto"/>
        <w:ind w:right="-93"/>
        <w:jc w:val="both"/>
        <w:rPr>
          <w:rFonts w:ascii="Palatino Linotype" w:eastAsia="Palatino Linotype" w:hAnsi="Palatino Linotype" w:cs="Palatino Linotype"/>
        </w:rPr>
      </w:pPr>
      <w:r w:rsidRPr="001C0F0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935FD28" w14:textId="77777777" w:rsidR="00DE32F1" w:rsidRPr="001C0F0A" w:rsidRDefault="00DE32F1">
      <w:pPr>
        <w:spacing w:after="0" w:line="360" w:lineRule="auto"/>
        <w:ind w:right="-93"/>
        <w:jc w:val="both"/>
        <w:rPr>
          <w:rFonts w:ascii="Palatino Linotype" w:eastAsia="Palatino Linotype" w:hAnsi="Palatino Linotype" w:cs="Palatino Linotype"/>
        </w:rPr>
      </w:pPr>
    </w:p>
    <w:p w14:paraId="173DA340" w14:textId="77777777" w:rsidR="00DE32F1" w:rsidRPr="001C0F0A" w:rsidRDefault="001B31D0">
      <w:pPr>
        <w:spacing w:after="0" w:line="360" w:lineRule="auto"/>
        <w:jc w:val="both"/>
        <w:rPr>
          <w:rFonts w:ascii="Palatino Linotype" w:eastAsia="Palatino Linotype" w:hAnsi="Palatino Linotype" w:cs="Palatino Linotype"/>
          <w:b/>
        </w:rPr>
      </w:pPr>
      <w:r w:rsidRPr="001C0F0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1C0F0A">
        <w:rPr>
          <w:rFonts w:ascii="Palatino Linotype" w:eastAsia="Palatino Linotype" w:hAnsi="Palatino Linotype" w:cs="Palatino Linotype"/>
          <w:b/>
        </w:rPr>
        <w:t xml:space="preserve"> </w:t>
      </w:r>
    </w:p>
    <w:p w14:paraId="32AC9F2C" w14:textId="77777777" w:rsidR="00DE32F1" w:rsidRPr="001C0F0A" w:rsidRDefault="00DE32F1">
      <w:pPr>
        <w:spacing w:after="0"/>
        <w:ind w:left="851" w:right="850"/>
        <w:jc w:val="both"/>
        <w:rPr>
          <w:rFonts w:ascii="Palatino Linotype" w:eastAsia="Palatino Linotype" w:hAnsi="Palatino Linotype" w:cs="Palatino Linotype"/>
        </w:rPr>
      </w:pPr>
    </w:p>
    <w:p w14:paraId="23633B6B" w14:textId="77777777" w:rsidR="00DE32F1" w:rsidRPr="001C0F0A" w:rsidRDefault="001B31D0">
      <w:pPr>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r w:rsidRPr="001C0F0A">
        <w:rPr>
          <w:rFonts w:ascii="Palatino Linotype" w:eastAsia="Palatino Linotype" w:hAnsi="Palatino Linotype" w:cs="Palatino Linotype"/>
          <w:b/>
          <w:i/>
        </w:rPr>
        <w:t>No existe obligación de elaborar documentos ad hoc para atender las solicitudes de acceso a la información.</w:t>
      </w:r>
      <w:r w:rsidRPr="001C0F0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1C0F0A">
        <w:rPr>
          <w:rFonts w:ascii="Palatino Linotype" w:eastAsia="Palatino Linotype" w:hAnsi="Palatino Linotype" w:cs="Palatino Linotype"/>
          <w:i/>
        </w:rPr>
        <w:lastRenderedPageBreak/>
        <w:t xml:space="preserve">proporcionando la información con la que cuentan en el formato en que la misma obre en sus archivos; sin necesidad de elaborar documentos ad hoc para atender las solicitudes de información”. </w:t>
      </w:r>
    </w:p>
    <w:p w14:paraId="30EB48F2" w14:textId="77777777" w:rsidR="00DE32F1" w:rsidRPr="001C0F0A" w:rsidRDefault="00DE32F1">
      <w:pPr>
        <w:spacing w:after="0"/>
        <w:ind w:left="567" w:right="616"/>
        <w:jc w:val="both"/>
        <w:rPr>
          <w:rFonts w:ascii="Palatino Linotype" w:eastAsia="Palatino Linotype" w:hAnsi="Palatino Linotype" w:cs="Palatino Linotype"/>
          <w:i/>
        </w:rPr>
      </w:pPr>
    </w:p>
    <w:p w14:paraId="4D5A33EB" w14:textId="77777777" w:rsidR="00DE32F1" w:rsidRPr="001C0F0A" w:rsidRDefault="001B31D0">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886AD91" w14:textId="77777777" w:rsidR="00DE32F1" w:rsidRPr="001C0F0A" w:rsidRDefault="00DE32F1">
      <w:pPr>
        <w:spacing w:after="0" w:line="360" w:lineRule="auto"/>
        <w:jc w:val="both"/>
        <w:rPr>
          <w:rFonts w:ascii="Palatino Linotype" w:eastAsia="Palatino Linotype" w:hAnsi="Palatino Linotype" w:cs="Palatino Linotype"/>
        </w:rPr>
      </w:pPr>
    </w:p>
    <w:p w14:paraId="7232290C" w14:textId="60DAA336" w:rsidR="00DE32F1" w:rsidRPr="001C0F0A" w:rsidRDefault="001B31D0" w:rsidP="002D7BF5">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EB42ADB" w14:textId="77777777" w:rsidR="002D7BF5" w:rsidRPr="001C0F0A" w:rsidRDefault="002D7BF5" w:rsidP="002D7BF5">
      <w:pPr>
        <w:spacing w:after="0" w:line="360" w:lineRule="auto"/>
        <w:ind w:right="49"/>
        <w:jc w:val="both"/>
        <w:rPr>
          <w:rFonts w:ascii="Palatino Linotype" w:eastAsia="Palatino Linotype" w:hAnsi="Palatino Linotype" w:cs="Palatino Linotype"/>
        </w:rPr>
      </w:pPr>
    </w:p>
    <w:p w14:paraId="095D96D1" w14:textId="77777777" w:rsidR="00DE32F1" w:rsidRPr="001C0F0A" w:rsidRDefault="001B31D0">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66F814D" w14:textId="77777777" w:rsidR="006F5E1A" w:rsidRPr="001C0F0A" w:rsidRDefault="006F5E1A" w:rsidP="006F5E1A">
      <w:pPr>
        <w:spacing w:after="0" w:line="360" w:lineRule="auto"/>
        <w:jc w:val="both"/>
        <w:rPr>
          <w:rFonts w:ascii="Palatino Linotype" w:eastAsia="Palatino Linotype" w:hAnsi="Palatino Linotype" w:cs="Palatino Linotype"/>
        </w:rPr>
      </w:pPr>
    </w:p>
    <w:p w14:paraId="5EC05BB6" w14:textId="77777777" w:rsidR="00DE32F1" w:rsidRPr="001C0F0A" w:rsidRDefault="001B31D0">
      <w:pPr>
        <w:tabs>
          <w:tab w:val="left" w:pos="7797"/>
        </w:tabs>
        <w:spacing w:after="0"/>
        <w:ind w:left="709" w:right="616"/>
        <w:jc w:val="both"/>
        <w:rPr>
          <w:rFonts w:ascii="Palatino Linotype" w:eastAsia="Palatino Linotype" w:hAnsi="Palatino Linotype" w:cs="Palatino Linotype"/>
          <w:b/>
          <w:i/>
        </w:rPr>
      </w:pPr>
      <w:r w:rsidRPr="001C0F0A">
        <w:rPr>
          <w:rFonts w:ascii="Palatino Linotype" w:eastAsia="Palatino Linotype" w:hAnsi="Palatino Linotype" w:cs="Palatino Linotype"/>
          <w:b/>
        </w:rPr>
        <w:t>“</w:t>
      </w:r>
      <w:r w:rsidRPr="001C0F0A">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C0F0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1C0F0A">
        <w:rPr>
          <w:rFonts w:ascii="Palatino Linotype" w:eastAsia="Palatino Linotype" w:hAnsi="Palatino Linotype" w:cs="Palatino Linotype"/>
          <w:i/>
        </w:rPr>
        <w:lastRenderedPageBreak/>
        <w:t>organismos públicos, en virtud del ejercicio de sus funciones de derecho público, sin importar su fuente, soporte o fecha de elaboración.</w:t>
      </w:r>
    </w:p>
    <w:p w14:paraId="148B2ECF" w14:textId="77777777" w:rsidR="00DE32F1" w:rsidRPr="001C0F0A" w:rsidRDefault="001B31D0">
      <w:pPr>
        <w:tabs>
          <w:tab w:val="left" w:pos="7797"/>
        </w:tabs>
        <w:spacing w:after="0"/>
        <w:ind w:left="709"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En consecuencia el acceso a la información se refiere a que se cumplan cualquiera de los siguientes tres supuestos:</w:t>
      </w:r>
    </w:p>
    <w:p w14:paraId="3A8F7EEF" w14:textId="77777777" w:rsidR="00DE32F1" w:rsidRPr="001C0F0A" w:rsidRDefault="001B31D0">
      <w:pPr>
        <w:tabs>
          <w:tab w:val="left" w:pos="7797"/>
        </w:tabs>
        <w:spacing w:after="0"/>
        <w:ind w:left="709"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E057875" w14:textId="77777777" w:rsidR="00DE32F1" w:rsidRPr="001C0F0A" w:rsidRDefault="001B31D0">
      <w:pPr>
        <w:tabs>
          <w:tab w:val="left" w:pos="7797"/>
        </w:tabs>
        <w:spacing w:after="0"/>
        <w:ind w:left="709" w:right="616"/>
        <w:jc w:val="both"/>
        <w:rPr>
          <w:rFonts w:ascii="Palatino Linotype" w:eastAsia="Palatino Linotype" w:hAnsi="Palatino Linotype" w:cs="Palatino Linotype"/>
          <w:b/>
          <w:i/>
        </w:rPr>
      </w:pPr>
      <w:r w:rsidRPr="001C0F0A">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2EAEDFB" w14:textId="77777777" w:rsidR="00DE32F1" w:rsidRPr="001C0F0A" w:rsidRDefault="001B31D0">
      <w:pPr>
        <w:tabs>
          <w:tab w:val="left" w:pos="7797"/>
        </w:tabs>
        <w:spacing w:after="0"/>
        <w:ind w:left="709" w:right="616"/>
        <w:jc w:val="both"/>
        <w:rPr>
          <w:rFonts w:ascii="Palatino Linotype" w:eastAsia="Palatino Linotype" w:hAnsi="Palatino Linotype" w:cs="Palatino Linotype"/>
          <w:b/>
          <w:i/>
        </w:rPr>
      </w:pPr>
      <w:r w:rsidRPr="001C0F0A">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29B888FB" w14:textId="77777777" w:rsidR="00DE32F1" w:rsidRPr="001C0F0A" w:rsidRDefault="00DE32F1">
      <w:pPr>
        <w:spacing w:after="0" w:line="360" w:lineRule="auto"/>
        <w:jc w:val="both"/>
        <w:rPr>
          <w:rFonts w:ascii="Palatino Linotype" w:eastAsia="Palatino Linotype" w:hAnsi="Palatino Linotype" w:cs="Palatino Linotype"/>
        </w:rPr>
      </w:pPr>
    </w:p>
    <w:p w14:paraId="276BD403" w14:textId="43E51198" w:rsidR="00DE32F1" w:rsidRPr="001C0F0A" w:rsidRDefault="001B31D0" w:rsidP="006F5E1A">
      <w:pPr>
        <w:spacing w:after="0" w:line="360" w:lineRule="auto"/>
        <w:jc w:val="both"/>
        <w:rPr>
          <w:rFonts w:ascii="Palatino Linotype" w:eastAsia="Palatino Linotype" w:hAnsi="Palatino Linotype" w:cs="Palatino Linotype"/>
          <w:b/>
        </w:rPr>
      </w:pPr>
      <w:r w:rsidRPr="001C0F0A">
        <w:rPr>
          <w:rFonts w:ascii="Palatino Linotype" w:eastAsia="Palatino Linotype" w:hAnsi="Palatino Linotype" w:cs="Palatino Linotype"/>
        </w:rPr>
        <w:t>Dicho lo anterior, es de recordar que la parte Solicitante requirió se le proporci</w:t>
      </w:r>
      <w:r w:rsidR="006F5E1A" w:rsidRPr="001C0F0A">
        <w:rPr>
          <w:rFonts w:ascii="Palatino Linotype" w:eastAsia="Palatino Linotype" w:hAnsi="Palatino Linotype" w:cs="Palatino Linotype"/>
        </w:rPr>
        <w:t xml:space="preserve">onaran </w:t>
      </w:r>
      <w:r w:rsidR="00FD156B" w:rsidRPr="001C0F0A">
        <w:rPr>
          <w:rFonts w:ascii="Palatino Linotype" w:eastAsia="Palatino Linotype" w:hAnsi="Palatino Linotype" w:cs="Palatino Linotype"/>
          <w:b/>
        </w:rPr>
        <w:t xml:space="preserve">el oficio del Consejo Indígena del Trueque de Tianguistenco dirigido a Alfredo del Mazo Maza del 26 de junio de 2018, acompañado de toda la documentación que contenga el expediente que se generó a consecuencia del oficio mencionado, así como, todo lo actuado. </w:t>
      </w:r>
    </w:p>
    <w:p w14:paraId="6EB12DDC" w14:textId="77777777" w:rsidR="006F5E1A" w:rsidRPr="001C0F0A" w:rsidRDefault="006F5E1A" w:rsidP="006F5E1A">
      <w:pPr>
        <w:spacing w:after="0" w:line="360" w:lineRule="auto"/>
        <w:jc w:val="both"/>
        <w:rPr>
          <w:rFonts w:ascii="Palatino Linotype" w:eastAsia="Palatino Linotype" w:hAnsi="Palatino Linotype" w:cs="Palatino Linotype"/>
          <w:b/>
        </w:rPr>
      </w:pPr>
    </w:p>
    <w:p w14:paraId="1E3948A9" w14:textId="425CB3F7" w:rsidR="006F5E1A" w:rsidRPr="001C0F0A" w:rsidRDefault="001B31D0" w:rsidP="006F5E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En respuesta, el Sujeto Obligado</w:t>
      </w:r>
      <w:r w:rsidR="00FD156B" w:rsidRPr="001C0F0A">
        <w:rPr>
          <w:rFonts w:ascii="Palatino Linotype" w:eastAsia="Palatino Linotype" w:hAnsi="Palatino Linotype" w:cs="Palatino Linotype"/>
        </w:rPr>
        <w:t xml:space="preserve"> a través del Titular de la Unidad de Transparencia, mediante el cual informa que se realizó una búsqueda exhaustiva dentro de los archivos de la Gubernatura y no se encontró antecedente relativo, ya que como se comenta en la solicitud el documento posiblemente fue ingresado en la ventanilla de la Coordinación de Atención Ciudadana, por lo que, se recomienda que se dirija la solicitud de información a la Secretaría de Finanzas. </w:t>
      </w:r>
    </w:p>
    <w:p w14:paraId="16A53910" w14:textId="77777777" w:rsidR="006F5E1A" w:rsidRPr="001C0F0A" w:rsidRDefault="006F5E1A" w:rsidP="006F5E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B8AE118" w14:textId="49699265" w:rsidR="006F5E1A" w:rsidRPr="001C0F0A" w:rsidRDefault="006F5E1A" w:rsidP="006F5E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Derivado de ello, la parte Solicitante se inconformó </w:t>
      </w:r>
      <w:r w:rsidR="00FD156B" w:rsidRPr="001C0F0A">
        <w:rPr>
          <w:rFonts w:ascii="Palatino Linotype" w:eastAsia="Palatino Linotype" w:hAnsi="Palatino Linotype" w:cs="Palatino Linotype"/>
        </w:rPr>
        <w:t xml:space="preserve">medularmente por la incompetencia declarada por el Sujeto Obligado. </w:t>
      </w:r>
      <w:r w:rsidRPr="001C0F0A">
        <w:rPr>
          <w:rFonts w:ascii="Palatino Linotype" w:eastAsia="Palatino Linotype" w:hAnsi="Palatino Linotype" w:cs="Palatino Linotype"/>
        </w:rPr>
        <w:t xml:space="preserve"> </w:t>
      </w:r>
    </w:p>
    <w:p w14:paraId="79EA3E17" w14:textId="77777777" w:rsidR="006F5E1A" w:rsidRPr="001C0F0A" w:rsidRDefault="006F5E1A" w:rsidP="006F5E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A5CF989" w14:textId="6613D33A" w:rsidR="006F5E1A" w:rsidRPr="001C0F0A" w:rsidRDefault="006F5E1A" w:rsidP="006F5E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En atención a ello, mediante informe justificado, el </w:t>
      </w:r>
      <w:r w:rsidR="00FD156B" w:rsidRPr="001C0F0A">
        <w:rPr>
          <w:rFonts w:ascii="Palatino Linotype" w:eastAsia="Palatino Linotype" w:hAnsi="Palatino Linotype" w:cs="Palatino Linotype"/>
        </w:rPr>
        <w:t xml:space="preserve">Sujeto Obligado, a través de su </w:t>
      </w:r>
      <w:r w:rsidR="00F15A42" w:rsidRPr="001C0F0A">
        <w:rPr>
          <w:rFonts w:ascii="Palatino Linotype" w:eastAsia="Palatino Linotype" w:hAnsi="Palatino Linotype" w:cs="Palatino Linotype"/>
        </w:rPr>
        <w:t xml:space="preserve">informe justificado ratificó su respuesta inicial y precisó que, el solicitante había manifestado en su </w:t>
      </w:r>
      <w:r w:rsidR="00F15A42" w:rsidRPr="001C0F0A">
        <w:rPr>
          <w:rFonts w:ascii="Palatino Linotype" w:eastAsia="Palatino Linotype" w:hAnsi="Palatino Linotype" w:cs="Palatino Linotype"/>
        </w:rPr>
        <w:lastRenderedPageBreak/>
        <w:t xml:space="preserve">solicitud que había ingresado su petición en la Coordinación de Atención Ciudadana de la Secretaría de Finanzas. </w:t>
      </w:r>
    </w:p>
    <w:p w14:paraId="4BDDB5F0" w14:textId="77777777" w:rsidR="00DE32F1" w:rsidRPr="001C0F0A" w:rsidRDefault="001B31D0" w:rsidP="006F5E1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 </w:t>
      </w:r>
    </w:p>
    <w:p w14:paraId="19AD6914" w14:textId="669AED3A" w:rsidR="003A4FE9" w:rsidRPr="001C0F0A" w:rsidRDefault="006F5E1A" w:rsidP="00F15A42">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Dicho esto, se procede a contextualizar la información solicitada, par</w:t>
      </w:r>
      <w:r w:rsidR="00321C1E" w:rsidRPr="001C0F0A">
        <w:rPr>
          <w:rFonts w:ascii="Palatino Linotype" w:eastAsia="Palatino Linotype" w:hAnsi="Palatino Linotype" w:cs="Palatino Linotype"/>
        </w:rPr>
        <w:t>a ello, es menester precisar que</w:t>
      </w:r>
      <w:r w:rsidRPr="001C0F0A">
        <w:rPr>
          <w:rFonts w:ascii="Palatino Linotype" w:eastAsia="Palatino Linotype" w:hAnsi="Palatino Linotype" w:cs="Palatino Linotype"/>
        </w:rPr>
        <w:t xml:space="preserve"> </w:t>
      </w:r>
      <w:r w:rsidR="00F15A42" w:rsidRPr="001C0F0A">
        <w:rPr>
          <w:rFonts w:ascii="Palatino Linotype" w:eastAsia="Palatino Linotype" w:hAnsi="Palatino Linotype" w:cs="Palatino Linotype"/>
        </w:rPr>
        <w:t>el Consejo Indígena del Trueque es un grupo cuyo objetivo es representar a las comunidades que lo integran frente a las decisiones gubernamentales y realizar acciones en beneficio de la comunidad indígena</w:t>
      </w:r>
      <w:r w:rsidR="00606364" w:rsidRPr="001C0F0A">
        <w:rPr>
          <w:rFonts w:ascii="Palatino Linotype" w:eastAsia="Palatino Linotype" w:hAnsi="Palatino Linotype" w:cs="Palatino Linotype"/>
        </w:rPr>
        <w:t xml:space="preserve">. </w:t>
      </w:r>
    </w:p>
    <w:p w14:paraId="6BBDD64F" w14:textId="77777777" w:rsidR="00F15A42" w:rsidRPr="001C0F0A" w:rsidRDefault="00F15A42" w:rsidP="00F15A42">
      <w:pPr>
        <w:spacing w:after="0" w:line="360" w:lineRule="auto"/>
        <w:jc w:val="both"/>
        <w:rPr>
          <w:rFonts w:ascii="Palatino Linotype" w:eastAsia="Palatino Linotype" w:hAnsi="Palatino Linotype" w:cs="Palatino Linotype"/>
        </w:rPr>
      </w:pPr>
    </w:p>
    <w:p w14:paraId="7D1C44EE" w14:textId="3EA092C0" w:rsidR="006E3C0D" w:rsidRPr="001C0F0A" w:rsidRDefault="00606364" w:rsidP="006E3C0D">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Por otro lado, </w:t>
      </w:r>
      <w:r w:rsidR="006E3C0D" w:rsidRPr="001C0F0A">
        <w:rPr>
          <w:rFonts w:ascii="Palatino Linotype" w:eastAsia="Palatino Linotype" w:hAnsi="Palatino Linotype" w:cs="Palatino Linotype"/>
        </w:rPr>
        <w:t xml:space="preserve">la palabra </w:t>
      </w:r>
      <w:r w:rsidR="006E3C0D" w:rsidRPr="001C0F0A">
        <w:rPr>
          <w:rFonts w:ascii="Palatino Linotype" w:eastAsia="Palatino Linotype" w:hAnsi="Palatino Linotype" w:cs="Palatino Linotype"/>
          <w:i/>
        </w:rPr>
        <w:t>“oficio”,</w:t>
      </w:r>
      <w:r w:rsidR="006E3C0D" w:rsidRPr="001C0F0A">
        <w:rPr>
          <w:rFonts w:ascii="Palatino Linotype" w:eastAsia="Palatino Linotype" w:hAnsi="Palatino Linotype" w:cs="Palatino Linotype"/>
        </w:rPr>
        <w:t xml:space="preserve"> es entendida como aquel documento que emite un organismo oficial, cuyo fin es comunicar una actuación administrativa, en lo que respecta a nuestra materia, se tiene que la Ley de Transparencia y Acceso a la Información Pública del Estado de México y Municipios, prevé en su artículo 3, fracción XI, lo siguiente: </w:t>
      </w:r>
    </w:p>
    <w:p w14:paraId="408D4B68" w14:textId="77777777" w:rsidR="006E3C0D" w:rsidRPr="001C0F0A" w:rsidRDefault="006E3C0D" w:rsidP="006E3C0D">
      <w:pPr>
        <w:spacing w:after="0" w:line="360" w:lineRule="auto"/>
        <w:ind w:right="49"/>
        <w:jc w:val="both"/>
        <w:rPr>
          <w:rFonts w:ascii="Palatino Linotype" w:eastAsia="Palatino Linotype" w:hAnsi="Palatino Linotype" w:cs="Palatino Linotype"/>
        </w:rPr>
      </w:pPr>
    </w:p>
    <w:p w14:paraId="0792B2D2" w14:textId="77777777" w:rsidR="006E3C0D" w:rsidRPr="001C0F0A" w:rsidRDefault="006E3C0D" w:rsidP="006E3C0D">
      <w:pPr>
        <w:spacing w:after="0" w:line="276" w:lineRule="auto"/>
        <w:ind w:left="567" w:right="843"/>
        <w:jc w:val="both"/>
        <w:rPr>
          <w:rFonts w:ascii="Palatino Linotype" w:eastAsia="Palatino Linotype" w:hAnsi="Palatino Linotype" w:cs="Palatino Linotype"/>
          <w:i/>
        </w:rPr>
      </w:pPr>
      <w:r w:rsidRPr="001C0F0A">
        <w:rPr>
          <w:rFonts w:ascii="Palatino Linotype" w:eastAsia="Palatino Linotype" w:hAnsi="Palatino Linotype" w:cs="Palatino Linotype"/>
          <w:b/>
          <w:i/>
        </w:rPr>
        <w:t>Artículo 3.</w:t>
      </w:r>
      <w:r w:rsidRPr="001C0F0A">
        <w:rPr>
          <w:rFonts w:ascii="Palatino Linotype" w:eastAsia="Palatino Linotype" w:hAnsi="Palatino Linotype" w:cs="Palatino Linotype"/>
          <w:i/>
        </w:rPr>
        <w:t xml:space="preserve"> Para los efectos de la presente Ley se entenderá por:</w:t>
      </w:r>
    </w:p>
    <w:p w14:paraId="21E2D432" w14:textId="77777777" w:rsidR="006E3C0D" w:rsidRPr="001C0F0A" w:rsidRDefault="006E3C0D" w:rsidP="006E3C0D">
      <w:pPr>
        <w:spacing w:after="0" w:line="276" w:lineRule="auto"/>
        <w:ind w:left="567" w:right="843"/>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p>
    <w:p w14:paraId="15F33498" w14:textId="77777777" w:rsidR="006E3C0D" w:rsidRPr="001C0F0A" w:rsidRDefault="006E3C0D" w:rsidP="006E3C0D">
      <w:pPr>
        <w:spacing w:after="0" w:line="276" w:lineRule="auto"/>
        <w:ind w:left="567" w:right="843"/>
        <w:jc w:val="both"/>
        <w:rPr>
          <w:rFonts w:ascii="Palatino Linotype" w:eastAsia="Palatino Linotype" w:hAnsi="Palatino Linotype" w:cs="Palatino Linotype"/>
          <w:b/>
          <w:i/>
          <w:u w:val="single"/>
        </w:rPr>
      </w:pPr>
      <w:r w:rsidRPr="001C0F0A">
        <w:rPr>
          <w:rFonts w:ascii="Palatino Linotype" w:eastAsia="Palatino Linotype" w:hAnsi="Palatino Linotype" w:cs="Palatino Linotype"/>
          <w:i/>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E5F42B" w14:textId="20DCDE0A" w:rsidR="006E3C0D" w:rsidRPr="001C0F0A" w:rsidRDefault="006E3C0D" w:rsidP="002D7BF5">
      <w:pPr>
        <w:spacing w:after="0" w:line="276" w:lineRule="auto"/>
        <w:ind w:left="567" w:right="843"/>
        <w:jc w:val="both"/>
        <w:rPr>
          <w:rFonts w:ascii="Palatino Linotype" w:eastAsia="Palatino Linotype" w:hAnsi="Palatino Linotype" w:cs="Palatino Linotype"/>
          <w:i/>
        </w:rPr>
      </w:pPr>
      <w:r w:rsidRPr="001C0F0A">
        <w:rPr>
          <w:rFonts w:ascii="Palatino Linotype" w:eastAsia="Palatino Linotype" w:hAnsi="Palatino Linotype" w:cs="Palatino Linotype"/>
          <w:i/>
        </w:rPr>
        <w:t>…</w:t>
      </w:r>
    </w:p>
    <w:p w14:paraId="27A8645B" w14:textId="77777777" w:rsidR="00376470" w:rsidRPr="001C0F0A" w:rsidRDefault="00376470" w:rsidP="002D7BF5">
      <w:pPr>
        <w:spacing w:after="0" w:line="276" w:lineRule="auto"/>
        <w:ind w:left="567" w:right="843"/>
        <w:jc w:val="both"/>
        <w:rPr>
          <w:rFonts w:ascii="Palatino Linotype" w:eastAsia="Palatino Linotype" w:hAnsi="Palatino Linotype" w:cs="Palatino Linotype"/>
          <w:i/>
        </w:rPr>
      </w:pPr>
    </w:p>
    <w:p w14:paraId="7DD504F6" w14:textId="77777777" w:rsidR="006E3C0D" w:rsidRPr="001C0F0A" w:rsidRDefault="006E3C0D" w:rsidP="006E3C0D">
      <w:pPr>
        <w:spacing w:after="0" w:line="360" w:lineRule="auto"/>
        <w:ind w:right="49"/>
        <w:jc w:val="both"/>
        <w:rPr>
          <w:rFonts w:ascii="Palatino Linotype" w:eastAsia="Palatino Linotype" w:hAnsi="Palatino Linotype" w:cs="Palatino Linotype"/>
          <w:b/>
          <w:u w:val="single"/>
        </w:rPr>
      </w:pPr>
      <w:r w:rsidRPr="001C0F0A">
        <w:rPr>
          <w:rFonts w:ascii="Palatino Linotype" w:eastAsia="Palatino Linotype" w:hAnsi="Palatino Linotype" w:cs="Palatino Linotype"/>
          <w:b/>
          <w:u w:val="single"/>
        </w:rPr>
        <w:t xml:space="preserve">Es así que se entiende como documento a cualquier registro que documente el ejercicio de las facultades, funciones y competencias de los sujetos obligados, sus servidores públicos e integrantes, sin importar su fuente o fecha de elaboración, entre los cuales se encuentran los “oficios”. </w:t>
      </w:r>
    </w:p>
    <w:p w14:paraId="702C4E6B" w14:textId="77777777" w:rsidR="006E3C0D" w:rsidRPr="001C0F0A" w:rsidRDefault="006E3C0D" w:rsidP="006E3C0D">
      <w:pPr>
        <w:spacing w:after="0" w:line="360" w:lineRule="auto"/>
        <w:ind w:right="49"/>
        <w:jc w:val="both"/>
        <w:rPr>
          <w:rFonts w:ascii="Palatino Linotype" w:eastAsia="Palatino Linotype" w:hAnsi="Palatino Linotype" w:cs="Palatino Linotype"/>
        </w:rPr>
      </w:pPr>
    </w:p>
    <w:p w14:paraId="6EC96537" w14:textId="77777777" w:rsidR="006E3C0D" w:rsidRPr="001C0F0A" w:rsidRDefault="006E3C0D" w:rsidP="006E3C0D">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lastRenderedPageBreak/>
        <w:t xml:space="preserve">Por otro lado, es importante destacar que el artículo 12 de la Ley en la materia, establece que los sujetos obligados proporcionarán la información pública que se les requiera y que obre en sus archivos, en el estado en que esta se encuentre, de tal forma que, lo solicitado, al tratarse de documentación, es información que puede obrar en los archivos del Sujeto Obligado y, que, por ende, es de acceso público. </w:t>
      </w:r>
    </w:p>
    <w:p w14:paraId="0B2C9D4B" w14:textId="77777777" w:rsidR="00F15A42" w:rsidRPr="001C0F0A" w:rsidRDefault="00F15A42" w:rsidP="00F15A42">
      <w:pPr>
        <w:spacing w:after="0" w:line="360" w:lineRule="auto"/>
        <w:jc w:val="both"/>
        <w:rPr>
          <w:rFonts w:ascii="Palatino Linotype" w:eastAsia="Palatino Linotype" w:hAnsi="Palatino Linotype" w:cs="Palatino Linotype"/>
        </w:rPr>
      </w:pPr>
    </w:p>
    <w:p w14:paraId="4D934DB3" w14:textId="5578E887" w:rsidR="006E3C0D" w:rsidRPr="001C0F0A" w:rsidRDefault="006E3C0D" w:rsidP="00F15A42">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Ahora bien, en atención a los agravios hechos valer por la parte Recurrente, es de recordar que en respuesta la Gubernatura se declaró incompetente, debido a que consideró que el oficio se había ingresado en la Coordinación de Atención Ciudadana perteneciente a la Secretaría de Finanzas, no obstante, </w:t>
      </w:r>
      <w:r w:rsidRPr="001C0F0A">
        <w:rPr>
          <w:rFonts w:ascii="Palatino Linotype" w:eastAsia="Palatino Linotype" w:hAnsi="Palatino Linotype" w:cs="Palatino Linotype"/>
          <w:b/>
          <w:u w:val="single"/>
        </w:rPr>
        <w:t>no se advierte, que la parte Recurrente haya señalado esa situación en su solicitud de información</w:t>
      </w:r>
      <w:r w:rsidRPr="001C0F0A">
        <w:rPr>
          <w:rFonts w:ascii="Palatino Linotype" w:eastAsia="Palatino Linotype" w:hAnsi="Palatino Linotype" w:cs="Palatino Linotype"/>
        </w:rPr>
        <w:t xml:space="preserve">. </w:t>
      </w:r>
    </w:p>
    <w:p w14:paraId="550B0B2A" w14:textId="77777777" w:rsidR="006E3C0D" w:rsidRPr="001C0F0A" w:rsidRDefault="006E3C0D" w:rsidP="00F15A42">
      <w:pPr>
        <w:spacing w:after="0" w:line="360" w:lineRule="auto"/>
        <w:jc w:val="both"/>
        <w:rPr>
          <w:rFonts w:ascii="Palatino Linotype" w:eastAsia="Palatino Linotype" w:hAnsi="Palatino Linotype" w:cs="Palatino Linotype"/>
        </w:rPr>
      </w:pPr>
    </w:p>
    <w:p w14:paraId="68FD53E2" w14:textId="7DB32391" w:rsidR="006E3C0D" w:rsidRPr="001C0F0A" w:rsidRDefault="006E3C0D" w:rsidP="00F15A42">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Referido esto, </w:t>
      </w:r>
      <w:r w:rsidR="002D7BF5" w:rsidRPr="001C0F0A">
        <w:rPr>
          <w:rFonts w:ascii="Palatino Linotype" w:eastAsia="Palatino Linotype" w:hAnsi="Palatino Linotype" w:cs="Palatino Linotype"/>
        </w:rPr>
        <w:t xml:space="preserve">del análisis realizado a la normatividad que regula a la dependencia, específicamente en lo que corresponden a su Manual General de Organización de la Gubernatura, se advierte que la Gubernatura estará integrada por una Secretaría Particular, una Secretaría Particular Adjunta, una Secretaría Auxiliar y una Secretaría Privada. </w:t>
      </w:r>
    </w:p>
    <w:p w14:paraId="5C686883" w14:textId="77777777" w:rsidR="002D7BF5" w:rsidRPr="001C0F0A" w:rsidRDefault="002D7BF5" w:rsidP="00F15A42">
      <w:pPr>
        <w:spacing w:after="0" w:line="360" w:lineRule="auto"/>
        <w:jc w:val="both"/>
        <w:rPr>
          <w:rFonts w:ascii="Palatino Linotype" w:eastAsia="Palatino Linotype" w:hAnsi="Palatino Linotype" w:cs="Palatino Linotype"/>
        </w:rPr>
      </w:pPr>
    </w:p>
    <w:p w14:paraId="2C7E46BA" w14:textId="50246351" w:rsidR="002D7BF5" w:rsidRPr="001C0F0A" w:rsidRDefault="002D7BF5" w:rsidP="00F15A42">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En cuanto hace a la Secretaría Auxiliar, esta cuenta con las funciones siguientes: </w:t>
      </w:r>
    </w:p>
    <w:p w14:paraId="6E190010" w14:textId="77777777" w:rsidR="002D7BF5" w:rsidRPr="001C0F0A" w:rsidRDefault="002D7BF5" w:rsidP="002D7BF5">
      <w:pPr>
        <w:spacing w:after="0" w:line="360" w:lineRule="auto"/>
        <w:ind w:left="567"/>
        <w:jc w:val="both"/>
        <w:rPr>
          <w:rFonts w:ascii="Palatino Linotype" w:eastAsia="Palatino Linotype" w:hAnsi="Palatino Linotype" w:cs="Palatino Linotype"/>
        </w:rPr>
      </w:pPr>
    </w:p>
    <w:p w14:paraId="1F02FDDC" w14:textId="1FA37D18" w:rsidR="002D7BF5" w:rsidRPr="001C0F0A" w:rsidRDefault="002D7BF5" w:rsidP="003A50EB">
      <w:pPr>
        <w:spacing w:after="0" w:line="276" w:lineRule="auto"/>
        <w:ind w:left="567"/>
        <w:jc w:val="both"/>
        <w:rPr>
          <w:rFonts w:ascii="Palatino Linotype" w:hAnsi="Palatino Linotype"/>
          <w:b/>
          <w:i/>
        </w:rPr>
      </w:pPr>
      <w:r w:rsidRPr="001C0F0A">
        <w:rPr>
          <w:rFonts w:ascii="Palatino Linotype" w:hAnsi="Palatino Linotype"/>
          <w:b/>
          <w:i/>
        </w:rPr>
        <w:t>201120000 SECRETARÍA AUXILIAR</w:t>
      </w:r>
    </w:p>
    <w:p w14:paraId="5E02D723" w14:textId="3E03945C" w:rsidR="002D7BF5" w:rsidRPr="001C0F0A" w:rsidRDefault="002D7BF5" w:rsidP="003A50EB">
      <w:pPr>
        <w:spacing w:after="0" w:line="276" w:lineRule="auto"/>
        <w:ind w:left="567"/>
        <w:jc w:val="both"/>
        <w:rPr>
          <w:rFonts w:ascii="Palatino Linotype" w:hAnsi="Palatino Linotype"/>
          <w:b/>
          <w:i/>
        </w:rPr>
      </w:pPr>
      <w:r w:rsidRPr="001C0F0A">
        <w:rPr>
          <w:rFonts w:ascii="Palatino Linotype" w:hAnsi="Palatino Linotype"/>
          <w:b/>
          <w:i/>
        </w:rPr>
        <w:t>FUNCIONES:</w:t>
      </w:r>
    </w:p>
    <w:p w14:paraId="2A5F5248" w14:textId="5777DF22" w:rsidR="002D7BF5" w:rsidRPr="001C0F0A" w:rsidRDefault="002D7BF5" w:rsidP="003A50EB">
      <w:pPr>
        <w:spacing w:after="0" w:line="276" w:lineRule="auto"/>
        <w:ind w:left="567"/>
        <w:jc w:val="both"/>
        <w:rPr>
          <w:rFonts w:ascii="Palatino Linotype" w:hAnsi="Palatino Linotype"/>
          <w:i/>
        </w:rPr>
      </w:pPr>
      <w:r w:rsidRPr="001C0F0A">
        <w:rPr>
          <w:rFonts w:ascii="Palatino Linotype" w:hAnsi="Palatino Linotype"/>
          <w:i/>
        </w:rPr>
        <w:t>…</w:t>
      </w:r>
    </w:p>
    <w:p w14:paraId="2CB80214" w14:textId="29BF57F1" w:rsidR="002D7BF5" w:rsidRPr="001C0F0A" w:rsidRDefault="002D7BF5" w:rsidP="003A50EB">
      <w:pPr>
        <w:spacing w:after="0" w:line="276" w:lineRule="auto"/>
        <w:ind w:left="567"/>
        <w:jc w:val="both"/>
        <w:rPr>
          <w:rFonts w:ascii="Palatino Linotype" w:hAnsi="Palatino Linotype"/>
          <w:b/>
          <w:i/>
          <w:u w:val="single"/>
        </w:rPr>
      </w:pPr>
      <w:r w:rsidRPr="001C0F0A">
        <w:rPr>
          <w:rFonts w:ascii="Palatino Linotype" w:hAnsi="Palatino Linotype"/>
          <w:b/>
          <w:i/>
          <w:u w:val="single"/>
        </w:rPr>
        <w:t xml:space="preserve">Vigilar la recepción, trámite y control de </w:t>
      </w:r>
      <w:proofErr w:type="spellStart"/>
      <w:r w:rsidRPr="001C0F0A">
        <w:rPr>
          <w:rFonts w:ascii="Palatino Linotype" w:hAnsi="Palatino Linotype"/>
          <w:b/>
          <w:i/>
          <w:u w:val="single"/>
        </w:rPr>
        <w:t>Ia</w:t>
      </w:r>
      <w:proofErr w:type="spellEnd"/>
      <w:r w:rsidRPr="001C0F0A">
        <w:rPr>
          <w:rFonts w:ascii="Palatino Linotype" w:hAnsi="Palatino Linotype"/>
          <w:b/>
          <w:i/>
          <w:u w:val="single"/>
        </w:rPr>
        <w:t xml:space="preserve"> correspondencia dirigida a la o al titular del Ejecutivo Estatal</w:t>
      </w:r>
    </w:p>
    <w:p w14:paraId="2C9D8940" w14:textId="15ACFED2" w:rsidR="002D7BF5" w:rsidRPr="001C0F0A" w:rsidRDefault="002D7BF5" w:rsidP="003A50EB">
      <w:pPr>
        <w:spacing w:after="0" w:line="276" w:lineRule="auto"/>
        <w:ind w:left="567"/>
        <w:jc w:val="both"/>
        <w:rPr>
          <w:rFonts w:ascii="Palatino Linotype" w:eastAsia="Palatino Linotype" w:hAnsi="Palatino Linotype" w:cs="Palatino Linotype"/>
          <w:i/>
        </w:rPr>
      </w:pPr>
      <w:r w:rsidRPr="001C0F0A">
        <w:rPr>
          <w:rFonts w:ascii="Palatino Linotype" w:hAnsi="Palatino Linotype"/>
          <w:i/>
        </w:rPr>
        <w:t>…</w:t>
      </w:r>
    </w:p>
    <w:p w14:paraId="59AFFCC6" w14:textId="77777777" w:rsidR="00F15A42" w:rsidRPr="001C0F0A" w:rsidRDefault="00F15A42" w:rsidP="00F15A42">
      <w:pPr>
        <w:spacing w:after="0" w:line="360" w:lineRule="auto"/>
        <w:jc w:val="both"/>
        <w:rPr>
          <w:rFonts w:ascii="Palatino Linotype" w:eastAsia="Palatino Linotype" w:hAnsi="Palatino Linotype" w:cs="Palatino Linotype"/>
        </w:rPr>
      </w:pPr>
    </w:p>
    <w:p w14:paraId="57D109CE" w14:textId="50E20095" w:rsidR="003A50EB" w:rsidRPr="001C0F0A" w:rsidRDefault="003A50EB" w:rsidP="00F15A42">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lastRenderedPageBreak/>
        <w:t>De lo anterior, se advierte que el Sujeto Obligado cuenta con facultades, atribuciones y competencia para generar, administrar y poseer la información solicitada, relacionada con la correspondencia dirigida al titular del Poder Ejecutivo, su trámite y control de la misma</w:t>
      </w:r>
      <w:r w:rsidR="00E70B44" w:rsidRPr="001C0F0A">
        <w:rPr>
          <w:rFonts w:ascii="Palatino Linotype" w:eastAsia="Palatino Linotype" w:hAnsi="Palatino Linotype" w:cs="Palatino Linotype"/>
        </w:rPr>
        <w:t xml:space="preserve">. </w:t>
      </w:r>
    </w:p>
    <w:p w14:paraId="27EF2915" w14:textId="77777777" w:rsidR="00F15A42" w:rsidRPr="001C0F0A" w:rsidRDefault="00F15A42" w:rsidP="00F15A42">
      <w:pPr>
        <w:spacing w:after="0" w:line="360" w:lineRule="auto"/>
        <w:jc w:val="both"/>
        <w:rPr>
          <w:rFonts w:ascii="Palatino Linotype" w:eastAsia="Palatino Linotype" w:hAnsi="Palatino Linotype" w:cs="Palatino Linotype"/>
        </w:rPr>
      </w:pPr>
    </w:p>
    <w:p w14:paraId="6B4D7116" w14:textId="5A0EDC14" w:rsidR="006E3C0D" w:rsidRPr="001C0F0A" w:rsidRDefault="00E70B44" w:rsidP="006E3C0D">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En ese sentido</w:t>
      </w:r>
      <w:r w:rsidR="002D7BF5" w:rsidRPr="001C0F0A">
        <w:rPr>
          <w:rFonts w:ascii="Palatino Linotype" w:eastAsia="Palatino Linotype" w:hAnsi="Palatino Linotype" w:cs="Palatino Linotype"/>
        </w:rPr>
        <w:t>, es de destacar que</w:t>
      </w:r>
      <w:r w:rsidR="006E3C0D" w:rsidRPr="001C0F0A">
        <w:rPr>
          <w:rFonts w:ascii="Palatino Linotype" w:eastAsia="Palatino Linotype" w:hAnsi="Palatino Linotype" w:cs="Palatino Linotype"/>
        </w:rPr>
        <w:t xml:space="preserve">, </w:t>
      </w:r>
      <w:r w:rsidRPr="001C0F0A">
        <w:rPr>
          <w:rFonts w:ascii="Palatino Linotype" w:eastAsia="Palatino Linotype" w:hAnsi="Palatino Linotype" w:cs="Palatino Linotype"/>
        </w:rPr>
        <w:t xml:space="preserve">en lo que respecta a este asunto, no se tiene certeza que el Sujeto Obligado pese a que cuenta con una unidad administrativa para conocer, administrar y poseer la información, haya realizado la búsqueda exhaustiva y razonable en los archivos de la misma, por lo que, es de recordar que </w:t>
      </w:r>
      <w:r w:rsidR="006E3C0D" w:rsidRPr="001C0F0A">
        <w:rPr>
          <w:rFonts w:ascii="Palatino Linotype" w:eastAsia="Palatino Linotype" w:hAnsi="Palatino Linotype" w:cs="Palatino Linotype"/>
        </w:rPr>
        <w:t>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4F8572D" w14:textId="77777777" w:rsidR="006E3C0D" w:rsidRPr="001C0F0A" w:rsidRDefault="006E3C0D" w:rsidP="006E3C0D">
      <w:pPr>
        <w:spacing w:after="0" w:line="360" w:lineRule="auto"/>
        <w:rPr>
          <w:rFonts w:ascii="Palatino Linotype" w:eastAsia="Palatino Linotype" w:hAnsi="Palatino Linotype" w:cs="Palatino Linotype"/>
        </w:rPr>
      </w:pPr>
    </w:p>
    <w:p w14:paraId="16351F69" w14:textId="77777777" w:rsidR="006E3C0D" w:rsidRPr="001C0F0A" w:rsidRDefault="006E3C0D" w:rsidP="006E3C0D">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F02AC41" w14:textId="77777777" w:rsidR="006E3C0D" w:rsidRPr="001C0F0A" w:rsidRDefault="006E3C0D" w:rsidP="006E3C0D">
      <w:pPr>
        <w:spacing w:after="0" w:line="360" w:lineRule="auto"/>
        <w:rPr>
          <w:rFonts w:ascii="Palatino Linotype" w:eastAsia="Palatino Linotype" w:hAnsi="Palatino Linotype" w:cs="Palatino Linotype"/>
        </w:rPr>
      </w:pPr>
    </w:p>
    <w:p w14:paraId="7496FA6C" w14:textId="77777777" w:rsidR="006E3C0D" w:rsidRPr="001C0F0A" w:rsidRDefault="006E3C0D" w:rsidP="006E3C0D">
      <w:pPr>
        <w:numPr>
          <w:ilvl w:val="0"/>
          <w:numId w:val="9"/>
        </w:num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F120601" w14:textId="77777777" w:rsidR="006E3C0D" w:rsidRPr="001C0F0A" w:rsidRDefault="006E3C0D" w:rsidP="006E3C0D">
      <w:pPr>
        <w:numPr>
          <w:ilvl w:val="0"/>
          <w:numId w:val="9"/>
        </w:num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1C0F0A">
        <w:rPr>
          <w:rFonts w:ascii="Palatino Linotype" w:eastAsia="Palatino Linotype" w:hAnsi="Palatino Linotype" w:cs="Palatino Linotype"/>
        </w:rPr>
        <w:lastRenderedPageBreak/>
        <w:t>interrumpirá el plazo para dar respuesta y comenzará a computarse el día siguiente al desahogo de esta.</w:t>
      </w:r>
    </w:p>
    <w:p w14:paraId="517D4F78" w14:textId="77777777" w:rsidR="006E3C0D" w:rsidRPr="001C0F0A" w:rsidRDefault="006E3C0D" w:rsidP="006E3C0D">
      <w:pPr>
        <w:numPr>
          <w:ilvl w:val="0"/>
          <w:numId w:val="9"/>
        </w:num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1C0F0A">
        <w:rPr>
          <w:rFonts w:ascii="Palatino Linotype" w:eastAsia="Palatino Linotype" w:hAnsi="Palatino Linotype" w:cs="Palatino Linotype"/>
          <w:b/>
        </w:rPr>
        <w:t>quince días, contados a partir del día siguiente a la presentación de ésta.</w:t>
      </w:r>
      <w:r w:rsidRPr="001C0F0A">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4F5E9924" w14:textId="77777777" w:rsidR="006E3C0D" w:rsidRPr="001C0F0A" w:rsidRDefault="006E3C0D" w:rsidP="006E3C0D">
      <w:pPr>
        <w:numPr>
          <w:ilvl w:val="0"/>
          <w:numId w:val="9"/>
        </w:numPr>
        <w:spacing w:after="0" w:line="360" w:lineRule="auto"/>
        <w:jc w:val="both"/>
        <w:rPr>
          <w:rFonts w:ascii="Palatino Linotype" w:eastAsia="Palatino Linotype" w:hAnsi="Palatino Linotype" w:cs="Palatino Linotype"/>
          <w:b/>
          <w:u w:val="single"/>
        </w:rPr>
      </w:pPr>
      <w:r w:rsidRPr="001C0F0A">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B25DF27" w14:textId="77777777" w:rsidR="006E3C0D" w:rsidRPr="001C0F0A" w:rsidRDefault="006E3C0D" w:rsidP="006E3C0D">
      <w:pPr>
        <w:numPr>
          <w:ilvl w:val="0"/>
          <w:numId w:val="9"/>
        </w:numPr>
        <w:spacing w:after="0" w:line="360" w:lineRule="auto"/>
        <w:jc w:val="both"/>
        <w:rPr>
          <w:rFonts w:ascii="Palatino Linotype" w:eastAsia="Palatino Linotype" w:hAnsi="Palatino Linotype" w:cs="Palatino Linotype"/>
          <w:b/>
        </w:rPr>
      </w:pPr>
      <w:r w:rsidRPr="001C0F0A">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76EEDCA4" w14:textId="77777777" w:rsidR="006E3C0D" w:rsidRPr="001C0F0A" w:rsidRDefault="006E3C0D" w:rsidP="006E3C0D">
      <w:pPr>
        <w:numPr>
          <w:ilvl w:val="0"/>
          <w:numId w:val="9"/>
        </w:numPr>
        <w:spacing w:after="0" w:line="360" w:lineRule="auto"/>
        <w:jc w:val="both"/>
        <w:rPr>
          <w:rFonts w:ascii="Palatino Linotype" w:eastAsia="Palatino Linotype" w:hAnsi="Palatino Linotype" w:cs="Palatino Linotype"/>
          <w:b/>
        </w:rPr>
      </w:pPr>
      <w:r w:rsidRPr="001C0F0A">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4937AFC" w14:textId="77777777" w:rsidR="006E3C0D" w:rsidRPr="001C0F0A" w:rsidRDefault="006E3C0D" w:rsidP="006E3C0D">
      <w:pPr>
        <w:spacing w:after="0" w:line="360" w:lineRule="auto"/>
      </w:pPr>
    </w:p>
    <w:p w14:paraId="633D79A4" w14:textId="33405A29" w:rsidR="00BA5505" w:rsidRPr="001C0F0A" w:rsidRDefault="006E3C0D" w:rsidP="006E3C0D">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1C0F0A">
        <w:rPr>
          <w:rFonts w:ascii="Palatino Linotype" w:eastAsia="Palatino Linotype" w:hAnsi="Palatino Linotype" w:cs="Palatino Linotype"/>
        </w:rPr>
        <w:t xml:space="preserve">De tal manera que, para acreditar la búsqueda exhaustiva de la información la Unidad de Transparencia debe seguir un determinado procedimiento para atender una solicitud, es decir; se debe turnar la solicitud de información a todas las áreas competentes que cuenten </w:t>
      </w:r>
      <w:r w:rsidRPr="001C0F0A">
        <w:rPr>
          <w:rFonts w:ascii="Palatino Linotype" w:eastAsia="Palatino Linotype" w:hAnsi="Palatino Linotype" w:cs="Palatino Linotype"/>
        </w:rPr>
        <w:lastRenderedPageBreak/>
        <w:t xml:space="preserve">con la información o deban tenerla de acuerdo con sus facultades, funciones y atribuciones, para que realicen una búsqueda exhaustiva y razonable de la documentación solicitada, situación que en el presente no aconteció, toda vez que, la unidad administrativa que dio atención fue la Unidad de Transparencia del Sujeto Obligado, además de que, no se </w:t>
      </w:r>
      <w:r w:rsidR="00E70B44" w:rsidRPr="001C0F0A">
        <w:rPr>
          <w:rFonts w:ascii="Palatino Linotype" w:eastAsia="Palatino Linotype" w:hAnsi="Palatino Linotype" w:cs="Palatino Linotype"/>
        </w:rPr>
        <w:t>tiene certeza de</w:t>
      </w:r>
      <w:r w:rsidRPr="001C0F0A">
        <w:rPr>
          <w:rFonts w:ascii="Palatino Linotype" w:eastAsia="Palatino Linotype" w:hAnsi="Palatino Linotype" w:cs="Palatino Linotype"/>
        </w:rPr>
        <w:t xml:space="preserve"> que se haya realizado la búsqued</w:t>
      </w:r>
      <w:r w:rsidR="00E70B44" w:rsidRPr="001C0F0A">
        <w:rPr>
          <w:rFonts w:ascii="Palatino Linotype" w:eastAsia="Palatino Linotype" w:hAnsi="Palatino Linotype" w:cs="Palatino Linotype"/>
        </w:rPr>
        <w:t>a de la información solicitada en la Secretaría Auxiliar</w:t>
      </w:r>
      <w:r w:rsidR="00BA5505" w:rsidRPr="001C0F0A">
        <w:rPr>
          <w:rFonts w:ascii="Palatino Linotype" w:eastAsia="Palatino Linotype" w:hAnsi="Palatino Linotype" w:cs="Palatino Linotype"/>
        </w:rPr>
        <w:t>, ya que se limitó a señalar que se realizó la búsqueda en los archivos de la Gubernatura</w:t>
      </w:r>
      <w:r w:rsidR="00F67F0B" w:rsidRPr="001C0F0A">
        <w:rPr>
          <w:rFonts w:ascii="Palatino Linotype" w:eastAsia="Palatino Linotype" w:hAnsi="Palatino Linotype" w:cs="Palatino Linotype"/>
        </w:rPr>
        <w:t>, no obstante, no refirió las unidades administrativas en las que efectuó dicha búsqueda y de la revisión al expediente electrónico, no se advierte registro del turno de la presente solicitud a los servidores públicos habilitados competentes, tal como se muestra a continuación:</w:t>
      </w:r>
      <w:r w:rsidR="00BA5505" w:rsidRPr="001C0F0A">
        <w:rPr>
          <w:rFonts w:ascii="Palatino Linotype" w:eastAsia="Palatino Linotype" w:hAnsi="Palatino Linotype" w:cs="Palatino Linotype"/>
          <w:b/>
          <w:u w:val="single"/>
        </w:rPr>
        <w:t xml:space="preserve"> </w:t>
      </w:r>
    </w:p>
    <w:p w14:paraId="68E1F5AD" w14:textId="0599D57E" w:rsidR="006E3C0D" w:rsidRPr="001C0F0A" w:rsidRDefault="00BA5505" w:rsidP="006E3C0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noProof/>
          <w:u w:val="single"/>
        </w:rPr>
        <w:drawing>
          <wp:inline distT="0" distB="0" distL="0" distR="0" wp14:anchorId="799FFAF7" wp14:editId="3FDB8316">
            <wp:extent cx="5756275" cy="11201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120140"/>
                    </a:xfrm>
                    <a:prstGeom prst="rect">
                      <a:avLst/>
                    </a:prstGeom>
                  </pic:spPr>
                </pic:pic>
              </a:graphicData>
            </a:graphic>
          </wp:inline>
        </w:drawing>
      </w:r>
      <w:r w:rsidRPr="001C0F0A">
        <w:rPr>
          <w:rFonts w:ascii="Palatino Linotype" w:eastAsia="Palatino Linotype" w:hAnsi="Palatino Linotype" w:cs="Palatino Linotype"/>
          <w:b/>
          <w:u w:val="single"/>
        </w:rPr>
        <w:t xml:space="preserve"> </w:t>
      </w:r>
    </w:p>
    <w:p w14:paraId="03122CCD" w14:textId="77777777" w:rsidR="006E3C0D" w:rsidRPr="001C0F0A" w:rsidRDefault="006E3C0D" w:rsidP="00F15A42">
      <w:pPr>
        <w:spacing w:after="0" w:line="360" w:lineRule="auto"/>
        <w:jc w:val="both"/>
        <w:rPr>
          <w:rFonts w:ascii="Palatino Linotype" w:eastAsia="Palatino Linotype" w:hAnsi="Palatino Linotype" w:cs="Palatino Linotype"/>
        </w:rPr>
      </w:pPr>
    </w:p>
    <w:p w14:paraId="2CA4E2C2" w14:textId="19E14B57" w:rsidR="00E426A7" w:rsidRPr="001C0F0A" w:rsidRDefault="00E426A7">
      <w:pPr>
        <w:spacing w:after="0" w:line="360" w:lineRule="auto"/>
        <w:jc w:val="both"/>
        <w:rPr>
          <w:rFonts w:ascii="Palatino Linotype" w:eastAsia="Palatino Linotype" w:hAnsi="Palatino Linotype" w:cs="Palatino Linotype"/>
          <w:b/>
        </w:rPr>
      </w:pPr>
      <w:r w:rsidRPr="001C0F0A">
        <w:rPr>
          <w:rFonts w:ascii="Palatino Linotype" w:eastAsia="Palatino Linotype" w:hAnsi="Palatino Linotype" w:cs="Palatino Linotype"/>
        </w:rPr>
        <w:t xml:space="preserve">En ese sentido, debido a que, </w:t>
      </w:r>
      <w:r w:rsidR="00E70B44" w:rsidRPr="001C0F0A">
        <w:rPr>
          <w:rFonts w:ascii="Palatino Linotype" w:eastAsia="Palatino Linotype" w:hAnsi="Palatino Linotype" w:cs="Palatino Linotype"/>
        </w:rPr>
        <w:t xml:space="preserve">no se advierte que el Sujeto Obligado haya realizado la búsqueda exhaustiva y razonable de la información requerida, </w:t>
      </w:r>
      <w:r w:rsidRPr="001C0F0A">
        <w:rPr>
          <w:rFonts w:ascii="Palatino Linotype" w:eastAsia="Palatino Linotype" w:hAnsi="Palatino Linotype" w:cs="Palatino Linotype"/>
        </w:rPr>
        <w:t xml:space="preserve">se colige que, </w:t>
      </w:r>
      <w:r w:rsidR="00900FF9" w:rsidRPr="001C0F0A">
        <w:rPr>
          <w:rFonts w:ascii="Palatino Linotype" w:eastAsia="Palatino Linotype" w:hAnsi="Palatino Linotype" w:cs="Palatino Linotype"/>
        </w:rPr>
        <w:t xml:space="preserve"> los agravios hechos valer por la parte Recurrente devienen </w:t>
      </w:r>
      <w:r w:rsidR="00900FF9" w:rsidRPr="001C0F0A">
        <w:rPr>
          <w:rFonts w:ascii="Palatino Linotype" w:eastAsia="Palatino Linotype" w:hAnsi="Palatino Linotype" w:cs="Palatino Linotype"/>
          <w:b/>
        </w:rPr>
        <w:t xml:space="preserve">FUNDADOS </w:t>
      </w:r>
      <w:r w:rsidR="00900FF9" w:rsidRPr="001C0F0A">
        <w:rPr>
          <w:rFonts w:ascii="Palatino Linotype" w:eastAsia="Palatino Linotype" w:hAnsi="Palatino Linotype" w:cs="Palatino Linotype"/>
        </w:rPr>
        <w:t xml:space="preserve">y </w:t>
      </w:r>
      <w:r w:rsidRPr="001C0F0A">
        <w:rPr>
          <w:rFonts w:ascii="Palatino Linotype" w:eastAsia="Palatino Linotype" w:hAnsi="Palatino Linotype" w:cs="Palatino Linotype"/>
        </w:rPr>
        <w:t xml:space="preserve">el requerimiento de acceso a la información, </w:t>
      </w:r>
      <w:r w:rsidRPr="001C0F0A">
        <w:rPr>
          <w:rFonts w:ascii="Palatino Linotype" w:eastAsia="Palatino Linotype" w:hAnsi="Palatino Linotype" w:cs="Palatino Linotype"/>
          <w:b/>
        </w:rPr>
        <w:t>no se tiene por colmado.</w:t>
      </w:r>
    </w:p>
    <w:p w14:paraId="4C9BF2AF" w14:textId="77777777" w:rsidR="00DE32F1" w:rsidRPr="001C0F0A" w:rsidRDefault="00DE32F1">
      <w:pPr>
        <w:spacing w:after="0" w:line="360" w:lineRule="auto"/>
        <w:jc w:val="both"/>
        <w:rPr>
          <w:rFonts w:ascii="Palatino Linotype" w:eastAsia="Palatino Linotype" w:hAnsi="Palatino Linotype" w:cs="Palatino Linotype"/>
        </w:rPr>
      </w:pPr>
    </w:p>
    <w:p w14:paraId="15BA04FC" w14:textId="3AEE4B80"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1C0F0A">
        <w:rPr>
          <w:rFonts w:ascii="Palatino Linotype" w:eastAsia="Palatino Linotype" w:hAnsi="Palatino Linotype" w:cs="Palatino Linotype"/>
          <w:b/>
        </w:rPr>
        <w:t>RECURRENTE</w:t>
      </w:r>
      <w:r w:rsidRPr="001C0F0A">
        <w:rPr>
          <w:rFonts w:ascii="Palatino Linotype" w:eastAsia="Palatino Linotype" w:hAnsi="Palatino Linotype" w:cs="Palatino Linotype"/>
        </w:rPr>
        <w:t xml:space="preserve"> dentro del recurso de revisión </w:t>
      </w:r>
      <w:r w:rsidR="00E70B44" w:rsidRPr="001C0F0A">
        <w:rPr>
          <w:rFonts w:ascii="Palatino Linotype" w:eastAsia="Palatino Linotype" w:hAnsi="Palatino Linotype" w:cs="Palatino Linotype"/>
          <w:b/>
        </w:rPr>
        <w:t>08364</w:t>
      </w:r>
      <w:r w:rsidRPr="001C0F0A">
        <w:rPr>
          <w:rFonts w:ascii="Palatino Linotype" w:eastAsia="Palatino Linotype" w:hAnsi="Palatino Linotype" w:cs="Palatino Linotype"/>
          <w:b/>
        </w:rPr>
        <w:t>/INFOEM/IP/RR/2023</w:t>
      </w:r>
      <w:r w:rsidRPr="001C0F0A">
        <w:rPr>
          <w:rFonts w:ascii="Palatino Linotype" w:eastAsia="Palatino Linotype" w:hAnsi="Palatino Linotype" w:cs="Palatino Linotype"/>
        </w:rPr>
        <w:t xml:space="preserve">, por lo que se </w:t>
      </w:r>
      <w:r w:rsidRPr="001C0F0A">
        <w:rPr>
          <w:rFonts w:ascii="Palatino Linotype" w:eastAsia="Palatino Linotype" w:hAnsi="Palatino Linotype" w:cs="Palatino Linotype"/>
          <w:b/>
        </w:rPr>
        <w:t>REVOCA l</w:t>
      </w:r>
      <w:r w:rsidRPr="001C0F0A">
        <w:rPr>
          <w:rFonts w:ascii="Palatino Linotype" w:eastAsia="Palatino Linotype" w:hAnsi="Palatino Linotype" w:cs="Palatino Linotype"/>
        </w:rPr>
        <w:t>a respuesta del Sujeto Obligado</w:t>
      </w:r>
      <w:r w:rsidRPr="001C0F0A">
        <w:rPr>
          <w:rFonts w:ascii="Palatino Linotype" w:eastAsia="Palatino Linotype" w:hAnsi="Palatino Linotype" w:cs="Palatino Linotype"/>
          <w:b/>
        </w:rPr>
        <w:t xml:space="preserve"> </w:t>
      </w:r>
      <w:r w:rsidRPr="001C0F0A">
        <w:rPr>
          <w:rFonts w:ascii="Palatino Linotype" w:eastAsia="Palatino Linotype" w:hAnsi="Palatino Linotype" w:cs="Palatino Linotype"/>
        </w:rPr>
        <w:t xml:space="preserve">y se determina </w:t>
      </w:r>
      <w:r w:rsidRPr="001C0F0A">
        <w:rPr>
          <w:rFonts w:ascii="Palatino Linotype" w:eastAsia="Palatino Linotype" w:hAnsi="Palatino Linotype" w:cs="Palatino Linotype"/>
          <w:b/>
        </w:rPr>
        <w:t xml:space="preserve">ORDENAR </w:t>
      </w:r>
      <w:r w:rsidR="00E70B44" w:rsidRPr="001C0F0A">
        <w:rPr>
          <w:rFonts w:ascii="Palatino Linotype" w:eastAsia="Palatino Linotype" w:hAnsi="Palatino Linotype" w:cs="Palatino Linotype"/>
        </w:rPr>
        <w:t xml:space="preserve">previa búsqueda exhaustiva y razonable, </w:t>
      </w:r>
      <w:r w:rsidRPr="001C0F0A">
        <w:rPr>
          <w:rFonts w:ascii="Palatino Linotype" w:eastAsia="Palatino Linotype" w:hAnsi="Palatino Linotype" w:cs="Palatino Linotype"/>
        </w:rPr>
        <w:t>vía Sistema de Acceso a la Información Mexiquense,</w:t>
      </w:r>
      <w:r w:rsidR="00E9138E" w:rsidRPr="001C0F0A">
        <w:rPr>
          <w:rFonts w:ascii="Palatino Linotype" w:eastAsia="Palatino Linotype" w:hAnsi="Palatino Linotype" w:cs="Palatino Linotype"/>
        </w:rPr>
        <w:t xml:space="preserve"> </w:t>
      </w:r>
      <w:r w:rsidR="00E70B44" w:rsidRPr="001C0F0A">
        <w:rPr>
          <w:rFonts w:ascii="Palatino Linotype" w:eastAsia="Palatino Linotype" w:hAnsi="Palatino Linotype" w:cs="Palatino Linotype"/>
        </w:rPr>
        <w:t xml:space="preserve">de ser el caso, </w:t>
      </w:r>
      <w:r w:rsidR="00E9138E" w:rsidRPr="001C0F0A">
        <w:rPr>
          <w:rFonts w:ascii="Palatino Linotype" w:eastAsia="Palatino Linotype" w:hAnsi="Palatino Linotype" w:cs="Palatino Linotype"/>
        </w:rPr>
        <w:t>en versión pública,</w:t>
      </w:r>
      <w:r w:rsidRPr="001C0F0A">
        <w:rPr>
          <w:rFonts w:ascii="Palatino Linotype" w:eastAsia="Palatino Linotype" w:hAnsi="Palatino Linotype" w:cs="Palatino Linotype"/>
        </w:rPr>
        <w:t xml:space="preserve"> lo siguiente: </w:t>
      </w:r>
    </w:p>
    <w:p w14:paraId="1C5DF01F" w14:textId="77777777" w:rsidR="00DE32F1" w:rsidRPr="001C0F0A" w:rsidRDefault="00DE32F1">
      <w:pPr>
        <w:spacing w:after="0" w:line="360" w:lineRule="auto"/>
        <w:ind w:right="49"/>
        <w:jc w:val="both"/>
        <w:rPr>
          <w:rFonts w:ascii="Palatino Linotype" w:eastAsia="Palatino Linotype" w:hAnsi="Palatino Linotype" w:cs="Palatino Linotype"/>
        </w:rPr>
      </w:pPr>
    </w:p>
    <w:p w14:paraId="5AD18E0E" w14:textId="7C7B55B7" w:rsidR="00DE32F1" w:rsidRPr="001C0F0A" w:rsidRDefault="00E70B44" w:rsidP="00900FF9">
      <w:pPr>
        <w:pStyle w:val="Prrafodelista"/>
        <w:numPr>
          <w:ilvl w:val="0"/>
          <w:numId w:val="8"/>
        </w:numPr>
        <w:tabs>
          <w:tab w:val="left" w:pos="851"/>
        </w:tabs>
        <w:spacing w:after="0" w:line="360" w:lineRule="auto"/>
        <w:ind w:left="567" w:right="560" w:firstLine="0"/>
        <w:jc w:val="both"/>
        <w:rPr>
          <w:rFonts w:ascii="Palatino Linotype" w:eastAsia="Palatino Linotype" w:hAnsi="Palatino Linotype" w:cs="Palatino Linotype"/>
          <w:b/>
        </w:rPr>
      </w:pPr>
      <w:r w:rsidRPr="001C0F0A">
        <w:rPr>
          <w:rFonts w:ascii="Palatino Linotype" w:eastAsia="Palatino Linotype" w:hAnsi="Palatino Linotype" w:cs="Palatino Linotype"/>
          <w:b/>
        </w:rPr>
        <w:lastRenderedPageBreak/>
        <w:t xml:space="preserve">Oficio del Consejo Indígena del Trueque dirigido al </w:t>
      </w:r>
      <w:r w:rsidR="00900FF9" w:rsidRPr="001C0F0A">
        <w:rPr>
          <w:rFonts w:ascii="Palatino Linotype" w:eastAsia="Palatino Linotype" w:hAnsi="Palatino Linotype" w:cs="Palatino Linotype"/>
          <w:b/>
        </w:rPr>
        <w:t xml:space="preserve">ex Gobernador Alfredo del Mazo Maza del veintiséis de junio de dos mil dieciocho, así como, toda la documentación que de este se haya generado, al diez de noviembre de dos mil veintitrés. </w:t>
      </w:r>
    </w:p>
    <w:p w14:paraId="3443A327" w14:textId="77777777" w:rsidR="00E9138E" w:rsidRPr="001C0F0A" w:rsidRDefault="00E9138E" w:rsidP="00E9138E">
      <w:pPr>
        <w:pStyle w:val="Prrafodelista"/>
        <w:spacing w:after="0" w:line="360" w:lineRule="auto"/>
        <w:jc w:val="both"/>
        <w:rPr>
          <w:rFonts w:ascii="Palatino Linotype" w:eastAsia="Palatino Linotype" w:hAnsi="Palatino Linotype" w:cs="Palatino Linotype"/>
          <w:b/>
        </w:rPr>
      </w:pPr>
    </w:p>
    <w:p w14:paraId="152BD57B" w14:textId="011F09EB" w:rsidR="00900FF9" w:rsidRPr="001C0F0A" w:rsidRDefault="00E9138E" w:rsidP="00376470">
      <w:pPr>
        <w:spacing w:after="0"/>
        <w:ind w:left="567" w:right="615"/>
        <w:jc w:val="both"/>
        <w:rPr>
          <w:rFonts w:ascii="Palatino Linotype" w:eastAsia="Palatino Linotype" w:hAnsi="Palatino Linotype" w:cs="Palatino Linotype"/>
          <w:i/>
        </w:rPr>
      </w:pPr>
      <w:r w:rsidRPr="001C0F0A">
        <w:rPr>
          <w:rFonts w:ascii="Palatino Linotype" w:eastAsia="Palatino Linotype" w:hAnsi="Palatino Linotype" w:cs="Palatino Linotype"/>
          <w:i/>
        </w:rPr>
        <w:t>Además,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ECC1C25" w14:textId="17606B85" w:rsidR="00104B0D" w:rsidRPr="001C0F0A" w:rsidRDefault="00104B0D" w:rsidP="00376470">
      <w:pPr>
        <w:spacing w:after="0"/>
        <w:ind w:left="567" w:right="615"/>
        <w:jc w:val="both"/>
        <w:rPr>
          <w:rFonts w:ascii="Palatino Linotype" w:eastAsia="Palatino Linotype" w:hAnsi="Palatino Linotype" w:cs="Palatino Linotype"/>
          <w:i/>
        </w:rPr>
      </w:pPr>
    </w:p>
    <w:p w14:paraId="3A544DBD" w14:textId="4C0ADD3A" w:rsidR="00F67F0B" w:rsidRPr="001C0F0A" w:rsidRDefault="00F67F0B" w:rsidP="00F67F0B">
      <w:pPr>
        <w:pBdr>
          <w:top w:val="nil"/>
          <w:left w:val="nil"/>
          <w:bottom w:val="nil"/>
          <w:right w:val="nil"/>
          <w:between w:val="nil"/>
        </w:pBdr>
        <w:tabs>
          <w:tab w:val="left" w:pos="993"/>
        </w:tabs>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 xml:space="preserve">En el supuesto de que el Sujeto Obligado no cuente la información que se determina ordenar porque no haya recibido este oficio,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53B582EE" w14:textId="756CCB56" w:rsidR="00104B0D" w:rsidRPr="001C0F0A" w:rsidRDefault="00104B0D" w:rsidP="00376470">
      <w:pPr>
        <w:spacing w:after="0"/>
        <w:ind w:left="567" w:right="615"/>
        <w:jc w:val="both"/>
        <w:rPr>
          <w:rFonts w:ascii="Palatino Linotype" w:eastAsia="Palatino Linotype" w:hAnsi="Palatino Linotype" w:cs="Palatino Linotype"/>
          <w:i/>
        </w:rPr>
      </w:pPr>
    </w:p>
    <w:p w14:paraId="494E9E63" w14:textId="77777777" w:rsidR="00104B0D" w:rsidRPr="001C0F0A" w:rsidRDefault="00104B0D" w:rsidP="00F67F0B">
      <w:pPr>
        <w:spacing w:after="0"/>
        <w:ind w:right="615"/>
        <w:jc w:val="both"/>
        <w:rPr>
          <w:rFonts w:ascii="Palatino Linotype" w:eastAsia="Palatino Linotype" w:hAnsi="Palatino Linotype" w:cs="Palatino Linotype"/>
          <w:i/>
        </w:rPr>
      </w:pPr>
    </w:p>
    <w:p w14:paraId="2B8DFB3A"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b/>
          <w:lang w:eastAsia="en-US"/>
        </w:rPr>
        <w:t xml:space="preserve">Quinto. Versión Pública. </w:t>
      </w:r>
      <w:r w:rsidRPr="001C0F0A">
        <w:rPr>
          <w:rFonts w:ascii="Palatino Linotype" w:eastAsia="Palatino Linotype" w:hAnsi="Palatino Linotype" w:cs="Palatino Linotype"/>
          <w:lang w:eastAsia="en-US"/>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0EBA47C"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p>
    <w:p w14:paraId="6B11D64D"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6573D17"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p>
    <w:p w14:paraId="7BCF56C5" w14:textId="77777777" w:rsidR="00900FF9" w:rsidRPr="001C0F0A" w:rsidRDefault="00900FF9" w:rsidP="00900FF9">
      <w:pPr>
        <w:spacing w:after="0" w:line="360" w:lineRule="auto"/>
        <w:ind w:right="50"/>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5C40C557" w14:textId="77777777" w:rsidR="00900FF9" w:rsidRPr="001C0F0A" w:rsidRDefault="00900FF9" w:rsidP="00376470">
      <w:pPr>
        <w:spacing w:after="0" w:line="240" w:lineRule="auto"/>
        <w:ind w:right="50"/>
        <w:jc w:val="both"/>
        <w:rPr>
          <w:rFonts w:ascii="Palatino Linotype" w:eastAsia="Palatino Linotype" w:hAnsi="Palatino Linotype" w:cs="Palatino Linotype"/>
          <w:lang w:eastAsia="en-US"/>
        </w:rPr>
      </w:pPr>
    </w:p>
    <w:p w14:paraId="3BDF8B86"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w:t>
      </w:r>
      <w:r w:rsidRPr="001C0F0A">
        <w:rPr>
          <w:rFonts w:ascii="Palatino Linotype" w:eastAsia="Palatino Linotype" w:hAnsi="Palatino Linotype" w:cs="Palatino Linotype"/>
          <w:b/>
          <w:i/>
          <w:lang w:eastAsia="en-US"/>
        </w:rPr>
        <w:t>Artículo 3.</w:t>
      </w:r>
      <w:r w:rsidRPr="001C0F0A">
        <w:rPr>
          <w:rFonts w:ascii="Palatino Linotype" w:eastAsia="Palatino Linotype" w:hAnsi="Palatino Linotype" w:cs="Palatino Linotype"/>
          <w:i/>
          <w:lang w:eastAsia="en-US"/>
        </w:rPr>
        <w:t xml:space="preserve"> Para los efectos de la presente Ley se entenderá por:</w:t>
      </w:r>
    </w:p>
    <w:p w14:paraId="09F86342"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w:t>
      </w:r>
    </w:p>
    <w:p w14:paraId="19048AB5"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IX. Datos personales: La información concerniente a una persona, identificada o identificable según lo dispuesto por la Ley de Protección de Datos Personales del Estado de México; </w:t>
      </w:r>
    </w:p>
    <w:p w14:paraId="5E4A1047"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XX. Información clasificada: Aquella considerada por la presente Ley como reservada o confidencial;</w:t>
      </w:r>
    </w:p>
    <w:p w14:paraId="5A5F5B6B"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42F9BB"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XLV. Versión pública: Documento en el que se elimine, suprime o borra la información clasificada como reservada o confidencial para permitir su acceso.</w:t>
      </w:r>
    </w:p>
    <w:p w14:paraId="7F7336F3"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w:t>
      </w:r>
    </w:p>
    <w:p w14:paraId="020FF514"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Artículo 91.</w:t>
      </w:r>
      <w:r w:rsidRPr="001C0F0A">
        <w:rPr>
          <w:rFonts w:ascii="Palatino Linotype" w:eastAsia="Palatino Linotype" w:hAnsi="Palatino Linotype" w:cs="Palatino Linotype"/>
          <w:i/>
          <w:lang w:eastAsia="en-US"/>
        </w:rPr>
        <w:t xml:space="preserve"> El acceso a la información pública será restringido excepcionalmente, cuando ésta sea clasificada como reservada o confidencial.</w:t>
      </w:r>
    </w:p>
    <w:p w14:paraId="3939A9DA"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Artículo 132.</w:t>
      </w:r>
      <w:r w:rsidRPr="001C0F0A">
        <w:rPr>
          <w:rFonts w:ascii="Palatino Linotype" w:eastAsia="Palatino Linotype" w:hAnsi="Palatino Linotype" w:cs="Palatino Linotype"/>
          <w:i/>
          <w:lang w:eastAsia="en-US"/>
        </w:rPr>
        <w:t xml:space="preserve"> La clasificación de la información se llevará a cabo en el momento en que:</w:t>
      </w:r>
    </w:p>
    <w:p w14:paraId="7435E2C4" w14:textId="77777777" w:rsidR="00900FF9" w:rsidRPr="001C0F0A" w:rsidRDefault="00900FF9" w:rsidP="00376470">
      <w:pPr>
        <w:tabs>
          <w:tab w:val="left" w:pos="1134"/>
        </w:tabs>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 Se reciba una solicitud de acceso a la información;</w:t>
      </w:r>
    </w:p>
    <w:p w14:paraId="5249707D" w14:textId="77777777" w:rsidR="00900FF9" w:rsidRPr="001C0F0A" w:rsidRDefault="00900FF9" w:rsidP="00376470">
      <w:pPr>
        <w:tabs>
          <w:tab w:val="left" w:pos="1134"/>
        </w:tabs>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 Se determine mediante resolución de autoridad competente; o</w:t>
      </w:r>
    </w:p>
    <w:p w14:paraId="666D4BD7" w14:textId="77777777" w:rsidR="00900FF9" w:rsidRPr="001C0F0A" w:rsidRDefault="00900FF9" w:rsidP="00376470">
      <w:pPr>
        <w:tabs>
          <w:tab w:val="left" w:pos="1134"/>
        </w:tabs>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III. Se generen versiones públicas para dar cumplimiento a las obligaciones de transparencia previstas en esta Ley.</w:t>
      </w:r>
    </w:p>
    <w:p w14:paraId="0A036E8B"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w:t>
      </w:r>
    </w:p>
    <w:p w14:paraId="40B49281"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Artículo 143</w:t>
      </w:r>
      <w:r w:rsidRPr="001C0F0A">
        <w:rPr>
          <w:rFonts w:ascii="Palatino Linotype" w:eastAsia="Palatino Linotype" w:hAnsi="Palatino Linotype" w:cs="Palatino Linotype"/>
          <w:i/>
          <w:lang w:eastAsia="en-US"/>
        </w:rPr>
        <w:t>. Para los efectos de esta Ley se considera información confidencial, la clasificada como tal, de manera permanente, por su naturaleza, cuando:</w:t>
      </w:r>
    </w:p>
    <w:p w14:paraId="6A6527B1"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 Se refiera a la información privada y los datos personales concernientes a una persona física o jurídico colectiva identificada o identificable;</w:t>
      </w:r>
    </w:p>
    <w:p w14:paraId="45B0A06B"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 Los secretos bancario, fiduciario, industrial, comercial, fiscal, bursátil y postal, cuya titularidad corresponda a particulares, sujetos de derecho internacional o a sujetos obligados cuando no involucren el ejercicio de recursos públicos; y</w:t>
      </w:r>
    </w:p>
    <w:p w14:paraId="24071106"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III. La que presenten los particulares a los sujetos obligados, de conformidad con lo dispuesto por las leyes o los tratados internacionales.</w:t>
      </w:r>
    </w:p>
    <w:p w14:paraId="3E24D917"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La información confidencial no estará sujeta a temporalidad alguna y sólo podrán tener acceso a ella los titulares de la misma, sus representantes y los servidores públicos facultados para ello.</w:t>
      </w:r>
    </w:p>
    <w:p w14:paraId="26A90CE4"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lastRenderedPageBreak/>
        <w:t>No se considerará confidencial la información que se encuentre en los registros públicos o en fuentes de acceso público, ni tampoco la que sea considerada por la presente ley como información pública.”</w:t>
      </w:r>
    </w:p>
    <w:p w14:paraId="3E604FE2"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p>
    <w:p w14:paraId="0FE56EC4"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D70AA0" w14:textId="77777777" w:rsidR="00900FF9" w:rsidRPr="001C0F0A" w:rsidRDefault="00900FF9" w:rsidP="00900FF9">
      <w:pPr>
        <w:spacing w:after="0" w:line="276" w:lineRule="auto"/>
        <w:jc w:val="both"/>
        <w:rPr>
          <w:rFonts w:ascii="Palatino Linotype" w:eastAsia="Palatino Linotype" w:hAnsi="Palatino Linotype" w:cs="Palatino Linotype"/>
          <w:lang w:eastAsia="en-US"/>
        </w:rPr>
      </w:pPr>
    </w:p>
    <w:p w14:paraId="27BF8986"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7A0B94A5"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p>
    <w:p w14:paraId="29527C46"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 “</w:t>
      </w:r>
      <w:r w:rsidRPr="001C0F0A">
        <w:rPr>
          <w:rFonts w:ascii="Palatino Linotype" w:eastAsia="Palatino Linotype" w:hAnsi="Palatino Linotype" w:cs="Palatino Linotype"/>
          <w:b/>
          <w:i/>
          <w:lang w:eastAsia="en-US"/>
        </w:rPr>
        <w:t>Quincuagésimo</w:t>
      </w:r>
      <w:r w:rsidRPr="001C0F0A">
        <w:rPr>
          <w:rFonts w:ascii="Palatino Linotype" w:eastAsia="Palatino Linotype" w:hAnsi="Palatino Linotype" w:cs="Palatino Linotype"/>
          <w:i/>
          <w:lang w:eastAsia="en-US"/>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C76467F"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Quincuagésimo primero.</w:t>
      </w:r>
      <w:r w:rsidRPr="001C0F0A">
        <w:rPr>
          <w:rFonts w:ascii="Palatino Linotype" w:eastAsia="Palatino Linotype" w:hAnsi="Palatino Linotype" w:cs="Palatino Linotype"/>
          <w:i/>
          <w:lang w:eastAsia="en-US"/>
        </w:rPr>
        <w:t xml:space="preserve"> Toda acta del Comité de Transparencia deberá contener: </w:t>
      </w:r>
    </w:p>
    <w:p w14:paraId="407B5166"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 El número de sesión y fecha; </w:t>
      </w:r>
    </w:p>
    <w:p w14:paraId="55EE9909"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II. El nombre del área que solicitó la clasificación de información; </w:t>
      </w:r>
    </w:p>
    <w:p w14:paraId="3D71C616"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III. La fundamentación legal y motivación correspondiente; </w:t>
      </w:r>
    </w:p>
    <w:p w14:paraId="50C90F56"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IV. La resolución o resoluciones aprobadas; y </w:t>
      </w:r>
    </w:p>
    <w:p w14:paraId="4C5E2BCF"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V. La rúbrica o firma digital de cada integrante del Comité de Transparencia. </w:t>
      </w:r>
    </w:p>
    <w:p w14:paraId="53C38EAC"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Las resoluciones del Comité en las que se haya determinado confirmar o modificar la clasificación de información pública como reservada, deberán incluir, cuando menos: </w:t>
      </w:r>
    </w:p>
    <w:p w14:paraId="10453A99" w14:textId="77777777" w:rsidR="00900FF9" w:rsidRPr="001C0F0A" w:rsidRDefault="00900FF9" w:rsidP="0037647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 Los motivos y razonamientos que sustenten la confirmación o modificación de la prueba de daño;</w:t>
      </w:r>
    </w:p>
    <w:p w14:paraId="4AE5B874" w14:textId="77777777" w:rsidR="00900FF9" w:rsidRPr="001C0F0A" w:rsidRDefault="00900FF9" w:rsidP="00900FF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II. Descripción de las partes o secciones reservadas, en caso de clasificación parcial; </w:t>
      </w:r>
    </w:p>
    <w:p w14:paraId="69E20ECF" w14:textId="77777777" w:rsidR="00900FF9" w:rsidRPr="001C0F0A" w:rsidRDefault="00900FF9" w:rsidP="00900FF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lastRenderedPageBreak/>
        <w:t xml:space="preserve">III. El periodo por el que mantendrá su clasificación y fecha de expiración; y </w:t>
      </w:r>
    </w:p>
    <w:p w14:paraId="205EFEC8" w14:textId="77777777" w:rsidR="00900FF9" w:rsidRPr="001C0F0A" w:rsidRDefault="00900FF9" w:rsidP="00900FF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IV. El nombre del titular y área encargada de realizar la versión pública del documento, en su caso. </w:t>
      </w:r>
    </w:p>
    <w:p w14:paraId="7761017D" w14:textId="77777777" w:rsidR="00900FF9" w:rsidRPr="001C0F0A" w:rsidRDefault="00900FF9" w:rsidP="00900FF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En los casos en que se clasifique la información como reservada siempre se entregará o anexará la prueba de daño con la respuesta al solicitante. </w:t>
      </w:r>
    </w:p>
    <w:p w14:paraId="5F831983" w14:textId="77777777" w:rsidR="00900FF9" w:rsidRPr="001C0F0A" w:rsidRDefault="00900FF9" w:rsidP="00900FF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En los casos de resoluciones del Comité de Transparencia en las que se confirme la clasificación de información confidencial solo se deberán de identificar los tipos de datos protegidos, de conformidad con el lineamiento trigésimo octavo.</w:t>
      </w:r>
    </w:p>
    <w:p w14:paraId="43768F3B"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Quincuagésimo segundo.</w:t>
      </w:r>
      <w:r w:rsidRPr="001C0F0A">
        <w:rPr>
          <w:rFonts w:ascii="Palatino Linotype" w:eastAsia="Palatino Linotype" w:hAnsi="Palatino Linotype" w:cs="Palatino Linotype"/>
          <w:i/>
          <w:lang w:eastAsia="en-US"/>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6619FB4"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En el caso específico de la clasificación y elaboración de versiones públicas de documentos que contengan información confidencial, las áreas de los sujetos obligados deberán: </w:t>
      </w:r>
    </w:p>
    <w:p w14:paraId="5A388AFD"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 Fijar la fecha en que se elaboró la versión pública y la fecha en la cual el Comité de Transparencia confirmó dicha versión;</w:t>
      </w:r>
    </w:p>
    <w:p w14:paraId="4638FA81"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 Señalar dentro del documento el tipo de información confidencial que fue testada en cada caso específico, de conformidad con el lineamiento trigésimo octavo; y</w:t>
      </w:r>
    </w:p>
    <w:p w14:paraId="12EF049A"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III. Señalar las personas o instancias autorizadas a acceder a la información clasificada.</w:t>
      </w:r>
    </w:p>
    <w:p w14:paraId="76904456"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En los documentos de difusión electrónica, señalar en la primera hoja y en el nombre del archivo, que la versión pública corresponde a un documento que contiene información confidencial.”</w:t>
      </w:r>
    </w:p>
    <w:p w14:paraId="179A8085"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p>
    <w:p w14:paraId="1D4129BD" w14:textId="77777777" w:rsidR="00900FF9" w:rsidRPr="001C0F0A" w:rsidRDefault="00900FF9" w:rsidP="00900FF9">
      <w:pPr>
        <w:spacing w:after="0" w:line="360" w:lineRule="auto"/>
        <w:ind w:right="50"/>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t xml:space="preserve">Asimismo, se deberá observar el Lineamiento Quincuagésimo tercero de los Lineamientos Generales en Materia de Clasificación y Desclasificación de la Información </w:t>
      </w:r>
      <w:proofErr w:type="spellStart"/>
      <w:r w:rsidRPr="001C0F0A">
        <w:rPr>
          <w:rFonts w:ascii="Palatino Linotype" w:eastAsia="Palatino Linotype" w:hAnsi="Palatino Linotype" w:cs="Palatino Linotype"/>
          <w:lang w:eastAsia="en-US"/>
        </w:rPr>
        <w:t>supraindicados</w:t>
      </w:r>
      <w:proofErr w:type="spellEnd"/>
      <w:r w:rsidRPr="001C0F0A">
        <w:rPr>
          <w:rFonts w:ascii="Palatino Linotype" w:eastAsia="Palatino Linotype" w:hAnsi="Palatino Linotype" w:cs="Palatino Linotype"/>
          <w:lang w:eastAsia="en-US"/>
        </w:rPr>
        <w:t xml:space="preserve"> el cual establece los formatos para la clasificación de los documentos, conforme a lo siguiente: </w:t>
      </w:r>
    </w:p>
    <w:p w14:paraId="67EAECB5" w14:textId="77777777" w:rsidR="00900FF9" w:rsidRPr="001C0F0A" w:rsidRDefault="00900FF9" w:rsidP="00900FF9">
      <w:pPr>
        <w:spacing w:after="0" w:line="360" w:lineRule="auto"/>
        <w:ind w:right="50"/>
        <w:jc w:val="both"/>
        <w:rPr>
          <w:rFonts w:ascii="Palatino Linotype" w:eastAsia="Palatino Linotype" w:hAnsi="Palatino Linotype" w:cs="Palatino Linotype"/>
          <w:lang w:eastAsia="en-US"/>
        </w:rPr>
      </w:pPr>
    </w:p>
    <w:p w14:paraId="3A87CCAC" w14:textId="77777777" w:rsidR="00900FF9" w:rsidRPr="001C0F0A" w:rsidRDefault="00900FF9" w:rsidP="00900FF9">
      <w:pPr>
        <w:spacing w:after="0" w:line="276" w:lineRule="auto"/>
        <w:ind w:left="851" w:right="900"/>
        <w:jc w:val="center"/>
        <w:rPr>
          <w:rFonts w:ascii="Palatino Linotype" w:eastAsia="Palatino Linotype" w:hAnsi="Palatino Linotype" w:cs="Palatino Linotype"/>
          <w:b/>
          <w:i/>
          <w:lang w:eastAsia="en-US"/>
        </w:rPr>
      </w:pPr>
      <w:r w:rsidRPr="001C0F0A">
        <w:rPr>
          <w:rFonts w:ascii="Palatino Linotype" w:eastAsia="Palatino Linotype" w:hAnsi="Palatino Linotype" w:cs="Palatino Linotype"/>
          <w:b/>
          <w:i/>
          <w:lang w:eastAsia="en-US"/>
        </w:rPr>
        <w:t>CAPÍTULO VIII</w:t>
      </w:r>
    </w:p>
    <w:p w14:paraId="06C3B210" w14:textId="77777777" w:rsidR="00900FF9" w:rsidRPr="001C0F0A" w:rsidRDefault="00900FF9" w:rsidP="00900FF9">
      <w:pPr>
        <w:spacing w:after="0" w:line="276" w:lineRule="auto"/>
        <w:ind w:left="851" w:right="900"/>
        <w:jc w:val="center"/>
        <w:rPr>
          <w:rFonts w:ascii="Palatino Linotype" w:eastAsia="Palatino Linotype" w:hAnsi="Palatino Linotype" w:cs="Palatino Linotype"/>
          <w:b/>
          <w:i/>
          <w:lang w:eastAsia="en-US"/>
        </w:rPr>
      </w:pPr>
      <w:r w:rsidRPr="001C0F0A">
        <w:rPr>
          <w:rFonts w:ascii="Palatino Linotype" w:eastAsia="Palatino Linotype" w:hAnsi="Palatino Linotype" w:cs="Palatino Linotype"/>
          <w:b/>
          <w:i/>
          <w:lang w:eastAsia="en-US"/>
        </w:rPr>
        <w:t xml:space="preserve">DE LOS ELEMENTOS PARA LA CLASIFICACIÓN </w:t>
      </w:r>
    </w:p>
    <w:p w14:paraId="1C92BF8B" w14:textId="77777777" w:rsidR="00900FF9" w:rsidRPr="001C0F0A" w:rsidRDefault="00900FF9" w:rsidP="00900FF9">
      <w:pPr>
        <w:spacing w:after="0" w:line="276" w:lineRule="auto"/>
        <w:ind w:left="851" w:right="902"/>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Quincuagésimo tercero. </w:t>
      </w:r>
      <w:r w:rsidRPr="001C0F0A">
        <w:rPr>
          <w:rFonts w:ascii="Palatino Linotype" w:eastAsia="Palatino Linotype" w:hAnsi="Palatino Linotype" w:cs="Palatino Linotype"/>
          <w:i/>
          <w:u w:val="single"/>
          <w:lang w:eastAsia="en-US"/>
        </w:rPr>
        <w:t>El formato para señalar la clasificación de un documento o expediente que contenga información reservada</w:t>
      </w:r>
      <w:r w:rsidRPr="001C0F0A">
        <w:rPr>
          <w:rFonts w:ascii="Palatino Linotype" w:eastAsia="Palatino Linotype" w:hAnsi="Palatino Linotype" w:cs="Palatino Linotype"/>
          <w:i/>
          <w:lang w:eastAsia="en-US"/>
        </w:rPr>
        <w:t xml:space="preserve">, es el siguiente: </w:t>
      </w:r>
    </w:p>
    <w:p w14:paraId="44CB0605" w14:textId="77777777" w:rsidR="00900FF9" w:rsidRPr="001C0F0A" w:rsidRDefault="00900FF9" w:rsidP="00900FF9">
      <w:pPr>
        <w:spacing w:after="0" w:line="276" w:lineRule="auto"/>
        <w:ind w:left="851" w:right="902"/>
        <w:jc w:val="both"/>
        <w:rPr>
          <w:rFonts w:ascii="Palatino Linotype" w:eastAsia="Palatino Linotype" w:hAnsi="Palatino Linotype" w:cs="Palatino Linotype"/>
          <w:i/>
          <w:lang w:eastAsia="en-US"/>
        </w:rPr>
      </w:pP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1C0F0A" w:rsidRPr="001C0F0A" w14:paraId="7AF80730" w14:textId="77777777" w:rsidTr="0013635A">
        <w:trPr>
          <w:trHeight w:val="262"/>
          <w:jc w:val="center"/>
        </w:trPr>
        <w:tc>
          <w:tcPr>
            <w:tcW w:w="1271" w:type="dxa"/>
            <w:tcBorders>
              <w:top w:val="nil"/>
              <w:left w:val="nil"/>
            </w:tcBorders>
          </w:tcPr>
          <w:p w14:paraId="3BB2D571"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p>
        </w:tc>
        <w:tc>
          <w:tcPr>
            <w:tcW w:w="2693" w:type="dxa"/>
            <w:shd w:val="clear" w:color="auto" w:fill="D9D9D9"/>
          </w:tcPr>
          <w:p w14:paraId="56B331E8" w14:textId="77777777" w:rsidR="00900FF9" w:rsidRPr="001C0F0A" w:rsidRDefault="00900FF9" w:rsidP="00900FF9">
            <w:pPr>
              <w:tabs>
                <w:tab w:val="center" w:pos="1238"/>
                <w:tab w:val="right" w:pos="2477"/>
              </w:tabs>
              <w:spacing w:after="0" w:line="240" w:lineRule="auto"/>
              <w:rPr>
                <w:rFonts w:ascii="Palatino Linotype" w:eastAsia="Palatino Linotype" w:hAnsi="Palatino Linotype" w:cs="Palatino Linotype"/>
                <w:b/>
                <w:sz w:val="20"/>
                <w:lang w:eastAsia="en-US"/>
              </w:rPr>
            </w:pPr>
            <w:r w:rsidRPr="001C0F0A">
              <w:rPr>
                <w:rFonts w:ascii="Palatino Linotype" w:eastAsia="Palatino Linotype" w:hAnsi="Palatino Linotype" w:cs="Palatino Linotype"/>
                <w:b/>
                <w:sz w:val="20"/>
                <w:lang w:eastAsia="en-US"/>
              </w:rPr>
              <w:tab/>
              <w:t>Concepto</w:t>
            </w:r>
            <w:r w:rsidRPr="001C0F0A">
              <w:rPr>
                <w:rFonts w:ascii="Palatino Linotype" w:eastAsia="Palatino Linotype" w:hAnsi="Palatino Linotype" w:cs="Palatino Linotype"/>
                <w:b/>
                <w:sz w:val="20"/>
                <w:lang w:eastAsia="en-US"/>
              </w:rPr>
              <w:tab/>
            </w:r>
          </w:p>
        </w:tc>
        <w:tc>
          <w:tcPr>
            <w:tcW w:w="3691" w:type="dxa"/>
            <w:shd w:val="clear" w:color="auto" w:fill="D9D9D9"/>
          </w:tcPr>
          <w:p w14:paraId="338E73AA" w14:textId="77777777" w:rsidR="00900FF9" w:rsidRPr="001C0F0A" w:rsidRDefault="00900FF9" w:rsidP="00900FF9">
            <w:pPr>
              <w:spacing w:after="0" w:line="240" w:lineRule="auto"/>
              <w:jc w:val="center"/>
              <w:rPr>
                <w:rFonts w:ascii="Palatino Linotype" w:eastAsia="Palatino Linotype" w:hAnsi="Palatino Linotype" w:cs="Palatino Linotype"/>
                <w:b/>
                <w:sz w:val="20"/>
                <w:lang w:eastAsia="en-US"/>
              </w:rPr>
            </w:pPr>
            <w:r w:rsidRPr="001C0F0A">
              <w:rPr>
                <w:rFonts w:ascii="Palatino Linotype" w:eastAsia="Palatino Linotype" w:hAnsi="Palatino Linotype" w:cs="Palatino Linotype"/>
                <w:b/>
                <w:sz w:val="20"/>
                <w:lang w:eastAsia="en-US"/>
              </w:rPr>
              <w:t>Dónde</w:t>
            </w:r>
          </w:p>
        </w:tc>
      </w:tr>
      <w:tr w:rsidR="001C0F0A" w:rsidRPr="001C0F0A" w14:paraId="6A59C018" w14:textId="77777777" w:rsidTr="0013635A">
        <w:trPr>
          <w:jc w:val="center"/>
        </w:trPr>
        <w:tc>
          <w:tcPr>
            <w:tcW w:w="1271" w:type="dxa"/>
            <w:vMerge w:val="restart"/>
            <w:shd w:val="clear" w:color="auto" w:fill="D9D9D9"/>
          </w:tcPr>
          <w:p w14:paraId="1838B2C1"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p>
          <w:p w14:paraId="522E4265"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p>
          <w:p w14:paraId="53B603F1"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p>
          <w:p w14:paraId="08C219EF"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p>
          <w:p w14:paraId="19699016"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p>
          <w:p w14:paraId="01C9608E"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p>
          <w:p w14:paraId="2589E2C8" w14:textId="77777777" w:rsidR="00900FF9" w:rsidRPr="001C0F0A" w:rsidRDefault="00900FF9" w:rsidP="00900FF9">
            <w:pPr>
              <w:spacing w:after="0" w:line="240" w:lineRule="auto"/>
              <w:jc w:val="both"/>
              <w:rPr>
                <w:rFonts w:ascii="Palatino Linotype" w:eastAsia="Palatino Linotype" w:hAnsi="Palatino Linotype" w:cs="Palatino Linotype"/>
                <w:b/>
                <w:sz w:val="20"/>
                <w:lang w:eastAsia="en-US"/>
              </w:rPr>
            </w:pPr>
            <w:r w:rsidRPr="001C0F0A">
              <w:rPr>
                <w:rFonts w:ascii="Palatino Linotype" w:eastAsia="Palatino Linotype" w:hAnsi="Palatino Linotype" w:cs="Palatino Linotype"/>
                <w:b/>
                <w:sz w:val="20"/>
                <w:lang w:eastAsia="en-US"/>
              </w:rPr>
              <w:t xml:space="preserve">Sello oficial o logotipo del sujeto obligado </w:t>
            </w:r>
          </w:p>
        </w:tc>
        <w:tc>
          <w:tcPr>
            <w:tcW w:w="2693" w:type="dxa"/>
          </w:tcPr>
          <w:p w14:paraId="35CDD92B"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Fecha de clasificación</w:t>
            </w:r>
          </w:p>
        </w:tc>
        <w:tc>
          <w:tcPr>
            <w:tcW w:w="3691" w:type="dxa"/>
          </w:tcPr>
          <w:p w14:paraId="35110E2E"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Se anotará la fecha en la que el Comité de Transparencia confirmó la clasificación del documento o expediente, en su caso. </w:t>
            </w:r>
          </w:p>
        </w:tc>
      </w:tr>
      <w:tr w:rsidR="001C0F0A" w:rsidRPr="001C0F0A" w14:paraId="16C9E514" w14:textId="77777777" w:rsidTr="0013635A">
        <w:trPr>
          <w:jc w:val="center"/>
        </w:trPr>
        <w:tc>
          <w:tcPr>
            <w:tcW w:w="1271" w:type="dxa"/>
            <w:vMerge/>
            <w:shd w:val="clear" w:color="auto" w:fill="D9D9D9"/>
          </w:tcPr>
          <w:p w14:paraId="102B3A34" w14:textId="77777777" w:rsidR="00900FF9" w:rsidRPr="001C0F0A" w:rsidRDefault="00900FF9" w:rsidP="00900FF9">
            <w:pPr>
              <w:widowControl w:val="0"/>
              <w:pBdr>
                <w:top w:val="nil"/>
                <w:left w:val="nil"/>
                <w:bottom w:val="nil"/>
                <w:right w:val="nil"/>
                <w:between w:val="nil"/>
              </w:pBdr>
              <w:spacing w:after="0" w:line="240" w:lineRule="auto"/>
              <w:rPr>
                <w:rFonts w:ascii="Palatino Linotype" w:eastAsia="Palatino Linotype" w:hAnsi="Palatino Linotype" w:cs="Palatino Linotype"/>
                <w:sz w:val="20"/>
                <w:lang w:eastAsia="en-US"/>
              </w:rPr>
            </w:pPr>
          </w:p>
        </w:tc>
        <w:tc>
          <w:tcPr>
            <w:tcW w:w="2693" w:type="dxa"/>
          </w:tcPr>
          <w:p w14:paraId="65649C6E"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Área </w:t>
            </w:r>
          </w:p>
        </w:tc>
        <w:tc>
          <w:tcPr>
            <w:tcW w:w="3691" w:type="dxa"/>
          </w:tcPr>
          <w:p w14:paraId="5FD202FF"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Se señalará el nombre del área del cual es titular quien clasifica. </w:t>
            </w:r>
          </w:p>
        </w:tc>
      </w:tr>
      <w:tr w:rsidR="001C0F0A" w:rsidRPr="001C0F0A" w14:paraId="18D45A4C" w14:textId="77777777" w:rsidTr="0013635A">
        <w:trPr>
          <w:jc w:val="center"/>
        </w:trPr>
        <w:tc>
          <w:tcPr>
            <w:tcW w:w="1271" w:type="dxa"/>
            <w:vMerge/>
            <w:shd w:val="clear" w:color="auto" w:fill="D9D9D9"/>
          </w:tcPr>
          <w:p w14:paraId="5A65EE15" w14:textId="77777777" w:rsidR="00900FF9" w:rsidRPr="001C0F0A" w:rsidRDefault="00900FF9" w:rsidP="00900FF9">
            <w:pPr>
              <w:widowControl w:val="0"/>
              <w:pBdr>
                <w:top w:val="nil"/>
                <w:left w:val="nil"/>
                <w:bottom w:val="nil"/>
                <w:right w:val="nil"/>
                <w:between w:val="nil"/>
              </w:pBdr>
              <w:spacing w:after="0" w:line="240" w:lineRule="auto"/>
              <w:rPr>
                <w:rFonts w:ascii="Palatino Linotype" w:eastAsia="Palatino Linotype" w:hAnsi="Palatino Linotype" w:cs="Palatino Linotype"/>
                <w:sz w:val="20"/>
                <w:lang w:eastAsia="en-US"/>
              </w:rPr>
            </w:pPr>
          </w:p>
        </w:tc>
        <w:tc>
          <w:tcPr>
            <w:tcW w:w="2693" w:type="dxa"/>
          </w:tcPr>
          <w:p w14:paraId="136B6FDA"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Información Reservada</w:t>
            </w:r>
          </w:p>
        </w:tc>
        <w:tc>
          <w:tcPr>
            <w:tcW w:w="3691" w:type="dxa"/>
          </w:tcPr>
          <w:p w14:paraId="1BAEB7F8"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Se indicarán las partes o páginas del documento que se clasifican como reservadas, o, en su caso, se precisará que se ha reservado el documento o expediente en su totalidad.</w:t>
            </w:r>
          </w:p>
        </w:tc>
      </w:tr>
      <w:tr w:rsidR="001C0F0A" w:rsidRPr="001C0F0A" w14:paraId="7906B574" w14:textId="77777777" w:rsidTr="0013635A">
        <w:trPr>
          <w:jc w:val="center"/>
        </w:trPr>
        <w:tc>
          <w:tcPr>
            <w:tcW w:w="1271" w:type="dxa"/>
            <w:vMerge/>
            <w:shd w:val="clear" w:color="auto" w:fill="D9D9D9"/>
          </w:tcPr>
          <w:p w14:paraId="2598C7BD" w14:textId="77777777" w:rsidR="00900FF9" w:rsidRPr="001C0F0A" w:rsidRDefault="00900FF9" w:rsidP="00900FF9">
            <w:pPr>
              <w:widowControl w:val="0"/>
              <w:pBdr>
                <w:top w:val="nil"/>
                <w:left w:val="nil"/>
                <w:bottom w:val="nil"/>
                <w:right w:val="nil"/>
                <w:between w:val="nil"/>
              </w:pBdr>
              <w:spacing w:after="0" w:line="240" w:lineRule="auto"/>
              <w:rPr>
                <w:rFonts w:ascii="Palatino Linotype" w:eastAsia="Palatino Linotype" w:hAnsi="Palatino Linotype" w:cs="Palatino Linotype"/>
                <w:sz w:val="20"/>
                <w:lang w:eastAsia="en-US"/>
              </w:rPr>
            </w:pPr>
          </w:p>
        </w:tc>
        <w:tc>
          <w:tcPr>
            <w:tcW w:w="2693" w:type="dxa"/>
          </w:tcPr>
          <w:p w14:paraId="713364FD"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Periodo de Reserva </w:t>
            </w:r>
          </w:p>
        </w:tc>
        <w:tc>
          <w:tcPr>
            <w:tcW w:w="3691" w:type="dxa"/>
          </w:tcPr>
          <w:p w14:paraId="5BB63B1D"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Se anotará el número de años o meses por los que se mantendrá reservado el documento, el expediente o, en su caso, las partes o secciones reservadas. </w:t>
            </w:r>
          </w:p>
        </w:tc>
      </w:tr>
      <w:tr w:rsidR="001C0F0A" w:rsidRPr="001C0F0A" w14:paraId="4299F8E5" w14:textId="77777777" w:rsidTr="0013635A">
        <w:trPr>
          <w:jc w:val="center"/>
        </w:trPr>
        <w:tc>
          <w:tcPr>
            <w:tcW w:w="1271" w:type="dxa"/>
            <w:vMerge/>
            <w:shd w:val="clear" w:color="auto" w:fill="D9D9D9"/>
          </w:tcPr>
          <w:p w14:paraId="116C0EE4" w14:textId="77777777" w:rsidR="00900FF9" w:rsidRPr="001C0F0A" w:rsidRDefault="00900FF9" w:rsidP="00900FF9">
            <w:pPr>
              <w:widowControl w:val="0"/>
              <w:pBdr>
                <w:top w:val="nil"/>
                <w:left w:val="nil"/>
                <w:bottom w:val="nil"/>
                <w:right w:val="nil"/>
                <w:between w:val="nil"/>
              </w:pBdr>
              <w:spacing w:after="0" w:line="240" w:lineRule="auto"/>
              <w:rPr>
                <w:rFonts w:ascii="Palatino Linotype" w:eastAsia="Palatino Linotype" w:hAnsi="Palatino Linotype" w:cs="Palatino Linotype"/>
                <w:sz w:val="20"/>
                <w:lang w:eastAsia="en-US"/>
              </w:rPr>
            </w:pPr>
          </w:p>
        </w:tc>
        <w:tc>
          <w:tcPr>
            <w:tcW w:w="2693" w:type="dxa"/>
          </w:tcPr>
          <w:p w14:paraId="7983FC18"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Fundamento legal</w:t>
            </w:r>
          </w:p>
        </w:tc>
        <w:tc>
          <w:tcPr>
            <w:tcW w:w="3691" w:type="dxa"/>
          </w:tcPr>
          <w:p w14:paraId="576B188F"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Se señalará el nombre del ordenamiento el o los artículos, fracciones, párrafos con base en los cuales se sustente la reserva. </w:t>
            </w:r>
          </w:p>
        </w:tc>
      </w:tr>
      <w:tr w:rsidR="001C0F0A" w:rsidRPr="001C0F0A" w14:paraId="626B02AA" w14:textId="77777777" w:rsidTr="0013635A">
        <w:trPr>
          <w:jc w:val="center"/>
        </w:trPr>
        <w:tc>
          <w:tcPr>
            <w:tcW w:w="1271" w:type="dxa"/>
            <w:vMerge/>
            <w:shd w:val="clear" w:color="auto" w:fill="D9D9D9"/>
          </w:tcPr>
          <w:p w14:paraId="27EE45F4" w14:textId="77777777" w:rsidR="00900FF9" w:rsidRPr="001C0F0A" w:rsidRDefault="00900FF9" w:rsidP="00900FF9">
            <w:pPr>
              <w:widowControl w:val="0"/>
              <w:pBdr>
                <w:top w:val="nil"/>
                <w:left w:val="nil"/>
                <w:bottom w:val="nil"/>
                <w:right w:val="nil"/>
                <w:between w:val="nil"/>
              </w:pBdr>
              <w:spacing w:after="0" w:line="240" w:lineRule="auto"/>
              <w:rPr>
                <w:rFonts w:ascii="Palatino Linotype" w:eastAsia="Palatino Linotype" w:hAnsi="Palatino Linotype" w:cs="Palatino Linotype"/>
                <w:sz w:val="20"/>
                <w:lang w:eastAsia="en-US"/>
              </w:rPr>
            </w:pPr>
          </w:p>
        </w:tc>
        <w:tc>
          <w:tcPr>
            <w:tcW w:w="2693" w:type="dxa"/>
          </w:tcPr>
          <w:p w14:paraId="7AFE7688"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Ampliación del periodo de reserva</w:t>
            </w:r>
          </w:p>
        </w:tc>
        <w:tc>
          <w:tcPr>
            <w:tcW w:w="3691" w:type="dxa"/>
          </w:tcPr>
          <w:p w14:paraId="0F1637E5"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En caso de haber solicitado la ampliación del periodo de reserva originalmente establecido, se deberá anotar el número de años o meses por los que se amplía la reserva. </w:t>
            </w:r>
          </w:p>
        </w:tc>
      </w:tr>
      <w:tr w:rsidR="001C0F0A" w:rsidRPr="001C0F0A" w14:paraId="1BDF5A0E" w14:textId="77777777" w:rsidTr="0013635A">
        <w:trPr>
          <w:jc w:val="center"/>
        </w:trPr>
        <w:tc>
          <w:tcPr>
            <w:tcW w:w="3964" w:type="dxa"/>
            <w:gridSpan w:val="2"/>
            <w:shd w:val="clear" w:color="auto" w:fill="D9D9D9"/>
          </w:tcPr>
          <w:p w14:paraId="3E520F9F"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Rúbrica del titular del área</w:t>
            </w:r>
          </w:p>
        </w:tc>
        <w:tc>
          <w:tcPr>
            <w:tcW w:w="3691" w:type="dxa"/>
            <w:shd w:val="clear" w:color="auto" w:fill="D9D9D9"/>
          </w:tcPr>
          <w:p w14:paraId="6D2E14C2"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Rúbrica autógrafa o firma digital de quien clasifica. </w:t>
            </w:r>
          </w:p>
        </w:tc>
      </w:tr>
      <w:tr w:rsidR="001C0F0A" w:rsidRPr="001C0F0A" w14:paraId="0B15F620" w14:textId="77777777" w:rsidTr="0013635A">
        <w:trPr>
          <w:jc w:val="center"/>
        </w:trPr>
        <w:tc>
          <w:tcPr>
            <w:tcW w:w="3964" w:type="dxa"/>
            <w:gridSpan w:val="2"/>
            <w:shd w:val="clear" w:color="auto" w:fill="D9D9D9"/>
          </w:tcPr>
          <w:p w14:paraId="628E7D10"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Fecha de desclasificación </w:t>
            </w:r>
          </w:p>
        </w:tc>
        <w:tc>
          <w:tcPr>
            <w:tcW w:w="3691" w:type="dxa"/>
            <w:shd w:val="clear" w:color="auto" w:fill="D9D9D9"/>
          </w:tcPr>
          <w:p w14:paraId="0F60AE93"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Se anotará la fecha en que se desclasifica el documento. </w:t>
            </w:r>
          </w:p>
        </w:tc>
      </w:tr>
      <w:tr w:rsidR="001C0F0A" w:rsidRPr="001C0F0A" w14:paraId="2E1BA631" w14:textId="77777777" w:rsidTr="0013635A">
        <w:trPr>
          <w:jc w:val="center"/>
        </w:trPr>
        <w:tc>
          <w:tcPr>
            <w:tcW w:w="3964" w:type="dxa"/>
            <w:gridSpan w:val="2"/>
            <w:shd w:val="clear" w:color="auto" w:fill="D9D9D9"/>
          </w:tcPr>
          <w:p w14:paraId="648FF05B" w14:textId="77777777" w:rsidR="00900FF9" w:rsidRPr="001C0F0A" w:rsidRDefault="00900FF9" w:rsidP="00900FF9">
            <w:pPr>
              <w:spacing w:after="0" w:line="240" w:lineRule="auto"/>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Rúbrica y cargo del servidor público </w:t>
            </w:r>
          </w:p>
        </w:tc>
        <w:tc>
          <w:tcPr>
            <w:tcW w:w="3691" w:type="dxa"/>
            <w:shd w:val="clear" w:color="auto" w:fill="D9D9D9"/>
          </w:tcPr>
          <w:p w14:paraId="0104BEE2" w14:textId="77777777" w:rsidR="00900FF9" w:rsidRPr="001C0F0A" w:rsidRDefault="00900FF9" w:rsidP="00900FF9">
            <w:pPr>
              <w:spacing w:after="0" w:line="240" w:lineRule="auto"/>
              <w:jc w:val="both"/>
              <w:rPr>
                <w:rFonts w:ascii="Palatino Linotype" w:eastAsia="Palatino Linotype" w:hAnsi="Palatino Linotype" w:cs="Palatino Linotype"/>
                <w:sz w:val="20"/>
                <w:lang w:eastAsia="en-US"/>
              </w:rPr>
            </w:pPr>
            <w:r w:rsidRPr="001C0F0A">
              <w:rPr>
                <w:rFonts w:ascii="Palatino Linotype" w:eastAsia="Palatino Linotype" w:hAnsi="Palatino Linotype" w:cs="Palatino Linotype"/>
                <w:sz w:val="20"/>
                <w:lang w:eastAsia="en-US"/>
              </w:rPr>
              <w:t xml:space="preserve">Rúbrica autógrafa o firma digital de quien desclasifica. </w:t>
            </w:r>
          </w:p>
        </w:tc>
      </w:tr>
    </w:tbl>
    <w:p w14:paraId="75C36138" w14:textId="77777777" w:rsidR="00900FF9" w:rsidRPr="001C0F0A" w:rsidRDefault="00900FF9" w:rsidP="00900FF9">
      <w:pPr>
        <w:spacing w:after="0" w:line="360" w:lineRule="auto"/>
        <w:ind w:right="902"/>
        <w:rPr>
          <w:rFonts w:ascii="Palatino Linotype" w:eastAsia="Palatino Linotype" w:hAnsi="Palatino Linotype" w:cs="Palatino Linotype"/>
          <w:i/>
          <w:lang w:eastAsia="en-US"/>
        </w:rPr>
      </w:pPr>
    </w:p>
    <w:p w14:paraId="63758842" w14:textId="77777777" w:rsidR="00900FF9" w:rsidRPr="001C0F0A" w:rsidRDefault="00900FF9" w:rsidP="00900FF9">
      <w:pPr>
        <w:spacing w:after="0" w:line="276" w:lineRule="auto"/>
        <w:ind w:left="567" w:right="902"/>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Los documentos que integren un expediente reservado en su totalidad no deberán marcarse en lo individual.</w:t>
      </w:r>
    </w:p>
    <w:p w14:paraId="2EF92538" w14:textId="77777777" w:rsidR="00900FF9" w:rsidRPr="001C0F0A" w:rsidRDefault="00900FF9" w:rsidP="00900FF9">
      <w:pPr>
        <w:spacing w:after="0" w:line="276" w:lineRule="auto"/>
        <w:ind w:left="567" w:right="902"/>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Una vez desclasificados los expedientes, si existieren documentos que tuvieran el carácter de reservados deberán permanecer o ser marcados.”</w:t>
      </w:r>
    </w:p>
    <w:p w14:paraId="271595A2" w14:textId="77777777" w:rsidR="00900FF9" w:rsidRPr="001C0F0A" w:rsidRDefault="00900FF9" w:rsidP="00900FF9">
      <w:pPr>
        <w:spacing w:after="0" w:line="360" w:lineRule="auto"/>
        <w:jc w:val="both"/>
        <w:rPr>
          <w:rFonts w:ascii="Palatino Linotype" w:eastAsia="Palatino Linotype" w:hAnsi="Palatino Linotype" w:cs="Palatino Linotype"/>
          <w:lang w:eastAsia="en-US"/>
        </w:rPr>
      </w:pPr>
    </w:p>
    <w:p w14:paraId="4376BF0F" w14:textId="4F372C64" w:rsidR="00900FF9" w:rsidRPr="001C0F0A" w:rsidRDefault="00900FF9" w:rsidP="00900FF9">
      <w:pPr>
        <w:spacing w:after="0" w:line="360" w:lineRule="auto"/>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t>De igual forma, deberá observar los Lineamientos Quincuagésimo cuarto, Quincuagésimo quinto, Quincuagésimo séptimo y Quincuagésimo octavo, establecen lo siguiente:</w:t>
      </w:r>
    </w:p>
    <w:p w14:paraId="3D8C8A61" w14:textId="77777777" w:rsidR="00900FF9" w:rsidRPr="001C0F0A" w:rsidRDefault="00900FF9" w:rsidP="00900FF9">
      <w:pPr>
        <w:pBdr>
          <w:top w:val="nil"/>
          <w:left w:val="nil"/>
          <w:bottom w:val="nil"/>
          <w:right w:val="nil"/>
          <w:between w:val="nil"/>
        </w:pBd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lastRenderedPageBreak/>
        <w:t>“</w:t>
      </w:r>
      <w:r w:rsidRPr="001C0F0A">
        <w:rPr>
          <w:rFonts w:ascii="Palatino Linotype" w:eastAsia="Palatino Linotype" w:hAnsi="Palatino Linotype" w:cs="Palatino Linotype"/>
          <w:b/>
          <w:i/>
          <w:lang w:eastAsia="en-US"/>
        </w:rPr>
        <w:t>Quincuagésimo cuarto.</w:t>
      </w:r>
      <w:r w:rsidRPr="001C0F0A">
        <w:rPr>
          <w:rFonts w:ascii="Palatino Linotype" w:eastAsia="Palatino Linotype" w:hAnsi="Palatino Linotype" w:cs="Palatino Linotype"/>
          <w:i/>
          <w:lang w:eastAsia="en-US"/>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3A5733E"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Quincuagésimo quinto.</w:t>
      </w:r>
      <w:r w:rsidRPr="001C0F0A">
        <w:rPr>
          <w:rFonts w:ascii="Palatino Linotype" w:eastAsia="Palatino Linotype" w:hAnsi="Palatino Linotype" w:cs="Palatino Linotype"/>
          <w:i/>
          <w:lang w:eastAsia="en-US"/>
        </w:rPr>
        <w:t xml:space="preserve"> Cada área del sujeto obligado podrá designar formalmente a una o más personas como responsables del </w:t>
      </w:r>
      <w:proofErr w:type="spellStart"/>
      <w:r w:rsidRPr="001C0F0A">
        <w:rPr>
          <w:rFonts w:ascii="Palatino Linotype" w:eastAsia="Palatino Linotype" w:hAnsi="Palatino Linotype" w:cs="Palatino Linotype"/>
          <w:i/>
          <w:lang w:eastAsia="en-US"/>
        </w:rPr>
        <w:t>testado</w:t>
      </w:r>
      <w:proofErr w:type="spellEnd"/>
      <w:r w:rsidRPr="001C0F0A">
        <w:rPr>
          <w:rFonts w:ascii="Palatino Linotype" w:eastAsia="Palatino Linotype" w:hAnsi="Palatino Linotype" w:cs="Palatino Linotype"/>
          <w:i/>
          <w:lang w:eastAsia="en-US"/>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D4300B8" w14:textId="77777777" w:rsidR="00900FF9" w:rsidRPr="001C0F0A" w:rsidRDefault="00900FF9" w:rsidP="00900FF9">
      <w:pPr>
        <w:spacing w:after="0" w:line="276"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w:t>
      </w:r>
    </w:p>
    <w:p w14:paraId="5E7F5B99"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b/>
          <w:i/>
          <w:lang w:eastAsia="en-US"/>
        </w:rPr>
        <w:t>Quincuagésimo séptimo.</w:t>
      </w:r>
      <w:r w:rsidRPr="001C0F0A">
        <w:rPr>
          <w:rFonts w:ascii="Palatino Linotype" w:eastAsia="Palatino Linotype" w:hAnsi="Palatino Linotype" w:cs="Palatino Linotype"/>
          <w:i/>
          <w:lang w:eastAsia="en-US"/>
        </w:rPr>
        <w:t xml:space="preserve"> Se considera, en principio, como información pública y no podrá omitirse de las versiones públicas la siguiente: </w:t>
      </w:r>
    </w:p>
    <w:p w14:paraId="56E9E4BB"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 La relativa a las Obligaciones de Transparencia que contempla el Título V de la Ley General y las demás disposiciones legales aplicables; </w:t>
      </w:r>
    </w:p>
    <w:p w14:paraId="65F8C634"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II. El nombre de los integrantes de los sujetos obligados en los documentos, y sus firmas autógrafas o digitales, cuando sean utilizados en el ejercicio de las facultades conferidas para el desempeño del servicio público, y</w:t>
      </w:r>
    </w:p>
    <w:p w14:paraId="13D8A4CA"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936A26F"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 xml:space="preserve">Lo anterior, siempre y cuando no se acredite alguna causal de clasificación, prevista en las leyes o en los tratados internacionales suscritas por el Estado mexicano.  </w:t>
      </w:r>
    </w:p>
    <w:p w14:paraId="40028059" w14:textId="77777777" w:rsidR="00900FF9" w:rsidRPr="001C0F0A" w:rsidRDefault="00900FF9" w:rsidP="00376470">
      <w:pPr>
        <w:spacing w:after="0" w:line="240" w:lineRule="auto"/>
        <w:ind w:left="567" w:right="616"/>
        <w:jc w:val="both"/>
        <w:rPr>
          <w:rFonts w:ascii="Palatino Linotype" w:eastAsia="Palatino Linotype" w:hAnsi="Palatino Linotype" w:cs="Palatino Linotype"/>
          <w:i/>
          <w:lang w:eastAsia="en-US"/>
        </w:rPr>
      </w:pPr>
      <w:r w:rsidRPr="001C0F0A">
        <w:rPr>
          <w:rFonts w:ascii="Palatino Linotype" w:eastAsia="Palatino Linotype" w:hAnsi="Palatino Linotype" w:cs="Palatino Linotype"/>
          <w:i/>
          <w:lang w:eastAsia="en-US"/>
        </w:rPr>
        <w:t>Quincuagésimo octavo. Los sujetos obligados garantizarán que los sistemas o medios empleados para eliminar la información en las versiones públicas sean irreversibles, de tal forma que no permitan su recuperación o la visualización de la misma.”</w:t>
      </w:r>
    </w:p>
    <w:p w14:paraId="3B02B245" w14:textId="77777777" w:rsidR="00900FF9" w:rsidRPr="001C0F0A" w:rsidRDefault="00900FF9" w:rsidP="00900FF9">
      <w:pPr>
        <w:spacing w:after="0" w:line="360" w:lineRule="auto"/>
        <w:ind w:left="567" w:right="616"/>
        <w:jc w:val="both"/>
        <w:rPr>
          <w:rFonts w:ascii="Palatino Linotype" w:eastAsia="Palatino Linotype" w:hAnsi="Palatino Linotype" w:cs="Palatino Linotype"/>
          <w:i/>
          <w:lang w:eastAsia="en-US"/>
        </w:rPr>
      </w:pPr>
    </w:p>
    <w:p w14:paraId="3087B4DC" w14:textId="06CB6DA9" w:rsidR="00900FF9" w:rsidRPr="001C0F0A" w:rsidRDefault="00900FF9" w:rsidP="00E9138E">
      <w:pPr>
        <w:spacing w:after="0" w:line="360" w:lineRule="auto"/>
        <w:jc w:val="both"/>
        <w:rPr>
          <w:rFonts w:ascii="Palatino Linotype" w:eastAsia="Palatino Linotype" w:hAnsi="Palatino Linotype" w:cs="Palatino Linotype"/>
          <w:lang w:eastAsia="en-US"/>
        </w:rPr>
      </w:pPr>
      <w:r w:rsidRPr="001C0F0A">
        <w:rPr>
          <w:rFonts w:ascii="Palatino Linotype" w:eastAsia="Palatino Linotype" w:hAnsi="Palatino Linotype" w:cs="Palatino Linotype"/>
          <w:lang w:eastAsia="en-US"/>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w:t>
      </w:r>
      <w:r w:rsidRPr="001C0F0A">
        <w:rPr>
          <w:rFonts w:ascii="Palatino Linotype" w:eastAsia="Palatino Linotype" w:hAnsi="Palatino Linotype" w:cs="Palatino Linotype"/>
          <w:lang w:eastAsia="en-US"/>
        </w:rPr>
        <w:lastRenderedPageBreak/>
        <w:t>justificar las causas o motivos por las que no se aprecian determinados datos -ya sea porque se testan o suprimen- deja al solicitante en estado de incertidumbre, al no conocer o comprender por qué no aparecen en la documentación respectiva.</w:t>
      </w:r>
    </w:p>
    <w:p w14:paraId="61323682" w14:textId="77777777" w:rsidR="00900FF9" w:rsidRPr="001C0F0A" w:rsidRDefault="00900FF9" w:rsidP="00E9138E">
      <w:pPr>
        <w:spacing w:after="0" w:line="360" w:lineRule="auto"/>
        <w:jc w:val="both"/>
        <w:rPr>
          <w:rFonts w:ascii="Palatino Linotype" w:eastAsia="Palatino Linotype" w:hAnsi="Palatino Linotype" w:cs="Palatino Linotype"/>
        </w:rPr>
      </w:pPr>
    </w:p>
    <w:p w14:paraId="6CF9D389" w14:textId="7FA2C49C" w:rsidR="00E9138E" w:rsidRPr="001C0F0A" w:rsidRDefault="00E9138E" w:rsidP="00E9138E">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1C0F0A">
        <w:rPr>
          <w:rFonts w:ascii="Palatino Linotype" w:eastAsia="Palatino Linotype" w:hAnsi="Palatino Linotype" w:cs="Palatino Linotype"/>
          <w:b/>
        </w:rPr>
        <w:t>RECURRENTE</w:t>
      </w:r>
      <w:r w:rsidRPr="001C0F0A">
        <w:rPr>
          <w:rFonts w:ascii="Palatino Linotype" w:eastAsia="Palatino Linotype" w:hAnsi="Palatino Linotype" w:cs="Palatino Linotype"/>
        </w:rPr>
        <w:t xml:space="preserve"> dentro del recurso de revisión </w:t>
      </w:r>
      <w:r w:rsidR="00900FF9" w:rsidRPr="001C0F0A">
        <w:rPr>
          <w:rFonts w:ascii="Palatino Linotype" w:eastAsia="Palatino Linotype" w:hAnsi="Palatino Linotype" w:cs="Palatino Linotype"/>
          <w:b/>
        </w:rPr>
        <w:t>08364</w:t>
      </w:r>
      <w:r w:rsidRPr="001C0F0A">
        <w:rPr>
          <w:rFonts w:ascii="Palatino Linotype" w:eastAsia="Palatino Linotype" w:hAnsi="Palatino Linotype" w:cs="Palatino Linotype"/>
          <w:b/>
        </w:rPr>
        <w:t>/INFOEM/IP/RR/2023</w:t>
      </w:r>
      <w:r w:rsidRPr="001C0F0A">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por lo que se </w:t>
      </w:r>
      <w:r w:rsidRPr="001C0F0A">
        <w:rPr>
          <w:rFonts w:ascii="Palatino Linotype" w:eastAsia="Palatino Linotype" w:hAnsi="Palatino Linotype" w:cs="Palatino Linotype"/>
          <w:b/>
        </w:rPr>
        <w:t xml:space="preserve">REVOCA </w:t>
      </w:r>
      <w:r w:rsidRPr="001C0F0A">
        <w:rPr>
          <w:rFonts w:ascii="Palatino Linotype" w:eastAsia="Palatino Linotype" w:hAnsi="Palatino Linotype" w:cs="Palatino Linotype"/>
        </w:rPr>
        <w:t xml:space="preserve">la respuesta del </w:t>
      </w:r>
      <w:r w:rsidRPr="001C0F0A">
        <w:rPr>
          <w:rFonts w:ascii="Palatino Linotype" w:eastAsia="Palatino Linotype" w:hAnsi="Palatino Linotype" w:cs="Palatino Linotype"/>
          <w:b/>
        </w:rPr>
        <w:t xml:space="preserve">SUJETO OBLIGADO </w:t>
      </w:r>
      <w:r w:rsidRPr="001C0F0A">
        <w:rPr>
          <w:rFonts w:ascii="Palatino Linotype" w:eastAsia="Palatino Linotype" w:hAnsi="Palatino Linotype" w:cs="Palatino Linotype"/>
        </w:rPr>
        <w:t xml:space="preserve">a la solicitud de información </w:t>
      </w:r>
      <w:r w:rsidR="00900FF9" w:rsidRPr="001C0F0A">
        <w:rPr>
          <w:rFonts w:ascii="Palatino Linotype" w:eastAsia="Palatino Linotype" w:hAnsi="Palatino Linotype" w:cs="Palatino Linotype"/>
          <w:b/>
        </w:rPr>
        <w:t>00310</w:t>
      </w:r>
      <w:r w:rsidRPr="001C0F0A">
        <w:rPr>
          <w:rFonts w:ascii="Palatino Linotype" w:eastAsia="Palatino Linotype" w:hAnsi="Palatino Linotype" w:cs="Palatino Linotype"/>
          <w:b/>
        </w:rPr>
        <w:t>/</w:t>
      </w:r>
      <w:r w:rsidR="00900FF9" w:rsidRPr="001C0F0A">
        <w:rPr>
          <w:rFonts w:ascii="Palatino Linotype" w:eastAsia="Palatino Linotype" w:hAnsi="Palatino Linotype" w:cs="Palatino Linotype"/>
          <w:b/>
        </w:rPr>
        <w:t>GUBERNA</w:t>
      </w:r>
      <w:r w:rsidRPr="001C0F0A">
        <w:rPr>
          <w:rFonts w:ascii="Palatino Linotype" w:eastAsia="Palatino Linotype" w:hAnsi="Palatino Linotype" w:cs="Palatino Linotype"/>
          <w:b/>
        </w:rPr>
        <w:t>/IP/2023.</w:t>
      </w:r>
      <w:r w:rsidRPr="001C0F0A">
        <w:rPr>
          <w:rFonts w:ascii="Palatino Linotype" w:eastAsia="Palatino Linotype" w:hAnsi="Palatino Linotype" w:cs="Palatino Linotype"/>
        </w:rPr>
        <w:t xml:space="preserve">  </w:t>
      </w:r>
    </w:p>
    <w:p w14:paraId="473516B2" w14:textId="77777777" w:rsidR="00E9138E" w:rsidRPr="001C0F0A" w:rsidRDefault="00E9138E" w:rsidP="00E9138E">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 xml:space="preserve"> </w:t>
      </w:r>
    </w:p>
    <w:p w14:paraId="49F182D0" w14:textId="730FFB6C" w:rsidR="00900FF9" w:rsidRPr="001C0F0A" w:rsidRDefault="00E9138E">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bookmarkStart w:id="1" w:name="_heading=h.1fob9te" w:colFirst="0" w:colLast="0"/>
      <w:bookmarkEnd w:id="1"/>
      <w:r w:rsidR="00900FF9" w:rsidRPr="001C0F0A">
        <w:rPr>
          <w:rFonts w:ascii="Palatino Linotype" w:eastAsia="Palatino Linotype" w:hAnsi="Palatino Linotype" w:cs="Palatino Linotype"/>
        </w:rPr>
        <w:t>:</w:t>
      </w:r>
    </w:p>
    <w:p w14:paraId="51342FF7" w14:textId="77777777" w:rsidR="00900FF9" w:rsidRPr="001C0F0A" w:rsidRDefault="00900FF9">
      <w:pPr>
        <w:spacing w:after="0" w:line="360" w:lineRule="auto"/>
        <w:ind w:right="49"/>
        <w:jc w:val="both"/>
        <w:rPr>
          <w:rFonts w:ascii="Palatino Linotype" w:eastAsia="Palatino Linotype" w:hAnsi="Palatino Linotype" w:cs="Palatino Linotype"/>
        </w:rPr>
      </w:pPr>
    </w:p>
    <w:p w14:paraId="6BD596A8" w14:textId="77777777" w:rsidR="00DE32F1" w:rsidRPr="001C0F0A" w:rsidRDefault="001B31D0">
      <w:pPr>
        <w:spacing w:after="0" w:line="360" w:lineRule="auto"/>
        <w:ind w:left="360"/>
        <w:jc w:val="center"/>
        <w:rPr>
          <w:rFonts w:ascii="Palatino Linotype" w:eastAsia="Palatino Linotype" w:hAnsi="Palatino Linotype" w:cs="Palatino Linotype"/>
          <w:b/>
        </w:rPr>
      </w:pPr>
      <w:r w:rsidRPr="001C0F0A">
        <w:rPr>
          <w:rFonts w:ascii="Palatino Linotype" w:eastAsia="Palatino Linotype" w:hAnsi="Palatino Linotype" w:cs="Palatino Linotype"/>
          <w:b/>
        </w:rPr>
        <w:t>III. R E S U E L V E:</w:t>
      </w:r>
    </w:p>
    <w:p w14:paraId="7C0193A1" w14:textId="77777777" w:rsidR="00DE32F1" w:rsidRPr="001C0F0A" w:rsidRDefault="00DE32F1">
      <w:pPr>
        <w:spacing w:after="0" w:line="360" w:lineRule="auto"/>
        <w:ind w:left="360"/>
        <w:jc w:val="center"/>
        <w:rPr>
          <w:rFonts w:ascii="Palatino Linotype" w:eastAsia="Palatino Linotype" w:hAnsi="Palatino Linotype" w:cs="Palatino Linotype"/>
          <w:b/>
        </w:rPr>
      </w:pPr>
    </w:p>
    <w:p w14:paraId="63897734" w14:textId="6D7A15FB"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Primero.</w:t>
      </w:r>
      <w:r w:rsidRPr="001C0F0A">
        <w:rPr>
          <w:rFonts w:ascii="Palatino Linotype" w:eastAsia="Palatino Linotype" w:hAnsi="Palatino Linotype" w:cs="Palatino Linotype"/>
        </w:rPr>
        <w:t xml:space="preserve"> Resultan</w:t>
      </w:r>
      <w:r w:rsidRPr="001C0F0A">
        <w:rPr>
          <w:rFonts w:ascii="Palatino Linotype" w:eastAsia="Palatino Linotype" w:hAnsi="Palatino Linotype" w:cs="Palatino Linotype"/>
          <w:b/>
        </w:rPr>
        <w:t xml:space="preserve"> FUNDADOS</w:t>
      </w:r>
      <w:r w:rsidRPr="001C0F0A">
        <w:rPr>
          <w:rFonts w:ascii="Palatino Linotype" w:eastAsia="Palatino Linotype" w:hAnsi="Palatino Linotype" w:cs="Palatino Linotype"/>
        </w:rPr>
        <w:t xml:space="preserve"> los motivos de inconformidad hechos valer por la parte </w:t>
      </w:r>
      <w:r w:rsidRPr="001C0F0A">
        <w:rPr>
          <w:rFonts w:ascii="Palatino Linotype" w:eastAsia="Palatino Linotype" w:hAnsi="Palatino Linotype" w:cs="Palatino Linotype"/>
          <w:b/>
        </w:rPr>
        <w:t>RECURRENTE</w:t>
      </w:r>
      <w:r w:rsidRPr="001C0F0A">
        <w:rPr>
          <w:rFonts w:ascii="Palatino Linotype" w:eastAsia="Palatino Linotype" w:hAnsi="Palatino Linotype" w:cs="Palatino Linotype"/>
        </w:rPr>
        <w:t xml:space="preserve"> en el Recurso de Revisión </w:t>
      </w:r>
      <w:r w:rsidR="00900FF9" w:rsidRPr="001C0F0A">
        <w:rPr>
          <w:rFonts w:ascii="Palatino Linotype" w:eastAsia="Palatino Linotype" w:hAnsi="Palatino Linotype" w:cs="Palatino Linotype"/>
          <w:b/>
        </w:rPr>
        <w:t>08364</w:t>
      </w:r>
      <w:r w:rsidRPr="001C0F0A">
        <w:rPr>
          <w:rFonts w:ascii="Palatino Linotype" w:eastAsia="Palatino Linotype" w:hAnsi="Palatino Linotype" w:cs="Palatino Linotype"/>
          <w:b/>
        </w:rPr>
        <w:t>/INFOEM/IP/RR/2023</w:t>
      </w:r>
      <w:r w:rsidRPr="001C0F0A">
        <w:rPr>
          <w:rFonts w:ascii="Palatino Linotype" w:eastAsia="Palatino Linotype" w:hAnsi="Palatino Linotype" w:cs="Palatino Linotype"/>
        </w:rPr>
        <w:t xml:space="preserve">, por lo que, en términos del </w:t>
      </w:r>
      <w:r w:rsidRPr="001C0F0A">
        <w:rPr>
          <w:rFonts w:ascii="Palatino Linotype" w:eastAsia="Palatino Linotype" w:hAnsi="Palatino Linotype" w:cs="Palatino Linotype"/>
          <w:b/>
        </w:rPr>
        <w:t>Considerando Cuarto</w:t>
      </w:r>
      <w:r w:rsidRPr="001C0F0A">
        <w:rPr>
          <w:rFonts w:ascii="Palatino Linotype" w:eastAsia="Palatino Linotype" w:hAnsi="Palatino Linotype" w:cs="Palatino Linotype"/>
        </w:rPr>
        <w:t xml:space="preserve"> de esta resolución, se </w:t>
      </w:r>
      <w:r w:rsidRPr="001C0F0A">
        <w:rPr>
          <w:rFonts w:ascii="Palatino Linotype" w:eastAsia="Palatino Linotype" w:hAnsi="Palatino Linotype" w:cs="Palatino Linotype"/>
          <w:b/>
        </w:rPr>
        <w:t xml:space="preserve">REVOCA </w:t>
      </w:r>
      <w:r w:rsidRPr="001C0F0A">
        <w:rPr>
          <w:rFonts w:ascii="Palatino Linotype" w:eastAsia="Palatino Linotype" w:hAnsi="Palatino Linotype" w:cs="Palatino Linotype"/>
        </w:rPr>
        <w:t xml:space="preserve">la respuesta emitida por el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w:t>
      </w:r>
    </w:p>
    <w:p w14:paraId="2BAEFF80"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38CA3C5" w14:textId="2C7277F4"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lastRenderedPageBreak/>
        <w:t>Segundo</w:t>
      </w:r>
      <w:r w:rsidRPr="001C0F0A">
        <w:rPr>
          <w:rFonts w:ascii="Palatino Linotype" w:eastAsia="Palatino Linotype" w:hAnsi="Palatino Linotype" w:cs="Palatino Linotype"/>
        </w:rPr>
        <w:t xml:space="preserve">. Se </w:t>
      </w:r>
      <w:r w:rsidRPr="001C0F0A">
        <w:rPr>
          <w:rFonts w:ascii="Palatino Linotype" w:eastAsia="Palatino Linotype" w:hAnsi="Palatino Linotype" w:cs="Palatino Linotype"/>
          <w:b/>
        </w:rPr>
        <w:t>ORDENA</w:t>
      </w:r>
      <w:r w:rsidRPr="001C0F0A">
        <w:rPr>
          <w:rFonts w:ascii="Palatino Linotype" w:eastAsia="Palatino Linotype" w:hAnsi="Palatino Linotype" w:cs="Palatino Linotype"/>
        </w:rPr>
        <w:t xml:space="preserve"> al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 xml:space="preserve"> a que, en términos del Considerando Cuarto y Quinto, haga entrega,</w:t>
      </w:r>
      <w:r w:rsidR="00E9138E" w:rsidRPr="001C0F0A">
        <w:rPr>
          <w:rFonts w:ascii="Palatino Linotype" w:eastAsia="Palatino Linotype" w:hAnsi="Palatino Linotype" w:cs="Palatino Linotype"/>
        </w:rPr>
        <w:t xml:space="preserve"> </w:t>
      </w:r>
      <w:r w:rsidR="00900FF9" w:rsidRPr="001C0F0A">
        <w:rPr>
          <w:rFonts w:ascii="Palatino Linotype" w:eastAsia="Palatino Linotype" w:hAnsi="Palatino Linotype" w:cs="Palatino Linotype"/>
        </w:rPr>
        <w:t xml:space="preserve">previa búsqueda exhaustiva y razonable, </w:t>
      </w:r>
      <w:r w:rsidR="00E9138E" w:rsidRPr="001C0F0A">
        <w:rPr>
          <w:rFonts w:ascii="Palatino Linotype" w:eastAsia="Palatino Linotype" w:hAnsi="Palatino Linotype" w:cs="Palatino Linotype"/>
        </w:rPr>
        <w:t xml:space="preserve">vía Sistema de Acceso a la Información Mexiquense, </w:t>
      </w:r>
      <w:r w:rsidR="00900FF9" w:rsidRPr="001C0F0A">
        <w:rPr>
          <w:rFonts w:ascii="Palatino Linotype" w:eastAsia="Palatino Linotype" w:hAnsi="Palatino Linotype" w:cs="Palatino Linotype"/>
        </w:rPr>
        <w:t xml:space="preserve">de ser el caso, </w:t>
      </w:r>
      <w:r w:rsidR="00E9138E" w:rsidRPr="001C0F0A">
        <w:rPr>
          <w:rFonts w:ascii="Palatino Linotype" w:eastAsia="Palatino Linotype" w:hAnsi="Palatino Linotype" w:cs="Palatino Linotype"/>
        </w:rPr>
        <w:t>en versión pública,</w:t>
      </w:r>
      <w:r w:rsidRPr="001C0F0A">
        <w:rPr>
          <w:rFonts w:ascii="Palatino Linotype" w:eastAsia="Palatino Linotype" w:hAnsi="Palatino Linotype" w:cs="Palatino Linotype"/>
        </w:rPr>
        <w:t xml:space="preserve"> de lo siguiente:</w:t>
      </w:r>
    </w:p>
    <w:p w14:paraId="7573A756" w14:textId="77777777" w:rsidR="00DE32F1" w:rsidRPr="001C0F0A" w:rsidRDefault="00DE32F1">
      <w:pPr>
        <w:spacing w:after="0" w:line="360" w:lineRule="auto"/>
        <w:ind w:right="49"/>
        <w:jc w:val="both"/>
        <w:rPr>
          <w:rFonts w:ascii="Palatino Linotype" w:eastAsia="Palatino Linotype" w:hAnsi="Palatino Linotype" w:cs="Palatino Linotype"/>
        </w:rPr>
      </w:pPr>
    </w:p>
    <w:p w14:paraId="076083B9" w14:textId="77777777" w:rsidR="00900FF9" w:rsidRPr="001C0F0A" w:rsidRDefault="00900FF9" w:rsidP="00900FF9">
      <w:pPr>
        <w:pStyle w:val="Prrafodelista"/>
        <w:numPr>
          <w:ilvl w:val="0"/>
          <w:numId w:val="8"/>
        </w:numPr>
        <w:tabs>
          <w:tab w:val="left" w:pos="851"/>
        </w:tabs>
        <w:spacing w:after="0" w:line="360" w:lineRule="auto"/>
        <w:ind w:left="567" w:right="560" w:firstLine="0"/>
        <w:jc w:val="both"/>
        <w:rPr>
          <w:rFonts w:ascii="Palatino Linotype" w:eastAsia="Palatino Linotype" w:hAnsi="Palatino Linotype" w:cs="Palatino Linotype"/>
          <w:b/>
        </w:rPr>
      </w:pPr>
      <w:r w:rsidRPr="001C0F0A">
        <w:rPr>
          <w:rFonts w:ascii="Palatino Linotype" w:eastAsia="Palatino Linotype" w:hAnsi="Palatino Linotype" w:cs="Palatino Linotype"/>
          <w:b/>
        </w:rPr>
        <w:t xml:space="preserve">Oficio del Consejo Indígena del Trueque dirigido al ex Gobernador Alfredo del Mazo Maza del veintiséis de junio de dos mil dieciocho, así como, toda la documentación que de este se haya generado, al diez de noviembre de dos mil veintitrés. </w:t>
      </w:r>
    </w:p>
    <w:p w14:paraId="1CAA0E53" w14:textId="77777777" w:rsidR="00900FF9" w:rsidRPr="001C0F0A" w:rsidRDefault="00900FF9" w:rsidP="00900FF9">
      <w:pPr>
        <w:pStyle w:val="Prrafodelista"/>
        <w:spacing w:after="0" w:line="360" w:lineRule="auto"/>
        <w:jc w:val="both"/>
        <w:rPr>
          <w:rFonts w:ascii="Palatino Linotype" w:eastAsia="Palatino Linotype" w:hAnsi="Palatino Linotype" w:cs="Palatino Linotype"/>
          <w:b/>
        </w:rPr>
      </w:pPr>
    </w:p>
    <w:p w14:paraId="42F44FE2" w14:textId="681F08C4" w:rsidR="00900FF9" w:rsidRPr="001C0F0A" w:rsidRDefault="00900FF9" w:rsidP="00900FF9">
      <w:pPr>
        <w:spacing w:after="0"/>
        <w:ind w:left="567" w:right="615"/>
        <w:jc w:val="both"/>
        <w:rPr>
          <w:rFonts w:ascii="Palatino Linotype" w:eastAsia="Palatino Linotype" w:hAnsi="Palatino Linotype" w:cs="Palatino Linotype"/>
          <w:i/>
        </w:rPr>
      </w:pPr>
      <w:r w:rsidRPr="001C0F0A">
        <w:rPr>
          <w:rFonts w:ascii="Palatino Linotype" w:eastAsia="Palatino Linotype" w:hAnsi="Palatino Linotype" w:cs="Palatino Linotype"/>
          <w:i/>
        </w:rPr>
        <w:t>Además,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9A02804" w14:textId="602BC8A4" w:rsidR="00104B0D" w:rsidRPr="001C0F0A" w:rsidRDefault="00104B0D" w:rsidP="00900FF9">
      <w:pPr>
        <w:spacing w:after="0"/>
        <w:ind w:left="567" w:right="615"/>
        <w:jc w:val="both"/>
        <w:rPr>
          <w:rFonts w:ascii="Palatino Linotype" w:eastAsia="Palatino Linotype" w:hAnsi="Palatino Linotype" w:cs="Palatino Linotype"/>
          <w:i/>
        </w:rPr>
      </w:pPr>
    </w:p>
    <w:p w14:paraId="12AEE547" w14:textId="48B3FB75" w:rsidR="00F67F0B" w:rsidRPr="001C0F0A" w:rsidRDefault="00F67F0B" w:rsidP="00F67F0B">
      <w:pPr>
        <w:pBdr>
          <w:top w:val="nil"/>
          <w:left w:val="nil"/>
          <w:bottom w:val="nil"/>
          <w:right w:val="nil"/>
          <w:between w:val="nil"/>
        </w:pBdr>
        <w:tabs>
          <w:tab w:val="left" w:pos="993"/>
        </w:tabs>
        <w:spacing w:after="0"/>
        <w:ind w:left="567" w:right="616"/>
        <w:jc w:val="both"/>
        <w:rPr>
          <w:rFonts w:ascii="Palatino Linotype" w:eastAsia="Palatino Linotype" w:hAnsi="Palatino Linotype" w:cs="Palatino Linotype"/>
          <w:i/>
        </w:rPr>
      </w:pPr>
      <w:r w:rsidRPr="001C0F0A">
        <w:rPr>
          <w:rFonts w:ascii="Palatino Linotype" w:eastAsia="Palatino Linotype" w:hAnsi="Palatino Linotype" w:cs="Palatino Linotype"/>
          <w:i/>
        </w:rPr>
        <w:t xml:space="preserve">En el supuesto de que el Sujeto Obligado no cuente la información que se determina ordenar porque no haya recibido el oficio, bastará con que así lo haga del conocimiento de la parte Recurrente, de manera clara y precisa, en términos del artículo 19, párrafo segundo de la Ley de Transparencia y Acceso a la Información pública del Estado de México y Municipios para tener por colmado el requerimiento de información. </w:t>
      </w:r>
    </w:p>
    <w:p w14:paraId="11C9AD0A" w14:textId="77777777" w:rsidR="00E9138E" w:rsidRPr="001C0F0A" w:rsidRDefault="00E9138E" w:rsidP="00E9138E">
      <w:pPr>
        <w:spacing w:after="0" w:line="360" w:lineRule="auto"/>
        <w:ind w:left="567" w:right="615"/>
        <w:jc w:val="both"/>
        <w:rPr>
          <w:rFonts w:ascii="Palatino Linotype" w:eastAsia="Palatino Linotype" w:hAnsi="Palatino Linotype" w:cs="Palatino Linotype"/>
          <w:i/>
        </w:rPr>
      </w:pPr>
    </w:p>
    <w:p w14:paraId="0100157B" w14:textId="77777777"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b/>
        </w:rPr>
        <w:t>Tercero.</w:t>
      </w:r>
      <w:r w:rsidRPr="001C0F0A">
        <w:rPr>
          <w:rFonts w:ascii="Palatino Linotype" w:eastAsia="Palatino Linotype" w:hAnsi="Palatino Linotype" w:cs="Palatino Linotype"/>
        </w:rPr>
        <w:t xml:space="preserve"> </w:t>
      </w:r>
      <w:r w:rsidRPr="001C0F0A">
        <w:rPr>
          <w:rFonts w:ascii="Palatino Linotype" w:eastAsia="Palatino Linotype" w:hAnsi="Palatino Linotype" w:cs="Palatino Linotype"/>
          <w:b/>
        </w:rPr>
        <w:t xml:space="preserve">Notifíquese </w:t>
      </w:r>
      <w:r w:rsidRPr="001C0F0A">
        <w:rPr>
          <w:rFonts w:ascii="Palatino Linotype" w:eastAsia="Palatino Linotype" w:hAnsi="Palatino Linotype" w:cs="Palatino Linotype"/>
        </w:rPr>
        <w:t>la presente resolución al T</w:t>
      </w:r>
      <w:r w:rsidRPr="001C0F0A">
        <w:rPr>
          <w:rFonts w:ascii="Palatino Linotype" w:eastAsia="Palatino Linotype" w:hAnsi="Palatino Linotype" w:cs="Palatino Linotype"/>
          <w:b/>
        </w:rPr>
        <w:t xml:space="preserve">itular de la Unidad de Transparencia </w:t>
      </w:r>
      <w:r w:rsidRPr="001C0F0A">
        <w:rPr>
          <w:rFonts w:ascii="Palatino Linotype" w:eastAsia="Palatino Linotype" w:hAnsi="Palatino Linotype" w:cs="Palatino Linotype"/>
        </w:rPr>
        <w:t xml:space="preserve">del </w:t>
      </w:r>
      <w:r w:rsidRPr="001C0F0A">
        <w:rPr>
          <w:rFonts w:ascii="Palatino Linotype" w:eastAsia="Palatino Linotype" w:hAnsi="Palatino Linotype" w:cs="Palatino Linotype"/>
          <w:b/>
        </w:rPr>
        <w:t>SUJETO OBLIGADO</w:t>
      </w:r>
      <w:r w:rsidRPr="001C0F0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44AFAD" w14:textId="77777777" w:rsidR="00DE32F1" w:rsidRPr="001C0F0A" w:rsidRDefault="00DE32F1">
      <w:pPr>
        <w:spacing w:after="0" w:line="360" w:lineRule="auto"/>
        <w:ind w:right="49"/>
        <w:jc w:val="both"/>
        <w:rPr>
          <w:rFonts w:ascii="Palatino Linotype" w:eastAsia="Palatino Linotype" w:hAnsi="Palatino Linotype" w:cs="Palatino Linotype"/>
        </w:rPr>
      </w:pPr>
    </w:p>
    <w:p w14:paraId="15146F32" w14:textId="77777777" w:rsidR="001B31D0" w:rsidRPr="001C0F0A" w:rsidRDefault="001B31D0" w:rsidP="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FA8D08" w14:textId="77777777" w:rsidR="001B31D0" w:rsidRPr="001C0F0A" w:rsidRDefault="001B31D0" w:rsidP="001B31D0">
      <w:pPr>
        <w:spacing w:after="0" w:line="360" w:lineRule="auto"/>
        <w:ind w:right="49"/>
        <w:jc w:val="both"/>
        <w:rPr>
          <w:rFonts w:ascii="Palatino Linotype" w:eastAsia="Palatino Linotype" w:hAnsi="Palatino Linotype" w:cs="Palatino Linotype"/>
        </w:rPr>
      </w:pPr>
    </w:p>
    <w:p w14:paraId="66014AC3" w14:textId="21990BA5" w:rsidR="00DE32F1" w:rsidRPr="001C0F0A" w:rsidRDefault="001B31D0">
      <w:pPr>
        <w:spacing w:after="0" w:line="360" w:lineRule="auto"/>
        <w:jc w:val="both"/>
        <w:rPr>
          <w:rFonts w:ascii="Palatino Linotype" w:eastAsia="Palatino Linotype" w:hAnsi="Palatino Linotype" w:cs="Palatino Linotype"/>
        </w:rPr>
      </w:pPr>
      <w:r w:rsidRPr="001C0F0A">
        <w:rPr>
          <w:rFonts w:ascii="Palatino Linotype" w:eastAsia="Palatino Linotype" w:hAnsi="Palatino Linotype" w:cs="Palatino Linotype"/>
          <w:b/>
        </w:rPr>
        <w:t>Cuarto. Notifíquese</w:t>
      </w:r>
      <w:r w:rsidRPr="001C0F0A">
        <w:rPr>
          <w:rFonts w:ascii="Palatino Linotype" w:eastAsia="Palatino Linotype" w:hAnsi="Palatino Linotype" w:cs="Palatino Linotype"/>
        </w:rPr>
        <w:t>,</w:t>
      </w:r>
      <w:r w:rsidRPr="001C0F0A">
        <w:rPr>
          <w:rFonts w:ascii="Palatino Linotype" w:eastAsia="Palatino Linotype" w:hAnsi="Palatino Linotype" w:cs="Palatino Linotype"/>
          <w:b/>
        </w:rPr>
        <w:t xml:space="preserve"> </w:t>
      </w:r>
      <w:r w:rsidRPr="001C0F0A">
        <w:rPr>
          <w:rFonts w:ascii="Palatino Linotype" w:eastAsia="Palatino Linotype" w:hAnsi="Palatino Linotype" w:cs="Palatino Linotype"/>
        </w:rPr>
        <w:t xml:space="preserve">vía </w:t>
      </w:r>
      <w:r w:rsidRPr="001C0F0A">
        <w:rPr>
          <w:rFonts w:ascii="Palatino Linotype" w:eastAsia="Palatino Linotype" w:hAnsi="Palatino Linotype" w:cs="Palatino Linotype"/>
          <w:b/>
        </w:rPr>
        <w:t>SAIMEX</w:t>
      </w:r>
      <w:r w:rsidRPr="001C0F0A">
        <w:rPr>
          <w:rFonts w:ascii="Palatino Linotype" w:eastAsia="Palatino Linotype" w:hAnsi="Palatino Linotype" w:cs="Palatino Linotype"/>
        </w:rPr>
        <w:t xml:space="preserve">, a la parte </w:t>
      </w:r>
      <w:r w:rsidRPr="001C0F0A">
        <w:rPr>
          <w:rFonts w:ascii="Palatino Linotype" w:eastAsia="Palatino Linotype" w:hAnsi="Palatino Linotype" w:cs="Palatino Linotype"/>
          <w:b/>
        </w:rPr>
        <w:t xml:space="preserve">Recurrente </w:t>
      </w:r>
      <w:r w:rsidRPr="001C0F0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r w:rsidR="00900FF9" w:rsidRPr="001C0F0A">
        <w:rPr>
          <w:rFonts w:ascii="Palatino Linotype" w:eastAsia="Palatino Linotype" w:hAnsi="Palatino Linotype" w:cs="Palatino Linotype"/>
        </w:rPr>
        <w:t xml:space="preserve">. </w:t>
      </w:r>
    </w:p>
    <w:p w14:paraId="5A9E1964" w14:textId="77777777" w:rsidR="00DE32F1" w:rsidRPr="001C0F0A" w:rsidRDefault="00DE32F1">
      <w:pPr>
        <w:spacing w:after="0" w:line="360" w:lineRule="auto"/>
        <w:ind w:right="49"/>
        <w:jc w:val="both"/>
        <w:rPr>
          <w:rFonts w:ascii="Palatino Linotype" w:eastAsia="Palatino Linotype" w:hAnsi="Palatino Linotype" w:cs="Palatino Linotype"/>
        </w:rPr>
      </w:pPr>
    </w:p>
    <w:p w14:paraId="7E410982" w14:textId="7C832B6C" w:rsidR="00DE32F1" w:rsidRPr="001C0F0A" w:rsidRDefault="001B31D0">
      <w:pPr>
        <w:spacing w:after="0" w:line="360" w:lineRule="auto"/>
        <w:ind w:right="49"/>
        <w:jc w:val="both"/>
        <w:rPr>
          <w:rFonts w:ascii="Palatino Linotype" w:eastAsia="Palatino Linotype" w:hAnsi="Palatino Linotype" w:cs="Palatino Linotype"/>
        </w:rPr>
      </w:pPr>
      <w:r w:rsidRPr="001C0F0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C0F0A" w:rsidRPr="001C0F0A">
        <w:rPr>
          <w:rFonts w:ascii="Palatino Linotype" w:eastAsia="Palatino Linotype" w:hAnsi="Palatino Linotype" w:cs="Palatino Linotype"/>
        </w:rPr>
        <w:t xml:space="preserve"> (CON AUSENCIA JUSTIFICADA),</w:t>
      </w:r>
      <w:r w:rsidRPr="001C0F0A">
        <w:rPr>
          <w:rFonts w:ascii="Palatino Linotype" w:eastAsia="Palatino Linotype" w:hAnsi="Palatino Linotype" w:cs="Palatino Linotype"/>
        </w:rPr>
        <w:t xml:space="preserve"> LUIS GUSTAVO PARRA NORIEGA </w:t>
      </w:r>
      <w:r w:rsidR="00F67F0B" w:rsidRPr="001C0F0A">
        <w:rPr>
          <w:rFonts w:ascii="Palatino Linotype" w:eastAsia="Palatino Linotype" w:hAnsi="Palatino Linotype" w:cs="Palatino Linotype"/>
        </w:rPr>
        <w:t xml:space="preserve">Y GUADALUPE RAMÍREZ PEÑA; EN LA DECIMA SEXTA SESIÓN ORDINARIA CELEBRADA EL NUEVE DE MAYO </w:t>
      </w:r>
      <w:r w:rsidRPr="001C0F0A">
        <w:rPr>
          <w:rFonts w:ascii="Palatino Linotype" w:eastAsia="Palatino Linotype" w:hAnsi="Palatino Linotype" w:cs="Palatino Linotype"/>
        </w:rPr>
        <w:t xml:space="preserve">DE DOS MIL VEINTICUATRO, ANTE EL SECRETARIO TÉCNICO DEL PLENO ALEXIS TAPIA RAMÍREZ. </w:t>
      </w:r>
    </w:p>
    <w:p w14:paraId="47E2D09E" w14:textId="636A05ED" w:rsidR="001C0F0A" w:rsidRPr="001C0F0A" w:rsidRDefault="001C0F0A">
      <w:pPr>
        <w:spacing w:after="0" w:line="360" w:lineRule="auto"/>
        <w:ind w:right="49"/>
        <w:jc w:val="both"/>
        <w:rPr>
          <w:rFonts w:ascii="Palatino Linotype" w:eastAsia="Palatino Linotype" w:hAnsi="Palatino Linotype" w:cs="Palatino Linotype"/>
        </w:rPr>
      </w:pPr>
    </w:p>
    <w:p w14:paraId="75724EB4" w14:textId="3D424807" w:rsidR="001C0F0A" w:rsidRPr="001C0F0A" w:rsidRDefault="001C0F0A">
      <w:pPr>
        <w:spacing w:after="0" w:line="360" w:lineRule="auto"/>
        <w:ind w:right="49"/>
        <w:jc w:val="both"/>
        <w:rPr>
          <w:rFonts w:ascii="Palatino Linotype" w:eastAsia="Palatino Linotype" w:hAnsi="Palatino Linotype" w:cs="Palatino Linotype"/>
        </w:rPr>
      </w:pPr>
    </w:p>
    <w:p w14:paraId="32D1F91A" w14:textId="3C4E3C01" w:rsidR="001C0F0A" w:rsidRPr="001C0F0A" w:rsidRDefault="001C0F0A">
      <w:pPr>
        <w:spacing w:after="0" w:line="360" w:lineRule="auto"/>
        <w:ind w:right="49"/>
        <w:jc w:val="both"/>
        <w:rPr>
          <w:rFonts w:ascii="Palatino Linotype" w:eastAsia="Palatino Linotype" w:hAnsi="Palatino Linotype" w:cs="Palatino Linotype"/>
        </w:rPr>
      </w:pPr>
    </w:p>
    <w:p w14:paraId="2060B8E0" w14:textId="39A119EE" w:rsidR="001C0F0A" w:rsidRPr="001C0F0A" w:rsidRDefault="001C0F0A">
      <w:pPr>
        <w:spacing w:after="0" w:line="360" w:lineRule="auto"/>
        <w:ind w:right="49"/>
        <w:jc w:val="both"/>
        <w:rPr>
          <w:rFonts w:ascii="Palatino Linotype" w:eastAsia="Palatino Linotype" w:hAnsi="Palatino Linotype" w:cs="Palatino Linotype"/>
        </w:rPr>
      </w:pPr>
    </w:p>
    <w:p w14:paraId="746C8DE8" w14:textId="038D044E" w:rsidR="001C0F0A" w:rsidRPr="001C0F0A" w:rsidRDefault="001C0F0A">
      <w:pPr>
        <w:spacing w:after="0" w:line="360" w:lineRule="auto"/>
        <w:ind w:right="49"/>
        <w:jc w:val="both"/>
        <w:rPr>
          <w:rFonts w:ascii="Palatino Linotype" w:eastAsia="Palatino Linotype" w:hAnsi="Palatino Linotype" w:cs="Palatino Linotype"/>
        </w:rPr>
      </w:pPr>
    </w:p>
    <w:p w14:paraId="53EAE419" w14:textId="753D8306" w:rsidR="001C0F0A" w:rsidRPr="001C0F0A" w:rsidRDefault="001C0F0A">
      <w:pPr>
        <w:spacing w:after="0" w:line="360" w:lineRule="auto"/>
        <w:ind w:right="49"/>
        <w:jc w:val="both"/>
        <w:rPr>
          <w:rFonts w:ascii="Palatino Linotype" w:eastAsia="Palatino Linotype" w:hAnsi="Palatino Linotype" w:cs="Palatino Linotype"/>
        </w:rPr>
      </w:pPr>
    </w:p>
    <w:p w14:paraId="53D86541" w14:textId="2FB153FE" w:rsidR="001C0F0A" w:rsidRPr="001C0F0A" w:rsidRDefault="001C0F0A">
      <w:pPr>
        <w:spacing w:after="0" w:line="360" w:lineRule="auto"/>
        <w:ind w:right="49"/>
        <w:jc w:val="both"/>
        <w:rPr>
          <w:rFonts w:ascii="Palatino Linotype" w:eastAsia="Palatino Linotype" w:hAnsi="Palatino Linotype" w:cs="Palatino Linotype"/>
        </w:rPr>
      </w:pPr>
    </w:p>
    <w:p w14:paraId="40F007E6" w14:textId="536BC71D" w:rsidR="001C0F0A" w:rsidRPr="001C0F0A" w:rsidRDefault="001C0F0A">
      <w:pPr>
        <w:spacing w:after="0" w:line="360" w:lineRule="auto"/>
        <w:ind w:right="49"/>
        <w:jc w:val="both"/>
        <w:rPr>
          <w:rFonts w:ascii="Palatino Linotype" w:eastAsia="Palatino Linotype" w:hAnsi="Palatino Linotype" w:cs="Palatino Linotype"/>
        </w:rPr>
      </w:pPr>
    </w:p>
    <w:p w14:paraId="68C28517" w14:textId="77777777" w:rsidR="001C0F0A" w:rsidRPr="001C0F0A" w:rsidRDefault="001C0F0A">
      <w:pPr>
        <w:spacing w:after="0" w:line="360" w:lineRule="auto"/>
        <w:ind w:right="49"/>
        <w:jc w:val="both"/>
        <w:rPr>
          <w:rFonts w:ascii="Palatino Linotype" w:eastAsia="Palatino Linotype" w:hAnsi="Palatino Linotype" w:cs="Palatino Linotype"/>
        </w:rPr>
      </w:pPr>
    </w:p>
    <w:sectPr w:rsidR="001C0F0A" w:rsidRPr="001C0F0A">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0BCF" w14:textId="77777777" w:rsidR="00783C21" w:rsidRDefault="00783C21">
      <w:pPr>
        <w:spacing w:after="0" w:line="240" w:lineRule="auto"/>
      </w:pPr>
      <w:r>
        <w:separator/>
      </w:r>
    </w:p>
  </w:endnote>
  <w:endnote w:type="continuationSeparator" w:id="0">
    <w:p w14:paraId="17CC0C00" w14:textId="77777777" w:rsidR="00783C21" w:rsidRDefault="0078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A26C" w14:textId="77777777" w:rsidR="009815E2" w:rsidRDefault="009815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B2EF4">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B2EF4">
      <w:rPr>
        <w:b/>
        <w:noProof/>
        <w:color w:val="000000"/>
        <w:sz w:val="24"/>
        <w:szCs w:val="24"/>
      </w:rPr>
      <w:t>27</w:t>
    </w:r>
    <w:r>
      <w:rPr>
        <w:b/>
        <w:color w:val="000000"/>
        <w:sz w:val="24"/>
        <w:szCs w:val="24"/>
      </w:rPr>
      <w:fldChar w:fldCharType="end"/>
    </w:r>
  </w:p>
  <w:p w14:paraId="5BF0C1BB" w14:textId="77777777" w:rsidR="009815E2" w:rsidRDefault="009815E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373E" w14:textId="77777777" w:rsidR="009815E2" w:rsidRDefault="009815E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B2EF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B2EF4">
      <w:rPr>
        <w:b/>
        <w:noProof/>
        <w:color w:val="000000"/>
        <w:sz w:val="24"/>
        <w:szCs w:val="24"/>
      </w:rPr>
      <w:t>27</w:t>
    </w:r>
    <w:r>
      <w:rPr>
        <w:b/>
        <w:color w:val="000000"/>
        <w:sz w:val="24"/>
        <w:szCs w:val="24"/>
      </w:rPr>
      <w:fldChar w:fldCharType="end"/>
    </w:r>
  </w:p>
  <w:p w14:paraId="368D05F6" w14:textId="77777777" w:rsidR="009815E2" w:rsidRDefault="009815E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0376" w14:textId="77777777" w:rsidR="00783C21" w:rsidRDefault="00783C21">
      <w:pPr>
        <w:spacing w:after="0" w:line="240" w:lineRule="auto"/>
      </w:pPr>
      <w:r>
        <w:separator/>
      </w:r>
    </w:p>
  </w:footnote>
  <w:footnote w:type="continuationSeparator" w:id="0">
    <w:p w14:paraId="74082053" w14:textId="77777777" w:rsidR="00783C21" w:rsidRDefault="0078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B4CF" w14:textId="77777777" w:rsidR="009815E2" w:rsidRDefault="009815E2">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F084BAD" wp14:editId="5DE45DC7">
          <wp:simplePos x="0" y="0"/>
          <wp:positionH relativeFrom="column">
            <wp:posOffset>-774065</wp:posOffset>
          </wp:positionH>
          <wp:positionV relativeFrom="paragraph">
            <wp:posOffset>-401955</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03" w:type="dxa"/>
      <w:tblInd w:w="3611" w:type="dxa"/>
      <w:tblLayout w:type="fixed"/>
      <w:tblLook w:val="0400" w:firstRow="0" w:lastRow="0" w:firstColumn="0" w:lastColumn="0" w:noHBand="0" w:noVBand="1"/>
    </w:tblPr>
    <w:tblGrid>
      <w:gridCol w:w="2551"/>
      <w:gridCol w:w="3052"/>
    </w:tblGrid>
    <w:tr w:rsidR="009815E2" w14:paraId="55B8464B" w14:textId="77777777" w:rsidTr="00376470">
      <w:tc>
        <w:tcPr>
          <w:tcW w:w="2551" w:type="dxa"/>
          <w:vAlign w:val="center"/>
        </w:tcPr>
        <w:p w14:paraId="6ED21AF3"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D60CD7F" w14:textId="7758C3C8"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191860">
            <w:rPr>
              <w:rFonts w:ascii="Palatino Linotype" w:eastAsia="Palatino Linotype" w:hAnsi="Palatino Linotype" w:cs="Palatino Linotype"/>
              <w:b/>
              <w:color w:val="000000"/>
            </w:rPr>
            <w:t>8364</w:t>
          </w:r>
          <w:r>
            <w:rPr>
              <w:rFonts w:ascii="Palatino Linotype" w:eastAsia="Palatino Linotype" w:hAnsi="Palatino Linotype" w:cs="Palatino Linotype"/>
              <w:b/>
              <w:color w:val="000000"/>
            </w:rPr>
            <w:t>/INFOEM/IP/RR/202</w:t>
          </w:r>
          <w:r w:rsidR="00191860">
            <w:rPr>
              <w:rFonts w:ascii="Palatino Linotype" w:eastAsia="Palatino Linotype" w:hAnsi="Palatino Linotype" w:cs="Palatino Linotype"/>
              <w:b/>
              <w:color w:val="000000"/>
            </w:rPr>
            <w:t>3</w:t>
          </w:r>
        </w:p>
      </w:tc>
    </w:tr>
    <w:tr w:rsidR="009815E2" w14:paraId="6F48F8F4" w14:textId="77777777" w:rsidTr="00376470">
      <w:trPr>
        <w:trHeight w:val="55"/>
      </w:trPr>
      <w:tc>
        <w:tcPr>
          <w:tcW w:w="2551" w:type="dxa"/>
          <w:vAlign w:val="center"/>
        </w:tcPr>
        <w:p w14:paraId="1D5A6358" w14:textId="438D5230" w:rsidR="009815E2" w:rsidRDefault="009815E2" w:rsidP="007B04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2FA1DA85" w14:textId="1F0CA7C7" w:rsidR="009815E2" w:rsidRDefault="00191860">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Gubernatura</w:t>
          </w:r>
        </w:p>
      </w:tc>
    </w:tr>
    <w:tr w:rsidR="009815E2" w14:paraId="60421AE0" w14:textId="77777777" w:rsidTr="00376470">
      <w:tc>
        <w:tcPr>
          <w:tcW w:w="2551" w:type="dxa"/>
          <w:vAlign w:val="center"/>
        </w:tcPr>
        <w:p w14:paraId="5D83A445"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E41E02F"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30DFF3B" w14:textId="77777777" w:rsidR="009815E2" w:rsidRDefault="009815E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2CC72" w14:textId="77777777" w:rsidR="009815E2" w:rsidRDefault="009815E2">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FD5B0D2" wp14:editId="1C009631">
          <wp:simplePos x="0" y="0"/>
          <wp:positionH relativeFrom="column">
            <wp:posOffset>-665480</wp:posOffset>
          </wp:positionH>
          <wp:positionV relativeFrom="paragraph">
            <wp:posOffset>-250190</wp:posOffset>
          </wp:positionV>
          <wp:extent cx="7809876" cy="10165823"/>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03" w:type="dxa"/>
      <w:tblInd w:w="3611" w:type="dxa"/>
      <w:tblLayout w:type="fixed"/>
      <w:tblLook w:val="0400" w:firstRow="0" w:lastRow="0" w:firstColumn="0" w:lastColumn="0" w:noHBand="0" w:noVBand="1"/>
    </w:tblPr>
    <w:tblGrid>
      <w:gridCol w:w="2551"/>
      <w:gridCol w:w="3052"/>
    </w:tblGrid>
    <w:tr w:rsidR="009815E2" w14:paraId="324AB41A" w14:textId="77777777" w:rsidTr="007B04C3">
      <w:tc>
        <w:tcPr>
          <w:tcW w:w="2551" w:type="dxa"/>
          <w:vAlign w:val="center"/>
        </w:tcPr>
        <w:p w14:paraId="244A18BE"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9A3F715" w14:textId="148F9941" w:rsidR="009815E2" w:rsidRDefault="009815E2" w:rsidP="00F67F0B">
          <w:pPr>
            <w:pBdr>
              <w:top w:val="nil"/>
              <w:left w:val="nil"/>
              <w:bottom w:val="nil"/>
              <w:right w:val="nil"/>
              <w:between w:val="nil"/>
            </w:pBdr>
            <w:tabs>
              <w:tab w:val="center" w:pos="4419"/>
              <w:tab w:val="right" w:pos="8838"/>
            </w:tabs>
            <w:spacing w:after="0" w:line="240" w:lineRule="auto"/>
            <w:ind w:right="27"/>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w:t>
          </w:r>
          <w:r w:rsidR="00191860">
            <w:rPr>
              <w:rFonts w:ascii="Palatino Linotype" w:eastAsia="Palatino Linotype" w:hAnsi="Palatino Linotype" w:cs="Palatino Linotype"/>
              <w:b/>
              <w:color w:val="000000"/>
            </w:rPr>
            <w:t>8364</w:t>
          </w:r>
          <w:r>
            <w:rPr>
              <w:rFonts w:ascii="Palatino Linotype" w:eastAsia="Palatino Linotype" w:hAnsi="Palatino Linotype" w:cs="Palatino Linotype"/>
              <w:b/>
              <w:color w:val="000000"/>
            </w:rPr>
            <w:t>/INFOEM/IP/RR/202</w:t>
          </w:r>
          <w:r w:rsidR="00191860">
            <w:rPr>
              <w:rFonts w:ascii="Palatino Linotype" w:eastAsia="Palatino Linotype" w:hAnsi="Palatino Linotype" w:cs="Palatino Linotype"/>
              <w:b/>
              <w:color w:val="000000"/>
            </w:rPr>
            <w:t>3</w:t>
          </w:r>
        </w:p>
      </w:tc>
    </w:tr>
    <w:tr w:rsidR="009815E2" w14:paraId="6BE1FEB5" w14:textId="77777777" w:rsidTr="007B04C3">
      <w:tc>
        <w:tcPr>
          <w:tcW w:w="2551" w:type="dxa"/>
          <w:vAlign w:val="center"/>
        </w:tcPr>
        <w:p w14:paraId="76EC0A41"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8526463" w14:textId="350ABDA4" w:rsidR="009815E2" w:rsidRDefault="009B6E7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XXXXX XXXXXX </w:t>
          </w:r>
        </w:p>
      </w:tc>
    </w:tr>
    <w:tr w:rsidR="009815E2" w14:paraId="6F1AB093" w14:textId="77777777" w:rsidTr="007B04C3">
      <w:trPr>
        <w:trHeight w:val="55"/>
      </w:trPr>
      <w:tc>
        <w:tcPr>
          <w:tcW w:w="2551" w:type="dxa"/>
          <w:vAlign w:val="center"/>
        </w:tcPr>
        <w:p w14:paraId="57F5504D" w14:textId="77777777" w:rsidR="009815E2" w:rsidRDefault="009815E2" w:rsidP="007B04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9167F33" w14:textId="58FE2170" w:rsidR="009815E2" w:rsidRDefault="00191860">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Gubernatura</w:t>
          </w:r>
        </w:p>
      </w:tc>
    </w:tr>
    <w:tr w:rsidR="009815E2" w14:paraId="32511F53" w14:textId="77777777" w:rsidTr="007B04C3">
      <w:tc>
        <w:tcPr>
          <w:tcW w:w="2551" w:type="dxa"/>
          <w:vAlign w:val="center"/>
        </w:tcPr>
        <w:p w14:paraId="6DF4EAB7"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7DD5D4C" w14:textId="77777777" w:rsidR="009815E2" w:rsidRDefault="009815E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D2B9083" w14:textId="77777777" w:rsidR="00900FF9" w:rsidRDefault="00900FF9">
    <w:pPr>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843"/>
    <w:multiLevelType w:val="multilevel"/>
    <w:tmpl w:val="AFDAE7F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A04F2D"/>
    <w:multiLevelType w:val="multilevel"/>
    <w:tmpl w:val="649AFE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2C7C59"/>
    <w:multiLevelType w:val="hybridMultilevel"/>
    <w:tmpl w:val="5A607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1C53F5"/>
    <w:multiLevelType w:val="multilevel"/>
    <w:tmpl w:val="2D56B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802288D"/>
    <w:multiLevelType w:val="multilevel"/>
    <w:tmpl w:val="BD8AFE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F1"/>
    <w:rsid w:val="000A6770"/>
    <w:rsid w:val="00104B0D"/>
    <w:rsid w:val="001240D9"/>
    <w:rsid w:val="001243FC"/>
    <w:rsid w:val="00191860"/>
    <w:rsid w:val="00191D39"/>
    <w:rsid w:val="001B31D0"/>
    <w:rsid w:val="001C0F0A"/>
    <w:rsid w:val="00272ED8"/>
    <w:rsid w:val="002D7BF5"/>
    <w:rsid w:val="00321C1E"/>
    <w:rsid w:val="00330655"/>
    <w:rsid w:val="003621D4"/>
    <w:rsid w:val="00376470"/>
    <w:rsid w:val="003A4FE9"/>
    <w:rsid w:val="003A50EB"/>
    <w:rsid w:val="004E18E3"/>
    <w:rsid w:val="00524C72"/>
    <w:rsid w:val="00606364"/>
    <w:rsid w:val="0065359E"/>
    <w:rsid w:val="006E3C0D"/>
    <w:rsid w:val="006F5E1A"/>
    <w:rsid w:val="00722B63"/>
    <w:rsid w:val="00783C21"/>
    <w:rsid w:val="007B04C3"/>
    <w:rsid w:val="007B2EF4"/>
    <w:rsid w:val="007D2ABD"/>
    <w:rsid w:val="00900FF9"/>
    <w:rsid w:val="009815E2"/>
    <w:rsid w:val="009A1788"/>
    <w:rsid w:val="009B6E7D"/>
    <w:rsid w:val="00A57E23"/>
    <w:rsid w:val="00A92C91"/>
    <w:rsid w:val="00AA0FA1"/>
    <w:rsid w:val="00BA5505"/>
    <w:rsid w:val="00BD3617"/>
    <w:rsid w:val="00BE0F7A"/>
    <w:rsid w:val="00BF3EF6"/>
    <w:rsid w:val="00CE083C"/>
    <w:rsid w:val="00DE32F1"/>
    <w:rsid w:val="00E426A7"/>
    <w:rsid w:val="00E70B44"/>
    <w:rsid w:val="00E9138E"/>
    <w:rsid w:val="00F15A42"/>
    <w:rsid w:val="00F304E6"/>
    <w:rsid w:val="00F67F0B"/>
    <w:rsid w:val="00FD156B"/>
    <w:rsid w:val="00FF3C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91257"/>
  <w15:docId w15:val="{3E071236-2999-4349-997D-80EE93A5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5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15" w:type="dxa"/>
        <w:left w:w="15" w:type="dxa"/>
        <w:bottom w:w="15" w:type="dxa"/>
        <w:right w:w="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top w:w="15" w:type="dxa"/>
        <w:left w:w="115" w:type="dxa"/>
        <w:bottom w:w="15" w:type="dxa"/>
        <w:right w:w="115" w:type="dxa"/>
      </w:tblCellMar>
    </w:tblPr>
  </w:style>
  <w:style w:type="table" w:customStyle="1" w:styleId="4">
    <w:name w:val="4"/>
    <w:basedOn w:val="TableNormal1"/>
    <w:tblPr>
      <w:tblStyleRowBandSize w:val="1"/>
      <w:tblStyleColBandSize w:val="1"/>
      <w:tblCellMar>
        <w:top w:w="15" w:type="dxa"/>
        <w:left w:w="115" w:type="dxa"/>
        <w:bottom w:w="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table" w:customStyle="1" w:styleId="2">
    <w:name w:val="2"/>
    <w:basedOn w:val="TableNormal2"/>
    <w:tblPr>
      <w:tblStyleRowBandSize w:val="1"/>
      <w:tblStyleColBandSize w:val="1"/>
      <w:tblCellMar>
        <w:top w:w="15" w:type="dxa"/>
        <w:left w:w="115" w:type="dxa"/>
        <w:bottom w:w="15" w:type="dxa"/>
        <w:right w:w="115" w:type="dxa"/>
      </w:tblCellMar>
    </w:tblPr>
  </w:style>
  <w:style w:type="table" w:customStyle="1" w:styleId="1">
    <w:name w:val="1"/>
    <w:basedOn w:val="TableNormal2"/>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84466">
      <w:bodyDiv w:val="1"/>
      <w:marLeft w:val="0"/>
      <w:marRight w:val="0"/>
      <w:marTop w:val="0"/>
      <w:marBottom w:val="0"/>
      <w:divBdr>
        <w:top w:val="none" w:sz="0" w:space="0" w:color="auto"/>
        <w:left w:val="none" w:sz="0" w:space="0" w:color="auto"/>
        <w:bottom w:val="none" w:sz="0" w:space="0" w:color="auto"/>
        <w:right w:val="none" w:sz="0" w:space="0" w:color="auto"/>
      </w:divBdr>
    </w:div>
    <w:div w:id="707147878">
      <w:bodyDiv w:val="1"/>
      <w:marLeft w:val="0"/>
      <w:marRight w:val="0"/>
      <w:marTop w:val="0"/>
      <w:marBottom w:val="0"/>
      <w:divBdr>
        <w:top w:val="none" w:sz="0" w:space="0" w:color="auto"/>
        <w:left w:val="none" w:sz="0" w:space="0" w:color="auto"/>
        <w:bottom w:val="none" w:sz="0" w:space="0" w:color="auto"/>
        <w:right w:val="none" w:sz="0" w:space="0" w:color="auto"/>
      </w:divBdr>
    </w:div>
    <w:div w:id="1638955574">
      <w:bodyDiv w:val="1"/>
      <w:marLeft w:val="0"/>
      <w:marRight w:val="0"/>
      <w:marTop w:val="0"/>
      <w:marBottom w:val="0"/>
      <w:divBdr>
        <w:top w:val="none" w:sz="0" w:space="0" w:color="auto"/>
        <w:left w:val="none" w:sz="0" w:space="0" w:color="auto"/>
        <w:bottom w:val="none" w:sz="0" w:space="0" w:color="auto"/>
        <w:right w:val="none" w:sz="0" w:space="0" w:color="auto"/>
      </w:divBdr>
    </w:div>
    <w:div w:id="1815609622">
      <w:bodyDiv w:val="1"/>
      <w:marLeft w:val="0"/>
      <w:marRight w:val="0"/>
      <w:marTop w:val="0"/>
      <w:marBottom w:val="0"/>
      <w:divBdr>
        <w:top w:val="none" w:sz="0" w:space="0" w:color="auto"/>
        <w:left w:val="none" w:sz="0" w:space="0" w:color="auto"/>
        <w:bottom w:val="none" w:sz="0" w:space="0" w:color="auto"/>
        <w:right w:val="none" w:sz="0" w:space="0" w:color="auto"/>
      </w:divBdr>
    </w:div>
    <w:div w:id="1849320638">
      <w:bodyDiv w:val="1"/>
      <w:marLeft w:val="0"/>
      <w:marRight w:val="0"/>
      <w:marTop w:val="0"/>
      <w:marBottom w:val="0"/>
      <w:divBdr>
        <w:top w:val="none" w:sz="0" w:space="0" w:color="auto"/>
        <w:left w:val="none" w:sz="0" w:space="0" w:color="auto"/>
        <w:bottom w:val="none" w:sz="0" w:space="0" w:color="auto"/>
        <w:right w:val="none" w:sz="0" w:space="0" w:color="auto"/>
      </w:divBdr>
    </w:div>
    <w:div w:id="2015261735">
      <w:bodyDiv w:val="1"/>
      <w:marLeft w:val="0"/>
      <w:marRight w:val="0"/>
      <w:marTop w:val="0"/>
      <w:marBottom w:val="0"/>
      <w:divBdr>
        <w:top w:val="none" w:sz="0" w:space="0" w:color="auto"/>
        <w:left w:val="none" w:sz="0" w:space="0" w:color="auto"/>
        <w:bottom w:val="none" w:sz="0" w:space="0" w:color="auto"/>
        <w:right w:val="none" w:sz="0" w:space="0" w:color="auto"/>
      </w:divBdr>
    </w:div>
    <w:div w:id="2094427035">
      <w:bodyDiv w:val="1"/>
      <w:marLeft w:val="0"/>
      <w:marRight w:val="0"/>
      <w:marTop w:val="0"/>
      <w:marBottom w:val="0"/>
      <w:divBdr>
        <w:top w:val="none" w:sz="0" w:space="0" w:color="auto"/>
        <w:left w:val="none" w:sz="0" w:space="0" w:color="auto"/>
        <w:bottom w:val="none" w:sz="0" w:space="0" w:color="auto"/>
        <w:right w:val="none" w:sz="0" w:space="0" w:color="auto"/>
      </w:divBdr>
    </w:div>
    <w:div w:id="212461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fZ80yYpFHTZH5daS1N98aIaSug==">CgMxLjAyCWguMzBqMHpsbDIJaC4xZm9iOXRlOAByITFCV1pueW54SHN4YTBkY19ZMGpCODQwNm52M2ZvbndjSg==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7259</Words>
  <Characters>39925</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Villagómez Martínez</cp:lastModifiedBy>
  <cp:revision>2</cp:revision>
  <cp:lastPrinted>2024-05-10T19:21:00Z</cp:lastPrinted>
  <dcterms:created xsi:type="dcterms:W3CDTF">2024-05-28T20:12:00Z</dcterms:created>
  <dcterms:modified xsi:type="dcterms:W3CDTF">2024-05-28T20:12:00Z</dcterms:modified>
</cp:coreProperties>
</file>