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DCB9" w14:textId="77777777" w:rsidR="00B9258F" w:rsidRDefault="00B9258F">
      <w:pPr>
        <w:spacing w:line="360" w:lineRule="auto"/>
        <w:ind w:right="-704"/>
        <w:jc w:val="both"/>
        <w:rPr>
          <w:rFonts w:ascii="Palatino Linotype" w:eastAsia="Palatino Linotype" w:hAnsi="Palatino Linotype" w:cs="Palatino Linotype"/>
        </w:rPr>
      </w:pPr>
    </w:p>
    <w:p w14:paraId="440A595B" w14:textId="77777777" w:rsidR="009B5CF7" w:rsidRDefault="00235B34">
      <w:pPr>
        <w:spacing w:line="360" w:lineRule="auto"/>
        <w:ind w:right="-70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B9258F">
        <w:rPr>
          <w:rFonts w:ascii="Palatino Linotype" w:eastAsia="Palatino Linotype" w:hAnsi="Palatino Linotype" w:cs="Palatino Linotype"/>
        </w:rPr>
        <w:t>tado de México; de fecha seis</w:t>
      </w:r>
      <w:r>
        <w:rPr>
          <w:rFonts w:ascii="Palatino Linotype" w:eastAsia="Palatino Linotype" w:hAnsi="Palatino Linotype" w:cs="Palatino Linotype"/>
        </w:rPr>
        <w:t xml:space="preserve"> (</w:t>
      </w:r>
      <w:r w:rsidR="00B9258F">
        <w:rPr>
          <w:rFonts w:ascii="Palatino Linotype" w:eastAsia="Palatino Linotype" w:hAnsi="Palatino Linotype" w:cs="Palatino Linotype"/>
        </w:rPr>
        <w:t>06</w:t>
      </w:r>
      <w:r>
        <w:rPr>
          <w:rFonts w:ascii="Palatino Linotype" w:eastAsia="Palatino Linotype" w:hAnsi="Palatino Linotype" w:cs="Palatino Linotype"/>
        </w:rPr>
        <w:t xml:space="preserve">) de </w:t>
      </w:r>
      <w:r w:rsidR="00B9258F">
        <w:rPr>
          <w:rFonts w:ascii="Palatino Linotype" w:eastAsia="Palatino Linotype" w:hAnsi="Palatino Linotype" w:cs="Palatino Linotype"/>
        </w:rPr>
        <w:t>noviem</w:t>
      </w:r>
      <w:r>
        <w:rPr>
          <w:rFonts w:ascii="Palatino Linotype" w:eastAsia="Palatino Linotype" w:hAnsi="Palatino Linotype" w:cs="Palatino Linotype"/>
        </w:rPr>
        <w:t>bre de dos mil veinticuatro.</w:t>
      </w:r>
    </w:p>
    <w:p w14:paraId="5C12E215" w14:textId="77777777" w:rsidR="009B5CF7" w:rsidRDefault="009B5CF7">
      <w:pPr>
        <w:spacing w:line="360" w:lineRule="auto"/>
        <w:ind w:right="-704"/>
        <w:jc w:val="both"/>
        <w:rPr>
          <w:rFonts w:ascii="Palatino Linotype" w:eastAsia="Palatino Linotype" w:hAnsi="Palatino Linotype" w:cs="Palatino Linotype"/>
        </w:rPr>
      </w:pPr>
    </w:p>
    <w:p w14:paraId="5B781A4A" w14:textId="7FDF4E8A" w:rsidR="009B5CF7" w:rsidRDefault="00235B34">
      <w:pPr>
        <w:spacing w:line="360" w:lineRule="auto"/>
        <w:ind w:right="-70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00688/INFOEM/IP/RR/2024, </w:t>
      </w:r>
      <w:r>
        <w:rPr>
          <w:rFonts w:ascii="Palatino Linotype" w:eastAsia="Palatino Linotype" w:hAnsi="Palatino Linotype" w:cs="Palatino Linotype"/>
        </w:rPr>
        <w:t xml:space="preserve">promovido por </w:t>
      </w:r>
      <w:r w:rsidR="00A22E34">
        <w:rPr>
          <w:rFonts w:ascii="Palatino Linotype" w:eastAsia="Palatino Linotype" w:hAnsi="Palatino Linotype" w:cs="Palatino Linotype"/>
          <w:b/>
        </w:rPr>
        <w:t xml:space="preserve">XXX </w:t>
      </w:r>
      <w:proofErr w:type="spellStart"/>
      <w:proofErr w:type="gramStart"/>
      <w:r w:rsidR="00A22E34">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w:t>
      </w:r>
      <w:proofErr w:type="gramEnd"/>
      <w:r>
        <w:rPr>
          <w:rFonts w:ascii="Palatino Linotype" w:eastAsia="Palatino Linotype" w:hAnsi="Palatino Linotype" w:cs="Palatino Linotype"/>
        </w:rPr>
        <w:t xml:space="preserve"> quien en adelante denominaremos </w:t>
      </w:r>
      <w:r>
        <w:rPr>
          <w:rFonts w:ascii="Palatino Linotype" w:eastAsia="Palatino Linotype" w:hAnsi="Palatino Linotype" w:cs="Palatino Linotype"/>
          <w:b/>
        </w:rPr>
        <w:t xml:space="preserve">LA RECURRENTE, </w:t>
      </w:r>
      <w:r>
        <w:rPr>
          <w:rFonts w:ascii="Palatino Linotype" w:eastAsia="Palatino Linotype" w:hAnsi="Palatino Linotype" w:cs="Palatino Linotype"/>
        </w:rPr>
        <w:t xml:space="preserve">en contra de la respuesta del </w:t>
      </w:r>
      <w:r>
        <w:rPr>
          <w:rFonts w:ascii="Palatino Linotype" w:eastAsia="Palatino Linotype" w:hAnsi="Palatino Linotype" w:cs="Palatino Linotype"/>
          <w:b/>
          <w:color w:val="000000"/>
        </w:rPr>
        <w:t>Sind</w:t>
      </w:r>
      <w:r w:rsidR="000A0F40">
        <w:rPr>
          <w:rFonts w:ascii="Palatino Linotype" w:eastAsia="Palatino Linotype" w:hAnsi="Palatino Linotype" w:cs="Palatino Linotype"/>
          <w:b/>
          <w:color w:val="000000"/>
        </w:rPr>
        <w:t>icato Único de Trabajadores de los Poderes, Municipios e</w:t>
      </w:r>
      <w:r>
        <w:rPr>
          <w:rFonts w:ascii="Palatino Linotype" w:eastAsia="Palatino Linotype" w:hAnsi="Palatino Linotype" w:cs="Palatino Linotype"/>
          <w:b/>
          <w:color w:val="000000"/>
        </w:rPr>
        <w:t xml:space="preserve"> Instituciones Descentralizadas del Estado de México</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299580D8" w14:textId="77777777" w:rsidR="009B5CF7" w:rsidRDefault="009B5CF7">
      <w:pPr>
        <w:spacing w:line="360" w:lineRule="auto"/>
        <w:ind w:right="-704"/>
        <w:jc w:val="both"/>
        <w:rPr>
          <w:rFonts w:ascii="Palatino Linotype" w:eastAsia="Palatino Linotype" w:hAnsi="Palatino Linotype" w:cs="Palatino Linotype"/>
          <w:b/>
        </w:rPr>
      </w:pPr>
    </w:p>
    <w:p w14:paraId="677CB0E3" w14:textId="77777777" w:rsidR="009B5CF7" w:rsidRDefault="00235B34">
      <w:pPr>
        <w:keepNext/>
        <w:keepLines/>
        <w:spacing w:line="360" w:lineRule="auto"/>
        <w:ind w:right="-70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359AED2D" w14:textId="77777777" w:rsidR="009B5CF7" w:rsidRDefault="009B5CF7">
      <w:pPr>
        <w:spacing w:line="360" w:lineRule="auto"/>
        <w:ind w:right="-704"/>
        <w:rPr>
          <w:rFonts w:ascii="Palatino Linotype" w:eastAsia="Palatino Linotype" w:hAnsi="Palatino Linotype" w:cs="Palatino Linotype"/>
        </w:rPr>
      </w:pPr>
    </w:p>
    <w:p w14:paraId="1389A2BB"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quince de enero de dos mil veinticuatro,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presentó una solicitud de información registrada con el número </w:t>
      </w:r>
      <w:r w:rsidR="000A0F40">
        <w:rPr>
          <w:rFonts w:ascii="Palatino Linotype" w:eastAsia="Palatino Linotype" w:hAnsi="Palatino Linotype" w:cs="Palatino Linotype"/>
          <w:b/>
          <w:color w:val="000000"/>
        </w:rPr>
        <w:t>00007/SUTEYM/IP/2024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la que se </w:t>
      </w:r>
      <w:r>
        <w:rPr>
          <w:rFonts w:ascii="Palatino Linotype" w:eastAsia="Palatino Linotype" w:hAnsi="Palatino Linotype" w:cs="Palatino Linotype"/>
          <w:color w:val="000000"/>
        </w:rPr>
        <w:t>solicitó lo siguiente:</w:t>
      </w:r>
    </w:p>
    <w:p w14:paraId="22348912"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547B46AA" w14:textId="77777777" w:rsidR="009B5CF7" w:rsidRDefault="00235B34" w:rsidP="00B9258F">
      <w:pPr>
        <w:pBdr>
          <w:top w:val="nil"/>
          <w:left w:val="nil"/>
          <w:bottom w:val="nil"/>
          <w:right w:val="nil"/>
          <w:between w:val="nil"/>
        </w:pBdr>
        <w:ind w:left="567" w:right="14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el estatuto interno del suteym con las reformas estatutarias de octubre 2023 en solicitud pasada mencionaron que por estas fechas lo tendrían ya que por motivos de que seguía en el tribunal no lo mandaron” (Sic) </w:t>
      </w:r>
    </w:p>
    <w:p w14:paraId="1852BA68" w14:textId="77777777" w:rsidR="009B5CF7" w:rsidRDefault="009B5CF7">
      <w:pPr>
        <w:spacing w:line="360" w:lineRule="auto"/>
        <w:ind w:right="-704"/>
        <w:jc w:val="both"/>
        <w:rPr>
          <w:rFonts w:ascii="Palatino Linotype" w:eastAsia="Palatino Linotype" w:hAnsi="Palatino Linotype" w:cs="Palatino Linotype"/>
        </w:rPr>
      </w:pPr>
    </w:p>
    <w:p w14:paraId="38C5E8AB" w14:textId="77777777" w:rsidR="009B5CF7" w:rsidRDefault="00235B34">
      <w:pPr>
        <w:numPr>
          <w:ilvl w:val="0"/>
          <w:numId w:val="3"/>
        </w:numPr>
        <w:pBdr>
          <w:top w:val="nil"/>
          <w:left w:val="nil"/>
          <w:bottom w:val="nil"/>
          <w:right w:val="nil"/>
          <w:between w:val="nil"/>
        </w:pBdr>
        <w:spacing w:line="360" w:lineRule="auto"/>
        <w:ind w:right="-704"/>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Se señaló como modalidad de entrega: </w:t>
      </w:r>
      <w:r>
        <w:rPr>
          <w:rFonts w:ascii="Palatino Linotype" w:eastAsia="Palatino Linotype" w:hAnsi="Palatino Linotype" w:cs="Palatino Linotype"/>
          <w:b/>
          <w:color w:val="000000"/>
        </w:rPr>
        <w:t xml:space="preserve">A través del Sistema de Acceso a la Información Mexiquense (SAIMEX). </w:t>
      </w:r>
    </w:p>
    <w:p w14:paraId="1B7BCD80" w14:textId="77777777" w:rsidR="009B5CF7" w:rsidRDefault="009B5CF7">
      <w:pPr>
        <w:ind w:right="-704"/>
        <w:rPr>
          <w:rFonts w:ascii="Palatino Linotype" w:eastAsia="Palatino Linotype" w:hAnsi="Palatino Linotype" w:cs="Palatino Linotype"/>
        </w:rPr>
      </w:pPr>
    </w:p>
    <w:p w14:paraId="7787781F"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treinta y uno de enero de dos mil veinticuatro,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dio respuesta a la solicitud de información, en los siguientes términos:</w:t>
      </w:r>
    </w:p>
    <w:p w14:paraId="23182830" w14:textId="77777777" w:rsidR="009B5CF7" w:rsidRPr="00B9258F" w:rsidRDefault="00235B34" w:rsidP="00B9258F">
      <w:pPr>
        <w:ind w:left="567"/>
        <w:jc w:val="both"/>
        <w:rPr>
          <w:rFonts w:ascii="Palatino Linotype" w:eastAsia="Palatino Linotype" w:hAnsi="Palatino Linotype" w:cs="Palatino Linotype"/>
          <w:i/>
          <w:sz w:val="20"/>
          <w:szCs w:val="22"/>
        </w:rPr>
      </w:pPr>
      <w:r w:rsidRPr="00B9258F">
        <w:rPr>
          <w:rFonts w:ascii="Palatino Linotype" w:eastAsia="Palatino Linotype" w:hAnsi="Palatino Linotype" w:cs="Palatino Linotype"/>
          <w:i/>
          <w:color w:val="000000"/>
          <w:sz w:val="20"/>
          <w:szCs w:val="22"/>
        </w:rPr>
        <w:t>“…Por este medio me permito dar respuesta a su solicitud de información número 00007/SUTEYM/IP/2024 de fecha 15 de enero de 2024, con fundamento en los artículos 1, 2, 3 fracción XLIV, 4, 12, 16, 23 fracción IX, 24 fracción XI y último párrafo, 50, 51, y 53 fracciones II, IV, V y VI de la Ley de Transparencia y Acceso a la Información Pública del Estado de México y Municipios…” (Sic)</w:t>
      </w:r>
    </w:p>
    <w:p w14:paraId="70CA74B4" w14:textId="77777777" w:rsidR="009B5CF7" w:rsidRPr="00B9258F" w:rsidRDefault="009B5CF7" w:rsidP="00B9258F">
      <w:pPr>
        <w:jc w:val="both"/>
        <w:rPr>
          <w:rFonts w:ascii="Palatino Linotype" w:eastAsia="Palatino Linotype" w:hAnsi="Palatino Linotype" w:cs="Palatino Linotype"/>
          <w:i/>
          <w:sz w:val="20"/>
          <w:szCs w:val="22"/>
        </w:rPr>
      </w:pPr>
    </w:p>
    <w:p w14:paraId="21EC113B" w14:textId="77777777" w:rsidR="009B5CF7" w:rsidRPr="00B9258F" w:rsidRDefault="00235B34" w:rsidP="00B9258F">
      <w:pPr>
        <w:spacing w:line="360" w:lineRule="auto"/>
        <w:jc w:val="both"/>
        <w:rPr>
          <w:rFonts w:ascii="Palatino Linotype" w:eastAsia="Palatino Linotype" w:hAnsi="Palatino Linotype" w:cs="Palatino Linotype"/>
          <w:color w:val="000000"/>
          <w:sz w:val="20"/>
          <w:szCs w:val="22"/>
        </w:rPr>
      </w:pPr>
      <w:r w:rsidRPr="00B9258F">
        <w:rPr>
          <w:rFonts w:ascii="Palatino Linotype" w:eastAsia="Palatino Linotype" w:hAnsi="Palatino Linotype" w:cs="Palatino Linotype"/>
          <w:color w:val="000000"/>
          <w:sz w:val="20"/>
          <w:szCs w:val="22"/>
        </w:rPr>
        <w:t>Archivo electrónico adjunto:</w:t>
      </w:r>
    </w:p>
    <w:p w14:paraId="785DD760" w14:textId="77777777" w:rsidR="009B5CF7" w:rsidRPr="00B9258F" w:rsidRDefault="009B5CF7" w:rsidP="00B9258F">
      <w:pPr>
        <w:jc w:val="both"/>
        <w:rPr>
          <w:rFonts w:ascii="Palatino Linotype" w:eastAsia="Palatino Linotype" w:hAnsi="Palatino Linotype" w:cs="Palatino Linotype"/>
          <w:color w:val="000000"/>
          <w:sz w:val="20"/>
          <w:szCs w:val="22"/>
        </w:rPr>
      </w:pPr>
    </w:p>
    <w:p w14:paraId="431C8100" w14:textId="77777777" w:rsidR="009B5CF7" w:rsidRPr="00B9258F" w:rsidRDefault="004F1424" w:rsidP="00B9258F">
      <w:pPr>
        <w:ind w:left="567"/>
        <w:jc w:val="both"/>
        <w:rPr>
          <w:rFonts w:ascii="Palatino Linotype" w:eastAsia="Palatino Linotype" w:hAnsi="Palatino Linotype" w:cs="Palatino Linotype"/>
          <w:sz w:val="20"/>
          <w:szCs w:val="22"/>
        </w:rPr>
      </w:pPr>
      <w:hyperlink r:id="rId8">
        <w:r w:rsidR="00235B34" w:rsidRPr="00B9258F">
          <w:rPr>
            <w:rFonts w:ascii="Palatino Linotype" w:eastAsia="Palatino Linotype" w:hAnsi="Palatino Linotype" w:cs="Palatino Linotype"/>
            <w:b/>
            <w:color w:val="000000"/>
            <w:sz w:val="20"/>
            <w:szCs w:val="22"/>
          </w:rPr>
          <w:t>RESPUESTA 07.pdf</w:t>
        </w:r>
      </w:hyperlink>
      <w:r w:rsidR="00235B34" w:rsidRPr="00B9258F">
        <w:rPr>
          <w:rFonts w:ascii="Palatino Linotype" w:eastAsia="Palatino Linotype" w:hAnsi="Palatino Linotype" w:cs="Palatino Linotype"/>
          <w:sz w:val="20"/>
          <w:szCs w:val="22"/>
        </w:rPr>
        <w:t>: Oficio suscrito por el Titular de la Unidad de Transparencia, por medio del cual, informó que no es posible entregar la última versión del Estatuto Interno del SUJETO OBLIGADO ya que se encuentra en proceso de registro en el expediente del Tribunal Estatal de Conciliación y Arbitraje del Estado de México, asimismo, refirió que dicho proceso y tiempo corresponde directamente al Tribunal; no obstante, haría entrega de los Estatutos con los que cuenta al momento. Aunado a lo anterior, señaló que el día 6 de octubre de 2023, en la Asamblea Estatal Ordinaria del Sindicato Único de Trabajadores de los Poderes, Municipios e Instituciones Descentralizadas del Estado de México (SUTEYM), se llevó a cabo la última modificación a los estatutos.</w:t>
      </w:r>
    </w:p>
    <w:p w14:paraId="378DB20B" w14:textId="77777777" w:rsidR="009B5CF7" w:rsidRDefault="009B5CF7">
      <w:pPr>
        <w:spacing w:line="360" w:lineRule="auto"/>
        <w:ind w:right="-704"/>
        <w:jc w:val="both"/>
        <w:rPr>
          <w:rFonts w:ascii="Palatino Linotype" w:eastAsia="Palatino Linotype" w:hAnsi="Palatino Linotype" w:cs="Palatino Linotype"/>
          <w:b/>
          <w:color w:val="000000"/>
        </w:rPr>
      </w:pPr>
    </w:p>
    <w:p w14:paraId="51F4300E"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ocho de febrero de dos mil veinticuatro, 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interpuso el recurso de revisión, en contra de la respuesta, señalando como:</w:t>
      </w:r>
    </w:p>
    <w:p w14:paraId="1FE45DAF" w14:textId="77777777" w:rsidR="009B5CF7" w:rsidRDefault="00235B34">
      <w:pPr>
        <w:numPr>
          <w:ilvl w:val="0"/>
          <w:numId w:val="4"/>
        </w:numPr>
        <w:ind w:right="28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“La entrega de la información." (Sic)</w:t>
      </w:r>
    </w:p>
    <w:p w14:paraId="16EAB8D3" w14:textId="77777777" w:rsidR="009B5CF7" w:rsidRDefault="00235B34">
      <w:pPr>
        <w:numPr>
          <w:ilvl w:val="0"/>
          <w:numId w:val="4"/>
        </w:numPr>
        <w:ind w:right="28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Que manden cronológicamente lo que sustente que aun no se entrega la información que piso y swn una fecha para que me puedan mandar lo que solicito. Porque ya se tardaron en entregarle al sindicato dicha información” (Sic)</w:t>
      </w:r>
    </w:p>
    <w:p w14:paraId="45C13D9C" w14:textId="77777777" w:rsidR="009B5CF7" w:rsidRDefault="009B5CF7">
      <w:pPr>
        <w:spacing w:line="360" w:lineRule="auto"/>
        <w:ind w:right="-704"/>
        <w:jc w:val="both"/>
        <w:rPr>
          <w:rFonts w:ascii="Palatino Linotype" w:eastAsia="Palatino Linotype" w:hAnsi="Palatino Linotype" w:cs="Palatino Linotype"/>
        </w:rPr>
      </w:pPr>
    </w:p>
    <w:p w14:paraId="2165640A"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 xml:space="preserve">su análisis. </w:t>
      </w:r>
    </w:p>
    <w:p w14:paraId="49BB895B"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3A914AF7"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del trece de febrero de dos mil veinticuatro,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 </w:t>
      </w:r>
    </w:p>
    <w:p w14:paraId="72F5B693" w14:textId="77777777" w:rsidR="009B5CF7" w:rsidRDefault="009B5CF7">
      <w:pPr>
        <w:spacing w:line="360" w:lineRule="auto"/>
        <w:ind w:right="-704"/>
        <w:rPr>
          <w:rFonts w:ascii="Palatino Linotype" w:eastAsia="Palatino Linotype" w:hAnsi="Palatino Linotype" w:cs="Palatino Linotype"/>
        </w:rPr>
      </w:pPr>
    </w:p>
    <w:p w14:paraId="576A253B"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en el expediente electrónico SAIMEX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realizó manifestaciones.</w:t>
      </w:r>
    </w:p>
    <w:p w14:paraId="1E231DC8" w14:textId="77777777" w:rsidR="009B5CF7" w:rsidRDefault="009B5CF7">
      <w:pPr>
        <w:pBdr>
          <w:top w:val="nil"/>
          <w:left w:val="nil"/>
          <w:bottom w:val="nil"/>
          <w:right w:val="nil"/>
          <w:between w:val="nil"/>
        </w:pBdr>
        <w:ind w:left="720" w:right="-704"/>
        <w:rPr>
          <w:rFonts w:ascii="Palatino Linotype" w:eastAsia="Palatino Linotype" w:hAnsi="Palatino Linotype" w:cs="Palatino Linotype"/>
          <w:color w:val="000000"/>
        </w:rPr>
      </w:pPr>
    </w:p>
    <w:p w14:paraId="443A30DC"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dieciséis de febrero de dos mil veinticuatro,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el informe justificado correspondiente, por medio de los siguientes archivos electrónicos:</w:t>
      </w:r>
    </w:p>
    <w:p w14:paraId="07715266"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INFORME DE </w:t>
      </w:r>
      <w:r>
        <w:rPr>
          <w:rFonts w:ascii="Palatino Linotype" w:eastAsia="Palatino Linotype" w:hAnsi="Palatino Linotype" w:cs="Palatino Linotype"/>
          <w:b/>
          <w:sz w:val="22"/>
          <w:szCs w:val="22"/>
        </w:rPr>
        <w:t>JUSTIFICACIÓN</w:t>
      </w:r>
      <w:r>
        <w:rPr>
          <w:rFonts w:ascii="Palatino Linotype" w:eastAsia="Palatino Linotype" w:hAnsi="Palatino Linotype" w:cs="Palatino Linotype"/>
          <w:b/>
          <w:color w:val="000000"/>
          <w:sz w:val="22"/>
          <w:szCs w:val="22"/>
        </w:rPr>
        <w:t xml:space="preserve"> 07.pdf: </w:t>
      </w:r>
      <w:r>
        <w:rPr>
          <w:rFonts w:ascii="Palatino Linotype" w:eastAsia="Palatino Linotype" w:hAnsi="Palatino Linotype" w:cs="Palatino Linotype"/>
          <w:color w:val="000000"/>
          <w:sz w:val="22"/>
          <w:szCs w:val="22"/>
        </w:rPr>
        <w:t>Oficio suscrito por el Titular de la Unidad de Transparencia, por medio del cual, ratificó la respuesta inicial.</w:t>
      </w:r>
    </w:p>
    <w:p w14:paraId="2172CACE" w14:textId="77777777" w:rsidR="009B5CF7" w:rsidRDefault="009B5CF7">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p>
    <w:p w14:paraId="4BDAF9B5"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SOLICITUD 07.pdf: </w:t>
      </w:r>
      <w:r>
        <w:rPr>
          <w:rFonts w:ascii="Palatino Linotype" w:eastAsia="Palatino Linotype" w:hAnsi="Palatino Linotype" w:cs="Palatino Linotype"/>
          <w:color w:val="000000"/>
          <w:sz w:val="22"/>
          <w:szCs w:val="22"/>
        </w:rPr>
        <w:t>Acuse de la solicitud de información pública realizada en el Sistema de Acceso a la Información Mexiquense SAIMEX, registrada bajo el número de folio 0007/SATEYM/IP/2024.</w:t>
      </w:r>
    </w:p>
    <w:p w14:paraId="2AAA696D" w14:textId="77777777" w:rsidR="009B5CF7" w:rsidRDefault="009B5CF7">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p>
    <w:p w14:paraId="669B37D0"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ESTATUTO </w:t>
      </w:r>
      <w:r>
        <w:rPr>
          <w:rFonts w:ascii="Palatino Linotype" w:eastAsia="Palatino Linotype" w:hAnsi="Palatino Linotype" w:cs="Palatino Linotype"/>
          <w:b/>
          <w:sz w:val="22"/>
          <w:szCs w:val="22"/>
        </w:rPr>
        <w:t>SINDICATO</w:t>
      </w:r>
      <w:r>
        <w:rPr>
          <w:rFonts w:ascii="Palatino Linotype" w:eastAsia="Palatino Linotype" w:hAnsi="Palatino Linotype" w:cs="Palatino Linotype"/>
          <w:b/>
          <w:color w:val="000000"/>
          <w:sz w:val="22"/>
          <w:szCs w:val="22"/>
        </w:rPr>
        <w:t xml:space="preserve"> ÚNICO DE TRABAJADORES DE LOS PODERES.pdf: </w:t>
      </w:r>
      <w:r>
        <w:rPr>
          <w:rFonts w:ascii="Palatino Linotype" w:eastAsia="Palatino Linotype" w:hAnsi="Palatino Linotype" w:cs="Palatino Linotype"/>
          <w:color w:val="000000"/>
          <w:sz w:val="22"/>
          <w:szCs w:val="22"/>
        </w:rPr>
        <w:t>Estatuto Interno del Sindicato Único de Trabajadores de los Poderes, Municipios e Instituciones Descentralizadas Del Estado de México S.U.T.E.Y.M.</w:t>
      </w:r>
    </w:p>
    <w:p w14:paraId="6BB90FC2" w14:textId="77777777" w:rsidR="00B9258F" w:rsidRDefault="00B9258F">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p>
    <w:p w14:paraId="359E8694"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veinticuatro de octubre de dos mil veinticuatro, se notificó el acuerdo mediante el cual se amplió el plazo para emitir resolución por un término de 15 días adicionales.</w:t>
      </w:r>
    </w:p>
    <w:p w14:paraId="1D9DB469"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461ECF0D"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organismo garante no pasa por alto justificar, que el plazo para emitir resolución en el presente asunto encuentra justificación en el alto número de recursos de revisión </w:t>
      </w:r>
      <w:r>
        <w:rPr>
          <w:rFonts w:ascii="Palatino Linotype" w:eastAsia="Palatino Linotype" w:hAnsi="Palatino Linotype" w:cs="Palatino Linotype"/>
          <w:color w:val="000000"/>
        </w:rPr>
        <w:lastRenderedPageBreak/>
        <w:t>recibidos, circunstancia atípica que ha rebasado las capacidades técnicas y humanas del personal encargado de la proyección de las resoluciones a dichos medios de impugnación.</w:t>
      </w:r>
    </w:p>
    <w:p w14:paraId="26F9F453" w14:textId="77777777" w:rsidR="009B5CF7" w:rsidRDefault="009B5CF7">
      <w:pPr>
        <w:pBdr>
          <w:top w:val="nil"/>
          <w:left w:val="nil"/>
          <w:bottom w:val="nil"/>
          <w:right w:val="nil"/>
          <w:between w:val="nil"/>
        </w:pBdr>
        <w:spacing w:line="360" w:lineRule="auto"/>
        <w:ind w:left="360" w:right="-704"/>
        <w:jc w:val="both"/>
        <w:rPr>
          <w:rFonts w:ascii="Palatino Linotype" w:eastAsia="Palatino Linotype" w:hAnsi="Palatino Linotype" w:cs="Palatino Linotype"/>
        </w:rPr>
      </w:pPr>
    </w:p>
    <w:p w14:paraId="5E1EDC62"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0F97956"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5DB0BAFF"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02B1E9"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62701959"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1896625"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0F2041C2"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63875850"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5A53DA2D"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5DE5E216"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14:paraId="571F5BDA" w14:textId="77777777" w:rsidR="009B5CF7" w:rsidRDefault="00235B34">
      <w:pPr>
        <w:pBdr>
          <w:top w:val="nil"/>
          <w:left w:val="nil"/>
          <w:bottom w:val="nil"/>
          <w:right w:val="nil"/>
          <w:between w:val="nil"/>
        </w:pBdr>
        <w:ind w:left="567"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913AFAE"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33479F39"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B40E98"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5FA0C298"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5563835"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47B70DD0"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w:t>
      </w:r>
      <w:r>
        <w:rPr>
          <w:rFonts w:ascii="Palatino Linotype" w:eastAsia="Palatino Linotype" w:hAnsi="Palatino Linotype" w:cs="Palatino Linotype"/>
          <w:color w:val="000000"/>
        </w:rPr>
        <w:lastRenderedPageBreak/>
        <w:t>los recursos dentro de los términos legales previamente establecidos por la Ley, por tratarse de causas de fuerza mayor.</w:t>
      </w:r>
    </w:p>
    <w:p w14:paraId="5499C61E"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2A5259C5"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44AB17C" w14:textId="77777777" w:rsidR="009B5CF7" w:rsidRDefault="00235B34">
      <w:pPr>
        <w:pBdr>
          <w:top w:val="nil"/>
          <w:left w:val="nil"/>
          <w:bottom w:val="nil"/>
          <w:right w:val="nil"/>
          <w:between w:val="nil"/>
        </w:pBdr>
        <w:tabs>
          <w:tab w:val="left" w:pos="8364"/>
        </w:tabs>
        <w:ind w:left="567" w:right="2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3087B080" w14:textId="77777777" w:rsidR="009B5CF7" w:rsidRDefault="00235B34">
      <w:pPr>
        <w:pBdr>
          <w:top w:val="nil"/>
          <w:left w:val="nil"/>
          <w:bottom w:val="nil"/>
          <w:right w:val="nil"/>
          <w:between w:val="nil"/>
        </w:pBdr>
        <w:tabs>
          <w:tab w:val="left" w:pos="8364"/>
        </w:tabs>
        <w:spacing w:after="240"/>
        <w:ind w:left="567" w:right="2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608AD8CB" w14:textId="77777777" w:rsidR="009B5CF7" w:rsidRDefault="009B5CF7">
      <w:pPr>
        <w:tabs>
          <w:tab w:val="left" w:pos="8364"/>
        </w:tabs>
        <w:spacing w:before="240" w:after="240"/>
        <w:ind w:right="287"/>
        <w:jc w:val="both"/>
        <w:rPr>
          <w:rFonts w:ascii="Palatino Linotype" w:eastAsia="Palatino Linotype" w:hAnsi="Palatino Linotype" w:cs="Palatino Linotype"/>
          <w:sz w:val="22"/>
          <w:szCs w:val="22"/>
        </w:rPr>
      </w:pPr>
    </w:p>
    <w:p w14:paraId="49ABC9B9"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E66A036"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221D27F0"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 Ponente decretó el cierre de instrucción mediante el acuerdo del treinta de octubre de dos mil veinticuatro. ----------------------------------------------------------</w:t>
      </w:r>
      <w:r>
        <w:rPr>
          <w:rFonts w:ascii="Palatino Linotype" w:eastAsia="Palatino Linotype" w:hAnsi="Palatino Linotype" w:cs="Palatino Linotype"/>
        </w:rPr>
        <w:t>-------</w:t>
      </w:r>
    </w:p>
    <w:p w14:paraId="5391E061"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1E59B9F0" w14:textId="77777777" w:rsidR="009B5CF7" w:rsidRDefault="00235B34">
      <w:pPr>
        <w:spacing w:line="360" w:lineRule="auto"/>
        <w:ind w:right="-704"/>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 xml:space="preserve">C O N S I D E R A N D O </w:t>
      </w:r>
    </w:p>
    <w:p w14:paraId="733EF7B6" w14:textId="77777777" w:rsidR="009B5CF7" w:rsidRDefault="009B5CF7">
      <w:pPr>
        <w:spacing w:line="360" w:lineRule="auto"/>
        <w:ind w:right="-704"/>
        <w:jc w:val="both"/>
        <w:rPr>
          <w:rFonts w:ascii="Palatino Linotype" w:eastAsia="Palatino Linotype" w:hAnsi="Palatino Linotype" w:cs="Palatino Linotype"/>
        </w:rPr>
      </w:pPr>
    </w:p>
    <w:p w14:paraId="51B204EA" w14:textId="77777777" w:rsidR="009B5CF7" w:rsidRDefault="00235B34">
      <w:pPr>
        <w:spacing w:line="360" w:lineRule="auto"/>
        <w:ind w:right="-704"/>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35737254"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color w:val="222222"/>
          <w:highlight w:val="white"/>
        </w:rPr>
        <w:t xml:space="preserve">Instituto de Transparencia, Acceso a la Información Pública y Protección de Datos Personales del Estado de México y Municipios, es competente para conocer y resolver del </w:t>
      </w:r>
      <w:r>
        <w:rPr>
          <w:rFonts w:ascii="Palatino Linotype" w:eastAsia="Palatino Linotype" w:hAnsi="Palatino Linotype" w:cs="Palatino Linotype"/>
          <w:color w:val="222222"/>
          <w:highlight w:val="white"/>
        </w:rPr>
        <w:lastRenderedPageBreak/>
        <w:t>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8F5DAE2"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7ADAC5D2" w14:textId="77777777" w:rsidR="009B5CF7" w:rsidRDefault="00235B34">
      <w:pPr>
        <w:keepNext/>
        <w:keepLines/>
        <w:spacing w:line="360" w:lineRule="auto"/>
        <w:ind w:right="-70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35E4128F"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treinta y uno de enero de dos mil veinticuatro, de tal forma que el plazo para interponer el recurso de revisión transcurrió del uno al veintidós de febrero de dos mil veinticuatro en consecuencia, presentó su inconformidad el ocho de febrero de dos mil veinticuatro, por lo que se encuentra dentro de los márgenes temporales previstos en el artículo 178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w:t>
      </w:r>
    </w:p>
    <w:p w14:paraId="09A8C8CD"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2B2C1393"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4F7C398"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40178C37" w14:textId="77777777" w:rsidR="009B5CF7" w:rsidRDefault="00235B34">
      <w:pPr>
        <w:spacing w:line="360" w:lineRule="auto"/>
        <w:ind w:right="-704"/>
        <w:jc w:val="both"/>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lastRenderedPageBreak/>
        <w:t>TERCERO. De las causales del sobreseimiento.</w:t>
      </w:r>
    </w:p>
    <w:p w14:paraId="626AE655"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respecto a la falta de respuesta por parte del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14:paraId="3A13283E" w14:textId="77777777" w:rsidR="00B9258F" w:rsidRDefault="00B9258F" w:rsidP="00B9258F">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0BFB9271"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acuerdo con el precepto legal contenido en la fracción IV del artículo 192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el recurso será sobreseído, cuando una vez admitido, aparezca alguna causal de improcedencia en términos de la misma Ley.</w:t>
      </w:r>
    </w:p>
    <w:p w14:paraId="4D2DAA34"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6BE76CB9" w14:textId="77777777" w:rsidR="009B5CF7" w:rsidRDefault="00235B34">
      <w:pPr>
        <w:numPr>
          <w:ilvl w:val="0"/>
          <w:numId w:val="1"/>
        </w:num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bookmarkStart w:id="5" w:name="_heading=h.tyjcwt" w:colFirst="0" w:colLast="0"/>
      <w:bookmarkEnd w:id="5"/>
      <w:r>
        <w:rPr>
          <w:rFonts w:ascii="Palatino Linotype" w:eastAsia="Palatino Linotype" w:hAnsi="Palatino Linotype" w:cs="Palatino Linotype"/>
          <w:b/>
          <w:color w:val="000000"/>
        </w:rPr>
        <w:t>De la solicitud de información</w:t>
      </w:r>
    </w:p>
    <w:p w14:paraId="2842DB43"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el </w:t>
      </w:r>
      <w:r>
        <w:rPr>
          <w:rFonts w:ascii="Palatino Linotype" w:eastAsia="Palatino Linotype" w:hAnsi="Palatino Linotype" w:cs="Palatino Linotype"/>
          <w:b/>
          <w:color w:val="000000"/>
        </w:rPr>
        <w:t>Estatuto Interno del SUTEYM con las reformas estatutarias de octubre de 2023.</w:t>
      </w:r>
    </w:p>
    <w:p w14:paraId="27E25C1A"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31F42537"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Ante ello,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informó que no es posible entregar la última versión del Estatuto Interno, ya que se encuentra en proceso de registro en el expediente del Tribunal Estatal de Conciliación y Arbitraje del Estado de México, asimismo, refirió que dicho proceso y tiempo corresponde directamente al Tribunal; no obstante, haría entrega de los Estatutos con los que cuenta al momento. Aunado a lo anterior, señaló que el día 6 de octubre de 2023, en la Asamblea Estatal Ordinaria del Sindicato Único de Trabajadores de los Poderes, </w:t>
      </w:r>
      <w:r>
        <w:rPr>
          <w:rFonts w:ascii="Palatino Linotype" w:eastAsia="Palatino Linotype" w:hAnsi="Palatino Linotype" w:cs="Palatino Linotype"/>
          <w:color w:val="000000"/>
        </w:rPr>
        <w:lastRenderedPageBreak/>
        <w:t>Municipios e Instituciones Descentralizadas del Estado de México (SUTEYM), se llevó a cabo la última modificación a los estatutos.</w:t>
      </w:r>
    </w:p>
    <w:p w14:paraId="7E448BAA"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26AEED0C" w14:textId="77777777" w:rsidR="009B5CF7" w:rsidRPr="00B9258F"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inconforma</w:t>
      </w:r>
      <w:r>
        <w:rPr>
          <w:rFonts w:ascii="Palatino Linotype" w:eastAsia="Palatino Linotype" w:hAnsi="Palatino Linotype" w:cs="Palatino Linotype"/>
          <w:color w:val="000000"/>
        </w:rPr>
        <w:t xml:space="preserve"> por medio del recurso de revisión, donde manifestó lo siguiente: </w:t>
      </w:r>
      <w:r>
        <w:rPr>
          <w:rFonts w:ascii="Palatino Linotype" w:eastAsia="Palatino Linotype" w:hAnsi="Palatino Linotype" w:cs="Palatino Linotype"/>
          <w:b/>
          <w:i/>
          <w:color w:val="000000"/>
        </w:rPr>
        <w:t>“Que manden cronológicamente lo que sustente que aun no se entrega la información que piso y swn una fecha para que me puedan mandar lo que solicito. Porque ya se tardaron en entregarle al sindicato dicha información” (Sic)</w:t>
      </w:r>
    </w:p>
    <w:p w14:paraId="1FC8BB9B" w14:textId="77777777" w:rsidR="00B9258F" w:rsidRDefault="00B9258F" w:rsidP="00B9258F">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72D1DF67"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mediante un acto jurídico posterior, como lo es el informe justificado,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el </w:t>
      </w:r>
      <w:r>
        <w:rPr>
          <w:rFonts w:ascii="Palatino Linotype" w:eastAsia="Palatino Linotype" w:hAnsi="Palatino Linotype" w:cs="Palatino Linotype"/>
        </w:rPr>
        <w:t xml:space="preserve">Estatuto Interno del Sindicato Único de Trabajadores de los Poderes, Municipios e Instituciones Descentralizadas Del Estado de México </w:t>
      </w:r>
      <w:r>
        <w:rPr>
          <w:rFonts w:ascii="Palatino Linotype" w:eastAsia="Palatino Linotype" w:hAnsi="Palatino Linotype" w:cs="Palatino Linotype"/>
          <w:b/>
        </w:rPr>
        <w:t>S.U.T.E.Y.M</w:t>
      </w:r>
      <w:r>
        <w:rPr>
          <w:rFonts w:ascii="Palatino Linotype" w:eastAsia="Palatino Linotype" w:hAnsi="Palatino Linotype" w:cs="Palatino Linotype"/>
        </w:rPr>
        <w:t>.. Como se observa:</w:t>
      </w:r>
    </w:p>
    <w:p w14:paraId="78747829" w14:textId="77777777" w:rsidR="009B5CF7" w:rsidRDefault="009B5CF7">
      <w:pPr>
        <w:spacing w:line="360" w:lineRule="auto"/>
        <w:ind w:right="-704"/>
        <w:jc w:val="both"/>
        <w:rPr>
          <w:rFonts w:ascii="Palatino Linotype" w:eastAsia="Palatino Linotype" w:hAnsi="Palatino Linotype" w:cs="Palatino Linotype"/>
          <w:color w:val="000000"/>
        </w:rPr>
      </w:pPr>
    </w:p>
    <w:p w14:paraId="2732C5F1" w14:textId="77777777" w:rsidR="009B5CF7" w:rsidRDefault="00235B34">
      <w:pPr>
        <w:spacing w:line="360" w:lineRule="auto"/>
        <w:ind w:right="-70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6DC96011" wp14:editId="617763D6">
            <wp:extent cx="5324979" cy="30892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24979" cy="3089216"/>
                    </a:xfrm>
                    <a:prstGeom prst="rect">
                      <a:avLst/>
                    </a:prstGeom>
                    <a:ln/>
                  </pic:spPr>
                </pic:pic>
              </a:graphicData>
            </a:graphic>
          </wp:inline>
        </w:drawing>
      </w:r>
    </w:p>
    <w:p w14:paraId="61E06A91" w14:textId="77777777" w:rsidR="009B5CF7" w:rsidRDefault="00235B34">
      <w:pPr>
        <w:ind w:right="-70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w:t>
      </w:r>
    </w:p>
    <w:p w14:paraId="79652978"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Expuesto lo anterior</w:t>
      </w:r>
      <w:r>
        <w:rPr>
          <w:rFonts w:ascii="Palatino Linotype" w:eastAsia="Palatino Linotype" w:hAnsi="Palatino Linotype" w:cs="Palatino Linotype"/>
        </w:rPr>
        <w:t xml:space="preserve">, es necesario señalar que hay elementos entregados en respuesta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sobre los cuales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se inconformó.</w:t>
      </w:r>
    </w:p>
    <w:p w14:paraId="38F4D6E8"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23E554EE"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este sentido,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w:t>
      </w:r>
    </w:p>
    <w:p w14:paraId="2FF7EF5A" w14:textId="77777777" w:rsidR="009B5CF7" w:rsidRDefault="009B5CF7">
      <w:pPr>
        <w:spacing w:line="360" w:lineRule="auto"/>
        <w:ind w:right="-704"/>
        <w:jc w:val="both"/>
        <w:rPr>
          <w:rFonts w:ascii="Palatino Linotype" w:eastAsia="Palatino Linotype" w:hAnsi="Palatino Linotype" w:cs="Palatino Linotype"/>
          <w:color w:val="000000"/>
        </w:rPr>
      </w:pPr>
    </w:p>
    <w:p w14:paraId="55A60EB6"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5E8F2CBD" w14:textId="77777777" w:rsidR="009B5CF7" w:rsidRDefault="00235B34">
      <w:pPr>
        <w:tabs>
          <w:tab w:val="left" w:pos="851"/>
        </w:tabs>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“ACTOS CONSENTIDOS. SON LOS QUE NO SE IMPUGNAN MEDIANTE EL RECURSO IDÓNEO. </w:t>
      </w:r>
      <w:r>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B43995"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5E11EAAF"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la interpretación del criterio antes citado, se advierte que cuando el Particular impugnó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está conforme con la respuesta proporcionada por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al no contravenir la misma.</w:t>
      </w:r>
    </w:p>
    <w:p w14:paraId="70652871" w14:textId="77777777" w:rsidR="009B5CF7" w:rsidRDefault="009B5CF7">
      <w:pPr>
        <w:spacing w:line="360" w:lineRule="auto"/>
        <w:ind w:right="-704"/>
        <w:jc w:val="both"/>
        <w:rPr>
          <w:rFonts w:ascii="Palatino Linotype" w:eastAsia="Palatino Linotype" w:hAnsi="Palatino Linotype" w:cs="Palatino Linotype"/>
        </w:rPr>
      </w:pPr>
    </w:p>
    <w:p w14:paraId="73CD7454"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Ante </w:t>
      </w:r>
      <w:r>
        <w:rPr>
          <w:rFonts w:ascii="Palatino Linotype" w:eastAsia="Palatino Linotype" w:hAnsi="Palatino Linotype" w:cs="Palatino Linotype"/>
        </w:rPr>
        <w:t>ello, es importante traer a contexto la Tesis Jurisprudencial Número 3ª./J.7/91, Publicada en el Semanario Judicial de la Federación y su Gaceta bajo el número de registro 174,177, que establece lo siguiente:</w:t>
      </w:r>
    </w:p>
    <w:p w14:paraId="2BF4AF55"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4F70A3F" w14:textId="77777777" w:rsidR="009B5CF7" w:rsidRDefault="009B5CF7">
      <w:pPr>
        <w:ind w:right="-704"/>
        <w:rPr>
          <w:rFonts w:ascii="Palatino Linotype" w:eastAsia="Palatino Linotype" w:hAnsi="Palatino Linotype" w:cs="Palatino Linotype"/>
          <w:color w:val="000000"/>
        </w:rPr>
      </w:pPr>
    </w:p>
    <w:p w14:paraId="7450FFD4"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hecha la precisión anterior, se advierte que este Instituto no se encuentra facultado para dudar de la veracidad de las respuestas emitidas por los Sujetos Obligados ni de la que ponen a disposición de los solicitantes; situación que se aleja de las atribuciones de este Órgano Garante que al momento que ponen a disposición ésta, la misma tiene el carácter oficial y se presume veraz, tan es así que la misma queda registrada en el </w:t>
      </w:r>
      <w:r>
        <w:rPr>
          <w:rFonts w:ascii="Palatino Linotype" w:eastAsia="Palatino Linotype" w:hAnsi="Palatino Linotype" w:cs="Palatino Linotype"/>
          <w:b/>
          <w:color w:val="000000"/>
        </w:rPr>
        <w:t>SAIMEX.</w:t>
      </w:r>
    </w:p>
    <w:p w14:paraId="62736C43"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bookmarkStart w:id="6" w:name="_heading=h.3dy6vkm" w:colFirst="0" w:colLast="0"/>
      <w:bookmarkEnd w:id="6"/>
    </w:p>
    <w:p w14:paraId="010D371C" w14:textId="77777777" w:rsidR="009B5CF7" w:rsidRDefault="00235B34">
      <w:pPr>
        <w:numPr>
          <w:ilvl w:val="0"/>
          <w:numId w:val="2"/>
        </w:numPr>
        <w:pBdr>
          <w:top w:val="nil"/>
          <w:left w:val="nil"/>
          <w:bottom w:val="nil"/>
          <w:right w:val="nil"/>
          <w:between w:val="nil"/>
        </w:pBdr>
        <w:spacing w:line="360" w:lineRule="auto"/>
        <w:ind w:right="-704"/>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la Plus Petitio.</w:t>
      </w:r>
    </w:p>
    <w:p w14:paraId="7307EECE"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resulta necesario reiterar las razones o motivos de inconformidad vertidos en el recurso de revisión </w:t>
      </w:r>
      <w:r>
        <w:rPr>
          <w:rFonts w:ascii="Palatino Linotype" w:eastAsia="Palatino Linotype" w:hAnsi="Palatino Linotype" w:cs="Palatino Linotype"/>
          <w:b/>
          <w:color w:val="000000"/>
        </w:rPr>
        <w:t>00688/INFOEM/IP/RR/2024</w:t>
      </w:r>
      <w:r>
        <w:rPr>
          <w:rFonts w:ascii="Palatino Linotype" w:eastAsia="Palatino Linotype" w:hAnsi="Palatino Linotype" w:cs="Palatino Linotype"/>
          <w:color w:val="000000"/>
        </w:rPr>
        <w:t xml:space="preserve">, en los siguientes términos: </w:t>
      </w:r>
      <w:r>
        <w:rPr>
          <w:rFonts w:ascii="Palatino Linotype" w:eastAsia="Palatino Linotype" w:hAnsi="Palatino Linotype" w:cs="Palatino Linotype"/>
          <w:i/>
          <w:color w:val="000000"/>
        </w:rPr>
        <w:t xml:space="preserve">“Que </w:t>
      </w:r>
      <w:r>
        <w:rPr>
          <w:rFonts w:ascii="Palatino Linotype" w:eastAsia="Palatino Linotype" w:hAnsi="Palatino Linotype" w:cs="Palatino Linotype"/>
          <w:b/>
          <w:i/>
          <w:color w:val="000000"/>
        </w:rPr>
        <w:t xml:space="preserve">manden cronológicamente lo que sustente que aun no se entrega la información que piso y swn una fecha para que me puedan mandar lo que solicito. </w:t>
      </w:r>
      <w:r>
        <w:rPr>
          <w:rFonts w:ascii="Palatino Linotype" w:eastAsia="Palatino Linotype" w:hAnsi="Palatino Linotype" w:cs="Palatino Linotype"/>
          <w:i/>
          <w:color w:val="000000"/>
        </w:rPr>
        <w:t>Porque ya se tardaron en entregarle al sindicato dicha información” (Sic)</w:t>
      </w:r>
    </w:p>
    <w:p w14:paraId="1261598A" w14:textId="77777777" w:rsidR="009B5CF7" w:rsidRDefault="009B5CF7">
      <w:pPr>
        <w:spacing w:line="360" w:lineRule="auto"/>
        <w:ind w:right="-704"/>
        <w:jc w:val="both"/>
        <w:rPr>
          <w:rFonts w:ascii="Palatino Linotype" w:eastAsia="Palatino Linotype" w:hAnsi="Palatino Linotype" w:cs="Palatino Linotype"/>
        </w:rPr>
      </w:pPr>
    </w:p>
    <w:p w14:paraId="3BB4B629"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Conforme a lo anterior, el sistema de medios de impugnación se centra en el análisis de los agravios o motivos de inconformidad, los que deben tener relación directa con el acto de autoridad que lo motiva. </w:t>
      </w:r>
    </w:p>
    <w:p w14:paraId="1EBD111F" w14:textId="77777777" w:rsidR="009B5CF7" w:rsidRDefault="009B5CF7">
      <w:pPr>
        <w:ind w:right="-704"/>
        <w:rPr>
          <w:rFonts w:ascii="Palatino Linotype" w:eastAsia="Palatino Linotype" w:hAnsi="Palatino Linotype" w:cs="Palatino Linotype"/>
        </w:rPr>
      </w:pPr>
    </w:p>
    <w:p w14:paraId="56469E03"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tuvo la oportunidad de conocer y por consiguiente producir un posicionamiento.</w:t>
      </w:r>
    </w:p>
    <w:p w14:paraId="6E28CB6E" w14:textId="77777777" w:rsidR="009B5CF7" w:rsidRDefault="009B5CF7">
      <w:pPr>
        <w:ind w:right="-704"/>
        <w:rPr>
          <w:rFonts w:ascii="Palatino Linotype" w:eastAsia="Palatino Linotype" w:hAnsi="Palatino Linotype" w:cs="Palatino Linotype"/>
          <w:color w:val="000000"/>
        </w:rPr>
      </w:pPr>
    </w:p>
    <w:p w14:paraId="2E111BD8"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w:t>
      </w:r>
      <w:r>
        <w:rPr>
          <w:rFonts w:ascii="Palatino Linotype" w:eastAsia="Palatino Linotype" w:hAnsi="Palatino Linotype" w:cs="Palatino Linotype"/>
        </w:rPr>
        <w:t>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61660210"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191.</w:t>
      </w:r>
      <w:r>
        <w:rPr>
          <w:rFonts w:ascii="Palatino Linotype" w:eastAsia="Palatino Linotype" w:hAnsi="Palatino Linotype" w:cs="Palatino Linotype"/>
          <w:i/>
          <w:sz w:val="22"/>
          <w:szCs w:val="22"/>
        </w:rPr>
        <w:t xml:space="preserve"> El recurso será desechado por improcedente cuando:</w:t>
      </w:r>
    </w:p>
    <w:p w14:paraId="2169FC6D"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A05A88D" w14:textId="77777777" w:rsidR="009B5CF7" w:rsidRDefault="00235B34">
      <w:pPr>
        <w:ind w:left="567" w:right="2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El recurrente amplíe su solicitud en el recurso de revisión, únicamente respecto de los nuevos contenidos.</w:t>
      </w:r>
    </w:p>
    <w:p w14:paraId="462029F3"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AF62B83" w14:textId="77777777" w:rsidR="009B5CF7" w:rsidRDefault="009B5CF7">
      <w:pPr>
        <w:ind w:right="287"/>
        <w:jc w:val="both"/>
        <w:rPr>
          <w:rFonts w:ascii="Palatino Linotype" w:eastAsia="Palatino Linotype" w:hAnsi="Palatino Linotype" w:cs="Palatino Linotype"/>
          <w:i/>
        </w:rPr>
      </w:pPr>
    </w:p>
    <w:p w14:paraId="30F0316F"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lo anterior, resulta improcedente el referido motivo de inconformidad, ya que </w:t>
      </w:r>
      <w:r>
        <w:rPr>
          <w:rFonts w:ascii="Palatino Linotype" w:eastAsia="Palatino Linotype" w:hAnsi="Palatino Linotype" w:cs="Palatino Linotype"/>
          <w:color w:val="000000"/>
        </w:rPr>
        <w:t xml:space="preserve">se aprecia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excede dentro de su inconformidad respecto a lo requerido originalmente en la solicitud de información, siendo el caso que pretende ampliar lo solicitado de origen, lo que hace que se surta lo que en la teoría jurídica se le denomina </w:t>
      </w:r>
      <w:r>
        <w:rPr>
          <w:rFonts w:ascii="Palatino Linotype" w:eastAsia="Palatino Linotype" w:hAnsi="Palatino Linotype" w:cs="Palatino Linotype"/>
          <w:b/>
          <w:i/>
          <w:color w:val="000000"/>
        </w:rPr>
        <w:t>plus petitio.</w:t>
      </w:r>
    </w:p>
    <w:p w14:paraId="09A537EF" w14:textId="77777777" w:rsidR="009B5CF7" w:rsidRDefault="009B5CF7">
      <w:pPr>
        <w:spacing w:line="360" w:lineRule="auto"/>
        <w:ind w:right="-704"/>
        <w:jc w:val="both"/>
        <w:rPr>
          <w:rFonts w:ascii="Palatino Linotype" w:eastAsia="Palatino Linotype" w:hAnsi="Palatino Linotype" w:cs="Palatino Linotype"/>
          <w:color w:val="000000"/>
        </w:rPr>
      </w:pPr>
    </w:p>
    <w:p w14:paraId="225F7FAD"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Sirve de apoyo el criterio 01/17 emitido por el Instituto Nacional de Transparencia, Acceso a la Información y Protección de Datos Personales que establece lo siguiente:</w:t>
      </w:r>
    </w:p>
    <w:p w14:paraId="44B1DDFF" w14:textId="77777777" w:rsidR="009B5CF7" w:rsidRDefault="00235B34">
      <w:pPr>
        <w:ind w:left="567"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Es improcedente ampliar las solicitudes de acceso a información, a través de la interposición del recurso de revisión.</w:t>
      </w:r>
      <w:r>
        <w:rPr>
          <w:rFonts w:ascii="Palatino Linotype" w:eastAsia="Palatino Linotype" w:hAnsi="Palatino Linotype" w:cs="Palatino Linotype"/>
          <w:i/>
          <w:color w:val="000000"/>
          <w:sz w:val="22"/>
          <w:szCs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69E6AC8" w14:textId="77777777" w:rsidR="009B5CF7" w:rsidRDefault="009B5CF7">
      <w:pPr>
        <w:ind w:left="567" w:right="145"/>
        <w:jc w:val="both"/>
        <w:rPr>
          <w:rFonts w:ascii="Palatino Linotype" w:eastAsia="Palatino Linotype" w:hAnsi="Palatino Linotype" w:cs="Palatino Linotype"/>
          <w:color w:val="000000"/>
          <w:sz w:val="22"/>
          <w:szCs w:val="22"/>
        </w:rPr>
      </w:pPr>
    </w:p>
    <w:p w14:paraId="3673711E" w14:textId="77777777" w:rsidR="009B5CF7" w:rsidRDefault="00235B34">
      <w:pPr>
        <w:ind w:left="567"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Resoluciones:</w:t>
      </w:r>
    </w:p>
    <w:p w14:paraId="05C76C7C" w14:textId="77777777" w:rsidR="009B5CF7" w:rsidRDefault="00235B34">
      <w:pPr>
        <w:ind w:left="567"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RRA 0196/16. Secretaría de Agricultura, Ganadería, Desarrollo Rural, Pesca y Alimentación. 13 de julio de 2016. Por unanimidad. Comisionado Ponente Joel Salas Suárez.</w:t>
      </w:r>
    </w:p>
    <w:p w14:paraId="4E9989B1" w14:textId="77777777" w:rsidR="009B5CF7" w:rsidRDefault="00235B34">
      <w:pPr>
        <w:ind w:left="567"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RRA 0130/16. Comisión Nacional del Agua. 09 de agosto de 2016. Por unanimidad. Comisionado Ponente María Patricia Kurczyn Villalobos.</w:t>
      </w:r>
    </w:p>
    <w:p w14:paraId="7344316D" w14:textId="77777777" w:rsidR="009B5CF7" w:rsidRDefault="00235B34">
      <w:pPr>
        <w:ind w:left="567"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RRA 0342/16. Colegio de Bachilleres. 24 de agosto de 2016. Por unanimidad. Comisionada Ponente Ximena Puente de la Mora.</w:t>
      </w:r>
    </w:p>
    <w:p w14:paraId="1A29128B" w14:textId="77777777" w:rsidR="009B5CF7" w:rsidRDefault="009B5CF7">
      <w:pPr>
        <w:ind w:left="567" w:right="145"/>
        <w:jc w:val="both"/>
        <w:rPr>
          <w:rFonts w:ascii="Palatino Linotype" w:eastAsia="Palatino Linotype" w:hAnsi="Palatino Linotype" w:cs="Palatino Linotype"/>
          <w:i/>
          <w:sz w:val="22"/>
          <w:szCs w:val="22"/>
        </w:rPr>
      </w:pPr>
    </w:p>
    <w:p w14:paraId="34B9205C" w14:textId="77777777" w:rsidR="009B5CF7" w:rsidRDefault="009B5CF7">
      <w:pPr>
        <w:ind w:left="567" w:right="145"/>
        <w:jc w:val="both"/>
        <w:rPr>
          <w:rFonts w:ascii="Palatino Linotype" w:eastAsia="Palatino Linotype" w:hAnsi="Palatino Linotype" w:cs="Palatino Linotype"/>
          <w:i/>
          <w:sz w:val="22"/>
          <w:szCs w:val="22"/>
        </w:rPr>
      </w:pPr>
    </w:p>
    <w:p w14:paraId="3D1B364C"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sirve de apoyo a lo anterior por analogía, la Jurisprudencia No. 29 visible a foja 19 del Apéndice al Semanario Judicial de la Federación 1917-1995, Torno VI, Materia Común, Primera Parte, Tesis de la Suprema Corte de Justicia, que contiene:</w:t>
      </w:r>
    </w:p>
    <w:p w14:paraId="57FEE962" w14:textId="77777777" w:rsidR="009B5CF7" w:rsidRDefault="00235B34">
      <w:pPr>
        <w:ind w:left="567" w:right="2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AGRAVIOS EN LA REVISION. DEBEN ESTAR EN RELACION DIRECTA CON LOS FUNDAMENTOS Y CONSIDERACIONES DE LA SENTENCIA.- </w:t>
      </w:r>
      <w:r>
        <w:rPr>
          <w:rFonts w:ascii="Palatino Linotype" w:eastAsia="Palatino Linotype" w:hAnsi="Palatino Linotype" w:cs="Palatino Linotype"/>
          <w:i/>
          <w:color w:val="000000"/>
          <w:sz w:val="22"/>
          <w:szCs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694C4464" w14:textId="77777777" w:rsidR="009B5CF7" w:rsidRDefault="009B5CF7">
      <w:pPr>
        <w:spacing w:line="360" w:lineRule="auto"/>
        <w:ind w:right="-704"/>
        <w:jc w:val="both"/>
        <w:rPr>
          <w:rFonts w:ascii="Palatino Linotype" w:eastAsia="Palatino Linotype" w:hAnsi="Palatino Linotype" w:cs="Palatino Linotype"/>
          <w:color w:val="000000"/>
        </w:rPr>
      </w:pPr>
    </w:p>
    <w:p w14:paraId="2DE8B0D5" w14:textId="77777777" w:rsidR="009B5CF7" w:rsidRDefault="00235B34">
      <w:pPr>
        <w:numPr>
          <w:ilvl w:val="0"/>
          <w:numId w:val="3"/>
        </w:numP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Consecuentemente, en términos del artículo 191, fracción VII de la Ley de Transparencia y Acceso a la Información Pública del Estado de México y Municipios, este Instituto </w:t>
      </w:r>
      <w:r>
        <w:rPr>
          <w:rFonts w:ascii="Palatino Linotype" w:eastAsia="Palatino Linotype" w:hAnsi="Palatino Linotype" w:cs="Palatino Linotype"/>
        </w:rPr>
        <w:t xml:space="preserve">determina el </w:t>
      </w:r>
      <w:r>
        <w:rPr>
          <w:rFonts w:ascii="Palatino Linotype" w:eastAsia="Palatino Linotype" w:hAnsi="Palatino Linotype" w:cs="Palatino Linotype"/>
          <w:b/>
        </w:rPr>
        <w:t xml:space="preserve">SOBRESEIMIENTO </w:t>
      </w:r>
      <w:r>
        <w:rPr>
          <w:rFonts w:ascii="Palatino Linotype" w:eastAsia="Palatino Linotype" w:hAnsi="Palatino Linotype" w:cs="Palatino Linotype"/>
        </w:rPr>
        <w:t>del presente recurso de revisión, por resultar improcedente, de acuerdo con el artículo 192 fracción IV del mismo ordenamiento legal.</w:t>
      </w:r>
    </w:p>
    <w:p w14:paraId="52D4A28F"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426D3738" w14:textId="77777777" w:rsidR="009B5CF7" w:rsidRDefault="00235B34">
      <w:pPr>
        <w:ind w:left="567"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EC2F11" w14:textId="77777777" w:rsidR="009B5CF7" w:rsidRDefault="00235B34">
      <w:pPr>
        <w:ind w:left="567" w:right="2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IV. Admitido el recurso de revisión, aparezca alguna causal de improcedencia en los términos de la presente Ley; </w:t>
      </w:r>
    </w:p>
    <w:p w14:paraId="69D68334" w14:textId="77777777" w:rsidR="009B5CF7" w:rsidRDefault="00235B34">
      <w:pPr>
        <w:ind w:left="567" w:right="28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p>
    <w:p w14:paraId="65744E9C" w14:textId="77777777" w:rsidR="009B5CF7" w:rsidRDefault="009B5CF7">
      <w:pPr>
        <w:ind w:right="-704"/>
        <w:rPr>
          <w:rFonts w:ascii="Palatino Linotype" w:eastAsia="Palatino Linotype" w:hAnsi="Palatino Linotype" w:cs="Palatino Linotype"/>
        </w:rPr>
      </w:pPr>
    </w:p>
    <w:p w14:paraId="39F8A604" w14:textId="77777777" w:rsidR="009B5CF7" w:rsidRDefault="009B5CF7">
      <w:pPr>
        <w:ind w:right="-704"/>
        <w:rPr>
          <w:rFonts w:ascii="Palatino Linotype" w:eastAsia="Palatino Linotype" w:hAnsi="Palatino Linotype" w:cs="Palatino Linotype"/>
        </w:rPr>
      </w:pPr>
    </w:p>
    <w:p w14:paraId="1305BE26" w14:textId="77777777" w:rsidR="009B5CF7" w:rsidRDefault="00235B34">
      <w:pPr>
        <w:numPr>
          <w:ilvl w:val="0"/>
          <w:numId w:val="3"/>
        </w:numPr>
        <w:pBdr>
          <w:top w:val="nil"/>
          <w:left w:val="nil"/>
          <w:bottom w:val="nil"/>
          <w:right w:val="nil"/>
          <w:between w:val="nil"/>
        </w:pBdr>
        <w:spacing w:line="360" w:lineRule="auto"/>
        <w:ind w:left="0" w:right="-70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14:paraId="5E5C7159" w14:textId="77777777" w:rsidR="009B5CF7" w:rsidRDefault="009B5CF7">
      <w:pPr>
        <w:pBdr>
          <w:top w:val="nil"/>
          <w:left w:val="nil"/>
          <w:bottom w:val="nil"/>
          <w:right w:val="nil"/>
          <w:between w:val="nil"/>
        </w:pBdr>
        <w:spacing w:line="360" w:lineRule="auto"/>
        <w:ind w:right="-704"/>
        <w:jc w:val="both"/>
        <w:rPr>
          <w:rFonts w:ascii="Palatino Linotype" w:eastAsia="Palatino Linotype" w:hAnsi="Palatino Linotype" w:cs="Palatino Linotype"/>
          <w:color w:val="000000"/>
        </w:rPr>
      </w:pPr>
    </w:p>
    <w:p w14:paraId="1B75505B" w14:textId="77777777" w:rsidR="009B5CF7" w:rsidRDefault="00235B34">
      <w:pPr>
        <w:keepNext/>
        <w:keepLines/>
        <w:spacing w:line="360" w:lineRule="auto"/>
        <w:ind w:right="-704"/>
        <w:jc w:val="center"/>
        <w:rPr>
          <w:rFonts w:ascii="Palatino Linotype" w:eastAsia="Palatino Linotype" w:hAnsi="Palatino Linotype" w:cs="Palatino Linotype"/>
          <w:b/>
        </w:rPr>
      </w:pPr>
      <w:bookmarkStart w:id="7" w:name="_heading=h.1t3h5sf" w:colFirst="0" w:colLast="0"/>
      <w:bookmarkEnd w:id="7"/>
      <w:r>
        <w:rPr>
          <w:rFonts w:ascii="Palatino Linotype" w:eastAsia="Palatino Linotype" w:hAnsi="Palatino Linotype" w:cs="Palatino Linotype"/>
          <w:b/>
        </w:rPr>
        <w:t>R E S O L U T I V O S</w:t>
      </w:r>
    </w:p>
    <w:p w14:paraId="7E98718C" w14:textId="77777777" w:rsidR="009B5CF7" w:rsidRDefault="009B5CF7">
      <w:pPr>
        <w:shd w:val="clear" w:color="auto" w:fill="FFFFFF"/>
        <w:spacing w:line="360" w:lineRule="auto"/>
        <w:ind w:right="-704"/>
        <w:jc w:val="both"/>
        <w:rPr>
          <w:rFonts w:ascii="Palatino Linotype" w:eastAsia="Palatino Linotype" w:hAnsi="Palatino Linotype" w:cs="Palatino Linotype"/>
        </w:rPr>
      </w:pPr>
    </w:p>
    <w:p w14:paraId="3948F46E" w14:textId="77777777" w:rsidR="009B5CF7" w:rsidRDefault="00235B34">
      <w:pPr>
        <w:spacing w:line="360" w:lineRule="auto"/>
        <w:ind w:right="-70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 por improcedente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 xml:space="preserve">00688/INFOEM/IP/RR/2024 </w:t>
      </w:r>
      <w:r>
        <w:rPr>
          <w:rFonts w:ascii="Palatino Linotype" w:eastAsia="Palatino Linotype" w:hAnsi="Palatino Linotype" w:cs="Palatino Linotype"/>
        </w:rPr>
        <w:t>de conformidad con el 192, fracción IV, en relación con el artículo 191, fracción VII</w:t>
      </w:r>
      <w:r w:rsidR="000A0F40">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3ED60171" w14:textId="77777777" w:rsidR="009B5CF7" w:rsidRDefault="009B5CF7">
      <w:pPr>
        <w:spacing w:line="360" w:lineRule="auto"/>
        <w:ind w:right="-704"/>
        <w:jc w:val="both"/>
        <w:rPr>
          <w:rFonts w:ascii="Palatino Linotype" w:eastAsia="Palatino Linotype" w:hAnsi="Palatino Linotype" w:cs="Palatino Linotype"/>
        </w:rPr>
      </w:pPr>
    </w:p>
    <w:p w14:paraId="330231F4" w14:textId="77777777" w:rsidR="009B5CF7" w:rsidRDefault="00235B34">
      <w:pPr>
        <w:spacing w:line="360" w:lineRule="auto"/>
        <w:ind w:right="-704"/>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b/>
        </w:rPr>
        <w:t xml:space="preserve">REMÍTASE </w:t>
      </w:r>
      <w:r>
        <w:rPr>
          <w:rFonts w:ascii="Palatino Linotype" w:eastAsia="Palatino Linotype" w:hAnsi="Palatino Linotype" w:cs="Palatino Linotype"/>
        </w:rPr>
        <w:t xml:space="preserve">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la presente resolución al Titular de la Unidad de Transparencia del</w:t>
      </w:r>
      <w:r>
        <w:rPr>
          <w:rFonts w:ascii="Palatino Linotype" w:eastAsia="Palatino Linotype" w:hAnsi="Palatino Linotype" w:cs="Palatino Linotype"/>
          <w:b/>
        </w:rPr>
        <w:t xml:space="preserve"> SUJETO OBLIGADO.</w:t>
      </w:r>
    </w:p>
    <w:p w14:paraId="764338AD" w14:textId="77777777" w:rsidR="009B5CF7" w:rsidRDefault="009B5CF7">
      <w:pPr>
        <w:spacing w:line="360" w:lineRule="auto"/>
        <w:ind w:right="-704"/>
        <w:jc w:val="both"/>
        <w:rPr>
          <w:rFonts w:ascii="Palatino Linotype" w:eastAsia="Palatino Linotype" w:hAnsi="Palatino Linotype" w:cs="Palatino Linotype"/>
        </w:rPr>
      </w:pPr>
    </w:p>
    <w:p w14:paraId="0BE2394A" w14:textId="77777777" w:rsidR="009B5CF7" w:rsidRDefault="00235B34">
      <w:pPr>
        <w:tabs>
          <w:tab w:val="left" w:pos="8080"/>
        </w:tabs>
        <w:spacing w:line="360" w:lineRule="auto"/>
        <w:ind w:right="-70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TERCERO. Notifíquese </w:t>
      </w:r>
      <w:r>
        <w:rPr>
          <w:rFonts w:ascii="Palatino Linotype" w:eastAsia="Palatino Linotype" w:hAnsi="Palatino Linotype" w:cs="Palatino Linotype"/>
        </w:rPr>
        <w:t xml:space="preserve">a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 través del Sistema de Acceso a la Información Mexiquense </w:t>
      </w:r>
      <w:r>
        <w:rPr>
          <w:rFonts w:ascii="Palatino Linotype" w:eastAsia="Palatino Linotype" w:hAnsi="Palatino Linotype" w:cs="Palatino Linotype"/>
          <w:b/>
        </w:rPr>
        <w:t>(SAIMEX).</w:t>
      </w:r>
    </w:p>
    <w:p w14:paraId="00BC89DA" w14:textId="77777777" w:rsidR="009B5CF7" w:rsidRDefault="009B5CF7">
      <w:pPr>
        <w:tabs>
          <w:tab w:val="left" w:pos="8080"/>
        </w:tabs>
        <w:spacing w:line="360" w:lineRule="auto"/>
        <w:ind w:right="-704"/>
        <w:jc w:val="both"/>
        <w:rPr>
          <w:rFonts w:ascii="Palatino Linotype" w:eastAsia="Palatino Linotype" w:hAnsi="Palatino Linotype" w:cs="Palatino Linotype"/>
          <w:b/>
        </w:rPr>
      </w:pPr>
    </w:p>
    <w:p w14:paraId="5C012BFD" w14:textId="77777777" w:rsidR="009B5CF7" w:rsidRDefault="00235B34" w:rsidP="00C94A71">
      <w:pPr>
        <w:spacing w:line="360" w:lineRule="auto"/>
        <w:ind w:right="-704"/>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rPr>
        <w:t xml:space="preserve">Se hace del conocimiento de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40160CE" w14:textId="77777777" w:rsidR="00C94A71" w:rsidRDefault="00C94A71" w:rsidP="00C94A71">
      <w:pPr>
        <w:spacing w:line="360" w:lineRule="auto"/>
        <w:ind w:right="-704"/>
        <w:jc w:val="both"/>
        <w:rPr>
          <w:rFonts w:ascii="Palatino Linotype" w:eastAsia="Palatino Linotype" w:hAnsi="Palatino Linotype" w:cs="Palatino Linotype"/>
        </w:rPr>
      </w:pPr>
    </w:p>
    <w:p w14:paraId="33EB8040" w14:textId="77777777" w:rsidR="000A0F40" w:rsidRPr="003C7186" w:rsidRDefault="000A0F40" w:rsidP="000A0F4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6CA3E0AD" w14:textId="77777777" w:rsidR="009B5CF7" w:rsidRDefault="009B5CF7">
      <w:pPr>
        <w:spacing w:line="360" w:lineRule="auto"/>
        <w:ind w:right="-704"/>
        <w:jc w:val="both"/>
        <w:rPr>
          <w:rFonts w:ascii="Palatino Linotype" w:eastAsia="Palatino Linotype" w:hAnsi="Palatino Linotype" w:cs="Palatino Linotype"/>
        </w:rPr>
      </w:pPr>
    </w:p>
    <w:p w14:paraId="65EF4D59" w14:textId="77777777" w:rsidR="009B5CF7" w:rsidRDefault="009B5CF7">
      <w:pPr>
        <w:spacing w:line="360" w:lineRule="auto"/>
        <w:ind w:right="-704"/>
        <w:rPr>
          <w:rFonts w:ascii="Palatino Linotype" w:eastAsia="Palatino Linotype" w:hAnsi="Palatino Linotype" w:cs="Palatino Linotype"/>
        </w:rPr>
      </w:pPr>
    </w:p>
    <w:p w14:paraId="28773CF4" w14:textId="77777777" w:rsidR="009B5CF7" w:rsidRDefault="009B5CF7">
      <w:pPr>
        <w:spacing w:line="360" w:lineRule="auto"/>
        <w:ind w:right="-704"/>
        <w:rPr>
          <w:rFonts w:ascii="Palatino Linotype" w:eastAsia="Palatino Linotype" w:hAnsi="Palatino Linotype" w:cs="Palatino Linotype"/>
        </w:rPr>
      </w:pPr>
    </w:p>
    <w:p w14:paraId="016A2C85" w14:textId="77777777" w:rsidR="009B5CF7" w:rsidRDefault="009B5CF7">
      <w:pPr>
        <w:spacing w:line="360" w:lineRule="auto"/>
        <w:ind w:right="-704"/>
        <w:rPr>
          <w:rFonts w:ascii="Palatino Linotype" w:eastAsia="Palatino Linotype" w:hAnsi="Palatino Linotype" w:cs="Palatino Linotype"/>
        </w:rPr>
      </w:pPr>
    </w:p>
    <w:p w14:paraId="613A8F8E" w14:textId="77777777" w:rsidR="009B5CF7" w:rsidRDefault="009B5CF7">
      <w:pPr>
        <w:spacing w:line="360" w:lineRule="auto"/>
        <w:ind w:right="-704"/>
        <w:rPr>
          <w:rFonts w:ascii="Palatino Linotype" w:eastAsia="Palatino Linotype" w:hAnsi="Palatino Linotype" w:cs="Palatino Linotype"/>
        </w:rPr>
      </w:pPr>
    </w:p>
    <w:p w14:paraId="1EA21EFE" w14:textId="77777777" w:rsidR="009B5CF7" w:rsidRDefault="009B5CF7">
      <w:pPr>
        <w:spacing w:line="360" w:lineRule="auto"/>
        <w:ind w:right="-704"/>
        <w:rPr>
          <w:rFonts w:ascii="Palatino Linotype" w:eastAsia="Palatino Linotype" w:hAnsi="Palatino Linotype" w:cs="Palatino Linotype"/>
        </w:rPr>
      </w:pPr>
    </w:p>
    <w:p w14:paraId="4C8BC480" w14:textId="77777777" w:rsidR="009B5CF7" w:rsidRDefault="009B5CF7">
      <w:pPr>
        <w:spacing w:line="360" w:lineRule="auto"/>
        <w:ind w:right="-704"/>
        <w:rPr>
          <w:rFonts w:ascii="Palatino Linotype" w:eastAsia="Palatino Linotype" w:hAnsi="Palatino Linotype" w:cs="Palatino Linotype"/>
        </w:rPr>
      </w:pPr>
    </w:p>
    <w:p w14:paraId="28FE2E41" w14:textId="77777777" w:rsidR="009B5CF7" w:rsidRDefault="009B5CF7">
      <w:pPr>
        <w:spacing w:line="360" w:lineRule="auto"/>
        <w:ind w:right="-704"/>
        <w:rPr>
          <w:rFonts w:ascii="Palatino Linotype" w:eastAsia="Palatino Linotype" w:hAnsi="Palatino Linotype" w:cs="Palatino Linotype"/>
        </w:rPr>
      </w:pPr>
    </w:p>
    <w:p w14:paraId="3A413F97" w14:textId="77777777" w:rsidR="009B5CF7" w:rsidRDefault="009B5CF7">
      <w:pPr>
        <w:spacing w:line="360" w:lineRule="auto"/>
        <w:ind w:right="-704"/>
        <w:rPr>
          <w:rFonts w:ascii="Palatino Linotype" w:eastAsia="Palatino Linotype" w:hAnsi="Palatino Linotype" w:cs="Palatino Linotype"/>
        </w:rPr>
      </w:pPr>
    </w:p>
    <w:p w14:paraId="743164BC" w14:textId="77777777" w:rsidR="009B5CF7" w:rsidRDefault="009B5CF7">
      <w:pPr>
        <w:spacing w:line="360" w:lineRule="auto"/>
        <w:ind w:right="-704"/>
        <w:rPr>
          <w:rFonts w:ascii="Palatino Linotype" w:eastAsia="Palatino Linotype" w:hAnsi="Palatino Linotype" w:cs="Palatino Linotype"/>
        </w:rPr>
      </w:pPr>
    </w:p>
    <w:p w14:paraId="25F27B2E" w14:textId="77777777" w:rsidR="009B5CF7" w:rsidRDefault="009B5CF7">
      <w:pPr>
        <w:spacing w:line="360" w:lineRule="auto"/>
        <w:ind w:right="-704"/>
        <w:rPr>
          <w:rFonts w:ascii="Palatino Linotype" w:eastAsia="Palatino Linotype" w:hAnsi="Palatino Linotype" w:cs="Palatino Linotype"/>
        </w:rPr>
      </w:pPr>
    </w:p>
    <w:p w14:paraId="626C695A" w14:textId="77777777" w:rsidR="009B5CF7" w:rsidRDefault="009B5CF7">
      <w:pPr>
        <w:spacing w:line="360" w:lineRule="auto"/>
        <w:ind w:right="-704"/>
        <w:rPr>
          <w:rFonts w:ascii="Palatino Linotype" w:eastAsia="Palatino Linotype" w:hAnsi="Palatino Linotype" w:cs="Palatino Linotype"/>
        </w:rPr>
      </w:pPr>
    </w:p>
    <w:p w14:paraId="74129322" w14:textId="77777777" w:rsidR="009B5CF7" w:rsidRDefault="009B5CF7">
      <w:pPr>
        <w:spacing w:line="360" w:lineRule="auto"/>
        <w:ind w:right="-704"/>
        <w:rPr>
          <w:rFonts w:ascii="Palatino Linotype" w:eastAsia="Palatino Linotype" w:hAnsi="Palatino Linotype" w:cs="Palatino Linotype"/>
        </w:rPr>
      </w:pPr>
    </w:p>
    <w:p w14:paraId="07A37FB5" w14:textId="77777777" w:rsidR="009B5CF7" w:rsidRDefault="009B5CF7">
      <w:pPr>
        <w:spacing w:line="360" w:lineRule="auto"/>
        <w:ind w:right="-704"/>
        <w:rPr>
          <w:rFonts w:ascii="Palatino Linotype" w:eastAsia="Palatino Linotype" w:hAnsi="Palatino Linotype" w:cs="Palatino Linotype"/>
        </w:rPr>
      </w:pPr>
    </w:p>
    <w:p w14:paraId="2666FC13" w14:textId="77777777" w:rsidR="009B5CF7" w:rsidRDefault="009B5CF7">
      <w:pPr>
        <w:spacing w:line="360" w:lineRule="auto"/>
        <w:ind w:right="-704"/>
        <w:rPr>
          <w:rFonts w:ascii="Palatino Linotype" w:eastAsia="Palatino Linotype" w:hAnsi="Palatino Linotype" w:cs="Palatino Linotype"/>
        </w:rPr>
      </w:pPr>
    </w:p>
    <w:p w14:paraId="57E13D04" w14:textId="77777777" w:rsidR="009B5CF7" w:rsidRDefault="009B5CF7">
      <w:pPr>
        <w:spacing w:line="360" w:lineRule="auto"/>
        <w:ind w:right="-704"/>
        <w:rPr>
          <w:rFonts w:ascii="Palatino Linotype" w:eastAsia="Palatino Linotype" w:hAnsi="Palatino Linotype" w:cs="Palatino Linotype"/>
        </w:rPr>
      </w:pPr>
    </w:p>
    <w:p w14:paraId="76EEB3AB" w14:textId="77777777" w:rsidR="009B5CF7" w:rsidRDefault="009B5CF7">
      <w:pPr>
        <w:spacing w:line="360" w:lineRule="auto"/>
        <w:ind w:right="-704"/>
        <w:rPr>
          <w:rFonts w:ascii="Palatino Linotype" w:eastAsia="Palatino Linotype" w:hAnsi="Palatino Linotype" w:cs="Palatino Linotype"/>
        </w:rPr>
      </w:pPr>
    </w:p>
    <w:p w14:paraId="3E6F9292" w14:textId="77777777" w:rsidR="009B5CF7" w:rsidRDefault="009B5CF7">
      <w:pPr>
        <w:spacing w:line="360" w:lineRule="auto"/>
        <w:ind w:right="-704"/>
        <w:rPr>
          <w:rFonts w:ascii="Palatino Linotype" w:eastAsia="Palatino Linotype" w:hAnsi="Palatino Linotype" w:cs="Palatino Linotype"/>
        </w:rPr>
      </w:pPr>
    </w:p>
    <w:p w14:paraId="5956B0CC" w14:textId="77777777" w:rsidR="009B5CF7" w:rsidRDefault="009B5CF7">
      <w:pPr>
        <w:ind w:right="-704"/>
        <w:rPr>
          <w:rFonts w:ascii="Palatino Linotype" w:eastAsia="Palatino Linotype" w:hAnsi="Palatino Linotype" w:cs="Palatino Linotype"/>
        </w:rPr>
      </w:pPr>
      <w:bookmarkStart w:id="8" w:name="_heading=h.4d34og8" w:colFirst="0" w:colLast="0"/>
      <w:bookmarkEnd w:id="8"/>
    </w:p>
    <w:sectPr w:rsidR="009B5CF7">
      <w:headerReference w:type="even" r:id="rId10"/>
      <w:headerReference w:type="default" r:id="rId11"/>
      <w:footerReference w:type="default" r:id="rId12"/>
      <w:headerReference w:type="first" r:id="rId13"/>
      <w:footerReference w:type="first" r:id="rId14"/>
      <w:pgSz w:w="12240" w:h="15840"/>
      <w:pgMar w:top="80" w:right="1580"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A2B5" w14:textId="77777777" w:rsidR="004F1424" w:rsidRDefault="004F1424">
      <w:r>
        <w:separator/>
      </w:r>
    </w:p>
  </w:endnote>
  <w:endnote w:type="continuationSeparator" w:id="0">
    <w:p w14:paraId="3FCF56B5" w14:textId="77777777" w:rsidR="004F1424" w:rsidRDefault="004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4494" w14:textId="77777777" w:rsidR="009B5CF7" w:rsidRDefault="00235B3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D7754">
      <w:rPr>
        <w:b/>
        <w:noProof/>
        <w:color w:val="000000"/>
      </w:rPr>
      <w:t>16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D7754">
      <w:rPr>
        <w:b/>
        <w:noProof/>
        <w:color w:val="000000"/>
      </w:rPr>
      <w:t>16</w:t>
    </w:r>
    <w:r>
      <w:rPr>
        <w:b/>
        <w:color w:val="000000"/>
      </w:rPr>
      <w:fldChar w:fldCharType="end"/>
    </w:r>
  </w:p>
  <w:p w14:paraId="1680AD39" w14:textId="77777777" w:rsidR="009B5CF7" w:rsidRDefault="009B5C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4D98" w14:textId="77777777" w:rsidR="009B5CF7" w:rsidRDefault="00235B3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D775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D7754">
      <w:rPr>
        <w:b/>
        <w:noProof/>
        <w:color w:val="000000"/>
      </w:rPr>
      <w:t>16</w:t>
    </w:r>
    <w:r>
      <w:rPr>
        <w:b/>
        <w:color w:val="000000"/>
      </w:rPr>
      <w:fldChar w:fldCharType="end"/>
    </w:r>
  </w:p>
  <w:p w14:paraId="2ED8B688" w14:textId="77777777" w:rsidR="009B5CF7" w:rsidRDefault="009B5C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6E0B" w14:textId="77777777" w:rsidR="004F1424" w:rsidRDefault="004F1424">
      <w:r>
        <w:separator/>
      </w:r>
    </w:p>
  </w:footnote>
  <w:footnote w:type="continuationSeparator" w:id="0">
    <w:p w14:paraId="5FD6900E" w14:textId="77777777" w:rsidR="004F1424" w:rsidRDefault="004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AFCA" w14:textId="77777777" w:rsidR="009B5CF7" w:rsidRDefault="004F1424">
    <w:pPr>
      <w:pBdr>
        <w:top w:val="nil"/>
        <w:left w:val="nil"/>
        <w:bottom w:val="nil"/>
        <w:right w:val="nil"/>
        <w:between w:val="nil"/>
      </w:pBdr>
      <w:tabs>
        <w:tab w:val="center" w:pos="4419"/>
        <w:tab w:val="right" w:pos="8838"/>
      </w:tabs>
      <w:rPr>
        <w:color w:val="000000"/>
      </w:rPr>
    </w:pPr>
    <w:r>
      <w:rPr>
        <w:color w:val="000000"/>
      </w:rPr>
      <w:pict w14:anchorId="7AAE6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214" w:type="dxa"/>
      <w:tblInd w:w="0" w:type="dxa"/>
      <w:tblLayout w:type="fixed"/>
      <w:tblLook w:val="0400" w:firstRow="0" w:lastRow="0" w:firstColumn="0" w:lastColumn="0" w:noHBand="0" w:noVBand="1"/>
    </w:tblPr>
    <w:tblGrid>
      <w:gridCol w:w="2268"/>
      <w:gridCol w:w="6946"/>
    </w:tblGrid>
    <w:tr w:rsidR="009B5CF7" w14:paraId="1F3C14A9" w14:textId="77777777">
      <w:trPr>
        <w:trHeight w:val="1435"/>
      </w:trPr>
      <w:tc>
        <w:tcPr>
          <w:tcW w:w="2268" w:type="dxa"/>
          <w:shd w:val="clear" w:color="auto" w:fill="auto"/>
        </w:tcPr>
        <w:p w14:paraId="268A16FE" w14:textId="77777777" w:rsidR="009B5CF7" w:rsidRDefault="009B5CF7">
          <w:pPr>
            <w:tabs>
              <w:tab w:val="right" w:pos="4273"/>
            </w:tabs>
            <w:rPr>
              <w:rFonts w:ascii="Garamond" w:eastAsia="Garamond" w:hAnsi="Garamond" w:cs="Garamond"/>
              <w:sz w:val="16"/>
              <w:szCs w:val="16"/>
            </w:rPr>
          </w:pPr>
        </w:p>
      </w:tc>
      <w:tc>
        <w:tcPr>
          <w:tcW w:w="6946" w:type="dxa"/>
          <w:shd w:val="clear" w:color="auto" w:fill="auto"/>
        </w:tcPr>
        <w:tbl>
          <w:tblPr>
            <w:tblStyle w:val="a0"/>
            <w:tblW w:w="7075" w:type="dxa"/>
            <w:tblInd w:w="40" w:type="dxa"/>
            <w:tblLayout w:type="fixed"/>
            <w:tblLook w:val="0400" w:firstRow="0" w:lastRow="0" w:firstColumn="0" w:lastColumn="0" w:noHBand="0" w:noVBand="1"/>
          </w:tblPr>
          <w:tblGrid>
            <w:gridCol w:w="2513"/>
            <w:gridCol w:w="4562"/>
          </w:tblGrid>
          <w:tr w:rsidR="009B5CF7" w14:paraId="7638DB24" w14:textId="77777777" w:rsidTr="00B9258F">
            <w:trPr>
              <w:trHeight w:val="126"/>
            </w:trPr>
            <w:tc>
              <w:tcPr>
                <w:tcW w:w="2513" w:type="dxa"/>
                <w:shd w:val="clear" w:color="auto" w:fill="auto"/>
              </w:tcPr>
              <w:p w14:paraId="1AA0C99F" w14:textId="77777777" w:rsidR="009B5CF7" w:rsidRDefault="00235B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62" w:type="dxa"/>
                <w:shd w:val="clear" w:color="auto" w:fill="auto"/>
              </w:tcPr>
              <w:p w14:paraId="256386D8" w14:textId="77777777" w:rsidR="009B5CF7" w:rsidRDefault="00235B34" w:rsidP="00B9258F">
                <w:pPr>
                  <w:tabs>
                    <w:tab w:val="right" w:pos="8838"/>
                  </w:tabs>
                  <w:ind w:left="-108" w:right="-124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00688/INFOEM/IP/RR/2024</w:t>
                </w:r>
              </w:p>
            </w:tc>
          </w:tr>
          <w:tr w:rsidR="009B5CF7" w14:paraId="757E0DF9" w14:textId="77777777" w:rsidTr="00B9258F">
            <w:trPr>
              <w:trHeight w:val="250"/>
            </w:trPr>
            <w:tc>
              <w:tcPr>
                <w:tcW w:w="2513" w:type="dxa"/>
                <w:shd w:val="clear" w:color="auto" w:fill="auto"/>
              </w:tcPr>
              <w:p w14:paraId="7E3BE9A3" w14:textId="77777777" w:rsidR="009B5CF7" w:rsidRDefault="00235B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62" w:type="dxa"/>
                <w:shd w:val="clear" w:color="auto" w:fill="auto"/>
              </w:tcPr>
              <w:p w14:paraId="5B7F1244" w14:textId="77777777" w:rsidR="000A0F40" w:rsidRDefault="00235B34" w:rsidP="00B9258F">
                <w:pPr>
                  <w:ind w:left="-108" w:right="-68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Sindicato Único de Trabajado</w:t>
                </w:r>
                <w:r w:rsidR="000A0F40">
                  <w:rPr>
                    <w:rFonts w:ascii="Palatino Linotype" w:eastAsia="Palatino Linotype" w:hAnsi="Palatino Linotype" w:cs="Palatino Linotype"/>
                    <w:color w:val="000000"/>
                    <w:sz w:val="22"/>
                    <w:szCs w:val="22"/>
                  </w:rPr>
                  <w:t xml:space="preserve">res de los </w:t>
                </w:r>
              </w:p>
              <w:p w14:paraId="34ECA4E1" w14:textId="77777777" w:rsidR="009B5CF7" w:rsidRDefault="000A0F40" w:rsidP="00B9258F">
                <w:pPr>
                  <w:ind w:left="-108" w:right="-682"/>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Poderes, Municipios e</w:t>
                </w:r>
                <w:r w:rsidR="00235B34">
                  <w:rPr>
                    <w:rFonts w:ascii="Palatino Linotype" w:eastAsia="Palatino Linotype" w:hAnsi="Palatino Linotype" w:cs="Palatino Linotype"/>
                    <w:color w:val="000000"/>
                    <w:sz w:val="22"/>
                    <w:szCs w:val="22"/>
                  </w:rPr>
                  <w:t xml:space="preserve"> Instituciones Descentralizadas del Estado de México</w:t>
                </w:r>
              </w:p>
            </w:tc>
          </w:tr>
          <w:tr w:rsidR="009B5CF7" w14:paraId="704FD120" w14:textId="77777777" w:rsidTr="00B9258F">
            <w:trPr>
              <w:trHeight w:val="250"/>
            </w:trPr>
            <w:tc>
              <w:tcPr>
                <w:tcW w:w="2513" w:type="dxa"/>
                <w:shd w:val="clear" w:color="auto" w:fill="auto"/>
              </w:tcPr>
              <w:p w14:paraId="7FEAF92C" w14:textId="77777777" w:rsidR="009B5CF7" w:rsidRDefault="00235B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562" w:type="dxa"/>
                <w:shd w:val="clear" w:color="auto" w:fill="auto"/>
              </w:tcPr>
              <w:p w14:paraId="74660697" w14:textId="77777777" w:rsidR="009B5CF7" w:rsidRDefault="00235B34" w:rsidP="00B9258F">
                <w:pPr>
                  <w:ind w:left="-108" w:right="-9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917C792" w14:textId="77777777" w:rsidR="009B5CF7" w:rsidRDefault="009B5CF7" w:rsidP="00B9258F">
                <w:pPr>
                  <w:tabs>
                    <w:tab w:val="right" w:pos="8838"/>
                  </w:tabs>
                  <w:ind w:left="-108" w:right="-963"/>
                  <w:rPr>
                    <w:rFonts w:ascii="Palatino Linotype" w:eastAsia="Palatino Linotype" w:hAnsi="Palatino Linotype" w:cs="Palatino Linotype"/>
                    <w:sz w:val="22"/>
                    <w:szCs w:val="22"/>
                  </w:rPr>
                </w:pPr>
              </w:p>
            </w:tc>
          </w:tr>
        </w:tbl>
        <w:p w14:paraId="4116B575" w14:textId="77777777" w:rsidR="009B5CF7" w:rsidRDefault="009B5CF7">
          <w:pPr>
            <w:tabs>
              <w:tab w:val="right" w:pos="8838"/>
            </w:tabs>
            <w:ind w:left="-28"/>
            <w:jc w:val="both"/>
            <w:rPr>
              <w:rFonts w:ascii="Arial" w:eastAsia="Arial" w:hAnsi="Arial" w:cs="Arial"/>
              <w:b/>
              <w:sz w:val="22"/>
              <w:szCs w:val="22"/>
            </w:rPr>
          </w:pPr>
        </w:p>
      </w:tc>
    </w:tr>
  </w:tbl>
  <w:p w14:paraId="5EF151FD" w14:textId="77777777" w:rsidR="009B5CF7" w:rsidRDefault="004F142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0921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0170" w:type="dxa"/>
      <w:tblInd w:w="0" w:type="dxa"/>
      <w:tblLayout w:type="fixed"/>
      <w:tblLook w:val="0400" w:firstRow="0" w:lastRow="0" w:firstColumn="0" w:lastColumn="0" w:noHBand="0" w:noVBand="1"/>
    </w:tblPr>
    <w:tblGrid>
      <w:gridCol w:w="2265"/>
      <w:gridCol w:w="7905"/>
    </w:tblGrid>
    <w:tr w:rsidR="009B5CF7" w14:paraId="04DDD6BA" w14:textId="77777777">
      <w:trPr>
        <w:trHeight w:val="1435"/>
      </w:trPr>
      <w:tc>
        <w:tcPr>
          <w:tcW w:w="2265" w:type="dxa"/>
          <w:shd w:val="clear" w:color="auto" w:fill="auto"/>
        </w:tcPr>
        <w:p w14:paraId="563EDD91" w14:textId="77777777" w:rsidR="009B5CF7" w:rsidRDefault="009B5CF7">
          <w:pPr>
            <w:tabs>
              <w:tab w:val="right" w:pos="4273"/>
            </w:tabs>
            <w:rPr>
              <w:rFonts w:ascii="Garamond" w:eastAsia="Garamond" w:hAnsi="Garamond" w:cs="Garamond"/>
              <w:sz w:val="22"/>
              <w:szCs w:val="22"/>
            </w:rPr>
          </w:pPr>
        </w:p>
      </w:tc>
      <w:tc>
        <w:tcPr>
          <w:tcW w:w="7905" w:type="dxa"/>
          <w:shd w:val="clear" w:color="auto" w:fill="auto"/>
        </w:tcPr>
        <w:tbl>
          <w:tblPr>
            <w:tblStyle w:val="a2"/>
            <w:tblW w:w="7605" w:type="dxa"/>
            <w:tblInd w:w="314" w:type="dxa"/>
            <w:tblLayout w:type="fixed"/>
            <w:tblLook w:val="0400" w:firstRow="0" w:lastRow="0" w:firstColumn="0" w:lastColumn="0" w:noHBand="0" w:noVBand="1"/>
          </w:tblPr>
          <w:tblGrid>
            <w:gridCol w:w="2550"/>
            <w:gridCol w:w="5055"/>
          </w:tblGrid>
          <w:tr w:rsidR="009B5CF7" w14:paraId="4DF74977" w14:textId="77777777" w:rsidTr="00B9258F">
            <w:trPr>
              <w:trHeight w:val="144"/>
            </w:trPr>
            <w:tc>
              <w:tcPr>
                <w:tcW w:w="2550" w:type="dxa"/>
                <w:shd w:val="clear" w:color="auto" w:fill="auto"/>
              </w:tcPr>
              <w:p w14:paraId="44C6D6B2" w14:textId="77777777" w:rsidR="009B5CF7" w:rsidRDefault="00235B34">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055" w:type="dxa"/>
                <w:shd w:val="clear" w:color="auto" w:fill="auto"/>
              </w:tcPr>
              <w:p w14:paraId="1B274E65" w14:textId="77777777" w:rsidR="009B5CF7" w:rsidRDefault="00235B34">
                <w:pPr>
                  <w:tabs>
                    <w:tab w:val="right" w:pos="8838"/>
                  </w:tabs>
                  <w:ind w:left="-74" w:right="-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00688/INFOEM/IP/RR/2024</w:t>
                </w:r>
              </w:p>
            </w:tc>
          </w:tr>
          <w:tr w:rsidR="009B5CF7" w14:paraId="6B822FB8" w14:textId="77777777" w:rsidTr="00B9258F">
            <w:trPr>
              <w:trHeight w:val="144"/>
            </w:trPr>
            <w:tc>
              <w:tcPr>
                <w:tcW w:w="2550" w:type="dxa"/>
                <w:shd w:val="clear" w:color="auto" w:fill="auto"/>
              </w:tcPr>
              <w:p w14:paraId="22CA2CBB" w14:textId="77777777" w:rsidR="009B5CF7" w:rsidRDefault="00235B3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055" w:type="dxa"/>
                <w:shd w:val="clear" w:color="auto" w:fill="auto"/>
              </w:tcPr>
              <w:p w14:paraId="4122B4E3" w14:textId="14895FC4" w:rsidR="009B5CF7" w:rsidRDefault="00A22E34">
                <w:pPr>
                  <w:tabs>
                    <w:tab w:val="left" w:pos="3122"/>
                    <w:tab w:val="right" w:pos="8838"/>
                  </w:tabs>
                  <w:ind w:left="-74" w:right="-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9B5CF7" w14:paraId="4FE784A7" w14:textId="77777777" w:rsidTr="00B9258F">
            <w:trPr>
              <w:trHeight w:val="283"/>
            </w:trPr>
            <w:tc>
              <w:tcPr>
                <w:tcW w:w="2550" w:type="dxa"/>
                <w:shd w:val="clear" w:color="auto" w:fill="auto"/>
              </w:tcPr>
              <w:p w14:paraId="7C6D9C14" w14:textId="77777777" w:rsidR="009B5CF7" w:rsidRDefault="00235B3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055" w:type="dxa"/>
                <w:shd w:val="clear" w:color="auto" w:fill="auto"/>
              </w:tcPr>
              <w:p w14:paraId="14099D62" w14:textId="77777777" w:rsidR="009B5CF7" w:rsidRDefault="00235B34">
                <w:pPr>
                  <w:tabs>
                    <w:tab w:val="left" w:pos="2834"/>
                    <w:tab w:val="right" w:pos="8838"/>
                  </w:tabs>
                  <w:ind w:left="-74" w:right="-3"/>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Sind</w:t>
                </w:r>
                <w:r w:rsidR="000A0F40">
                  <w:rPr>
                    <w:rFonts w:ascii="Palatino Linotype" w:eastAsia="Palatino Linotype" w:hAnsi="Palatino Linotype" w:cs="Palatino Linotype"/>
                    <w:color w:val="000000"/>
                    <w:sz w:val="22"/>
                    <w:szCs w:val="22"/>
                  </w:rPr>
                  <w:t>icato Único de Trabajadores de los Poderes, Municipios e</w:t>
                </w:r>
                <w:r>
                  <w:rPr>
                    <w:rFonts w:ascii="Palatino Linotype" w:eastAsia="Palatino Linotype" w:hAnsi="Palatino Linotype" w:cs="Palatino Linotype"/>
                    <w:color w:val="000000"/>
                    <w:sz w:val="22"/>
                    <w:szCs w:val="22"/>
                  </w:rPr>
                  <w:t xml:space="preserve"> Instituciones Descentralizadas del Estado de México</w:t>
                </w:r>
              </w:p>
            </w:tc>
          </w:tr>
          <w:tr w:rsidR="009B5CF7" w14:paraId="7064BA92" w14:textId="77777777" w:rsidTr="00B9258F">
            <w:trPr>
              <w:trHeight w:val="283"/>
            </w:trPr>
            <w:tc>
              <w:tcPr>
                <w:tcW w:w="2550" w:type="dxa"/>
                <w:shd w:val="clear" w:color="auto" w:fill="auto"/>
              </w:tcPr>
              <w:p w14:paraId="7FD8E284" w14:textId="77777777" w:rsidR="009B5CF7" w:rsidRDefault="00235B3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5055" w:type="dxa"/>
                <w:shd w:val="clear" w:color="auto" w:fill="auto"/>
              </w:tcPr>
              <w:p w14:paraId="3E76D8B7" w14:textId="77777777" w:rsidR="009B5CF7" w:rsidRDefault="00235B34">
                <w:pPr>
                  <w:tabs>
                    <w:tab w:val="right" w:pos="8838"/>
                  </w:tabs>
                  <w:ind w:left="-74" w:right="-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35667ED" w14:textId="77777777" w:rsidR="009B5CF7" w:rsidRDefault="009B5CF7">
          <w:pPr>
            <w:tabs>
              <w:tab w:val="right" w:pos="8838"/>
            </w:tabs>
            <w:ind w:left="-28"/>
            <w:jc w:val="both"/>
            <w:rPr>
              <w:rFonts w:ascii="Arial" w:eastAsia="Arial" w:hAnsi="Arial" w:cs="Arial"/>
              <w:b/>
              <w:sz w:val="22"/>
              <w:szCs w:val="22"/>
            </w:rPr>
          </w:pPr>
        </w:p>
      </w:tc>
    </w:tr>
  </w:tbl>
  <w:p w14:paraId="4D835910" w14:textId="77777777" w:rsidR="009B5CF7" w:rsidRDefault="004F142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0A6A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E2F"/>
    <w:multiLevelType w:val="multilevel"/>
    <w:tmpl w:val="C31ED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05371A"/>
    <w:multiLevelType w:val="multilevel"/>
    <w:tmpl w:val="37B68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470D9"/>
    <w:multiLevelType w:val="multilevel"/>
    <w:tmpl w:val="2CC6ED68"/>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4D2652"/>
    <w:multiLevelType w:val="multilevel"/>
    <w:tmpl w:val="9222A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FF02DE"/>
    <w:multiLevelType w:val="multilevel"/>
    <w:tmpl w:val="7FDE0BBA"/>
    <w:lvl w:ilvl="0">
      <w:start w:val="1"/>
      <w:numFmt w:val="upperRoman"/>
      <w:lvlText w:val="%1."/>
      <w:lvlJc w:val="left"/>
      <w:pPr>
        <w:ind w:left="1080" w:hanging="72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9286950">
    <w:abstractNumId w:val="4"/>
  </w:num>
  <w:num w:numId="2" w16cid:durableId="525556486">
    <w:abstractNumId w:val="1"/>
  </w:num>
  <w:num w:numId="3" w16cid:durableId="1295133143">
    <w:abstractNumId w:val="2"/>
  </w:num>
  <w:num w:numId="4" w16cid:durableId="416751037">
    <w:abstractNumId w:val="0"/>
  </w:num>
  <w:num w:numId="5" w16cid:durableId="59058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F7"/>
    <w:rsid w:val="000A0F40"/>
    <w:rsid w:val="000D7754"/>
    <w:rsid w:val="00235B34"/>
    <w:rsid w:val="004F1424"/>
    <w:rsid w:val="009B5CF7"/>
    <w:rsid w:val="00A22E34"/>
    <w:rsid w:val="00AC0402"/>
    <w:rsid w:val="00B9258F"/>
    <w:rsid w:val="00C03092"/>
    <w:rsid w:val="00C94A71"/>
    <w:rsid w:val="00E73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9AAA"/>
  <w15:docId w15:val="{ED0C89A5-835D-467E-8655-CEB9FBBD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3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unhideWhenUsed/>
    <w:qFormat/>
    <w:rsid w:val="000571B3"/>
    <w:pPr>
      <w:keepNext/>
      <w:keepLines/>
      <w:suppressAutoHyphens/>
      <w:spacing w:before="40"/>
      <w:outlineLvl w:val="4"/>
    </w:pPr>
    <w:rPr>
      <w:rFonts w:asciiTheme="majorHAnsi" w:eastAsiaTheme="majorEastAsia" w:hAnsiTheme="majorHAnsi" w:cstheme="majorBidi"/>
      <w:color w:val="2E74B5" w:themeColor="accent1" w:themeShade="BF"/>
      <w:lang w:val="es-ES" w:eastAsia="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qFormat/>
    <w:rsid w:val="00383939"/>
    <w:pPr>
      <w:tabs>
        <w:tab w:val="center" w:pos="4419"/>
        <w:tab w:val="right" w:pos="8838"/>
      </w:tabs>
    </w:pPr>
  </w:style>
  <w:style w:type="character" w:customStyle="1" w:styleId="EncabezadoCar">
    <w:name w:val="Encabezado Car"/>
    <w:basedOn w:val="Fuentedeprrafopredeter"/>
    <w:link w:val="Encabezado"/>
    <w:uiPriority w:val="99"/>
    <w:qFormat/>
    <w:rsid w:val="0038393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83939"/>
    <w:pPr>
      <w:tabs>
        <w:tab w:val="center" w:pos="4419"/>
        <w:tab w:val="right" w:pos="8838"/>
      </w:tabs>
    </w:pPr>
  </w:style>
  <w:style w:type="character" w:customStyle="1" w:styleId="PiedepginaCar">
    <w:name w:val="Pie de página Car"/>
    <w:basedOn w:val="Fuentedeprrafopredeter"/>
    <w:link w:val="Piedepgina"/>
    <w:uiPriority w:val="99"/>
    <w:rsid w:val="0038393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393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393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83939"/>
    <w:rPr>
      <w:color w:val="0563C1"/>
      <w:u w:val="single"/>
    </w:rPr>
  </w:style>
  <w:style w:type="character" w:styleId="Hipervnculovisitado">
    <w:name w:val="FollowedHyperlink"/>
    <w:basedOn w:val="Fuentedeprrafopredeter"/>
    <w:uiPriority w:val="99"/>
    <w:semiHidden/>
    <w:unhideWhenUsed/>
    <w:rsid w:val="007E1D86"/>
    <w:rPr>
      <w:color w:val="954F72" w:themeColor="followedHyperlink"/>
      <w:u w:val="single"/>
    </w:rPr>
  </w:style>
  <w:style w:type="paragraph" w:styleId="Sinespaciado">
    <w:name w:val="No Spacing"/>
    <w:aliases w:val="Francesa,INAI"/>
    <w:link w:val="SinespaciadoCar"/>
    <w:uiPriority w:val="1"/>
    <w:qFormat/>
    <w:rsid w:val="00A01E81"/>
  </w:style>
  <w:style w:type="character" w:customStyle="1" w:styleId="SinespaciadoCar">
    <w:name w:val="Sin espaciado Car"/>
    <w:aliases w:val="Francesa Car,INAI Car"/>
    <w:link w:val="Sinespaciado"/>
    <w:uiPriority w:val="1"/>
    <w:locked/>
    <w:rsid w:val="00A01E81"/>
  </w:style>
  <w:style w:type="table" w:styleId="Tablaconcuadrcula">
    <w:name w:val="Table Grid"/>
    <w:basedOn w:val="Tablanormal"/>
    <w:uiPriority w:val="39"/>
    <w:rsid w:val="00E21F81"/>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qFormat/>
    <w:rsid w:val="000571B3"/>
    <w:rPr>
      <w:rFonts w:asciiTheme="majorHAnsi" w:eastAsiaTheme="majorEastAsia" w:hAnsiTheme="majorHAnsi" w:cstheme="majorBidi"/>
      <w:color w:val="2E74B5" w:themeColor="accent1" w:themeShade="BF"/>
      <w:sz w:val="24"/>
      <w:szCs w:val="24"/>
      <w:lang w:val="es-ES" w:eastAsia="es-ES"/>
    </w:rPr>
  </w:style>
  <w:style w:type="numbering" w:customStyle="1" w:styleId="Estiloimportado2">
    <w:name w:val="Estilo importado 2"/>
    <w:qFormat/>
    <w:rsid w:val="000571B3"/>
  </w:style>
  <w:style w:type="character" w:customStyle="1" w:styleId="Mencinsinresolver1">
    <w:name w:val="Mención sin resolver1"/>
    <w:basedOn w:val="Fuentedeprrafopredeter"/>
    <w:uiPriority w:val="99"/>
    <w:semiHidden/>
    <w:unhideWhenUsed/>
    <w:rsid w:val="007D54DA"/>
    <w:rPr>
      <w:color w:val="605E5C"/>
      <w:shd w:val="clear" w:color="auto" w:fill="E1DFDD"/>
    </w:rPr>
  </w:style>
  <w:style w:type="paragraph" w:customStyle="1" w:styleId="Default">
    <w:name w:val="Default"/>
    <w:rsid w:val="009B566A"/>
    <w:pPr>
      <w:autoSpaceDE w:val="0"/>
      <w:autoSpaceDN w:val="0"/>
      <w:adjustRightInd w:val="0"/>
    </w:pPr>
    <w:rPr>
      <w:rFonts w:ascii="Bookman Old Style" w:eastAsiaTheme="minorEastAsia" w:hAnsi="Bookman Old Style" w:cs="Bookman Old Style"/>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B9258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3860.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6WY4WGAblE56wiNIktSwRgyLw==">CgMxLjAyCGguZ2pkZ3hzMgloLjMwajB6bGwyCWguMWZvYjl0ZTIJaC4zem55c2g3MgloLjJldDkycDAyCGgudHlqY3d0MgloLjNkeTZ2a20yCWguMXQzaDVzZjIJaC40ZDM0b2c4OAByITFWTG5rdTBjMHY0TFdZT2NyZGdjSXhXTUVYV2NMMmFzVw==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3585</Words>
  <Characters>19723</Characters>
  <Application>Microsoft Office Word</Application>
  <DocSecurity>0</DocSecurity>
  <Lines>164</Lines>
  <Paragraphs>46</Paragraphs>
  <ScaleCrop>false</ScaleCrop>
  <Company>HP Inc.</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inf03m612@outlook.com</cp:lastModifiedBy>
  <cp:revision>6</cp:revision>
  <cp:lastPrinted>2024-11-07T18:23:00Z</cp:lastPrinted>
  <dcterms:created xsi:type="dcterms:W3CDTF">2024-10-24T18:46:00Z</dcterms:created>
  <dcterms:modified xsi:type="dcterms:W3CDTF">2024-11-13T18:53:00Z</dcterms:modified>
</cp:coreProperties>
</file>