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CB8B7"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ocho de febrero de dos mil veinticuatro. </w:t>
      </w:r>
    </w:p>
    <w:p w14:paraId="13B6E71A" w14:textId="7C67359E"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VISTO</w:t>
      </w:r>
      <w:r w:rsidRPr="00FF4B10">
        <w:rPr>
          <w:rFonts w:ascii="Palatino Linotype" w:eastAsia="Palatino Linotype" w:hAnsi="Palatino Linotype" w:cs="Palatino Linotype"/>
        </w:rPr>
        <w:t xml:space="preserve"> el expediente formado con motivo del recurso de revisión </w:t>
      </w:r>
      <w:r w:rsidRPr="00FF4B10">
        <w:rPr>
          <w:rFonts w:ascii="Palatino Linotype" w:eastAsia="Palatino Linotype" w:hAnsi="Palatino Linotype" w:cs="Palatino Linotype"/>
          <w:b/>
        </w:rPr>
        <w:t>02784/INFOEM/IP/RR/2023</w:t>
      </w:r>
      <w:r w:rsidRPr="00FF4B10">
        <w:rPr>
          <w:rFonts w:ascii="Palatino Linotype" w:eastAsia="Palatino Linotype" w:hAnsi="Palatino Linotype" w:cs="Palatino Linotype"/>
        </w:rPr>
        <w:t>, interpuesto por</w:t>
      </w:r>
      <w:r w:rsidRPr="00FF4B10">
        <w:rPr>
          <w:rFonts w:ascii="Palatino Linotype" w:eastAsia="Palatino Linotype" w:hAnsi="Palatino Linotype" w:cs="Palatino Linotype"/>
          <w:b/>
        </w:rPr>
        <w:t xml:space="preserve"> </w:t>
      </w:r>
      <w:r w:rsidR="00087727">
        <w:rPr>
          <w:rFonts w:ascii="Palatino Linotype" w:eastAsia="Palatino Linotype" w:hAnsi="Palatino Linotype" w:cs="Palatino Linotype"/>
          <w:b/>
        </w:rPr>
        <w:t>XXXXXXX XXXXXXXXX XXXX</w:t>
      </w:r>
      <w:r w:rsidRPr="00FF4B10">
        <w:rPr>
          <w:rFonts w:ascii="Palatino Linotype" w:eastAsia="Palatino Linotype" w:hAnsi="Palatino Linotype" w:cs="Palatino Linotype"/>
        </w:rPr>
        <w:t xml:space="preserve">, en lo sucesivo la parte </w:t>
      </w:r>
      <w:r w:rsidRPr="00FF4B10">
        <w:rPr>
          <w:rFonts w:ascii="Palatino Linotype" w:eastAsia="Palatino Linotype" w:hAnsi="Palatino Linotype" w:cs="Palatino Linotype"/>
          <w:b/>
        </w:rPr>
        <w:t>RECURRENTE,</w:t>
      </w:r>
      <w:r w:rsidRPr="00FF4B10">
        <w:rPr>
          <w:rFonts w:ascii="Palatino Linotype" w:eastAsia="Palatino Linotype" w:hAnsi="Palatino Linotype" w:cs="Palatino Linotype"/>
        </w:rPr>
        <w:t xml:space="preserve"> en contra de la respuesta a su solicitud de información con número de folio</w:t>
      </w:r>
      <w:r w:rsidRPr="00FF4B10">
        <w:rPr>
          <w:rFonts w:ascii="Palatino Linotype" w:eastAsia="Palatino Linotype" w:hAnsi="Palatino Linotype" w:cs="Palatino Linotype"/>
          <w:b/>
        </w:rPr>
        <w:t xml:space="preserve"> 00135/HUIXQUIL/IP/2023, </w:t>
      </w:r>
      <w:r w:rsidRPr="00FF4B10">
        <w:rPr>
          <w:rFonts w:ascii="Palatino Linotype" w:eastAsia="Palatino Linotype" w:hAnsi="Palatino Linotype" w:cs="Palatino Linotype"/>
        </w:rPr>
        <w:t xml:space="preserve">por parte del </w:t>
      </w:r>
      <w:r w:rsidRPr="00FF4B10">
        <w:rPr>
          <w:rFonts w:ascii="Palatino Linotype" w:eastAsia="Palatino Linotype" w:hAnsi="Palatino Linotype" w:cs="Palatino Linotype"/>
          <w:b/>
        </w:rPr>
        <w:t xml:space="preserve">Ayuntamiento de Huixquilucan, </w:t>
      </w:r>
      <w:r w:rsidRPr="00FF4B10">
        <w:rPr>
          <w:rFonts w:ascii="Palatino Linotype" w:eastAsia="Palatino Linotype" w:hAnsi="Palatino Linotype" w:cs="Palatino Linotype"/>
        </w:rPr>
        <w:t xml:space="preserve">en lo sucesivo el </w:t>
      </w:r>
      <w:r w:rsidRPr="00FF4B10">
        <w:rPr>
          <w:rFonts w:ascii="Palatino Linotype" w:eastAsia="Palatino Linotype" w:hAnsi="Palatino Linotype" w:cs="Palatino Linotype"/>
          <w:b/>
        </w:rPr>
        <w:t xml:space="preserve">SUJETO OBLIGADO, </w:t>
      </w:r>
      <w:r w:rsidRPr="00FF4B10">
        <w:rPr>
          <w:rFonts w:ascii="Palatino Linotype" w:eastAsia="Palatino Linotype" w:hAnsi="Palatino Linotype" w:cs="Palatino Linotype"/>
        </w:rPr>
        <w:t xml:space="preserve">se procede a dictar la presente resolución con base en los siguientes: </w:t>
      </w:r>
    </w:p>
    <w:p w14:paraId="6ACC80C6" w14:textId="77777777" w:rsidR="00AE4E6B" w:rsidRPr="00FF4B10" w:rsidRDefault="00786E08">
      <w:pPr>
        <w:spacing w:before="240" w:after="240" w:line="360" w:lineRule="auto"/>
        <w:jc w:val="center"/>
        <w:rPr>
          <w:rFonts w:ascii="Palatino Linotype" w:eastAsia="Palatino Linotype" w:hAnsi="Palatino Linotype" w:cs="Palatino Linotype"/>
          <w:b/>
        </w:rPr>
      </w:pPr>
      <w:r w:rsidRPr="00FF4B10">
        <w:rPr>
          <w:rFonts w:ascii="Palatino Linotype" w:eastAsia="Palatino Linotype" w:hAnsi="Palatino Linotype" w:cs="Palatino Linotype"/>
          <w:b/>
        </w:rPr>
        <w:t>I. A N T E C E D E N T E S</w:t>
      </w:r>
    </w:p>
    <w:p w14:paraId="42750BD7"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1. Solicitud de acceso a la información.</w:t>
      </w:r>
      <w:r w:rsidRPr="00FF4B10">
        <w:rPr>
          <w:rFonts w:ascii="Palatino Linotype" w:eastAsia="Palatino Linotype" w:hAnsi="Palatino Linotype" w:cs="Palatino Linotype"/>
        </w:rPr>
        <w:t xml:space="preserve"> Con fecha </w:t>
      </w:r>
      <w:r w:rsidRPr="00FF4B10">
        <w:rPr>
          <w:rFonts w:ascii="Palatino Linotype" w:eastAsia="Palatino Linotype" w:hAnsi="Palatino Linotype" w:cs="Palatino Linotype"/>
          <w:b/>
        </w:rPr>
        <w:t>veintiséis de abril de dos mil veintitrés,</w:t>
      </w:r>
      <w:r w:rsidRPr="00FF4B10">
        <w:rPr>
          <w:rFonts w:ascii="Palatino Linotype" w:eastAsia="Palatino Linotype" w:hAnsi="Palatino Linotype" w:cs="Palatino Linotype"/>
        </w:rPr>
        <w:t xml:space="preserve"> la parte </w:t>
      </w:r>
      <w:r w:rsidRPr="00FF4B10">
        <w:rPr>
          <w:rFonts w:ascii="Palatino Linotype" w:eastAsia="Palatino Linotype" w:hAnsi="Palatino Linotype" w:cs="Palatino Linotype"/>
          <w:b/>
        </w:rPr>
        <w:t xml:space="preserve">RECURRENTE </w:t>
      </w:r>
      <w:r w:rsidRPr="00FF4B10">
        <w:rPr>
          <w:rFonts w:ascii="Palatino Linotype" w:eastAsia="Palatino Linotype" w:hAnsi="Palatino Linotype" w:cs="Palatino Linotype"/>
        </w:rPr>
        <w:t xml:space="preserve">presentó, a través del Sistema de Acceso a la Información Mexiquense, en lo subsecuente el </w:t>
      </w:r>
      <w:r w:rsidRPr="00FF4B10">
        <w:rPr>
          <w:rFonts w:ascii="Palatino Linotype" w:eastAsia="Palatino Linotype" w:hAnsi="Palatino Linotype" w:cs="Palatino Linotype"/>
          <w:b/>
        </w:rPr>
        <w:t>SAIMEX,</w:t>
      </w:r>
      <w:r w:rsidRPr="00FF4B10">
        <w:rPr>
          <w:rFonts w:ascii="Palatino Linotype" w:eastAsia="Palatino Linotype" w:hAnsi="Palatino Linotype" w:cs="Palatino Linotype"/>
        </w:rPr>
        <w:t xml:space="preserve"> ante 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la solicitud de acceso a la información pública, a la que se le asignó el número</w:t>
      </w:r>
      <w:r w:rsidRPr="00FF4B10">
        <w:rPr>
          <w:rFonts w:ascii="Palatino Linotype" w:eastAsia="Palatino Linotype" w:hAnsi="Palatino Linotype" w:cs="Palatino Linotype"/>
          <w:b/>
        </w:rPr>
        <w:t xml:space="preserve"> 00135/HUIXQUIL/IP/2023, </w:t>
      </w:r>
      <w:r w:rsidRPr="00FF4B10">
        <w:rPr>
          <w:rFonts w:ascii="Palatino Linotype" w:eastAsia="Palatino Linotype" w:hAnsi="Palatino Linotype" w:cs="Palatino Linotype"/>
        </w:rPr>
        <w:t xml:space="preserve">mediante la cual requirió la información siguiente: </w:t>
      </w:r>
    </w:p>
    <w:p w14:paraId="1F53FDC4" w14:textId="7A8B5AEA" w:rsidR="00AE4E6B" w:rsidRPr="00FF4B10" w:rsidRDefault="00786E08">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FF4B10">
        <w:rPr>
          <w:rFonts w:ascii="Palatino Linotype" w:eastAsia="Palatino Linotype" w:hAnsi="Palatino Linotype" w:cs="Palatino Linotype"/>
          <w:i/>
          <w:sz w:val="22"/>
          <w:szCs w:val="22"/>
        </w:rPr>
        <w:t xml:space="preserve">“Solicito la versión pública del procedimiento de registro catastral del predio ubicado en </w:t>
      </w:r>
      <w:bookmarkStart w:id="1" w:name="_Hlk158985343"/>
      <w:r w:rsidR="00501024">
        <w:rPr>
          <w:rFonts w:ascii="Palatino Linotype" w:eastAsia="Palatino Linotype" w:hAnsi="Palatino Linotype" w:cs="Palatino Linotype"/>
          <w:i/>
          <w:sz w:val="22"/>
          <w:szCs w:val="22"/>
        </w:rPr>
        <w:t>XXXXX XXXXXX XXXX XXXXXXX XX, XXXX X, XXXXXXX XX XXXXXXXX</w:t>
      </w:r>
      <w:bookmarkEnd w:id="1"/>
      <w:r w:rsidR="00501024">
        <w:rPr>
          <w:rFonts w:ascii="Palatino Linotype" w:eastAsia="Palatino Linotype" w:hAnsi="Palatino Linotype" w:cs="Palatino Linotype"/>
          <w:i/>
          <w:sz w:val="22"/>
          <w:szCs w:val="22"/>
        </w:rPr>
        <w:t xml:space="preserve">, </w:t>
      </w:r>
      <w:r w:rsidRPr="00FF4B10">
        <w:rPr>
          <w:rFonts w:ascii="Palatino Linotype" w:eastAsia="Palatino Linotype" w:hAnsi="Palatino Linotype" w:cs="Palatino Linotype"/>
          <w:i/>
          <w:sz w:val="22"/>
          <w:szCs w:val="22"/>
        </w:rPr>
        <w:t xml:space="preserve">HUIXQUILUCAN ESTADO DE MÉXICO, el cual fue dado de alta con la clave catastral </w:t>
      </w:r>
      <w:r w:rsidR="00501024">
        <w:rPr>
          <w:rFonts w:ascii="Palatino Linotype" w:eastAsia="Palatino Linotype" w:hAnsi="Palatino Linotype" w:cs="Palatino Linotype"/>
          <w:i/>
          <w:sz w:val="22"/>
          <w:szCs w:val="22"/>
        </w:rPr>
        <w:t>XXX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XXXX</w:t>
      </w:r>
      <w:r w:rsidRPr="00FF4B10">
        <w:rPr>
          <w:rFonts w:ascii="Palatino Linotype" w:eastAsia="Palatino Linotype" w:hAnsi="Palatino Linotype" w:cs="Palatino Linotype"/>
          <w:i/>
          <w:sz w:val="22"/>
          <w:szCs w:val="22"/>
        </w:rPr>
        <w:t xml:space="preserve">, así como el tracto sucesivo que realiza la C. </w:t>
      </w:r>
      <w:r w:rsidR="00501024">
        <w:rPr>
          <w:rFonts w:ascii="Palatino Linotype" w:eastAsia="Palatino Linotype" w:hAnsi="Palatino Linotype" w:cs="Palatino Linotype"/>
          <w:i/>
          <w:sz w:val="22"/>
          <w:szCs w:val="22"/>
        </w:rPr>
        <w:t>XXXXX XXXXXXX XXXXX</w:t>
      </w:r>
      <w:r w:rsidRPr="00FF4B10">
        <w:rPr>
          <w:rFonts w:ascii="Palatino Linotype" w:eastAsia="Palatino Linotype" w:hAnsi="Palatino Linotype" w:cs="Palatino Linotype"/>
          <w:i/>
          <w:sz w:val="22"/>
          <w:szCs w:val="22"/>
        </w:rPr>
        <w:t xml:space="preserve"> a su favor. De igual forma, también solicito un informe del sistema de </w:t>
      </w:r>
      <w:proofErr w:type="spellStart"/>
      <w:r w:rsidRPr="00FF4B10">
        <w:rPr>
          <w:rFonts w:ascii="Palatino Linotype" w:eastAsia="Palatino Linotype" w:hAnsi="Palatino Linotype" w:cs="Palatino Linotype"/>
          <w:i/>
          <w:sz w:val="22"/>
          <w:szCs w:val="22"/>
        </w:rPr>
        <w:t>de</w:t>
      </w:r>
      <w:proofErr w:type="spellEnd"/>
      <w:r w:rsidRPr="00FF4B10">
        <w:rPr>
          <w:rFonts w:ascii="Palatino Linotype" w:eastAsia="Palatino Linotype" w:hAnsi="Palatino Linotype" w:cs="Palatino Linotype"/>
          <w:i/>
          <w:sz w:val="22"/>
          <w:szCs w:val="22"/>
        </w:rPr>
        <w:t xml:space="preserve"> gestión catastral del municipio de Huixquilucan, mostrando las medidas y colindancias del predio registrado con clave catastral 095-14-146-15-00-0000, ubicado en </w:t>
      </w:r>
      <w:r w:rsidR="00501024" w:rsidRPr="00501024">
        <w:rPr>
          <w:rFonts w:ascii="Palatino Linotype" w:eastAsia="Palatino Linotype" w:hAnsi="Palatino Linotype" w:cs="Palatino Linotype"/>
          <w:i/>
          <w:sz w:val="22"/>
          <w:szCs w:val="22"/>
        </w:rPr>
        <w:t>XXXXX XXXXXX XXXX XXXXXXX XX, XXXX X, XXXXXXX XX XXXXXXXX</w:t>
      </w:r>
      <w:r w:rsidR="00501024">
        <w:rPr>
          <w:rFonts w:ascii="Palatino Linotype" w:eastAsia="Palatino Linotype" w:hAnsi="Palatino Linotype" w:cs="Palatino Linotype"/>
          <w:i/>
          <w:sz w:val="22"/>
          <w:szCs w:val="22"/>
        </w:rPr>
        <w:t xml:space="preserve">, </w:t>
      </w:r>
      <w:r w:rsidRPr="00FF4B10">
        <w:rPr>
          <w:rFonts w:ascii="Palatino Linotype" w:eastAsia="Palatino Linotype" w:hAnsi="Palatino Linotype" w:cs="Palatino Linotype"/>
          <w:i/>
          <w:sz w:val="22"/>
          <w:szCs w:val="22"/>
        </w:rPr>
        <w:lastRenderedPageBreak/>
        <w:t>HUIXQUILUCAN ESTADO DE MÉXICO a fin de revisar si dicho predio se encuentra dentro de una zona urbana ejidal irregular.” (Sic)</w:t>
      </w:r>
    </w:p>
    <w:p w14:paraId="743B06B1" w14:textId="77777777" w:rsidR="00AE4E6B" w:rsidRPr="00FF4B10" w:rsidRDefault="00AE4E6B">
      <w:pPr>
        <w:spacing w:before="240"/>
        <w:ind w:left="851" w:right="902"/>
        <w:jc w:val="both"/>
        <w:rPr>
          <w:rFonts w:ascii="Palatino Linotype" w:eastAsia="Palatino Linotype" w:hAnsi="Palatino Linotype" w:cs="Palatino Linotype"/>
          <w:i/>
          <w:sz w:val="22"/>
          <w:szCs w:val="22"/>
        </w:rPr>
      </w:pPr>
    </w:p>
    <w:p w14:paraId="177CA0E0"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Modalidad de Entrega:</w:t>
      </w:r>
      <w:r w:rsidRPr="00FF4B10">
        <w:rPr>
          <w:rFonts w:ascii="Palatino Linotype" w:eastAsia="Palatino Linotype" w:hAnsi="Palatino Linotype" w:cs="Palatino Linotype"/>
        </w:rPr>
        <w:t xml:space="preserve"> A través de SAIMEX.</w:t>
      </w:r>
    </w:p>
    <w:p w14:paraId="23346C7F" w14:textId="77777777" w:rsidR="00AE4E6B" w:rsidRPr="00FF4B10" w:rsidRDefault="00AE4E6B">
      <w:pPr>
        <w:spacing w:line="360" w:lineRule="auto"/>
        <w:jc w:val="both"/>
        <w:rPr>
          <w:rFonts w:ascii="Palatino Linotype" w:eastAsia="Palatino Linotype" w:hAnsi="Palatino Linotype" w:cs="Palatino Linotype"/>
        </w:rPr>
      </w:pPr>
    </w:p>
    <w:p w14:paraId="2D3303AD" w14:textId="77777777" w:rsidR="00AE4E6B" w:rsidRPr="00FF4B10" w:rsidRDefault="00786E08">
      <w:pPr>
        <w:spacing w:after="240"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 xml:space="preserve">2. Respuesta. </w:t>
      </w:r>
      <w:r w:rsidRPr="00FF4B10">
        <w:rPr>
          <w:rFonts w:ascii="Palatino Linotype" w:eastAsia="Palatino Linotype" w:hAnsi="Palatino Linotype" w:cs="Palatino Linotype"/>
        </w:rPr>
        <w:t xml:space="preserve">Con fecha </w:t>
      </w:r>
      <w:r w:rsidRPr="00FF4B10">
        <w:rPr>
          <w:rFonts w:ascii="Palatino Linotype" w:eastAsia="Palatino Linotype" w:hAnsi="Palatino Linotype" w:cs="Palatino Linotype"/>
          <w:b/>
        </w:rPr>
        <w:t>veinte de mayo de dos mil veintitrés</w:t>
      </w:r>
      <w:r w:rsidRPr="00FF4B10">
        <w:rPr>
          <w:rFonts w:ascii="Palatino Linotype" w:eastAsia="Palatino Linotype" w:hAnsi="Palatino Linotype" w:cs="Palatino Linotype"/>
        </w:rPr>
        <w:t xml:space="preserve">, el </w:t>
      </w:r>
      <w:r w:rsidRPr="00FF4B10">
        <w:rPr>
          <w:rFonts w:ascii="Palatino Linotype" w:eastAsia="Palatino Linotype" w:hAnsi="Palatino Linotype" w:cs="Palatino Linotype"/>
          <w:b/>
        </w:rPr>
        <w:t xml:space="preserve">SUJETO OBLIGADO </w:t>
      </w:r>
      <w:r w:rsidRPr="00FF4B10">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1920DEE3" w14:textId="0B8CCBD8" w:rsidR="00AE4E6B" w:rsidRPr="00FF4B10" w:rsidRDefault="00786E08">
      <w:pPr>
        <w:spacing w:before="240" w:after="240"/>
        <w:ind w:left="851" w:right="902"/>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2022; AL RESPECTO Y EN ATENCIÓN A SU SOLICITUD DE INFORMACIÓN REGISTRADA EN EL SISTEMA DE ACCESO A LA INFORMACIÓN PÚBLICA MEXIQUENSE (SAIMEX), CON EL NUMERO DE FOLIO: 00135/UIXQUIL/IP/2023, MISMA QUE A LA LETRA DICE: " Solicito la versión pública del procedimiento de registro catastral del predio ubicado en </w:t>
      </w:r>
      <w:r w:rsidR="00501024" w:rsidRPr="00501024">
        <w:rPr>
          <w:rFonts w:ascii="Palatino Linotype" w:eastAsia="Palatino Linotype" w:hAnsi="Palatino Linotype" w:cs="Palatino Linotype"/>
          <w:i/>
          <w:sz w:val="22"/>
          <w:szCs w:val="22"/>
        </w:rPr>
        <w:t>XXXXX XXXXXX XXXX XXXXXXX XX, XXXX X, XXXXXXX XX XXXXXXXX</w:t>
      </w:r>
      <w:r w:rsidRPr="00FF4B10">
        <w:rPr>
          <w:rFonts w:ascii="Palatino Linotype" w:eastAsia="Palatino Linotype" w:hAnsi="Palatino Linotype" w:cs="Palatino Linotype"/>
          <w:i/>
          <w:sz w:val="22"/>
          <w:szCs w:val="22"/>
        </w:rPr>
        <w:t xml:space="preserve">, HUIXQUILUCAN ESTADO DE MÉXICO, el cual fue dado de alta con la clave catastral </w:t>
      </w:r>
      <w:r w:rsidR="00501024">
        <w:rPr>
          <w:rFonts w:ascii="Palatino Linotype" w:eastAsia="Palatino Linotype" w:hAnsi="Palatino Linotype" w:cs="Palatino Linotype"/>
          <w:i/>
          <w:sz w:val="22"/>
          <w:szCs w:val="22"/>
        </w:rPr>
        <w:t>XXX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XXXX</w:t>
      </w:r>
      <w:r w:rsidRPr="00FF4B10">
        <w:rPr>
          <w:rFonts w:ascii="Palatino Linotype" w:eastAsia="Palatino Linotype" w:hAnsi="Palatino Linotype" w:cs="Palatino Linotype"/>
          <w:i/>
          <w:sz w:val="22"/>
          <w:szCs w:val="22"/>
        </w:rPr>
        <w:t xml:space="preserve">, así como el tracto sucesivo que realiza la C. </w:t>
      </w:r>
      <w:r w:rsidR="00501024">
        <w:rPr>
          <w:rFonts w:ascii="Palatino Linotype" w:eastAsia="Palatino Linotype" w:hAnsi="Palatino Linotype" w:cs="Palatino Linotype"/>
          <w:i/>
          <w:sz w:val="22"/>
          <w:szCs w:val="22"/>
        </w:rPr>
        <w:t>XXXXX XXXXXXX XXXXX</w:t>
      </w:r>
      <w:r w:rsidRPr="00FF4B10">
        <w:rPr>
          <w:rFonts w:ascii="Palatino Linotype" w:eastAsia="Palatino Linotype" w:hAnsi="Palatino Linotype" w:cs="Palatino Linotype"/>
          <w:i/>
          <w:sz w:val="22"/>
          <w:szCs w:val="22"/>
        </w:rPr>
        <w:t xml:space="preserve"> a su favor. De igual </w:t>
      </w:r>
      <w:r w:rsidRPr="00FF4B10">
        <w:rPr>
          <w:rFonts w:ascii="Palatino Linotype" w:eastAsia="Palatino Linotype" w:hAnsi="Palatino Linotype" w:cs="Palatino Linotype"/>
          <w:i/>
          <w:sz w:val="22"/>
          <w:szCs w:val="22"/>
        </w:rPr>
        <w:lastRenderedPageBreak/>
        <w:t xml:space="preserve">forma, también solicito un informe del sistema de </w:t>
      </w:r>
      <w:proofErr w:type="spellStart"/>
      <w:r w:rsidRPr="00FF4B10">
        <w:rPr>
          <w:rFonts w:ascii="Palatino Linotype" w:eastAsia="Palatino Linotype" w:hAnsi="Palatino Linotype" w:cs="Palatino Linotype"/>
          <w:i/>
          <w:sz w:val="22"/>
          <w:szCs w:val="22"/>
        </w:rPr>
        <w:t>de</w:t>
      </w:r>
      <w:proofErr w:type="spellEnd"/>
      <w:r w:rsidRPr="00FF4B10">
        <w:rPr>
          <w:rFonts w:ascii="Palatino Linotype" w:eastAsia="Palatino Linotype" w:hAnsi="Palatino Linotype" w:cs="Palatino Linotype"/>
          <w:i/>
          <w:sz w:val="22"/>
          <w:szCs w:val="22"/>
        </w:rPr>
        <w:t xml:space="preserve"> gestión catastral del municipio de Huixquilucan, mostrando las medidas y colindancias del predio registrado con clave catastral </w:t>
      </w:r>
      <w:r w:rsidR="00501024">
        <w:rPr>
          <w:rFonts w:ascii="Palatino Linotype" w:eastAsia="Palatino Linotype" w:hAnsi="Palatino Linotype" w:cs="Palatino Linotype"/>
          <w:i/>
          <w:sz w:val="22"/>
          <w:szCs w:val="22"/>
        </w:rPr>
        <w:t>XXX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XXXX</w:t>
      </w:r>
      <w:r w:rsidRPr="00FF4B10">
        <w:rPr>
          <w:rFonts w:ascii="Palatino Linotype" w:eastAsia="Palatino Linotype" w:hAnsi="Palatino Linotype" w:cs="Palatino Linotype"/>
          <w:i/>
          <w:sz w:val="22"/>
          <w:szCs w:val="22"/>
        </w:rPr>
        <w:t xml:space="preserve">, ubicado en </w:t>
      </w:r>
      <w:r w:rsidR="00501024">
        <w:rPr>
          <w:rFonts w:ascii="Palatino Linotype" w:eastAsia="Palatino Linotype" w:hAnsi="Palatino Linotype" w:cs="Palatino Linotype"/>
          <w:i/>
          <w:sz w:val="22"/>
          <w:szCs w:val="22"/>
        </w:rPr>
        <w:t>XXXXX XXXXXX XXXX XXXXXXX XX, XXXX X, XXXXXXX XX XXXXXXXX</w:t>
      </w:r>
      <w:r w:rsidR="00501024" w:rsidRPr="00FF4B10">
        <w:rPr>
          <w:rFonts w:ascii="Palatino Linotype" w:eastAsia="Palatino Linotype" w:hAnsi="Palatino Linotype" w:cs="Palatino Linotype"/>
          <w:i/>
          <w:sz w:val="22"/>
          <w:szCs w:val="22"/>
        </w:rPr>
        <w:t xml:space="preserve"> </w:t>
      </w:r>
      <w:r w:rsidRPr="00FF4B10">
        <w:rPr>
          <w:rFonts w:ascii="Palatino Linotype" w:eastAsia="Palatino Linotype" w:hAnsi="Palatino Linotype" w:cs="Palatino Linotype"/>
          <w:i/>
          <w:sz w:val="22"/>
          <w:szCs w:val="22"/>
        </w:rPr>
        <w:t>HUIXQUILUCAN ESTADO DE MÉXICO a fin de revisar si dicho predio se encuentra dentro de una zona urbana ejidal irregular.” (SIC) SOBRE EL PARTICULAR, ESTA UNIDAD DE TRANSPARENCIA EN EJERCICIO DE LAS ATRIBUCIONES QUE LA LEY LE CONFIERE, TURNO SU SOLICITUD DE INFORMACIÓN A LA SIGUIENTE AREA ADMINISTRATIVA: TESORERÌA MUNICIPAL QUE DE CONFORMIDAD CON LO ESTABLECIDO EN EL REGRLAMENTO ORGANICO MUNICIPAL ES COMPETENTE PARA CONTESTAR SU SOLICITUD DE INFORMACIÓN, MISMA QUE MANIFESTO LO SIGUIENTE: TESORERÌA MUNICIPAL: “</w:t>
      </w:r>
      <w:r w:rsidRPr="00FF4B10">
        <w:rPr>
          <w:rFonts w:ascii="Palatino Linotype" w:eastAsia="Palatino Linotype" w:hAnsi="Palatino Linotype" w:cs="Palatino Linotype"/>
          <w:b/>
          <w:i/>
          <w:sz w:val="22"/>
          <w:szCs w:val="22"/>
          <w:u w:val="single"/>
        </w:rPr>
        <w:t>Al respecto, me permito informar de la siguiente manera: No es atender a la solicitud, hasta en tanto el peticionario acredite la propiedad, su interés jurídico y/o legitimo sobre el predio del cual solicita información; toda vez que esta dependencia se encuentra obligada a guardar absoluta reserva y confidencialidad sobre los datos personales de terceras personas</w:t>
      </w:r>
      <w:r w:rsidRPr="00FF4B10">
        <w:rPr>
          <w:rFonts w:ascii="Palatino Linotype" w:eastAsia="Palatino Linotype" w:hAnsi="Palatino Linotype" w:cs="Palatino Linotype"/>
          <w:i/>
          <w:sz w:val="22"/>
          <w:szCs w:val="22"/>
        </w:rPr>
        <w:t xml:space="preserve">, en términos de lo dispuesto por la Ley de Protección de Datos Personales en Posesión de Sujetos Obligados del Estado de México y Municipios, Ley de responsabilidades Administrativas del Estado de México y Municipios, así como el artículo 55 del Código Financiero del Estado de México y Municipios, que a la letra dice: “Artículo 55 del Código Financiero del Estado de México y Municipios.- Los servidores públicos que intervengan en los trámites que regule este Código, están obligados a guardar absoluta reserva y confidencialidad, en términos de lo dispuesto por la Ley de Protección de Datos Personales en Posesión de Sujetos Obligados del Estado de México y Municipios, en cuanto a los datos y documentos que proporcionen los particulares o terceros relacionados con ellos; así como, los relativos a los procedimientos administrativos y jurisdiccionales originados por la aplicación del mismo. (…)”.” (SIC). SE ADJUNTA FORMATO </w:t>
      </w:r>
      <w:proofErr w:type="gramStart"/>
      <w:r w:rsidRPr="00FF4B10">
        <w:rPr>
          <w:rFonts w:ascii="Palatino Linotype" w:eastAsia="Palatino Linotype" w:hAnsi="Palatino Linotype" w:cs="Palatino Linotype"/>
          <w:i/>
          <w:sz w:val="22"/>
          <w:szCs w:val="22"/>
        </w:rPr>
        <w:t>PDF</w:t>
      </w:r>
      <w:proofErr w:type="gramEnd"/>
      <w:r w:rsidRPr="00FF4B10">
        <w:rPr>
          <w:rFonts w:ascii="Palatino Linotype" w:eastAsia="Palatino Linotype" w:hAnsi="Palatino Linotype" w:cs="Palatino Linotype"/>
          <w:i/>
          <w:sz w:val="22"/>
          <w:szCs w:val="22"/>
        </w:rPr>
        <w:t xml:space="preserve">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w:t>
      </w:r>
      <w:r w:rsidRPr="00FF4B10">
        <w:rPr>
          <w:rFonts w:ascii="Palatino Linotype" w:eastAsia="Palatino Linotype" w:hAnsi="Palatino Linotype" w:cs="Palatino Linotype"/>
          <w:i/>
          <w:sz w:val="22"/>
          <w:szCs w:val="22"/>
        </w:rPr>
        <w:lastRenderedPageBreak/>
        <w:t>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 SIN OTRO PARTICULAR, ME REITERO A SUS ÓRDENES Y LE ENVÍO UN CORDIAL SALUDO...” (Sic)</w:t>
      </w:r>
    </w:p>
    <w:p w14:paraId="1D13788B" w14:textId="77777777" w:rsidR="00AE4E6B" w:rsidRPr="00FF4B10" w:rsidRDefault="00786E08">
      <w:pPr>
        <w:spacing w:before="240" w:after="240" w:line="360" w:lineRule="auto"/>
        <w:ind w:right="49"/>
        <w:jc w:val="both"/>
        <w:rPr>
          <w:rFonts w:ascii="Palatino Linotype" w:eastAsia="Palatino Linotype" w:hAnsi="Palatino Linotype" w:cs="Palatino Linotype"/>
        </w:rPr>
      </w:pPr>
      <w:r w:rsidRPr="00FF4B10">
        <w:rPr>
          <w:rFonts w:ascii="Palatino Linotype" w:eastAsia="Palatino Linotype" w:hAnsi="Palatino Linotype" w:cs="Palatino Linotype"/>
          <w:b/>
        </w:rPr>
        <w:t xml:space="preserve">3. Interposición del recurso de revisión. </w:t>
      </w:r>
      <w:r w:rsidRPr="00FF4B10">
        <w:rPr>
          <w:rFonts w:ascii="Palatino Linotype" w:eastAsia="Palatino Linotype" w:hAnsi="Palatino Linotype" w:cs="Palatino Linotype"/>
        </w:rPr>
        <w:t xml:space="preserve">Inconforme con los términos de la respuesta emitida por parte del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el </w:t>
      </w:r>
      <w:r w:rsidRPr="00FF4B10">
        <w:rPr>
          <w:rFonts w:ascii="Palatino Linotype" w:eastAsia="Palatino Linotype" w:hAnsi="Palatino Linotype" w:cs="Palatino Linotype"/>
          <w:b/>
        </w:rPr>
        <w:t>veintidós de mayo del dos mil veintitrés,</w:t>
      </w:r>
      <w:r w:rsidRPr="00FF4B10">
        <w:rPr>
          <w:rFonts w:ascii="Palatino Linotype" w:eastAsia="Palatino Linotype" w:hAnsi="Palatino Linotype" w:cs="Palatino Linotype"/>
        </w:rPr>
        <w:t xml:space="preserve"> la parte recurrente interpuso el recurso de revisión a través de </w:t>
      </w:r>
      <w:r w:rsidRPr="00FF4B10">
        <w:rPr>
          <w:rFonts w:ascii="Palatino Linotype" w:eastAsia="Palatino Linotype" w:hAnsi="Palatino Linotype" w:cs="Palatino Linotype"/>
          <w:b/>
        </w:rPr>
        <w:t xml:space="preserve">SAIMEX, </w:t>
      </w:r>
      <w:r w:rsidRPr="00FF4B10">
        <w:rPr>
          <w:rFonts w:ascii="Palatino Linotype" w:eastAsia="Palatino Linotype" w:hAnsi="Palatino Linotype" w:cs="Palatino Linotype"/>
        </w:rPr>
        <w:t>en donde se manifestó de la siguiente manera:</w:t>
      </w:r>
    </w:p>
    <w:p w14:paraId="0F042A51" w14:textId="77777777" w:rsidR="00AE4E6B" w:rsidRPr="00FF4B10" w:rsidRDefault="00786E08">
      <w:pPr>
        <w:tabs>
          <w:tab w:val="left" w:pos="2745"/>
        </w:tabs>
        <w:spacing w:before="240" w:after="240"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 xml:space="preserve">Acto impugnado: </w:t>
      </w:r>
      <w:r w:rsidRPr="00FF4B10">
        <w:rPr>
          <w:rFonts w:ascii="Palatino Linotype" w:eastAsia="Palatino Linotype" w:hAnsi="Palatino Linotype" w:cs="Palatino Linotype"/>
          <w:b/>
        </w:rPr>
        <w:tab/>
      </w:r>
    </w:p>
    <w:p w14:paraId="2DD81349" w14:textId="7DDED830" w:rsidR="00AE4E6B" w:rsidRPr="00FF4B10" w:rsidRDefault="00786E08">
      <w:pPr>
        <w:ind w:left="851" w:right="902"/>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“00135/HUIXQUIL/IP/2023 Por el cual solicito la versión pública de un procedimiento de registro catastral con la clave </w:t>
      </w:r>
      <w:r w:rsidR="00501024">
        <w:rPr>
          <w:rFonts w:ascii="Palatino Linotype" w:eastAsia="Palatino Linotype" w:hAnsi="Palatino Linotype" w:cs="Palatino Linotype"/>
          <w:i/>
          <w:sz w:val="22"/>
          <w:szCs w:val="22"/>
        </w:rPr>
        <w:t>XXX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XXXX</w:t>
      </w:r>
      <w:r w:rsidRPr="00FF4B10">
        <w:rPr>
          <w:rFonts w:ascii="Palatino Linotype" w:eastAsia="Palatino Linotype" w:hAnsi="Palatino Linotype" w:cs="Palatino Linotype"/>
          <w:i/>
          <w:sz w:val="22"/>
          <w:szCs w:val="22"/>
        </w:rPr>
        <w:t xml:space="preserve">. De igual forma, también solicité un informe del sistema de </w:t>
      </w:r>
      <w:proofErr w:type="spellStart"/>
      <w:r w:rsidRPr="00FF4B10">
        <w:rPr>
          <w:rFonts w:ascii="Palatino Linotype" w:eastAsia="Palatino Linotype" w:hAnsi="Palatino Linotype" w:cs="Palatino Linotype"/>
          <w:i/>
          <w:sz w:val="22"/>
          <w:szCs w:val="22"/>
        </w:rPr>
        <w:t>de</w:t>
      </w:r>
      <w:proofErr w:type="spellEnd"/>
      <w:r w:rsidRPr="00FF4B10">
        <w:rPr>
          <w:rFonts w:ascii="Palatino Linotype" w:eastAsia="Palatino Linotype" w:hAnsi="Palatino Linotype" w:cs="Palatino Linotype"/>
          <w:i/>
          <w:sz w:val="22"/>
          <w:szCs w:val="22"/>
        </w:rPr>
        <w:t xml:space="preserve"> gestión catastral del municipio de Huixquilucan, mostrando las medidas y colindancias del predio registrado con clave catastral </w:t>
      </w:r>
      <w:r w:rsidR="00501024">
        <w:rPr>
          <w:rFonts w:ascii="Palatino Linotype" w:eastAsia="Palatino Linotype" w:hAnsi="Palatino Linotype" w:cs="Palatino Linotype"/>
          <w:i/>
          <w:sz w:val="22"/>
          <w:szCs w:val="22"/>
        </w:rPr>
        <w:t>XXX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w:t>
      </w:r>
      <w:r w:rsidRPr="00FF4B10">
        <w:rPr>
          <w:rFonts w:ascii="Palatino Linotype" w:eastAsia="Palatino Linotype" w:hAnsi="Palatino Linotype" w:cs="Palatino Linotype"/>
          <w:i/>
          <w:sz w:val="22"/>
          <w:szCs w:val="22"/>
        </w:rPr>
        <w:t>-</w:t>
      </w:r>
      <w:r w:rsidR="00501024">
        <w:rPr>
          <w:rFonts w:ascii="Palatino Linotype" w:eastAsia="Palatino Linotype" w:hAnsi="Palatino Linotype" w:cs="Palatino Linotype"/>
          <w:i/>
          <w:sz w:val="22"/>
          <w:szCs w:val="22"/>
        </w:rPr>
        <w:t>XXXX</w:t>
      </w:r>
      <w:r w:rsidRPr="00FF4B10">
        <w:rPr>
          <w:rFonts w:ascii="Palatino Linotype" w:eastAsia="Palatino Linotype" w:hAnsi="Palatino Linotype" w:cs="Palatino Linotype"/>
          <w:i/>
          <w:sz w:val="22"/>
          <w:szCs w:val="22"/>
        </w:rPr>
        <w:t xml:space="preserve">, ubicado en </w:t>
      </w:r>
      <w:r w:rsidR="00501024" w:rsidRPr="00501024">
        <w:rPr>
          <w:rFonts w:ascii="Palatino Linotype" w:eastAsia="Palatino Linotype" w:hAnsi="Palatino Linotype" w:cs="Palatino Linotype"/>
          <w:i/>
          <w:sz w:val="22"/>
          <w:szCs w:val="22"/>
        </w:rPr>
        <w:t>XXXXX XXXXXX XXXX XXXXXXX XX, XXXX X, XXXXXXX XX XXXXXXXX</w:t>
      </w:r>
      <w:r w:rsidR="00501024" w:rsidRPr="00501024">
        <w:rPr>
          <w:rFonts w:ascii="Palatino Linotype" w:eastAsia="Palatino Linotype" w:hAnsi="Palatino Linotype" w:cs="Palatino Linotype"/>
          <w:i/>
          <w:sz w:val="22"/>
          <w:szCs w:val="22"/>
        </w:rPr>
        <w:t xml:space="preserve"> </w:t>
      </w:r>
      <w:r w:rsidRPr="00FF4B10">
        <w:rPr>
          <w:rFonts w:ascii="Palatino Linotype" w:eastAsia="Palatino Linotype" w:hAnsi="Palatino Linotype" w:cs="Palatino Linotype"/>
          <w:i/>
          <w:sz w:val="22"/>
          <w:szCs w:val="22"/>
        </w:rPr>
        <w:t>HUIXQUILUCAN ESTADO DE MÉXICO a fin de revisar si dicho predio se encuentra dentro de una zona urbana ejidal irregular” (Sic)</w:t>
      </w:r>
    </w:p>
    <w:p w14:paraId="5568914A" w14:textId="77777777" w:rsidR="00AE4E6B" w:rsidRPr="00FF4B10" w:rsidRDefault="00AE4E6B">
      <w:pPr>
        <w:ind w:left="851" w:right="902"/>
        <w:jc w:val="both"/>
        <w:rPr>
          <w:rFonts w:ascii="Palatino Linotype" w:eastAsia="Palatino Linotype" w:hAnsi="Palatino Linotype" w:cs="Palatino Linotype"/>
          <w:i/>
          <w:sz w:val="22"/>
          <w:szCs w:val="22"/>
        </w:rPr>
      </w:pPr>
    </w:p>
    <w:p w14:paraId="279A9F72"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Y Razones o motivos de inconformidad</w:t>
      </w:r>
      <w:r w:rsidRPr="00FF4B10">
        <w:rPr>
          <w:rFonts w:ascii="Palatino Linotype" w:eastAsia="Palatino Linotype" w:hAnsi="Palatino Linotype" w:cs="Palatino Linotype"/>
        </w:rPr>
        <w:t>:</w:t>
      </w:r>
    </w:p>
    <w:p w14:paraId="71E3B0E7" w14:textId="77777777" w:rsidR="00AE4E6B" w:rsidRPr="00FF4B10" w:rsidRDefault="00786E08">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FF4B10">
        <w:rPr>
          <w:rFonts w:ascii="Palatino Linotype" w:eastAsia="Palatino Linotype" w:hAnsi="Palatino Linotype" w:cs="Palatino Linotype"/>
          <w:i/>
          <w:sz w:val="22"/>
          <w:szCs w:val="22"/>
        </w:rPr>
        <w:t xml:space="preserve"> “En respuesta a mi solicitud de folio 00135/HUIXQUIL/IP/2023, se me contesto por parte de la Tesorería Municipal de Huixquilucan que ''no es atender a la </w:t>
      </w:r>
      <w:r w:rsidRPr="00FF4B10">
        <w:rPr>
          <w:rFonts w:ascii="Palatino Linotype" w:eastAsia="Palatino Linotype" w:hAnsi="Palatino Linotype" w:cs="Palatino Linotype"/>
          <w:i/>
          <w:sz w:val="22"/>
          <w:szCs w:val="22"/>
        </w:rPr>
        <w:lastRenderedPageBreak/>
        <w:t xml:space="preserve">solicitud, hasta en tanto el peticionario acredite la propiedad, su interés jurídico y/o legitimo sobre el predio del cual solicita información''. Cuando claramente la Ley de Transparencia y Acceso a la Información Pública del Estado de México y Municipios, en su </w:t>
      </w:r>
      <w:proofErr w:type="spellStart"/>
      <w:r w:rsidRPr="00FF4B10">
        <w:rPr>
          <w:rFonts w:ascii="Palatino Linotype" w:eastAsia="Palatino Linotype" w:hAnsi="Palatino Linotype" w:cs="Palatino Linotype"/>
          <w:i/>
          <w:sz w:val="22"/>
          <w:szCs w:val="22"/>
        </w:rPr>
        <w:t>articulo</w:t>
      </w:r>
      <w:proofErr w:type="spellEnd"/>
      <w:r w:rsidRPr="00FF4B10">
        <w:rPr>
          <w:rFonts w:ascii="Palatino Linotype" w:eastAsia="Palatino Linotype" w:hAnsi="Palatino Linotype" w:cs="Palatino Linotype"/>
          <w:i/>
          <w:sz w:val="22"/>
          <w:szCs w:val="22"/>
        </w:rPr>
        <w:t xml:space="preserve"> 4 dice textualmente: Artículo 4. El derecho humano de acceso a la información pública es la prerrogativa de las personas para buscar, difundir, investigar, recabar, recibir y solicitar información pública, sin necesidad de acreditar personalidad ni interés jurídico. Por otra parte, solicite una versión pública de dicho registro catastral donde claramente la multicitada ley nos dice que versión publica es un documento en el que se elimine, suprime o borra la información clasificada como reservada o confidencial para permitir su acceso. Y no es el caso particular, obtener datos personales de la persona titular del registro catastral sino verificar si se </w:t>
      </w:r>
      <w:proofErr w:type="spellStart"/>
      <w:r w:rsidRPr="00FF4B10">
        <w:rPr>
          <w:rFonts w:ascii="Palatino Linotype" w:eastAsia="Palatino Linotype" w:hAnsi="Palatino Linotype" w:cs="Palatino Linotype"/>
          <w:i/>
          <w:sz w:val="22"/>
          <w:szCs w:val="22"/>
        </w:rPr>
        <w:t>llevo</w:t>
      </w:r>
      <w:proofErr w:type="spellEnd"/>
      <w:r w:rsidRPr="00FF4B10">
        <w:rPr>
          <w:rFonts w:ascii="Palatino Linotype" w:eastAsia="Palatino Linotype" w:hAnsi="Palatino Linotype" w:cs="Palatino Linotype"/>
          <w:i/>
          <w:sz w:val="22"/>
          <w:szCs w:val="22"/>
        </w:rPr>
        <w:t xml:space="preserve"> a cabo un procedimiento administrativo correcto tal como lo marca la ley a fin de obtener tal registro catastral en el municipio de Huixquilucan, obteniendo con esto Información de interés público que se refiere a la información que resulta relevante o beneficiosa para la sociedad y no simplemente de interés individual, cuya divulgación resulta útil para que el público comprenda las actividades que llevan a cabo los sujetos obligados; Por último, solicite un informe del sistema de gestión catastral, relacionado con la clave catastral ya mencionada, a fin de saber si con la ubicación de dicho registro pueda aclararme si esa colonia pertenece al régimen ejidal o no. Y eso no afecta el derecho de terceras personas sino coadyuva al derecho a la información sobre la propiedad social o de dominio pleno sobre el territorio de Huixquilucan, Estado de México.” (Sic)</w:t>
      </w:r>
    </w:p>
    <w:p w14:paraId="47067B9D" w14:textId="77777777" w:rsidR="00AE4E6B" w:rsidRPr="00FF4B10" w:rsidRDefault="00AE4E6B">
      <w:pPr>
        <w:ind w:left="851" w:right="902"/>
        <w:jc w:val="both"/>
        <w:rPr>
          <w:rFonts w:ascii="Palatino Linotype" w:eastAsia="Palatino Linotype" w:hAnsi="Palatino Linotype" w:cs="Palatino Linotype"/>
          <w:i/>
          <w:sz w:val="22"/>
          <w:szCs w:val="22"/>
        </w:rPr>
      </w:pPr>
    </w:p>
    <w:p w14:paraId="5EC10CE0" w14:textId="77777777" w:rsidR="00AE4E6B" w:rsidRPr="00FF4B10" w:rsidRDefault="00786E08">
      <w:pPr>
        <w:spacing w:line="360" w:lineRule="auto"/>
        <w:ind w:right="51"/>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La parte </w:t>
      </w:r>
      <w:r w:rsidRPr="00FF4B10">
        <w:rPr>
          <w:rFonts w:ascii="Palatino Linotype" w:eastAsia="Palatino Linotype" w:hAnsi="Palatino Linotype" w:cs="Palatino Linotype"/>
          <w:b/>
        </w:rPr>
        <w:t>RECURRENTE</w:t>
      </w:r>
      <w:r w:rsidRPr="00FF4B10">
        <w:rPr>
          <w:rFonts w:ascii="Palatino Linotype" w:eastAsia="Palatino Linotype" w:hAnsi="Palatino Linotype" w:cs="Palatino Linotype"/>
        </w:rPr>
        <w:t>, adjunto a su acuse del recurso de revisión el siguiente archivo electrónico “</w:t>
      </w:r>
      <w:hyperlink r:id="rId8">
        <w:r w:rsidRPr="00FF4B10">
          <w:rPr>
            <w:rFonts w:ascii="Palatino Linotype" w:eastAsia="Palatino Linotype" w:hAnsi="Palatino Linotype" w:cs="Palatino Linotype"/>
          </w:rPr>
          <w:t>00135 HUIX.pdf</w:t>
        </w:r>
      </w:hyperlink>
      <w:r w:rsidRPr="00FF4B10">
        <w:rPr>
          <w:rFonts w:ascii="Palatino Linotype" w:eastAsia="Palatino Linotype" w:hAnsi="Palatino Linotype" w:cs="Palatino Linotype"/>
        </w:rPr>
        <w:t xml:space="preserve">”, el cual contiene la respuesta otorgada por 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descrito en el punto 2 del presente </w:t>
      </w:r>
      <w:r w:rsidRPr="00FF4B10">
        <w:rPr>
          <w:rFonts w:ascii="Palatino Linotype" w:eastAsia="Palatino Linotype" w:hAnsi="Palatino Linotype" w:cs="Palatino Linotype"/>
        </w:rPr>
        <w:br/>
        <w:t xml:space="preserve">Considerando. </w:t>
      </w:r>
    </w:p>
    <w:p w14:paraId="2F17DB39" w14:textId="77777777" w:rsidR="00AE4E6B" w:rsidRPr="00FF4B10" w:rsidRDefault="00AE4E6B">
      <w:pPr>
        <w:spacing w:line="360" w:lineRule="auto"/>
        <w:ind w:right="51"/>
        <w:jc w:val="both"/>
        <w:rPr>
          <w:rFonts w:ascii="Palatino Linotype" w:eastAsia="Palatino Linotype" w:hAnsi="Palatino Linotype" w:cs="Palatino Linotype"/>
          <w:b/>
        </w:rPr>
      </w:pPr>
    </w:p>
    <w:p w14:paraId="4141D81F" w14:textId="77777777" w:rsidR="00AE4E6B" w:rsidRPr="00FF4B10" w:rsidRDefault="00786E08">
      <w:pPr>
        <w:spacing w:line="360" w:lineRule="auto"/>
        <w:ind w:right="51"/>
        <w:jc w:val="both"/>
        <w:rPr>
          <w:rFonts w:ascii="Palatino Linotype" w:eastAsia="Palatino Linotype" w:hAnsi="Palatino Linotype" w:cs="Palatino Linotype"/>
        </w:rPr>
      </w:pPr>
      <w:r w:rsidRPr="00FF4B10">
        <w:rPr>
          <w:rFonts w:ascii="Palatino Linotype" w:eastAsia="Palatino Linotype" w:hAnsi="Palatino Linotype" w:cs="Palatino Linotype"/>
          <w:b/>
        </w:rPr>
        <w:t xml:space="preserve">4. Turno. </w:t>
      </w:r>
      <w:r w:rsidRPr="00FF4B1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w:t>
      </w:r>
      <w:r w:rsidRPr="00FF4B10">
        <w:rPr>
          <w:rFonts w:ascii="Palatino Linotype" w:eastAsia="Palatino Linotype" w:hAnsi="Palatino Linotype" w:cs="Palatino Linotype"/>
        </w:rPr>
        <w:lastRenderedPageBreak/>
        <w:t xml:space="preserve">Estado de México y Municipios, a la Comisionada </w:t>
      </w:r>
      <w:r w:rsidRPr="00FF4B10">
        <w:rPr>
          <w:rFonts w:ascii="Palatino Linotype" w:eastAsia="Palatino Linotype" w:hAnsi="Palatino Linotype" w:cs="Palatino Linotype"/>
          <w:b/>
        </w:rPr>
        <w:t xml:space="preserve">Guadalupe Ramírez Peña, </w:t>
      </w:r>
      <w:r w:rsidRPr="00FF4B10">
        <w:rPr>
          <w:rFonts w:ascii="Palatino Linotype" w:eastAsia="Palatino Linotype" w:hAnsi="Palatino Linotype" w:cs="Palatino Linotype"/>
        </w:rPr>
        <w:t xml:space="preserve">a efecto de que analizara sobre su admisión o su </w:t>
      </w:r>
      <w:proofErr w:type="spellStart"/>
      <w:r w:rsidRPr="00FF4B10">
        <w:rPr>
          <w:rFonts w:ascii="Palatino Linotype" w:eastAsia="Palatino Linotype" w:hAnsi="Palatino Linotype" w:cs="Palatino Linotype"/>
        </w:rPr>
        <w:t>desechamiento</w:t>
      </w:r>
      <w:proofErr w:type="spellEnd"/>
      <w:r w:rsidRPr="00FF4B10">
        <w:rPr>
          <w:rFonts w:ascii="Palatino Linotype" w:eastAsia="Palatino Linotype" w:hAnsi="Palatino Linotype" w:cs="Palatino Linotype"/>
        </w:rPr>
        <w:t>.</w:t>
      </w:r>
    </w:p>
    <w:p w14:paraId="160D02DE" w14:textId="77777777" w:rsidR="00AE4E6B" w:rsidRPr="00FF4B10" w:rsidRDefault="00AE4E6B">
      <w:pPr>
        <w:spacing w:line="360" w:lineRule="auto"/>
        <w:ind w:right="51"/>
        <w:jc w:val="both"/>
        <w:rPr>
          <w:rFonts w:ascii="Palatino Linotype" w:eastAsia="Palatino Linotype" w:hAnsi="Palatino Linotype" w:cs="Palatino Linotype"/>
        </w:rPr>
      </w:pPr>
    </w:p>
    <w:p w14:paraId="0C33BDD1" w14:textId="77777777" w:rsidR="00AE4E6B" w:rsidRPr="00FF4B10" w:rsidRDefault="00786E08">
      <w:pPr>
        <w:spacing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5. Admisión del Recurso de revisión.</w:t>
      </w:r>
      <w:r w:rsidRPr="00FF4B10">
        <w:rPr>
          <w:rFonts w:ascii="Palatino Linotype" w:eastAsia="Palatino Linotype" w:hAnsi="Palatino Linotype" w:cs="Palatino Linotype"/>
        </w:rPr>
        <w:t xml:space="preserve"> Con fecha</w:t>
      </w:r>
      <w:r w:rsidRPr="00FF4B10">
        <w:rPr>
          <w:rFonts w:ascii="Palatino Linotype" w:eastAsia="Palatino Linotype" w:hAnsi="Palatino Linotype" w:cs="Palatino Linotype"/>
          <w:b/>
        </w:rPr>
        <w:t xml:space="preserve"> veinticinco de mayo de dos mil veintitrés, </w:t>
      </w:r>
      <w:r w:rsidRPr="00FF4B1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FF4B10">
        <w:rPr>
          <w:rFonts w:ascii="Palatino Linotype" w:eastAsia="Palatino Linotype" w:hAnsi="Palatino Linotype" w:cs="Palatino Linotype"/>
          <w:b/>
        </w:rPr>
        <w:t xml:space="preserve">SUJETO OBLIGADO </w:t>
      </w:r>
      <w:r w:rsidRPr="00FF4B10">
        <w:rPr>
          <w:rFonts w:ascii="Palatino Linotype" w:eastAsia="Palatino Linotype" w:hAnsi="Palatino Linotype" w:cs="Palatino Linotype"/>
        </w:rPr>
        <w:t>presentara su informe justificado.</w:t>
      </w:r>
    </w:p>
    <w:p w14:paraId="3805B31F" w14:textId="77777777" w:rsidR="00AE4E6B" w:rsidRPr="00FF4B10" w:rsidRDefault="00786E08">
      <w:pPr>
        <w:spacing w:before="240" w:after="240" w:line="360" w:lineRule="auto"/>
        <w:jc w:val="both"/>
      </w:pPr>
      <w:r w:rsidRPr="00FF4B10">
        <w:rPr>
          <w:rFonts w:ascii="Palatino Linotype" w:eastAsia="Palatino Linotype" w:hAnsi="Palatino Linotype" w:cs="Palatino Linotype"/>
          <w:b/>
        </w:rPr>
        <w:t>6. Manifestaciones</w:t>
      </w:r>
      <w:r w:rsidRPr="00FF4B10">
        <w:rPr>
          <w:rFonts w:ascii="Palatino Linotype" w:eastAsia="Palatino Linotype" w:hAnsi="Palatino Linotype" w:cs="Palatino Linotype"/>
        </w:rPr>
        <w:t xml:space="preserve">. De las constancias que obran en el expediente electrónico del SAIMEX se desprende que </w:t>
      </w:r>
      <w:r w:rsidRPr="00FF4B10">
        <w:rPr>
          <w:rFonts w:ascii="Palatino Linotype" w:eastAsia="Palatino Linotype" w:hAnsi="Palatino Linotype" w:cs="Palatino Linotype"/>
          <w:b/>
        </w:rPr>
        <w:t>la parte RECURRENTE</w:t>
      </w:r>
      <w:r w:rsidRPr="00FF4B10">
        <w:rPr>
          <w:rFonts w:ascii="Palatino Linotype" w:eastAsia="Palatino Linotype" w:hAnsi="Palatino Linotype" w:cs="Palatino Linotype"/>
        </w:rPr>
        <w:t xml:space="preserve"> omitió realizar manifestaciones. </w:t>
      </w:r>
    </w:p>
    <w:p w14:paraId="4DB58EF1" w14:textId="77777777" w:rsidR="00AE4E6B" w:rsidRPr="00FF4B10" w:rsidRDefault="00786E08">
      <w:pPr>
        <w:spacing w:after="240" w:line="360" w:lineRule="auto"/>
        <w:jc w:val="both"/>
        <w:rPr>
          <w:rFonts w:ascii="Palatino Linotype" w:eastAsia="Palatino Linotype" w:hAnsi="Palatino Linotype" w:cs="Palatino Linotype"/>
        </w:rPr>
      </w:pPr>
      <w:bookmarkStart w:id="3" w:name="_heading=h.1fob9te" w:colFirst="0" w:colLast="0"/>
      <w:bookmarkEnd w:id="3"/>
      <w:r w:rsidRPr="00FF4B10">
        <w:rPr>
          <w:rFonts w:ascii="Palatino Linotype" w:eastAsia="Palatino Linotype" w:hAnsi="Palatino Linotype" w:cs="Palatino Linotype"/>
        </w:rPr>
        <w:t>En fecha catorce de junio de dos mil veintitrés</w:t>
      </w:r>
      <w:r w:rsidRPr="00FF4B10">
        <w:rPr>
          <w:rFonts w:ascii="Palatino Linotype" w:eastAsia="Palatino Linotype" w:hAnsi="Palatino Linotype" w:cs="Palatino Linotype"/>
          <w:b/>
        </w:rPr>
        <w:t xml:space="preserve">, </w:t>
      </w:r>
      <w:r w:rsidRPr="00FF4B10">
        <w:rPr>
          <w:rFonts w:ascii="Palatino Linotype" w:eastAsia="Palatino Linotype" w:hAnsi="Palatino Linotype" w:cs="Palatino Linotype"/>
        </w:rPr>
        <w:t xml:space="preserve">el </w:t>
      </w:r>
      <w:r w:rsidRPr="00FF4B10">
        <w:rPr>
          <w:rFonts w:ascii="Palatino Linotype" w:eastAsia="Palatino Linotype" w:hAnsi="Palatino Linotype" w:cs="Palatino Linotype"/>
          <w:b/>
        </w:rPr>
        <w:t xml:space="preserve">SUJETO OBLIGADO </w:t>
      </w:r>
      <w:r w:rsidRPr="00FF4B10">
        <w:rPr>
          <w:rFonts w:ascii="Palatino Linotype" w:eastAsia="Palatino Linotype" w:hAnsi="Palatino Linotype" w:cs="Palatino Linotype"/>
        </w:rPr>
        <w:t>remitió, a través del SAIMEX, el siguiente archivo electrónico:</w:t>
      </w:r>
    </w:p>
    <w:p w14:paraId="493995DB" w14:textId="77777777" w:rsidR="00AE4E6B" w:rsidRPr="00FF4B10" w:rsidRDefault="00786E08">
      <w:pPr>
        <w:spacing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w:t>
      </w:r>
      <w:hyperlink r:id="rId9">
        <w:r w:rsidRPr="00FF4B10">
          <w:rPr>
            <w:rFonts w:ascii="Palatino Linotype" w:eastAsia="Palatino Linotype" w:hAnsi="Palatino Linotype" w:cs="Palatino Linotype"/>
          </w:rPr>
          <w:t>2784_23 R.R..</w:t>
        </w:r>
        <w:proofErr w:type="spellStart"/>
        <w:r w:rsidRPr="00FF4B10">
          <w:rPr>
            <w:rFonts w:ascii="Palatino Linotype" w:eastAsia="Palatino Linotype" w:hAnsi="Palatino Linotype" w:cs="Palatino Linotype"/>
          </w:rPr>
          <w:t>pdf</w:t>
        </w:r>
        <w:proofErr w:type="spellEnd"/>
      </w:hyperlink>
      <w:r w:rsidRPr="00FF4B10">
        <w:rPr>
          <w:rFonts w:ascii="Palatino Linotype" w:eastAsia="Palatino Linotype" w:hAnsi="Palatino Linotype" w:cs="Palatino Linotype"/>
        </w:rPr>
        <w:t>”, el cual contiene el informe justificado del SUJETO OBLIGADO, por medio del cual informó, además de señalar los antecedentes del presente asunto, que la Tesorería Municipal de Huixquilucan es el área competente para emitir la contestación al interesado, adjuntando para tal efecto el oficio número TM/559/05/2023.</w:t>
      </w:r>
    </w:p>
    <w:p w14:paraId="4136D863" w14:textId="77777777" w:rsidR="00AE4E6B" w:rsidRPr="00FF4B10" w:rsidRDefault="00786E08">
      <w:pPr>
        <w:spacing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Documento que, una vez analizado, se hizo del conocimiento de la parte </w:t>
      </w:r>
      <w:r w:rsidRPr="00FF4B10">
        <w:rPr>
          <w:rFonts w:ascii="Palatino Linotype" w:eastAsia="Palatino Linotype" w:hAnsi="Palatino Linotype" w:cs="Palatino Linotype"/>
          <w:b/>
        </w:rPr>
        <w:t>RECURRENTE</w:t>
      </w:r>
      <w:r w:rsidRPr="00FF4B10">
        <w:rPr>
          <w:rFonts w:ascii="Palatino Linotype" w:eastAsia="Palatino Linotype" w:hAnsi="Palatino Linotype" w:cs="Palatino Linotype"/>
        </w:rPr>
        <w:t xml:space="preserve"> a efecto de que manifestara lo que a su derecho estimara conveniente, </w:t>
      </w:r>
      <w:r w:rsidRPr="00FF4B10">
        <w:rPr>
          <w:rFonts w:ascii="Palatino Linotype" w:eastAsia="Palatino Linotype" w:hAnsi="Palatino Linotype" w:cs="Palatino Linotype"/>
        </w:rPr>
        <w:lastRenderedPageBreak/>
        <w:t>sin embargo, fue omiso en ejercer dicha prerrogativa en el plazo establecido para tal efecto.</w:t>
      </w:r>
    </w:p>
    <w:p w14:paraId="70182208" w14:textId="77777777" w:rsidR="00AE4E6B" w:rsidRPr="00FF4B10" w:rsidRDefault="00786E08">
      <w:pPr>
        <w:spacing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w:t>
      </w:r>
      <w:hyperlink r:id="rId10">
        <w:r w:rsidRPr="00FF4B10">
          <w:rPr>
            <w:rFonts w:ascii="Palatino Linotype" w:eastAsia="Palatino Linotype" w:hAnsi="Palatino Linotype" w:cs="Palatino Linotype"/>
          </w:rPr>
          <w:t>209_23 UT.pdf</w:t>
        </w:r>
      </w:hyperlink>
      <w:r w:rsidRPr="00FF4B10">
        <w:rPr>
          <w:rFonts w:ascii="Palatino Linotype" w:eastAsia="Palatino Linotype" w:hAnsi="Palatino Linotype" w:cs="Palatino Linotype"/>
        </w:rPr>
        <w:t xml:space="preserve">”, Documento que se determinó no poner a la vista de la parte </w:t>
      </w:r>
      <w:r w:rsidRPr="00FF4B10">
        <w:rPr>
          <w:rFonts w:ascii="Palatino Linotype" w:eastAsia="Palatino Linotype" w:hAnsi="Palatino Linotype" w:cs="Palatino Linotype"/>
          <w:b/>
        </w:rPr>
        <w:t>RECURRENTE</w:t>
      </w:r>
      <w:r w:rsidRPr="00FF4B10">
        <w:rPr>
          <w:rFonts w:ascii="Palatino Linotype" w:eastAsia="Palatino Linotype" w:hAnsi="Palatino Linotype" w:cs="Palatino Linotype"/>
        </w:rPr>
        <w:t xml:space="preserve">, en razón de revelar información sobre la situación patrimonial de un particular. </w:t>
      </w:r>
    </w:p>
    <w:p w14:paraId="68DE8577" w14:textId="77777777" w:rsidR="00AE4E6B" w:rsidRPr="00FF4B10" w:rsidRDefault="00786E08">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7. Ampliación del plazo.</w:t>
      </w:r>
      <w:r w:rsidRPr="00FF4B10">
        <w:rPr>
          <w:rFonts w:ascii="Palatino Linotype" w:eastAsia="Palatino Linotype" w:hAnsi="Palatino Linotype" w:cs="Palatino Linotype"/>
        </w:rPr>
        <w:t xml:space="preserve"> En fecha veintinueve de enero del año dos mil veinticuatro, con fundamento en el artículo 181, párrafo tercero de la Ley de Transparencia y Acceso a la Información Pública del Estado de México y Municipios, se acordó la ampliación del plazo para su resolución.</w:t>
      </w:r>
    </w:p>
    <w:p w14:paraId="3BB30A1C" w14:textId="77777777" w:rsidR="00AE4E6B" w:rsidRPr="00FF4B10" w:rsidRDefault="00786E08">
      <w:pPr>
        <w:widowControl w:val="0"/>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E97B2E1" w14:textId="77777777" w:rsidR="00AE4E6B" w:rsidRPr="00FF4B10" w:rsidRDefault="00AE4E6B">
      <w:pPr>
        <w:spacing w:line="360" w:lineRule="auto"/>
        <w:jc w:val="both"/>
        <w:rPr>
          <w:rFonts w:ascii="Palatino Linotype" w:eastAsia="Palatino Linotype" w:hAnsi="Palatino Linotype" w:cs="Palatino Linotype"/>
        </w:rPr>
      </w:pPr>
    </w:p>
    <w:p w14:paraId="7CB6525A"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982471F" w14:textId="77777777" w:rsidR="00AE4E6B" w:rsidRPr="00FF4B10" w:rsidRDefault="00AE4E6B">
      <w:pPr>
        <w:spacing w:line="360" w:lineRule="auto"/>
        <w:jc w:val="both"/>
        <w:rPr>
          <w:rFonts w:ascii="Palatino Linotype" w:eastAsia="Palatino Linotype" w:hAnsi="Palatino Linotype" w:cs="Palatino Linotype"/>
        </w:rPr>
      </w:pPr>
    </w:p>
    <w:p w14:paraId="15EF56FE"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9E902F3" w14:textId="77777777" w:rsidR="00AE4E6B" w:rsidRPr="00FF4B10" w:rsidRDefault="00AE4E6B">
      <w:pPr>
        <w:spacing w:line="360" w:lineRule="auto"/>
        <w:jc w:val="both"/>
        <w:rPr>
          <w:rFonts w:ascii="Palatino Linotype" w:eastAsia="Palatino Linotype" w:hAnsi="Palatino Linotype" w:cs="Palatino Linotype"/>
        </w:rPr>
      </w:pPr>
    </w:p>
    <w:p w14:paraId="1B22F25B"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6B84AE0" w14:textId="77777777" w:rsidR="00AE4E6B" w:rsidRPr="00FF4B10" w:rsidRDefault="00AE4E6B">
      <w:pPr>
        <w:spacing w:line="360" w:lineRule="auto"/>
        <w:jc w:val="both"/>
        <w:rPr>
          <w:rFonts w:ascii="Palatino Linotype" w:eastAsia="Palatino Linotype" w:hAnsi="Palatino Linotype" w:cs="Palatino Linotype"/>
        </w:rPr>
      </w:pPr>
    </w:p>
    <w:p w14:paraId="071D4799" w14:textId="77777777" w:rsidR="00AE4E6B" w:rsidRPr="00FF4B10" w:rsidRDefault="00786E08">
      <w:pPr>
        <w:spacing w:line="360" w:lineRule="auto"/>
        <w:jc w:val="both"/>
        <w:rPr>
          <w:rFonts w:ascii="Palatino Linotype" w:eastAsia="Palatino Linotype" w:hAnsi="Palatino Linotype" w:cs="Palatino Linotype"/>
          <w:strike/>
        </w:rPr>
      </w:pPr>
      <w:r w:rsidRPr="00FF4B1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950725B" w14:textId="77777777" w:rsidR="00AE4E6B" w:rsidRPr="00FF4B10" w:rsidRDefault="00AE4E6B">
      <w:pPr>
        <w:spacing w:line="360" w:lineRule="auto"/>
        <w:jc w:val="both"/>
        <w:rPr>
          <w:rFonts w:ascii="Palatino Linotype" w:eastAsia="Palatino Linotype" w:hAnsi="Palatino Linotype" w:cs="Palatino Linotype"/>
        </w:rPr>
      </w:pPr>
    </w:p>
    <w:p w14:paraId="6E3FC241" w14:textId="77777777" w:rsidR="00AE4E6B" w:rsidRPr="00FF4B10" w:rsidRDefault="00786E08">
      <w:pPr>
        <w:numPr>
          <w:ilvl w:val="0"/>
          <w:numId w:val="1"/>
        </w:numPr>
        <w:ind w:left="851"/>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F0C3678" w14:textId="77777777" w:rsidR="00AE4E6B" w:rsidRPr="00FF4B10" w:rsidRDefault="00AE4E6B">
      <w:pPr>
        <w:ind w:left="851" w:hanging="360"/>
        <w:jc w:val="both"/>
        <w:rPr>
          <w:rFonts w:ascii="Palatino Linotype" w:eastAsia="Palatino Linotype" w:hAnsi="Palatino Linotype" w:cs="Palatino Linotype"/>
        </w:rPr>
      </w:pPr>
    </w:p>
    <w:p w14:paraId="32926100" w14:textId="77777777" w:rsidR="00AE4E6B" w:rsidRPr="00FF4B10" w:rsidRDefault="00786E08">
      <w:pPr>
        <w:numPr>
          <w:ilvl w:val="0"/>
          <w:numId w:val="1"/>
        </w:numPr>
        <w:ind w:left="851"/>
        <w:jc w:val="both"/>
        <w:rPr>
          <w:rFonts w:ascii="Palatino Linotype" w:eastAsia="Palatino Linotype" w:hAnsi="Palatino Linotype" w:cs="Palatino Linotype"/>
        </w:rPr>
      </w:pPr>
      <w:r w:rsidRPr="00FF4B10">
        <w:rPr>
          <w:rFonts w:ascii="Palatino Linotype" w:eastAsia="Palatino Linotype" w:hAnsi="Palatino Linotype" w:cs="Palatino Linotype"/>
        </w:rPr>
        <w:t>Actividad Procesal del interesado. Acciones u omisiones del interesado.</w:t>
      </w:r>
    </w:p>
    <w:p w14:paraId="34A01AD0" w14:textId="77777777" w:rsidR="00AE4E6B" w:rsidRPr="00FF4B10" w:rsidRDefault="00AE4E6B">
      <w:pPr>
        <w:ind w:left="851" w:hanging="360"/>
        <w:jc w:val="both"/>
        <w:rPr>
          <w:rFonts w:ascii="Palatino Linotype" w:eastAsia="Palatino Linotype" w:hAnsi="Palatino Linotype" w:cs="Palatino Linotype"/>
        </w:rPr>
      </w:pPr>
    </w:p>
    <w:p w14:paraId="7D3160EB" w14:textId="77777777" w:rsidR="00AE4E6B" w:rsidRPr="00FF4B10" w:rsidRDefault="00786E08">
      <w:pPr>
        <w:numPr>
          <w:ilvl w:val="0"/>
          <w:numId w:val="1"/>
        </w:numPr>
        <w:ind w:left="851"/>
        <w:jc w:val="both"/>
        <w:rPr>
          <w:rFonts w:ascii="Palatino Linotype" w:eastAsia="Palatino Linotype" w:hAnsi="Palatino Linotype" w:cs="Palatino Linotype"/>
        </w:rPr>
      </w:pPr>
      <w:r w:rsidRPr="00FF4B10">
        <w:rPr>
          <w:rFonts w:ascii="Palatino Linotype" w:eastAsia="Palatino Linotype" w:hAnsi="Palatino Linotype" w:cs="Palatino Linotype"/>
        </w:rPr>
        <w:t>Conducta de la Autoridad: Las Acciones u omisiones realizadas en el procedimiento. Así como si la autoridad actuó con la debida diligencia.</w:t>
      </w:r>
    </w:p>
    <w:p w14:paraId="6A6022E3" w14:textId="77777777" w:rsidR="00AE4E6B" w:rsidRPr="00FF4B10" w:rsidRDefault="00AE4E6B">
      <w:pPr>
        <w:ind w:left="851" w:hanging="360"/>
        <w:rPr>
          <w:rFonts w:ascii="Palatino Linotype" w:eastAsia="Palatino Linotype" w:hAnsi="Palatino Linotype" w:cs="Palatino Linotype"/>
        </w:rPr>
      </w:pPr>
    </w:p>
    <w:p w14:paraId="052740B3" w14:textId="77777777" w:rsidR="00AE4E6B" w:rsidRPr="00FF4B10" w:rsidRDefault="00786E08">
      <w:pPr>
        <w:ind w:left="851" w:hanging="360"/>
        <w:jc w:val="both"/>
        <w:rPr>
          <w:rFonts w:ascii="Palatino Linotype" w:eastAsia="Palatino Linotype" w:hAnsi="Palatino Linotype" w:cs="Palatino Linotype"/>
        </w:rPr>
      </w:pPr>
      <w:r w:rsidRPr="00FF4B10">
        <w:rPr>
          <w:rFonts w:ascii="Palatino Linotype" w:eastAsia="Palatino Linotype" w:hAnsi="Palatino Linotype" w:cs="Palatino Linotype"/>
        </w:rPr>
        <w:t>d) La afectación generada en la situación jurídica de la persona involucrada en el proceso: Violación a sus derechos humanos.</w:t>
      </w:r>
    </w:p>
    <w:p w14:paraId="4DE9CB86" w14:textId="77777777" w:rsidR="00AE4E6B" w:rsidRPr="00FF4B10" w:rsidRDefault="00AE4E6B">
      <w:pPr>
        <w:spacing w:line="360" w:lineRule="auto"/>
        <w:jc w:val="both"/>
        <w:rPr>
          <w:rFonts w:ascii="Palatino Linotype" w:eastAsia="Palatino Linotype" w:hAnsi="Palatino Linotype" w:cs="Palatino Linotype"/>
        </w:rPr>
      </w:pPr>
    </w:p>
    <w:p w14:paraId="1D31ABDF"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FF4B10">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159B5BD6" w14:textId="77777777" w:rsidR="00AE4E6B" w:rsidRPr="00FF4B10" w:rsidRDefault="00AE4E6B">
      <w:pPr>
        <w:spacing w:line="360" w:lineRule="auto"/>
        <w:jc w:val="both"/>
        <w:rPr>
          <w:rFonts w:ascii="Palatino Linotype" w:eastAsia="Palatino Linotype" w:hAnsi="Palatino Linotype" w:cs="Palatino Linotype"/>
        </w:rPr>
      </w:pPr>
    </w:p>
    <w:p w14:paraId="041EE1B6" w14:textId="77777777" w:rsidR="00AE4E6B" w:rsidRPr="00FF4B10" w:rsidRDefault="00786E08">
      <w:pPr>
        <w:spacing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FF4B1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F4B10">
        <w:rPr>
          <w:rFonts w:ascii="Palatino Linotype" w:eastAsia="Palatino Linotype" w:hAnsi="Palatino Linotype" w:cs="Palatino Linotype"/>
        </w:rPr>
        <w:t>, visible en la Gaceta del Seminario Judicial de la Federación con el registro digital 205635.</w:t>
      </w:r>
    </w:p>
    <w:p w14:paraId="2FC5A2BD" w14:textId="77777777" w:rsidR="00AE4E6B" w:rsidRPr="00FF4B10" w:rsidRDefault="00AE4E6B">
      <w:pPr>
        <w:spacing w:line="360" w:lineRule="auto"/>
        <w:jc w:val="both"/>
        <w:rPr>
          <w:rFonts w:ascii="Palatino Linotype" w:eastAsia="Palatino Linotype" w:hAnsi="Palatino Linotype" w:cs="Palatino Linotype"/>
        </w:rPr>
      </w:pPr>
    </w:p>
    <w:p w14:paraId="4C00F929"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638531" w14:textId="77777777" w:rsidR="00AE4E6B" w:rsidRPr="00FF4B10" w:rsidRDefault="00AE4E6B">
      <w:pPr>
        <w:spacing w:line="360" w:lineRule="auto"/>
        <w:jc w:val="both"/>
        <w:rPr>
          <w:rFonts w:ascii="Palatino Linotype" w:eastAsia="Palatino Linotype" w:hAnsi="Palatino Linotype" w:cs="Palatino Linotype"/>
        </w:rPr>
      </w:pPr>
    </w:p>
    <w:p w14:paraId="70F986D5"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2FB69802" w14:textId="77777777" w:rsidR="00AE4E6B" w:rsidRPr="00FF4B10" w:rsidRDefault="00AE4E6B">
      <w:pPr>
        <w:spacing w:line="360" w:lineRule="auto"/>
        <w:jc w:val="both"/>
        <w:rPr>
          <w:rFonts w:ascii="Palatino Linotype" w:eastAsia="Palatino Linotype" w:hAnsi="Palatino Linotype" w:cs="Palatino Linotype"/>
        </w:rPr>
      </w:pPr>
    </w:p>
    <w:p w14:paraId="0AF25DAC"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 </w:t>
      </w:r>
      <w:r w:rsidRPr="00FF4B10">
        <w:rPr>
          <w:rFonts w:ascii="Palatino Linotype" w:eastAsia="Palatino Linotype" w:hAnsi="Palatino Linotype" w:cs="Palatino Linotype"/>
          <w:i/>
        </w:rPr>
        <w:t>“PLAZO RAZONABLE PARA RESOLVER. DIMENSIÓN Y EFECTOS DE ESTE CONCEPTO CUANDO SE ADUCE EXCESIVA CARGA DE TRABAJO.”</w:t>
      </w:r>
      <w:r w:rsidRPr="00FF4B10">
        <w:rPr>
          <w:rFonts w:ascii="Palatino Linotype" w:eastAsia="Palatino Linotype" w:hAnsi="Palatino Linotype" w:cs="Palatino Linotype"/>
        </w:rPr>
        <w:t xml:space="preserve"> consultable en el Seminario Judicial de la Federación y su gaceta, con el registro digital 2002351.</w:t>
      </w:r>
    </w:p>
    <w:p w14:paraId="0F0033E7" w14:textId="77777777" w:rsidR="00AE4E6B" w:rsidRPr="00FF4B10" w:rsidRDefault="00AE4E6B">
      <w:pPr>
        <w:spacing w:line="360" w:lineRule="auto"/>
        <w:jc w:val="both"/>
        <w:rPr>
          <w:rFonts w:ascii="Palatino Linotype" w:eastAsia="Palatino Linotype" w:hAnsi="Palatino Linotype" w:cs="Palatino Linotype"/>
          <w:b/>
        </w:rPr>
      </w:pPr>
    </w:p>
    <w:p w14:paraId="15D3E309"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i/>
        </w:rPr>
        <w:t>“PLAZO RAZONABLE PARA RESOLVER. CONCEPTO Y ELEMENTOS QUE LO INTEGRAN A LA LUZ DEL DERECHO INTERNACIONAL DE LOS DERECHOS HUMANOS.”</w:t>
      </w:r>
      <w:r w:rsidRPr="00FF4B10">
        <w:rPr>
          <w:rFonts w:ascii="Palatino Linotype" w:eastAsia="Palatino Linotype" w:hAnsi="Palatino Linotype" w:cs="Palatino Linotype"/>
        </w:rPr>
        <w:t>, visible en el Seminario Judicial de la Federación y su gaceta, con el registro digital 2002350.</w:t>
      </w:r>
    </w:p>
    <w:p w14:paraId="7CB999FF" w14:textId="77777777" w:rsidR="00AE4E6B" w:rsidRPr="00FF4B10" w:rsidRDefault="00AE4E6B">
      <w:pPr>
        <w:spacing w:line="360" w:lineRule="auto"/>
        <w:jc w:val="both"/>
        <w:rPr>
          <w:rFonts w:ascii="Palatino Linotype" w:eastAsia="Palatino Linotype" w:hAnsi="Palatino Linotype" w:cs="Palatino Linotype"/>
        </w:rPr>
      </w:pPr>
    </w:p>
    <w:p w14:paraId="7755C1A5"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FF2DA71" w14:textId="6FD65483"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 xml:space="preserve">8. Cierre de instrucción. </w:t>
      </w:r>
      <w:r w:rsidRPr="00FF4B10">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8B1ED4" w:rsidRPr="00FF4B10">
        <w:rPr>
          <w:rFonts w:ascii="Palatino Linotype" w:eastAsia="Palatino Linotype" w:hAnsi="Palatino Linotype" w:cs="Palatino Linotype"/>
          <w:b/>
        </w:rPr>
        <w:t>ocho</w:t>
      </w:r>
      <w:r w:rsidRPr="00FF4B10">
        <w:rPr>
          <w:rFonts w:ascii="Palatino Linotype" w:eastAsia="Palatino Linotype" w:hAnsi="Palatino Linotype" w:cs="Palatino Linotype"/>
          <w:b/>
        </w:rPr>
        <w:t xml:space="preserve"> de febrero </w:t>
      </w:r>
      <w:r w:rsidR="00046B04" w:rsidRPr="00FF4B10">
        <w:rPr>
          <w:rFonts w:ascii="Palatino Linotype" w:eastAsia="Palatino Linotype" w:hAnsi="Palatino Linotype" w:cs="Palatino Linotype"/>
          <w:b/>
        </w:rPr>
        <w:t>de dos mil veinticuatro</w:t>
      </w:r>
      <w:r w:rsidRPr="00FF4B10">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2B2F280"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760DDCFB" w14:textId="77777777" w:rsidR="00AE4E6B" w:rsidRPr="00FF4B10" w:rsidRDefault="00786E08">
      <w:pPr>
        <w:widowControl w:val="0"/>
        <w:spacing w:line="360" w:lineRule="auto"/>
        <w:jc w:val="center"/>
        <w:rPr>
          <w:rFonts w:ascii="Palatino Linotype" w:eastAsia="Palatino Linotype" w:hAnsi="Palatino Linotype" w:cs="Palatino Linotype"/>
          <w:b/>
        </w:rPr>
      </w:pPr>
      <w:r w:rsidRPr="00FF4B10">
        <w:rPr>
          <w:rFonts w:ascii="Palatino Linotype" w:eastAsia="Palatino Linotype" w:hAnsi="Palatino Linotype" w:cs="Palatino Linotype"/>
          <w:b/>
        </w:rPr>
        <w:t>II. C O N S I D E R A N D O S</w:t>
      </w:r>
    </w:p>
    <w:p w14:paraId="0CE38A23" w14:textId="77777777" w:rsidR="00AE4E6B" w:rsidRPr="00FF4B10" w:rsidRDefault="00AE4E6B">
      <w:pPr>
        <w:widowControl w:val="0"/>
        <w:spacing w:line="360" w:lineRule="auto"/>
        <w:jc w:val="center"/>
        <w:rPr>
          <w:rFonts w:ascii="Palatino Linotype" w:eastAsia="Palatino Linotype" w:hAnsi="Palatino Linotype" w:cs="Palatino Linotype"/>
          <w:b/>
        </w:rPr>
      </w:pPr>
    </w:p>
    <w:p w14:paraId="10372B6C"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Primero. Competencia.</w:t>
      </w:r>
      <w:r w:rsidRPr="00FF4B1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F898562" w14:textId="77777777" w:rsidR="00AE4E6B" w:rsidRPr="00FF4B10" w:rsidRDefault="00AE4E6B">
      <w:pPr>
        <w:spacing w:line="360" w:lineRule="auto"/>
        <w:jc w:val="both"/>
        <w:rPr>
          <w:rFonts w:ascii="Palatino Linotype" w:eastAsia="Palatino Linotype" w:hAnsi="Palatino Linotype" w:cs="Palatino Linotype"/>
        </w:rPr>
      </w:pPr>
    </w:p>
    <w:p w14:paraId="49CECE74" w14:textId="77777777" w:rsidR="00AE4E6B" w:rsidRPr="00FF4B10" w:rsidRDefault="00786E08">
      <w:pPr>
        <w:spacing w:line="360" w:lineRule="auto"/>
        <w:jc w:val="both"/>
        <w:rPr>
          <w:rFonts w:ascii="Palatino Linotype" w:eastAsia="Palatino Linotype" w:hAnsi="Palatino Linotype" w:cs="Palatino Linotype"/>
        </w:rPr>
      </w:pPr>
      <w:bookmarkStart w:id="4" w:name="_heading=h.tyjcwt" w:colFirst="0" w:colLast="0"/>
      <w:bookmarkEnd w:id="4"/>
      <w:r w:rsidRPr="00FF4B10">
        <w:rPr>
          <w:rFonts w:ascii="Palatino Linotype" w:eastAsia="Palatino Linotype" w:hAnsi="Palatino Linotype" w:cs="Palatino Linotype"/>
          <w:b/>
        </w:rPr>
        <w:t xml:space="preserve">Segundo. Oportunidad y Procedibilidad del Recurso de Revisión. </w:t>
      </w:r>
      <w:r w:rsidRPr="00FF4B10">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FF4B10">
        <w:rPr>
          <w:rFonts w:ascii="Palatino Linotype" w:eastAsia="Palatino Linotype" w:hAnsi="Palatino Linotype" w:cs="Palatino Linotype"/>
          <w:b/>
        </w:rPr>
        <w:t xml:space="preserve">SUJETO </w:t>
      </w:r>
      <w:r w:rsidRPr="00FF4B10">
        <w:rPr>
          <w:rFonts w:ascii="Palatino Linotype" w:eastAsia="Palatino Linotype" w:hAnsi="Palatino Linotype" w:cs="Palatino Linotype"/>
          <w:b/>
        </w:rPr>
        <w:lastRenderedPageBreak/>
        <w:t>OBLIGADO</w:t>
      </w:r>
      <w:r w:rsidRPr="00FF4B10">
        <w:rPr>
          <w:rFonts w:ascii="Palatino Linotype" w:eastAsia="Palatino Linotype" w:hAnsi="Palatino Linotype" w:cs="Palatino Linotype"/>
        </w:rPr>
        <w:t xml:space="preserve"> emitió su respuesta a la solicitud planteada por el solicitante el veintidós de mayo del año dos mil veintitrés y mientras que el recurso de revisión interpuesto por la parte </w:t>
      </w:r>
      <w:r w:rsidRPr="00FF4B10">
        <w:rPr>
          <w:rFonts w:ascii="Palatino Linotype" w:eastAsia="Palatino Linotype" w:hAnsi="Palatino Linotype" w:cs="Palatino Linotype"/>
          <w:b/>
        </w:rPr>
        <w:t>RECURRENTE</w:t>
      </w:r>
      <w:r w:rsidRPr="00FF4B10">
        <w:rPr>
          <w:rFonts w:ascii="Palatino Linotype" w:eastAsia="Palatino Linotype" w:hAnsi="Palatino Linotype" w:cs="Palatino Linotype"/>
        </w:rPr>
        <w:t xml:space="preserve">, se tuvo por presentado el día </w:t>
      </w:r>
      <w:r w:rsidRPr="00FF4B10">
        <w:rPr>
          <w:rFonts w:ascii="Palatino Linotype" w:eastAsia="Palatino Linotype" w:hAnsi="Palatino Linotype" w:cs="Palatino Linotype"/>
          <w:b/>
        </w:rPr>
        <w:t xml:space="preserve">veintidós de agosto del año dos mil veintitrés, </w:t>
      </w:r>
      <w:r w:rsidRPr="00FF4B10">
        <w:rPr>
          <w:rFonts w:ascii="Palatino Linotype" w:eastAsia="Palatino Linotype" w:hAnsi="Palatino Linotype" w:cs="Palatino Linotype"/>
        </w:rPr>
        <w:t xml:space="preserve">esto es, el </w:t>
      </w:r>
      <w:r w:rsidRPr="00FF4B10">
        <w:rPr>
          <w:rFonts w:ascii="Palatino Linotype" w:eastAsia="Palatino Linotype" w:hAnsi="Palatino Linotype" w:cs="Palatino Linotype"/>
          <w:b/>
        </w:rPr>
        <w:t xml:space="preserve">mismo día </w:t>
      </w:r>
      <w:r w:rsidRPr="00FF4B10">
        <w:rPr>
          <w:rFonts w:ascii="Palatino Linotype" w:eastAsia="Palatino Linotype" w:hAnsi="Palatino Linotype" w:cs="Palatino Linotype"/>
        </w:rPr>
        <w:t>en que tuvo conocimiento de la respuesta impugnada.</w:t>
      </w:r>
    </w:p>
    <w:p w14:paraId="1DD3076B"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En este sentido, al considerar la fecha en que se formuló la solicitud y la fecha en que respondió a esta 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43D04E17"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2950A75E" w14:textId="77777777" w:rsidR="00AE4E6B" w:rsidRPr="00FF4B10" w:rsidRDefault="00786E08">
      <w:pPr>
        <w:spacing w:before="120" w:after="120"/>
        <w:ind w:left="851" w:right="902"/>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FF4B10">
        <w:rPr>
          <w:rFonts w:ascii="Palatino Linotype" w:eastAsia="Palatino Linotype" w:hAnsi="Palatino Linotype" w:cs="Palatino Linotype"/>
          <w:i/>
          <w:sz w:val="22"/>
          <w:szCs w:val="22"/>
        </w:rPr>
        <w:t>.</w:t>
      </w:r>
    </w:p>
    <w:p w14:paraId="163180EA" w14:textId="77777777" w:rsidR="00AE4E6B" w:rsidRPr="00FF4B10" w:rsidRDefault="00786E08">
      <w:pPr>
        <w:spacing w:before="120" w:after="120"/>
        <w:ind w:left="851" w:right="902"/>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w:t>
      </w:r>
      <w:r w:rsidRPr="00FF4B10">
        <w:rPr>
          <w:rFonts w:ascii="Palatino Linotype" w:eastAsia="Palatino Linotype" w:hAnsi="Palatino Linotype" w:cs="Palatino Linotype"/>
          <w:i/>
          <w:sz w:val="22"/>
          <w:szCs w:val="22"/>
        </w:rPr>
        <w:lastRenderedPageBreak/>
        <w:t>de defensa no puede hacerse valer después de tres días, por tanto, no impide que el escrito correspondiente se presente antes de iniciado ese término. De ahí que si dicho recurso se interpone antes de que inicie el plazo para hacerlo, su presentación no es extemporánea</w:t>
      </w:r>
      <w:proofErr w:type="gramStart"/>
      <w:r w:rsidRPr="00FF4B10">
        <w:rPr>
          <w:rFonts w:ascii="Palatino Linotype" w:eastAsia="Palatino Linotype" w:hAnsi="Palatino Linotype" w:cs="Palatino Linotype"/>
          <w:i/>
          <w:sz w:val="22"/>
          <w:szCs w:val="22"/>
        </w:rPr>
        <w:t>.”(</w:t>
      </w:r>
      <w:proofErr w:type="gramEnd"/>
      <w:r w:rsidRPr="00FF4B10">
        <w:rPr>
          <w:rFonts w:ascii="Palatino Linotype" w:eastAsia="Palatino Linotype" w:hAnsi="Palatino Linotype" w:cs="Palatino Linotype"/>
          <w:i/>
          <w:sz w:val="22"/>
          <w:szCs w:val="22"/>
        </w:rPr>
        <w:t>Sic)</w:t>
      </w:r>
    </w:p>
    <w:p w14:paraId="042B5A97" w14:textId="77777777" w:rsidR="00AE4E6B" w:rsidRPr="00FF4B10" w:rsidRDefault="00786E08">
      <w:pPr>
        <w:spacing w:before="240" w:after="240" w:line="360" w:lineRule="auto"/>
        <w:ind w:right="49"/>
        <w:jc w:val="both"/>
        <w:rPr>
          <w:rFonts w:ascii="Palatino Linotype" w:eastAsia="Palatino Linotype" w:hAnsi="Palatino Linotype" w:cs="Palatino Linotype"/>
        </w:rPr>
      </w:pPr>
      <w:r w:rsidRPr="00FF4B10">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E3F1492"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 y II de la ley de la materia, que a la letra dice:</w:t>
      </w:r>
    </w:p>
    <w:p w14:paraId="2504E3FB" w14:textId="77777777" w:rsidR="00AE4E6B" w:rsidRPr="00FF4B10" w:rsidRDefault="00786E08">
      <w:pPr>
        <w:ind w:left="1276" w:right="1752"/>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r w:rsidRPr="00FF4B10">
        <w:rPr>
          <w:rFonts w:ascii="Palatino Linotype" w:eastAsia="Palatino Linotype" w:hAnsi="Palatino Linotype" w:cs="Palatino Linotype"/>
          <w:b/>
          <w:i/>
          <w:sz w:val="22"/>
          <w:szCs w:val="22"/>
        </w:rPr>
        <w:t xml:space="preserve">Artículo 179. </w:t>
      </w:r>
      <w:r w:rsidRPr="00FF4B1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7AADDD7" w14:textId="77777777" w:rsidR="00AE4E6B" w:rsidRPr="00FF4B10" w:rsidRDefault="00786E08">
      <w:pPr>
        <w:ind w:left="1276" w:right="1752"/>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 La negativa a la información solicitada; </w:t>
      </w:r>
    </w:p>
    <w:p w14:paraId="010D49CA" w14:textId="77777777" w:rsidR="00AE4E6B" w:rsidRPr="00FF4B10" w:rsidRDefault="00786E08">
      <w:pPr>
        <w:ind w:left="1276" w:right="1752"/>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II. La clasificación de la información…” (Sic) </w:t>
      </w:r>
    </w:p>
    <w:p w14:paraId="75D48533"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Tercero. Materia de Revisión</w:t>
      </w:r>
      <w:r w:rsidRPr="00FF4B10">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FF4B10">
        <w:rPr>
          <w:rFonts w:ascii="Palatino Linotype" w:eastAsia="Palatino Linotype" w:hAnsi="Palatino Linotype" w:cs="Palatino Linotype"/>
          <w:b/>
        </w:rPr>
        <w:t xml:space="preserve">verificar si la respuesta como informe justificado otorgados por el SUJETO OBLIGADO son adecuados y suficientes para satisfacer el derecho de acceso a la información pública </w:t>
      </w:r>
      <w:r w:rsidRPr="00FF4B10">
        <w:rPr>
          <w:rFonts w:ascii="Palatino Linotype" w:eastAsia="Palatino Linotype" w:hAnsi="Palatino Linotype" w:cs="Palatino Linotype"/>
        </w:rPr>
        <w:t xml:space="preserve">de la </w:t>
      </w:r>
      <w:proofErr w:type="gramStart"/>
      <w:r w:rsidRPr="00FF4B10">
        <w:rPr>
          <w:rFonts w:ascii="Palatino Linotype" w:eastAsia="Palatino Linotype" w:hAnsi="Palatino Linotype" w:cs="Palatino Linotype"/>
        </w:rPr>
        <w:t xml:space="preserve">parte  </w:t>
      </w:r>
      <w:r w:rsidRPr="00FF4B10">
        <w:rPr>
          <w:rFonts w:ascii="Palatino Linotype" w:eastAsia="Palatino Linotype" w:hAnsi="Palatino Linotype" w:cs="Palatino Linotype"/>
          <w:b/>
        </w:rPr>
        <w:t>RECURRENTE</w:t>
      </w:r>
      <w:proofErr w:type="gramEnd"/>
      <w:r w:rsidRPr="00FF4B10">
        <w:rPr>
          <w:rFonts w:ascii="Palatino Linotype" w:eastAsia="Palatino Linotype" w:hAnsi="Palatino Linotype" w:cs="Palatino Linotype"/>
        </w:rPr>
        <w:t>, o en su defecto, en caso de ser procedente, ordenar la entrega de información.</w:t>
      </w:r>
    </w:p>
    <w:p w14:paraId="7506E5EB"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lastRenderedPageBreak/>
        <w:t xml:space="preserve">Cuarto. Estudio de fondo del asunto. </w:t>
      </w:r>
      <w:r w:rsidRPr="00FF4B10">
        <w:rPr>
          <w:rFonts w:ascii="Palatino Linotype" w:eastAsia="Palatino Linotype" w:hAnsi="Palatino Linotype" w:cs="Palatino Linotype"/>
        </w:rPr>
        <w:t xml:space="preserve">es conveniente analizar si la respuesta del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4AF5F6F" w14:textId="77777777" w:rsidR="00AE4E6B" w:rsidRPr="00FF4B10" w:rsidRDefault="00786E08">
      <w:pPr>
        <w:spacing w:before="240"/>
        <w:ind w:left="709" w:right="760"/>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r w:rsidRPr="00FF4B10">
        <w:rPr>
          <w:rFonts w:ascii="Palatino Linotype" w:eastAsia="Palatino Linotype" w:hAnsi="Palatino Linotype" w:cs="Palatino Linotype"/>
          <w:b/>
          <w:i/>
          <w:sz w:val="22"/>
          <w:szCs w:val="22"/>
        </w:rPr>
        <w:t>Artículo 4.</w:t>
      </w:r>
      <w:r w:rsidRPr="00FF4B1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6ECF0ED" w14:textId="77777777" w:rsidR="00AE4E6B" w:rsidRPr="00FF4B10" w:rsidRDefault="00786E08">
      <w:pPr>
        <w:ind w:left="709" w:right="760"/>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FF4B1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AE39880" w14:textId="77777777" w:rsidR="00AE4E6B" w:rsidRPr="00FF4B10" w:rsidRDefault="00786E08">
      <w:pPr>
        <w:ind w:left="709" w:right="760"/>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FF4B10">
        <w:rPr>
          <w:rFonts w:ascii="Palatino Linotype" w:eastAsia="Palatino Linotype" w:hAnsi="Palatino Linotype" w:cs="Palatino Linotype"/>
          <w:i/>
          <w:sz w:val="22"/>
          <w:szCs w:val="22"/>
        </w:rPr>
        <w:t>.”(</w:t>
      </w:r>
      <w:proofErr w:type="gramEnd"/>
      <w:r w:rsidRPr="00FF4B10">
        <w:rPr>
          <w:rFonts w:ascii="Palatino Linotype" w:eastAsia="Palatino Linotype" w:hAnsi="Palatino Linotype" w:cs="Palatino Linotype"/>
          <w:i/>
          <w:sz w:val="22"/>
          <w:szCs w:val="22"/>
        </w:rPr>
        <w:t>Sic)</w:t>
      </w:r>
    </w:p>
    <w:p w14:paraId="085E4FA1"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w:t>
      </w:r>
      <w:r w:rsidRPr="00FF4B10">
        <w:rPr>
          <w:rFonts w:ascii="Palatino Linotype" w:eastAsia="Palatino Linotype" w:hAnsi="Palatino Linotype" w:cs="Palatino Linotype"/>
        </w:rPr>
        <w:lastRenderedPageBreak/>
        <w:t>conforme al interés del solicitante; como así lo establece el artículo 12 de la Ley de Transparencia y Acceso a la Información Pública del Estado de México y Municipios, el cual a la letra dice:</w:t>
      </w:r>
    </w:p>
    <w:p w14:paraId="252180F9" w14:textId="77777777" w:rsidR="00AE4E6B" w:rsidRPr="00FF4B10" w:rsidRDefault="00786E08">
      <w:pPr>
        <w:ind w:left="567" w:right="758"/>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r w:rsidRPr="00FF4B10">
        <w:rPr>
          <w:rFonts w:ascii="Palatino Linotype" w:eastAsia="Palatino Linotype" w:hAnsi="Palatino Linotype" w:cs="Palatino Linotype"/>
          <w:b/>
          <w:i/>
          <w:sz w:val="22"/>
          <w:szCs w:val="22"/>
        </w:rPr>
        <w:t>Artículo12.-</w:t>
      </w:r>
      <w:r w:rsidRPr="00FF4B1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15D8DC0" w14:textId="77777777" w:rsidR="00AE4E6B" w:rsidRPr="00FF4B10" w:rsidRDefault="00786E08">
      <w:pPr>
        <w:ind w:left="567" w:right="758"/>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FF4B10">
        <w:rPr>
          <w:rFonts w:ascii="Palatino Linotype" w:eastAsia="Palatino Linotype" w:hAnsi="Palatino Linotype" w:cs="Palatino Linotype"/>
          <w:i/>
          <w:sz w:val="22"/>
          <w:szCs w:val="22"/>
        </w:rPr>
        <w:t xml:space="preserve">. </w:t>
      </w:r>
      <w:r w:rsidRPr="00FF4B10">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D13C88E" w14:textId="77777777" w:rsidR="00AE4E6B" w:rsidRPr="00FF4B10" w:rsidRDefault="00AE4E6B">
      <w:pPr>
        <w:spacing w:line="360" w:lineRule="auto"/>
        <w:ind w:right="-93"/>
        <w:jc w:val="both"/>
        <w:rPr>
          <w:rFonts w:ascii="Palatino Linotype" w:eastAsia="Palatino Linotype" w:hAnsi="Palatino Linotype" w:cs="Palatino Linotype"/>
        </w:rPr>
      </w:pPr>
    </w:p>
    <w:p w14:paraId="0B01C635" w14:textId="77777777" w:rsidR="00AE4E6B" w:rsidRPr="00FF4B10" w:rsidRDefault="00786E08">
      <w:pPr>
        <w:spacing w:line="360" w:lineRule="auto"/>
        <w:ind w:right="-93"/>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5E1D91D4" w14:textId="77777777" w:rsidR="00AE4E6B" w:rsidRPr="00FF4B10" w:rsidRDefault="00AE4E6B">
      <w:pPr>
        <w:spacing w:line="360" w:lineRule="auto"/>
        <w:jc w:val="both"/>
        <w:rPr>
          <w:rFonts w:ascii="Palatino Linotype" w:eastAsia="Palatino Linotype" w:hAnsi="Palatino Linotype" w:cs="Palatino Linotype"/>
        </w:rPr>
      </w:pPr>
    </w:p>
    <w:p w14:paraId="2F706329"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0598DA04" w14:textId="77777777" w:rsidR="00AE4E6B" w:rsidRPr="00FF4B10" w:rsidRDefault="00786E08">
      <w:pPr>
        <w:spacing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 xml:space="preserve"> </w:t>
      </w:r>
    </w:p>
    <w:p w14:paraId="53F06ED2"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r w:rsidRPr="00FF4B10">
        <w:rPr>
          <w:rFonts w:ascii="Palatino Linotype" w:eastAsia="Palatino Linotype" w:hAnsi="Palatino Linotype" w:cs="Palatino Linotype"/>
          <w:b/>
          <w:i/>
          <w:sz w:val="22"/>
          <w:szCs w:val="22"/>
        </w:rPr>
        <w:t>No existe obligación de elaborar documentos ad hoc para atender las solicitudes de acceso a la información.</w:t>
      </w:r>
      <w:r w:rsidRPr="00FF4B1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w:t>
      </w:r>
      <w:r w:rsidRPr="00FF4B10">
        <w:rPr>
          <w:rFonts w:ascii="Palatino Linotype" w:eastAsia="Palatino Linotype" w:hAnsi="Palatino Linotype" w:cs="Palatino Linotype"/>
          <w:i/>
          <w:sz w:val="22"/>
          <w:szCs w:val="22"/>
        </w:rPr>
        <w:lastRenderedPageBreak/>
        <w:t>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9D83DF0"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Resoluciones: </w:t>
      </w:r>
    </w:p>
    <w:p w14:paraId="07CCFD41"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Symbol" w:eastAsia="Symbol" w:hAnsi="Symbol" w:cs="Symbol"/>
          <w:i/>
          <w:sz w:val="22"/>
          <w:szCs w:val="22"/>
        </w:rPr>
        <w:t>∙</w:t>
      </w:r>
      <w:r w:rsidRPr="00FF4B10">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5E1C4AA7"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Symbol" w:eastAsia="Symbol" w:hAnsi="Symbol" w:cs="Symbol"/>
          <w:i/>
          <w:sz w:val="22"/>
          <w:szCs w:val="22"/>
        </w:rPr>
        <w:t>∙</w:t>
      </w:r>
      <w:r w:rsidRPr="00FF4B10">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7E68D0AA"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Symbol" w:eastAsia="Symbol" w:hAnsi="Symbol" w:cs="Symbol"/>
          <w:i/>
          <w:sz w:val="22"/>
          <w:szCs w:val="22"/>
        </w:rPr>
        <w:t>∙</w:t>
      </w:r>
      <w:r w:rsidRPr="00FF4B10">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FF4B10">
        <w:rPr>
          <w:rFonts w:ascii="Palatino Linotype" w:eastAsia="Palatino Linotype" w:hAnsi="Palatino Linotype" w:cs="Palatino Linotype"/>
          <w:i/>
          <w:sz w:val="22"/>
          <w:szCs w:val="22"/>
        </w:rPr>
        <w:t>.”(</w:t>
      </w:r>
      <w:proofErr w:type="gramEnd"/>
      <w:r w:rsidRPr="00FF4B10">
        <w:rPr>
          <w:rFonts w:ascii="Palatino Linotype" w:eastAsia="Palatino Linotype" w:hAnsi="Palatino Linotype" w:cs="Palatino Linotype"/>
          <w:i/>
          <w:sz w:val="22"/>
          <w:szCs w:val="22"/>
        </w:rPr>
        <w:t>Sic)</w:t>
      </w:r>
    </w:p>
    <w:p w14:paraId="161A0E75" w14:textId="77777777" w:rsidR="00AE4E6B" w:rsidRPr="00FF4B10" w:rsidRDefault="00AE4E6B">
      <w:pPr>
        <w:spacing w:line="360" w:lineRule="auto"/>
        <w:jc w:val="both"/>
        <w:rPr>
          <w:rFonts w:ascii="Palatino Linotype" w:eastAsia="Palatino Linotype" w:hAnsi="Palatino Linotype" w:cs="Palatino Linotype"/>
        </w:rPr>
      </w:pPr>
    </w:p>
    <w:p w14:paraId="00A96C5C" w14:textId="77777777" w:rsidR="00AE4E6B" w:rsidRPr="00FF4B10" w:rsidRDefault="00786E08">
      <w:pPr>
        <w:spacing w:line="360" w:lineRule="auto"/>
        <w:jc w:val="both"/>
        <w:rPr>
          <w:rFonts w:ascii="Palatino Linotype" w:eastAsia="Palatino Linotype" w:hAnsi="Palatino Linotype" w:cs="Palatino Linotype"/>
          <w:strike/>
        </w:rPr>
      </w:pPr>
      <w:r w:rsidRPr="00FF4B10">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7EAEAE54" w14:textId="77777777" w:rsidR="00AE4E6B" w:rsidRPr="00FF4B10" w:rsidRDefault="00AE4E6B">
      <w:pPr>
        <w:spacing w:line="360" w:lineRule="auto"/>
        <w:jc w:val="both"/>
        <w:rPr>
          <w:rFonts w:ascii="Palatino Linotype" w:eastAsia="Palatino Linotype" w:hAnsi="Palatino Linotype" w:cs="Palatino Linotype"/>
        </w:rPr>
      </w:pPr>
    </w:p>
    <w:p w14:paraId="0E62D377" w14:textId="77777777" w:rsidR="00AE4E6B" w:rsidRPr="00FF4B10" w:rsidRDefault="00786E08">
      <w:pPr>
        <w:spacing w:line="360" w:lineRule="auto"/>
        <w:ind w:right="49"/>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w:t>
      </w:r>
      <w:r w:rsidRPr="00FF4B10">
        <w:rPr>
          <w:rFonts w:ascii="Palatino Linotype" w:eastAsia="Palatino Linotype" w:hAnsi="Palatino Linotype" w:cs="Palatino Linotype"/>
        </w:rPr>
        <w:lastRenderedPageBreak/>
        <w:t>de Transparencia y Acceso a la Información Pública del Estado de México y Municipios.</w:t>
      </w:r>
    </w:p>
    <w:p w14:paraId="0057407F" w14:textId="77777777" w:rsidR="00AE4E6B" w:rsidRPr="00FF4B10" w:rsidRDefault="00AE4E6B">
      <w:pPr>
        <w:spacing w:line="360" w:lineRule="auto"/>
        <w:ind w:right="49"/>
        <w:jc w:val="both"/>
        <w:rPr>
          <w:rFonts w:ascii="Palatino Linotype" w:eastAsia="Palatino Linotype" w:hAnsi="Palatino Linotype" w:cs="Palatino Linotype"/>
        </w:rPr>
      </w:pPr>
    </w:p>
    <w:p w14:paraId="2E51E775"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7294A80" w14:textId="77777777" w:rsidR="00AE4E6B" w:rsidRPr="00FF4B10" w:rsidRDefault="00AE4E6B">
      <w:pPr>
        <w:ind w:left="851" w:right="899"/>
        <w:jc w:val="both"/>
        <w:rPr>
          <w:rFonts w:ascii="Palatino Linotype" w:eastAsia="Palatino Linotype" w:hAnsi="Palatino Linotype" w:cs="Palatino Linotype"/>
          <w:i/>
          <w:sz w:val="22"/>
          <w:szCs w:val="22"/>
        </w:rPr>
      </w:pPr>
    </w:p>
    <w:p w14:paraId="261BCDF1"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r w:rsidRPr="00FF4B10">
        <w:rPr>
          <w:rFonts w:ascii="Palatino Linotype" w:eastAsia="Palatino Linotype" w:hAnsi="Palatino Linotype" w:cs="Palatino Linotype"/>
          <w:b/>
          <w:i/>
          <w:sz w:val="22"/>
          <w:szCs w:val="22"/>
        </w:rPr>
        <w:t xml:space="preserve">Artículo 3. </w:t>
      </w:r>
      <w:r w:rsidRPr="00FF4B10">
        <w:rPr>
          <w:rFonts w:ascii="Palatino Linotype" w:eastAsia="Palatino Linotype" w:hAnsi="Palatino Linotype" w:cs="Palatino Linotype"/>
          <w:i/>
          <w:sz w:val="22"/>
          <w:szCs w:val="22"/>
        </w:rPr>
        <w:t>Para los efectos de la presente Ley se entenderá por:</w:t>
      </w:r>
    </w:p>
    <w:p w14:paraId="13B86E4B"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p>
    <w:p w14:paraId="256C019F"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b/>
          <w:i/>
          <w:sz w:val="22"/>
          <w:szCs w:val="22"/>
        </w:rPr>
        <w:t>XI. Documento:</w:t>
      </w:r>
      <w:r w:rsidRPr="00FF4B10">
        <w:rPr>
          <w:rFonts w:ascii="Palatino Linotype" w:eastAsia="Palatino Linotype" w:hAnsi="Palatino Linotype" w:cs="Palatino Linotype"/>
          <w:i/>
          <w:sz w:val="22"/>
          <w:szCs w:val="22"/>
        </w:rPr>
        <w:t xml:space="preserve"> Los expedientes, reportes, estudios, actas</w:t>
      </w:r>
      <w:r w:rsidRPr="00FF4B10">
        <w:rPr>
          <w:rFonts w:ascii="Palatino Linotype" w:eastAsia="Palatino Linotype" w:hAnsi="Palatino Linotype" w:cs="Palatino Linotype"/>
          <w:b/>
          <w:i/>
          <w:sz w:val="22"/>
          <w:szCs w:val="22"/>
        </w:rPr>
        <w:t>,</w:t>
      </w:r>
      <w:r w:rsidRPr="00FF4B1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B870A74" w14:textId="77777777" w:rsidR="00AE4E6B" w:rsidRPr="00FF4B10" w:rsidRDefault="00AE4E6B">
      <w:pPr>
        <w:ind w:left="851" w:right="899"/>
        <w:jc w:val="both"/>
        <w:rPr>
          <w:rFonts w:ascii="Palatino Linotype" w:eastAsia="Palatino Linotype" w:hAnsi="Palatino Linotype" w:cs="Palatino Linotype"/>
          <w:sz w:val="22"/>
          <w:szCs w:val="22"/>
        </w:rPr>
      </w:pPr>
    </w:p>
    <w:p w14:paraId="46A8C7E0"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408BE01" w14:textId="77777777" w:rsidR="00AE4E6B" w:rsidRPr="00FF4B10" w:rsidRDefault="00786E08">
      <w:pPr>
        <w:ind w:left="851" w:right="899"/>
        <w:jc w:val="both"/>
        <w:rPr>
          <w:rFonts w:ascii="Palatino Linotype" w:eastAsia="Palatino Linotype" w:hAnsi="Palatino Linotype" w:cs="Palatino Linotype"/>
          <w:b/>
          <w:i/>
          <w:sz w:val="22"/>
          <w:szCs w:val="22"/>
        </w:rPr>
      </w:pPr>
      <w:r w:rsidRPr="00FF4B10">
        <w:rPr>
          <w:rFonts w:ascii="Palatino Linotype" w:eastAsia="Palatino Linotype" w:hAnsi="Palatino Linotype" w:cs="Palatino Linotype"/>
          <w:b/>
          <w:sz w:val="22"/>
          <w:szCs w:val="22"/>
        </w:rPr>
        <w:lastRenderedPageBreak/>
        <w:t>“</w:t>
      </w:r>
      <w:r w:rsidRPr="00FF4B10">
        <w:rPr>
          <w:rFonts w:ascii="Palatino Linotype" w:eastAsia="Palatino Linotype" w:hAnsi="Palatino Linotype" w:cs="Palatino Linotype"/>
          <w:b/>
          <w:i/>
          <w:sz w:val="22"/>
          <w:szCs w:val="22"/>
        </w:rPr>
        <w:t>CRITERIO 0002-11</w:t>
      </w:r>
    </w:p>
    <w:p w14:paraId="6E6E2033"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FF4B1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1D63DB1"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En </w:t>
      </w:r>
      <w:proofErr w:type="gramStart"/>
      <w:r w:rsidRPr="00FF4B10">
        <w:rPr>
          <w:rFonts w:ascii="Palatino Linotype" w:eastAsia="Palatino Linotype" w:hAnsi="Palatino Linotype" w:cs="Palatino Linotype"/>
          <w:i/>
          <w:sz w:val="22"/>
          <w:szCs w:val="22"/>
        </w:rPr>
        <w:t>consecuencia</w:t>
      </w:r>
      <w:proofErr w:type="gramEnd"/>
      <w:r w:rsidRPr="00FF4B10">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30957D6"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1) Que se trate de información registrada en cualquier soporte documental, </w:t>
      </w:r>
      <w:proofErr w:type="gramStart"/>
      <w:r w:rsidRPr="00FF4B10">
        <w:rPr>
          <w:rFonts w:ascii="Palatino Linotype" w:eastAsia="Palatino Linotype" w:hAnsi="Palatino Linotype" w:cs="Palatino Linotype"/>
          <w:i/>
          <w:sz w:val="22"/>
          <w:szCs w:val="22"/>
        </w:rPr>
        <w:t>que</w:t>
      </w:r>
      <w:proofErr w:type="gramEnd"/>
      <w:r w:rsidRPr="00FF4B10">
        <w:rPr>
          <w:rFonts w:ascii="Palatino Linotype" w:eastAsia="Palatino Linotype" w:hAnsi="Palatino Linotype" w:cs="Palatino Linotype"/>
          <w:i/>
          <w:sz w:val="22"/>
          <w:szCs w:val="22"/>
        </w:rPr>
        <w:t xml:space="preserve"> en ejercicio de las atribuciones conferidas, sea generada por los Sujetos Obligados;</w:t>
      </w:r>
    </w:p>
    <w:p w14:paraId="787B90D8" w14:textId="77777777" w:rsidR="00AE4E6B" w:rsidRPr="00FF4B10" w:rsidRDefault="00786E08">
      <w:pPr>
        <w:ind w:left="851" w:right="899"/>
        <w:jc w:val="both"/>
        <w:rPr>
          <w:rFonts w:ascii="Palatino Linotype" w:eastAsia="Palatino Linotype" w:hAnsi="Palatino Linotype" w:cs="Palatino Linotype"/>
          <w:b/>
          <w:i/>
          <w:sz w:val="22"/>
          <w:szCs w:val="22"/>
        </w:rPr>
      </w:pPr>
      <w:r w:rsidRPr="00FF4B10">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FF4B10">
        <w:rPr>
          <w:rFonts w:ascii="Palatino Linotype" w:eastAsia="Palatino Linotype" w:hAnsi="Palatino Linotype" w:cs="Palatino Linotype"/>
          <w:b/>
          <w:i/>
          <w:sz w:val="22"/>
          <w:szCs w:val="22"/>
        </w:rPr>
        <w:t>que</w:t>
      </w:r>
      <w:proofErr w:type="gramEnd"/>
      <w:r w:rsidRPr="00FF4B10">
        <w:rPr>
          <w:rFonts w:ascii="Palatino Linotype" w:eastAsia="Palatino Linotype" w:hAnsi="Palatino Linotype" w:cs="Palatino Linotype"/>
          <w:b/>
          <w:i/>
          <w:sz w:val="22"/>
          <w:szCs w:val="22"/>
        </w:rPr>
        <w:t xml:space="preserve"> en ejercicio de las atribuciones conferidas, sea administrada por los Sujetos Obligados, y</w:t>
      </w:r>
    </w:p>
    <w:p w14:paraId="3770A215" w14:textId="77777777" w:rsidR="00AE4E6B" w:rsidRPr="00FF4B10" w:rsidRDefault="00786E08">
      <w:pPr>
        <w:ind w:left="851" w:right="899"/>
        <w:jc w:val="both"/>
        <w:rPr>
          <w:rFonts w:ascii="Palatino Linotype" w:eastAsia="Palatino Linotype" w:hAnsi="Palatino Linotype" w:cs="Palatino Linotype"/>
          <w:b/>
          <w:i/>
          <w:sz w:val="22"/>
          <w:szCs w:val="22"/>
        </w:rPr>
      </w:pPr>
      <w:r w:rsidRPr="00FF4B10">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FF4B10">
        <w:rPr>
          <w:rFonts w:ascii="Palatino Linotype" w:eastAsia="Palatino Linotype" w:hAnsi="Palatino Linotype" w:cs="Palatino Linotype"/>
          <w:b/>
          <w:i/>
          <w:sz w:val="22"/>
          <w:szCs w:val="22"/>
        </w:rPr>
        <w:t>.”(</w:t>
      </w:r>
      <w:proofErr w:type="gramEnd"/>
      <w:r w:rsidRPr="00FF4B10">
        <w:rPr>
          <w:rFonts w:ascii="Palatino Linotype" w:eastAsia="Palatino Linotype" w:hAnsi="Palatino Linotype" w:cs="Palatino Linotype"/>
          <w:b/>
          <w:i/>
          <w:sz w:val="22"/>
          <w:szCs w:val="22"/>
        </w:rPr>
        <w:t>Sic)</w:t>
      </w:r>
    </w:p>
    <w:p w14:paraId="7706E3F4"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al Ayuntamiento de Huixquilucan, lo siguiente:</w:t>
      </w:r>
    </w:p>
    <w:p w14:paraId="5E641029" w14:textId="77777777" w:rsidR="00AE4E6B" w:rsidRPr="00FF4B10" w:rsidRDefault="00786E08">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Versión pública del procedimiento de registro catastral del predio descrito en la solicitud de acceso a la información pública e informe del sistema de gestión catastral del Municipio de Huixquilucan, mostrando las medidas y colindancias del mismo predio, señalado, </w:t>
      </w:r>
      <w:r w:rsidRPr="00FF4B10">
        <w:rPr>
          <w:rFonts w:ascii="Palatino Linotype" w:eastAsia="Palatino Linotype" w:hAnsi="Palatino Linotype" w:cs="Palatino Linotype"/>
          <w:b/>
          <w:u w:val="single"/>
        </w:rPr>
        <w:t>a fin de revisar si dicho predio se encuentra dentro de una zona urbana ejidal irregular</w:t>
      </w:r>
      <w:r w:rsidRPr="00FF4B10">
        <w:rPr>
          <w:rFonts w:ascii="Palatino Linotype" w:eastAsia="Palatino Linotype" w:hAnsi="Palatino Linotype" w:cs="Palatino Linotype"/>
        </w:rPr>
        <w:t>.</w:t>
      </w:r>
    </w:p>
    <w:p w14:paraId="3FCCCCF0" w14:textId="77777777" w:rsidR="00AE4E6B" w:rsidRPr="00FF4B10" w:rsidRDefault="00786E08">
      <w:pPr>
        <w:spacing w:before="240" w:after="240" w:line="360" w:lineRule="auto"/>
        <w:ind w:right="49"/>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En respuesta, el </w:t>
      </w:r>
      <w:r w:rsidRPr="00FF4B10">
        <w:rPr>
          <w:rFonts w:ascii="Palatino Linotype" w:eastAsia="Palatino Linotype" w:hAnsi="Palatino Linotype" w:cs="Palatino Linotype"/>
          <w:b/>
        </w:rPr>
        <w:t xml:space="preserve">SUJETO OBLIGADO </w:t>
      </w:r>
      <w:r w:rsidRPr="00FF4B10">
        <w:rPr>
          <w:rFonts w:ascii="Palatino Linotype" w:eastAsia="Palatino Linotype" w:hAnsi="Palatino Linotype" w:cs="Palatino Linotype"/>
        </w:rPr>
        <w:t xml:space="preserve">a través de su Tesorero Municipal informó que no es atender a la solicitud, hasta en tanto el peticionario acredite la propiedad, su interés jurídico y/o legitimo sobre el predio del cual solicita información; toda vez </w:t>
      </w:r>
      <w:r w:rsidRPr="00FF4B10">
        <w:rPr>
          <w:rFonts w:ascii="Palatino Linotype" w:eastAsia="Palatino Linotype" w:hAnsi="Palatino Linotype" w:cs="Palatino Linotype"/>
        </w:rPr>
        <w:lastRenderedPageBreak/>
        <w:t>que esta dependencia se encuentra obligada a guardar absoluta reserva y confidencialidad sobre los datos personales de terceras personas.</w:t>
      </w:r>
    </w:p>
    <w:p w14:paraId="2EDED713" w14:textId="77777777" w:rsidR="00AE4E6B" w:rsidRPr="00FF4B10" w:rsidRDefault="00786E08">
      <w:pPr>
        <w:spacing w:before="240" w:after="240" w:line="360" w:lineRule="auto"/>
        <w:ind w:right="49"/>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No conforme con la respuesta la parte </w:t>
      </w:r>
      <w:r w:rsidRPr="00FF4B10">
        <w:rPr>
          <w:rFonts w:ascii="Palatino Linotype" w:eastAsia="Palatino Linotype" w:hAnsi="Palatino Linotype" w:cs="Palatino Linotype"/>
          <w:b/>
        </w:rPr>
        <w:t>RECURRENTE</w:t>
      </w:r>
      <w:r w:rsidRPr="00FF4B10">
        <w:rPr>
          <w:rFonts w:ascii="Palatino Linotype" w:eastAsia="Palatino Linotype" w:hAnsi="Palatino Linotype" w:cs="Palatino Linotype"/>
        </w:rPr>
        <w:t xml:space="preserve"> interpuso el recurso de revisión que se analiza en el presente asunto, por medio del cual se inconformó por lo siguiente:</w:t>
      </w:r>
    </w:p>
    <w:p w14:paraId="35EDBD1C"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“En respuesta a mi solicitud de folio 00135/HUIXQUIL/IP/2023, se me contesto por parte de la Tesorería Municipal de Huixquilucan que ''no es atender a la solicitud, hasta en tanto el peticionario acredite la propiedad, su interés jurídico y/o legitimo sobre el predio del cual solicita información''. Cuando claramente la Ley de Transparencia y Acceso a la Información Pública del Estado de México y Municipios, en su </w:t>
      </w:r>
      <w:proofErr w:type="spellStart"/>
      <w:r w:rsidRPr="00FF4B10">
        <w:rPr>
          <w:rFonts w:ascii="Palatino Linotype" w:eastAsia="Palatino Linotype" w:hAnsi="Palatino Linotype" w:cs="Palatino Linotype"/>
          <w:i/>
          <w:sz w:val="22"/>
          <w:szCs w:val="22"/>
        </w:rPr>
        <w:t>articulo</w:t>
      </w:r>
      <w:proofErr w:type="spellEnd"/>
      <w:r w:rsidRPr="00FF4B10">
        <w:rPr>
          <w:rFonts w:ascii="Palatino Linotype" w:eastAsia="Palatino Linotype" w:hAnsi="Palatino Linotype" w:cs="Palatino Linotype"/>
          <w:i/>
          <w:sz w:val="22"/>
          <w:szCs w:val="22"/>
        </w:rPr>
        <w:t xml:space="preserve"> 4 dice textualmente: Artículo 4. El derecho humano de acceso a la información pública es la prerrogativa de las personas para buscar, difundir, investigar, recabar, recibir y solicitar información pública, sin necesidad de acreditar personalidad ni interés jurídico. Por otra parte, solicite una versión pública de dicho registro catastral donde claramente la multicitada ley nos dice que versión publica es un documento en el que se elimine, suprime o borra la información clasificada como reservada o confidencial para permitir su acceso. Y no es el caso particular, obtener datos personales de la persona titular del registro catastral sino verificar si se </w:t>
      </w:r>
      <w:proofErr w:type="spellStart"/>
      <w:r w:rsidRPr="00FF4B10">
        <w:rPr>
          <w:rFonts w:ascii="Palatino Linotype" w:eastAsia="Palatino Linotype" w:hAnsi="Palatino Linotype" w:cs="Palatino Linotype"/>
          <w:i/>
          <w:sz w:val="22"/>
          <w:szCs w:val="22"/>
        </w:rPr>
        <w:t>llevo</w:t>
      </w:r>
      <w:proofErr w:type="spellEnd"/>
      <w:r w:rsidRPr="00FF4B10">
        <w:rPr>
          <w:rFonts w:ascii="Palatino Linotype" w:eastAsia="Palatino Linotype" w:hAnsi="Palatino Linotype" w:cs="Palatino Linotype"/>
          <w:i/>
          <w:sz w:val="22"/>
          <w:szCs w:val="22"/>
        </w:rPr>
        <w:t xml:space="preserve"> a cabo un procedimiento administrativo correcto tal como lo marca la ley a fin de obtener tal registro catastral en el municipio de Huixquilucan, obteniendo con esto Información de interés público que se refiere a la información que resulta relevante o beneficiosa para la sociedad y no simplemente de interés individual, cuya divulgación resulta útil para que el público comprenda las actividades que llevan a cabo los sujetos obligados; Por último, solicite un informe del sistema de gestión catastral, relacionado con la clave catastral ya mencionada, a fin de saber si con la ubicación de dicho registro pueda aclararme si esa colonia pertenece al régimen ejidal o no. Y eso no afecta el derecho de terceras personas sino coadyuva al derecho a la información sobre la propiedad social o de dominio pleno sobre el territorio de Huixquilucan, Estado de México.” (Sic)</w:t>
      </w:r>
    </w:p>
    <w:p w14:paraId="7C7CA067" w14:textId="77777777" w:rsidR="00AE4E6B" w:rsidRPr="00FF4B10" w:rsidRDefault="00AE4E6B">
      <w:pPr>
        <w:ind w:left="851" w:right="899"/>
        <w:jc w:val="both"/>
        <w:rPr>
          <w:rFonts w:ascii="Palatino Linotype" w:eastAsia="Palatino Linotype" w:hAnsi="Palatino Linotype" w:cs="Palatino Linotype"/>
        </w:rPr>
      </w:pPr>
    </w:p>
    <w:p w14:paraId="54228953"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Ante la interposición del recurso de revisión 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la rendir su informe justificado señaló que la Tesorería Municipal de Huixquilucan es el área </w:t>
      </w:r>
      <w:r w:rsidRPr="00FF4B10">
        <w:rPr>
          <w:rFonts w:ascii="Palatino Linotype" w:eastAsia="Palatino Linotype" w:hAnsi="Palatino Linotype" w:cs="Palatino Linotype"/>
        </w:rPr>
        <w:lastRenderedPageBreak/>
        <w:t xml:space="preserve">competente para emitir la contestación al interesado, adjuntando para tal efecto el oficio número TM/559/05/2023, oficio que se determinó no poner a la vista de la parte </w:t>
      </w:r>
      <w:r w:rsidRPr="00FF4B10">
        <w:rPr>
          <w:rFonts w:ascii="Palatino Linotype" w:eastAsia="Palatino Linotype" w:hAnsi="Palatino Linotype" w:cs="Palatino Linotype"/>
          <w:b/>
        </w:rPr>
        <w:t>RECURRENTE</w:t>
      </w:r>
      <w:r w:rsidRPr="00FF4B10">
        <w:rPr>
          <w:rFonts w:ascii="Palatino Linotype" w:eastAsia="Palatino Linotype" w:hAnsi="Palatino Linotype" w:cs="Palatino Linotype"/>
        </w:rPr>
        <w:t xml:space="preserve"> en razón de revelar información de situación patrimonial. </w:t>
      </w:r>
    </w:p>
    <w:p w14:paraId="4BFB235F" w14:textId="77777777" w:rsidR="00AE4E6B" w:rsidRPr="00FF4B10" w:rsidRDefault="00AE4E6B">
      <w:pPr>
        <w:spacing w:line="360" w:lineRule="auto"/>
        <w:jc w:val="both"/>
        <w:rPr>
          <w:rFonts w:ascii="Palatino Linotype" w:eastAsia="Palatino Linotype" w:hAnsi="Palatino Linotype" w:cs="Palatino Linotype"/>
        </w:rPr>
      </w:pPr>
    </w:p>
    <w:p w14:paraId="7C88D4C4"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Con base en lo precedente, se determina que la información proporcionada por 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en su respuesta, no cumple con lo establecido por los artículos 4, 12 y 24 último párrafo de la Ley de Transparencia y Acceso a la Información Pública del Estado de México y Municipios; por ello, los motivos de inconformidad acontecen fundados para modificar la respuesta del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en razón de las consideraciones de derecho que a continuación se exponen:</w:t>
      </w:r>
    </w:p>
    <w:p w14:paraId="28575A91" w14:textId="77777777" w:rsidR="00AE4E6B" w:rsidRPr="00FF4B10" w:rsidRDefault="00AE4E6B">
      <w:pPr>
        <w:spacing w:line="360" w:lineRule="auto"/>
        <w:jc w:val="both"/>
        <w:rPr>
          <w:rFonts w:ascii="Palatino Linotype" w:eastAsia="Palatino Linotype" w:hAnsi="Palatino Linotype" w:cs="Palatino Linotype"/>
        </w:rPr>
      </w:pPr>
    </w:p>
    <w:p w14:paraId="3A3A2DCA"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Para esclarecer el presente asunto se procede a realizar un cuadro para determinar si con la información entregada en respuesta como informe justificado, satisface el derecho de acceso a la información pública de la parte </w:t>
      </w:r>
      <w:r w:rsidRPr="00FF4B10">
        <w:rPr>
          <w:rFonts w:ascii="Palatino Linotype" w:eastAsia="Palatino Linotype" w:hAnsi="Palatino Linotype" w:cs="Palatino Linotype"/>
          <w:b/>
        </w:rPr>
        <w:t>RECURRENTE</w:t>
      </w:r>
      <w:r w:rsidRPr="00FF4B10">
        <w:rPr>
          <w:rFonts w:ascii="Palatino Linotype" w:eastAsia="Palatino Linotype" w:hAnsi="Palatino Linotype" w:cs="Palatino Linotype"/>
        </w:rPr>
        <w:t>, como así sigue:</w:t>
      </w:r>
    </w:p>
    <w:p w14:paraId="64FB724D" w14:textId="77777777" w:rsidR="00AE4E6B" w:rsidRPr="00FF4B10" w:rsidRDefault="00AE4E6B">
      <w:pPr>
        <w:spacing w:line="360" w:lineRule="auto"/>
        <w:jc w:val="both"/>
        <w:rPr>
          <w:rFonts w:ascii="Palatino Linotype" w:eastAsia="Palatino Linotype" w:hAnsi="Palatino Linotype" w:cs="Palatino Linotype"/>
        </w:rPr>
      </w:pPr>
    </w:p>
    <w:tbl>
      <w:tblPr>
        <w:tblStyle w:val="a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62"/>
        <w:gridCol w:w="3366"/>
        <w:gridCol w:w="1462"/>
      </w:tblGrid>
      <w:tr w:rsidR="00FF4B10" w:rsidRPr="00FF4B10" w14:paraId="50544428" w14:textId="77777777">
        <w:tc>
          <w:tcPr>
            <w:tcW w:w="1838" w:type="dxa"/>
          </w:tcPr>
          <w:p w14:paraId="1D5CDE99" w14:textId="77777777" w:rsidR="00AE4E6B" w:rsidRPr="00FF4B10" w:rsidRDefault="00786E08">
            <w:pPr>
              <w:ind w:left="360"/>
              <w:jc w:val="center"/>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t>Solicitud</w:t>
            </w:r>
          </w:p>
        </w:tc>
        <w:tc>
          <w:tcPr>
            <w:tcW w:w="2162" w:type="dxa"/>
          </w:tcPr>
          <w:p w14:paraId="0ED45945" w14:textId="77777777" w:rsidR="00AE4E6B" w:rsidRPr="00FF4B10" w:rsidRDefault="00786E08">
            <w:pPr>
              <w:ind w:left="360"/>
              <w:jc w:val="center"/>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t>Respuesta</w:t>
            </w:r>
          </w:p>
          <w:p w14:paraId="03715CB3" w14:textId="77777777" w:rsidR="00AE4E6B" w:rsidRPr="00FF4B10" w:rsidRDefault="00786E08">
            <w:pPr>
              <w:ind w:left="360"/>
              <w:jc w:val="center"/>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t>(Tesorería Municipal de Huixquilucan)</w:t>
            </w:r>
          </w:p>
        </w:tc>
        <w:tc>
          <w:tcPr>
            <w:tcW w:w="3366" w:type="dxa"/>
          </w:tcPr>
          <w:p w14:paraId="2EFDEE15" w14:textId="77777777" w:rsidR="00AE4E6B" w:rsidRPr="00FF4B10" w:rsidRDefault="00786E08">
            <w:pPr>
              <w:ind w:left="360"/>
              <w:jc w:val="both"/>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t>Informe Justificado</w:t>
            </w:r>
          </w:p>
          <w:p w14:paraId="5EA3782A" w14:textId="77777777" w:rsidR="00AE4E6B" w:rsidRPr="00FF4B10" w:rsidRDefault="00786E08">
            <w:pPr>
              <w:ind w:left="360"/>
              <w:jc w:val="both"/>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t>(Tesorería Municipal de Huixquilucan)</w:t>
            </w:r>
          </w:p>
        </w:tc>
        <w:tc>
          <w:tcPr>
            <w:tcW w:w="1462" w:type="dxa"/>
          </w:tcPr>
          <w:p w14:paraId="4045C99C" w14:textId="77777777" w:rsidR="00AE4E6B" w:rsidRPr="00FF4B10" w:rsidRDefault="00786E08">
            <w:pPr>
              <w:ind w:left="360"/>
              <w:jc w:val="center"/>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t>Colma</w:t>
            </w:r>
          </w:p>
        </w:tc>
      </w:tr>
      <w:tr w:rsidR="00AE4E6B" w:rsidRPr="00FF4B10" w14:paraId="43C7F83B" w14:textId="77777777">
        <w:tc>
          <w:tcPr>
            <w:tcW w:w="1838" w:type="dxa"/>
          </w:tcPr>
          <w:p w14:paraId="4BC78E3E" w14:textId="77777777" w:rsidR="00AE4E6B" w:rsidRPr="00FF4B10" w:rsidRDefault="00786E08">
            <w:pPr>
              <w:spacing w:before="240" w:after="240"/>
              <w:ind w:left="29"/>
              <w:jc w:val="both"/>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t xml:space="preserve">1.- Versión pública del procedimiento de registro catastral del predio descrito en la solicitud de acceso a la </w:t>
            </w:r>
            <w:r w:rsidRPr="00FF4B10">
              <w:rPr>
                <w:rFonts w:ascii="Palatino Linotype" w:eastAsia="Palatino Linotype" w:hAnsi="Palatino Linotype" w:cs="Palatino Linotype"/>
                <w:sz w:val="22"/>
                <w:szCs w:val="22"/>
              </w:rPr>
              <w:lastRenderedPageBreak/>
              <w:t>información pública e informe del sistema de gestión catastral del Municipio de Huixquilucan, mostrando las medidas y colindancias del mismo predio, señalado, a fin de revisar si dicho predio se encuentra dentro de una zona urbana ejidal irregular.</w:t>
            </w:r>
          </w:p>
          <w:p w14:paraId="41A8C6F3" w14:textId="77777777" w:rsidR="00AE4E6B" w:rsidRPr="00FF4B10" w:rsidRDefault="00AE4E6B">
            <w:pPr>
              <w:spacing w:before="240" w:after="240"/>
              <w:ind w:left="29"/>
              <w:jc w:val="both"/>
              <w:rPr>
                <w:rFonts w:ascii="Palatino Linotype" w:eastAsia="Palatino Linotype" w:hAnsi="Palatino Linotype" w:cs="Palatino Linotype"/>
                <w:sz w:val="22"/>
                <w:szCs w:val="22"/>
              </w:rPr>
            </w:pPr>
          </w:p>
        </w:tc>
        <w:tc>
          <w:tcPr>
            <w:tcW w:w="2162" w:type="dxa"/>
          </w:tcPr>
          <w:p w14:paraId="02E53DBC" w14:textId="77777777" w:rsidR="00AE4E6B" w:rsidRPr="00FF4B10" w:rsidRDefault="00786E08">
            <w:pPr>
              <w:spacing w:before="240" w:after="240"/>
              <w:ind w:left="29"/>
              <w:jc w:val="both"/>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lastRenderedPageBreak/>
              <w:t xml:space="preserve">Informó que no es atender a la solicitud, hasta en tanto el peticionario acredite la propiedad, su interés jurídico y/o </w:t>
            </w:r>
            <w:r w:rsidRPr="00FF4B10">
              <w:rPr>
                <w:rFonts w:ascii="Palatino Linotype" w:eastAsia="Palatino Linotype" w:hAnsi="Palatino Linotype" w:cs="Palatino Linotype"/>
                <w:sz w:val="22"/>
                <w:szCs w:val="22"/>
              </w:rPr>
              <w:lastRenderedPageBreak/>
              <w:t>legitimo sobre el predio del cual solicita información; toda vez que esta dependencia se encuentra obligada a guardar absoluta reserva y confidencialidad sobre los datos personales de terceras personas</w:t>
            </w:r>
          </w:p>
        </w:tc>
        <w:tc>
          <w:tcPr>
            <w:tcW w:w="3366" w:type="dxa"/>
          </w:tcPr>
          <w:p w14:paraId="2F7E0687" w14:textId="77777777" w:rsidR="00AE4E6B" w:rsidRPr="00FF4B10" w:rsidRDefault="00786E08">
            <w:pPr>
              <w:spacing w:before="240" w:after="240"/>
              <w:ind w:left="29"/>
              <w:jc w:val="both"/>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lastRenderedPageBreak/>
              <w:t xml:space="preserve">Es el área competente para emitir la contestación al interesado, adjuntando para tal efecto el oficio número TM/559/05/2023, oficio que se determinó no poner a la vista de la parte </w:t>
            </w:r>
            <w:r w:rsidRPr="00FF4B10">
              <w:rPr>
                <w:rFonts w:ascii="Palatino Linotype" w:eastAsia="Palatino Linotype" w:hAnsi="Palatino Linotype" w:cs="Palatino Linotype"/>
                <w:b/>
                <w:sz w:val="22"/>
                <w:szCs w:val="22"/>
              </w:rPr>
              <w:t>RECURRENTE</w:t>
            </w:r>
            <w:r w:rsidRPr="00FF4B10">
              <w:rPr>
                <w:rFonts w:ascii="Palatino Linotype" w:eastAsia="Palatino Linotype" w:hAnsi="Palatino Linotype" w:cs="Palatino Linotype"/>
                <w:sz w:val="22"/>
                <w:szCs w:val="22"/>
              </w:rPr>
              <w:t xml:space="preserve"> en </w:t>
            </w:r>
            <w:r w:rsidRPr="00FF4B10">
              <w:rPr>
                <w:rFonts w:ascii="Palatino Linotype" w:eastAsia="Palatino Linotype" w:hAnsi="Palatino Linotype" w:cs="Palatino Linotype"/>
                <w:sz w:val="22"/>
                <w:szCs w:val="22"/>
              </w:rPr>
              <w:lastRenderedPageBreak/>
              <w:t xml:space="preserve">razón de revelar información de situación patrimonial. </w:t>
            </w:r>
          </w:p>
          <w:p w14:paraId="10CD297D" w14:textId="77777777" w:rsidR="00AE4E6B" w:rsidRPr="00FF4B10" w:rsidRDefault="00AE4E6B">
            <w:pPr>
              <w:spacing w:before="240" w:after="240"/>
              <w:ind w:left="29"/>
              <w:jc w:val="both"/>
              <w:rPr>
                <w:rFonts w:ascii="Palatino Linotype" w:eastAsia="Palatino Linotype" w:hAnsi="Palatino Linotype" w:cs="Palatino Linotype"/>
                <w:sz w:val="22"/>
                <w:szCs w:val="22"/>
              </w:rPr>
            </w:pPr>
          </w:p>
          <w:p w14:paraId="29BD4C9F" w14:textId="77777777" w:rsidR="00AE4E6B" w:rsidRPr="00FF4B10" w:rsidRDefault="00786E08">
            <w:pPr>
              <w:spacing w:before="240" w:after="240"/>
              <w:ind w:left="29"/>
              <w:jc w:val="both"/>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t>La información solicitada es información confidencial en su totalidad</w:t>
            </w:r>
          </w:p>
          <w:p w14:paraId="5E3129AE" w14:textId="77777777" w:rsidR="00AE4E6B" w:rsidRPr="00FF4B10" w:rsidRDefault="00AE4E6B">
            <w:pPr>
              <w:spacing w:before="240" w:after="240"/>
              <w:ind w:left="28"/>
              <w:jc w:val="both"/>
              <w:rPr>
                <w:rFonts w:ascii="Palatino Linotype" w:eastAsia="Palatino Linotype" w:hAnsi="Palatino Linotype" w:cs="Palatino Linotype"/>
                <w:sz w:val="22"/>
                <w:szCs w:val="22"/>
              </w:rPr>
            </w:pPr>
          </w:p>
        </w:tc>
        <w:tc>
          <w:tcPr>
            <w:tcW w:w="1462" w:type="dxa"/>
          </w:tcPr>
          <w:p w14:paraId="1F18E1B6" w14:textId="77777777" w:rsidR="00AE4E6B" w:rsidRPr="00FF4B10" w:rsidRDefault="00786E08">
            <w:pPr>
              <w:ind w:left="360"/>
              <w:jc w:val="center"/>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lastRenderedPageBreak/>
              <w:t xml:space="preserve">No </w:t>
            </w:r>
          </w:p>
          <w:p w14:paraId="1897D35E" w14:textId="77777777" w:rsidR="00AE4E6B" w:rsidRPr="00FF4B10" w:rsidRDefault="00786E08">
            <w:pPr>
              <w:jc w:val="both"/>
              <w:rPr>
                <w:rFonts w:ascii="Palatino Linotype" w:eastAsia="Palatino Linotype" w:hAnsi="Palatino Linotype" w:cs="Palatino Linotype"/>
                <w:sz w:val="22"/>
                <w:szCs w:val="22"/>
              </w:rPr>
            </w:pPr>
            <w:r w:rsidRPr="00FF4B10">
              <w:rPr>
                <w:rFonts w:ascii="Palatino Linotype" w:eastAsia="Palatino Linotype" w:hAnsi="Palatino Linotype" w:cs="Palatino Linotype"/>
                <w:sz w:val="22"/>
                <w:szCs w:val="22"/>
              </w:rPr>
              <w:t xml:space="preserve">En razón de que no remitió el acuerdo que sustenta la clasificación como </w:t>
            </w:r>
            <w:r w:rsidRPr="00FF4B10">
              <w:rPr>
                <w:rFonts w:ascii="Palatino Linotype" w:eastAsia="Palatino Linotype" w:hAnsi="Palatino Linotype" w:cs="Palatino Linotype"/>
                <w:sz w:val="22"/>
                <w:szCs w:val="22"/>
              </w:rPr>
              <w:lastRenderedPageBreak/>
              <w:t xml:space="preserve">confidencialidad. </w:t>
            </w:r>
          </w:p>
          <w:p w14:paraId="1394853C" w14:textId="77777777" w:rsidR="00AE4E6B" w:rsidRPr="00FF4B10" w:rsidRDefault="00AE4E6B">
            <w:pPr>
              <w:ind w:left="360"/>
              <w:jc w:val="center"/>
              <w:rPr>
                <w:rFonts w:ascii="Palatino Linotype" w:eastAsia="Palatino Linotype" w:hAnsi="Palatino Linotype" w:cs="Palatino Linotype"/>
                <w:sz w:val="22"/>
                <w:szCs w:val="22"/>
              </w:rPr>
            </w:pPr>
          </w:p>
        </w:tc>
      </w:tr>
    </w:tbl>
    <w:p w14:paraId="698ADA6E" w14:textId="77777777" w:rsidR="00AE4E6B" w:rsidRPr="00FF4B10" w:rsidRDefault="00AE4E6B">
      <w:pPr>
        <w:spacing w:line="360" w:lineRule="auto"/>
        <w:jc w:val="both"/>
        <w:rPr>
          <w:rFonts w:ascii="Palatino Linotype" w:eastAsia="Palatino Linotype" w:hAnsi="Palatino Linotype" w:cs="Palatino Linotype"/>
        </w:rPr>
      </w:pPr>
    </w:p>
    <w:p w14:paraId="0EEA967D" w14:textId="77777777" w:rsidR="00AE4E6B" w:rsidRPr="00FF4B10" w:rsidRDefault="00786E08">
      <w:pPr>
        <w:spacing w:before="240" w:after="240" w:line="360" w:lineRule="auto"/>
        <w:ind w:right="49"/>
        <w:jc w:val="both"/>
        <w:rPr>
          <w:rFonts w:ascii="Palatino Linotype" w:eastAsia="Palatino Linotype" w:hAnsi="Palatino Linotype" w:cs="Palatino Linotype"/>
        </w:rPr>
      </w:pPr>
      <w:bookmarkStart w:id="5" w:name="_heading=h.3znysh7" w:colFirst="0" w:colLast="0"/>
      <w:bookmarkEnd w:id="5"/>
      <w:r w:rsidRPr="00FF4B10">
        <w:rPr>
          <w:rFonts w:ascii="Palatino Linotype" w:eastAsia="Palatino Linotype" w:hAnsi="Palatino Linotype" w:cs="Palatino Linotype"/>
        </w:rPr>
        <w:t>Esquematizado lo anterior, se advierte que el área que se pronunció fue el Tesorero Municipal, que efectivamente es el área competente para conocer de la información en términos de lo señalado por el artículo 94 fracción XIV, 95 fracción IV-II-a y 103 fracción II y 104 del Reglamento Orgánico de la Administración Pública Municipal de Huixquilucan, Estado De México, que señalan:</w:t>
      </w:r>
    </w:p>
    <w:p w14:paraId="589BFBCC"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“Artículo 94. La Tesorería Municipal, estará a cargo de un Tesorero Municipal y tendrá las atribuciones, responsabilidades y funciones que le otorguen las leyes, reglamentos y demás disposiciones aplicables en la materia, así como las que a continuación se establecen: </w:t>
      </w:r>
    </w:p>
    <w:p w14:paraId="73179866"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p>
    <w:p w14:paraId="6B3E7258" w14:textId="77777777" w:rsidR="00AE4E6B" w:rsidRPr="00FF4B10" w:rsidRDefault="00786E08">
      <w:pPr>
        <w:ind w:left="851" w:right="899"/>
        <w:jc w:val="both"/>
        <w:rPr>
          <w:rFonts w:ascii="Palatino Linotype" w:eastAsia="Palatino Linotype" w:hAnsi="Palatino Linotype" w:cs="Palatino Linotype"/>
          <w:b/>
          <w:i/>
          <w:sz w:val="22"/>
          <w:szCs w:val="22"/>
        </w:rPr>
      </w:pPr>
      <w:r w:rsidRPr="00FF4B10">
        <w:rPr>
          <w:rFonts w:ascii="Palatino Linotype" w:eastAsia="Palatino Linotype" w:hAnsi="Palatino Linotype" w:cs="Palatino Linotype"/>
          <w:b/>
          <w:i/>
          <w:sz w:val="22"/>
          <w:szCs w:val="22"/>
        </w:rPr>
        <w:lastRenderedPageBreak/>
        <w:t xml:space="preserve">XIV. Llevar y mantener actualizado el Registro del Catastro de conformidad con las normas del reglamento correspondiente; </w:t>
      </w:r>
    </w:p>
    <w:p w14:paraId="55B58C62"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p>
    <w:p w14:paraId="30D77387"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Artículo 95. La Tesorería Municipal, contará con las siguientes Dependencias:</w:t>
      </w:r>
    </w:p>
    <w:p w14:paraId="5477D969"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p>
    <w:p w14:paraId="14DC630B"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b/>
          <w:i/>
          <w:sz w:val="22"/>
          <w:szCs w:val="22"/>
        </w:rPr>
        <w:t>IV. Dirección del Registro del Patrimonio Público y del Catastro</w:t>
      </w:r>
      <w:r w:rsidRPr="00FF4B10">
        <w:rPr>
          <w:rFonts w:ascii="Palatino Linotype" w:eastAsia="Palatino Linotype" w:hAnsi="Palatino Linotype" w:cs="Palatino Linotype"/>
          <w:i/>
          <w:sz w:val="22"/>
          <w:szCs w:val="22"/>
        </w:rPr>
        <w:t xml:space="preserve">. </w:t>
      </w:r>
    </w:p>
    <w:p w14:paraId="65D064ED"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 Registrador del Patrimonio Público; </w:t>
      </w:r>
    </w:p>
    <w:p w14:paraId="06BCC054" w14:textId="77777777" w:rsidR="00AE4E6B" w:rsidRPr="00FF4B10" w:rsidRDefault="00786E08">
      <w:pPr>
        <w:ind w:left="851" w:right="899"/>
        <w:jc w:val="both"/>
        <w:rPr>
          <w:rFonts w:ascii="Palatino Linotype" w:eastAsia="Palatino Linotype" w:hAnsi="Palatino Linotype" w:cs="Palatino Linotype"/>
          <w:b/>
          <w:i/>
          <w:sz w:val="22"/>
          <w:szCs w:val="22"/>
        </w:rPr>
      </w:pPr>
      <w:r w:rsidRPr="00FF4B10">
        <w:rPr>
          <w:rFonts w:ascii="Palatino Linotype" w:eastAsia="Palatino Linotype" w:hAnsi="Palatino Linotype" w:cs="Palatino Linotype"/>
          <w:b/>
          <w:i/>
          <w:sz w:val="22"/>
          <w:szCs w:val="22"/>
        </w:rPr>
        <w:t xml:space="preserve">II. Coordinación de Catastro; y </w:t>
      </w:r>
    </w:p>
    <w:p w14:paraId="122AFD08" w14:textId="77777777" w:rsidR="00AE4E6B" w:rsidRPr="00FF4B10" w:rsidRDefault="00786E08">
      <w:pPr>
        <w:ind w:left="851" w:right="899"/>
        <w:jc w:val="both"/>
        <w:rPr>
          <w:rFonts w:ascii="Palatino Linotype" w:eastAsia="Palatino Linotype" w:hAnsi="Palatino Linotype" w:cs="Palatino Linotype"/>
          <w:b/>
          <w:i/>
          <w:sz w:val="22"/>
          <w:szCs w:val="22"/>
        </w:rPr>
      </w:pPr>
      <w:r w:rsidRPr="00FF4B10">
        <w:rPr>
          <w:rFonts w:ascii="Palatino Linotype" w:eastAsia="Palatino Linotype" w:hAnsi="Palatino Linotype" w:cs="Palatino Linotype"/>
          <w:b/>
          <w:i/>
          <w:sz w:val="22"/>
          <w:szCs w:val="22"/>
        </w:rPr>
        <w:t xml:space="preserve">a. Departamento de Catastro. </w:t>
      </w:r>
    </w:p>
    <w:p w14:paraId="1639DD52"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V. Enlace Administrativo</w:t>
      </w:r>
    </w:p>
    <w:p w14:paraId="44EC5C38"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p>
    <w:p w14:paraId="3A9AAA7C"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Artículo 103. La Dirección del Registro del Patrimonio Público y del Catastro, para su funcionamiento contará con un Registrador del Patrimonio Público y una Coordinación de Catastro y tendrán las siguientes facultades:</w:t>
      </w:r>
    </w:p>
    <w:p w14:paraId="5A8B1E3A"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p>
    <w:p w14:paraId="26138657" w14:textId="77777777" w:rsidR="00AE4E6B" w:rsidRPr="00FF4B10" w:rsidRDefault="00786E08">
      <w:pPr>
        <w:ind w:left="851" w:right="899"/>
        <w:jc w:val="both"/>
        <w:rPr>
          <w:rFonts w:ascii="Palatino Linotype" w:eastAsia="Palatino Linotype" w:hAnsi="Palatino Linotype" w:cs="Palatino Linotype"/>
          <w:b/>
          <w:i/>
          <w:sz w:val="22"/>
          <w:szCs w:val="22"/>
        </w:rPr>
      </w:pPr>
      <w:r w:rsidRPr="00FF4B10">
        <w:rPr>
          <w:rFonts w:ascii="Palatino Linotype" w:eastAsia="Palatino Linotype" w:hAnsi="Palatino Linotype" w:cs="Palatino Linotype"/>
          <w:b/>
          <w:i/>
          <w:sz w:val="22"/>
          <w:szCs w:val="22"/>
        </w:rPr>
        <w:t xml:space="preserve">II. Son facultades de la Coordinación de Catastro: </w:t>
      </w:r>
    </w:p>
    <w:p w14:paraId="56158754"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a) Llevar y mantener actualizado el Registro Catastral del Municipio, con base en el padrón catastral, debiendo contener en secciones separadas los bienes inmuebles propiedad o posesión de los particulares; los bienes inmuebles del patrimonio público municipal; los bienes inmuebles propiedad del Estado ubicados en el Municipio y los bienes inmuebles propiedad de la Federación, ubicados en el Municipio; </w:t>
      </w:r>
    </w:p>
    <w:p w14:paraId="12F5858C"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b) Integrar, conservar y mantener actualizado el padrón catastral que contenga los datos técnicos y administrativos del inventario analítico con las características cualitativas y cuantitativas de los inmuebles ubicados en los términos municipales, conformar dicho padrón con el conjunto de registros geográficos, gráficos, estadísticos, alfanuméricos y elementos característicos resultantes de la actividad catastral, identificando, inscribiendo, controlando y valuando los inmuebles; </w:t>
      </w:r>
    </w:p>
    <w:p w14:paraId="70111224"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c) Ordenar y ejecutar las actividades de identificación, registro, valuación o revaluación de inmuebles ubicados en el Municipio; </w:t>
      </w:r>
    </w:p>
    <w:p w14:paraId="59F1D774"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d) Desarrollar las actividades concernientes al levantamiento topográfico, actualización de cartografías y procedimientos de información; </w:t>
      </w:r>
    </w:p>
    <w:p w14:paraId="2DE35808"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e) Elaborar el proyecto técnico de actualización, modificación y creación de las áreas homogéneas, bandas de valor, manzanas catastrales, códigos de clave de calle, nomenclatura y valores unitarios de suelo y construcción, remitiéndolo al Instituto de Información e Investigación Geográfica, Estadística y Catastral del Estado de México; </w:t>
      </w:r>
    </w:p>
    <w:p w14:paraId="05B4EB0C"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f) Suministrar al Instituto de Información e Investigación Geográfica, Estadística y Catastral del Estado de México, propuestas, reportes, informes y documentos, </w:t>
      </w:r>
      <w:r w:rsidRPr="00FF4B10">
        <w:rPr>
          <w:rFonts w:ascii="Palatino Linotype" w:eastAsia="Palatino Linotype" w:hAnsi="Palatino Linotype" w:cs="Palatino Linotype"/>
          <w:i/>
          <w:sz w:val="22"/>
          <w:szCs w:val="22"/>
        </w:rPr>
        <w:lastRenderedPageBreak/>
        <w:t xml:space="preserve">que le permitan integrar, conservar y actualizar la información catastral del Estado de México; </w:t>
      </w:r>
    </w:p>
    <w:p w14:paraId="08A9F16C"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g) Suministrar a las áreas de fiscalización y recaudación de impuestos a la propiedad inmobiliaria, la oportuna información que les permita revisar correctamente las declaraciones presentadas y determinar la exactitud de los enteros; </w:t>
      </w:r>
    </w:p>
    <w:p w14:paraId="7A9F6957"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h) Verificar y registrar oportunamente los cambios que se operen en los inmuebles y que incidan en los datos contenidos en el padrón catastral base del registro de Catastro, siguiendo la normativa establecida por el Instituto de Información e Investigación Geográfica, Estadística y Catastral del Estado de México; </w:t>
      </w:r>
    </w:p>
    <w:p w14:paraId="509915C8"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 Realizar los cambios de poseedor o propietario de inmuebles catastrados únicamente de acuerdo a la información y documentos de soporte que le suministre la Subdirección de Traslado de Dominio y Enlace Notarial; </w:t>
      </w:r>
    </w:p>
    <w:p w14:paraId="1BE57825"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j) Recibir, revisar y tramitar las declaraciones, manifestaciones y avisos de inscripción catastral que presenten los sujetos obligados; </w:t>
      </w:r>
    </w:p>
    <w:p w14:paraId="4D3ED8CA"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k) Prestar los servicios de deslinde catastral de inmuebles; </w:t>
      </w:r>
    </w:p>
    <w:p w14:paraId="7F0FA3CE"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l) Suministrar información cartográfico catastral a los usuarios de las Dependencias de la administración pública y al público en general; y </w:t>
      </w:r>
    </w:p>
    <w:p w14:paraId="160C21A8"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m) Las demás que prevengan otros ordenamientos. </w:t>
      </w:r>
    </w:p>
    <w:p w14:paraId="6A73DB68"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Artículo 104. Para el cumplimiento y ejercicio de sus funciones, la Coordinación de Catastro se apoyará previa suficiencia presupuestal de: </w:t>
      </w:r>
    </w:p>
    <w:p w14:paraId="79B51984" w14:textId="77777777" w:rsidR="00AE4E6B" w:rsidRPr="00FF4B10" w:rsidRDefault="00786E08">
      <w:pPr>
        <w:ind w:left="851" w:right="89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a) Departamento de Catastro</w:t>
      </w:r>
    </w:p>
    <w:p w14:paraId="33A0DD02"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Sin embargo, si bien en respuesta señaló que no es atender a la solicitud, hasta en tanto el peticionario acredite la propiedad, su interés jurídico y/o legitimo sobre el predio del cual solicita información; </w:t>
      </w:r>
      <w:r w:rsidRPr="00FF4B10">
        <w:rPr>
          <w:rFonts w:ascii="Palatino Linotype" w:eastAsia="Palatino Linotype" w:hAnsi="Palatino Linotype" w:cs="Palatino Linotype"/>
          <w:b/>
          <w:u w:val="single"/>
        </w:rPr>
        <w:t>toda vez que esta dependencia se encuentra obligada a guardar absoluta reserva y confidencialidad sobre los datos personales de terceras personas</w:t>
      </w:r>
      <w:r w:rsidRPr="00FF4B10">
        <w:rPr>
          <w:rFonts w:ascii="Palatino Linotype" w:eastAsia="Palatino Linotype" w:hAnsi="Palatino Linotype" w:cs="Palatino Linotype"/>
        </w:rPr>
        <w:t>; sin embargo, esta fue omisa en adjuntar el acuerdo emitido por el Comité de Transparencia por medio del cual se sustente la clasificación de  la información como confidencial o reservada, es ese sentido se procede analizar si dicha información es considerada como pública, reservada o confidencial:</w:t>
      </w:r>
    </w:p>
    <w:p w14:paraId="3D4B598A"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lastRenderedPageBreak/>
        <w:t xml:space="preserve">Antes de iniciar el presente análisis, es de señalar que requisitos son los que deben presentar para solicitar un registro catastral, ante la Dirección del Registro del Patrimonio Público y del Catastro del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y que en su caso conforman el expediente que contiene el procedimiento solicitado, los cuales son de acuerdo a la cédula del registro de trámites y servicios del Ayuntamiento de Huixquilucan, los siguientes:</w:t>
      </w:r>
    </w:p>
    <w:p w14:paraId="0EB6C55F"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noProof/>
          <w:lang w:val="es-MX"/>
        </w:rPr>
        <w:drawing>
          <wp:inline distT="0" distB="0" distL="0" distR="0" wp14:anchorId="45070F1D" wp14:editId="3ADBA5AD">
            <wp:extent cx="5612130" cy="2006600"/>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t="58366"/>
                    <a:stretch>
                      <a:fillRect/>
                    </a:stretch>
                  </pic:blipFill>
                  <pic:spPr>
                    <a:xfrm>
                      <a:off x="0" y="0"/>
                      <a:ext cx="5612130" cy="2006600"/>
                    </a:xfrm>
                    <a:prstGeom prst="rect">
                      <a:avLst/>
                    </a:prstGeom>
                    <a:ln/>
                  </pic:spPr>
                </pic:pic>
              </a:graphicData>
            </a:graphic>
          </wp:inline>
        </w:drawing>
      </w:r>
      <w:r w:rsidRPr="00FF4B10">
        <w:rPr>
          <w:rFonts w:ascii="Palatino Linotype" w:eastAsia="Palatino Linotype" w:hAnsi="Palatino Linotype" w:cs="Palatino Linotype"/>
        </w:rPr>
        <w:t xml:space="preserve"> </w:t>
      </w:r>
    </w:p>
    <w:p w14:paraId="14BE96DF"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noProof/>
          <w:lang w:val="es-MX"/>
        </w:rPr>
        <w:drawing>
          <wp:inline distT="0" distB="0" distL="0" distR="0" wp14:anchorId="176FA508" wp14:editId="311AECD0">
            <wp:extent cx="5612130" cy="8001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612130" cy="800100"/>
                    </a:xfrm>
                    <a:prstGeom prst="rect">
                      <a:avLst/>
                    </a:prstGeom>
                    <a:ln/>
                  </pic:spPr>
                </pic:pic>
              </a:graphicData>
            </a:graphic>
          </wp:inline>
        </w:drawing>
      </w:r>
    </w:p>
    <w:p w14:paraId="6EAE95D1"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De lo anterior se advierte cuáles son los documentos que contienen el expediente que contiene el procedimiento de registro catastral del inmueble descrito en la solicitud de acceso a la información pública, los </w:t>
      </w:r>
      <w:proofErr w:type="gramStart"/>
      <w:r w:rsidRPr="00FF4B10">
        <w:rPr>
          <w:rFonts w:ascii="Palatino Linotype" w:eastAsia="Palatino Linotype" w:hAnsi="Palatino Linotype" w:cs="Palatino Linotype"/>
        </w:rPr>
        <w:t>cuales</w:t>
      </w:r>
      <w:proofErr w:type="gramEnd"/>
      <w:r w:rsidRPr="00FF4B10">
        <w:rPr>
          <w:rFonts w:ascii="Palatino Linotype" w:eastAsia="Palatino Linotype" w:hAnsi="Palatino Linotype" w:cs="Palatino Linotype"/>
        </w:rPr>
        <w:t xml:space="preserve"> a consideración de este Organismo Garante, en primer lugar, no se advierte que actualice alguna causal de reserva señala por el artículo 140 de la Ley de la Materia que señala:</w:t>
      </w:r>
    </w:p>
    <w:p w14:paraId="3AB66498"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lastRenderedPageBreak/>
        <w:t xml:space="preserve">Artículo 140. El acceso a la información pública será restringido excepcionalmente, cuando por razones de interés público, ésta sea clasificada como reservada, conforme a los criterios siguientes: </w:t>
      </w:r>
    </w:p>
    <w:p w14:paraId="023DE3D4"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 Comprometa la seguridad pública y cuente con un propósito genuino y un efecto demostrable; </w:t>
      </w:r>
    </w:p>
    <w:p w14:paraId="1B59EFDE"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II. Pueda menoscabar la conducción de las negociaciones y relaciones internacionales; </w:t>
      </w:r>
    </w:p>
    <w:p w14:paraId="6453E5CD"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1A3C544"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IV. Ponga en riesgo la vida, la seguridad o la salud de una persona física; </w:t>
      </w:r>
    </w:p>
    <w:p w14:paraId="02D36260"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V. Aquella cuya divulgación obstruya o pueda causar un serio perjuicio </w:t>
      </w:r>
    </w:p>
    <w:p w14:paraId="0271B7D9"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a: 1. Las actividades de fiscalización, verificación, inspección, comprobación y auditoría sobre el cumplimiento de las Leyes; o </w:t>
      </w:r>
    </w:p>
    <w:p w14:paraId="5FA6BCEF"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2. La recaudación de las contribuciones. </w:t>
      </w:r>
    </w:p>
    <w:p w14:paraId="1AAAF7C3"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2BEFB388"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VII. La que contengan las opiniones, recomendaciones o puntos de vista que formen parte del proceso deliberativo de los servidores públicos, hasta en tanto sea adoptada la decisión definitiva, la cual deberá estar documentada; </w:t>
      </w:r>
    </w:p>
    <w:p w14:paraId="25C72B05"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VIII. Vulnere la conducción de los expedientes judiciales o de los procedimientos administrativos seguidos en forma de juicio, en tanto no hayan quedado firmes; IX. Se encuentre contenida dentro de las investigaciones de hechos que la Ley señale como delitos y se tramiten ante el Ministerio Público; </w:t>
      </w:r>
    </w:p>
    <w:p w14:paraId="64CA24A6"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9ECD93C"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E569FF9"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lastRenderedPageBreak/>
        <w:t>XI. Las que por disposición expresa de una ley tengan tal carácter, siempre que sean acordes con las bases, principios y disposiciones establecidos en esta Ley y no la contravengan; así como las previstas en tratados internacionales.” (Sic)</w:t>
      </w:r>
    </w:p>
    <w:p w14:paraId="6C43F0BE"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Como así lo refirió 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en su respuesta. </w:t>
      </w:r>
    </w:p>
    <w:p w14:paraId="05778856"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En segundo lugar, en cuanto a la confidencialidad de la información se procede analizar cada requisito para determinar si es confidencial o publica, conforme a lo que sigue:</w:t>
      </w:r>
    </w:p>
    <w:p w14:paraId="55B60084" w14:textId="77777777" w:rsidR="00AE4E6B" w:rsidRPr="00FF4B10" w:rsidRDefault="00786E08">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En cuanto a la solicitud por escrito o formato autorizado.</w:t>
      </w:r>
    </w:p>
    <w:p w14:paraId="423EA769"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Debido a la naturaleza del trámite para registrar un inmueble ante la Dirección del Registro del Patrimonio Público y del Catastro del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es meramente personal del propietario de inmueble, como se observa a continuación en términos de la cédula antes referida:</w:t>
      </w:r>
    </w:p>
    <w:p w14:paraId="78A950B7"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noProof/>
          <w:lang w:val="es-MX"/>
        </w:rPr>
        <w:drawing>
          <wp:inline distT="0" distB="0" distL="0" distR="0" wp14:anchorId="70FBB749" wp14:editId="03B34F8E">
            <wp:extent cx="5612130" cy="175768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1757680"/>
                    </a:xfrm>
                    <a:prstGeom prst="rect">
                      <a:avLst/>
                    </a:prstGeom>
                    <a:ln/>
                  </pic:spPr>
                </pic:pic>
              </a:graphicData>
            </a:graphic>
          </wp:inline>
        </w:drawing>
      </w:r>
    </w:p>
    <w:p w14:paraId="128A7A10"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noProof/>
          <w:lang w:val="es-MX"/>
        </w:rPr>
        <w:drawing>
          <wp:inline distT="0" distB="0" distL="0" distR="0" wp14:anchorId="10FF9A95" wp14:editId="38DA0F1C">
            <wp:extent cx="5612130" cy="343535"/>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612130" cy="343535"/>
                    </a:xfrm>
                    <a:prstGeom prst="rect">
                      <a:avLst/>
                    </a:prstGeom>
                    <a:ln/>
                  </pic:spPr>
                </pic:pic>
              </a:graphicData>
            </a:graphic>
          </wp:inline>
        </w:drawing>
      </w:r>
    </w:p>
    <w:p w14:paraId="65797BC5"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De ahí que, es considerado como información confidencial por actualizarse la fracción I y III del artículo 143 de la Ley de la Materia que señala:</w:t>
      </w:r>
    </w:p>
    <w:p w14:paraId="008E2B1B"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lastRenderedPageBreak/>
        <w:t xml:space="preserve">“Artículo 143. Para los efectos de esta Ley se considera información confidencial, la clasificada como tal, de manera permanente, por su naturaleza, cuando: </w:t>
      </w:r>
    </w:p>
    <w:p w14:paraId="69186BEB"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68F110A7"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p>
    <w:p w14:paraId="0318CCC2"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973EC24" w14:textId="77777777" w:rsidR="00AE4E6B" w:rsidRPr="00FF4B10" w:rsidRDefault="00AE4E6B">
      <w:pPr>
        <w:ind w:left="851" w:right="901"/>
        <w:jc w:val="both"/>
        <w:rPr>
          <w:rFonts w:ascii="Palatino Linotype" w:eastAsia="Palatino Linotype" w:hAnsi="Palatino Linotype" w:cs="Palatino Linotype"/>
          <w:i/>
          <w:sz w:val="22"/>
          <w:szCs w:val="22"/>
        </w:rPr>
      </w:pPr>
    </w:p>
    <w:p w14:paraId="1F370DBB" w14:textId="77777777" w:rsidR="00AE4E6B" w:rsidRPr="00FF4B10" w:rsidRDefault="00786E08">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Manifestación catastral.</w:t>
      </w:r>
    </w:p>
    <w:p w14:paraId="1E167196"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En términos de lo señalado por el artículo 25 </w:t>
      </w:r>
      <w:proofErr w:type="gramStart"/>
      <w:r w:rsidRPr="00FF4B10">
        <w:rPr>
          <w:rFonts w:ascii="Palatino Linotype" w:eastAsia="Palatino Linotype" w:hAnsi="Palatino Linotype" w:cs="Palatino Linotype"/>
        </w:rPr>
        <w:t>del  Reglamento</w:t>
      </w:r>
      <w:proofErr w:type="gramEnd"/>
      <w:r w:rsidRPr="00FF4B10">
        <w:rPr>
          <w:rFonts w:ascii="Palatino Linotype" w:eastAsia="Palatino Linotype" w:hAnsi="Palatino Linotype" w:cs="Palatino Linotype"/>
        </w:rPr>
        <w:t xml:space="preserve"> Del Título Quinto Del Código Financiero Del Estado De México Y Municipios, Denominado “Del Catastro”, estas se integra como mínimo de lo siguiente:</w:t>
      </w:r>
    </w:p>
    <w:p w14:paraId="5E10593D"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“Artículo 25.- La manifestación catastral deberá emitirse por duplicado y contener como mínimo, los siguientes datos: </w:t>
      </w:r>
    </w:p>
    <w:p w14:paraId="343C5985"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 Clave catastral del inmueble. </w:t>
      </w:r>
    </w:p>
    <w:p w14:paraId="0A430D6D"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II. Nombre del propietario o poseedor. </w:t>
      </w:r>
    </w:p>
    <w:p w14:paraId="4966B45C"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III. Clave única de Registro de Población (CURP). </w:t>
      </w:r>
    </w:p>
    <w:p w14:paraId="04221C3F"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IV. Ubicación del inmueble. </w:t>
      </w:r>
    </w:p>
    <w:p w14:paraId="2BA242CD"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V. Domicilio para oír y recibir notificaciones. </w:t>
      </w:r>
    </w:p>
    <w:p w14:paraId="0AE988DE"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VI. Superficie del terreno. </w:t>
      </w:r>
    </w:p>
    <w:p w14:paraId="3C3470AF"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VII. Superficie de la construcción. </w:t>
      </w:r>
    </w:p>
    <w:p w14:paraId="42D3C0B7"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VIII. En caso de condominio, superficies comunes de terreno y construcción, así como el indiviso. </w:t>
      </w:r>
    </w:p>
    <w:p w14:paraId="50950FD6"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IX. Uso y destino. </w:t>
      </w:r>
    </w:p>
    <w:p w14:paraId="018D590A"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X. Reserva, provisión, en su caso si cuenta con hipoteca y embargo. </w:t>
      </w:r>
    </w:p>
    <w:p w14:paraId="269D955F"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XI. Régimen jurídico de la propiedad o posesión. </w:t>
      </w:r>
    </w:p>
    <w:p w14:paraId="067834F5"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XII. Valor de terreno, de construcción y valor total catastral o de avalúo. </w:t>
      </w:r>
    </w:p>
    <w:p w14:paraId="4C945902"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XIII. Fecha de elaboración. </w:t>
      </w:r>
    </w:p>
    <w:p w14:paraId="7227742F"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XIV. Nombre y firma del propietario, poseedor o representante legal. </w:t>
      </w:r>
    </w:p>
    <w:p w14:paraId="6EA1181F" w14:textId="77777777" w:rsidR="00AE4E6B" w:rsidRPr="00FF4B10" w:rsidRDefault="00786E08">
      <w:pPr>
        <w:ind w:left="851" w:right="90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XV. Nombre, firma y sello de la autoridad </w:t>
      </w:r>
      <w:proofErr w:type="gramStart"/>
      <w:r w:rsidRPr="00FF4B10">
        <w:rPr>
          <w:rFonts w:ascii="Palatino Linotype" w:eastAsia="Palatino Linotype" w:hAnsi="Palatino Linotype" w:cs="Palatino Linotype"/>
          <w:i/>
          <w:sz w:val="22"/>
          <w:szCs w:val="22"/>
        </w:rPr>
        <w:t>catastra”(</w:t>
      </w:r>
      <w:proofErr w:type="gramEnd"/>
      <w:r w:rsidRPr="00FF4B10">
        <w:rPr>
          <w:rFonts w:ascii="Palatino Linotype" w:eastAsia="Palatino Linotype" w:hAnsi="Palatino Linotype" w:cs="Palatino Linotype"/>
          <w:i/>
          <w:sz w:val="22"/>
          <w:szCs w:val="22"/>
        </w:rPr>
        <w:t>Sic)</w:t>
      </w:r>
    </w:p>
    <w:p w14:paraId="35275094" w14:textId="77777777" w:rsidR="00AE4E6B" w:rsidRPr="00FF4B10" w:rsidRDefault="00786E08">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Clave Catastral del Inmueble</w:t>
      </w:r>
    </w:p>
    <w:p w14:paraId="404B0639" w14:textId="77777777" w:rsidR="00AE4E6B" w:rsidRPr="00FF4B10" w:rsidRDefault="00786E08">
      <w:pPr>
        <w:spacing w:line="360" w:lineRule="auto"/>
        <w:ind w:right="51"/>
        <w:jc w:val="both"/>
        <w:rPr>
          <w:rFonts w:ascii="Palatino Linotype" w:eastAsia="Palatino Linotype" w:hAnsi="Palatino Linotype" w:cs="Palatino Linotype"/>
        </w:rPr>
      </w:pPr>
      <w:r w:rsidRPr="00FF4B10">
        <w:rPr>
          <w:rFonts w:ascii="Palatino Linotype" w:eastAsia="Palatino Linotype" w:hAnsi="Palatino Linotype" w:cs="Palatino Linotype"/>
        </w:rPr>
        <w:lastRenderedPageBreak/>
        <w:t xml:space="preserve">Es información confidencial; en razón de que la clave catastral remite a información que contiene datos personales, por lo que no puede otorgarse a terceros, dada la confidencialidad que distingue a sus elementos. En ese sentido, sobre la clave catastral debe decirse que artículo 179, fracción I del </w:t>
      </w:r>
      <w:r w:rsidRPr="00FF4B10">
        <w:rPr>
          <w:rFonts w:ascii="Palatino Linotype" w:eastAsia="Palatino Linotype" w:hAnsi="Palatino Linotype" w:cs="Palatino Linotype"/>
          <w:i/>
        </w:rPr>
        <w:t>Código Financiero del Estado de México y Municipios,</w:t>
      </w:r>
      <w:r w:rsidRPr="00FF4B10">
        <w:rPr>
          <w:rFonts w:ascii="Palatino Linotype" w:eastAsia="Palatino Linotype" w:hAnsi="Palatino Linotype" w:cs="Palatino Linotype"/>
        </w:rPr>
        <w:t xml:space="preserve">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193A84FD" w14:textId="77777777" w:rsidR="00AE4E6B" w:rsidRPr="00FF4B10" w:rsidRDefault="00786E08">
      <w:pPr>
        <w:spacing w:before="240" w:after="240" w:line="360" w:lineRule="auto"/>
        <w:ind w:right="-93"/>
        <w:jc w:val="both"/>
        <w:rPr>
          <w:rFonts w:ascii="Palatino Linotype" w:eastAsia="Palatino Linotype" w:hAnsi="Palatino Linotype" w:cs="Palatino Linotype"/>
        </w:rPr>
      </w:pPr>
      <w:r w:rsidRPr="00FF4B10">
        <w:rPr>
          <w:rFonts w:ascii="Palatino Linotype" w:eastAsia="Palatino Linotype" w:hAnsi="Palatino Linotype" w:cs="Palatino Linotype"/>
        </w:rPr>
        <w:t>Conforme a lo descrito, se advierte que el dato en comento, hace referencia a un predio determinado.</w:t>
      </w:r>
    </w:p>
    <w:p w14:paraId="750C8DF0"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El “Diccionario de Datos catastrales Escala 1:1000” del Instituto Nacional de Estadística y Geografía (INEGI), contempla en su Glosario la definición de la Clave Catastral, la cual, apunta lo siguiente:</w:t>
      </w:r>
    </w:p>
    <w:p w14:paraId="7DAE1A95" w14:textId="77777777" w:rsidR="00AE4E6B" w:rsidRPr="00FF4B10" w:rsidRDefault="00786E08">
      <w:pPr>
        <w:spacing w:before="120" w:after="120"/>
        <w:ind w:left="709" w:right="85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r w:rsidRPr="00FF4B10">
        <w:rPr>
          <w:rFonts w:ascii="Palatino Linotype" w:eastAsia="Palatino Linotype" w:hAnsi="Palatino Linotype" w:cs="Palatino Linotype"/>
          <w:b/>
          <w:i/>
          <w:sz w:val="22"/>
          <w:szCs w:val="22"/>
        </w:rPr>
        <w:t>Clave Catastral</w:t>
      </w:r>
      <w:r w:rsidRPr="00FF4B10">
        <w:rPr>
          <w:rFonts w:ascii="Palatino Linotype" w:eastAsia="Palatino Linotype" w:hAnsi="Palatino Linotype" w:cs="Palatino Linotype"/>
          <w:i/>
          <w:sz w:val="22"/>
          <w:szCs w:val="22"/>
        </w:rPr>
        <w:t>: El código que identifica al predio de forma única para su localización geográfica, mismo que es asignado a cada uno de ellos en el momento de su inscripción en el padrón catastral por las Unidades del Estado con atribuciones catastrales.”</w:t>
      </w:r>
    </w:p>
    <w:p w14:paraId="1B3EC3A3"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De los conceptos antepuestos, se advierte que la Clave Catastral es una serie de elementos que hacen identificable un inmueble para su localización geográfica y posterior inscripción al padrón catastral de cada Entidad Federativa y, quizá hasta podría revelar información inherente al patrimonio del propietario de dicho predio </w:t>
      </w:r>
      <w:r w:rsidRPr="00FF4B10">
        <w:rPr>
          <w:rFonts w:ascii="Palatino Linotype" w:eastAsia="Palatino Linotype" w:hAnsi="Palatino Linotype" w:cs="Palatino Linotype"/>
        </w:rPr>
        <w:lastRenderedPageBreak/>
        <w:t>o inmueble, lo que no otorga ni certeza jurídica ni abona a la transparencia, ya que no se trata de actos de autoridad que ayuden a hacer público el quehacer de los servidores, por lo cual se considera que no es procedente la entrega de dicho dato.</w:t>
      </w:r>
    </w:p>
    <w:p w14:paraId="51E40148" w14:textId="77777777" w:rsidR="00AE4E6B" w:rsidRPr="00FF4B10" w:rsidRDefault="00786E08">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Nombre del propietario o poseedor.</w:t>
      </w:r>
    </w:p>
    <w:p w14:paraId="3312026C" w14:textId="77777777" w:rsidR="00AE4E6B" w:rsidRPr="00FF4B10" w:rsidRDefault="00786E08">
      <w:pPr>
        <w:spacing w:before="240" w:after="24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Se considera información confidencial, en términos de lo dispuesto en el artículo 3 fracción IX y 143, fracción I de la Ley de Transparencia y Acceso a la Información Pública del Estado de México y Municipios, así como en el artículo 4, fracción XI de la Ley de Protección de Datos Personales en Posesión de Sujetos Obligados vigente en el Estado de México.</w:t>
      </w:r>
    </w:p>
    <w:p w14:paraId="54F3A5DA" w14:textId="77777777" w:rsidR="00AE4E6B" w:rsidRPr="00FF4B10" w:rsidRDefault="00786E08">
      <w:pPr>
        <w:numPr>
          <w:ilvl w:val="0"/>
          <w:numId w:val="4"/>
        </w:numPr>
        <w:pBdr>
          <w:top w:val="nil"/>
          <w:left w:val="nil"/>
          <w:bottom w:val="nil"/>
          <w:right w:val="nil"/>
          <w:between w:val="nil"/>
        </w:pBd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Clave Única de Registro de Población (CURP)</w:t>
      </w:r>
    </w:p>
    <w:p w14:paraId="222E7403"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6B256C6E"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5BDB3E5"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29AB1C74"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46F53D3"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5DEF9CA5"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En ese orden de ideas, la Secretaría de Gobernación en las direcciones https://consultas.curp.gob.mx/CurpSP/html/informacionecurpPS.html y https://www.gob.mx/segob/renapo/acciones-y-programas/clave-unica-de-registro-de poblacion-curp-142226 (consultadas el diecinueve de abril de dos mil veintidós, a las diez horas),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4C593B5C"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164714F6"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El primero y segundo apellidos, así como al nombre de pila;</w:t>
      </w:r>
    </w:p>
    <w:p w14:paraId="3FFBE15B" w14:textId="77777777" w:rsidR="00AE4E6B" w:rsidRPr="00FF4B10" w:rsidRDefault="00786E08">
      <w:pPr>
        <w:numPr>
          <w:ilvl w:val="0"/>
          <w:numId w:val="4"/>
        </w:numPr>
        <w:pBdr>
          <w:top w:val="nil"/>
          <w:left w:val="nil"/>
          <w:bottom w:val="nil"/>
          <w:right w:val="nil"/>
          <w:between w:val="nil"/>
        </w:pBd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La fecha de nacimiento;</w:t>
      </w:r>
    </w:p>
    <w:p w14:paraId="3D013E8B" w14:textId="77777777" w:rsidR="00AE4E6B" w:rsidRPr="00FF4B10" w:rsidRDefault="00786E08">
      <w:pPr>
        <w:numPr>
          <w:ilvl w:val="0"/>
          <w:numId w:val="4"/>
        </w:numPr>
        <w:pBdr>
          <w:top w:val="nil"/>
          <w:left w:val="nil"/>
          <w:bottom w:val="nil"/>
          <w:right w:val="nil"/>
          <w:between w:val="nil"/>
        </w:pBd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El sexo, y</w:t>
      </w:r>
    </w:p>
    <w:p w14:paraId="73C93635" w14:textId="77777777" w:rsidR="00AE4E6B" w:rsidRPr="00FF4B10" w:rsidRDefault="00786E08">
      <w:pPr>
        <w:numPr>
          <w:ilvl w:val="0"/>
          <w:numId w:val="4"/>
        </w:numPr>
        <w:pBdr>
          <w:top w:val="nil"/>
          <w:left w:val="nil"/>
          <w:bottom w:val="nil"/>
          <w:right w:val="nil"/>
          <w:between w:val="nil"/>
        </w:pBdr>
        <w:tabs>
          <w:tab w:val="left" w:pos="6345"/>
        </w:tabs>
        <w:spacing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La entidad federativa de nacimiento.</w:t>
      </w:r>
    </w:p>
    <w:p w14:paraId="093175AF" w14:textId="77777777" w:rsidR="00AE4E6B" w:rsidRPr="00FF4B10" w:rsidRDefault="00AE4E6B">
      <w:pPr>
        <w:tabs>
          <w:tab w:val="left" w:pos="6345"/>
        </w:tabs>
        <w:spacing w:line="360" w:lineRule="auto"/>
        <w:jc w:val="both"/>
        <w:rPr>
          <w:rFonts w:ascii="Palatino Linotype" w:eastAsia="Palatino Linotype" w:hAnsi="Palatino Linotype" w:cs="Palatino Linotype"/>
          <w:sz w:val="22"/>
          <w:szCs w:val="22"/>
        </w:rPr>
      </w:pPr>
    </w:p>
    <w:p w14:paraId="497C79BD"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Los dos últimos elementos de la Clave Única de Registro de Población evitan la duplicidad de la Clave y garantizan su correcta integración.</w:t>
      </w:r>
    </w:p>
    <w:p w14:paraId="47572638"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w:t>
      </w:r>
      <w:r w:rsidRPr="00FF4B10">
        <w:rPr>
          <w:rFonts w:ascii="Palatino Linotype" w:eastAsia="Palatino Linotype" w:hAnsi="Palatino Linotype" w:cs="Palatino Linotype"/>
        </w:rPr>
        <w:lastRenderedPageBreak/>
        <w:t>de un individuo, simplemente se trata de un trámite administrativo requerido por la autoridad federal para hacer identificables a las personas.</w:t>
      </w:r>
    </w:p>
    <w:p w14:paraId="75621505"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4ECD697C" w14:textId="77777777" w:rsidR="00AE4E6B" w:rsidRPr="00FF4B10" w:rsidRDefault="00786E08">
      <w:pPr>
        <w:tabs>
          <w:tab w:val="left" w:pos="6345"/>
        </w:tabs>
        <w:spacing w:line="360" w:lineRule="auto"/>
        <w:jc w:val="both"/>
        <w:rPr>
          <w:rFonts w:ascii="Palatino Linotype" w:eastAsia="Palatino Linotype" w:hAnsi="Palatino Linotype" w:cs="Palatino Linotype"/>
          <w:sz w:val="22"/>
          <w:szCs w:val="22"/>
        </w:rPr>
      </w:pPr>
      <w:r w:rsidRPr="00FF4B10">
        <w:rPr>
          <w:rFonts w:ascii="Palatino Linotype" w:eastAsia="Palatino Linotype" w:hAnsi="Palatino Linotype" w:cs="Palatino Linotype"/>
        </w:rPr>
        <w:t>Situación que se robustece, con el Criterio 18/17, emitido por el Instituto Nacional de Transparencia</w:t>
      </w:r>
      <w:r w:rsidRPr="00FF4B10">
        <w:rPr>
          <w:rFonts w:ascii="Palatino Linotype" w:eastAsia="Palatino Linotype" w:hAnsi="Palatino Linotype" w:cs="Palatino Linotype"/>
          <w:sz w:val="22"/>
          <w:szCs w:val="22"/>
        </w:rPr>
        <w:t>, Acceso a la Información y Protección de Datos Personales, que establece lo siguiente:</w:t>
      </w:r>
    </w:p>
    <w:p w14:paraId="39549FE0" w14:textId="77777777" w:rsidR="00AE4E6B" w:rsidRPr="00FF4B10" w:rsidRDefault="00AE4E6B">
      <w:pPr>
        <w:tabs>
          <w:tab w:val="left" w:pos="6345"/>
        </w:tabs>
        <w:spacing w:line="360" w:lineRule="auto"/>
        <w:jc w:val="both"/>
        <w:rPr>
          <w:rFonts w:ascii="Palatino Linotype" w:eastAsia="Palatino Linotype" w:hAnsi="Palatino Linotype" w:cs="Palatino Linotype"/>
          <w:sz w:val="22"/>
          <w:szCs w:val="22"/>
        </w:rPr>
      </w:pPr>
    </w:p>
    <w:p w14:paraId="7E862871"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BCA6F9B" w14:textId="77777777" w:rsidR="00AE4E6B" w:rsidRPr="00FF4B10" w:rsidRDefault="00AE4E6B">
      <w:pPr>
        <w:tabs>
          <w:tab w:val="left" w:pos="6345"/>
        </w:tabs>
        <w:spacing w:line="360" w:lineRule="auto"/>
        <w:jc w:val="both"/>
        <w:rPr>
          <w:rFonts w:ascii="Palatino Linotype" w:eastAsia="Palatino Linotype" w:hAnsi="Palatino Linotype" w:cs="Palatino Linotype"/>
          <w:sz w:val="22"/>
          <w:szCs w:val="22"/>
        </w:rPr>
      </w:pPr>
    </w:p>
    <w:p w14:paraId="2028978E" w14:textId="77777777" w:rsidR="00AE4E6B" w:rsidRPr="00FF4B10" w:rsidRDefault="00786E08">
      <w:pPr>
        <w:tabs>
          <w:tab w:val="left" w:pos="6345"/>
        </w:tabs>
        <w:spacing w:line="360" w:lineRule="auto"/>
        <w:jc w:val="both"/>
        <w:rPr>
          <w:rFonts w:ascii="Palatino Linotype" w:eastAsia="Palatino Linotype" w:hAnsi="Palatino Linotype" w:cs="Palatino Linotype"/>
          <w:sz w:val="22"/>
          <w:szCs w:val="22"/>
        </w:rPr>
      </w:pPr>
      <w:r w:rsidRPr="00FF4B10">
        <w:rPr>
          <w:rFonts w:ascii="Palatino Linotype" w:eastAsia="Palatino Linotype" w:hAnsi="Palatino Linotype" w:cs="Palatino Linotype"/>
        </w:rPr>
        <w:t>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w:t>
      </w:r>
      <w:r w:rsidRPr="00FF4B10">
        <w:rPr>
          <w:rFonts w:ascii="Palatino Linotype" w:eastAsia="Palatino Linotype" w:hAnsi="Palatino Linotype" w:cs="Palatino Linotype"/>
          <w:sz w:val="22"/>
          <w:szCs w:val="22"/>
        </w:rPr>
        <w:t>.</w:t>
      </w:r>
    </w:p>
    <w:p w14:paraId="504ADB02" w14:textId="77777777" w:rsidR="00AE4E6B" w:rsidRPr="00FF4B10" w:rsidRDefault="00AE4E6B">
      <w:pPr>
        <w:tabs>
          <w:tab w:val="left" w:pos="6345"/>
        </w:tabs>
        <w:spacing w:line="360" w:lineRule="auto"/>
        <w:jc w:val="both"/>
        <w:rPr>
          <w:rFonts w:ascii="Palatino Linotype" w:eastAsia="Palatino Linotype" w:hAnsi="Palatino Linotype" w:cs="Palatino Linotype"/>
          <w:sz w:val="22"/>
          <w:szCs w:val="22"/>
        </w:rPr>
      </w:pPr>
    </w:p>
    <w:p w14:paraId="62C0ACF2" w14:textId="77777777" w:rsidR="00AE4E6B" w:rsidRPr="00FF4B10" w:rsidRDefault="00786E08">
      <w:pPr>
        <w:numPr>
          <w:ilvl w:val="0"/>
          <w:numId w:val="5"/>
        </w:numPr>
        <w:pBdr>
          <w:top w:val="nil"/>
          <w:left w:val="nil"/>
          <w:bottom w:val="nil"/>
          <w:right w:val="nil"/>
          <w:between w:val="nil"/>
        </w:pBdr>
        <w:tabs>
          <w:tab w:val="left" w:pos="6345"/>
        </w:tabs>
        <w:spacing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 xml:space="preserve">Ubicación del inmueble y domicilio para oír y recibir notificaciones del propietario o poseedor. </w:t>
      </w:r>
    </w:p>
    <w:p w14:paraId="14B7BC39" w14:textId="77777777" w:rsidR="00AE4E6B" w:rsidRPr="00FF4B10" w:rsidRDefault="00786E08">
      <w:pPr>
        <w:spacing w:before="280" w:after="28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lastRenderedPageBreak/>
        <w:t xml:space="preserve">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14:paraId="67BC974B" w14:textId="77777777" w:rsidR="00AE4E6B" w:rsidRPr="00FF4B10" w:rsidRDefault="00786E08">
      <w:pPr>
        <w:spacing w:before="280" w:after="28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Por lo que la clasificación del domicilio particular, por tratarse de un dato personal confidencial, en términos del artículo 143, fracción I de la Ley de Transparencia y Acceso a la Información Pública del Estado de México y Municipios. </w:t>
      </w:r>
    </w:p>
    <w:p w14:paraId="4905081D" w14:textId="77777777" w:rsidR="00AE4E6B" w:rsidRPr="00FF4B10" w:rsidRDefault="00786E08">
      <w:pPr>
        <w:numPr>
          <w:ilvl w:val="0"/>
          <w:numId w:val="5"/>
        </w:numPr>
        <w:pBdr>
          <w:top w:val="nil"/>
          <w:left w:val="nil"/>
          <w:bottom w:val="nil"/>
          <w:right w:val="nil"/>
          <w:between w:val="nil"/>
        </w:pBdr>
        <w:tabs>
          <w:tab w:val="left" w:pos="6345"/>
        </w:tabs>
        <w:spacing w:before="280"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Superficie del terreno, Superficie de la construcción, en caso de condominio, superficies comunes de terreno y construcción, así como el indiviso, Uso y destino, Valor de terreno, de construcción y valor total catastral o de avalúo.</w:t>
      </w:r>
    </w:p>
    <w:p w14:paraId="611521A4" w14:textId="77777777" w:rsidR="00AE4E6B" w:rsidRPr="00FF4B10" w:rsidRDefault="00786E08">
      <w:pPr>
        <w:numPr>
          <w:ilvl w:val="0"/>
          <w:numId w:val="5"/>
        </w:numPr>
        <w:pBdr>
          <w:top w:val="nil"/>
          <w:left w:val="nil"/>
          <w:bottom w:val="nil"/>
          <w:right w:val="nil"/>
          <w:between w:val="nil"/>
        </w:pBdr>
        <w:tabs>
          <w:tab w:val="left" w:pos="6345"/>
        </w:tabs>
        <w:spacing w:after="280"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 xml:space="preserve">Medidas de las colindancias del predio descrito en la solicitud de acceso a la información pública. </w:t>
      </w:r>
    </w:p>
    <w:p w14:paraId="02B87A02" w14:textId="77777777" w:rsidR="00AE4E6B" w:rsidRPr="00FF4B10" w:rsidRDefault="00786E08">
      <w:pPr>
        <w:tabs>
          <w:tab w:val="left" w:pos="6345"/>
        </w:tabs>
        <w:spacing w:before="280" w:after="280" w:line="360" w:lineRule="auto"/>
        <w:ind w:left="360"/>
        <w:jc w:val="both"/>
        <w:rPr>
          <w:rFonts w:ascii="Palatino Linotype" w:eastAsia="Palatino Linotype" w:hAnsi="Palatino Linotype" w:cs="Palatino Linotype"/>
        </w:rPr>
      </w:pPr>
      <w:r w:rsidRPr="00FF4B10">
        <w:rPr>
          <w:rFonts w:ascii="Palatino Linotype" w:eastAsia="Palatino Linotype" w:hAnsi="Palatino Linotype" w:cs="Palatino Linotype"/>
        </w:rPr>
        <w:t>Son datos que deben ser clasificados como confidenciales, dado que contienen información relativa a particulares que son propietarios o poseedores de un inmueble y dichos datos se encuentran estrechamente relacionados con el patrimonio, por lo que en este caso en particular prevalece la confidencialidad sobre el acceso a la información pública</w:t>
      </w:r>
    </w:p>
    <w:p w14:paraId="7A2D41A4" w14:textId="77777777" w:rsidR="00AE4E6B" w:rsidRPr="00FF4B10" w:rsidRDefault="00786E08">
      <w:pPr>
        <w:tabs>
          <w:tab w:val="left" w:pos="6345"/>
        </w:tabs>
        <w:spacing w:before="280" w:after="280" w:line="360" w:lineRule="auto"/>
        <w:ind w:left="360"/>
        <w:jc w:val="both"/>
        <w:rPr>
          <w:rFonts w:ascii="Palatino Linotype" w:eastAsia="Palatino Linotype" w:hAnsi="Palatino Linotype" w:cs="Palatino Linotype"/>
          <w:sz w:val="22"/>
          <w:szCs w:val="22"/>
        </w:rPr>
      </w:pPr>
      <w:r w:rsidRPr="00FF4B10">
        <w:rPr>
          <w:rFonts w:ascii="Palatino Linotype" w:eastAsia="Palatino Linotype" w:hAnsi="Palatino Linotype" w:cs="Palatino Linotype"/>
        </w:rPr>
        <w:lastRenderedPageBreak/>
        <w:t>Es decir, son datos inherentes al patrimonio del propietario de dicho predio o inmueble, lo que no otorga ni certeza jurídica ni abona a la transparencia, ya que no se trata de actos de autoridad que ayuden a hacer público el quehacer de los servidores, por lo cual se considera que no es procedente la entrega de dicho dato</w:t>
      </w:r>
    </w:p>
    <w:p w14:paraId="353C2326" w14:textId="77777777" w:rsidR="00AE4E6B" w:rsidRPr="00FF4B10" w:rsidRDefault="00786E08">
      <w:pPr>
        <w:numPr>
          <w:ilvl w:val="0"/>
          <w:numId w:val="5"/>
        </w:numPr>
        <w:pBdr>
          <w:top w:val="nil"/>
          <w:left w:val="nil"/>
          <w:bottom w:val="nil"/>
          <w:right w:val="nil"/>
          <w:between w:val="nil"/>
        </w:pBdr>
        <w:spacing w:before="280" w:after="280"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Reserva, provisión, en su caso si cuenta con hipoteca y embargo, y Régimen jurídico de la propiedad o posesión.</w:t>
      </w:r>
    </w:p>
    <w:p w14:paraId="5F1D28DE" w14:textId="77777777" w:rsidR="00AE4E6B" w:rsidRPr="00FF4B10" w:rsidRDefault="00786E08">
      <w:pPr>
        <w:tabs>
          <w:tab w:val="left" w:pos="6345"/>
        </w:tabs>
        <w:spacing w:before="280" w:after="280" w:line="360" w:lineRule="auto"/>
        <w:ind w:left="360"/>
        <w:jc w:val="both"/>
        <w:rPr>
          <w:rFonts w:ascii="Palatino Linotype" w:eastAsia="Palatino Linotype" w:hAnsi="Palatino Linotype" w:cs="Palatino Linotype"/>
        </w:rPr>
      </w:pPr>
      <w:r w:rsidRPr="00FF4B10">
        <w:rPr>
          <w:rFonts w:ascii="Palatino Linotype" w:eastAsia="Palatino Linotype" w:hAnsi="Palatino Linotype" w:cs="Palatino Linotype"/>
        </w:rPr>
        <w:t>Son datos que sólo le competen al propietario del inmueble, lo que no otorga ni certeza jurídica ni abona a la transparencia, ya que no se trata de actos de autoridad que ayuden a hacer público el quehacer de los servidores, por lo cual se considera que no es procedente la entrega de dicho dato.</w:t>
      </w:r>
    </w:p>
    <w:p w14:paraId="7CB5B219" w14:textId="77777777" w:rsidR="00AE4E6B" w:rsidRPr="00FF4B10" w:rsidRDefault="00AE4E6B">
      <w:pPr>
        <w:pBdr>
          <w:top w:val="nil"/>
          <w:left w:val="nil"/>
          <w:bottom w:val="nil"/>
          <w:right w:val="nil"/>
          <w:between w:val="nil"/>
        </w:pBdr>
        <w:ind w:left="720"/>
        <w:rPr>
          <w:rFonts w:ascii="Palatino Linotype" w:eastAsia="Palatino Linotype" w:hAnsi="Palatino Linotype" w:cs="Palatino Linotype"/>
          <w:b/>
        </w:rPr>
      </w:pPr>
    </w:p>
    <w:p w14:paraId="617E6709" w14:textId="77777777" w:rsidR="00AE4E6B" w:rsidRPr="00FF4B10" w:rsidRDefault="00786E08">
      <w:pPr>
        <w:numPr>
          <w:ilvl w:val="0"/>
          <w:numId w:val="5"/>
        </w:numPr>
        <w:pBdr>
          <w:top w:val="nil"/>
          <w:left w:val="nil"/>
          <w:bottom w:val="nil"/>
          <w:right w:val="nil"/>
          <w:between w:val="nil"/>
        </w:pBdr>
        <w:spacing w:after="280"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Nombre y firma del propietario, poseedor o representante legal, y nombre de los colindantes.</w:t>
      </w:r>
    </w:p>
    <w:p w14:paraId="4943AB25" w14:textId="77777777" w:rsidR="00AE4E6B" w:rsidRPr="00FF4B10" w:rsidRDefault="00786E08">
      <w:pPr>
        <w:spacing w:line="360" w:lineRule="auto"/>
        <w:ind w:right="49"/>
        <w:jc w:val="both"/>
        <w:rPr>
          <w:rFonts w:ascii="Palatino Linotype" w:eastAsia="Palatino Linotype" w:hAnsi="Palatino Linotype" w:cs="Palatino Linotype"/>
        </w:rPr>
      </w:pPr>
      <w:r w:rsidRPr="00FF4B10">
        <w:rPr>
          <w:rFonts w:ascii="Palatino Linotype" w:eastAsia="Palatino Linotype" w:hAnsi="Palatino Linotype" w:cs="Palatino Linotype"/>
        </w:rPr>
        <w:t>Ahora bien, sobre el nombre de particulares este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44099357" w14:textId="77777777" w:rsidR="00AE4E6B" w:rsidRPr="00FF4B10" w:rsidRDefault="00AE4E6B">
      <w:pPr>
        <w:pBdr>
          <w:top w:val="nil"/>
          <w:left w:val="nil"/>
          <w:bottom w:val="nil"/>
          <w:right w:val="nil"/>
          <w:between w:val="nil"/>
        </w:pBdr>
        <w:ind w:left="720"/>
        <w:rPr>
          <w:rFonts w:ascii="Palatino Linotype" w:eastAsia="Palatino Linotype" w:hAnsi="Palatino Linotype" w:cs="Palatino Linotype"/>
        </w:rPr>
      </w:pPr>
    </w:p>
    <w:p w14:paraId="3E6655D6" w14:textId="77777777" w:rsidR="00AE4E6B" w:rsidRPr="00FF4B10" w:rsidRDefault="00786E08">
      <w:pPr>
        <w:spacing w:line="360" w:lineRule="auto"/>
        <w:ind w:right="49"/>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Al respecto cabe señalar lo previsto en la tesis aislada número 1a. CCXIV/2009, emitida por la Primera Sala de la Suprema Corte de Justicia de la Nación, publicada </w:t>
      </w:r>
      <w:r w:rsidRPr="00FF4B10">
        <w:rPr>
          <w:rFonts w:ascii="Palatino Linotype" w:eastAsia="Palatino Linotype" w:hAnsi="Palatino Linotype" w:cs="Palatino Linotype"/>
        </w:rPr>
        <w:lastRenderedPageBreak/>
        <w:t>en la Gaceta del Semanario Judicial de la Federación, Tomo XXX, de diciembre de 2009, página 277, de la Novena Época, materia constitucional, que establece lo siguiente:</w:t>
      </w:r>
    </w:p>
    <w:p w14:paraId="76F7B56D" w14:textId="77777777" w:rsidR="00AE4E6B" w:rsidRPr="00FF4B10" w:rsidRDefault="00AE4E6B">
      <w:pPr>
        <w:pBdr>
          <w:top w:val="nil"/>
          <w:left w:val="nil"/>
          <w:bottom w:val="nil"/>
          <w:right w:val="nil"/>
          <w:between w:val="nil"/>
        </w:pBdr>
        <w:spacing w:line="360" w:lineRule="auto"/>
        <w:ind w:left="644" w:right="-93"/>
        <w:jc w:val="both"/>
        <w:rPr>
          <w:rFonts w:ascii="Palatino Linotype" w:eastAsia="Palatino Linotype" w:hAnsi="Palatino Linotype" w:cs="Palatino Linotype"/>
        </w:rPr>
      </w:pPr>
    </w:p>
    <w:p w14:paraId="17F809C4" w14:textId="77777777" w:rsidR="00AE4E6B" w:rsidRPr="00FF4B10" w:rsidRDefault="00786E08">
      <w:pPr>
        <w:ind w:left="851" w:right="822"/>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r w:rsidRPr="00FF4B10">
        <w:rPr>
          <w:rFonts w:ascii="Palatino Linotype" w:eastAsia="Palatino Linotype" w:hAnsi="Palatino Linotype" w:cs="Palatino Linotype"/>
          <w:b/>
          <w:i/>
          <w:sz w:val="22"/>
          <w:szCs w:val="22"/>
        </w:rPr>
        <w:t xml:space="preserve">DERECHO A LA VIDA PRIVADA. SU CONTENIDO GENERAL Y LA IMPORTANCIA DE NO DESCONTEXTUALIZAR LAS REFERENCIAS A LA MISMA. </w:t>
      </w:r>
      <w:r w:rsidRPr="00FF4B10">
        <w:rPr>
          <w:rFonts w:ascii="Palatino Linotype" w:eastAsia="Palatino Linotype" w:hAnsi="Palatino Linotype" w:cs="Palatino Linotype"/>
          <w:i/>
          <w:sz w:val="22"/>
          <w:szCs w:val="22"/>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FF4B10">
        <w:rPr>
          <w:rFonts w:ascii="Palatino Linotype" w:eastAsia="Palatino Linotype" w:hAnsi="Palatino Linotype" w:cs="Palatino Linotype"/>
          <w:b/>
          <w:i/>
          <w:sz w:val="22"/>
          <w:szCs w:val="22"/>
        </w:rPr>
        <w:t xml:space="preserve">Según esta noción, las personas tienen derecho a gozar de un ámbito de proyección de su existencia que quede reservado de la invasión y la mirada de los </w:t>
      </w:r>
      <w:r w:rsidRPr="00FF4B10">
        <w:rPr>
          <w:rFonts w:ascii="Palatino Linotype" w:eastAsia="Palatino Linotype" w:hAnsi="Palatino Linotype" w:cs="Palatino Linotype"/>
          <w:b/>
          <w:i/>
          <w:sz w:val="22"/>
          <w:szCs w:val="22"/>
        </w:rPr>
        <w:lastRenderedPageBreak/>
        <w:t>demás, que les concierna sólo a ellos y les provea de condiciones adecuadas para el despliegue de su individualidad -para el desarrollo de su autonomía y su libertad-.</w:t>
      </w:r>
      <w:r w:rsidRPr="00FF4B10">
        <w:rPr>
          <w:rFonts w:ascii="Palatino Linotype" w:eastAsia="Palatino Linotype" w:hAnsi="Palatino Linotype" w:cs="Palatino Linotype"/>
          <w:i/>
          <w:sz w:val="22"/>
          <w:szCs w:val="22"/>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FF4B10">
        <w:rPr>
          <w:rFonts w:ascii="Palatino Linotype" w:eastAsia="Palatino Linotype" w:hAnsi="Palatino Linotype" w:cs="Palatino Linotype"/>
          <w:b/>
          <w:i/>
          <w:sz w:val="22"/>
          <w:szCs w:val="22"/>
        </w:rPr>
        <w:t>En un sentido amplio, entonces, la protección constitucional de la vida privada implica poder conducir parte de la vida de uno protegido de la mirada y las injerencias de los demás</w:t>
      </w:r>
      <w:r w:rsidRPr="00FF4B10">
        <w:rPr>
          <w:rFonts w:ascii="Palatino Linotype" w:eastAsia="Palatino Linotype" w:hAnsi="Palatino Linotype" w:cs="Palatino Linotype"/>
          <w:i/>
          <w:sz w:val="22"/>
          <w:szCs w:val="22"/>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219B5EB9" w14:textId="77777777" w:rsidR="00AE4E6B" w:rsidRPr="00FF4B10" w:rsidRDefault="00AE4E6B">
      <w:pPr>
        <w:pBdr>
          <w:top w:val="nil"/>
          <w:left w:val="nil"/>
          <w:bottom w:val="nil"/>
          <w:right w:val="nil"/>
          <w:between w:val="nil"/>
        </w:pBdr>
        <w:spacing w:line="360" w:lineRule="auto"/>
        <w:ind w:left="644" w:right="-93"/>
        <w:jc w:val="both"/>
        <w:rPr>
          <w:rFonts w:ascii="Palatino Linotype" w:eastAsia="Palatino Linotype" w:hAnsi="Palatino Linotype" w:cs="Palatino Linotype"/>
        </w:rPr>
      </w:pPr>
    </w:p>
    <w:p w14:paraId="608DB3B9" w14:textId="77777777" w:rsidR="00AE4E6B" w:rsidRPr="00FF4B10" w:rsidRDefault="00786E08">
      <w:pPr>
        <w:pBdr>
          <w:top w:val="nil"/>
          <w:left w:val="nil"/>
          <w:bottom w:val="nil"/>
          <w:right w:val="nil"/>
          <w:between w:val="nil"/>
        </w:pBdr>
        <w:spacing w:line="360" w:lineRule="auto"/>
        <w:ind w:right="-93"/>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En concordancia con lo señalado, se puede determinar que el nombre de los particulares es confidencial, pues toda actividad que realicen no pertenece al interés público, es decir, que procede su clasificación en razón del derecho a la vida privada. </w:t>
      </w:r>
    </w:p>
    <w:p w14:paraId="3734BC37" w14:textId="77777777" w:rsidR="00AE4E6B" w:rsidRPr="00FF4B10" w:rsidRDefault="00AE4E6B">
      <w:pPr>
        <w:spacing w:line="360" w:lineRule="auto"/>
        <w:ind w:right="49"/>
        <w:jc w:val="both"/>
        <w:rPr>
          <w:rFonts w:ascii="Palatino Linotype" w:eastAsia="Palatino Linotype" w:hAnsi="Palatino Linotype" w:cs="Palatino Linotype"/>
        </w:rPr>
      </w:pPr>
    </w:p>
    <w:p w14:paraId="7D25550E" w14:textId="77777777" w:rsidR="00AE4E6B" w:rsidRPr="00FF4B10" w:rsidRDefault="00786E08">
      <w:pPr>
        <w:spacing w:line="360" w:lineRule="auto"/>
        <w:ind w:right="-93"/>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 En cuanto a la firma, la real Academia Española lo establece como “Rasgo o conjunto de rasgos, realizados siempre de la misma manera, que identifican a una persona y sustituyen a su nombre y apellidos para aprobar o dar autenticidad a un documento”, en ese sentido, se trata de un dato personal.</w:t>
      </w:r>
    </w:p>
    <w:p w14:paraId="1C3CFA71" w14:textId="77777777" w:rsidR="00AE4E6B" w:rsidRPr="00FF4B10" w:rsidRDefault="00AE4E6B">
      <w:pPr>
        <w:pBdr>
          <w:top w:val="nil"/>
          <w:left w:val="nil"/>
          <w:bottom w:val="nil"/>
          <w:right w:val="nil"/>
          <w:between w:val="nil"/>
        </w:pBdr>
        <w:ind w:left="720"/>
        <w:jc w:val="both"/>
        <w:rPr>
          <w:rFonts w:ascii="Palatino Linotype" w:eastAsia="Palatino Linotype" w:hAnsi="Palatino Linotype" w:cs="Palatino Linotype"/>
        </w:rPr>
      </w:pPr>
    </w:p>
    <w:p w14:paraId="6A607A5E" w14:textId="77777777" w:rsidR="00AE4E6B" w:rsidRPr="00FF4B10" w:rsidRDefault="00786E08">
      <w:pPr>
        <w:spacing w:line="360" w:lineRule="auto"/>
        <w:ind w:right="-93"/>
        <w:jc w:val="both"/>
        <w:rPr>
          <w:rFonts w:ascii="Palatino Linotype" w:eastAsia="Palatino Linotype" w:hAnsi="Palatino Linotype" w:cs="Palatino Linotype"/>
        </w:rPr>
      </w:pPr>
      <w:r w:rsidRPr="00FF4B10">
        <w:rPr>
          <w:rFonts w:ascii="Palatino Linotype" w:eastAsia="Palatino Linotype" w:hAnsi="Palatino Linotype" w:cs="Palatino Linotype"/>
        </w:rPr>
        <w:t>Ahora bien, tratándose de servidores públicos el Criterio SO/002/2019, emitido por el Instituto Nacional de Transparencia, Acceso a la Información y Protección de Datos Personales, establece lo siguiente:</w:t>
      </w:r>
    </w:p>
    <w:p w14:paraId="124366A1" w14:textId="77777777" w:rsidR="00AE4E6B" w:rsidRPr="00FF4B10" w:rsidRDefault="00AE4E6B">
      <w:pPr>
        <w:spacing w:line="360" w:lineRule="auto"/>
        <w:ind w:right="49"/>
        <w:jc w:val="both"/>
        <w:rPr>
          <w:rFonts w:ascii="Palatino Linotype" w:eastAsia="Palatino Linotype" w:hAnsi="Palatino Linotype" w:cs="Palatino Linotype"/>
        </w:rPr>
      </w:pPr>
    </w:p>
    <w:p w14:paraId="3EC4F958" w14:textId="77777777" w:rsidR="00AE4E6B" w:rsidRPr="00FF4B10" w:rsidRDefault="00786E08">
      <w:pPr>
        <w:ind w:left="851" w:right="822"/>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p>
    <w:p w14:paraId="259E6A0E" w14:textId="77777777" w:rsidR="00AE4E6B" w:rsidRPr="00FF4B10" w:rsidRDefault="00AE4E6B">
      <w:pPr>
        <w:spacing w:line="360" w:lineRule="auto"/>
        <w:ind w:right="49"/>
        <w:jc w:val="both"/>
        <w:rPr>
          <w:rFonts w:ascii="Palatino Linotype" w:eastAsia="Palatino Linotype" w:hAnsi="Palatino Linotype" w:cs="Palatino Linotype"/>
        </w:rPr>
      </w:pPr>
    </w:p>
    <w:p w14:paraId="495760B2" w14:textId="77777777" w:rsidR="00AE4E6B" w:rsidRPr="00FF4B10" w:rsidRDefault="00786E08">
      <w:pPr>
        <w:spacing w:line="360" w:lineRule="auto"/>
        <w:ind w:right="-93"/>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Como ya lo refiere el Criterio señalado, la firma es un dato personal confidencial y solo será publica para el caso de los servidores públicos en el ejercicio de sus funciones. </w:t>
      </w:r>
    </w:p>
    <w:p w14:paraId="38255CB0" w14:textId="77777777" w:rsidR="00AE4E6B" w:rsidRPr="00FF4B10" w:rsidRDefault="00AE4E6B">
      <w:pPr>
        <w:spacing w:line="360" w:lineRule="auto"/>
        <w:ind w:right="49"/>
        <w:jc w:val="both"/>
        <w:rPr>
          <w:rFonts w:ascii="Palatino Linotype" w:eastAsia="Palatino Linotype" w:hAnsi="Palatino Linotype" w:cs="Palatino Linotype"/>
        </w:rPr>
      </w:pPr>
    </w:p>
    <w:p w14:paraId="0C61A57B" w14:textId="77777777" w:rsidR="00AE4E6B" w:rsidRPr="00FF4B10" w:rsidRDefault="00786E08">
      <w:pPr>
        <w:spacing w:line="360" w:lineRule="auto"/>
        <w:ind w:right="-93"/>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Conforme a lo expuesto, en el presente caso, es procedente la clasificación, en términos del artículo 143, fracción I de la Ley de Transparencia y Acceso a la Información Pública del Estado de México y Municipios, tratándose de nombres y firma de particulares. </w:t>
      </w:r>
    </w:p>
    <w:p w14:paraId="1916157C" w14:textId="77777777" w:rsidR="00AE4E6B" w:rsidRPr="00FF4B10" w:rsidRDefault="00AE4E6B">
      <w:pPr>
        <w:spacing w:line="360" w:lineRule="auto"/>
        <w:ind w:right="-93"/>
        <w:jc w:val="both"/>
        <w:rPr>
          <w:rFonts w:ascii="Palatino Linotype" w:eastAsia="Palatino Linotype" w:hAnsi="Palatino Linotype" w:cs="Palatino Linotype"/>
        </w:rPr>
      </w:pPr>
    </w:p>
    <w:p w14:paraId="7F42F98E" w14:textId="77777777" w:rsidR="00AE4E6B" w:rsidRPr="00FF4B10" w:rsidRDefault="00786E08">
      <w:pPr>
        <w:numPr>
          <w:ilvl w:val="0"/>
          <w:numId w:val="5"/>
        </w:numPr>
        <w:pBdr>
          <w:top w:val="nil"/>
          <w:left w:val="nil"/>
          <w:bottom w:val="nil"/>
          <w:right w:val="nil"/>
          <w:between w:val="nil"/>
        </w:pBdr>
        <w:spacing w:line="360" w:lineRule="auto"/>
        <w:ind w:right="-93"/>
        <w:jc w:val="both"/>
        <w:rPr>
          <w:rFonts w:ascii="Palatino Linotype" w:eastAsia="Palatino Linotype" w:hAnsi="Palatino Linotype" w:cs="Palatino Linotype"/>
          <w:b/>
        </w:rPr>
      </w:pPr>
      <w:r w:rsidRPr="00FF4B10">
        <w:rPr>
          <w:rFonts w:ascii="Palatino Linotype" w:eastAsia="Palatino Linotype" w:hAnsi="Palatino Linotype" w:cs="Palatino Linotype"/>
          <w:b/>
        </w:rPr>
        <w:t>Nombre, firma y sello de la autoridad catastral</w:t>
      </w:r>
    </w:p>
    <w:p w14:paraId="476CAFAD" w14:textId="77777777" w:rsidR="00AE4E6B" w:rsidRPr="00FF4B10" w:rsidRDefault="00AE4E6B">
      <w:pPr>
        <w:pBdr>
          <w:top w:val="nil"/>
          <w:left w:val="nil"/>
          <w:bottom w:val="nil"/>
          <w:right w:val="nil"/>
          <w:between w:val="nil"/>
        </w:pBdr>
        <w:spacing w:line="360" w:lineRule="auto"/>
        <w:ind w:left="720" w:right="-93"/>
        <w:jc w:val="both"/>
        <w:rPr>
          <w:rFonts w:ascii="Palatino Linotype" w:eastAsia="Palatino Linotype" w:hAnsi="Palatino Linotype" w:cs="Palatino Linotype"/>
          <w:b/>
        </w:rPr>
      </w:pPr>
    </w:p>
    <w:p w14:paraId="2F9C59B0" w14:textId="77777777" w:rsidR="00AE4E6B" w:rsidRPr="00FF4B10" w:rsidRDefault="00786E08">
      <w:pPr>
        <w:spacing w:line="360" w:lineRule="auto"/>
        <w:ind w:right="-93"/>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Son datos considerados como públicos; sin embargo, conforme a lo anterior la manifestación catastral se integra de datos que en su mayoría deben ser protegidos por 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es decir son datos personales que hacen identificable a una persona física y son datos que sólo le competen al propietario del inmueble; por consiguiente, nada practico sería ordenar una versión pública de dicho documento si el mismo seria testado en su mayoría y que sólo se dejaría visible el  </w:t>
      </w:r>
    </w:p>
    <w:p w14:paraId="1C29869D" w14:textId="77777777" w:rsidR="00AE4E6B" w:rsidRPr="00FF4B10" w:rsidRDefault="00786E08">
      <w:pPr>
        <w:spacing w:line="360" w:lineRule="auto"/>
        <w:ind w:right="-93"/>
        <w:jc w:val="both"/>
        <w:rPr>
          <w:rFonts w:ascii="Palatino Linotype" w:eastAsia="Palatino Linotype" w:hAnsi="Palatino Linotype" w:cs="Palatino Linotype"/>
        </w:rPr>
      </w:pPr>
      <w:r w:rsidRPr="00FF4B10">
        <w:rPr>
          <w:rFonts w:ascii="Palatino Linotype" w:eastAsia="Palatino Linotype" w:hAnsi="Palatino Linotype" w:cs="Palatino Linotype"/>
        </w:rPr>
        <w:t>nombre, firma y sello de la autoridad catastral.</w:t>
      </w:r>
    </w:p>
    <w:p w14:paraId="001DE811"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165C7C0A" w14:textId="77777777" w:rsidR="00AE4E6B" w:rsidRPr="00FF4B10" w:rsidRDefault="00786E08">
      <w:pPr>
        <w:numPr>
          <w:ilvl w:val="0"/>
          <w:numId w:val="4"/>
        </w:numPr>
        <w:pBdr>
          <w:top w:val="nil"/>
          <w:left w:val="nil"/>
          <w:bottom w:val="nil"/>
          <w:right w:val="nil"/>
          <w:between w:val="nil"/>
        </w:pBd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lastRenderedPageBreak/>
        <w:t>Identificación del Propietario o poseedor o en su caso de la persona autorizada mediante carta poder o representación legal.</w:t>
      </w:r>
    </w:p>
    <w:p w14:paraId="750F5762"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68984B4F"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 xml:space="preserve">Credencial para Votar. </w:t>
      </w:r>
    </w:p>
    <w:p w14:paraId="358DF9BB" w14:textId="77777777" w:rsidR="00AE4E6B" w:rsidRPr="00FF4B10" w:rsidRDefault="00AE4E6B">
      <w:pPr>
        <w:tabs>
          <w:tab w:val="left" w:pos="6345"/>
        </w:tabs>
        <w:spacing w:line="360" w:lineRule="auto"/>
        <w:jc w:val="both"/>
        <w:rPr>
          <w:rFonts w:ascii="Palatino Linotype" w:eastAsia="Palatino Linotype" w:hAnsi="Palatino Linotype" w:cs="Palatino Linotype"/>
          <w:sz w:val="22"/>
          <w:szCs w:val="22"/>
        </w:rPr>
      </w:pPr>
    </w:p>
    <w:p w14:paraId="22B24138"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2B7CC35B"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6C5F54DF"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De manera particular el artículo 156, de la Ley General de Instituciones y Procedimientos Electorales dispone que la credencial para votar deberá contener, cuando menos, los siguientes datos:</w:t>
      </w:r>
    </w:p>
    <w:p w14:paraId="2047CE8C" w14:textId="77777777" w:rsidR="00AE4E6B" w:rsidRPr="00FF4B10" w:rsidRDefault="00AE4E6B">
      <w:pPr>
        <w:tabs>
          <w:tab w:val="left" w:pos="6345"/>
        </w:tabs>
        <w:spacing w:line="360" w:lineRule="auto"/>
        <w:ind w:left="567" w:right="539"/>
        <w:jc w:val="both"/>
        <w:rPr>
          <w:rFonts w:ascii="Palatino Linotype" w:eastAsia="Palatino Linotype" w:hAnsi="Palatino Linotype" w:cs="Palatino Linotype"/>
        </w:rPr>
      </w:pPr>
    </w:p>
    <w:p w14:paraId="7DCB9B1C"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a) 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w:t>
      </w:r>
    </w:p>
    <w:p w14:paraId="070A819A"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lastRenderedPageBreak/>
        <w:t>b) Sección electoral en donde deberá votar el ciudadano. En el caso de los ciudadanos residentes en el extranjero no será necesario incluir este requisito;</w:t>
      </w:r>
    </w:p>
    <w:p w14:paraId="391AB14F"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c) Apellido paterno, apellido materno y nombre completo;</w:t>
      </w:r>
    </w:p>
    <w:p w14:paraId="5010FEA9"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d) Domicilio;</w:t>
      </w:r>
    </w:p>
    <w:p w14:paraId="370686DE"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e) Sexo;</w:t>
      </w:r>
    </w:p>
    <w:p w14:paraId="1070B497"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f) Edad y año de registro;</w:t>
      </w:r>
    </w:p>
    <w:p w14:paraId="4ECCB256"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g) Firma, huella digital y fotografía del elector;</w:t>
      </w:r>
    </w:p>
    <w:p w14:paraId="1DE270E6"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h) Clave de registro, y</w:t>
      </w:r>
    </w:p>
    <w:p w14:paraId="1311F15D"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i) Clave Única del Registro de Población.</w:t>
      </w:r>
    </w:p>
    <w:p w14:paraId="32652D0A"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2. Además tendrá:</w:t>
      </w:r>
    </w:p>
    <w:p w14:paraId="6E7DB192"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a) Espacios necesarios para marcar año y elección de que se trate;</w:t>
      </w:r>
    </w:p>
    <w:p w14:paraId="67121F2E"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b) Firma impresa del </w:t>
      </w:r>
      <w:proofErr w:type="gramStart"/>
      <w:r w:rsidRPr="00FF4B10">
        <w:rPr>
          <w:rFonts w:ascii="Palatino Linotype" w:eastAsia="Palatino Linotype" w:hAnsi="Palatino Linotype" w:cs="Palatino Linotype"/>
        </w:rPr>
        <w:t>Secretario Ejecutivo</w:t>
      </w:r>
      <w:proofErr w:type="gramEnd"/>
      <w:r w:rsidRPr="00FF4B10">
        <w:rPr>
          <w:rFonts w:ascii="Palatino Linotype" w:eastAsia="Palatino Linotype" w:hAnsi="Palatino Linotype" w:cs="Palatino Linotype"/>
        </w:rPr>
        <w:t xml:space="preserve"> del Instituto;</w:t>
      </w:r>
    </w:p>
    <w:p w14:paraId="3D430C57"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c) Año de emisión;</w:t>
      </w:r>
    </w:p>
    <w:p w14:paraId="503D3D45"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d) Año en el que expira su vigencia, y</w:t>
      </w:r>
    </w:p>
    <w:p w14:paraId="58646DD6"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e) En el caso de la que se expida al ciudadano residente en el extranjero, la leyenda</w:t>
      </w:r>
    </w:p>
    <w:p w14:paraId="1FD6888E" w14:textId="77777777" w:rsidR="00AE4E6B" w:rsidRPr="00FF4B10" w:rsidRDefault="00786E08">
      <w:pPr>
        <w:tabs>
          <w:tab w:val="left" w:pos="6345"/>
        </w:tabs>
        <w:spacing w:line="360" w:lineRule="auto"/>
        <w:ind w:left="567" w:right="539"/>
        <w:jc w:val="both"/>
        <w:rPr>
          <w:rFonts w:ascii="Palatino Linotype" w:eastAsia="Palatino Linotype" w:hAnsi="Palatino Linotype" w:cs="Palatino Linotype"/>
        </w:rPr>
      </w:pPr>
      <w:r w:rsidRPr="00FF4B10">
        <w:rPr>
          <w:rFonts w:ascii="Palatino Linotype" w:eastAsia="Palatino Linotype" w:hAnsi="Palatino Linotype" w:cs="Palatino Linotype"/>
        </w:rPr>
        <w:t>“Para Votar desde el Extranjero”.</w:t>
      </w:r>
    </w:p>
    <w:p w14:paraId="044172F3"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5DE39311"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w:t>
      </w:r>
      <w:r w:rsidRPr="00FF4B10">
        <w:rPr>
          <w:rFonts w:ascii="Palatino Linotype" w:eastAsia="Palatino Linotype" w:hAnsi="Palatino Linotype" w:cs="Palatino Linotype"/>
        </w:rPr>
        <w:lastRenderedPageBreak/>
        <w:t>credencia para asentar en un documento como manera de acreditar la presentación de su titular y comprobar que la credencial se tuvo a la vista, por ello su relevancia y lo delicado de su uso.</w:t>
      </w:r>
    </w:p>
    <w:p w14:paraId="7E8DD541"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223B15E7"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identificación oficial en el artículo 2.5 Bis, fracción II del Código Civil del Estado de México.</w:t>
      </w:r>
    </w:p>
    <w:p w14:paraId="4FC3F8FD"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2C33D2FC" w14:textId="77777777" w:rsidR="00AE4E6B" w:rsidRPr="00FF4B10" w:rsidRDefault="00786E08">
      <w:pPr>
        <w:tabs>
          <w:tab w:val="left" w:pos="6345"/>
        </w:tabs>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con excepción del nombre; por lo que, en el presente caso, se considera que la credencial de elector, es confidencial y actualiza la causal de clasificación, establecida en el artículo 143, fracción I, de la Ley de Transparencia y Acceso a la Información Pública del Estado de México y Municipios.</w:t>
      </w:r>
    </w:p>
    <w:p w14:paraId="5B31D58D" w14:textId="77777777" w:rsidR="00AE4E6B" w:rsidRPr="00FF4B10" w:rsidRDefault="00AE4E6B">
      <w:pPr>
        <w:tabs>
          <w:tab w:val="left" w:pos="6345"/>
        </w:tabs>
        <w:spacing w:line="360" w:lineRule="auto"/>
        <w:jc w:val="both"/>
        <w:rPr>
          <w:rFonts w:ascii="Palatino Linotype" w:eastAsia="Palatino Linotype" w:hAnsi="Palatino Linotype" w:cs="Palatino Linotype"/>
        </w:rPr>
      </w:pPr>
    </w:p>
    <w:p w14:paraId="21DA716B"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Carta Poder.</w:t>
      </w:r>
    </w:p>
    <w:p w14:paraId="543DDEA0" w14:textId="77777777" w:rsidR="00AE4E6B" w:rsidRPr="00FF4B10" w:rsidRDefault="00AE4E6B">
      <w:pPr>
        <w:spacing w:line="360" w:lineRule="auto"/>
        <w:jc w:val="both"/>
        <w:rPr>
          <w:rFonts w:ascii="Palatino Linotype" w:eastAsia="Palatino Linotype" w:hAnsi="Palatino Linotype" w:cs="Palatino Linotype"/>
        </w:rPr>
      </w:pPr>
    </w:p>
    <w:p w14:paraId="64928846"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lastRenderedPageBreak/>
        <w:t xml:space="preserve">La figura de la carta poder, se encuentra prevista en el Título Noveno del Código Civil del Estado de México, como un documento de carácter privado, firmado por el otorgante en presencia de testigos, mediante el cual autoriza a otra persona para que en su representación realice determinados actos jurídicos. </w:t>
      </w:r>
    </w:p>
    <w:p w14:paraId="6482D1B3" w14:textId="77777777" w:rsidR="00AE4E6B" w:rsidRPr="00FF4B10" w:rsidRDefault="00AE4E6B">
      <w:pPr>
        <w:spacing w:line="360" w:lineRule="auto"/>
        <w:jc w:val="both"/>
        <w:rPr>
          <w:rFonts w:ascii="Palatino Linotype" w:eastAsia="Palatino Linotype" w:hAnsi="Palatino Linotype" w:cs="Palatino Linotype"/>
        </w:rPr>
      </w:pPr>
    </w:p>
    <w:p w14:paraId="09B3ABED"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En ese sentido, se puede entender que el mandato es una declaración unilateral de la voluntad, autónoma, porque puede existir en forma independiente, por la que el apoderado queda investido por el </w:t>
      </w:r>
      <w:proofErr w:type="spellStart"/>
      <w:r w:rsidRPr="00FF4B10">
        <w:rPr>
          <w:rFonts w:ascii="Palatino Linotype" w:eastAsia="Palatino Linotype" w:hAnsi="Palatino Linotype" w:cs="Palatino Linotype"/>
        </w:rPr>
        <w:t>poderante</w:t>
      </w:r>
      <w:proofErr w:type="spellEnd"/>
      <w:r w:rsidRPr="00FF4B10">
        <w:rPr>
          <w:rFonts w:ascii="Palatino Linotype" w:eastAsia="Palatino Linotype" w:hAnsi="Palatino Linotype" w:cs="Palatino Linotype"/>
        </w:rPr>
        <w:t xml:space="preserve"> para realizar un acto a nombre de este. Cabe mencionar que el mandato de acuerdo con el artículo 1.767 del Código Civil del Estado de México, puede ser gratuito cuando así se haya convenido expresamente, por lo que, por lo general este contrato genera una obligación jurídica que suele estar basada en la confianza, lo que hace que se caracterice como un contrato meramente personal. </w:t>
      </w:r>
    </w:p>
    <w:p w14:paraId="4CD76C27" w14:textId="77777777" w:rsidR="00AE4E6B" w:rsidRPr="00FF4B10" w:rsidRDefault="00AE4E6B">
      <w:pPr>
        <w:spacing w:line="360" w:lineRule="auto"/>
        <w:jc w:val="both"/>
        <w:rPr>
          <w:rFonts w:ascii="Palatino Linotype" w:eastAsia="Palatino Linotype" w:hAnsi="Palatino Linotype" w:cs="Palatino Linotype"/>
        </w:rPr>
      </w:pPr>
    </w:p>
    <w:p w14:paraId="7F5CF1D3"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De tal manera que, ya que este documento cuenta con una naturaleza privada, ya que es creado a voluntad de la persona con la finalidad de que otra realice actos en su nombre y representación, es un documento que atañe netamente a la esfera privada del individuo, lo que actualiza la fracción I del artículo 143 de la Ley de Transparencia y Acceso a la Información Pública del Estado de México, por lo que, resulta procedente clasificarlo en su totalidad. </w:t>
      </w:r>
    </w:p>
    <w:p w14:paraId="2BB62DCE" w14:textId="77777777" w:rsidR="00AE4E6B" w:rsidRPr="00FF4B10" w:rsidRDefault="00786E08">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Documento que acredite la propiedad o posesión del inmueble.</w:t>
      </w:r>
    </w:p>
    <w:p w14:paraId="0707FEF2"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El título de propiedad es un documento legal que acredita la propiedad de un bien inmueble, este documento ampara los derechos de propiedad que la Ley concede al </w:t>
      </w:r>
      <w:r w:rsidRPr="00FF4B10">
        <w:rPr>
          <w:rFonts w:ascii="Palatino Linotype" w:eastAsia="Palatino Linotype" w:hAnsi="Palatino Linotype" w:cs="Palatino Linotype"/>
        </w:rPr>
        <w:lastRenderedPageBreak/>
        <w:t xml:space="preserve">dueño legal, es decir; es un documento físico que sirve para demostrar los derechos intangibles sobre una cosa. </w:t>
      </w:r>
    </w:p>
    <w:p w14:paraId="58CC4BDA" w14:textId="77777777" w:rsidR="00AE4E6B" w:rsidRPr="00FF4B10" w:rsidRDefault="00AE4E6B">
      <w:pPr>
        <w:spacing w:line="360" w:lineRule="auto"/>
        <w:jc w:val="both"/>
        <w:rPr>
          <w:rFonts w:ascii="Palatino Linotype" w:eastAsia="Palatino Linotype" w:hAnsi="Palatino Linotype" w:cs="Palatino Linotype"/>
        </w:rPr>
      </w:pPr>
    </w:p>
    <w:p w14:paraId="3086BE0B"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En el presente caso, tenemos que el documento que acredita la propiedad es un contrato privado de cesión de derechos </w:t>
      </w:r>
      <w:proofErr w:type="gramStart"/>
      <w:r w:rsidRPr="00FF4B10">
        <w:rPr>
          <w:rFonts w:ascii="Palatino Linotype" w:eastAsia="Palatino Linotype" w:hAnsi="Palatino Linotype" w:cs="Palatino Linotype"/>
        </w:rPr>
        <w:t>que</w:t>
      </w:r>
      <w:proofErr w:type="gramEnd"/>
      <w:r w:rsidRPr="00FF4B10">
        <w:rPr>
          <w:rFonts w:ascii="Palatino Linotype" w:eastAsia="Palatino Linotype" w:hAnsi="Palatino Linotype" w:cs="Palatino Linotype"/>
        </w:rPr>
        <w:t xml:space="preserve"> de acuerdo con lo establecido en el Título Segundo del Código Civil del Estado de México, el contrato es definido como aquel acuerdo de dos o más personas por el que se crean o transfieren obligaciones y derechos y, que se perfecciona por el mero consentimiento de las partes.</w:t>
      </w:r>
    </w:p>
    <w:p w14:paraId="3C35694A"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 </w:t>
      </w:r>
    </w:p>
    <w:p w14:paraId="681505AF"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En el presente asunto, no sólo hablamos que el documento que acredita la propiedad da cuenta del patrimonio de un individuo, sino </w:t>
      </w:r>
      <w:proofErr w:type="gramStart"/>
      <w:r w:rsidRPr="00FF4B10">
        <w:rPr>
          <w:rFonts w:ascii="Palatino Linotype" w:eastAsia="Palatino Linotype" w:hAnsi="Palatino Linotype" w:cs="Palatino Linotype"/>
        </w:rPr>
        <w:t>que</w:t>
      </w:r>
      <w:proofErr w:type="gramEnd"/>
      <w:r w:rsidRPr="00FF4B10">
        <w:rPr>
          <w:rFonts w:ascii="Palatino Linotype" w:eastAsia="Palatino Linotype" w:hAnsi="Palatino Linotype" w:cs="Palatino Linotype"/>
        </w:rPr>
        <w:t xml:space="preserve"> por su propia naturaleza al tratarse de un contrato, resulta ser la manifestación unilateral de la persona, por lo que atañe única y exclusivamente a la esfera privada de esta y, por ello, actualiza la fracción I del artículo 143 de la Ley en la materia. </w:t>
      </w:r>
    </w:p>
    <w:p w14:paraId="0988078F" w14:textId="77777777" w:rsidR="00AE4E6B" w:rsidRPr="00FF4B10" w:rsidRDefault="00AE4E6B">
      <w:pPr>
        <w:spacing w:line="360" w:lineRule="auto"/>
        <w:jc w:val="both"/>
        <w:rPr>
          <w:rFonts w:ascii="Palatino Linotype" w:eastAsia="Palatino Linotype" w:hAnsi="Palatino Linotype" w:cs="Palatino Linotype"/>
        </w:rPr>
      </w:pPr>
    </w:p>
    <w:p w14:paraId="4296AB87"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Ahora bien, no se omite comentar que dentro de la misma cédula refiera en el presente considerando, se observa un procedimiento el cual cosiste en el siguiente:</w:t>
      </w:r>
    </w:p>
    <w:p w14:paraId="293F24D3" w14:textId="77777777" w:rsidR="00AE4E6B" w:rsidRPr="00FF4B10" w:rsidRDefault="00AE4E6B">
      <w:pPr>
        <w:spacing w:line="360" w:lineRule="auto"/>
        <w:jc w:val="both"/>
        <w:rPr>
          <w:rFonts w:ascii="Palatino Linotype" w:eastAsia="Palatino Linotype" w:hAnsi="Palatino Linotype" w:cs="Palatino Linotype"/>
        </w:rPr>
      </w:pPr>
    </w:p>
    <w:p w14:paraId="767470C4"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noProof/>
          <w:lang w:val="es-MX"/>
        </w:rPr>
        <w:drawing>
          <wp:inline distT="0" distB="0" distL="0" distR="0" wp14:anchorId="20827BDE" wp14:editId="48D6AD31">
            <wp:extent cx="5612130" cy="122555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12130" cy="1225550"/>
                    </a:xfrm>
                    <a:prstGeom prst="rect">
                      <a:avLst/>
                    </a:prstGeom>
                    <a:ln/>
                  </pic:spPr>
                </pic:pic>
              </a:graphicData>
            </a:graphic>
          </wp:inline>
        </w:drawing>
      </w:r>
    </w:p>
    <w:p w14:paraId="6C16FF4B"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El cual se observa que dicho procedimiento es iniciado a instancia de la parte interesada y que es un trámite meramente personal del propietario del inmueble, en </w:t>
      </w:r>
      <w:r w:rsidRPr="00FF4B10">
        <w:rPr>
          <w:rFonts w:ascii="Palatino Linotype" w:eastAsia="Palatino Linotype" w:hAnsi="Palatino Linotype" w:cs="Palatino Linotype"/>
        </w:rPr>
        <w:lastRenderedPageBreak/>
        <w:t xml:space="preserve">donde la dirección catastral realizar una visita al predio para verificar la veracidad de los datos declarados por el solicitante, lo cual de igual forma actualiza su confidencialidad, conforme a lo señalado en los párrafos anteriores, lo que se sucede también para el resultado emitido por la Dirección de Catastro, por contener información que hace identificable a una persona y sobre la situación patrimonial, que son datos que deben ser protegidos por 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w:t>
      </w:r>
    </w:p>
    <w:p w14:paraId="494CD642" w14:textId="77777777" w:rsidR="00AE4E6B" w:rsidRPr="00FF4B10" w:rsidRDefault="00AE4E6B">
      <w:pPr>
        <w:spacing w:line="360" w:lineRule="auto"/>
        <w:jc w:val="both"/>
        <w:rPr>
          <w:rFonts w:ascii="Palatino Linotype" w:eastAsia="Palatino Linotype" w:hAnsi="Palatino Linotype" w:cs="Palatino Linotype"/>
        </w:rPr>
      </w:pPr>
    </w:p>
    <w:p w14:paraId="23C47F1D" w14:textId="77777777" w:rsidR="00AE4E6B" w:rsidRPr="00FF4B10" w:rsidRDefault="00786E08">
      <w:pPr>
        <w:spacing w:line="360" w:lineRule="auto"/>
        <w:jc w:val="both"/>
        <w:rPr>
          <w:rFonts w:ascii="Palatino Linotype" w:eastAsia="Palatino Linotype" w:hAnsi="Palatino Linotype" w:cs="Palatino Linotype"/>
          <w:b/>
        </w:rPr>
      </w:pPr>
      <w:r w:rsidRPr="00FF4B10">
        <w:rPr>
          <w:rFonts w:ascii="Palatino Linotype" w:eastAsia="Palatino Linotype" w:hAnsi="Palatino Linotype" w:cs="Palatino Linotype"/>
          <w:b/>
        </w:rPr>
        <w:t xml:space="preserve">Por otro </w:t>
      </w:r>
      <w:proofErr w:type="gramStart"/>
      <w:r w:rsidRPr="00FF4B10">
        <w:rPr>
          <w:rFonts w:ascii="Palatino Linotype" w:eastAsia="Palatino Linotype" w:hAnsi="Palatino Linotype" w:cs="Palatino Linotype"/>
          <w:b/>
        </w:rPr>
        <w:t>lado</w:t>
      </w:r>
      <w:proofErr w:type="gramEnd"/>
      <w:r w:rsidRPr="00FF4B10">
        <w:rPr>
          <w:rFonts w:ascii="Palatino Linotype" w:eastAsia="Palatino Linotype" w:hAnsi="Palatino Linotype" w:cs="Palatino Linotype"/>
          <w:b/>
        </w:rPr>
        <w:t xml:space="preserve"> en cuanto al tracto sucesivo que realiza la persona referida en la solicitud de acceso a la información pública.</w:t>
      </w:r>
    </w:p>
    <w:p w14:paraId="444D4CE8" w14:textId="77777777" w:rsidR="00AE4E6B" w:rsidRPr="00FF4B10" w:rsidRDefault="00AE4E6B">
      <w:pPr>
        <w:spacing w:line="360" w:lineRule="auto"/>
        <w:jc w:val="both"/>
        <w:rPr>
          <w:rFonts w:ascii="Palatino Linotype" w:eastAsia="Palatino Linotype" w:hAnsi="Palatino Linotype" w:cs="Palatino Linotype"/>
          <w:b/>
        </w:rPr>
      </w:pPr>
    </w:p>
    <w:p w14:paraId="648C4429"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Sobre el tracto sucesivo, este es definido por la Real Academia Española, como:</w:t>
      </w:r>
    </w:p>
    <w:p w14:paraId="741FB79A" w14:textId="77777777" w:rsidR="00AE4E6B" w:rsidRPr="00FF4B10" w:rsidRDefault="00AE4E6B">
      <w:pPr>
        <w:spacing w:line="360" w:lineRule="auto"/>
        <w:jc w:val="both"/>
        <w:rPr>
          <w:rFonts w:ascii="Palatino Linotype" w:eastAsia="Palatino Linotype" w:hAnsi="Palatino Linotype" w:cs="Palatino Linotype"/>
        </w:rPr>
      </w:pPr>
    </w:p>
    <w:p w14:paraId="7FD37F8F" w14:textId="77777777" w:rsidR="00AE4E6B" w:rsidRPr="00FF4B10" w:rsidRDefault="00786E08">
      <w:pPr>
        <w:pBdr>
          <w:top w:val="nil"/>
          <w:left w:val="nil"/>
          <w:bottom w:val="nil"/>
          <w:right w:val="nil"/>
          <w:between w:val="nil"/>
        </w:pBdr>
        <w:ind w:left="708" w:right="436"/>
        <w:jc w:val="both"/>
        <w:rPr>
          <w:rFonts w:ascii="Palatino Linotype" w:eastAsia="Palatino Linotype" w:hAnsi="Palatino Linotype" w:cs="Palatino Linotype"/>
          <w:i/>
        </w:rPr>
      </w:pPr>
      <w:r w:rsidRPr="00FF4B10">
        <w:rPr>
          <w:rFonts w:ascii="Palatino Linotype" w:eastAsia="Palatino Linotype" w:hAnsi="Palatino Linotype" w:cs="Palatino Linotype"/>
          <w:i/>
        </w:rPr>
        <w:t>“principio de tracto sucesivo</w:t>
      </w:r>
    </w:p>
    <w:p w14:paraId="6FD19173" w14:textId="77777777" w:rsidR="00AE4E6B" w:rsidRPr="00FF4B10" w:rsidRDefault="00786E08">
      <w:pPr>
        <w:pBdr>
          <w:top w:val="nil"/>
          <w:left w:val="nil"/>
          <w:bottom w:val="nil"/>
          <w:right w:val="nil"/>
          <w:between w:val="nil"/>
        </w:pBdr>
        <w:ind w:left="708" w:right="436"/>
        <w:jc w:val="both"/>
        <w:rPr>
          <w:rFonts w:ascii="Palatino Linotype" w:eastAsia="Palatino Linotype" w:hAnsi="Palatino Linotype" w:cs="Palatino Linotype"/>
          <w:i/>
        </w:rPr>
      </w:pPr>
      <w:proofErr w:type="spellStart"/>
      <w:r w:rsidRPr="00FF4B10">
        <w:rPr>
          <w:rFonts w:ascii="Palatino Linotype" w:eastAsia="Palatino Linotype" w:hAnsi="Palatino Linotype" w:cs="Palatino Linotype"/>
          <w:i/>
        </w:rPr>
        <w:t>Sublema</w:t>
      </w:r>
      <w:proofErr w:type="spellEnd"/>
      <w:r w:rsidRPr="00FF4B10">
        <w:rPr>
          <w:rFonts w:ascii="Palatino Linotype" w:eastAsia="Palatino Linotype" w:hAnsi="Palatino Linotype" w:cs="Palatino Linotype"/>
          <w:i/>
        </w:rPr>
        <w:t xml:space="preserve"> de </w:t>
      </w:r>
      <w:hyperlink r:id="rId16">
        <w:r w:rsidRPr="00FF4B10">
          <w:rPr>
            <w:rFonts w:ascii="Palatino Linotype" w:eastAsia="Palatino Linotype" w:hAnsi="Palatino Linotype" w:cs="Palatino Linotype"/>
            <w:i/>
          </w:rPr>
          <w:t>principio</w:t>
        </w:r>
      </w:hyperlink>
    </w:p>
    <w:p w14:paraId="55C5D665" w14:textId="77777777" w:rsidR="00AE4E6B" w:rsidRPr="00FF4B10" w:rsidRDefault="00786E08">
      <w:pPr>
        <w:pBdr>
          <w:top w:val="nil"/>
          <w:left w:val="nil"/>
          <w:bottom w:val="nil"/>
          <w:right w:val="nil"/>
          <w:between w:val="nil"/>
        </w:pBdr>
        <w:ind w:left="708" w:right="436"/>
        <w:jc w:val="both"/>
        <w:rPr>
          <w:rFonts w:ascii="Palatino Linotype" w:eastAsia="Palatino Linotype" w:hAnsi="Palatino Linotype" w:cs="Palatino Linotype"/>
          <w:i/>
        </w:rPr>
      </w:pPr>
      <w:proofErr w:type="spellStart"/>
      <w:r w:rsidRPr="00FF4B10">
        <w:rPr>
          <w:rFonts w:ascii="Palatino Linotype" w:eastAsia="Palatino Linotype" w:hAnsi="Palatino Linotype" w:cs="Palatino Linotype"/>
          <w:i/>
        </w:rPr>
        <w:t>Civ</w:t>
      </w:r>
      <w:proofErr w:type="spellEnd"/>
      <w:r w:rsidRPr="00FF4B10">
        <w:rPr>
          <w:rFonts w:ascii="Palatino Linotype" w:eastAsia="Palatino Linotype" w:hAnsi="Palatino Linotype" w:cs="Palatino Linotype"/>
          <w:i/>
        </w:rPr>
        <w:t>. Principio que establece que para poder inscribir o anotar títulos por los que se declaren, transmitan, graven, modifiquen o extingan el dominio y demás derechos reales sobre inmuebles, deberá constar previamente inscrito o anotado el derecho de la persona que otorgue o en cuyo nombre sean otorgados los actos referidos</w:t>
      </w:r>
      <w:proofErr w:type="gramStart"/>
      <w:r w:rsidRPr="00FF4B10">
        <w:rPr>
          <w:rFonts w:ascii="Palatino Linotype" w:eastAsia="Palatino Linotype" w:hAnsi="Palatino Linotype" w:cs="Palatino Linotype"/>
          <w:i/>
        </w:rPr>
        <w:t>…”(</w:t>
      </w:r>
      <w:proofErr w:type="gramEnd"/>
      <w:r w:rsidRPr="00FF4B10">
        <w:rPr>
          <w:rFonts w:ascii="Palatino Linotype" w:eastAsia="Palatino Linotype" w:hAnsi="Palatino Linotype" w:cs="Palatino Linotype"/>
          <w:i/>
        </w:rPr>
        <w:t>Sic)</w:t>
      </w:r>
    </w:p>
    <w:p w14:paraId="21BED701" w14:textId="77777777" w:rsidR="00AE4E6B" w:rsidRPr="00FF4B10" w:rsidRDefault="00AE4E6B">
      <w:pPr>
        <w:pBdr>
          <w:top w:val="nil"/>
          <w:left w:val="nil"/>
          <w:bottom w:val="nil"/>
          <w:right w:val="nil"/>
          <w:between w:val="nil"/>
        </w:pBdr>
        <w:ind w:left="708" w:right="436"/>
        <w:jc w:val="both"/>
        <w:rPr>
          <w:rFonts w:ascii="Palatino Linotype" w:eastAsia="Palatino Linotype" w:hAnsi="Palatino Linotype" w:cs="Palatino Linotype"/>
          <w:i/>
        </w:rPr>
      </w:pPr>
    </w:p>
    <w:p w14:paraId="314B13EF"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Esto es el derecho de inscribir a favor de una persona la propiedad de un inmueble previamente inscrito o anotado a favor de otra persona, lo que se robustece con la siguiente tesis, que señala: </w:t>
      </w:r>
    </w:p>
    <w:p w14:paraId="2848981C" w14:textId="77777777" w:rsidR="00AE4E6B" w:rsidRPr="00FF4B10" w:rsidRDefault="00AE4E6B">
      <w:pPr>
        <w:spacing w:line="360" w:lineRule="auto"/>
        <w:jc w:val="both"/>
        <w:rPr>
          <w:rFonts w:ascii="Palatino Linotype" w:eastAsia="Palatino Linotype" w:hAnsi="Palatino Linotype" w:cs="Palatino Linotype"/>
        </w:rPr>
      </w:pPr>
    </w:p>
    <w:p w14:paraId="04002D50" w14:textId="77777777" w:rsidR="00AE4E6B" w:rsidRPr="00FF4B10" w:rsidRDefault="00786E08">
      <w:pPr>
        <w:pBdr>
          <w:top w:val="nil"/>
          <w:left w:val="nil"/>
          <w:bottom w:val="nil"/>
          <w:right w:val="nil"/>
          <w:between w:val="nil"/>
        </w:pBdr>
        <w:ind w:left="708" w:right="436"/>
        <w:jc w:val="both"/>
        <w:rPr>
          <w:rFonts w:ascii="Palatino Linotype" w:eastAsia="Palatino Linotype" w:hAnsi="Palatino Linotype" w:cs="Palatino Linotype"/>
          <w:i/>
        </w:rPr>
      </w:pPr>
      <w:r w:rsidRPr="00FF4B10">
        <w:rPr>
          <w:rFonts w:ascii="Palatino Linotype" w:eastAsia="Palatino Linotype" w:hAnsi="Palatino Linotype" w:cs="Palatino Linotype"/>
          <w:i/>
        </w:rPr>
        <w:t xml:space="preserve">“PRINCIPIOS DE FE PÚBLICA REGISTRAL Y DE TRACTO SUCESIVO, SU ESTRICTO CUMPLIMIENTO DA LUGAR A ESTIMAR QUE SE ADQUIERE EL INMUEBLE DE SU LEGÍTIMO DUEÑO, QUE EL </w:t>
      </w:r>
      <w:r w:rsidRPr="00FF4B10">
        <w:rPr>
          <w:rFonts w:ascii="Palatino Linotype" w:eastAsia="Palatino Linotype" w:hAnsi="Palatino Linotype" w:cs="Palatino Linotype"/>
          <w:i/>
        </w:rPr>
        <w:lastRenderedPageBreak/>
        <w:t>ASIENTO REGISTRAL SE REPUTE VERDADERO Y QUE SEA OPONIBLE A TERCEROS.</w:t>
      </w:r>
    </w:p>
    <w:p w14:paraId="15D6FFF3" w14:textId="77777777" w:rsidR="00AE4E6B" w:rsidRPr="00FF4B10" w:rsidRDefault="00AE4E6B">
      <w:pPr>
        <w:pBdr>
          <w:top w:val="nil"/>
          <w:left w:val="nil"/>
          <w:bottom w:val="nil"/>
          <w:right w:val="nil"/>
          <w:between w:val="nil"/>
        </w:pBdr>
        <w:ind w:left="708" w:right="436"/>
        <w:jc w:val="both"/>
        <w:rPr>
          <w:rFonts w:ascii="Palatino Linotype" w:eastAsia="Palatino Linotype" w:hAnsi="Palatino Linotype" w:cs="Palatino Linotype"/>
          <w:i/>
        </w:rPr>
      </w:pPr>
    </w:p>
    <w:p w14:paraId="7425D55B" w14:textId="77777777" w:rsidR="00AE4E6B" w:rsidRPr="00FF4B10" w:rsidRDefault="00786E08">
      <w:pPr>
        <w:pBdr>
          <w:top w:val="nil"/>
          <w:left w:val="nil"/>
          <w:bottom w:val="nil"/>
          <w:right w:val="nil"/>
          <w:between w:val="nil"/>
        </w:pBdr>
        <w:ind w:left="708" w:right="436"/>
        <w:jc w:val="both"/>
        <w:rPr>
          <w:rFonts w:ascii="Palatino Linotype" w:eastAsia="Palatino Linotype" w:hAnsi="Palatino Linotype" w:cs="Palatino Linotype"/>
          <w:i/>
        </w:rPr>
      </w:pPr>
      <w:r w:rsidRPr="00FF4B10">
        <w:rPr>
          <w:rFonts w:ascii="Palatino Linotype" w:eastAsia="Palatino Linotype" w:hAnsi="Palatino Linotype" w:cs="Palatino Linotype"/>
          <w:i/>
        </w:rPr>
        <w:t>Si bien es cierto que las inscripciones de los actos jurídicos en el Registro Público de la Propiedad tienen efectos declarativos, y no constitutivos, también lo es que excepcionalmente puede darse el caso de que la legitimidad en la adquisición no emane del título de propiedad del vendedor, sino de la fe pública registral, en caso de que un tercero de buena fe adquiera un bien inmueble a título oneroso de quien aparece como propietario en el Registro Público de la Propiedad, lo cual se explica ante la inseguridad jurídica que podría ocasionar dejar desamparado al tercero de buena fe que confió en las inscripciones que constan en el Registro Público de la Propiedad, después de revisar y de cerciorarse de la documentación e inscripciones correspondientes. Precisamente para evitar ese tipo de situaciones, es de suma importancia el cumplimiento estricto del principio de tracto sucesivo, que se refiere a la cadena o secuencia ininterrumpida que debe existir entre cada uno de los titulares de los derechos inscritos en el Registro Público de la Propiedad, el cual requiere de proporcionar los antecedentes registrales del inmueble que se pretende registrar, y tiene por objeto asegurar que el comprador de un bien inmueble lo adquiera de quien tiene el legítimo derecho, con la finalidad de que el asiento registral se repute verdadero y sea oponible a terceros.</w:t>
      </w:r>
    </w:p>
    <w:p w14:paraId="6A76FA38" w14:textId="77777777" w:rsidR="00AE4E6B" w:rsidRPr="00FF4B10" w:rsidRDefault="00AE4E6B">
      <w:pPr>
        <w:pBdr>
          <w:top w:val="nil"/>
          <w:left w:val="nil"/>
          <w:bottom w:val="nil"/>
          <w:right w:val="nil"/>
          <w:between w:val="nil"/>
        </w:pBdr>
        <w:ind w:left="708" w:right="436"/>
        <w:jc w:val="both"/>
        <w:rPr>
          <w:rFonts w:ascii="Palatino Linotype" w:eastAsia="Palatino Linotype" w:hAnsi="Palatino Linotype" w:cs="Palatino Linotype"/>
          <w:i/>
        </w:rPr>
      </w:pPr>
    </w:p>
    <w:p w14:paraId="716A216A" w14:textId="77777777" w:rsidR="00AE4E6B" w:rsidRPr="00FF4B10" w:rsidRDefault="00786E08">
      <w:pPr>
        <w:pBdr>
          <w:top w:val="nil"/>
          <w:left w:val="nil"/>
          <w:bottom w:val="nil"/>
          <w:right w:val="nil"/>
          <w:between w:val="nil"/>
        </w:pBdr>
        <w:ind w:left="708" w:right="436"/>
        <w:jc w:val="both"/>
        <w:rPr>
          <w:rFonts w:ascii="Palatino Linotype" w:eastAsia="Palatino Linotype" w:hAnsi="Palatino Linotype" w:cs="Palatino Linotype"/>
          <w:i/>
        </w:rPr>
      </w:pPr>
      <w:r w:rsidRPr="00FF4B10">
        <w:rPr>
          <w:rFonts w:ascii="Palatino Linotype" w:eastAsia="Palatino Linotype" w:hAnsi="Palatino Linotype" w:cs="Palatino Linotype"/>
          <w:i/>
        </w:rPr>
        <w:t>Amparo directo en revisión 1669/2011. Candelaria Leura Loredo. 30 de septiembre de 2011. Cinco votos. Ponente: Jorge Mario Pardo Rebolledo. Secretaria: Rosa María Rojas Vértiz Contreras.</w:t>
      </w:r>
    </w:p>
    <w:p w14:paraId="0F90CF01" w14:textId="77777777" w:rsidR="00AE4E6B" w:rsidRPr="00FF4B10" w:rsidRDefault="00AE4E6B">
      <w:pPr>
        <w:spacing w:line="360" w:lineRule="auto"/>
        <w:jc w:val="both"/>
        <w:rPr>
          <w:rFonts w:ascii="Palatino Linotype" w:eastAsia="Palatino Linotype" w:hAnsi="Palatino Linotype" w:cs="Palatino Linotype"/>
        </w:rPr>
      </w:pPr>
    </w:p>
    <w:p w14:paraId="416217A1"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Se entiende que es la persona que está realizando el procedimiento de registro catastral; es la legítima dueña del predio, que debió estar registrado previamente a nombre de la persona quien le otorgó dicho derecho a inscribir a su favor dicho predio,  por lo que, como ya se indicó el multicitado procedimiento es iniciado a instancia de la parte interesada y que es un trámite meramente personal del propietario del inmueble, lo cual de igual forma actualiza su confidencialidad, conforme a lo señalado en los párrafos anteriores, por contener información que hace </w:t>
      </w:r>
      <w:r w:rsidRPr="00FF4B10">
        <w:rPr>
          <w:rFonts w:ascii="Palatino Linotype" w:eastAsia="Palatino Linotype" w:hAnsi="Palatino Linotype" w:cs="Palatino Linotype"/>
        </w:rPr>
        <w:lastRenderedPageBreak/>
        <w:t xml:space="preserve">identificable a una persona y sobre la situación patrimonial, que son datos que deben ser protegidos por 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w:t>
      </w:r>
    </w:p>
    <w:p w14:paraId="6B315327" w14:textId="77777777" w:rsidR="00AE4E6B" w:rsidRPr="00FF4B10" w:rsidRDefault="00AE4E6B">
      <w:pPr>
        <w:spacing w:line="360" w:lineRule="auto"/>
        <w:jc w:val="both"/>
        <w:rPr>
          <w:rFonts w:ascii="Palatino Linotype" w:eastAsia="Palatino Linotype" w:hAnsi="Palatino Linotype" w:cs="Palatino Linotype"/>
        </w:rPr>
      </w:pPr>
    </w:p>
    <w:p w14:paraId="5E4FECF0" w14:textId="77777777" w:rsidR="00AE4E6B" w:rsidRPr="00FF4B10" w:rsidRDefault="00786E08">
      <w:pPr>
        <w:spacing w:line="360" w:lineRule="auto"/>
        <w:jc w:val="both"/>
        <w:rPr>
          <w:rFonts w:ascii="Palatino Linotype" w:eastAsia="Palatino Linotype" w:hAnsi="Palatino Linotype" w:cs="Palatino Linotype"/>
        </w:rPr>
      </w:pPr>
      <w:proofErr w:type="gramStart"/>
      <w:r w:rsidRPr="00FF4B10">
        <w:rPr>
          <w:rFonts w:ascii="Palatino Linotype" w:eastAsia="Palatino Linotype" w:hAnsi="Palatino Linotype" w:cs="Palatino Linotype"/>
        </w:rPr>
        <w:t>Finalmente</w:t>
      </w:r>
      <w:proofErr w:type="gramEnd"/>
      <w:r w:rsidRPr="00FF4B10">
        <w:rPr>
          <w:rFonts w:ascii="Palatino Linotype" w:eastAsia="Palatino Linotype" w:hAnsi="Palatino Linotype" w:cs="Palatino Linotype"/>
        </w:rPr>
        <w:t xml:space="preserve"> sobre </w:t>
      </w:r>
      <w:r w:rsidRPr="00FF4B10">
        <w:rPr>
          <w:rFonts w:ascii="Palatino Linotype" w:eastAsia="Palatino Linotype" w:hAnsi="Palatino Linotype" w:cs="Palatino Linotype"/>
          <w:b/>
          <w:u w:val="single"/>
        </w:rPr>
        <w:t>el informe del sistema de gestión catastral del Municipio de Huixquilucan, mostrando las medidas y colindancias del predio señalado en la solicitud</w:t>
      </w:r>
      <w:r w:rsidRPr="00FF4B10">
        <w:rPr>
          <w:rFonts w:ascii="Palatino Linotype" w:eastAsia="Palatino Linotype" w:hAnsi="Palatino Linotype" w:cs="Palatino Linotype"/>
        </w:rPr>
        <w:t>.</w:t>
      </w:r>
    </w:p>
    <w:p w14:paraId="3B419113" w14:textId="77777777" w:rsidR="00AE4E6B" w:rsidRPr="00FF4B10" w:rsidRDefault="00AE4E6B">
      <w:pPr>
        <w:spacing w:line="360" w:lineRule="auto"/>
        <w:jc w:val="both"/>
        <w:rPr>
          <w:rFonts w:ascii="Palatino Linotype" w:eastAsia="Palatino Linotype" w:hAnsi="Palatino Linotype" w:cs="Palatino Linotype"/>
        </w:rPr>
      </w:pPr>
    </w:p>
    <w:p w14:paraId="5D67503B"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Podemos definirlo como aquel informe que rinde la autoridad catastral, para hacer constar que dentro de sus registros se encuentra inscrito una propiedad, en donde se especifica los datos catastrales del mismo, tales como ubicación, dimensiones y colindancias</w:t>
      </w:r>
    </w:p>
    <w:p w14:paraId="5F7DC877" w14:textId="77777777" w:rsidR="00AE4E6B" w:rsidRPr="00FF4B10" w:rsidRDefault="00AE4E6B">
      <w:pPr>
        <w:spacing w:line="360" w:lineRule="auto"/>
        <w:jc w:val="both"/>
        <w:rPr>
          <w:rFonts w:ascii="Palatino Linotype" w:eastAsia="Palatino Linotype" w:hAnsi="Palatino Linotype" w:cs="Palatino Linotype"/>
        </w:rPr>
      </w:pPr>
    </w:p>
    <w:p w14:paraId="77805FAF"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que detalla la realidad física de una propiedad, en donde se especifican los datos catastrales (ubicación, dimensiones exactas, superficie, lindes, antecedentes, entre otros</w:t>
      </w:r>
      <w:r w:rsidRPr="00FF4B10">
        <w:rPr>
          <w:rFonts w:ascii="Arial" w:eastAsia="Arial" w:hAnsi="Arial" w:cs="Arial"/>
        </w:rPr>
        <w:t>)</w:t>
      </w:r>
    </w:p>
    <w:p w14:paraId="12E3B057"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 son datos que deben ser clasificados como confidenciales, dado que contienen información relativa a particulares que son propietarios o poseedores de un inmueble y dichos datos se encuentran estrechamente relacionados con el patrimonio, por lo que en este caso en particular prevalece la confidencialidad sobre el acceso a la información pública.</w:t>
      </w:r>
    </w:p>
    <w:p w14:paraId="43F0C582" w14:textId="77777777" w:rsidR="00AE4E6B" w:rsidRPr="00FF4B10" w:rsidRDefault="00AE4E6B">
      <w:pPr>
        <w:spacing w:line="360" w:lineRule="auto"/>
        <w:jc w:val="both"/>
        <w:rPr>
          <w:rFonts w:ascii="Palatino Linotype" w:eastAsia="Palatino Linotype" w:hAnsi="Palatino Linotype" w:cs="Palatino Linotype"/>
        </w:rPr>
      </w:pPr>
    </w:p>
    <w:p w14:paraId="06D5E625"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Con base a todo lo expuesto el procedimiento de registro catastral del predio descrito en la solicitud de acceso a la información pública, solicitado, actualizan el supuesto de confidencialidad establecido en el artículo 143, fracción I y III, de la Ley de </w:t>
      </w:r>
      <w:r w:rsidRPr="00FF4B10">
        <w:rPr>
          <w:rFonts w:ascii="Palatino Linotype" w:eastAsia="Palatino Linotype" w:hAnsi="Palatino Linotype" w:cs="Palatino Linotype"/>
        </w:rPr>
        <w:lastRenderedPageBreak/>
        <w:t>Transparencia y Acceso a la Información Pública del Estado de México y Municipios, por lo que el Sujeto Obligado a través de su Comité de Transparencia, deberá fundar y motivar la clasificación de la información, de conformidad con lo previsto en el artículo 49, fracciones II y VIII, 149 y de la Ley de Transparencia y Acceso a la Información Pública del Estado de México y Municipios, en relación con lo establecido en los Lineamientos Generales en materia de Clasificación y Desclasificación de la Información, así como para Elaboración de Versiones Públicas, que señalan al respecto lo siguiente:</w:t>
      </w:r>
    </w:p>
    <w:p w14:paraId="56EACBB8" w14:textId="77777777" w:rsidR="00AE4E6B" w:rsidRPr="00FF4B10" w:rsidRDefault="00AE4E6B">
      <w:pPr>
        <w:spacing w:line="360" w:lineRule="auto"/>
        <w:jc w:val="both"/>
        <w:rPr>
          <w:rFonts w:ascii="Palatino Linotype" w:eastAsia="Palatino Linotype" w:hAnsi="Palatino Linotype" w:cs="Palatino Linotype"/>
        </w:rPr>
      </w:pPr>
    </w:p>
    <w:p w14:paraId="0896271E" w14:textId="77777777" w:rsidR="00AE4E6B" w:rsidRPr="00FF4B10" w:rsidRDefault="00786E08">
      <w:pPr>
        <w:ind w:left="567" w:right="1043"/>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“Artículo 143. Para los efectos de esta Ley se considera información confidencial, la clasificada como tal, de manera permanente, por su naturaleza, cuando: I. Se refiera a la información privada y los datos personales concernientes a una persona física o jurídico colectiva identificada o identificable; </w:t>
      </w:r>
    </w:p>
    <w:p w14:paraId="03675224" w14:textId="77777777" w:rsidR="00AE4E6B" w:rsidRPr="00FF4B10" w:rsidRDefault="00786E08">
      <w:pPr>
        <w:ind w:left="567" w:right="1043"/>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w:t>
      </w:r>
    </w:p>
    <w:p w14:paraId="2DC6D0F2" w14:textId="77777777" w:rsidR="00AE4E6B" w:rsidRPr="00FF4B10" w:rsidRDefault="00786E08">
      <w:pPr>
        <w:ind w:left="567" w:right="1043"/>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3F4AB1A6" w14:textId="77777777" w:rsidR="00AE4E6B" w:rsidRPr="00FF4B10" w:rsidRDefault="00786E08">
      <w:pPr>
        <w:ind w:left="567" w:right="1043"/>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b/>
          <w:i/>
          <w:sz w:val="22"/>
          <w:szCs w:val="22"/>
        </w:rPr>
        <w:t>Artículo 49.</w:t>
      </w:r>
      <w:r w:rsidRPr="00FF4B10">
        <w:rPr>
          <w:rFonts w:ascii="Palatino Linotype" w:eastAsia="Palatino Linotype" w:hAnsi="Palatino Linotype" w:cs="Palatino Linotype"/>
          <w:i/>
          <w:sz w:val="22"/>
          <w:szCs w:val="22"/>
        </w:rPr>
        <w:t xml:space="preserve"> </w:t>
      </w:r>
      <w:r w:rsidRPr="00FF4B10">
        <w:rPr>
          <w:rFonts w:ascii="Palatino Linotype" w:eastAsia="Palatino Linotype" w:hAnsi="Palatino Linotype" w:cs="Palatino Linotype"/>
          <w:b/>
          <w:i/>
          <w:sz w:val="22"/>
          <w:szCs w:val="22"/>
        </w:rPr>
        <w:t>Los Comités de Transparencia</w:t>
      </w:r>
      <w:r w:rsidRPr="00FF4B10">
        <w:rPr>
          <w:rFonts w:ascii="Palatino Linotype" w:eastAsia="Palatino Linotype" w:hAnsi="Palatino Linotype" w:cs="Palatino Linotype"/>
          <w:i/>
          <w:sz w:val="22"/>
          <w:szCs w:val="22"/>
        </w:rPr>
        <w:t xml:space="preserve"> tendrán las siguientes atribuciones:</w:t>
      </w:r>
    </w:p>
    <w:p w14:paraId="2F8E1010" w14:textId="77777777" w:rsidR="00AE4E6B" w:rsidRPr="00FF4B10" w:rsidRDefault="00786E08">
      <w:pPr>
        <w:ind w:left="567" w:right="1043"/>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 xml:space="preserve">II. Confirmar, modificar o revocar las determinaciones </w:t>
      </w:r>
      <w:proofErr w:type="gramStart"/>
      <w:r w:rsidRPr="00FF4B10">
        <w:rPr>
          <w:rFonts w:ascii="Palatino Linotype" w:eastAsia="Palatino Linotype" w:hAnsi="Palatino Linotype" w:cs="Palatino Linotype"/>
          <w:i/>
          <w:sz w:val="22"/>
          <w:szCs w:val="22"/>
        </w:rPr>
        <w:t>que</w:t>
      </w:r>
      <w:proofErr w:type="gramEnd"/>
      <w:r w:rsidRPr="00FF4B10">
        <w:rPr>
          <w:rFonts w:ascii="Palatino Linotype" w:eastAsia="Palatino Linotype" w:hAnsi="Palatino Linotype" w:cs="Palatino Linotype"/>
          <w:i/>
          <w:sz w:val="22"/>
          <w:szCs w:val="22"/>
        </w:rPr>
        <w:t xml:space="preserve"> en materia de ampliación del plazo de respuesta, clasificación de la información y declaración de inexistencia o de incompetencia realicen los titulares de las áreas de los sujetos obligados;</w:t>
      </w:r>
    </w:p>
    <w:p w14:paraId="780AF8B8" w14:textId="77777777" w:rsidR="00AE4E6B" w:rsidRPr="00FF4B10" w:rsidRDefault="00786E08">
      <w:pPr>
        <w:ind w:left="567" w:right="1043"/>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b/>
          <w:i/>
          <w:sz w:val="22"/>
          <w:szCs w:val="22"/>
        </w:rPr>
        <w:t>VIII. Aprobar, modificar o revocar la clasificación de la información</w:t>
      </w:r>
      <w:r w:rsidRPr="00FF4B10">
        <w:rPr>
          <w:rFonts w:ascii="Palatino Linotype" w:eastAsia="Palatino Linotype" w:hAnsi="Palatino Linotype" w:cs="Palatino Linotype"/>
          <w:i/>
          <w:sz w:val="22"/>
          <w:szCs w:val="22"/>
        </w:rPr>
        <w:t>…”</w:t>
      </w:r>
    </w:p>
    <w:p w14:paraId="57F4B2EA" w14:textId="77777777" w:rsidR="00AE4E6B" w:rsidRPr="00FF4B10" w:rsidRDefault="00786E08">
      <w:pPr>
        <w:spacing w:after="240"/>
        <w:ind w:left="567" w:right="1041"/>
        <w:jc w:val="both"/>
        <w:rPr>
          <w:rFonts w:ascii="Palatino Linotype" w:eastAsia="Palatino Linotype" w:hAnsi="Palatino Linotype" w:cs="Palatino Linotype"/>
          <w:b/>
          <w:i/>
          <w:sz w:val="22"/>
          <w:szCs w:val="22"/>
        </w:rPr>
      </w:pPr>
      <w:r w:rsidRPr="00FF4B10">
        <w:rPr>
          <w:rFonts w:ascii="Palatino Linotype" w:eastAsia="Palatino Linotype" w:hAnsi="Palatino Linotype" w:cs="Palatino Linotype"/>
          <w:b/>
          <w:i/>
          <w:sz w:val="22"/>
          <w:szCs w:val="22"/>
        </w:rPr>
        <w:t>…</w:t>
      </w:r>
    </w:p>
    <w:p w14:paraId="61808F73" w14:textId="77777777" w:rsidR="00AE4E6B" w:rsidRPr="00FF4B10" w:rsidRDefault="00786E08">
      <w:pPr>
        <w:spacing w:after="240"/>
        <w:ind w:left="567" w:right="104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b/>
          <w:i/>
          <w:sz w:val="22"/>
          <w:szCs w:val="22"/>
        </w:rPr>
        <w:t>Artículo 149.</w:t>
      </w:r>
      <w:r w:rsidRPr="00FF4B10">
        <w:rPr>
          <w:rFonts w:ascii="Palatino Linotype" w:eastAsia="Palatino Linotype" w:hAnsi="Palatino Linotype" w:cs="Palatino Linotype"/>
          <w:i/>
          <w:sz w:val="22"/>
          <w:szCs w:val="22"/>
        </w:rPr>
        <w:t xml:space="preserve"> El </w:t>
      </w:r>
      <w:r w:rsidRPr="00FF4B10">
        <w:rPr>
          <w:rFonts w:ascii="Palatino Linotype" w:eastAsia="Palatino Linotype" w:hAnsi="Palatino Linotype" w:cs="Palatino Linotype"/>
          <w:b/>
          <w:i/>
          <w:sz w:val="22"/>
          <w:szCs w:val="22"/>
        </w:rPr>
        <w:t>acuerdo que clasifique la información como confidencial</w:t>
      </w:r>
      <w:r w:rsidRPr="00FF4B10">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1C0C23D1" w14:textId="77777777" w:rsidR="00AE4E6B" w:rsidRPr="00FF4B10" w:rsidRDefault="00786E08">
      <w:pPr>
        <w:spacing w:after="240"/>
        <w:ind w:left="567" w:right="1041"/>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b/>
          <w:i/>
          <w:sz w:val="22"/>
          <w:szCs w:val="22"/>
        </w:rPr>
        <w:t>…</w:t>
      </w:r>
    </w:p>
    <w:p w14:paraId="18C6D821" w14:textId="77777777" w:rsidR="00AE4E6B" w:rsidRPr="00FF4B10" w:rsidRDefault="00786E08">
      <w:pPr>
        <w:pBdr>
          <w:top w:val="nil"/>
          <w:left w:val="nil"/>
          <w:bottom w:val="nil"/>
          <w:right w:val="nil"/>
          <w:between w:val="nil"/>
        </w:pBdr>
        <w:ind w:left="567"/>
        <w:jc w:val="both"/>
      </w:pPr>
      <w:r w:rsidRPr="00FF4B10">
        <w:rPr>
          <w:rFonts w:ascii="Palatino Linotype" w:eastAsia="Palatino Linotype" w:hAnsi="Palatino Linotype" w:cs="Palatino Linotype"/>
          <w:i/>
          <w:sz w:val="22"/>
          <w:szCs w:val="22"/>
        </w:rPr>
        <w:t>CAPÍTULO VIII </w:t>
      </w:r>
    </w:p>
    <w:p w14:paraId="1F5E1D3E" w14:textId="77777777" w:rsidR="00AE4E6B" w:rsidRPr="00FF4B10" w:rsidRDefault="00786E08">
      <w:pPr>
        <w:pBdr>
          <w:top w:val="nil"/>
          <w:left w:val="nil"/>
          <w:bottom w:val="nil"/>
          <w:right w:val="nil"/>
          <w:between w:val="nil"/>
        </w:pBdr>
        <w:ind w:left="567"/>
        <w:jc w:val="both"/>
      </w:pPr>
      <w:r w:rsidRPr="00FF4B10">
        <w:rPr>
          <w:rFonts w:ascii="Palatino Linotype" w:eastAsia="Palatino Linotype" w:hAnsi="Palatino Linotype" w:cs="Palatino Linotype"/>
          <w:i/>
          <w:sz w:val="22"/>
          <w:szCs w:val="22"/>
        </w:rPr>
        <w:t>DE LOS ELEMENTOS PARA LA CLASIFICACIÓN </w:t>
      </w:r>
    </w:p>
    <w:p w14:paraId="7894904A"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b/>
          <w:i/>
          <w:sz w:val="22"/>
          <w:szCs w:val="22"/>
        </w:rPr>
        <w:t>Quincuagésimo.</w:t>
      </w:r>
      <w:r w:rsidRPr="00FF4B10">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w:t>
      </w:r>
      <w:r w:rsidRPr="00FF4B10">
        <w:rPr>
          <w:rFonts w:ascii="Palatino Linotype" w:eastAsia="Palatino Linotype" w:hAnsi="Palatino Linotype" w:cs="Palatino Linotype"/>
          <w:i/>
          <w:sz w:val="22"/>
          <w:szCs w:val="22"/>
        </w:rPr>
        <w:lastRenderedPageBreak/>
        <w:t>documentos o expedientes, siempre y cuando cumplan lo establecido en los presentes Lineamientos, así como en las correspondientes Leyes Generales. </w:t>
      </w:r>
    </w:p>
    <w:p w14:paraId="76704CA2"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b/>
          <w:i/>
          <w:sz w:val="22"/>
          <w:szCs w:val="22"/>
        </w:rPr>
        <w:t>Quincuagésimo primero.</w:t>
      </w:r>
      <w:r w:rsidRPr="00FF4B10">
        <w:rPr>
          <w:rFonts w:ascii="Palatino Linotype" w:eastAsia="Palatino Linotype" w:hAnsi="Palatino Linotype" w:cs="Palatino Linotype"/>
          <w:i/>
          <w:sz w:val="22"/>
          <w:szCs w:val="22"/>
        </w:rPr>
        <w:t xml:space="preserve"> Toda acta del Comité de Transparencia deberá contener: </w:t>
      </w:r>
    </w:p>
    <w:p w14:paraId="4D38D677" w14:textId="77777777" w:rsidR="00AE4E6B" w:rsidRPr="00FF4B10" w:rsidRDefault="00786E08">
      <w:pPr>
        <w:numPr>
          <w:ilvl w:val="0"/>
          <w:numId w:val="6"/>
        </w:numPr>
        <w:pBdr>
          <w:top w:val="nil"/>
          <w:left w:val="nil"/>
          <w:bottom w:val="nil"/>
          <w:right w:val="nil"/>
          <w:between w:val="nil"/>
        </w:pBdr>
        <w:ind w:left="567" w:right="900"/>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El número de sesión y fecha; </w:t>
      </w:r>
    </w:p>
    <w:p w14:paraId="18887790" w14:textId="77777777" w:rsidR="00AE4E6B" w:rsidRPr="00FF4B10" w:rsidRDefault="00786E08">
      <w:pPr>
        <w:numPr>
          <w:ilvl w:val="0"/>
          <w:numId w:val="6"/>
        </w:numPr>
        <w:pBdr>
          <w:top w:val="nil"/>
          <w:left w:val="nil"/>
          <w:bottom w:val="nil"/>
          <w:right w:val="nil"/>
          <w:between w:val="nil"/>
        </w:pBdr>
        <w:ind w:left="709" w:right="900"/>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El nombre del área que solicitó la clasificación de información; </w:t>
      </w:r>
    </w:p>
    <w:p w14:paraId="465F8B1B" w14:textId="77777777" w:rsidR="00AE4E6B" w:rsidRPr="00FF4B10" w:rsidRDefault="00786E08">
      <w:pPr>
        <w:numPr>
          <w:ilvl w:val="0"/>
          <w:numId w:val="6"/>
        </w:numPr>
        <w:pBdr>
          <w:top w:val="nil"/>
          <w:left w:val="nil"/>
          <w:bottom w:val="nil"/>
          <w:right w:val="nil"/>
          <w:between w:val="nil"/>
        </w:pBdr>
        <w:ind w:left="709" w:right="900"/>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La fundamentación legal y motivación correspondiente; </w:t>
      </w:r>
    </w:p>
    <w:p w14:paraId="5A6862B3" w14:textId="77777777" w:rsidR="00AE4E6B" w:rsidRPr="00FF4B10" w:rsidRDefault="00786E08">
      <w:pPr>
        <w:numPr>
          <w:ilvl w:val="0"/>
          <w:numId w:val="6"/>
        </w:numPr>
        <w:pBdr>
          <w:top w:val="nil"/>
          <w:left w:val="nil"/>
          <w:bottom w:val="nil"/>
          <w:right w:val="nil"/>
          <w:between w:val="nil"/>
        </w:pBdr>
        <w:ind w:left="709" w:right="900"/>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La resolución o resoluciones aprobadas; y </w:t>
      </w:r>
    </w:p>
    <w:p w14:paraId="719F4956" w14:textId="77777777" w:rsidR="00AE4E6B" w:rsidRPr="00FF4B10" w:rsidRDefault="00786E08">
      <w:pPr>
        <w:numPr>
          <w:ilvl w:val="0"/>
          <w:numId w:val="6"/>
        </w:numPr>
        <w:pBdr>
          <w:top w:val="nil"/>
          <w:left w:val="nil"/>
          <w:bottom w:val="nil"/>
          <w:right w:val="nil"/>
          <w:between w:val="nil"/>
        </w:pBdr>
        <w:ind w:left="709" w:right="900"/>
        <w:jc w:val="both"/>
        <w:rPr>
          <w:rFonts w:ascii="Palatino Linotype" w:eastAsia="Palatino Linotype" w:hAnsi="Palatino Linotype" w:cs="Palatino Linotype"/>
          <w:i/>
          <w:sz w:val="22"/>
          <w:szCs w:val="22"/>
        </w:rPr>
      </w:pPr>
      <w:r w:rsidRPr="00FF4B10">
        <w:rPr>
          <w:rFonts w:ascii="Palatino Linotype" w:eastAsia="Palatino Linotype" w:hAnsi="Palatino Linotype" w:cs="Palatino Linotype"/>
          <w:i/>
          <w:sz w:val="22"/>
          <w:szCs w:val="22"/>
        </w:rPr>
        <w:t>La rúbrica o firma digital de cada integrante del Comité de Transparencia. </w:t>
      </w:r>
    </w:p>
    <w:p w14:paraId="06CD600E"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 </w:t>
      </w:r>
    </w:p>
    <w:p w14:paraId="0FEABDA6"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I. Los motivos y razonamientos que sustenten la confirmación o modificación de la prueba de daño;</w:t>
      </w:r>
    </w:p>
    <w:p w14:paraId="3B7A4480"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II. Descripción de las partes o secciones reservadas, en caso de clasificación parcial; </w:t>
      </w:r>
    </w:p>
    <w:p w14:paraId="5CA2A902"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III. El periodo por el que mantendrá su clasificación y fecha de expiración; y </w:t>
      </w:r>
    </w:p>
    <w:p w14:paraId="673A88A4"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IV. El nombre del titular y área encargada de realizar la versión pública del documento, en su caso. </w:t>
      </w:r>
    </w:p>
    <w:p w14:paraId="4B98F064"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En los casos en que se clasifique la información como reservada siempre se entregará o anexará la prueba de daño con la respuesta al solicitante. </w:t>
      </w:r>
    </w:p>
    <w:p w14:paraId="454B0CFC"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B3E0586"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b/>
          <w:i/>
          <w:sz w:val="22"/>
          <w:szCs w:val="22"/>
        </w:rPr>
        <w:t xml:space="preserve">Quincuagésimo segundo. </w:t>
      </w:r>
      <w:r w:rsidRPr="00FF4B10">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566C7B0"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30774E5"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I. Fijar la fecha en que se elaboró la versión pública y la fecha en la cual el Comité de</w:t>
      </w:r>
    </w:p>
    <w:p w14:paraId="201C3362"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Transparencia confirmó dicha versión;</w:t>
      </w:r>
    </w:p>
    <w:p w14:paraId="74EC074C"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1DE0E081"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III. Señalar las personas o instancias autorizadas a acceder a la información clasificada.</w:t>
      </w:r>
    </w:p>
    <w:p w14:paraId="57116BEF"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FF4B10">
        <w:rPr>
          <w:rFonts w:ascii="Palatino Linotype" w:eastAsia="Palatino Linotype" w:hAnsi="Palatino Linotype" w:cs="Palatino Linotype"/>
          <w:i/>
          <w:sz w:val="22"/>
          <w:szCs w:val="22"/>
        </w:rPr>
        <w:lastRenderedPageBreak/>
        <w:t>información confidencial.</w:t>
      </w:r>
      <w:r w:rsidRPr="00FF4B10">
        <w:rPr>
          <w:noProof/>
          <w:lang w:val="es-MX"/>
        </w:rPr>
        <w:drawing>
          <wp:inline distT="0" distB="0" distL="0" distR="0" wp14:anchorId="6EBF1DD2" wp14:editId="34E7E625">
            <wp:extent cx="4572000" cy="333375"/>
            <wp:effectExtent l="0" t="0" r="0" b="0"/>
            <wp:docPr id="18" name="image5.png" descr="https://lh7-us.googleusercontent.com/x2KxGI00GIuoGHm0-k8A_D36shelZSvaPv4SGpYOxjCadbNECapazkNcs2qCvhe5kZcShJeQZdYnXCj6sSenAytb3xlznHvWMZzr7t08QK2hM0Tfl7Z2h4WZvxxJrXf7Oi3sfPv_3J2ao7ERJkE_zhXT1puoGZo4JJeI6q_YPejHOFlbhtPl7K6ewKe5WQI"/>
            <wp:cNvGraphicFramePr/>
            <a:graphic xmlns:a="http://schemas.openxmlformats.org/drawingml/2006/main">
              <a:graphicData uri="http://schemas.openxmlformats.org/drawingml/2006/picture">
                <pic:pic xmlns:pic="http://schemas.openxmlformats.org/drawingml/2006/picture">
                  <pic:nvPicPr>
                    <pic:cNvPr id="0" name="image5.png" descr="https://lh7-us.googleusercontent.com/x2KxGI00GIuoGHm0-k8A_D36shelZSvaPv4SGpYOxjCadbNECapazkNcs2qCvhe5kZcShJeQZdYnXCj6sSenAytb3xlznHvWMZzr7t08QK2hM0Tfl7Z2h4WZvxxJrXf7Oi3sfPv_3J2ao7ERJkE_zhXT1puoGZo4JJeI6q_YPejHOFlbhtPl7K6ewKe5WQI"/>
                    <pic:cNvPicPr preferRelativeResize="0"/>
                  </pic:nvPicPr>
                  <pic:blipFill>
                    <a:blip r:embed="rId17"/>
                    <a:srcRect/>
                    <a:stretch>
                      <a:fillRect/>
                    </a:stretch>
                  </pic:blipFill>
                  <pic:spPr>
                    <a:xfrm>
                      <a:off x="0" y="0"/>
                      <a:ext cx="4572000" cy="333375"/>
                    </a:xfrm>
                    <a:prstGeom prst="rect">
                      <a:avLst/>
                    </a:prstGeom>
                    <a:ln/>
                  </pic:spPr>
                </pic:pic>
              </a:graphicData>
            </a:graphic>
          </wp:inline>
        </w:drawing>
      </w:r>
    </w:p>
    <w:p w14:paraId="52669D12"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b/>
          <w:i/>
          <w:noProof/>
          <w:sz w:val="22"/>
          <w:szCs w:val="22"/>
          <w:lang w:val="es-MX"/>
        </w:rPr>
        <w:drawing>
          <wp:inline distT="0" distB="0" distL="0" distR="0" wp14:anchorId="3F74DFCD" wp14:editId="01BA8475">
            <wp:extent cx="4572000" cy="2622550"/>
            <wp:effectExtent l="0" t="0" r="0" b="0"/>
            <wp:docPr id="17" name="image3.png" descr="https://lh7-us.googleusercontent.com/b5CW5RuXjKEFeo9wU2nLWT8yi_YPQ5Yu4P4459dMP8x9er3j7xqWpLiCwfw_20yFZpsXEvdOEYkCsCEPmMNmeeVJXhujZYN3HNZEcJq3GvaILgZCsbYWEka1fACo6NhExzH9MJZsYbMOs7ewcdxiZF-S2srv6-_hX-I0ExslkcK-SN7ISy9goygpAhwFQK8"/>
            <wp:cNvGraphicFramePr/>
            <a:graphic xmlns:a="http://schemas.openxmlformats.org/drawingml/2006/main">
              <a:graphicData uri="http://schemas.openxmlformats.org/drawingml/2006/picture">
                <pic:pic xmlns:pic="http://schemas.openxmlformats.org/drawingml/2006/picture">
                  <pic:nvPicPr>
                    <pic:cNvPr id="0" name="image3.png" descr="https://lh7-us.googleusercontent.com/b5CW5RuXjKEFeo9wU2nLWT8yi_YPQ5Yu4P4459dMP8x9er3j7xqWpLiCwfw_20yFZpsXEvdOEYkCsCEPmMNmeeVJXhujZYN3HNZEcJq3GvaILgZCsbYWEka1fACo6NhExzH9MJZsYbMOs7ewcdxiZF-S2srv6-_hX-I0ExslkcK-SN7ISy9goygpAhwFQK8"/>
                    <pic:cNvPicPr preferRelativeResize="0"/>
                  </pic:nvPicPr>
                  <pic:blipFill>
                    <a:blip r:embed="rId18"/>
                    <a:srcRect/>
                    <a:stretch>
                      <a:fillRect/>
                    </a:stretch>
                  </pic:blipFill>
                  <pic:spPr>
                    <a:xfrm>
                      <a:off x="0" y="0"/>
                      <a:ext cx="4572000" cy="2622550"/>
                    </a:xfrm>
                    <a:prstGeom prst="rect">
                      <a:avLst/>
                    </a:prstGeom>
                    <a:ln/>
                  </pic:spPr>
                </pic:pic>
              </a:graphicData>
            </a:graphic>
          </wp:inline>
        </w:drawing>
      </w:r>
    </w:p>
    <w:p w14:paraId="45A48EEF"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b/>
          <w:i/>
          <w:sz w:val="22"/>
          <w:szCs w:val="22"/>
        </w:rPr>
        <w:t xml:space="preserve">Quincuagésimo cuarto. </w:t>
      </w:r>
      <w:r w:rsidRPr="00FF4B10">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550C4708" w14:textId="77777777" w:rsidR="00AE4E6B" w:rsidRPr="00FF4B10" w:rsidRDefault="00AE4E6B"/>
    <w:p w14:paraId="530DE070" w14:textId="77777777" w:rsidR="00AE4E6B" w:rsidRPr="00FF4B10" w:rsidRDefault="00786E08">
      <w:pPr>
        <w:pBdr>
          <w:top w:val="nil"/>
          <w:left w:val="nil"/>
          <w:bottom w:val="nil"/>
          <w:right w:val="nil"/>
          <w:between w:val="nil"/>
        </w:pBdr>
        <w:ind w:left="567" w:right="900"/>
        <w:jc w:val="both"/>
      </w:pPr>
      <w:r w:rsidRPr="00FF4B10">
        <w:rPr>
          <w:rFonts w:ascii="Palatino Linotype" w:eastAsia="Palatino Linotype" w:hAnsi="Palatino Linotype" w:cs="Palatino Linotype"/>
          <w:b/>
          <w:i/>
          <w:sz w:val="22"/>
          <w:szCs w:val="22"/>
        </w:rPr>
        <w:t xml:space="preserve">Quincuagésimo quinto. </w:t>
      </w:r>
      <w:r w:rsidRPr="00FF4B10">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FF4B10">
        <w:rPr>
          <w:rFonts w:ascii="Palatino Linotype" w:eastAsia="Palatino Linotype" w:hAnsi="Palatino Linotype" w:cs="Palatino Linotype"/>
          <w:i/>
          <w:sz w:val="22"/>
          <w:szCs w:val="22"/>
        </w:rPr>
        <w:t>testado</w:t>
      </w:r>
      <w:proofErr w:type="spellEnd"/>
      <w:r w:rsidRPr="00FF4B10">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5667FD0E" w14:textId="77777777" w:rsidR="00AE4E6B" w:rsidRPr="00FF4B10" w:rsidRDefault="00AE4E6B">
      <w:pPr>
        <w:spacing w:line="360" w:lineRule="auto"/>
        <w:jc w:val="both"/>
        <w:rPr>
          <w:rFonts w:ascii="Palatino Linotype" w:eastAsia="Palatino Linotype" w:hAnsi="Palatino Linotype" w:cs="Palatino Linotype"/>
        </w:rPr>
      </w:pPr>
    </w:p>
    <w:p w14:paraId="6E63F027" w14:textId="77777777" w:rsidR="00AE4E6B" w:rsidRPr="00FF4B10" w:rsidRDefault="00786E08">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B0101DB" w14:textId="77777777" w:rsidR="00AE4E6B" w:rsidRPr="00FF4B10" w:rsidRDefault="00786E08">
      <w:pPr>
        <w:widowControl w:val="0"/>
        <w:spacing w:line="360" w:lineRule="auto"/>
        <w:jc w:val="center"/>
        <w:rPr>
          <w:rFonts w:ascii="Palatino Linotype" w:eastAsia="Palatino Linotype" w:hAnsi="Palatino Linotype" w:cs="Palatino Linotype"/>
          <w:b/>
        </w:rPr>
      </w:pPr>
      <w:r w:rsidRPr="00FF4B10">
        <w:rPr>
          <w:rFonts w:ascii="Palatino Linotype" w:eastAsia="Palatino Linotype" w:hAnsi="Palatino Linotype" w:cs="Palatino Linotype"/>
          <w:b/>
        </w:rPr>
        <w:lastRenderedPageBreak/>
        <w:t>III. R E S U E L V E:</w:t>
      </w:r>
    </w:p>
    <w:p w14:paraId="40B0E16F" w14:textId="77777777" w:rsidR="00AE4E6B" w:rsidRPr="00FF4B10" w:rsidRDefault="00AE4E6B">
      <w:pPr>
        <w:spacing w:line="360" w:lineRule="auto"/>
        <w:jc w:val="both"/>
        <w:rPr>
          <w:rFonts w:ascii="Palatino Linotype" w:eastAsia="Palatino Linotype" w:hAnsi="Palatino Linotype" w:cs="Palatino Linotype"/>
          <w:b/>
          <w:u w:val="single"/>
        </w:rPr>
      </w:pPr>
    </w:p>
    <w:p w14:paraId="5CC545F9"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 xml:space="preserve">PRIMERO. </w:t>
      </w:r>
      <w:r w:rsidRPr="00FF4B10">
        <w:rPr>
          <w:rFonts w:ascii="Palatino Linotype" w:eastAsia="Palatino Linotype" w:hAnsi="Palatino Linotype" w:cs="Palatino Linotype"/>
        </w:rPr>
        <w:t>Se</w:t>
      </w:r>
      <w:r w:rsidRPr="00FF4B10">
        <w:t xml:space="preserve"> </w:t>
      </w:r>
      <w:r w:rsidRPr="00FF4B10">
        <w:rPr>
          <w:rFonts w:ascii="Palatino Linotype" w:eastAsia="Palatino Linotype" w:hAnsi="Palatino Linotype" w:cs="Palatino Linotype"/>
          <w:b/>
        </w:rPr>
        <w:t xml:space="preserve">MODIFICA </w:t>
      </w:r>
      <w:r w:rsidRPr="00FF4B10">
        <w:rPr>
          <w:rFonts w:ascii="Palatino Linotype" w:eastAsia="Palatino Linotype" w:hAnsi="Palatino Linotype" w:cs="Palatino Linotype"/>
        </w:rPr>
        <w:t xml:space="preserve">la respuesta entregada por </w:t>
      </w:r>
      <w:r w:rsidRPr="00FF4B10">
        <w:rPr>
          <w:rFonts w:ascii="Palatino Linotype" w:eastAsia="Palatino Linotype" w:hAnsi="Palatino Linotype" w:cs="Palatino Linotype"/>
          <w:b/>
        </w:rPr>
        <w:t xml:space="preserve">EL SUJETO OBLIGADO </w:t>
      </w:r>
      <w:r w:rsidRPr="00FF4B10">
        <w:rPr>
          <w:rFonts w:ascii="Palatino Linotype" w:eastAsia="Palatino Linotype" w:hAnsi="Palatino Linotype" w:cs="Palatino Linotype"/>
        </w:rPr>
        <w:t xml:space="preserve">a la solicitud de información </w:t>
      </w:r>
      <w:r w:rsidRPr="00FF4B10">
        <w:rPr>
          <w:rFonts w:ascii="Palatino Linotype" w:eastAsia="Palatino Linotype" w:hAnsi="Palatino Linotype" w:cs="Palatino Linotype"/>
          <w:b/>
        </w:rPr>
        <w:t xml:space="preserve">00135/HUIXQUIL/IP/2023, </w:t>
      </w:r>
      <w:r w:rsidRPr="00FF4B10">
        <w:rPr>
          <w:rFonts w:ascii="Palatino Linotype" w:eastAsia="Palatino Linotype" w:hAnsi="Palatino Linotype" w:cs="Palatino Linotype"/>
        </w:rPr>
        <w:t xml:space="preserve">por resultar parcialmente fundadas las razones o motivos de inconformidad hechos valer por </w:t>
      </w:r>
      <w:r w:rsidRPr="00FF4B10">
        <w:rPr>
          <w:rFonts w:ascii="Palatino Linotype" w:eastAsia="Palatino Linotype" w:hAnsi="Palatino Linotype" w:cs="Palatino Linotype"/>
          <w:b/>
        </w:rPr>
        <w:t xml:space="preserve">la parte RECURRENTE, </w:t>
      </w:r>
      <w:r w:rsidRPr="00FF4B10">
        <w:rPr>
          <w:rFonts w:ascii="Palatino Linotype" w:eastAsia="Palatino Linotype" w:hAnsi="Palatino Linotype" w:cs="Palatino Linotype"/>
        </w:rPr>
        <w:t xml:space="preserve">en el recurso de revisión </w:t>
      </w:r>
      <w:r w:rsidRPr="00FF4B10">
        <w:rPr>
          <w:rFonts w:ascii="Palatino Linotype" w:eastAsia="Palatino Linotype" w:hAnsi="Palatino Linotype" w:cs="Palatino Linotype"/>
          <w:b/>
        </w:rPr>
        <w:t>02784/INFOEM/IP/RR/2023,</w:t>
      </w:r>
      <w:r w:rsidRPr="00FF4B10">
        <w:rPr>
          <w:rFonts w:ascii="Palatino Linotype" w:eastAsia="Palatino Linotype" w:hAnsi="Palatino Linotype" w:cs="Palatino Linotype"/>
        </w:rPr>
        <w:t xml:space="preserve"> en términos del considerando </w:t>
      </w:r>
      <w:r w:rsidRPr="00FF4B10">
        <w:rPr>
          <w:rFonts w:ascii="Palatino Linotype" w:eastAsia="Palatino Linotype" w:hAnsi="Palatino Linotype" w:cs="Palatino Linotype"/>
          <w:b/>
        </w:rPr>
        <w:t>Cuarto</w:t>
      </w:r>
      <w:r w:rsidRPr="00FF4B10">
        <w:rPr>
          <w:rFonts w:ascii="Palatino Linotype" w:eastAsia="Palatino Linotype" w:hAnsi="Palatino Linotype" w:cs="Palatino Linotype"/>
        </w:rPr>
        <w:t xml:space="preserve"> de la presente Resolución.</w:t>
      </w:r>
    </w:p>
    <w:p w14:paraId="171A5BD1" w14:textId="77777777" w:rsidR="00AE4E6B" w:rsidRPr="00FF4B10" w:rsidRDefault="00AE4E6B">
      <w:pPr>
        <w:spacing w:line="360" w:lineRule="auto"/>
        <w:jc w:val="both"/>
        <w:rPr>
          <w:rFonts w:ascii="Palatino Linotype" w:eastAsia="Palatino Linotype" w:hAnsi="Palatino Linotype" w:cs="Palatino Linotype"/>
        </w:rPr>
      </w:pPr>
    </w:p>
    <w:p w14:paraId="69412C27" w14:textId="77777777" w:rsidR="00AE4E6B" w:rsidRPr="00FF4B10" w:rsidRDefault="00786E08">
      <w:pPr>
        <w:pBdr>
          <w:top w:val="nil"/>
          <w:left w:val="nil"/>
          <w:bottom w:val="nil"/>
          <w:right w:val="nil"/>
          <w:between w:val="nil"/>
        </w:pBd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 xml:space="preserve">SEGUNDO. </w:t>
      </w:r>
      <w:r w:rsidRPr="00FF4B10">
        <w:rPr>
          <w:rFonts w:ascii="Palatino Linotype" w:eastAsia="Palatino Linotype" w:hAnsi="Palatino Linotype" w:cs="Palatino Linotype"/>
        </w:rPr>
        <w:t>Se</w:t>
      </w:r>
      <w:r w:rsidRPr="00FF4B10">
        <w:rPr>
          <w:rFonts w:ascii="Palatino Linotype" w:eastAsia="Palatino Linotype" w:hAnsi="Palatino Linotype" w:cs="Palatino Linotype"/>
          <w:b/>
        </w:rPr>
        <w:t xml:space="preserve"> ORDENA </w:t>
      </w:r>
      <w:r w:rsidRPr="00FF4B10">
        <w:rPr>
          <w:rFonts w:ascii="Palatino Linotype" w:eastAsia="Palatino Linotype" w:hAnsi="Palatino Linotype" w:cs="Palatino Linotype"/>
        </w:rPr>
        <w:t xml:space="preserve">al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a que,</w:t>
      </w:r>
      <w:r w:rsidRPr="00FF4B10">
        <w:rPr>
          <w:rFonts w:ascii="Palatino Linotype" w:eastAsia="Palatino Linotype" w:hAnsi="Palatino Linotype" w:cs="Palatino Linotype"/>
          <w:b/>
        </w:rPr>
        <w:t xml:space="preserve"> </w:t>
      </w:r>
      <w:r w:rsidRPr="00FF4B10">
        <w:rPr>
          <w:rFonts w:ascii="Palatino Linotype" w:eastAsia="Palatino Linotype" w:hAnsi="Palatino Linotype" w:cs="Palatino Linotype"/>
        </w:rPr>
        <w:t>en términos del Considerando Cuarto, haga entrega vía Sistema de Acceso a la Información Mexiquense (SAIMEX), de lo siguiente:</w:t>
      </w:r>
    </w:p>
    <w:p w14:paraId="0447BC19" w14:textId="77777777" w:rsidR="00AE4E6B" w:rsidRPr="00FF4B10" w:rsidRDefault="00AE4E6B">
      <w:pPr>
        <w:spacing w:line="360" w:lineRule="auto"/>
        <w:ind w:right="49"/>
        <w:jc w:val="both"/>
        <w:rPr>
          <w:rFonts w:ascii="Palatino Linotype" w:eastAsia="Palatino Linotype" w:hAnsi="Palatino Linotype" w:cs="Palatino Linotype"/>
        </w:rPr>
      </w:pPr>
    </w:p>
    <w:p w14:paraId="4F07BC16" w14:textId="77777777" w:rsidR="00AE4E6B" w:rsidRPr="00FF4B10" w:rsidRDefault="00786E08">
      <w:pPr>
        <w:numPr>
          <w:ilvl w:val="0"/>
          <w:numId w:val="7"/>
        </w:num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El Acuerdo del Comité de Transparencia, donde clasifique en su totalidad, de manera fundada y motivada el procedimiento de registro catastral del predio descrito en la solicitud de acceso a la información pública, en términos de los artículos 49, fracciones II y VIII, 143, fracción I y III y 149 de la Ley de Transparencia y Acceso a la Información Pública del Estado de México y Municipios. </w:t>
      </w:r>
    </w:p>
    <w:p w14:paraId="76C769E3" w14:textId="77777777" w:rsidR="00AE4E6B" w:rsidRPr="00FF4B10" w:rsidRDefault="00786E08">
      <w:pPr>
        <w:spacing w:line="360" w:lineRule="auto"/>
        <w:ind w:right="-93"/>
        <w:jc w:val="both"/>
        <w:rPr>
          <w:rFonts w:ascii="Palatino Linotype" w:eastAsia="Palatino Linotype" w:hAnsi="Palatino Linotype" w:cs="Palatino Linotype"/>
        </w:rPr>
      </w:pPr>
      <w:r w:rsidRPr="00FF4B10">
        <w:rPr>
          <w:rFonts w:ascii="Palatino Linotype" w:eastAsia="Palatino Linotype" w:hAnsi="Palatino Linotype" w:cs="Palatino Linotype"/>
          <w:b/>
        </w:rPr>
        <w:t xml:space="preserve">TERCERO. Notifíquese, </w:t>
      </w:r>
      <w:r w:rsidRPr="00FF4B10">
        <w:rPr>
          <w:rFonts w:ascii="Palatino Linotype" w:eastAsia="Palatino Linotype" w:hAnsi="Palatino Linotype" w:cs="Palatino Linotype"/>
        </w:rPr>
        <w:t xml:space="preserve">vía </w:t>
      </w:r>
      <w:r w:rsidRPr="00FF4B10">
        <w:rPr>
          <w:rFonts w:ascii="Palatino Linotype" w:eastAsia="Palatino Linotype" w:hAnsi="Palatino Linotype" w:cs="Palatino Linotype"/>
          <w:b/>
        </w:rPr>
        <w:t xml:space="preserve">SAIMEX, </w:t>
      </w:r>
      <w:r w:rsidRPr="00FF4B10">
        <w:rPr>
          <w:rFonts w:ascii="Palatino Linotype" w:eastAsia="Palatino Linotype" w:hAnsi="Palatino Linotype" w:cs="Palatino Linotype"/>
        </w:rPr>
        <w:t>la presente resolución al T</w:t>
      </w:r>
      <w:r w:rsidRPr="00FF4B10">
        <w:rPr>
          <w:rFonts w:ascii="Palatino Linotype" w:eastAsia="Palatino Linotype" w:hAnsi="Palatino Linotype" w:cs="Palatino Linotype"/>
          <w:b/>
        </w:rPr>
        <w:t xml:space="preserve">itular de la Unidad de Transparencia </w:t>
      </w:r>
      <w:r w:rsidRPr="00FF4B10">
        <w:rPr>
          <w:rFonts w:ascii="Palatino Linotype" w:eastAsia="Palatino Linotype" w:hAnsi="Palatino Linotype" w:cs="Palatino Linotype"/>
        </w:rPr>
        <w:t xml:space="preserve">del </w:t>
      </w:r>
      <w:r w:rsidRPr="00FF4B10">
        <w:rPr>
          <w:rFonts w:ascii="Palatino Linotype" w:eastAsia="Palatino Linotype" w:hAnsi="Palatino Linotype" w:cs="Palatino Linotype"/>
          <w:b/>
        </w:rPr>
        <w:t>SUJETO OBLIGADO</w:t>
      </w:r>
      <w:r w:rsidRPr="00FF4B10">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w:t>
      </w:r>
      <w:r w:rsidRPr="00FF4B10">
        <w:rPr>
          <w:rFonts w:ascii="Palatino Linotype" w:eastAsia="Palatino Linotype" w:hAnsi="Palatino Linotype" w:cs="Palatino Linotype"/>
        </w:rPr>
        <w:lastRenderedPageBreak/>
        <w:t>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B3617C2" w14:textId="77777777" w:rsidR="00AE4E6B" w:rsidRPr="00FF4B10" w:rsidRDefault="00AE4E6B">
      <w:pPr>
        <w:spacing w:line="360" w:lineRule="auto"/>
        <w:ind w:right="-93"/>
        <w:jc w:val="both"/>
        <w:rPr>
          <w:rFonts w:ascii="Palatino Linotype" w:eastAsia="Palatino Linotype" w:hAnsi="Palatino Linotype" w:cs="Palatino Linotype"/>
        </w:rPr>
      </w:pPr>
    </w:p>
    <w:p w14:paraId="453A55B4" w14:textId="77777777" w:rsidR="00AE4E6B" w:rsidRPr="00FF4B10" w:rsidRDefault="00786E08">
      <w:pPr>
        <w:spacing w:line="360" w:lineRule="auto"/>
        <w:jc w:val="both"/>
        <w:rPr>
          <w:rFonts w:ascii="Palatino Linotype" w:eastAsia="Palatino Linotype" w:hAnsi="Palatino Linotype" w:cs="Palatino Linotype"/>
        </w:rPr>
      </w:pPr>
      <w:r w:rsidRPr="00FF4B10">
        <w:rPr>
          <w:rFonts w:ascii="Palatino Linotype" w:eastAsia="Palatino Linotype" w:hAnsi="Palatino Linotype" w:cs="Palatino Linotype"/>
          <w:b/>
        </w:rPr>
        <w:t xml:space="preserve">CUARTO. </w:t>
      </w:r>
      <w:r w:rsidRPr="00FF4B1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FF4B10">
        <w:rPr>
          <w:rFonts w:ascii="Palatino Linotype" w:eastAsia="Palatino Linotype" w:hAnsi="Palatino Linotype" w:cs="Palatino Linotype"/>
          <w:b/>
        </w:rPr>
        <w:t>EL SUJETO OBLIGADO</w:t>
      </w:r>
      <w:r w:rsidRPr="00FF4B10">
        <w:rPr>
          <w:rFonts w:ascii="Palatino Linotype" w:eastAsia="Palatino Linotype" w:hAnsi="Palatino Linotype" w:cs="Palatino Linotype"/>
        </w:rPr>
        <w:t xml:space="preserve"> de manera fundada y motivada, podrá solicitar una ampliación de plazo para el cumplimiento de la presente resolución.</w:t>
      </w:r>
    </w:p>
    <w:p w14:paraId="69F6A744" w14:textId="77777777" w:rsidR="00D70C34" w:rsidRPr="00FF4B10" w:rsidRDefault="00786E08" w:rsidP="00D70C34">
      <w:pPr>
        <w:spacing w:before="240" w:after="240" w:line="360" w:lineRule="auto"/>
        <w:jc w:val="both"/>
        <w:rPr>
          <w:rFonts w:ascii="Palatino Linotype" w:hAnsi="Palatino Linotype" w:cs="Arial"/>
          <w:sz w:val="25"/>
          <w:szCs w:val="25"/>
        </w:rPr>
      </w:pPr>
      <w:bookmarkStart w:id="6" w:name="_heading=h.2et92p0" w:colFirst="0" w:colLast="0"/>
      <w:bookmarkEnd w:id="6"/>
      <w:r w:rsidRPr="00FF4B10">
        <w:rPr>
          <w:rFonts w:ascii="Palatino Linotype" w:eastAsia="Palatino Linotype" w:hAnsi="Palatino Linotype" w:cs="Palatino Linotype"/>
          <w:b/>
        </w:rPr>
        <w:t xml:space="preserve">QUINTO. </w:t>
      </w:r>
      <w:r w:rsidR="00D70C34" w:rsidRPr="00FF4B10">
        <w:rPr>
          <w:rFonts w:ascii="Palatino Linotype" w:hAnsi="Palatino Linotype" w:cs="Arial"/>
          <w:b/>
          <w:bCs/>
          <w:shd w:val="clear" w:color="auto" w:fill="FFFFFF"/>
        </w:rPr>
        <w:t>Notifíquese vía SAIMEX</w:t>
      </w:r>
      <w:r w:rsidR="00D70C34" w:rsidRPr="00FF4B10">
        <w:rPr>
          <w:rFonts w:ascii="Palatino Linotype" w:hAnsi="Palatino Linotype" w:cs="Arial"/>
        </w:rPr>
        <w:t xml:space="preserve">, a la parte </w:t>
      </w:r>
      <w:r w:rsidR="00D70C34" w:rsidRPr="00FF4B10">
        <w:rPr>
          <w:rFonts w:ascii="Palatino Linotype" w:hAnsi="Palatino Linotype" w:cs="Arial"/>
          <w:b/>
        </w:rPr>
        <w:t>RECURRENTE</w:t>
      </w:r>
      <w:r w:rsidR="00D70C34" w:rsidRPr="00FF4B10">
        <w:rPr>
          <w:rFonts w:ascii="Palatino Linotype" w:hAnsi="Palatino Linotype" w:cs="Arial"/>
        </w:rPr>
        <w:t xml:space="preserve"> la presente resolución, así como,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367BC37B" w14:textId="77777777" w:rsidR="00AE4E6B" w:rsidRPr="00FF4B10" w:rsidRDefault="00786E08" w:rsidP="00D70C34">
      <w:pPr>
        <w:spacing w:line="360" w:lineRule="auto"/>
        <w:ind w:right="49"/>
        <w:jc w:val="both"/>
        <w:rPr>
          <w:rFonts w:ascii="Palatino Linotype" w:eastAsia="Palatino Linotype" w:hAnsi="Palatino Linotype" w:cs="Palatino Linotype"/>
        </w:rPr>
      </w:pPr>
      <w:r w:rsidRPr="00FF4B10">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Pr="00FF4B10">
        <w:rPr>
          <w:rFonts w:ascii="Palatino Linotype" w:eastAsia="Palatino Linotype" w:hAnsi="Palatino Linotype" w:cs="Palatino Linotype"/>
        </w:rPr>
        <w:lastRenderedPageBreak/>
        <w:t xml:space="preserve">MARTÍNEZ, LUIS GUSTAVO PARRA NORIEGA Y GUADALUPE RAMÍREZ PEÑA; EN LA CUARTA SESIÓN ORDINARIA CELEBRADA EL OCHO DE FEBRERO DE DOS MIL VEINTICUATRO, ANTE EL SECRETARIO TÉCNICO DEL PLENO ALEXIS TAPIA RAMÍREZ. </w:t>
      </w:r>
    </w:p>
    <w:p w14:paraId="5A109C2E" w14:textId="0597F60A" w:rsidR="00FF4B10" w:rsidRPr="00FF4B10" w:rsidRDefault="00B441F2" w:rsidP="00D70C34">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31C6850C" wp14:editId="514ED8D2">
                <wp:simplePos x="0" y="0"/>
                <wp:positionH relativeFrom="column">
                  <wp:posOffset>239510</wp:posOffset>
                </wp:positionH>
                <wp:positionV relativeFrom="paragraph">
                  <wp:posOffset>197312</wp:posOffset>
                </wp:positionV>
                <wp:extent cx="5278582" cy="5766954"/>
                <wp:effectExtent l="0" t="0" r="36830" b="24765"/>
                <wp:wrapNone/>
                <wp:docPr id="1" name="Conector recto 1"/>
                <wp:cNvGraphicFramePr/>
                <a:graphic xmlns:a="http://schemas.openxmlformats.org/drawingml/2006/main">
                  <a:graphicData uri="http://schemas.microsoft.com/office/word/2010/wordprocessingShape">
                    <wps:wsp>
                      <wps:cNvCnPr/>
                      <wps:spPr>
                        <a:xfrm>
                          <a:off x="0" y="0"/>
                          <a:ext cx="5278582" cy="5766954"/>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B301C52"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5pt,15.55pt" to="434.5pt,4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" strokecolor="#f68c36 [3049]"/>
            </w:pict>
          </mc:Fallback>
        </mc:AlternateContent>
      </w:r>
    </w:p>
    <w:p w14:paraId="4A44829A"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41532B62"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2EB4157C"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4DA90971"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68DC1442"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5E020A81"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0F59F199"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0896424B"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0779E435"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6A347821"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79F170A3"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3E7B1793"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13442DB5"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399A4149"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6DC760C3"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14D8117A"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402339E1"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22704E4C"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4978801E"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2ED7D5D1"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29328161"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119A2089"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60DEE762"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625F7C9B"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043C36A1"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15087CAF"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01A3EFEA"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0937892D" w14:textId="77777777" w:rsidR="00FF4B10" w:rsidRPr="00FF4B10" w:rsidRDefault="00FF4B10" w:rsidP="00D70C34">
      <w:pPr>
        <w:spacing w:line="360" w:lineRule="auto"/>
        <w:ind w:right="49"/>
        <w:jc w:val="both"/>
        <w:rPr>
          <w:rFonts w:ascii="Palatino Linotype" w:eastAsia="Palatino Linotype" w:hAnsi="Palatino Linotype" w:cs="Palatino Linotype"/>
        </w:rPr>
      </w:pPr>
    </w:p>
    <w:p w14:paraId="32963A6C" w14:textId="77777777" w:rsidR="00FF4B10" w:rsidRPr="00FF4B10" w:rsidRDefault="00FF4B10" w:rsidP="00D70C34">
      <w:pPr>
        <w:spacing w:line="360" w:lineRule="auto"/>
        <w:ind w:right="49"/>
        <w:jc w:val="both"/>
        <w:rPr>
          <w:rFonts w:ascii="Palatino Linotype" w:eastAsia="Palatino Linotype" w:hAnsi="Palatino Linotype" w:cs="Palatino Linotype"/>
        </w:rPr>
      </w:pPr>
    </w:p>
    <w:sectPr w:rsidR="00FF4B10" w:rsidRPr="00FF4B10">
      <w:headerReference w:type="default" r:id="rId19"/>
      <w:footerReference w:type="default" r:id="rId20"/>
      <w:headerReference w:type="first" r:id="rId21"/>
      <w:footerReference w:type="first" r:id="rId22"/>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A362C" w14:textId="77777777" w:rsidR="00AD1229" w:rsidRDefault="00AD1229">
      <w:r>
        <w:separator/>
      </w:r>
    </w:p>
  </w:endnote>
  <w:endnote w:type="continuationSeparator" w:id="0">
    <w:p w14:paraId="38B7A83D" w14:textId="77777777" w:rsidR="00AD1229" w:rsidRDefault="00AD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BD06" w14:textId="77777777" w:rsidR="00AE4E6B" w:rsidRDefault="00786E0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D3203">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D3203">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04056C8B" w14:textId="77777777" w:rsidR="00AE4E6B" w:rsidRDefault="00AE4E6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DA62" w14:textId="77777777" w:rsidR="00AE4E6B" w:rsidRDefault="00786E0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D320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D3203">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6391D211" w14:textId="77777777" w:rsidR="00AE4E6B" w:rsidRDefault="00AE4E6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40AF8" w14:textId="77777777" w:rsidR="00AD1229" w:rsidRDefault="00AD1229">
      <w:r>
        <w:separator/>
      </w:r>
    </w:p>
  </w:footnote>
  <w:footnote w:type="continuationSeparator" w:id="0">
    <w:p w14:paraId="5BE6BBF5" w14:textId="77777777" w:rsidR="00AD1229" w:rsidRDefault="00AD1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7840" w14:textId="77777777" w:rsidR="00AE4E6B" w:rsidRDefault="00786E0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09FCA1E" wp14:editId="1D19BE43">
          <wp:simplePos x="0" y="0"/>
          <wp:positionH relativeFrom="column">
            <wp:posOffset>-1080132</wp:posOffset>
          </wp:positionH>
          <wp:positionV relativeFrom="paragraph">
            <wp:posOffset>-488312</wp:posOffset>
          </wp:positionV>
          <wp:extent cx="7809865" cy="10165715"/>
          <wp:effectExtent l="0" t="0" r="0" b="0"/>
          <wp:wrapNone/>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AE4E6B" w14:paraId="4F64C487" w14:textId="77777777">
      <w:tc>
        <w:tcPr>
          <w:tcW w:w="2489" w:type="dxa"/>
          <w:shd w:val="clear" w:color="auto" w:fill="auto"/>
        </w:tcPr>
        <w:p w14:paraId="5B350ABC" w14:textId="77777777" w:rsidR="00AE4E6B" w:rsidRDefault="00786E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CE9C62F" w14:textId="77777777" w:rsidR="00AE4E6B" w:rsidRDefault="00786E0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02784/INFOEM/IP/RR/2023</w:t>
          </w:r>
        </w:p>
      </w:tc>
    </w:tr>
    <w:tr w:rsidR="00AE4E6B" w14:paraId="7D8E033C" w14:textId="77777777">
      <w:trPr>
        <w:trHeight w:val="228"/>
      </w:trPr>
      <w:tc>
        <w:tcPr>
          <w:tcW w:w="2489" w:type="dxa"/>
          <w:shd w:val="clear" w:color="auto" w:fill="auto"/>
          <w:vAlign w:val="center"/>
        </w:tcPr>
        <w:p w14:paraId="67D44582" w14:textId="77777777" w:rsidR="00AE4E6B" w:rsidRDefault="00786E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57B7D98" w14:textId="77777777" w:rsidR="00AE4E6B" w:rsidRDefault="00786E08">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AE4E6B" w14:paraId="140E8351" w14:textId="77777777">
      <w:tc>
        <w:tcPr>
          <w:tcW w:w="2489" w:type="dxa"/>
          <w:shd w:val="clear" w:color="auto" w:fill="auto"/>
          <w:vAlign w:val="center"/>
        </w:tcPr>
        <w:p w14:paraId="4C1F1EE4" w14:textId="77777777" w:rsidR="00AE4E6B" w:rsidRDefault="00786E0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60F0E1AD" w14:textId="77777777" w:rsidR="00AE4E6B" w:rsidRDefault="00786E0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BD06942" w14:textId="77777777" w:rsidR="00AE4E6B" w:rsidRDefault="00786E0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523AA" w14:textId="77777777" w:rsidR="00AE4E6B" w:rsidRDefault="00AE4E6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6"/>
      <w:tblW w:w="5945" w:type="dxa"/>
      <w:tblInd w:w="2844" w:type="dxa"/>
      <w:tblLayout w:type="fixed"/>
      <w:tblLook w:val="0400" w:firstRow="0" w:lastRow="0" w:firstColumn="0" w:lastColumn="0" w:noHBand="0" w:noVBand="1"/>
    </w:tblPr>
    <w:tblGrid>
      <w:gridCol w:w="2551"/>
      <w:gridCol w:w="3394"/>
    </w:tblGrid>
    <w:tr w:rsidR="00AE4E6B" w14:paraId="00AA233E" w14:textId="77777777">
      <w:tc>
        <w:tcPr>
          <w:tcW w:w="2551" w:type="dxa"/>
          <w:shd w:val="clear" w:color="auto" w:fill="auto"/>
          <w:vAlign w:val="center"/>
        </w:tcPr>
        <w:p w14:paraId="0A75EA3B" w14:textId="77777777" w:rsidR="00AE4E6B" w:rsidRDefault="00786E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394" w:type="dxa"/>
          <w:shd w:val="clear" w:color="auto" w:fill="auto"/>
          <w:vAlign w:val="center"/>
        </w:tcPr>
        <w:p w14:paraId="68A7991F" w14:textId="77777777" w:rsidR="00AE4E6B" w:rsidRDefault="00786E0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02784/INFOEM/IP/RR/2023</w:t>
          </w:r>
        </w:p>
      </w:tc>
    </w:tr>
    <w:tr w:rsidR="00AE4E6B" w14:paraId="1CD94492" w14:textId="77777777">
      <w:trPr>
        <w:trHeight w:val="130"/>
      </w:trPr>
      <w:tc>
        <w:tcPr>
          <w:tcW w:w="2551" w:type="dxa"/>
          <w:shd w:val="clear" w:color="auto" w:fill="auto"/>
          <w:vAlign w:val="center"/>
        </w:tcPr>
        <w:p w14:paraId="1A16A0FF" w14:textId="77777777" w:rsidR="00AE4E6B" w:rsidRDefault="00786E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394" w:type="dxa"/>
          <w:shd w:val="clear" w:color="auto" w:fill="auto"/>
          <w:vAlign w:val="center"/>
        </w:tcPr>
        <w:p w14:paraId="712B1533" w14:textId="7EF0C2F1" w:rsidR="00AE4E6B" w:rsidRDefault="0008772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XXXXXXX XXXXXXXXX XXXX</w:t>
          </w:r>
        </w:p>
      </w:tc>
    </w:tr>
    <w:tr w:rsidR="00AE4E6B" w14:paraId="260B0A0F" w14:textId="77777777">
      <w:trPr>
        <w:trHeight w:val="228"/>
      </w:trPr>
      <w:tc>
        <w:tcPr>
          <w:tcW w:w="2551" w:type="dxa"/>
          <w:shd w:val="clear" w:color="auto" w:fill="auto"/>
          <w:vAlign w:val="center"/>
        </w:tcPr>
        <w:p w14:paraId="56285AA5" w14:textId="77777777" w:rsidR="00AE4E6B" w:rsidRDefault="00786E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394" w:type="dxa"/>
          <w:shd w:val="clear" w:color="auto" w:fill="auto"/>
          <w:vAlign w:val="center"/>
        </w:tcPr>
        <w:p w14:paraId="652A6253" w14:textId="77777777" w:rsidR="00AE4E6B" w:rsidRDefault="00786E0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Huixquilucan.</w:t>
          </w:r>
        </w:p>
      </w:tc>
    </w:tr>
    <w:tr w:rsidR="00AE4E6B" w14:paraId="744B4690" w14:textId="77777777">
      <w:tc>
        <w:tcPr>
          <w:tcW w:w="2551" w:type="dxa"/>
          <w:shd w:val="clear" w:color="auto" w:fill="auto"/>
          <w:vAlign w:val="center"/>
        </w:tcPr>
        <w:p w14:paraId="108D9740" w14:textId="77777777" w:rsidR="00AE4E6B" w:rsidRDefault="00786E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394" w:type="dxa"/>
          <w:shd w:val="clear" w:color="auto" w:fill="auto"/>
          <w:vAlign w:val="center"/>
        </w:tcPr>
        <w:p w14:paraId="22F035C3" w14:textId="77777777" w:rsidR="00AE4E6B" w:rsidRDefault="00786E0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6DF0285" w14:textId="77777777" w:rsidR="00AE4E6B" w:rsidRDefault="00786E08">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7FA4D040" wp14:editId="70D62520">
          <wp:simplePos x="0" y="0"/>
          <wp:positionH relativeFrom="column">
            <wp:posOffset>-1089657</wp:posOffset>
          </wp:positionH>
          <wp:positionV relativeFrom="paragraph">
            <wp:posOffset>-1169667</wp:posOffset>
          </wp:positionV>
          <wp:extent cx="7809865" cy="10165715"/>
          <wp:effectExtent l="0" t="0" r="0" b="0"/>
          <wp:wrapNone/>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1C4D98"/>
    <w:multiLevelType w:val="multilevel"/>
    <w:tmpl w:val="F9DAD5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CE82E98"/>
    <w:multiLevelType w:val="multilevel"/>
    <w:tmpl w:val="6AD04668"/>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A9269FD"/>
    <w:multiLevelType w:val="multilevel"/>
    <w:tmpl w:val="B35A2B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1B0D95"/>
    <w:multiLevelType w:val="multilevel"/>
    <w:tmpl w:val="9FA63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692BF1"/>
    <w:multiLevelType w:val="multilevel"/>
    <w:tmpl w:val="09BE0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837823"/>
    <w:multiLevelType w:val="multilevel"/>
    <w:tmpl w:val="31C830E6"/>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80B10B7"/>
    <w:multiLevelType w:val="multilevel"/>
    <w:tmpl w:val="CFDEF7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5"/>
  </w:num>
  <w:num w:numId="3">
    <w:abstractNumId w:val="2"/>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E6B"/>
    <w:rsid w:val="00046B04"/>
    <w:rsid w:val="00087727"/>
    <w:rsid w:val="00404E75"/>
    <w:rsid w:val="00501024"/>
    <w:rsid w:val="00786E08"/>
    <w:rsid w:val="008B1ED4"/>
    <w:rsid w:val="009827E4"/>
    <w:rsid w:val="00AD1229"/>
    <w:rsid w:val="00AE4E6B"/>
    <w:rsid w:val="00B441F2"/>
    <w:rsid w:val="00D70C34"/>
    <w:rsid w:val="00F422ED"/>
    <w:rsid w:val="00FD3203"/>
    <w:rsid w:val="00FF4B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F586A"/>
  <w15:docId w15:val="{9C1AEB14-ADAF-4EF8-A9A7-FF6A011C9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89224.page"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dpej.rae.es/lema/principi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saimex.org.mx/saimex/solicitud/downloadAttach/1811799.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811798.page"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AkCayjjBzjqx4z6h/EkDY7+qQ==">CgMxLjAyCGguZ2pkZ3hzMgloLjMwajB6bGwyCWguMWZvYjl0ZTIIaC50eWpjd3QyCWguM3pueXNoNzIJaC4yZXQ5MnAwOAByITF5Z2g5TlBmNkpKY3BjRk5XWEhHUVU3ekJTYUNtVThNbQ==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12885</Words>
  <Characters>70870</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2024-02-09T16:34:00Z</cp:lastPrinted>
  <dcterms:created xsi:type="dcterms:W3CDTF">2024-02-16T20:28:00Z</dcterms:created>
  <dcterms:modified xsi:type="dcterms:W3CDTF">2024-02-16T20:28:00Z</dcterms:modified>
</cp:coreProperties>
</file>