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9DD3A" w14:textId="77777777" w:rsidR="00833696" w:rsidRPr="00912F97" w:rsidRDefault="000B1380">
      <w:pP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once de septiembre de dos mil veinticuatro. </w:t>
      </w:r>
    </w:p>
    <w:p w14:paraId="4218D8EE" w14:textId="77777777" w:rsidR="00833696" w:rsidRPr="00912F97" w:rsidRDefault="000B1380">
      <w:pP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b/>
        </w:rPr>
        <w:t>VISTO</w:t>
      </w:r>
      <w:r w:rsidRPr="00912F97">
        <w:rPr>
          <w:rFonts w:ascii="Palatino Linotype" w:eastAsia="Palatino Linotype" w:hAnsi="Palatino Linotype" w:cs="Palatino Linotype"/>
        </w:rPr>
        <w:t xml:space="preserve"> el expediente formado con motivo del recurso de revisión </w:t>
      </w:r>
      <w:r w:rsidRPr="00912F97">
        <w:rPr>
          <w:rFonts w:ascii="Palatino Linotype" w:eastAsia="Palatino Linotype" w:hAnsi="Palatino Linotype" w:cs="Palatino Linotype"/>
          <w:b/>
        </w:rPr>
        <w:t>03894/INFOEM/IP/RR/2024</w:t>
      </w:r>
      <w:r w:rsidRPr="00912F97">
        <w:rPr>
          <w:rFonts w:ascii="Palatino Linotype" w:eastAsia="Palatino Linotype" w:hAnsi="Palatino Linotype" w:cs="Palatino Linotype"/>
        </w:rPr>
        <w:t>, interpuesto por</w:t>
      </w:r>
      <w:r w:rsidRPr="00912F97">
        <w:rPr>
          <w:rFonts w:ascii="Palatino Linotype" w:eastAsia="Palatino Linotype" w:hAnsi="Palatino Linotype" w:cs="Palatino Linotype"/>
          <w:b/>
        </w:rPr>
        <w:t xml:space="preserve"> una persona que no proporcionó nombre o seudónimo,</w:t>
      </w:r>
      <w:r w:rsidRPr="00912F97">
        <w:rPr>
          <w:rFonts w:ascii="Palatino Linotype" w:eastAsia="Palatino Linotype" w:hAnsi="Palatino Linotype" w:cs="Palatino Linotype"/>
        </w:rPr>
        <w:t xml:space="preserve"> en lo sucesivo</w:t>
      </w:r>
      <w:r w:rsidRPr="00912F97">
        <w:rPr>
          <w:rFonts w:ascii="Palatino Linotype" w:eastAsia="Palatino Linotype" w:hAnsi="Palatino Linotype" w:cs="Palatino Linotype"/>
          <w:b/>
        </w:rPr>
        <w:t xml:space="preserve"> </w:t>
      </w:r>
      <w:r w:rsidRPr="00912F97">
        <w:rPr>
          <w:rFonts w:ascii="Palatino Linotype" w:eastAsia="Palatino Linotype" w:hAnsi="Palatino Linotype" w:cs="Palatino Linotype"/>
        </w:rPr>
        <w:t xml:space="preserve">la parte </w:t>
      </w:r>
      <w:r w:rsidRPr="00912F97">
        <w:rPr>
          <w:rFonts w:ascii="Palatino Linotype" w:eastAsia="Palatino Linotype" w:hAnsi="Palatino Linotype" w:cs="Palatino Linotype"/>
          <w:b/>
        </w:rPr>
        <w:t>Recurrente,</w:t>
      </w:r>
      <w:r w:rsidRPr="00912F97">
        <w:rPr>
          <w:rFonts w:ascii="Palatino Linotype" w:eastAsia="Palatino Linotype" w:hAnsi="Palatino Linotype" w:cs="Palatino Linotype"/>
        </w:rPr>
        <w:t xml:space="preserve"> en contra de la respuesta a la solicitud de información con número de folio </w:t>
      </w:r>
      <w:r w:rsidRPr="00912F97">
        <w:rPr>
          <w:rFonts w:ascii="Palatino Linotype" w:eastAsia="Palatino Linotype" w:hAnsi="Palatino Linotype" w:cs="Palatino Linotype"/>
          <w:b/>
        </w:rPr>
        <w:t xml:space="preserve">00740/ECATEPEC/IP/2024, </w:t>
      </w:r>
      <w:r w:rsidRPr="00912F97">
        <w:rPr>
          <w:rFonts w:ascii="Palatino Linotype" w:eastAsia="Palatino Linotype" w:hAnsi="Palatino Linotype" w:cs="Palatino Linotype"/>
        </w:rPr>
        <w:t xml:space="preserve">por parte del </w:t>
      </w:r>
      <w:r w:rsidRPr="00912F97">
        <w:rPr>
          <w:rFonts w:ascii="Palatino Linotype" w:eastAsia="Palatino Linotype" w:hAnsi="Palatino Linotype" w:cs="Palatino Linotype"/>
          <w:b/>
        </w:rPr>
        <w:t xml:space="preserve">Ayuntamiento de Ecatepec de Morelos, </w:t>
      </w:r>
      <w:r w:rsidRPr="00912F97">
        <w:rPr>
          <w:rFonts w:ascii="Palatino Linotype" w:eastAsia="Palatino Linotype" w:hAnsi="Palatino Linotype" w:cs="Palatino Linotype"/>
        </w:rPr>
        <w:t xml:space="preserve">en lo sucesivo el </w:t>
      </w:r>
      <w:r w:rsidRPr="00912F97">
        <w:rPr>
          <w:rFonts w:ascii="Palatino Linotype" w:eastAsia="Palatino Linotype" w:hAnsi="Palatino Linotype" w:cs="Palatino Linotype"/>
          <w:b/>
        </w:rPr>
        <w:t xml:space="preserve">Sujeto Obligado, </w:t>
      </w:r>
      <w:r w:rsidRPr="00912F97">
        <w:rPr>
          <w:rFonts w:ascii="Palatino Linotype" w:eastAsia="Palatino Linotype" w:hAnsi="Palatino Linotype" w:cs="Palatino Linotype"/>
        </w:rPr>
        <w:t xml:space="preserve">se procede a dictar la presente resolución con base en los siguientes: </w:t>
      </w:r>
    </w:p>
    <w:p w14:paraId="4E46FAA7" w14:textId="77777777" w:rsidR="00833696" w:rsidRPr="00912F97" w:rsidRDefault="000B1380">
      <w:pPr>
        <w:spacing w:before="240" w:after="240" w:line="360" w:lineRule="auto"/>
        <w:jc w:val="center"/>
        <w:rPr>
          <w:rFonts w:ascii="Palatino Linotype" w:eastAsia="Palatino Linotype" w:hAnsi="Palatino Linotype" w:cs="Palatino Linotype"/>
          <w:b/>
        </w:rPr>
      </w:pPr>
      <w:r w:rsidRPr="00912F97">
        <w:rPr>
          <w:rFonts w:ascii="Palatino Linotype" w:eastAsia="Palatino Linotype" w:hAnsi="Palatino Linotype" w:cs="Palatino Linotype"/>
          <w:b/>
        </w:rPr>
        <w:t>I. A N T E C E D E N T E S</w:t>
      </w:r>
    </w:p>
    <w:p w14:paraId="140AAA7E" w14:textId="77777777" w:rsidR="00833696" w:rsidRPr="00912F97" w:rsidRDefault="000B1380">
      <w:pPr>
        <w:spacing w:before="240" w:after="240" w:line="360" w:lineRule="auto"/>
        <w:jc w:val="both"/>
        <w:rPr>
          <w:rFonts w:ascii="Palatino Linotype" w:eastAsia="Palatino Linotype" w:hAnsi="Palatino Linotype" w:cs="Palatino Linotype"/>
        </w:rPr>
      </w:pPr>
      <w:bookmarkStart w:id="0" w:name="_heading=h.4d34og8" w:colFirst="0" w:colLast="0"/>
      <w:bookmarkEnd w:id="0"/>
      <w:r w:rsidRPr="00912F97">
        <w:rPr>
          <w:rFonts w:ascii="Palatino Linotype" w:eastAsia="Palatino Linotype" w:hAnsi="Palatino Linotype" w:cs="Palatino Linotype"/>
          <w:b/>
        </w:rPr>
        <w:t>1. Solicitud de acceso a la información.</w:t>
      </w:r>
      <w:r w:rsidRPr="00912F97">
        <w:rPr>
          <w:rFonts w:ascii="Palatino Linotype" w:eastAsia="Palatino Linotype" w:hAnsi="Palatino Linotype" w:cs="Palatino Linotype"/>
        </w:rPr>
        <w:t xml:space="preserve"> El </w:t>
      </w:r>
      <w:r w:rsidRPr="00912F97">
        <w:rPr>
          <w:rFonts w:ascii="Palatino Linotype" w:eastAsia="Palatino Linotype" w:hAnsi="Palatino Linotype" w:cs="Palatino Linotype"/>
          <w:b/>
        </w:rPr>
        <w:t xml:space="preserve">treinta de mayo de dos mil veinticuatro, </w:t>
      </w:r>
      <w:r w:rsidRPr="00912F97">
        <w:rPr>
          <w:rFonts w:ascii="Palatino Linotype" w:eastAsia="Palatino Linotype" w:hAnsi="Palatino Linotype" w:cs="Palatino Linotype"/>
        </w:rPr>
        <w:t xml:space="preserve">la parte </w:t>
      </w:r>
      <w:r w:rsidRPr="00912F97">
        <w:rPr>
          <w:rFonts w:ascii="Palatino Linotype" w:eastAsia="Palatino Linotype" w:hAnsi="Palatino Linotype" w:cs="Palatino Linotype"/>
          <w:b/>
        </w:rPr>
        <w:t xml:space="preserve">Recurrente </w:t>
      </w:r>
      <w:r w:rsidRPr="00912F97">
        <w:rPr>
          <w:rFonts w:ascii="Palatino Linotype" w:eastAsia="Palatino Linotype" w:hAnsi="Palatino Linotype" w:cs="Palatino Linotype"/>
        </w:rPr>
        <w:t xml:space="preserve">presentó, a través del Sistema de Acceso a la Información Mexiquense, en lo subsecuente el </w:t>
      </w:r>
      <w:r w:rsidRPr="00912F97">
        <w:rPr>
          <w:rFonts w:ascii="Palatino Linotype" w:eastAsia="Palatino Linotype" w:hAnsi="Palatino Linotype" w:cs="Palatino Linotype"/>
          <w:b/>
        </w:rPr>
        <w:t xml:space="preserve">SAIMEX, </w:t>
      </w:r>
      <w:r w:rsidRPr="00912F97">
        <w:rPr>
          <w:rFonts w:ascii="Palatino Linotype" w:eastAsia="Palatino Linotype" w:hAnsi="Palatino Linotype" w:cs="Palatino Linotype"/>
        </w:rPr>
        <w:t xml:space="preserve">ante el </w:t>
      </w:r>
      <w:r w:rsidRPr="00912F97">
        <w:rPr>
          <w:rFonts w:ascii="Palatino Linotype" w:eastAsia="Palatino Linotype" w:hAnsi="Palatino Linotype" w:cs="Palatino Linotype"/>
          <w:b/>
        </w:rPr>
        <w:t>Sujeto Obligado</w:t>
      </w:r>
      <w:r w:rsidRPr="00912F97">
        <w:rPr>
          <w:rFonts w:ascii="Palatino Linotype" w:eastAsia="Palatino Linotype" w:hAnsi="Palatino Linotype" w:cs="Palatino Linotype"/>
        </w:rPr>
        <w:t xml:space="preserve">, la solicitud de acceso a la información pública, mediante la cual requirió la información siguiente: </w:t>
      </w:r>
    </w:p>
    <w:p w14:paraId="783B64BC" w14:textId="77777777" w:rsidR="00833696" w:rsidRPr="00912F97" w:rsidRDefault="000B1380">
      <w:pPr>
        <w:spacing w:before="120" w:after="12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912F97">
        <w:rPr>
          <w:rFonts w:ascii="Palatino Linotype" w:eastAsia="Palatino Linotype" w:hAnsi="Palatino Linotype" w:cs="Palatino Linotype"/>
          <w:i/>
          <w:sz w:val="22"/>
          <w:szCs w:val="22"/>
        </w:rPr>
        <w:t xml:space="preserve"> “En relación con la </w:t>
      </w:r>
      <w:r w:rsidRPr="00912F97">
        <w:rPr>
          <w:rFonts w:ascii="Palatino Linotype" w:eastAsia="Palatino Linotype" w:hAnsi="Palatino Linotype" w:cs="Palatino Linotype"/>
          <w:b/>
          <w:i/>
          <w:sz w:val="22"/>
          <w:szCs w:val="22"/>
        </w:rPr>
        <w:t>Contraloría Social,</w:t>
      </w:r>
      <w:r w:rsidRPr="00912F97">
        <w:rPr>
          <w:rFonts w:ascii="Palatino Linotype" w:eastAsia="Palatino Linotype" w:hAnsi="Palatino Linotype" w:cs="Palatino Linotype"/>
          <w:i/>
          <w:sz w:val="22"/>
          <w:szCs w:val="22"/>
        </w:rPr>
        <w:t xml:space="preserve"> prevista en el Artículo 69 al 71 de la Ley General de Desarrollo Social, y en el Artículo 61 al 63 de la Ley de Desarrollo Social del Estado de México, solicito la siguiente información </w:t>
      </w:r>
      <w:r w:rsidRPr="00912F97">
        <w:rPr>
          <w:rFonts w:ascii="Palatino Linotype" w:eastAsia="Palatino Linotype" w:hAnsi="Palatino Linotype" w:cs="Palatino Linotype"/>
          <w:b/>
          <w:i/>
          <w:sz w:val="22"/>
          <w:szCs w:val="22"/>
          <w:u w:val="single"/>
        </w:rPr>
        <w:t>del periodo del 1 de enero al 31 de diciembre de 2024</w:t>
      </w:r>
      <w:r w:rsidRPr="00912F97">
        <w:rPr>
          <w:rFonts w:ascii="Palatino Linotype" w:eastAsia="Palatino Linotype" w:hAnsi="Palatino Linotype" w:cs="Palatino Linotype"/>
          <w:i/>
          <w:sz w:val="22"/>
          <w:szCs w:val="22"/>
        </w:rPr>
        <w:t xml:space="preserve">: </w:t>
      </w:r>
      <w:r w:rsidRPr="00912F97">
        <w:rPr>
          <w:rFonts w:ascii="Palatino Linotype" w:eastAsia="Palatino Linotype" w:hAnsi="Palatino Linotype" w:cs="Palatino Linotype"/>
          <w:b/>
          <w:i/>
          <w:sz w:val="22"/>
          <w:szCs w:val="22"/>
        </w:rPr>
        <w:t>1.- Productos (propuestas, programas, recomendaciones, opiniones, posicionamientos, observaciones, denuncias) derivados de los ejercicios de Contraloría Social 2.- Informes de actividades y/o resultados de los ejercicios de Contraloría Social”</w:t>
      </w:r>
      <w:r w:rsidRPr="00912F97">
        <w:rPr>
          <w:rFonts w:ascii="Palatino Linotype" w:eastAsia="Palatino Linotype" w:hAnsi="Palatino Linotype" w:cs="Palatino Linotype"/>
          <w:i/>
          <w:sz w:val="22"/>
          <w:szCs w:val="22"/>
        </w:rPr>
        <w:t xml:space="preserve"> (sic) </w:t>
      </w:r>
    </w:p>
    <w:p w14:paraId="19946CA5" w14:textId="77777777" w:rsidR="00833696" w:rsidRPr="00912F97" w:rsidRDefault="000B1380">
      <w:pPr>
        <w:spacing w:before="240" w:after="240" w:line="360" w:lineRule="auto"/>
        <w:jc w:val="both"/>
        <w:rPr>
          <w:rFonts w:ascii="Palatino Linotype" w:eastAsia="Palatino Linotype" w:hAnsi="Palatino Linotype" w:cs="Palatino Linotype"/>
        </w:rPr>
      </w:pPr>
      <w:bookmarkStart w:id="2" w:name="_heading=h.3dy6vkm" w:colFirst="0" w:colLast="0"/>
      <w:bookmarkEnd w:id="2"/>
      <w:r w:rsidRPr="00912F97">
        <w:rPr>
          <w:rFonts w:ascii="Palatino Linotype" w:eastAsia="Palatino Linotype" w:hAnsi="Palatino Linotype" w:cs="Palatino Linotype"/>
          <w:b/>
        </w:rPr>
        <w:t xml:space="preserve">Modalidad de Entrega: </w:t>
      </w:r>
      <w:r w:rsidRPr="00912F97">
        <w:rPr>
          <w:rFonts w:ascii="Palatino Linotype" w:eastAsia="Palatino Linotype" w:hAnsi="Palatino Linotype" w:cs="Palatino Linotype"/>
        </w:rPr>
        <w:t xml:space="preserve">A través del </w:t>
      </w:r>
      <w:r w:rsidRPr="00912F97">
        <w:rPr>
          <w:rFonts w:ascii="Palatino Linotype" w:eastAsia="Palatino Linotype" w:hAnsi="Palatino Linotype" w:cs="Palatino Linotype"/>
          <w:b/>
        </w:rPr>
        <w:t>SAIMEX.</w:t>
      </w:r>
    </w:p>
    <w:p w14:paraId="6E18C271" w14:textId="77777777" w:rsidR="00833696" w:rsidRPr="00912F97" w:rsidRDefault="00833696">
      <w:pPr>
        <w:spacing w:before="240" w:after="240" w:line="360" w:lineRule="auto"/>
        <w:jc w:val="both"/>
        <w:rPr>
          <w:rFonts w:ascii="Palatino Linotype" w:eastAsia="Palatino Linotype" w:hAnsi="Palatino Linotype" w:cs="Palatino Linotype"/>
        </w:rPr>
      </w:pPr>
    </w:p>
    <w:p w14:paraId="46E85459" w14:textId="77777777" w:rsidR="00833696" w:rsidRPr="00912F97" w:rsidRDefault="000B1380">
      <w:pP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b/>
        </w:rPr>
        <w:lastRenderedPageBreak/>
        <w:t xml:space="preserve">2. Respuesta. </w:t>
      </w:r>
      <w:r w:rsidRPr="00912F97">
        <w:rPr>
          <w:rFonts w:ascii="Palatino Linotype" w:eastAsia="Palatino Linotype" w:hAnsi="Palatino Linotype" w:cs="Palatino Linotype"/>
        </w:rPr>
        <w:t xml:space="preserve">El </w:t>
      </w:r>
      <w:r w:rsidRPr="00912F97">
        <w:rPr>
          <w:rFonts w:ascii="Palatino Linotype" w:eastAsia="Palatino Linotype" w:hAnsi="Palatino Linotype" w:cs="Palatino Linotype"/>
          <w:b/>
        </w:rPr>
        <w:t>dieciocho de junio de dos mil veinticuatro</w:t>
      </w:r>
      <w:r w:rsidRPr="00912F97">
        <w:rPr>
          <w:rFonts w:ascii="Palatino Linotype" w:eastAsia="Palatino Linotype" w:hAnsi="Palatino Linotype" w:cs="Palatino Linotype"/>
        </w:rPr>
        <w:t xml:space="preserve">, el </w:t>
      </w:r>
      <w:r w:rsidRPr="00912F97">
        <w:rPr>
          <w:rFonts w:ascii="Palatino Linotype" w:eastAsia="Palatino Linotype" w:hAnsi="Palatino Linotype" w:cs="Palatino Linotype"/>
          <w:b/>
        </w:rPr>
        <w:t xml:space="preserve">Sujeto Obligado </w:t>
      </w:r>
      <w:r w:rsidRPr="00912F97">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59F8B85E" w14:textId="77777777" w:rsidR="00833696" w:rsidRPr="00912F97" w:rsidRDefault="000B1380">
      <w:pPr>
        <w:spacing w:before="240" w:after="240"/>
        <w:ind w:left="851"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i/>
          <w:sz w:val="22"/>
          <w:szCs w:val="22"/>
        </w:rPr>
        <w:t>“…Por medio del presente escrito informo a usted que este H. Ayuntamiento Constitucional de Ecatepec de Morelos, no es Sujeto Obligado para dar atención a su requerimiento, por lo que le sugerimos ingrese nuevamente su solicitud; en el apartado “El sujeto obligado del cual requiere la información”, deberá seleccionar la opción de “Municipios”, y del listado que el sistema despliega con las dependencia seleccionar al Sistema para el Desarrollo Integral de la Familia de Ecatepec de Morelos...” (sic)</w:t>
      </w:r>
    </w:p>
    <w:p w14:paraId="35C5C66A" w14:textId="77777777" w:rsidR="00833696" w:rsidRPr="00912F97" w:rsidRDefault="000B1380">
      <w:pPr>
        <w:spacing w:before="240" w:after="240" w:line="360" w:lineRule="auto"/>
        <w:ind w:right="49"/>
        <w:jc w:val="both"/>
        <w:rPr>
          <w:rFonts w:ascii="Palatino Linotype" w:eastAsia="Palatino Linotype" w:hAnsi="Palatino Linotype" w:cs="Palatino Linotype"/>
        </w:rPr>
      </w:pPr>
      <w:r w:rsidRPr="00912F97">
        <w:rPr>
          <w:rFonts w:ascii="Palatino Linotype" w:eastAsia="Palatino Linotype" w:hAnsi="Palatino Linotype" w:cs="Palatino Linotype"/>
        </w:rPr>
        <w:t xml:space="preserve">El </w:t>
      </w:r>
      <w:r w:rsidRPr="00912F97">
        <w:rPr>
          <w:rFonts w:ascii="Palatino Linotype" w:eastAsia="Palatino Linotype" w:hAnsi="Palatino Linotype" w:cs="Palatino Linotype"/>
          <w:b/>
        </w:rPr>
        <w:t>Sujeto Obligado</w:t>
      </w:r>
      <w:r w:rsidRPr="00912F97">
        <w:rPr>
          <w:rFonts w:ascii="Palatino Linotype" w:eastAsia="Palatino Linotype" w:hAnsi="Palatino Linotype" w:cs="Palatino Linotype"/>
        </w:rPr>
        <w:t xml:space="preserve"> adjuntó el escrito de fecha dieciocho de junio de dos mil veinticuatro, mediante el cual </w:t>
      </w:r>
      <w:r w:rsidRPr="00912F97">
        <w:rPr>
          <w:rFonts w:ascii="Palatino Linotype" w:eastAsia="Palatino Linotype" w:hAnsi="Palatino Linotype" w:cs="Palatino Linotype"/>
          <w:b/>
          <w:u w:val="single"/>
        </w:rPr>
        <w:t>la Titular de la Unidad de Transparencia</w:t>
      </w:r>
      <w:r w:rsidRPr="00912F97">
        <w:rPr>
          <w:rFonts w:ascii="Palatino Linotype" w:eastAsia="Palatino Linotype" w:hAnsi="Palatino Linotype" w:cs="Palatino Linotype"/>
        </w:rPr>
        <w:t xml:space="preserve"> hizo del conocimiento de la persona solicitante la incompetencia del Ayuntamiento de Ecatepec de Morelos para atender la solicitud de información, por lo que sugirió presentar la misma ante el Sistema Municipal para el Desarrollo Integral de la Familia de Ecatepec de Morelos</w:t>
      </w:r>
    </w:p>
    <w:p w14:paraId="7F59A94B" w14:textId="77777777" w:rsidR="00833696" w:rsidRPr="00912F97" w:rsidRDefault="000B1380">
      <w:pPr>
        <w:spacing w:before="240" w:after="240" w:line="360" w:lineRule="auto"/>
        <w:ind w:right="49"/>
        <w:jc w:val="both"/>
        <w:rPr>
          <w:rFonts w:ascii="Palatino Linotype" w:eastAsia="Palatino Linotype" w:hAnsi="Palatino Linotype" w:cs="Palatino Linotype"/>
        </w:rPr>
      </w:pPr>
      <w:r w:rsidRPr="00912F97">
        <w:rPr>
          <w:rFonts w:ascii="Palatino Linotype" w:eastAsia="Palatino Linotype" w:hAnsi="Palatino Linotype" w:cs="Palatino Linotype"/>
          <w:b/>
        </w:rPr>
        <w:t xml:space="preserve">3. Interposición del recurso de revisión. </w:t>
      </w:r>
      <w:r w:rsidRPr="00912F97">
        <w:rPr>
          <w:rFonts w:ascii="Palatino Linotype" w:eastAsia="Palatino Linotype" w:hAnsi="Palatino Linotype" w:cs="Palatino Linotype"/>
        </w:rPr>
        <w:t xml:space="preserve">Inconforme con los términos de la respuesta emitida por parte del </w:t>
      </w:r>
      <w:r w:rsidRPr="00912F97">
        <w:rPr>
          <w:rFonts w:ascii="Palatino Linotype" w:eastAsia="Palatino Linotype" w:hAnsi="Palatino Linotype" w:cs="Palatino Linotype"/>
          <w:b/>
        </w:rPr>
        <w:t>Sujeto Obligado</w:t>
      </w:r>
      <w:r w:rsidRPr="00912F97">
        <w:rPr>
          <w:rFonts w:ascii="Palatino Linotype" w:eastAsia="Palatino Linotype" w:hAnsi="Palatino Linotype" w:cs="Palatino Linotype"/>
        </w:rPr>
        <w:t>, el</w:t>
      </w:r>
      <w:r w:rsidRPr="00912F97">
        <w:rPr>
          <w:rFonts w:ascii="Palatino Linotype" w:eastAsia="Palatino Linotype" w:hAnsi="Palatino Linotype" w:cs="Palatino Linotype"/>
          <w:b/>
        </w:rPr>
        <w:t xml:space="preserve"> veinticinco de junio de dos mil veinticuatro, </w:t>
      </w:r>
      <w:r w:rsidRPr="00912F97">
        <w:rPr>
          <w:rFonts w:ascii="Palatino Linotype" w:eastAsia="Palatino Linotype" w:hAnsi="Palatino Linotype" w:cs="Palatino Linotype"/>
        </w:rPr>
        <w:t xml:space="preserve">la parte </w:t>
      </w:r>
      <w:r w:rsidRPr="00912F97">
        <w:rPr>
          <w:rFonts w:ascii="Palatino Linotype" w:eastAsia="Palatino Linotype" w:hAnsi="Palatino Linotype" w:cs="Palatino Linotype"/>
          <w:b/>
        </w:rPr>
        <w:t>Recurrente</w:t>
      </w:r>
      <w:r w:rsidRPr="00912F97">
        <w:rPr>
          <w:rFonts w:ascii="Palatino Linotype" w:eastAsia="Palatino Linotype" w:hAnsi="Palatino Linotype" w:cs="Palatino Linotype"/>
        </w:rPr>
        <w:t xml:space="preserve"> interpuso el recurso de revisión a través de </w:t>
      </w:r>
      <w:r w:rsidRPr="00912F97">
        <w:rPr>
          <w:rFonts w:ascii="Palatino Linotype" w:eastAsia="Palatino Linotype" w:hAnsi="Palatino Linotype" w:cs="Palatino Linotype"/>
          <w:b/>
        </w:rPr>
        <w:t xml:space="preserve">SAIMEX, </w:t>
      </w:r>
      <w:r w:rsidRPr="00912F97">
        <w:rPr>
          <w:rFonts w:ascii="Palatino Linotype" w:eastAsia="Palatino Linotype" w:hAnsi="Palatino Linotype" w:cs="Palatino Linotype"/>
        </w:rPr>
        <w:t>en donde se manifestó de la siguiente manera:</w:t>
      </w:r>
    </w:p>
    <w:p w14:paraId="2DC0ABD1" w14:textId="77777777" w:rsidR="00833696" w:rsidRPr="00912F97" w:rsidRDefault="000B1380">
      <w:pPr>
        <w:tabs>
          <w:tab w:val="left" w:pos="2745"/>
        </w:tabs>
        <w:spacing w:before="240" w:after="240" w:line="360" w:lineRule="auto"/>
        <w:jc w:val="both"/>
        <w:rPr>
          <w:rFonts w:ascii="Palatino Linotype" w:eastAsia="Palatino Linotype" w:hAnsi="Palatino Linotype" w:cs="Palatino Linotype"/>
          <w:b/>
        </w:rPr>
      </w:pPr>
      <w:r w:rsidRPr="00912F97">
        <w:rPr>
          <w:rFonts w:ascii="Palatino Linotype" w:eastAsia="Palatino Linotype" w:hAnsi="Palatino Linotype" w:cs="Palatino Linotype"/>
          <w:b/>
        </w:rPr>
        <w:t xml:space="preserve">Acto impugnado: </w:t>
      </w:r>
    </w:p>
    <w:p w14:paraId="538C3748" w14:textId="77777777" w:rsidR="00833696" w:rsidRPr="00912F97" w:rsidRDefault="000B1380">
      <w:pPr>
        <w:tabs>
          <w:tab w:val="left" w:pos="2745"/>
        </w:tabs>
        <w:spacing w:before="240" w:after="240"/>
        <w:ind w:left="851" w:right="900"/>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i/>
          <w:sz w:val="22"/>
          <w:szCs w:val="22"/>
        </w:rPr>
        <w:t>“Se niegan a dar la información o no declaran la incompetencia” (sic)</w:t>
      </w:r>
    </w:p>
    <w:p w14:paraId="4531B480" w14:textId="77777777" w:rsidR="00833696" w:rsidRPr="00912F97" w:rsidRDefault="000B1380">
      <w:pPr>
        <w:spacing w:line="360" w:lineRule="auto"/>
        <w:jc w:val="both"/>
        <w:rPr>
          <w:rFonts w:ascii="Palatino Linotype" w:eastAsia="Palatino Linotype" w:hAnsi="Palatino Linotype" w:cs="Palatino Linotype"/>
        </w:rPr>
      </w:pPr>
      <w:bookmarkStart w:id="3" w:name="_heading=h.30j0zll" w:colFirst="0" w:colLast="0"/>
      <w:bookmarkEnd w:id="3"/>
      <w:r w:rsidRPr="00912F97">
        <w:rPr>
          <w:rFonts w:ascii="Palatino Linotype" w:eastAsia="Palatino Linotype" w:hAnsi="Palatino Linotype" w:cs="Palatino Linotype"/>
          <w:b/>
        </w:rPr>
        <w:t>Y, Razones o motivos de inconformidad</w:t>
      </w:r>
      <w:r w:rsidRPr="00912F97">
        <w:rPr>
          <w:rFonts w:ascii="Palatino Linotype" w:eastAsia="Palatino Linotype" w:hAnsi="Palatino Linotype" w:cs="Palatino Linotype"/>
        </w:rPr>
        <w:t>:</w:t>
      </w:r>
    </w:p>
    <w:p w14:paraId="1EE66932" w14:textId="77777777" w:rsidR="00833696" w:rsidRPr="00912F97" w:rsidRDefault="000B1380">
      <w:pPr>
        <w:tabs>
          <w:tab w:val="left" w:pos="2745"/>
        </w:tabs>
        <w:spacing w:before="240" w:after="240"/>
        <w:ind w:left="851" w:right="900"/>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i/>
          <w:sz w:val="22"/>
          <w:szCs w:val="22"/>
        </w:rPr>
        <w:t>“Se niegan a dar la información o no declaran la incompetencia” (sic)</w:t>
      </w:r>
    </w:p>
    <w:p w14:paraId="085E5CB6" w14:textId="77777777" w:rsidR="00833696" w:rsidRPr="00912F97" w:rsidRDefault="000B1380">
      <w:pPr>
        <w:spacing w:before="240" w:after="240" w:line="360" w:lineRule="auto"/>
        <w:ind w:right="51"/>
        <w:jc w:val="both"/>
        <w:rPr>
          <w:rFonts w:ascii="Palatino Linotype" w:eastAsia="Palatino Linotype" w:hAnsi="Palatino Linotype" w:cs="Palatino Linotype"/>
        </w:rPr>
      </w:pPr>
      <w:r w:rsidRPr="00912F97">
        <w:rPr>
          <w:rFonts w:ascii="Palatino Linotype" w:eastAsia="Palatino Linotype" w:hAnsi="Palatino Linotype" w:cs="Palatino Linotype"/>
          <w:b/>
        </w:rPr>
        <w:lastRenderedPageBreak/>
        <w:t xml:space="preserve">4. Turno. </w:t>
      </w:r>
      <w:r w:rsidRPr="00912F97">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912F97">
        <w:rPr>
          <w:rFonts w:ascii="Palatino Linotype" w:eastAsia="Palatino Linotype" w:hAnsi="Palatino Linotype" w:cs="Palatino Linotype"/>
          <w:b/>
        </w:rPr>
        <w:t xml:space="preserve">Guadalupe Ramírez Peña, </w:t>
      </w:r>
      <w:r w:rsidRPr="00912F97">
        <w:rPr>
          <w:rFonts w:ascii="Palatino Linotype" w:eastAsia="Palatino Linotype" w:hAnsi="Palatino Linotype" w:cs="Palatino Linotype"/>
        </w:rPr>
        <w:t>a efecto de que analizara sobre su admisión o su desechamiento.</w:t>
      </w:r>
    </w:p>
    <w:p w14:paraId="271778C7" w14:textId="77777777" w:rsidR="00833696" w:rsidRPr="00912F97" w:rsidRDefault="000B1380">
      <w:pP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b/>
        </w:rPr>
        <w:t>5. Admisión del Recurso de revisión.</w:t>
      </w:r>
      <w:r w:rsidRPr="00912F97">
        <w:rPr>
          <w:rFonts w:ascii="Palatino Linotype" w:eastAsia="Palatino Linotype" w:hAnsi="Palatino Linotype" w:cs="Palatino Linotype"/>
        </w:rPr>
        <w:t xml:space="preserve"> El</w:t>
      </w:r>
      <w:r w:rsidRPr="00912F97">
        <w:rPr>
          <w:rFonts w:ascii="Palatino Linotype" w:eastAsia="Palatino Linotype" w:hAnsi="Palatino Linotype" w:cs="Palatino Linotype"/>
          <w:b/>
        </w:rPr>
        <w:t xml:space="preserve"> veintiocho de junio de dos mil veinticuatro, </w:t>
      </w:r>
      <w:r w:rsidRPr="00912F97">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912F97">
        <w:rPr>
          <w:rFonts w:ascii="Palatino Linotype" w:eastAsia="Palatino Linotype" w:hAnsi="Palatino Linotype" w:cs="Palatino Linotype"/>
          <w:b/>
        </w:rPr>
        <w:t xml:space="preserve">Sujeto Obligado </w:t>
      </w:r>
      <w:r w:rsidRPr="00912F97">
        <w:rPr>
          <w:rFonts w:ascii="Palatino Linotype" w:eastAsia="Palatino Linotype" w:hAnsi="Palatino Linotype" w:cs="Palatino Linotype"/>
        </w:rPr>
        <w:t>presentara su informe justificado.</w:t>
      </w:r>
    </w:p>
    <w:p w14:paraId="4A8128C8" w14:textId="77777777" w:rsidR="00833696" w:rsidRPr="00912F97" w:rsidRDefault="000B1380">
      <w:pPr>
        <w:widowControl w:val="0"/>
        <w:spacing w:line="360" w:lineRule="auto"/>
        <w:ind w:right="49"/>
        <w:jc w:val="both"/>
        <w:rPr>
          <w:rFonts w:ascii="Palatino Linotype" w:eastAsia="Palatino Linotype" w:hAnsi="Palatino Linotype" w:cs="Palatino Linotype"/>
        </w:rPr>
      </w:pPr>
      <w:bookmarkStart w:id="4" w:name="_heading=h.2s8eyo1" w:colFirst="0" w:colLast="0"/>
      <w:bookmarkEnd w:id="4"/>
      <w:r w:rsidRPr="00912F97">
        <w:rPr>
          <w:rFonts w:ascii="Palatino Linotype" w:eastAsia="Palatino Linotype" w:hAnsi="Palatino Linotype" w:cs="Palatino Linotype"/>
          <w:b/>
        </w:rPr>
        <w:t>6. Manifestaciones</w:t>
      </w:r>
      <w:r w:rsidRPr="00912F97">
        <w:rPr>
          <w:rFonts w:ascii="Palatino Linotype" w:eastAsia="Palatino Linotype" w:hAnsi="Palatino Linotype" w:cs="Palatino Linotype"/>
        </w:rPr>
        <w:t xml:space="preserve">. De constancias del expediente electrónico del SAIMEX, se observa que el </w:t>
      </w:r>
      <w:r w:rsidRPr="00912F97">
        <w:rPr>
          <w:rFonts w:ascii="Palatino Linotype" w:eastAsia="Palatino Linotype" w:hAnsi="Palatino Linotype" w:cs="Palatino Linotype"/>
          <w:b/>
        </w:rPr>
        <w:t>Sujeto Obligado</w:t>
      </w:r>
      <w:r w:rsidRPr="00912F97">
        <w:rPr>
          <w:rFonts w:ascii="Palatino Linotype" w:eastAsia="Palatino Linotype" w:hAnsi="Palatino Linotype" w:cs="Palatino Linotype"/>
        </w:rPr>
        <w:t xml:space="preserve"> fue omiso en rendir su informe justificado; así como, la parte </w:t>
      </w:r>
      <w:r w:rsidRPr="00912F97">
        <w:rPr>
          <w:rFonts w:ascii="Palatino Linotype" w:eastAsia="Palatino Linotype" w:hAnsi="Palatino Linotype" w:cs="Palatino Linotype"/>
          <w:b/>
        </w:rPr>
        <w:t xml:space="preserve">Recurrente </w:t>
      </w:r>
      <w:r w:rsidRPr="00912F97">
        <w:rPr>
          <w:rFonts w:ascii="Palatino Linotype" w:eastAsia="Palatino Linotype" w:hAnsi="Palatino Linotype" w:cs="Palatino Linotype"/>
        </w:rPr>
        <w:t>fue omisa en hacer valer manifestaciones o rendir alegatos que conforme a derecho resultaran procedentes, como se muestra:</w:t>
      </w:r>
    </w:p>
    <w:p w14:paraId="58066D3A" w14:textId="77777777" w:rsidR="00833696" w:rsidRPr="00912F97" w:rsidRDefault="000B1380">
      <w:pPr>
        <w:spacing w:before="240" w:after="240" w:line="360" w:lineRule="auto"/>
        <w:jc w:val="both"/>
        <w:rPr>
          <w:rFonts w:ascii="Palatino Linotype" w:eastAsia="Palatino Linotype" w:hAnsi="Palatino Linotype" w:cs="Palatino Linotype"/>
          <w:b/>
        </w:rPr>
      </w:pPr>
      <w:r w:rsidRPr="00912F97">
        <w:rPr>
          <w:rFonts w:ascii="Palatino Linotype" w:eastAsia="Palatino Linotype" w:hAnsi="Palatino Linotype" w:cs="Palatino Linotype"/>
          <w:b/>
          <w:noProof/>
        </w:rPr>
        <w:drawing>
          <wp:inline distT="0" distB="0" distL="0" distR="0" wp14:anchorId="41582B52" wp14:editId="6E82CED7">
            <wp:extent cx="5612130" cy="1584960"/>
            <wp:effectExtent l="0" t="0" r="0" b="0"/>
            <wp:docPr id="195208249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1584960"/>
                    </a:xfrm>
                    <a:prstGeom prst="rect">
                      <a:avLst/>
                    </a:prstGeom>
                    <a:ln/>
                  </pic:spPr>
                </pic:pic>
              </a:graphicData>
            </a:graphic>
          </wp:inline>
        </w:drawing>
      </w:r>
    </w:p>
    <w:p w14:paraId="09992B7B" w14:textId="77777777" w:rsidR="00833696" w:rsidRPr="00912F97" w:rsidRDefault="000B1380">
      <w:pP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b/>
        </w:rPr>
        <w:lastRenderedPageBreak/>
        <w:t>7.</w:t>
      </w:r>
      <w:r w:rsidRPr="00912F97">
        <w:rPr>
          <w:rFonts w:ascii="Palatino Linotype" w:eastAsia="Palatino Linotype" w:hAnsi="Palatino Linotype" w:cs="Palatino Linotype"/>
        </w:rPr>
        <w:t xml:space="preserve"> </w:t>
      </w:r>
      <w:r w:rsidRPr="00912F97">
        <w:rPr>
          <w:rFonts w:ascii="Palatino Linotype" w:eastAsia="Palatino Linotype" w:hAnsi="Palatino Linotype" w:cs="Palatino Linotype"/>
          <w:b/>
        </w:rPr>
        <w:t xml:space="preserve">Cierre de instrucción. </w:t>
      </w:r>
      <w:r w:rsidRPr="00912F97">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912F97">
        <w:rPr>
          <w:rFonts w:ascii="Palatino Linotype" w:eastAsia="Palatino Linotype" w:hAnsi="Palatino Linotype" w:cs="Palatino Linotype"/>
          <w:b/>
        </w:rPr>
        <w:t>quince de julio de dos mil veinticuatro</w:t>
      </w:r>
      <w:r w:rsidRPr="00912F97">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5425C641" w14:textId="77777777" w:rsidR="00833696" w:rsidRPr="00912F97" w:rsidRDefault="000B1380">
      <w:pPr>
        <w:widowControl w:val="0"/>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b/>
        </w:rPr>
        <w:t>8. Ampliación del término para resolver</w:t>
      </w:r>
      <w:r w:rsidRPr="00912F97">
        <w:rPr>
          <w:rFonts w:ascii="Palatino Linotype" w:eastAsia="Palatino Linotype" w:hAnsi="Palatino Linotype" w:cs="Palatino Linotype"/>
        </w:rPr>
        <w:t xml:space="preserve">. El </w:t>
      </w:r>
      <w:r w:rsidRPr="00912F97">
        <w:rPr>
          <w:rFonts w:ascii="Palatino Linotype" w:eastAsia="Palatino Linotype" w:hAnsi="Palatino Linotype" w:cs="Palatino Linotype"/>
          <w:b/>
        </w:rPr>
        <w:t>cinco de septiembre de dos mil veinticuatro</w:t>
      </w:r>
      <w:r w:rsidRPr="00912F97">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48338AC6" w14:textId="77777777" w:rsidR="00833696" w:rsidRPr="00912F97" w:rsidRDefault="000B1380">
      <w:pP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7C5F9BA1" w14:textId="77777777" w:rsidR="00833696" w:rsidRPr="00912F97" w:rsidRDefault="000B1380">
      <w:pPr>
        <w:widowControl w:val="0"/>
        <w:spacing w:before="240" w:after="240" w:line="360" w:lineRule="auto"/>
        <w:jc w:val="center"/>
        <w:rPr>
          <w:rFonts w:ascii="Palatino Linotype" w:eastAsia="Palatino Linotype" w:hAnsi="Palatino Linotype" w:cs="Palatino Linotype"/>
          <w:b/>
        </w:rPr>
      </w:pPr>
      <w:r w:rsidRPr="00912F97">
        <w:rPr>
          <w:rFonts w:ascii="Palatino Linotype" w:eastAsia="Palatino Linotype" w:hAnsi="Palatino Linotype" w:cs="Palatino Linotype"/>
          <w:b/>
        </w:rPr>
        <w:t>II. C O N S I D E R A N D O S</w:t>
      </w:r>
    </w:p>
    <w:p w14:paraId="7AE25730" w14:textId="77777777" w:rsidR="00833696" w:rsidRPr="00912F97" w:rsidRDefault="000B1380">
      <w:pP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b/>
        </w:rPr>
        <w:t>Primero. Competencia.</w:t>
      </w:r>
      <w:r w:rsidRPr="00912F97">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w:t>
      </w:r>
      <w:r w:rsidRPr="00912F97">
        <w:rPr>
          <w:rFonts w:ascii="Palatino Linotype" w:eastAsia="Palatino Linotype" w:hAnsi="Palatino Linotype" w:cs="Palatino Linotype"/>
        </w:rPr>
        <w:lastRenderedPageBreak/>
        <w:t>Reglamento Interior del Instituto de Transparencia, Acceso a la Información Pública y Protección de Datos Personales del Estado de México y Municipios.</w:t>
      </w:r>
    </w:p>
    <w:p w14:paraId="5837B543" w14:textId="77777777" w:rsidR="00833696" w:rsidRPr="00912F97" w:rsidRDefault="000B1380">
      <w:pPr>
        <w:spacing w:before="240" w:after="240" w:line="360" w:lineRule="auto"/>
        <w:jc w:val="both"/>
        <w:rPr>
          <w:rFonts w:ascii="Palatino Linotype" w:eastAsia="Palatino Linotype" w:hAnsi="Palatino Linotype" w:cs="Palatino Linotype"/>
        </w:rPr>
      </w:pPr>
      <w:bookmarkStart w:id="5" w:name="_heading=h.tyjcwt" w:colFirst="0" w:colLast="0"/>
      <w:bookmarkEnd w:id="5"/>
      <w:r w:rsidRPr="00912F97">
        <w:rPr>
          <w:rFonts w:ascii="Palatino Linotype" w:eastAsia="Palatino Linotype" w:hAnsi="Palatino Linotype" w:cs="Palatino Linotype"/>
          <w:b/>
        </w:rPr>
        <w:t>Segundo. Oportunidad y Procedibilidad del Recurso de Revisión</w:t>
      </w:r>
      <w:r w:rsidRPr="00912F97">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C31A9AC" w14:textId="77777777" w:rsidR="00833696" w:rsidRPr="00912F97" w:rsidRDefault="000B1380">
      <w:pPr>
        <w:spacing w:before="240" w:after="240" w:line="360" w:lineRule="auto"/>
        <w:jc w:val="both"/>
        <w:rPr>
          <w:rFonts w:ascii="Palatino Linotype" w:eastAsia="Palatino Linotype" w:hAnsi="Palatino Linotype" w:cs="Palatino Linotype"/>
          <w:b/>
        </w:rPr>
      </w:pPr>
      <w:r w:rsidRPr="00912F97">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912F97">
        <w:rPr>
          <w:rFonts w:ascii="Palatino Linotype" w:eastAsia="Palatino Linotype" w:hAnsi="Palatino Linotype" w:cs="Palatino Linotype"/>
          <w:b/>
        </w:rPr>
        <w:t xml:space="preserve">Sujeto Obligado </w:t>
      </w:r>
      <w:r w:rsidRPr="00912F97">
        <w:rPr>
          <w:rFonts w:ascii="Palatino Linotype" w:eastAsia="Palatino Linotype" w:hAnsi="Palatino Linotype" w:cs="Palatino Linotype"/>
        </w:rPr>
        <w:t xml:space="preserve">remitió la respuesta a la solicitud de información el día </w:t>
      </w:r>
      <w:r w:rsidRPr="00912F97">
        <w:rPr>
          <w:rFonts w:ascii="Palatino Linotype" w:eastAsia="Palatino Linotype" w:hAnsi="Palatino Linotype" w:cs="Palatino Linotype"/>
          <w:b/>
        </w:rPr>
        <w:t>dieciocho de junio de dos mil veinticuatro</w:t>
      </w:r>
      <w:r w:rsidRPr="00912F97">
        <w:rPr>
          <w:rFonts w:ascii="Palatino Linotype" w:eastAsia="Palatino Linotype" w:hAnsi="Palatino Linotype" w:cs="Palatino Linotype"/>
        </w:rPr>
        <w:t>,</w:t>
      </w:r>
      <w:r w:rsidRPr="00912F97">
        <w:rPr>
          <w:rFonts w:ascii="Palatino Linotype" w:eastAsia="Palatino Linotype" w:hAnsi="Palatino Linotype" w:cs="Palatino Linotype"/>
          <w:b/>
        </w:rPr>
        <w:t xml:space="preserve"> </w:t>
      </w:r>
      <w:r w:rsidRPr="00912F97">
        <w:rPr>
          <w:rFonts w:ascii="Palatino Linotype" w:eastAsia="Palatino Linotype" w:hAnsi="Palatino Linotype" w:cs="Palatino Linotype"/>
        </w:rPr>
        <w:t xml:space="preserve">mientras que el recurso de revisión interpuesto por la parte </w:t>
      </w:r>
      <w:r w:rsidRPr="00912F97">
        <w:rPr>
          <w:rFonts w:ascii="Palatino Linotype" w:eastAsia="Palatino Linotype" w:hAnsi="Palatino Linotype" w:cs="Palatino Linotype"/>
          <w:b/>
        </w:rPr>
        <w:t>Recurrente</w:t>
      </w:r>
      <w:r w:rsidRPr="00912F97">
        <w:rPr>
          <w:rFonts w:ascii="Palatino Linotype" w:eastAsia="Palatino Linotype" w:hAnsi="Palatino Linotype" w:cs="Palatino Linotype"/>
        </w:rPr>
        <w:t xml:space="preserve">, se tuvo por presentado el día </w:t>
      </w:r>
      <w:r w:rsidRPr="00912F97">
        <w:rPr>
          <w:rFonts w:ascii="Palatino Linotype" w:eastAsia="Palatino Linotype" w:hAnsi="Palatino Linotype" w:cs="Palatino Linotype"/>
          <w:b/>
        </w:rPr>
        <w:t>veinticinco de junio de dos mil veinticuatro</w:t>
      </w:r>
      <w:r w:rsidRPr="00912F97">
        <w:rPr>
          <w:rFonts w:ascii="Palatino Linotype" w:eastAsia="Palatino Linotype" w:hAnsi="Palatino Linotype" w:cs="Palatino Linotype"/>
        </w:rPr>
        <w:t>, esto es al quinto día hábil siguiente en que tuvo conocimiento de la respuesta impugnada. En este sentido, se concluye que el presente recurso de revisión se encuentra dentro de los márgenes temporales previstos en las disposiciones legales referidas.</w:t>
      </w:r>
    </w:p>
    <w:p w14:paraId="48471F9F" w14:textId="77777777" w:rsidR="00833696" w:rsidRPr="00912F97" w:rsidRDefault="000B1380">
      <w:pPr>
        <w:spacing w:before="240" w:after="240" w:line="360" w:lineRule="auto"/>
        <w:jc w:val="both"/>
        <w:rPr>
          <w:rFonts w:ascii="Palatino Linotype" w:eastAsia="Palatino Linotype" w:hAnsi="Palatino Linotype" w:cs="Palatino Linotype"/>
        </w:rPr>
      </w:pPr>
      <w:bookmarkStart w:id="6" w:name="_heading=h.3znysh7" w:colFirst="0" w:colLast="0"/>
      <w:bookmarkEnd w:id="6"/>
      <w:r w:rsidRPr="00912F97">
        <w:rPr>
          <w:rFonts w:ascii="Palatino Linotype" w:eastAsia="Palatino Linotype" w:hAnsi="Palatino Linotype" w:cs="Palatino Linotype"/>
        </w:rPr>
        <w:t xml:space="preserve">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w:t>
      </w:r>
      <w:r w:rsidRPr="00912F97">
        <w:rPr>
          <w:rFonts w:ascii="Palatino Linotype" w:eastAsia="Palatino Linotype" w:hAnsi="Palatino Linotype" w:cs="Palatino Linotype"/>
        </w:rPr>
        <w:lastRenderedPageBreak/>
        <w:t>Municipios, en atención a que fue presentado mediante el formato visible en el SAIMEX.</w:t>
      </w:r>
    </w:p>
    <w:p w14:paraId="6B95056E" w14:textId="77777777" w:rsidR="00833696" w:rsidRPr="00912F97" w:rsidRDefault="000B1380">
      <w:pP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A efecto de sustentar lo anterior, es de suma importancia mencionar que si bien la persona solicitante</w:t>
      </w:r>
      <w:r w:rsidRPr="00912F97">
        <w:rPr>
          <w:rFonts w:ascii="Palatino Linotype" w:eastAsia="Palatino Linotype" w:hAnsi="Palatino Linotype" w:cs="Palatino Linotype"/>
          <w:b/>
        </w:rPr>
        <w:t xml:space="preserve"> no proporcionó nombre, </w:t>
      </w:r>
      <w:r w:rsidRPr="00912F97">
        <w:rPr>
          <w:rFonts w:ascii="Palatino Linotype" w:eastAsia="Palatino Linotype" w:hAnsi="Palatino Linotype" w:cs="Palatino Linotype"/>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EFE31AA" w14:textId="77777777" w:rsidR="00833696" w:rsidRPr="00912F97" w:rsidRDefault="000B1380">
      <w:pPr>
        <w:spacing w:before="120" w:after="120"/>
        <w:ind w:left="851" w:right="902"/>
        <w:jc w:val="both"/>
        <w:rPr>
          <w:rFonts w:ascii="Palatino Linotype" w:eastAsia="Palatino Linotype" w:hAnsi="Palatino Linotype" w:cs="Palatino Linotype"/>
          <w:sz w:val="22"/>
          <w:szCs w:val="22"/>
        </w:rPr>
      </w:pPr>
      <w:r w:rsidRPr="00912F97">
        <w:rPr>
          <w:rFonts w:ascii="Palatino Linotype" w:eastAsia="Palatino Linotype" w:hAnsi="Palatino Linotype" w:cs="Palatino Linotype"/>
          <w:i/>
          <w:sz w:val="22"/>
          <w:szCs w:val="22"/>
        </w:rPr>
        <w:t>"</w:t>
      </w:r>
      <w:r w:rsidRPr="00912F97">
        <w:rPr>
          <w:rFonts w:ascii="Palatino Linotype" w:eastAsia="Palatino Linotype" w:hAnsi="Palatino Linotype" w:cs="Palatino Linotype"/>
          <w:b/>
          <w:i/>
          <w:sz w:val="22"/>
          <w:szCs w:val="22"/>
        </w:rPr>
        <w:t>Las solicitudes anónimas</w:t>
      </w:r>
      <w:r w:rsidRPr="00912F97">
        <w:rPr>
          <w:rFonts w:ascii="Palatino Linotype" w:eastAsia="Palatino Linotype" w:hAnsi="Palatino Linotype" w:cs="Palatino Linotype"/>
          <w:i/>
          <w:sz w:val="22"/>
          <w:szCs w:val="22"/>
        </w:rPr>
        <w:t xml:space="preserve">, con nombre incompleto o seudónimo </w:t>
      </w:r>
      <w:r w:rsidRPr="00912F97">
        <w:rPr>
          <w:rFonts w:ascii="Palatino Linotype" w:eastAsia="Palatino Linotype" w:hAnsi="Palatino Linotype" w:cs="Palatino Linotype"/>
          <w:b/>
          <w:i/>
          <w:sz w:val="22"/>
          <w:szCs w:val="22"/>
        </w:rPr>
        <w:t>serán procedentes para su trámite por parte del sujeto obligado ante quien se presente</w:t>
      </w:r>
      <w:r w:rsidRPr="00912F97">
        <w:rPr>
          <w:rFonts w:ascii="Palatino Linotype" w:eastAsia="Palatino Linotype" w:hAnsi="Palatino Linotype" w:cs="Palatino Linotype"/>
          <w:i/>
          <w:sz w:val="22"/>
          <w:szCs w:val="22"/>
        </w:rPr>
        <w:t>. No podrá requerirse información adicional con motivo del nombre proporcionado por el solicitante."</w:t>
      </w:r>
    </w:p>
    <w:p w14:paraId="08C42565" w14:textId="77777777" w:rsidR="00833696" w:rsidRPr="00912F97" w:rsidRDefault="000B1380">
      <w:pP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912F97">
        <w:rPr>
          <w:rFonts w:ascii="Palatino Linotype" w:eastAsia="Palatino Linotype" w:hAnsi="Palatino Linotype" w:cs="Palatino Linotype"/>
          <w:b/>
        </w:rPr>
        <w:t>Recurrente</w:t>
      </w:r>
      <w:r w:rsidRPr="00912F97">
        <w:rPr>
          <w:rFonts w:ascii="Palatino Linotype" w:eastAsia="Palatino Linotype" w:hAnsi="Palatino Linotype" w:cs="Palatino Linotype"/>
        </w:rPr>
        <w:t>, por lo que, en el presente caso, al haber sido presentado el recurso de revisión vía SAIMEX, dicho requisito resulta innecesario.</w:t>
      </w:r>
    </w:p>
    <w:p w14:paraId="67DB56FA" w14:textId="77777777" w:rsidR="00833696" w:rsidRPr="00912F97" w:rsidRDefault="000B1380">
      <w:pP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 xml:space="preserve">Finalmente, se advierte que resulta procedente la interposición del recurso, según lo manifestado por la parte </w:t>
      </w:r>
      <w:r w:rsidRPr="00912F97">
        <w:rPr>
          <w:rFonts w:ascii="Palatino Linotype" w:eastAsia="Palatino Linotype" w:hAnsi="Palatino Linotype" w:cs="Palatino Linotype"/>
          <w:b/>
        </w:rPr>
        <w:t>Recurrente</w:t>
      </w:r>
      <w:r w:rsidRPr="00912F97">
        <w:rPr>
          <w:rFonts w:ascii="Palatino Linotype" w:eastAsia="Palatino Linotype" w:hAnsi="Palatino Linotype" w:cs="Palatino Linotype"/>
        </w:rPr>
        <w:t xml:space="preserve"> en sus motivos de inconformidad, de acuerdo al artículo 179, fracción IV del ordenamiento legal citado, que a la letra dice: </w:t>
      </w:r>
    </w:p>
    <w:p w14:paraId="64A49301" w14:textId="77777777" w:rsidR="00833696" w:rsidRPr="00912F97" w:rsidRDefault="000B1380">
      <w:pPr>
        <w:spacing w:before="120" w:after="120"/>
        <w:ind w:left="851"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i/>
          <w:sz w:val="22"/>
          <w:szCs w:val="22"/>
        </w:rPr>
        <w:t>“</w:t>
      </w:r>
      <w:r w:rsidRPr="00912F97">
        <w:rPr>
          <w:rFonts w:ascii="Palatino Linotype" w:eastAsia="Palatino Linotype" w:hAnsi="Palatino Linotype" w:cs="Palatino Linotype"/>
          <w:b/>
          <w:i/>
          <w:sz w:val="22"/>
          <w:szCs w:val="22"/>
        </w:rPr>
        <w:t>Artículo 179.</w:t>
      </w:r>
      <w:r w:rsidRPr="00912F97">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18A87391" w14:textId="77777777" w:rsidR="00833696" w:rsidRPr="00912F97" w:rsidRDefault="000B1380">
      <w:pPr>
        <w:spacing w:before="120" w:after="120"/>
        <w:ind w:left="1134"/>
        <w:rPr>
          <w:rFonts w:ascii="Palatino Linotype" w:eastAsia="Palatino Linotype" w:hAnsi="Palatino Linotype" w:cs="Palatino Linotype"/>
          <w:b/>
          <w:i/>
          <w:sz w:val="22"/>
          <w:szCs w:val="22"/>
        </w:rPr>
      </w:pPr>
      <w:r w:rsidRPr="00912F97">
        <w:rPr>
          <w:rFonts w:ascii="Palatino Linotype" w:eastAsia="Palatino Linotype" w:hAnsi="Palatino Linotype" w:cs="Palatino Linotype"/>
          <w:b/>
          <w:i/>
          <w:sz w:val="22"/>
          <w:szCs w:val="22"/>
        </w:rPr>
        <w:lastRenderedPageBreak/>
        <w:t>...</w:t>
      </w:r>
    </w:p>
    <w:p w14:paraId="1166523A" w14:textId="77777777" w:rsidR="00833696" w:rsidRPr="00912F97" w:rsidRDefault="000B1380">
      <w:pPr>
        <w:spacing w:before="120" w:after="120"/>
        <w:ind w:left="1134"/>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 xml:space="preserve">IV. </w:t>
      </w:r>
      <w:r w:rsidRPr="00912F97">
        <w:rPr>
          <w:rFonts w:ascii="Palatino Linotype" w:eastAsia="Palatino Linotype" w:hAnsi="Palatino Linotype" w:cs="Palatino Linotype"/>
          <w:i/>
          <w:sz w:val="22"/>
          <w:szCs w:val="22"/>
        </w:rPr>
        <w:t>La declaración de incompetencia por el sujeto obligado;”</w:t>
      </w:r>
    </w:p>
    <w:p w14:paraId="1D6D38AA" w14:textId="77777777" w:rsidR="00833696" w:rsidRPr="00912F97" w:rsidRDefault="000B1380">
      <w:pPr>
        <w:spacing w:before="240" w:after="240" w:line="360" w:lineRule="auto"/>
        <w:jc w:val="both"/>
        <w:rPr>
          <w:rFonts w:ascii="Palatino Linotype" w:eastAsia="Palatino Linotype" w:hAnsi="Palatino Linotype" w:cs="Palatino Linotype"/>
          <w:b/>
        </w:rPr>
      </w:pPr>
      <w:r w:rsidRPr="00912F97">
        <w:rPr>
          <w:rFonts w:ascii="Palatino Linotype" w:eastAsia="Palatino Linotype" w:hAnsi="Palatino Linotype" w:cs="Palatino Linotype"/>
          <w:b/>
        </w:rPr>
        <w:t xml:space="preserve">Tercero. Materia de la revisión. </w:t>
      </w:r>
      <w:r w:rsidRPr="00912F97">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912F97">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912F97">
        <w:rPr>
          <w:rFonts w:ascii="Palatino Linotype" w:eastAsia="Palatino Linotype" w:hAnsi="Palatino Linotype" w:cs="Palatino Linotype"/>
        </w:rPr>
        <w:t xml:space="preserve">de la parte </w:t>
      </w:r>
      <w:r w:rsidRPr="00912F97">
        <w:rPr>
          <w:rFonts w:ascii="Palatino Linotype" w:eastAsia="Palatino Linotype" w:hAnsi="Palatino Linotype" w:cs="Palatino Linotype"/>
          <w:b/>
        </w:rPr>
        <w:t>Recurrente</w:t>
      </w:r>
      <w:r w:rsidRPr="00912F97">
        <w:rPr>
          <w:rFonts w:ascii="Palatino Linotype" w:eastAsia="Palatino Linotype" w:hAnsi="Palatino Linotype" w:cs="Palatino Linotype"/>
        </w:rPr>
        <w:t>, o en su defecto, en caso de ser procedente, ordenar la entrega de información.</w:t>
      </w:r>
    </w:p>
    <w:p w14:paraId="02239114" w14:textId="77777777" w:rsidR="00833696" w:rsidRPr="00912F97" w:rsidRDefault="000B1380">
      <w:pPr>
        <w:spacing w:before="240" w:after="240" w:line="360" w:lineRule="auto"/>
        <w:jc w:val="both"/>
        <w:rPr>
          <w:rFonts w:ascii="Palatino Linotype" w:eastAsia="Palatino Linotype" w:hAnsi="Palatino Linotype" w:cs="Palatino Linotype"/>
        </w:rPr>
      </w:pPr>
      <w:bookmarkStart w:id="7" w:name="_heading=h.2et92p0" w:colFirst="0" w:colLast="0"/>
      <w:bookmarkEnd w:id="7"/>
      <w:r w:rsidRPr="00912F97">
        <w:rPr>
          <w:rFonts w:ascii="Palatino Linotype" w:eastAsia="Palatino Linotype" w:hAnsi="Palatino Linotype" w:cs="Palatino Linotype"/>
          <w:b/>
        </w:rPr>
        <w:t xml:space="preserve">Cuarto. Estudio del asunto. </w:t>
      </w:r>
      <w:r w:rsidRPr="00912F97">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29814C09" w14:textId="77777777" w:rsidR="00833696" w:rsidRPr="00912F97" w:rsidRDefault="000B1380">
      <w:pPr>
        <w:spacing w:before="120" w:after="120"/>
        <w:ind w:left="851"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i/>
          <w:sz w:val="22"/>
          <w:szCs w:val="22"/>
        </w:rPr>
        <w:t>“</w:t>
      </w:r>
      <w:r w:rsidRPr="00912F97">
        <w:rPr>
          <w:rFonts w:ascii="Palatino Linotype" w:eastAsia="Palatino Linotype" w:hAnsi="Palatino Linotype" w:cs="Palatino Linotype"/>
          <w:b/>
          <w:i/>
          <w:sz w:val="22"/>
          <w:szCs w:val="22"/>
        </w:rPr>
        <w:t>Artículo 4</w:t>
      </w:r>
      <w:r w:rsidRPr="00912F97">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04ECFB5" w14:textId="77777777" w:rsidR="00833696" w:rsidRPr="00912F97" w:rsidRDefault="000B1380">
      <w:pPr>
        <w:spacing w:before="120" w:after="120"/>
        <w:ind w:left="851"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912F97">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w:t>
      </w:r>
      <w:r w:rsidRPr="00912F97">
        <w:rPr>
          <w:rFonts w:ascii="Palatino Linotype" w:eastAsia="Palatino Linotype" w:hAnsi="Palatino Linotype" w:cs="Palatino Linotype"/>
          <w:i/>
          <w:sz w:val="22"/>
          <w:szCs w:val="22"/>
        </w:rPr>
        <w:lastRenderedPageBreak/>
        <w:t>Pública del Estado de México y Municipios 29 como reservada temporalmente por razones de interés público, en los términos de las causas legítimas y estrictamente necesarias previstas por esta Ley.</w:t>
      </w:r>
    </w:p>
    <w:p w14:paraId="4A834CD0" w14:textId="77777777" w:rsidR="00833696" w:rsidRPr="00912F97" w:rsidRDefault="000B1380">
      <w:pPr>
        <w:spacing w:before="120" w:after="120"/>
        <w:ind w:left="851"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912F97">
        <w:rPr>
          <w:rFonts w:ascii="Palatino Linotype" w:eastAsia="Palatino Linotype" w:hAnsi="Palatino Linotype" w:cs="Palatino Linotype"/>
          <w:i/>
          <w:sz w:val="22"/>
          <w:szCs w:val="22"/>
        </w:rPr>
        <w:t>.”</w:t>
      </w:r>
    </w:p>
    <w:p w14:paraId="2A269D48" w14:textId="77777777" w:rsidR="00833696" w:rsidRPr="00912F97" w:rsidRDefault="000B1380">
      <w:pP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66CA534" w14:textId="77777777" w:rsidR="00833696" w:rsidRPr="00912F97" w:rsidRDefault="000B1380">
      <w:pPr>
        <w:spacing w:before="120" w:after="120"/>
        <w:ind w:left="851"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“Artículo 12.-</w:t>
      </w:r>
      <w:r w:rsidRPr="00912F97">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10A91C2" w14:textId="77777777" w:rsidR="00833696" w:rsidRPr="00912F97" w:rsidRDefault="000B1380">
      <w:pPr>
        <w:spacing w:before="120" w:after="120"/>
        <w:ind w:left="851"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912F97">
        <w:rPr>
          <w:rFonts w:ascii="Palatino Linotype" w:eastAsia="Palatino Linotype" w:hAnsi="Palatino Linotype" w:cs="Palatino Linotype"/>
          <w:i/>
          <w:sz w:val="22"/>
          <w:szCs w:val="22"/>
        </w:rPr>
        <w:t xml:space="preserve">. </w:t>
      </w:r>
      <w:r w:rsidRPr="00912F97">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7D869F75" w14:textId="77777777" w:rsidR="00833696" w:rsidRPr="00912F97" w:rsidRDefault="000B1380">
      <w:pPr>
        <w:spacing w:before="240" w:after="240" w:line="360" w:lineRule="auto"/>
        <w:ind w:right="-93"/>
        <w:jc w:val="both"/>
        <w:rPr>
          <w:rFonts w:ascii="Palatino Linotype" w:eastAsia="Palatino Linotype" w:hAnsi="Palatino Linotype" w:cs="Palatino Linotype"/>
        </w:rPr>
      </w:pPr>
      <w:r w:rsidRPr="00912F97">
        <w:rPr>
          <w:rFonts w:ascii="Palatino Linotype" w:eastAsia="Palatino Linotype" w:hAnsi="Palatino Linotype" w:cs="Palatino Linotype"/>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w:t>
      </w:r>
      <w:r w:rsidRPr="00912F97">
        <w:rPr>
          <w:rFonts w:ascii="Palatino Linotype" w:eastAsia="Palatino Linotype" w:hAnsi="Palatino Linotype" w:cs="Palatino Linotype"/>
        </w:rPr>
        <w:lastRenderedPageBreak/>
        <w:t>solicitada que tengan en su poder en el estado que se encuentran, sin necesidad de concretarse al interés o términos específicos del solicitante.</w:t>
      </w:r>
    </w:p>
    <w:p w14:paraId="30A03F7F" w14:textId="77777777" w:rsidR="00833696" w:rsidRPr="00912F97" w:rsidRDefault="000B1380">
      <w:pPr>
        <w:spacing w:before="240" w:after="240" w:line="360" w:lineRule="auto"/>
        <w:jc w:val="both"/>
        <w:rPr>
          <w:rFonts w:ascii="Palatino Linotype" w:eastAsia="Palatino Linotype" w:hAnsi="Palatino Linotype" w:cs="Palatino Linotype"/>
          <w:b/>
        </w:rPr>
      </w:pPr>
      <w:r w:rsidRPr="00912F97">
        <w:rPr>
          <w:rFonts w:ascii="Palatino Linotype" w:eastAsia="Palatino Linotype" w:hAnsi="Palatino Linotype" w:cs="Palatino Linotype"/>
        </w:rPr>
        <w:t>Sirve de apoyo a lo anterior, el criterio 03/17, emitido por el Instituto Nacional de Transparencia, Acceso a la Información y Protección de Datos Personales, que por rubro y texto, dispone lo siguiente:</w:t>
      </w:r>
      <w:r w:rsidRPr="00912F97">
        <w:rPr>
          <w:rFonts w:ascii="Palatino Linotype" w:eastAsia="Palatino Linotype" w:hAnsi="Palatino Linotype" w:cs="Palatino Linotype"/>
          <w:b/>
        </w:rPr>
        <w:t xml:space="preserve"> </w:t>
      </w:r>
    </w:p>
    <w:p w14:paraId="0EB0A582" w14:textId="77777777" w:rsidR="00833696" w:rsidRPr="00912F97" w:rsidRDefault="000B1380">
      <w:pP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i/>
          <w:sz w:val="22"/>
          <w:szCs w:val="22"/>
        </w:rPr>
        <w:t>“</w:t>
      </w:r>
      <w:r w:rsidRPr="00912F97">
        <w:rPr>
          <w:rFonts w:ascii="Palatino Linotype" w:eastAsia="Palatino Linotype" w:hAnsi="Palatino Linotype" w:cs="Palatino Linotype"/>
          <w:b/>
          <w:i/>
          <w:sz w:val="22"/>
          <w:szCs w:val="22"/>
        </w:rPr>
        <w:t>No existe obligación de elaborar documentos ad hoc para atender las solicitudes de acceso a la información.</w:t>
      </w:r>
      <w:r w:rsidRPr="00912F97">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29CA32D0" w14:textId="77777777" w:rsidR="00833696" w:rsidRPr="00912F97" w:rsidRDefault="000B1380">
      <w:pPr>
        <w:spacing w:before="120" w:after="12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D0C0D15" w14:textId="77777777" w:rsidR="00833696" w:rsidRPr="00912F97" w:rsidRDefault="000B1380">
      <w:pPr>
        <w:spacing w:before="120" w:after="12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w:t>
      </w:r>
      <w:r w:rsidRPr="00912F97">
        <w:rPr>
          <w:rFonts w:ascii="Palatino Linotype" w:eastAsia="Palatino Linotype" w:hAnsi="Palatino Linotype" w:cs="Palatino Linotype"/>
        </w:rPr>
        <w:lastRenderedPageBreak/>
        <w:t xml:space="preserve">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25ECF52" w14:textId="77777777" w:rsidR="00833696" w:rsidRPr="00912F97" w:rsidRDefault="000B1380">
      <w:pPr>
        <w:spacing w:before="120" w:after="120"/>
        <w:ind w:left="851"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i/>
          <w:sz w:val="22"/>
          <w:szCs w:val="22"/>
        </w:rPr>
        <w:t>“</w:t>
      </w:r>
      <w:r w:rsidRPr="00912F97">
        <w:rPr>
          <w:rFonts w:ascii="Palatino Linotype" w:eastAsia="Palatino Linotype" w:hAnsi="Palatino Linotype" w:cs="Palatino Linotype"/>
          <w:b/>
          <w:i/>
          <w:sz w:val="22"/>
          <w:szCs w:val="22"/>
        </w:rPr>
        <w:t xml:space="preserve">Artículo 3. </w:t>
      </w:r>
      <w:r w:rsidRPr="00912F97">
        <w:rPr>
          <w:rFonts w:ascii="Palatino Linotype" w:eastAsia="Palatino Linotype" w:hAnsi="Palatino Linotype" w:cs="Palatino Linotype"/>
          <w:i/>
          <w:sz w:val="22"/>
          <w:szCs w:val="22"/>
        </w:rPr>
        <w:t>Para los efectos de la presente Ley se entenderá por:</w:t>
      </w:r>
    </w:p>
    <w:p w14:paraId="6A445DD2" w14:textId="77777777" w:rsidR="00833696" w:rsidRPr="00912F97" w:rsidRDefault="000B1380">
      <w:pP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i/>
          <w:sz w:val="22"/>
          <w:szCs w:val="22"/>
        </w:rPr>
        <w:t>…</w:t>
      </w:r>
    </w:p>
    <w:p w14:paraId="5BD023BE" w14:textId="77777777" w:rsidR="00833696" w:rsidRPr="00912F97" w:rsidRDefault="000B1380">
      <w:pP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XI. Documento:</w:t>
      </w:r>
      <w:r w:rsidRPr="00912F97">
        <w:rPr>
          <w:rFonts w:ascii="Palatino Linotype" w:eastAsia="Palatino Linotype" w:hAnsi="Palatino Linotype" w:cs="Palatino Linotype"/>
          <w:i/>
          <w:sz w:val="22"/>
          <w:szCs w:val="22"/>
        </w:rPr>
        <w:t xml:space="preserve"> Los expedientes, reportes, estudios, actas</w:t>
      </w:r>
      <w:r w:rsidRPr="00912F97">
        <w:rPr>
          <w:rFonts w:ascii="Palatino Linotype" w:eastAsia="Palatino Linotype" w:hAnsi="Palatino Linotype" w:cs="Palatino Linotype"/>
          <w:b/>
          <w:i/>
          <w:sz w:val="22"/>
          <w:szCs w:val="22"/>
        </w:rPr>
        <w:t>,</w:t>
      </w:r>
      <w:r w:rsidRPr="00912F97">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5AF823C9" w14:textId="77777777" w:rsidR="00833696" w:rsidRPr="00912F97" w:rsidRDefault="000B1380">
      <w:pP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C81C835" w14:textId="77777777" w:rsidR="00833696" w:rsidRPr="00912F97" w:rsidRDefault="000B1380">
      <w:pPr>
        <w:spacing w:before="120" w:after="120"/>
        <w:ind w:left="851"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sz w:val="22"/>
          <w:szCs w:val="22"/>
        </w:rPr>
        <w:t>“</w:t>
      </w:r>
      <w:r w:rsidRPr="00912F97">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912F97">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9EA9291" w14:textId="77777777" w:rsidR="00833696" w:rsidRPr="00912F97" w:rsidRDefault="000B1380">
      <w:pPr>
        <w:spacing w:before="120" w:after="120"/>
        <w:ind w:left="851"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i/>
          <w:sz w:val="22"/>
          <w:szCs w:val="22"/>
        </w:rPr>
        <w:lastRenderedPageBreak/>
        <w:t>En consecuencia el acceso a la información se refiere a que se cumplan cualquiera de los siguientes tres supuestos:</w:t>
      </w:r>
    </w:p>
    <w:p w14:paraId="57057B26" w14:textId="77777777" w:rsidR="00833696" w:rsidRPr="00912F97" w:rsidRDefault="000B1380">
      <w:pP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08523CAC" w14:textId="77777777" w:rsidR="00833696" w:rsidRPr="00912F97" w:rsidRDefault="000B1380">
      <w:pP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55EE3A1F" w14:textId="77777777" w:rsidR="00833696" w:rsidRPr="00912F97" w:rsidRDefault="000B1380">
      <w:pP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i/>
          <w:sz w:val="22"/>
          <w:szCs w:val="22"/>
        </w:rPr>
        <w:t xml:space="preserve">3) Que se trate de información registrada en cualquier soporte documental, que en ejercicio de las atribuciones conferidas, se encuentre en posesión de los Sujetos Obligados.” </w:t>
      </w:r>
    </w:p>
    <w:p w14:paraId="2F389479" w14:textId="77777777" w:rsidR="00833696" w:rsidRPr="00912F97" w:rsidRDefault="000B1380">
      <w:pPr>
        <w:spacing w:before="240" w:after="240" w:line="360" w:lineRule="auto"/>
        <w:ind w:right="51"/>
        <w:jc w:val="both"/>
        <w:rPr>
          <w:rFonts w:ascii="Palatino Linotype" w:eastAsia="Palatino Linotype" w:hAnsi="Palatino Linotype" w:cs="Palatino Linotype"/>
        </w:rPr>
      </w:pPr>
      <w:r w:rsidRPr="00912F97">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8A4BE4D" w14:textId="77777777" w:rsidR="00833696" w:rsidRPr="00912F97" w:rsidRDefault="000B1380">
      <w:pP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w:t>
      </w:r>
      <w:r w:rsidRPr="00912F97">
        <w:rPr>
          <w:rFonts w:ascii="Palatino Linotype" w:eastAsia="Palatino Linotype" w:hAnsi="Palatino Linotype" w:cs="Palatino Linotype"/>
        </w:rPr>
        <w:lastRenderedPageBreak/>
        <w:t>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5325495E" w14:textId="77777777" w:rsidR="00833696" w:rsidRPr="00912F97" w:rsidRDefault="000B1380">
      <w:pPr>
        <w:spacing w:before="240" w:after="240" w:line="360" w:lineRule="auto"/>
        <w:ind w:right="51"/>
        <w:jc w:val="both"/>
        <w:rPr>
          <w:rFonts w:ascii="Palatino Linotype" w:eastAsia="Palatino Linotype" w:hAnsi="Palatino Linotype" w:cs="Palatino Linotype"/>
        </w:rPr>
      </w:pPr>
      <w:r w:rsidRPr="00912F97">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912F97">
        <w:rPr>
          <w:rFonts w:ascii="Palatino Linotype" w:eastAsia="Palatino Linotype" w:hAnsi="Palatino Linotype" w:cs="Palatino Linotype"/>
          <w:b/>
        </w:rPr>
        <w:t>Recurrente</w:t>
      </w:r>
      <w:r w:rsidRPr="00912F97">
        <w:rPr>
          <w:rFonts w:ascii="Palatino Linotype" w:eastAsia="Palatino Linotype" w:hAnsi="Palatino Linotype" w:cs="Palatino Linotype"/>
        </w:rPr>
        <w:t xml:space="preserve"> requirió al </w:t>
      </w:r>
      <w:r w:rsidRPr="00912F97">
        <w:rPr>
          <w:rFonts w:ascii="Palatino Linotype" w:eastAsia="Palatino Linotype" w:hAnsi="Palatino Linotype" w:cs="Palatino Linotype"/>
          <w:b/>
        </w:rPr>
        <w:t xml:space="preserve">Sujeto Obligado </w:t>
      </w:r>
      <w:r w:rsidRPr="00912F97">
        <w:rPr>
          <w:rFonts w:ascii="Palatino Linotype" w:eastAsia="Palatino Linotype" w:hAnsi="Palatino Linotype" w:cs="Palatino Linotype"/>
        </w:rPr>
        <w:t>le proporcione, información consistente en lo siguiente:</w:t>
      </w:r>
    </w:p>
    <w:p w14:paraId="587C7A3B" w14:textId="77777777" w:rsidR="00833696" w:rsidRPr="00912F97" w:rsidRDefault="000B1380">
      <w:pPr>
        <w:spacing w:before="240" w:after="240" w:line="360" w:lineRule="auto"/>
        <w:ind w:right="51"/>
        <w:jc w:val="both"/>
        <w:rPr>
          <w:rFonts w:ascii="Palatino Linotype" w:eastAsia="Palatino Linotype" w:hAnsi="Palatino Linotype" w:cs="Palatino Linotype"/>
        </w:rPr>
      </w:pPr>
      <w:r w:rsidRPr="00912F97">
        <w:rPr>
          <w:rFonts w:ascii="Palatino Linotype" w:eastAsia="Palatino Linotype" w:hAnsi="Palatino Linotype" w:cs="Palatino Linotype"/>
        </w:rPr>
        <w:t xml:space="preserve">En relación con la Contraloría Social, del 1 de enero al 31 de diciembre de 2024: </w:t>
      </w:r>
    </w:p>
    <w:p w14:paraId="3A6A1688" w14:textId="77777777" w:rsidR="00833696" w:rsidRPr="00912F97" w:rsidRDefault="000B1380">
      <w:pPr>
        <w:spacing w:before="240" w:after="240" w:line="360" w:lineRule="auto"/>
        <w:ind w:left="426" w:right="51"/>
        <w:jc w:val="both"/>
        <w:rPr>
          <w:rFonts w:ascii="Palatino Linotype" w:eastAsia="Palatino Linotype" w:hAnsi="Palatino Linotype" w:cs="Palatino Linotype"/>
        </w:rPr>
      </w:pPr>
      <w:r w:rsidRPr="00912F97">
        <w:rPr>
          <w:rFonts w:ascii="Palatino Linotype" w:eastAsia="Palatino Linotype" w:hAnsi="Palatino Linotype" w:cs="Palatino Linotype"/>
        </w:rPr>
        <w:t xml:space="preserve">1. Productos (propuestas, programas, recomendaciones, opiniones, posicionamientos, observaciones, denuncias) derivados de los ejercicios de Contraloría Social. </w:t>
      </w:r>
    </w:p>
    <w:p w14:paraId="12EF24DE" w14:textId="77777777" w:rsidR="00833696" w:rsidRPr="00912F97" w:rsidRDefault="000B1380">
      <w:pPr>
        <w:spacing w:before="240" w:after="240" w:line="360" w:lineRule="auto"/>
        <w:ind w:left="426" w:right="51"/>
        <w:jc w:val="both"/>
        <w:rPr>
          <w:rFonts w:ascii="Palatino Linotype" w:eastAsia="Palatino Linotype" w:hAnsi="Palatino Linotype" w:cs="Palatino Linotype"/>
        </w:rPr>
      </w:pPr>
      <w:r w:rsidRPr="00912F97">
        <w:rPr>
          <w:rFonts w:ascii="Palatino Linotype" w:eastAsia="Palatino Linotype" w:hAnsi="Palatino Linotype" w:cs="Palatino Linotype"/>
        </w:rPr>
        <w:t>2. Informes de actividades y/o resultados de los ejercicios de Contraloría Social.</w:t>
      </w:r>
    </w:p>
    <w:p w14:paraId="7B661ABB" w14:textId="77777777" w:rsidR="00833696" w:rsidRPr="00912F97" w:rsidRDefault="000B1380">
      <w:pPr>
        <w:spacing w:before="240" w:after="240" w:line="360" w:lineRule="auto"/>
        <w:ind w:right="49"/>
        <w:jc w:val="both"/>
        <w:rPr>
          <w:rFonts w:ascii="Palatino Linotype" w:eastAsia="Palatino Linotype" w:hAnsi="Palatino Linotype" w:cs="Palatino Linotype"/>
        </w:rPr>
      </w:pPr>
      <w:r w:rsidRPr="00912F97">
        <w:rPr>
          <w:rFonts w:ascii="Palatino Linotype" w:eastAsia="Palatino Linotype" w:hAnsi="Palatino Linotype" w:cs="Palatino Linotype"/>
        </w:rPr>
        <w:t>En atención a la solicitud la persona Titular de la Unidad de Transparencia hizo del conocimiento de la persona solicitante que el Ayuntamiento de Ecatepec de Morelos, no era Sujeto Obligado para dar atención al requerimiento, sugiriendo ingresar su solicitud ante el Sistema para el Desarrollo Integral de la Familia de Ecatepec de Morelos.</w:t>
      </w:r>
    </w:p>
    <w:p w14:paraId="171C8015" w14:textId="77777777" w:rsidR="00833696" w:rsidRPr="00912F97" w:rsidRDefault="000B1380">
      <w:pPr>
        <w:spacing w:before="240" w:after="240" w:line="360" w:lineRule="auto"/>
        <w:ind w:right="49"/>
        <w:jc w:val="both"/>
        <w:rPr>
          <w:rFonts w:ascii="Palatino Linotype" w:eastAsia="Palatino Linotype" w:hAnsi="Palatino Linotype" w:cs="Palatino Linotype"/>
        </w:rPr>
      </w:pPr>
      <w:r w:rsidRPr="00912F97">
        <w:rPr>
          <w:rFonts w:ascii="Palatino Linotype" w:eastAsia="Palatino Linotype" w:hAnsi="Palatino Linotype" w:cs="Palatino Linotype"/>
        </w:rPr>
        <w:t>Al no estar conforme con los términos de la respuesta proporcionada la persona solicitante interpuso el recurso de revisión que ahora se resuelve, mediante el cual manifestó que le fue negada la información y que no se declaró la incompetencia.</w:t>
      </w:r>
    </w:p>
    <w:p w14:paraId="3B6A5AC1" w14:textId="77777777" w:rsidR="00833696" w:rsidRPr="00912F97" w:rsidRDefault="000B138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lastRenderedPageBreak/>
        <w:t xml:space="preserve">Durante el periodo de manifestaciones el </w:t>
      </w:r>
      <w:r w:rsidRPr="00912F97">
        <w:rPr>
          <w:rFonts w:ascii="Palatino Linotype" w:eastAsia="Palatino Linotype" w:hAnsi="Palatino Linotype" w:cs="Palatino Linotype"/>
          <w:b/>
        </w:rPr>
        <w:t xml:space="preserve">Sujeto Obligado </w:t>
      </w:r>
      <w:r w:rsidRPr="00912F97">
        <w:rPr>
          <w:rFonts w:ascii="Palatino Linotype" w:eastAsia="Palatino Linotype" w:hAnsi="Palatino Linotype" w:cs="Palatino Linotype"/>
        </w:rPr>
        <w:t xml:space="preserve">fue omiso en rendir su informe justificado, y la parte </w:t>
      </w:r>
      <w:r w:rsidRPr="00912F97">
        <w:rPr>
          <w:rFonts w:ascii="Palatino Linotype" w:eastAsia="Palatino Linotype" w:hAnsi="Palatino Linotype" w:cs="Palatino Linotype"/>
          <w:b/>
        </w:rPr>
        <w:t xml:space="preserve">Recurrente </w:t>
      </w:r>
      <w:r w:rsidRPr="00912F97">
        <w:rPr>
          <w:rFonts w:ascii="Palatino Linotype" w:eastAsia="Palatino Linotype" w:hAnsi="Palatino Linotype" w:cs="Palatino Linotype"/>
        </w:rPr>
        <w:t>fue omisa en hacer valer manifestaciones o rendir alegatos que conforme a derecho resultaran procedentes, por lo tanto se tiene por precluído su derecho.</w:t>
      </w:r>
    </w:p>
    <w:p w14:paraId="7A286FA2" w14:textId="77777777" w:rsidR="00833696" w:rsidRPr="00912F97" w:rsidRDefault="000B138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 xml:space="preserve">Una vez establecidas las posturas de las partes, se procede al análisis de los requerimientos de información, así como la información proporcionada por el </w:t>
      </w:r>
      <w:r w:rsidRPr="00912F97">
        <w:rPr>
          <w:rFonts w:ascii="Palatino Linotype" w:eastAsia="Palatino Linotype" w:hAnsi="Palatino Linotype" w:cs="Palatino Linotype"/>
          <w:b/>
        </w:rPr>
        <w:t xml:space="preserve">Sujeto Obligado, </w:t>
      </w:r>
      <w:r w:rsidRPr="00912F97">
        <w:rPr>
          <w:rFonts w:ascii="Palatino Linotype" w:eastAsia="Palatino Linotype" w:hAnsi="Palatino Linotype" w:cs="Palatino Linotype"/>
        </w:rPr>
        <w:t xml:space="preserve">en contraposición con el motivo de inconformidad alegado por la parte </w:t>
      </w:r>
      <w:r w:rsidRPr="00912F97">
        <w:rPr>
          <w:rFonts w:ascii="Palatino Linotype" w:eastAsia="Palatino Linotype" w:hAnsi="Palatino Linotype" w:cs="Palatino Linotype"/>
          <w:b/>
        </w:rPr>
        <w:t xml:space="preserve">Recurrente, </w:t>
      </w:r>
      <w:r w:rsidRPr="00912F97">
        <w:rPr>
          <w:rFonts w:ascii="Palatino Linotype" w:eastAsia="Palatino Linotype" w:hAnsi="Palatino Linotype" w:cs="Palatino Linotype"/>
        </w:rPr>
        <w:t>con la finalidad de determinar si el Derecho de acceso de esta se satisfizo, o, en su defecto, ordenar el soporte documental correspondiente, en caso de ser procedente.</w:t>
      </w:r>
    </w:p>
    <w:p w14:paraId="7C4F8BAA" w14:textId="77777777" w:rsidR="00833696" w:rsidRPr="00912F97" w:rsidRDefault="000B1380">
      <w:pPr>
        <w:widowControl w:val="0"/>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En este tenor, en primer lugar es oportuno mencionar que la persona solicitante fundó su requerimiento de información en los artículos 69 al 71 de la Ley General de Desarrollo Social, y 61 al 63 de la Ley de Desarrollo Social del Estado de México, que disponen lo siguiente:</w:t>
      </w:r>
    </w:p>
    <w:tbl>
      <w:tblPr>
        <w:tblStyle w:val="a9"/>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912F97" w:rsidRPr="00912F97" w14:paraId="0AAD50B5" w14:textId="77777777">
        <w:tc>
          <w:tcPr>
            <w:tcW w:w="4414" w:type="dxa"/>
            <w:shd w:val="clear" w:color="auto" w:fill="BFBFBF"/>
          </w:tcPr>
          <w:p w14:paraId="12ADF5AB" w14:textId="77777777" w:rsidR="00833696" w:rsidRPr="00912F97" w:rsidRDefault="000B1380">
            <w:pPr>
              <w:widowControl w:val="0"/>
              <w:spacing w:before="120" w:after="120"/>
              <w:jc w:val="center"/>
              <w:rPr>
                <w:rFonts w:ascii="Palatino Linotype" w:eastAsia="Palatino Linotype" w:hAnsi="Palatino Linotype" w:cs="Palatino Linotype"/>
                <w:b/>
                <w:sz w:val="20"/>
                <w:szCs w:val="20"/>
              </w:rPr>
            </w:pPr>
            <w:r w:rsidRPr="00912F97">
              <w:rPr>
                <w:rFonts w:ascii="Palatino Linotype" w:eastAsia="Palatino Linotype" w:hAnsi="Palatino Linotype" w:cs="Palatino Linotype"/>
                <w:b/>
                <w:sz w:val="20"/>
                <w:szCs w:val="20"/>
              </w:rPr>
              <w:t>Ley General de Desarrollo Social</w:t>
            </w:r>
          </w:p>
        </w:tc>
        <w:tc>
          <w:tcPr>
            <w:tcW w:w="4414" w:type="dxa"/>
            <w:shd w:val="clear" w:color="auto" w:fill="BFBFBF"/>
          </w:tcPr>
          <w:p w14:paraId="36B64CCE" w14:textId="77777777" w:rsidR="00833696" w:rsidRPr="00912F97" w:rsidRDefault="000B1380">
            <w:pPr>
              <w:widowControl w:val="0"/>
              <w:spacing w:before="120" w:after="120"/>
              <w:jc w:val="both"/>
              <w:rPr>
                <w:rFonts w:ascii="Palatino Linotype" w:eastAsia="Palatino Linotype" w:hAnsi="Palatino Linotype" w:cs="Palatino Linotype"/>
                <w:b/>
                <w:sz w:val="20"/>
                <w:szCs w:val="20"/>
              </w:rPr>
            </w:pPr>
            <w:r w:rsidRPr="00912F97">
              <w:rPr>
                <w:rFonts w:ascii="Palatino Linotype" w:eastAsia="Palatino Linotype" w:hAnsi="Palatino Linotype" w:cs="Palatino Linotype"/>
                <w:b/>
                <w:sz w:val="20"/>
                <w:szCs w:val="20"/>
              </w:rPr>
              <w:t>Ley de Desarrollo Social del Estado de México</w:t>
            </w:r>
          </w:p>
        </w:tc>
      </w:tr>
      <w:tr w:rsidR="00912F97" w:rsidRPr="00912F97" w14:paraId="06D4E7E6" w14:textId="77777777">
        <w:tc>
          <w:tcPr>
            <w:tcW w:w="4414" w:type="dxa"/>
          </w:tcPr>
          <w:p w14:paraId="35FDE960" w14:textId="77777777" w:rsidR="00833696" w:rsidRPr="00912F97" w:rsidRDefault="000B1380">
            <w:pPr>
              <w:widowControl w:val="0"/>
              <w:spacing w:before="120" w:after="120"/>
              <w:jc w:val="both"/>
              <w:rPr>
                <w:rFonts w:ascii="Palatino Linotype" w:eastAsia="Palatino Linotype" w:hAnsi="Palatino Linotype" w:cs="Palatino Linotype"/>
                <w:sz w:val="20"/>
                <w:szCs w:val="20"/>
              </w:rPr>
            </w:pPr>
            <w:r w:rsidRPr="00912F97">
              <w:rPr>
                <w:rFonts w:ascii="Palatino Linotype" w:eastAsia="Palatino Linotype" w:hAnsi="Palatino Linotype" w:cs="Palatino Linotype"/>
                <w:b/>
                <w:sz w:val="20"/>
                <w:szCs w:val="20"/>
              </w:rPr>
              <w:t>Artículo 69</w:t>
            </w:r>
            <w:r w:rsidRPr="00912F97">
              <w:rPr>
                <w:rFonts w:ascii="Palatino Linotype" w:eastAsia="Palatino Linotype" w:hAnsi="Palatino Linotype" w:cs="Palatino Linotype"/>
                <w:sz w:val="20"/>
                <w:szCs w:val="20"/>
              </w:rPr>
              <w:t xml:space="preserve">. </w:t>
            </w:r>
            <w:r w:rsidRPr="00912F97">
              <w:rPr>
                <w:rFonts w:ascii="Palatino Linotype" w:eastAsia="Palatino Linotype" w:hAnsi="Palatino Linotype" w:cs="Palatino Linotype"/>
                <w:b/>
                <w:sz w:val="20"/>
                <w:szCs w:val="20"/>
              </w:rPr>
              <w:t>Se reconoce a la Contraloría Social como el mecanismo de los beneficiarios, de manera organizada, para verificar el cumplimiento de las metas y la correcta aplicación de los recursos públicos asignados a los programas de desarrollo social</w:t>
            </w:r>
            <w:r w:rsidRPr="00912F97">
              <w:rPr>
                <w:rFonts w:ascii="Palatino Linotype" w:eastAsia="Palatino Linotype" w:hAnsi="Palatino Linotype" w:cs="Palatino Linotype"/>
                <w:sz w:val="20"/>
                <w:szCs w:val="20"/>
              </w:rPr>
              <w:t xml:space="preserve">. </w:t>
            </w:r>
          </w:p>
          <w:p w14:paraId="68EED580" w14:textId="77777777" w:rsidR="00833696" w:rsidRPr="00912F97" w:rsidRDefault="000B1380">
            <w:pPr>
              <w:widowControl w:val="0"/>
              <w:spacing w:before="120" w:after="120"/>
              <w:jc w:val="both"/>
              <w:rPr>
                <w:rFonts w:ascii="Palatino Linotype" w:eastAsia="Palatino Linotype" w:hAnsi="Palatino Linotype" w:cs="Palatino Linotype"/>
                <w:sz w:val="20"/>
                <w:szCs w:val="20"/>
              </w:rPr>
            </w:pPr>
            <w:r w:rsidRPr="00912F97">
              <w:rPr>
                <w:rFonts w:ascii="Palatino Linotype" w:eastAsia="Palatino Linotype" w:hAnsi="Palatino Linotype" w:cs="Palatino Linotype"/>
                <w:b/>
                <w:sz w:val="20"/>
                <w:szCs w:val="20"/>
              </w:rPr>
              <w:t>Artículo 70</w:t>
            </w:r>
            <w:r w:rsidRPr="00912F97">
              <w:rPr>
                <w:rFonts w:ascii="Palatino Linotype" w:eastAsia="Palatino Linotype" w:hAnsi="Palatino Linotype" w:cs="Palatino Linotype"/>
                <w:sz w:val="20"/>
                <w:szCs w:val="20"/>
              </w:rPr>
              <w:t xml:space="preserve">. El Gobierno Federal impulsará la Contraloría Social y le facilitará el acceso a la información necesaria para el cumplimiento de sus funciones. </w:t>
            </w:r>
          </w:p>
          <w:p w14:paraId="2D81703C" w14:textId="77777777" w:rsidR="00833696" w:rsidRPr="00912F97" w:rsidRDefault="000B1380">
            <w:pPr>
              <w:widowControl w:val="0"/>
              <w:spacing w:before="120" w:after="120"/>
              <w:jc w:val="both"/>
              <w:rPr>
                <w:rFonts w:ascii="Palatino Linotype" w:eastAsia="Palatino Linotype" w:hAnsi="Palatino Linotype" w:cs="Palatino Linotype"/>
                <w:sz w:val="20"/>
                <w:szCs w:val="20"/>
              </w:rPr>
            </w:pPr>
            <w:r w:rsidRPr="00912F97">
              <w:rPr>
                <w:rFonts w:ascii="Palatino Linotype" w:eastAsia="Palatino Linotype" w:hAnsi="Palatino Linotype" w:cs="Palatino Linotype"/>
                <w:b/>
                <w:sz w:val="20"/>
                <w:szCs w:val="20"/>
              </w:rPr>
              <w:t>Artículo 71</w:t>
            </w:r>
            <w:r w:rsidRPr="00912F97">
              <w:rPr>
                <w:rFonts w:ascii="Palatino Linotype" w:eastAsia="Palatino Linotype" w:hAnsi="Palatino Linotype" w:cs="Palatino Linotype"/>
                <w:sz w:val="20"/>
                <w:szCs w:val="20"/>
              </w:rPr>
              <w:t xml:space="preserve">. Son funciones de la Contraloría </w:t>
            </w:r>
            <w:r w:rsidRPr="00912F97">
              <w:rPr>
                <w:rFonts w:ascii="Palatino Linotype" w:eastAsia="Palatino Linotype" w:hAnsi="Palatino Linotype" w:cs="Palatino Linotype"/>
                <w:sz w:val="20"/>
                <w:szCs w:val="20"/>
              </w:rPr>
              <w:lastRenderedPageBreak/>
              <w:t xml:space="preserve">Social: </w:t>
            </w:r>
          </w:p>
          <w:p w14:paraId="59BB7461" w14:textId="77777777" w:rsidR="00833696" w:rsidRPr="00912F97" w:rsidRDefault="000B1380">
            <w:pPr>
              <w:widowControl w:val="0"/>
              <w:spacing w:before="120" w:after="120"/>
              <w:ind w:left="171"/>
              <w:jc w:val="both"/>
              <w:rPr>
                <w:rFonts w:ascii="Palatino Linotype" w:eastAsia="Palatino Linotype" w:hAnsi="Palatino Linotype" w:cs="Palatino Linotype"/>
                <w:sz w:val="20"/>
                <w:szCs w:val="20"/>
              </w:rPr>
            </w:pPr>
            <w:r w:rsidRPr="00912F97">
              <w:rPr>
                <w:rFonts w:ascii="Palatino Linotype" w:eastAsia="Palatino Linotype" w:hAnsi="Palatino Linotype" w:cs="Palatino Linotype"/>
                <w:b/>
                <w:sz w:val="20"/>
                <w:szCs w:val="20"/>
              </w:rPr>
              <w:t>I</w:t>
            </w:r>
            <w:r w:rsidRPr="00912F97">
              <w:rPr>
                <w:rFonts w:ascii="Palatino Linotype" w:eastAsia="Palatino Linotype" w:hAnsi="Palatino Linotype" w:cs="Palatino Linotype"/>
                <w:sz w:val="20"/>
                <w:szCs w:val="20"/>
              </w:rPr>
              <w:t xml:space="preserve">. Solicitar la información a las autoridades federales, estatales y municipales responsables de los programas de desarrollo social que considere necesaria para el desempeño de sus funciones; </w:t>
            </w:r>
          </w:p>
          <w:p w14:paraId="076C8B21" w14:textId="77777777" w:rsidR="00833696" w:rsidRPr="00912F97" w:rsidRDefault="000B1380">
            <w:pPr>
              <w:widowControl w:val="0"/>
              <w:spacing w:before="120" w:after="120"/>
              <w:ind w:left="171"/>
              <w:jc w:val="both"/>
              <w:rPr>
                <w:rFonts w:ascii="Palatino Linotype" w:eastAsia="Palatino Linotype" w:hAnsi="Palatino Linotype" w:cs="Palatino Linotype"/>
                <w:sz w:val="20"/>
                <w:szCs w:val="20"/>
              </w:rPr>
            </w:pPr>
            <w:r w:rsidRPr="00912F97">
              <w:rPr>
                <w:rFonts w:ascii="Palatino Linotype" w:eastAsia="Palatino Linotype" w:hAnsi="Palatino Linotype" w:cs="Palatino Linotype"/>
                <w:b/>
                <w:sz w:val="20"/>
                <w:szCs w:val="20"/>
              </w:rPr>
              <w:t>II</w:t>
            </w:r>
            <w:r w:rsidRPr="00912F97">
              <w:rPr>
                <w:rFonts w:ascii="Palatino Linotype" w:eastAsia="Palatino Linotype" w:hAnsi="Palatino Linotype" w:cs="Palatino Linotype"/>
                <w:sz w:val="20"/>
                <w:szCs w:val="20"/>
              </w:rPr>
              <w:t xml:space="preserve">. Vigilar el ejercicio de los recursos públicos y la aplicación de los programas de desarrollo social conforme a la Ley y a las reglas de operación; </w:t>
            </w:r>
          </w:p>
          <w:p w14:paraId="6A2214F4" w14:textId="77777777" w:rsidR="00833696" w:rsidRPr="00912F97" w:rsidRDefault="000B1380">
            <w:pPr>
              <w:widowControl w:val="0"/>
              <w:spacing w:before="120" w:after="120"/>
              <w:ind w:left="171"/>
              <w:jc w:val="both"/>
              <w:rPr>
                <w:rFonts w:ascii="Palatino Linotype" w:eastAsia="Palatino Linotype" w:hAnsi="Palatino Linotype" w:cs="Palatino Linotype"/>
                <w:sz w:val="20"/>
                <w:szCs w:val="20"/>
              </w:rPr>
            </w:pPr>
            <w:r w:rsidRPr="00912F97">
              <w:rPr>
                <w:rFonts w:ascii="Palatino Linotype" w:eastAsia="Palatino Linotype" w:hAnsi="Palatino Linotype" w:cs="Palatino Linotype"/>
                <w:b/>
                <w:sz w:val="20"/>
                <w:szCs w:val="20"/>
              </w:rPr>
              <w:t>II</w:t>
            </w:r>
            <w:r w:rsidRPr="00912F97">
              <w:rPr>
                <w:rFonts w:ascii="Palatino Linotype" w:eastAsia="Palatino Linotype" w:hAnsi="Palatino Linotype" w:cs="Palatino Linotype"/>
                <w:sz w:val="20"/>
                <w:szCs w:val="20"/>
              </w:rPr>
              <w:t>I. Emitir informes sobre el desempeño de los programas y ejecución de los recursos públicos;</w:t>
            </w:r>
          </w:p>
          <w:p w14:paraId="388AB5AC" w14:textId="77777777" w:rsidR="00833696" w:rsidRPr="00912F97" w:rsidRDefault="000B1380">
            <w:pPr>
              <w:widowControl w:val="0"/>
              <w:spacing w:before="120" w:after="120"/>
              <w:ind w:left="171"/>
              <w:jc w:val="both"/>
              <w:rPr>
                <w:rFonts w:ascii="Palatino Linotype" w:eastAsia="Palatino Linotype" w:hAnsi="Palatino Linotype" w:cs="Palatino Linotype"/>
                <w:sz w:val="20"/>
                <w:szCs w:val="20"/>
              </w:rPr>
            </w:pPr>
            <w:r w:rsidRPr="00912F97">
              <w:rPr>
                <w:rFonts w:ascii="Palatino Linotype" w:eastAsia="Palatino Linotype" w:hAnsi="Palatino Linotype" w:cs="Palatino Linotype"/>
                <w:b/>
                <w:sz w:val="20"/>
                <w:szCs w:val="20"/>
              </w:rPr>
              <w:t>IV</w:t>
            </w:r>
            <w:r w:rsidRPr="00912F97">
              <w:rPr>
                <w:rFonts w:ascii="Palatino Linotype" w:eastAsia="Palatino Linotype" w:hAnsi="Palatino Linotype" w:cs="Palatino Linotype"/>
                <w:sz w:val="20"/>
                <w:szCs w:val="20"/>
              </w:rPr>
              <w:t>. Atender e investigar las quejas y denuncias presentadas sobre la aplicación y ejecución de los programas, y</w:t>
            </w:r>
          </w:p>
          <w:p w14:paraId="3C6869F1" w14:textId="77777777" w:rsidR="00833696" w:rsidRPr="00912F97" w:rsidRDefault="000B1380">
            <w:pPr>
              <w:widowControl w:val="0"/>
              <w:spacing w:before="120" w:after="120"/>
              <w:ind w:left="171"/>
              <w:jc w:val="both"/>
              <w:rPr>
                <w:rFonts w:ascii="Palatino Linotype" w:eastAsia="Palatino Linotype" w:hAnsi="Palatino Linotype" w:cs="Palatino Linotype"/>
                <w:sz w:val="20"/>
                <w:szCs w:val="20"/>
              </w:rPr>
            </w:pPr>
            <w:r w:rsidRPr="00912F97">
              <w:rPr>
                <w:rFonts w:ascii="Palatino Linotype" w:eastAsia="Palatino Linotype" w:hAnsi="Palatino Linotype" w:cs="Palatino Linotype"/>
                <w:b/>
                <w:sz w:val="20"/>
                <w:szCs w:val="20"/>
              </w:rPr>
              <w:t>V.</w:t>
            </w:r>
            <w:r w:rsidRPr="00912F97">
              <w:rPr>
                <w:rFonts w:ascii="Palatino Linotype" w:eastAsia="Palatino Linotype" w:hAnsi="Palatino Linotype" w:cs="Palatino Linotype"/>
                <w:sz w:val="20"/>
                <w:szCs w:val="20"/>
              </w:rPr>
              <w:t xml:space="preserve"> Presentar ante la autoridad competente las quejas y denuncias que puedan dar lugar al fincamiento de responsabilidades administrativas, civiles o penales relacionadas con los programas sociales.</w:t>
            </w:r>
          </w:p>
        </w:tc>
        <w:tc>
          <w:tcPr>
            <w:tcW w:w="4414" w:type="dxa"/>
          </w:tcPr>
          <w:p w14:paraId="0CB50FF5" w14:textId="77777777" w:rsidR="00833696" w:rsidRPr="00912F97" w:rsidRDefault="000B1380">
            <w:pPr>
              <w:widowControl w:val="0"/>
              <w:spacing w:before="120" w:after="120"/>
              <w:jc w:val="both"/>
              <w:rPr>
                <w:rFonts w:ascii="Palatino Linotype" w:eastAsia="Palatino Linotype" w:hAnsi="Palatino Linotype" w:cs="Palatino Linotype"/>
                <w:b/>
                <w:sz w:val="20"/>
                <w:szCs w:val="20"/>
              </w:rPr>
            </w:pPr>
            <w:r w:rsidRPr="00912F97">
              <w:rPr>
                <w:rFonts w:ascii="Palatino Linotype" w:eastAsia="Palatino Linotype" w:hAnsi="Palatino Linotype" w:cs="Palatino Linotype"/>
                <w:b/>
                <w:sz w:val="20"/>
                <w:szCs w:val="20"/>
              </w:rPr>
              <w:lastRenderedPageBreak/>
              <w:t>Artículo 61</w:t>
            </w:r>
            <w:r w:rsidRPr="00912F97">
              <w:rPr>
                <w:rFonts w:ascii="Palatino Linotype" w:eastAsia="Palatino Linotype" w:hAnsi="Palatino Linotype" w:cs="Palatino Linotype"/>
                <w:sz w:val="20"/>
                <w:szCs w:val="20"/>
              </w:rPr>
              <w:t xml:space="preserve">.- La </w:t>
            </w:r>
            <w:r w:rsidRPr="00912F97">
              <w:rPr>
                <w:rFonts w:ascii="Palatino Linotype" w:eastAsia="Palatino Linotype" w:hAnsi="Palatino Linotype" w:cs="Palatino Linotype"/>
                <w:b/>
                <w:sz w:val="20"/>
                <w:szCs w:val="20"/>
              </w:rPr>
              <w:t xml:space="preserve">Contraloría Social es la encargada de evaluar y vigilar a petición expresa, las acciones relativas a la distribución y aplicación de los recursos públicos a efecto de que se realicen con transparencia, eficacia y honradez. </w:t>
            </w:r>
          </w:p>
          <w:p w14:paraId="1931CF79" w14:textId="77777777" w:rsidR="00833696" w:rsidRPr="00912F97" w:rsidRDefault="000B1380">
            <w:pPr>
              <w:widowControl w:val="0"/>
              <w:spacing w:before="120" w:after="120"/>
              <w:jc w:val="both"/>
              <w:rPr>
                <w:rFonts w:ascii="Palatino Linotype" w:eastAsia="Palatino Linotype" w:hAnsi="Palatino Linotype" w:cs="Palatino Linotype"/>
                <w:sz w:val="20"/>
                <w:szCs w:val="20"/>
              </w:rPr>
            </w:pPr>
            <w:r w:rsidRPr="00912F97">
              <w:rPr>
                <w:rFonts w:ascii="Palatino Linotype" w:eastAsia="Palatino Linotype" w:hAnsi="Palatino Linotype" w:cs="Palatino Linotype"/>
                <w:b/>
                <w:sz w:val="20"/>
                <w:szCs w:val="20"/>
              </w:rPr>
              <w:t>Artículo 62.-</w:t>
            </w:r>
            <w:r w:rsidRPr="00912F97">
              <w:rPr>
                <w:rFonts w:ascii="Palatino Linotype" w:eastAsia="Palatino Linotype" w:hAnsi="Palatino Linotype" w:cs="Palatino Linotype"/>
                <w:sz w:val="20"/>
                <w:szCs w:val="20"/>
              </w:rPr>
              <w:t xml:space="preserve"> Toda personas u organización de la sociedad civil podrá presentar ante la contraloría social la denuncia por hechos acto u omisión, que produzca o pueda producir daños en el ejercicio de los derechos establecidos en esta Ley. </w:t>
            </w:r>
          </w:p>
          <w:p w14:paraId="26F1018B" w14:textId="77777777" w:rsidR="00833696" w:rsidRPr="00912F97" w:rsidRDefault="000B1380">
            <w:pPr>
              <w:widowControl w:val="0"/>
              <w:spacing w:before="120" w:after="120"/>
              <w:jc w:val="both"/>
              <w:rPr>
                <w:rFonts w:ascii="Palatino Linotype" w:eastAsia="Palatino Linotype" w:hAnsi="Palatino Linotype" w:cs="Palatino Linotype"/>
                <w:sz w:val="20"/>
                <w:szCs w:val="20"/>
              </w:rPr>
            </w:pPr>
            <w:r w:rsidRPr="00912F97">
              <w:rPr>
                <w:rFonts w:ascii="Palatino Linotype" w:eastAsia="Palatino Linotype" w:hAnsi="Palatino Linotype" w:cs="Palatino Linotype"/>
                <w:b/>
                <w:sz w:val="20"/>
                <w:szCs w:val="20"/>
              </w:rPr>
              <w:lastRenderedPageBreak/>
              <w:t>Artículo 63.-</w:t>
            </w:r>
            <w:r w:rsidRPr="00912F97">
              <w:rPr>
                <w:rFonts w:ascii="Palatino Linotype" w:eastAsia="Palatino Linotype" w:hAnsi="Palatino Linotype" w:cs="Palatino Linotype"/>
                <w:sz w:val="20"/>
                <w:szCs w:val="20"/>
              </w:rPr>
              <w:t xml:space="preserve"> Las contralorías internas de las dependencias y entidades del Poder Ejecutivo y las de los municipios, integrarán al inicio de cada ejercicio fiscal, en su programa anual de auditoría, las acciones que consideren, para verificar el ejercicio de los recursos públicos destinados al Desarrollo Social, con el cumplimiento de los objetivos y metas señaladas en el plan y los programas, así como de la debida observancia de esta Ley.</w:t>
            </w:r>
          </w:p>
        </w:tc>
      </w:tr>
    </w:tbl>
    <w:p w14:paraId="30D11116" w14:textId="77777777" w:rsidR="00833696" w:rsidRPr="00912F97" w:rsidRDefault="000B1380">
      <w:pP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lastRenderedPageBreak/>
        <w:t>Asimismo, es oportuno traer a colación los Lineamientos Generales de Operación del Programa de Contraloría Social, que disponen lo siguiente en su parte conducente:</w:t>
      </w:r>
    </w:p>
    <w:p w14:paraId="5F894B1D" w14:textId="77777777" w:rsidR="00833696" w:rsidRPr="00912F97" w:rsidRDefault="000B1380">
      <w:pPr>
        <w:pBdr>
          <w:top w:val="nil"/>
          <w:left w:val="nil"/>
          <w:bottom w:val="nil"/>
          <w:right w:val="nil"/>
          <w:between w:val="nil"/>
        </w:pBdr>
        <w:spacing w:before="120" w:after="120"/>
        <w:ind w:left="851" w:right="851"/>
        <w:jc w:val="both"/>
        <w:rPr>
          <w:rFonts w:ascii="Palatino Linotype" w:eastAsia="Palatino Linotype" w:hAnsi="Palatino Linotype" w:cs="Palatino Linotype"/>
          <w:b/>
          <w:i/>
          <w:sz w:val="22"/>
          <w:szCs w:val="22"/>
        </w:rPr>
      </w:pPr>
      <w:r w:rsidRPr="00912F97">
        <w:rPr>
          <w:rFonts w:ascii="Palatino Linotype" w:eastAsia="Palatino Linotype" w:hAnsi="Palatino Linotype" w:cs="Palatino Linotype"/>
          <w:i/>
          <w:sz w:val="22"/>
          <w:szCs w:val="22"/>
        </w:rPr>
        <w:t>“</w:t>
      </w:r>
      <w:r w:rsidRPr="00912F97">
        <w:rPr>
          <w:rFonts w:ascii="Palatino Linotype" w:eastAsia="Palatino Linotype" w:hAnsi="Palatino Linotype" w:cs="Palatino Linotype"/>
          <w:b/>
          <w:i/>
          <w:sz w:val="22"/>
          <w:szCs w:val="22"/>
        </w:rPr>
        <w:t>CONCEPTOS GENERALES DEL PROGRAMA DE CONTRALORÍA SOCIAL</w:t>
      </w:r>
    </w:p>
    <w:p w14:paraId="3113745F" w14:textId="77777777" w:rsidR="00833696" w:rsidRPr="00912F97" w:rsidRDefault="000B1380">
      <w:pPr>
        <w:pBdr>
          <w:top w:val="nil"/>
          <w:left w:val="nil"/>
          <w:bottom w:val="nil"/>
          <w:right w:val="nil"/>
          <w:between w:val="nil"/>
        </w:pBdr>
        <w:spacing w:before="120" w:after="120"/>
        <w:ind w:left="1134" w:right="851"/>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2.1</w:t>
      </w:r>
      <w:r w:rsidRPr="00912F97">
        <w:rPr>
          <w:rFonts w:ascii="Palatino Linotype" w:eastAsia="Palatino Linotype" w:hAnsi="Palatino Linotype" w:cs="Palatino Linotype"/>
          <w:i/>
          <w:sz w:val="22"/>
          <w:szCs w:val="22"/>
        </w:rPr>
        <w:t xml:space="preserve">. Secretaría La Secretaría de la Contraloría del Poder Ejecutivo del Gobierno del Estado de México. </w:t>
      </w:r>
    </w:p>
    <w:p w14:paraId="52643C5F" w14:textId="77777777" w:rsidR="00833696" w:rsidRPr="00912F97" w:rsidRDefault="000B1380">
      <w:pPr>
        <w:pBdr>
          <w:top w:val="nil"/>
          <w:left w:val="nil"/>
          <w:bottom w:val="nil"/>
          <w:right w:val="nil"/>
          <w:between w:val="nil"/>
        </w:pBdr>
        <w:spacing w:before="120" w:after="120"/>
        <w:ind w:left="1134" w:right="851"/>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2.2</w:t>
      </w:r>
      <w:r w:rsidRPr="00912F97">
        <w:rPr>
          <w:rFonts w:ascii="Palatino Linotype" w:eastAsia="Palatino Linotype" w:hAnsi="Palatino Linotype" w:cs="Palatino Linotype"/>
          <w:i/>
          <w:sz w:val="22"/>
          <w:szCs w:val="22"/>
        </w:rPr>
        <w:t>. Entidad Administrativa A las dependencias y organismos auxiliares de la Administración Pública del Estado de México, así como los ayuntamientos e instancias públicas municipales cuando confluyan recursos estatales totales o parciales</w:t>
      </w:r>
    </w:p>
    <w:p w14:paraId="6A6CFCE0" w14:textId="77777777" w:rsidR="00833696" w:rsidRPr="00912F97" w:rsidRDefault="000B1380">
      <w:pPr>
        <w:pBdr>
          <w:top w:val="nil"/>
          <w:left w:val="nil"/>
          <w:bottom w:val="nil"/>
          <w:right w:val="nil"/>
          <w:between w:val="nil"/>
        </w:pBdr>
        <w:spacing w:before="120" w:after="120"/>
        <w:ind w:left="851" w:right="851"/>
        <w:jc w:val="both"/>
        <w:rPr>
          <w:rFonts w:ascii="Palatino Linotype" w:eastAsia="Palatino Linotype" w:hAnsi="Palatino Linotype" w:cs="Palatino Linotype"/>
          <w:b/>
          <w:i/>
          <w:sz w:val="22"/>
          <w:szCs w:val="22"/>
        </w:rPr>
      </w:pPr>
      <w:r w:rsidRPr="00912F97">
        <w:rPr>
          <w:rFonts w:ascii="Palatino Linotype" w:eastAsia="Palatino Linotype" w:hAnsi="Palatino Linotype" w:cs="Palatino Linotype"/>
          <w:b/>
          <w:i/>
          <w:sz w:val="22"/>
          <w:szCs w:val="22"/>
        </w:rPr>
        <w:t>RESPONSABILIDADES DE LAS ENTIDADES ADMINISTRATIVAS</w:t>
      </w:r>
    </w:p>
    <w:p w14:paraId="722DFA95" w14:textId="77777777" w:rsidR="00833696" w:rsidRPr="00912F97" w:rsidRDefault="000B1380">
      <w:pPr>
        <w:pBdr>
          <w:top w:val="nil"/>
          <w:left w:val="nil"/>
          <w:bottom w:val="nil"/>
          <w:right w:val="nil"/>
          <w:between w:val="nil"/>
        </w:pBdr>
        <w:spacing w:before="120" w:after="120"/>
        <w:ind w:left="1134" w:right="851"/>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lastRenderedPageBreak/>
        <w:t>6.1</w:t>
      </w:r>
      <w:r w:rsidRPr="00912F97">
        <w:rPr>
          <w:rFonts w:ascii="Palatino Linotype" w:eastAsia="Palatino Linotype" w:hAnsi="Palatino Linotype" w:cs="Palatino Linotype"/>
          <w:i/>
          <w:sz w:val="22"/>
          <w:szCs w:val="22"/>
        </w:rPr>
        <w:t xml:space="preserve">. Las Entidades Administrativas que presten, ejecuten u operen el programa social, obra pública, acción, trámite o servicio en los que opere el Programa de Contraloría Social, </w:t>
      </w:r>
      <w:r w:rsidRPr="00912F97">
        <w:rPr>
          <w:rFonts w:ascii="Palatino Linotype" w:eastAsia="Palatino Linotype" w:hAnsi="Palatino Linotype" w:cs="Palatino Linotype"/>
          <w:b/>
          <w:i/>
          <w:sz w:val="22"/>
          <w:szCs w:val="22"/>
        </w:rPr>
        <w:t>tendrán con el COCICOVI</w:t>
      </w:r>
      <w:r w:rsidRPr="00912F97">
        <w:rPr>
          <w:rFonts w:ascii="Palatino Linotype" w:eastAsia="Palatino Linotype" w:hAnsi="Palatino Linotype" w:cs="Palatino Linotype"/>
          <w:i/>
          <w:sz w:val="22"/>
          <w:szCs w:val="22"/>
        </w:rPr>
        <w:t xml:space="preserve"> las siguientes responsabilidades:</w:t>
      </w:r>
    </w:p>
    <w:p w14:paraId="68F324D5" w14:textId="77777777" w:rsidR="00833696" w:rsidRPr="00912F97" w:rsidRDefault="000B1380">
      <w:pPr>
        <w:pBdr>
          <w:top w:val="nil"/>
          <w:left w:val="nil"/>
          <w:bottom w:val="nil"/>
          <w:right w:val="nil"/>
          <w:between w:val="nil"/>
        </w:pBdr>
        <w:spacing w:before="120" w:after="120"/>
        <w:ind w:left="1134" w:right="851"/>
        <w:jc w:val="both"/>
        <w:rPr>
          <w:rFonts w:ascii="Palatino Linotype" w:eastAsia="Palatino Linotype" w:hAnsi="Palatino Linotype" w:cs="Palatino Linotype"/>
          <w:b/>
          <w:i/>
          <w:sz w:val="22"/>
          <w:szCs w:val="22"/>
          <w:u w:val="single"/>
        </w:rPr>
      </w:pPr>
      <w:r w:rsidRPr="00912F97">
        <w:rPr>
          <w:rFonts w:ascii="Palatino Linotype" w:eastAsia="Palatino Linotype" w:hAnsi="Palatino Linotype" w:cs="Palatino Linotype"/>
          <w:b/>
          <w:i/>
          <w:sz w:val="22"/>
          <w:szCs w:val="22"/>
          <w:u w:val="single"/>
        </w:rPr>
        <w:t>6.2. Participar en las asambleas de integración del COCICOVI, dando a conocer a los asistentes las características operativas, técnicas, físicas y financieras del programa socia!, obra pública, acción, trámite o servicio.</w:t>
      </w:r>
    </w:p>
    <w:p w14:paraId="52D8DF36" w14:textId="77777777" w:rsidR="00833696" w:rsidRPr="00912F97" w:rsidRDefault="000B1380">
      <w:pPr>
        <w:pBdr>
          <w:top w:val="nil"/>
          <w:left w:val="nil"/>
          <w:bottom w:val="nil"/>
          <w:right w:val="nil"/>
          <w:between w:val="nil"/>
        </w:pBdr>
        <w:spacing w:before="120" w:after="120"/>
        <w:ind w:left="1134" w:right="851"/>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i/>
          <w:sz w:val="22"/>
          <w:szCs w:val="22"/>
        </w:rPr>
        <w:t>…</w:t>
      </w:r>
    </w:p>
    <w:p w14:paraId="64F800AB" w14:textId="77777777" w:rsidR="00833696" w:rsidRPr="00912F97" w:rsidRDefault="000B1380">
      <w:pPr>
        <w:pBdr>
          <w:top w:val="nil"/>
          <w:left w:val="nil"/>
          <w:bottom w:val="nil"/>
          <w:right w:val="nil"/>
          <w:between w:val="nil"/>
        </w:pBdr>
        <w:spacing w:before="120" w:after="120"/>
        <w:ind w:left="1134" w:right="851"/>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7. 1</w:t>
      </w:r>
      <w:r w:rsidRPr="00912F97">
        <w:rPr>
          <w:rFonts w:ascii="Palatino Linotype" w:eastAsia="Palatino Linotype" w:hAnsi="Palatino Linotype" w:cs="Palatino Linotype"/>
          <w:i/>
          <w:sz w:val="22"/>
          <w:szCs w:val="22"/>
        </w:rPr>
        <w:t xml:space="preserve"> . La Secretaría coordinará el Programa de Contraloría Social tomando en consideración las disposiciones correspondientes. </w:t>
      </w:r>
    </w:p>
    <w:p w14:paraId="193E8919" w14:textId="77777777" w:rsidR="00833696" w:rsidRPr="00912F97" w:rsidRDefault="000B1380">
      <w:pPr>
        <w:pBdr>
          <w:top w:val="nil"/>
          <w:left w:val="nil"/>
          <w:bottom w:val="nil"/>
          <w:right w:val="nil"/>
          <w:between w:val="nil"/>
        </w:pBdr>
        <w:spacing w:before="120" w:after="120"/>
        <w:ind w:left="1134" w:right="851"/>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7.2</w:t>
      </w:r>
      <w:r w:rsidRPr="00912F97">
        <w:rPr>
          <w:rFonts w:ascii="Palatino Linotype" w:eastAsia="Palatino Linotype" w:hAnsi="Palatino Linotype" w:cs="Palatino Linotype"/>
          <w:i/>
          <w:sz w:val="22"/>
          <w:szCs w:val="22"/>
        </w:rPr>
        <w:t xml:space="preserve">. La Secretaría, a través de la Dirección General de Contraloría y Evaluación Social, presentará a la Entidad Administrativa el Proyecto Específico del Programa de Contraloría Social correspondiente, para implementar el Programa de Contraloría Social. </w:t>
      </w:r>
    </w:p>
    <w:p w14:paraId="0F1E49EB" w14:textId="77777777" w:rsidR="00833696" w:rsidRPr="00912F97" w:rsidRDefault="000B1380">
      <w:pPr>
        <w:pBdr>
          <w:top w:val="nil"/>
          <w:left w:val="nil"/>
          <w:bottom w:val="nil"/>
          <w:right w:val="nil"/>
          <w:between w:val="nil"/>
        </w:pBdr>
        <w:spacing w:before="120" w:after="120"/>
        <w:ind w:left="1134" w:right="851"/>
        <w:jc w:val="both"/>
        <w:rPr>
          <w:rFonts w:ascii="Palatino Linotype" w:eastAsia="Palatino Linotype" w:hAnsi="Palatino Linotype" w:cs="Palatino Linotype"/>
          <w:b/>
          <w:i/>
          <w:sz w:val="22"/>
          <w:szCs w:val="22"/>
          <w:u w:val="single"/>
        </w:rPr>
      </w:pPr>
      <w:r w:rsidRPr="00912F97">
        <w:rPr>
          <w:rFonts w:ascii="Palatino Linotype" w:eastAsia="Palatino Linotype" w:hAnsi="Palatino Linotype" w:cs="Palatino Linotype"/>
          <w:b/>
          <w:i/>
          <w:sz w:val="22"/>
          <w:szCs w:val="22"/>
          <w:u w:val="single"/>
        </w:rPr>
        <w:t xml:space="preserve">7.3. La Secretaría, a través de la Dirección General de Contraloría y Evaluación Social, llevará el registro y control estadístico de los COCICOVI. </w:t>
      </w:r>
    </w:p>
    <w:p w14:paraId="18067AF0" w14:textId="77777777" w:rsidR="00833696" w:rsidRPr="00912F97" w:rsidRDefault="000B1380">
      <w:pPr>
        <w:pBdr>
          <w:top w:val="nil"/>
          <w:left w:val="nil"/>
          <w:bottom w:val="nil"/>
          <w:right w:val="nil"/>
          <w:between w:val="nil"/>
        </w:pBdr>
        <w:spacing w:before="120" w:after="120"/>
        <w:ind w:left="1134" w:right="851"/>
        <w:jc w:val="both"/>
        <w:rPr>
          <w:rFonts w:ascii="Palatino Linotype" w:eastAsia="Palatino Linotype" w:hAnsi="Palatino Linotype" w:cs="Palatino Linotype"/>
          <w:b/>
          <w:i/>
          <w:sz w:val="22"/>
          <w:szCs w:val="22"/>
        </w:rPr>
      </w:pPr>
      <w:r w:rsidRPr="00912F97">
        <w:rPr>
          <w:rFonts w:ascii="Palatino Linotype" w:eastAsia="Palatino Linotype" w:hAnsi="Palatino Linotype" w:cs="Palatino Linotype"/>
          <w:b/>
          <w:i/>
          <w:sz w:val="22"/>
          <w:szCs w:val="22"/>
        </w:rPr>
        <w:t>7.4</w:t>
      </w:r>
      <w:r w:rsidRPr="00912F97">
        <w:rPr>
          <w:rFonts w:ascii="Palatino Linotype" w:eastAsia="Palatino Linotype" w:hAnsi="Palatino Linotype" w:cs="Palatino Linotype"/>
          <w:i/>
          <w:sz w:val="22"/>
          <w:szCs w:val="22"/>
        </w:rPr>
        <w:t xml:space="preserve">. La Secretaría, a través de la Dirección General de Contraloría y Evaluación Social, protegerá el manejo de información confidencial de la ciudadanía en estricto apego a las leyes establecidas en la materia.” </w:t>
      </w:r>
    </w:p>
    <w:p w14:paraId="4BA7165D" w14:textId="77777777" w:rsidR="00833696" w:rsidRPr="00912F97" w:rsidRDefault="000B1380">
      <w:pPr>
        <w:widowControl w:val="0"/>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De lo anterior, se colige lo siguiente:</w:t>
      </w:r>
    </w:p>
    <w:p w14:paraId="6411CB12" w14:textId="77777777" w:rsidR="00833696" w:rsidRPr="00912F97" w:rsidRDefault="000B1380">
      <w:pPr>
        <w:numPr>
          <w:ilvl w:val="0"/>
          <w:numId w:val="1"/>
        </w:numPr>
        <w:pBdr>
          <w:top w:val="nil"/>
          <w:left w:val="nil"/>
          <w:bottom w:val="nil"/>
          <w:right w:val="nil"/>
          <w:between w:val="nil"/>
        </w:pBdr>
        <w:spacing w:line="360" w:lineRule="auto"/>
        <w:ind w:left="284" w:firstLine="0"/>
        <w:jc w:val="both"/>
        <w:rPr>
          <w:rFonts w:ascii="Palatino Linotype" w:eastAsia="Palatino Linotype" w:hAnsi="Palatino Linotype" w:cs="Palatino Linotype"/>
        </w:rPr>
      </w:pPr>
      <w:r w:rsidRPr="00912F97">
        <w:rPr>
          <w:rFonts w:ascii="Palatino Linotype" w:eastAsia="Palatino Linotype" w:hAnsi="Palatino Linotype" w:cs="Palatino Linotype"/>
        </w:rPr>
        <w:t>La contraloría social es la participación organizada de la ciudadanía en acciones de observación, vigilancia, inspección y escrutinio público sobre los programas sociales, obra pública, acciones, trámites y servicios de la Administración Pública, con el propósito de contribuir a que la gestión gubernamental se realice con transparencia, eficacia, eficiencia, legalidad, honestidad y honradez, fortaleciendo la rendición de cuentas.</w:t>
      </w:r>
    </w:p>
    <w:p w14:paraId="19A850DA" w14:textId="77777777" w:rsidR="00833696" w:rsidRPr="00912F97" w:rsidRDefault="000B1380">
      <w:pPr>
        <w:numPr>
          <w:ilvl w:val="0"/>
          <w:numId w:val="1"/>
        </w:numPr>
        <w:pBdr>
          <w:top w:val="nil"/>
          <w:left w:val="nil"/>
          <w:bottom w:val="nil"/>
          <w:right w:val="nil"/>
          <w:between w:val="nil"/>
        </w:pBdr>
        <w:spacing w:line="360" w:lineRule="auto"/>
        <w:ind w:left="284" w:firstLine="0"/>
        <w:jc w:val="both"/>
        <w:rPr>
          <w:rFonts w:ascii="Palatino Linotype" w:eastAsia="Palatino Linotype" w:hAnsi="Palatino Linotype" w:cs="Palatino Linotype"/>
        </w:rPr>
      </w:pPr>
      <w:r w:rsidRPr="00912F97">
        <w:rPr>
          <w:rFonts w:ascii="Palatino Linotype" w:eastAsia="Palatino Linotype" w:hAnsi="Palatino Linotype" w:cs="Palatino Linotype"/>
        </w:rPr>
        <w:lastRenderedPageBreak/>
        <w:t xml:space="preserve">Que la contraloría social se nutre de la participación de un cuerpo colegiado integrado por ciudadanos, quienes observan, vigilan e inspeccionan programas sociales, obra pública, acciones, prestación de trámites y servicios. </w:t>
      </w:r>
    </w:p>
    <w:p w14:paraId="69327078" w14:textId="77777777" w:rsidR="00833696" w:rsidRPr="00912F97" w:rsidRDefault="000B1380">
      <w:pPr>
        <w:numPr>
          <w:ilvl w:val="0"/>
          <w:numId w:val="1"/>
        </w:numPr>
        <w:pBdr>
          <w:top w:val="nil"/>
          <w:left w:val="nil"/>
          <w:bottom w:val="nil"/>
          <w:right w:val="nil"/>
          <w:between w:val="nil"/>
        </w:pBdr>
        <w:spacing w:line="360" w:lineRule="auto"/>
        <w:ind w:left="284" w:firstLine="0"/>
        <w:jc w:val="both"/>
        <w:rPr>
          <w:rFonts w:ascii="Palatino Linotype" w:eastAsia="Palatino Linotype" w:hAnsi="Palatino Linotype" w:cs="Palatino Linotype"/>
        </w:rPr>
      </w:pPr>
      <w:r w:rsidRPr="00912F97">
        <w:rPr>
          <w:rFonts w:ascii="Palatino Linotype" w:eastAsia="Palatino Linotype" w:hAnsi="Palatino Linotype" w:cs="Palatino Linotype"/>
        </w:rPr>
        <w:t xml:space="preserve">Que la contraloría social es un mecanismo de participación ciudadana previsto armónicamente en normatividad federal, estatal y municipal. </w:t>
      </w:r>
    </w:p>
    <w:p w14:paraId="4F118B0D" w14:textId="77777777" w:rsidR="00833696" w:rsidRPr="00912F97" w:rsidRDefault="000B1380">
      <w:pPr>
        <w:widowControl w:val="0"/>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En tal tesitura, el Bando Municipal de Ecatepec de Morelos, en su artículo 49, párrafo cuarto, establece lo siguiente:</w:t>
      </w:r>
    </w:p>
    <w:p w14:paraId="6F105B4B" w14:textId="77777777" w:rsidR="00833696" w:rsidRPr="00912F97" w:rsidRDefault="000B1380">
      <w:pPr>
        <w:widowControl w:val="0"/>
        <w:spacing w:before="120" w:after="120"/>
        <w:ind w:left="851"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i/>
          <w:sz w:val="22"/>
          <w:szCs w:val="22"/>
        </w:rPr>
        <w:t>“</w:t>
      </w:r>
      <w:r w:rsidRPr="00912F97">
        <w:rPr>
          <w:rFonts w:ascii="Palatino Linotype" w:eastAsia="Palatino Linotype" w:hAnsi="Palatino Linotype" w:cs="Palatino Linotype"/>
          <w:b/>
          <w:i/>
          <w:sz w:val="22"/>
          <w:szCs w:val="22"/>
        </w:rPr>
        <w:t>Artículo 49</w:t>
      </w:r>
      <w:r w:rsidRPr="00912F97">
        <w:rPr>
          <w:rFonts w:ascii="Palatino Linotype" w:eastAsia="Palatino Linotype" w:hAnsi="Palatino Linotype" w:cs="Palatino Linotype"/>
          <w:i/>
          <w:sz w:val="22"/>
          <w:szCs w:val="22"/>
        </w:rPr>
        <w:t>…</w:t>
      </w:r>
    </w:p>
    <w:p w14:paraId="618B49D3" w14:textId="77777777" w:rsidR="00833696" w:rsidRPr="00912F97" w:rsidRDefault="000B1380">
      <w:pPr>
        <w:widowControl w:val="0"/>
        <w:spacing w:before="120" w:after="120"/>
        <w:ind w:left="851"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i/>
          <w:sz w:val="22"/>
          <w:szCs w:val="22"/>
        </w:rPr>
        <w:t xml:space="preserve">Para efectos de mejorar el servicio público municipal </w:t>
      </w:r>
      <w:r w:rsidRPr="00912F97">
        <w:rPr>
          <w:rFonts w:ascii="Palatino Linotype" w:eastAsia="Palatino Linotype" w:hAnsi="Palatino Linotype" w:cs="Palatino Linotype"/>
          <w:b/>
          <w:i/>
          <w:sz w:val="22"/>
          <w:szCs w:val="22"/>
          <w:u w:val="single"/>
        </w:rPr>
        <w:t>se crea la figura del Contralor Social</w:t>
      </w:r>
      <w:r w:rsidRPr="00912F97">
        <w:rPr>
          <w:rFonts w:ascii="Palatino Linotype" w:eastAsia="Palatino Linotype" w:hAnsi="Palatino Linotype" w:cs="Palatino Linotype"/>
          <w:i/>
          <w:sz w:val="22"/>
          <w:szCs w:val="22"/>
        </w:rPr>
        <w:t xml:space="preserve"> </w:t>
      </w:r>
      <w:r w:rsidRPr="00912F97">
        <w:rPr>
          <w:rFonts w:ascii="Palatino Linotype" w:eastAsia="Palatino Linotype" w:hAnsi="Palatino Linotype" w:cs="Palatino Linotype"/>
          <w:b/>
          <w:i/>
          <w:sz w:val="22"/>
          <w:szCs w:val="22"/>
        </w:rPr>
        <w:t>mediante los Comités Ciudadanos de Control y Vigilancia (COCICOVIS),</w:t>
      </w:r>
      <w:r w:rsidRPr="00912F97">
        <w:rPr>
          <w:rFonts w:ascii="Palatino Linotype" w:eastAsia="Palatino Linotype" w:hAnsi="Palatino Linotype" w:cs="Palatino Linotype"/>
          <w:i/>
          <w:sz w:val="22"/>
          <w:szCs w:val="22"/>
        </w:rPr>
        <w:t xml:space="preserve"> entendiéndose como tal a cualquier ciudadano o ciudadana que reúna los requisitos previamente establecidos, a fin de que </w:t>
      </w:r>
      <w:r w:rsidRPr="00912F97">
        <w:rPr>
          <w:rFonts w:ascii="Palatino Linotype" w:eastAsia="Palatino Linotype" w:hAnsi="Palatino Linotype" w:cs="Palatino Linotype"/>
          <w:b/>
          <w:i/>
          <w:sz w:val="22"/>
          <w:szCs w:val="22"/>
        </w:rPr>
        <w:t>se lleven a cabo acciones de control, observancia, vigilancia, reporte y evaluación de las obras realizadas con recursos públicos</w:t>
      </w:r>
      <w:r w:rsidRPr="00912F97">
        <w:rPr>
          <w:rFonts w:ascii="Palatino Linotype" w:eastAsia="Palatino Linotype" w:hAnsi="Palatino Linotype" w:cs="Palatino Linotype"/>
          <w:i/>
          <w:sz w:val="22"/>
          <w:szCs w:val="22"/>
        </w:rPr>
        <w:t>; así como observar y vigilar que los trámites y servicios gubernamentales se lleven a cabo con apego a la Ley.”</w:t>
      </w:r>
    </w:p>
    <w:p w14:paraId="379C0DFA" w14:textId="77777777" w:rsidR="00833696" w:rsidRPr="00912F97" w:rsidRDefault="000B1380">
      <w:pPr>
        <w:widowControl w:val="0"/>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 xml:space="preserve">Como se advierte, contrario a lo manifestado por la Unidad de Transparencia, el </w:t>
      </w:r>
      <w:r w:rsidRPr="00912F97">
        <w:rPr>
          <w:rFonts w:ascii="Palatino Linotype" w:eastAsia="Palatino Linotype" w:hAnsi="Palatino Linotype" w:cs="Palatino Linotype"/>
          <w:b/>
        </w:rPr>
        <w:t xml:space="preserve">Sujeto Obligado </w:t>
      </w:r>
      <w:r w:rsidRPr="00912F97">
        <w:rPr>
          <w:rFonts w:ascii="Palatino Linotype" w:eastAsia="Palatino Linotype" w:hAnsi="Palatino Linotype" w:cs="Palatino Linotype"/>
        </w:rPr>
        <w:t>si cuenta con una Contraloría Social, que corresponde con los Comités Ciudadanos de Control y Vigilancia, o COCICOVIS, los cuales se encuentran regulados en el Capítulo Cuarto Bis De los Comités Ciudadanos de Control y Vigilancia, de la Ley Orgánica Municipal del Estado de México y Municipios.</w:t>
      </w:r>
    </w:p>
    <w:p w14:paraId="78D0FFFE" w14:textId="77777777" w:rsidR="00833696" w:rsidRPr="00912F97" w:rsidRDefault="000B1380">
      <w:pP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 xml:space="preserve">En este orden de ideas, los artículos 113 A, 113 B y 113 C, de  la Ley Orgánica Municipal del Estado de México y Municipios, disponen que los Comités Ciudadanos de Control y Vigilancia son responsables de supervisar la obra pública </w:t>
      </w:r>
      <w:r w:rsidRPr="00912F97">
        <w:rPr>
          <w:rFonts w:ascii="Palatino Linotype" w:eastAsia="Palatino Linotype" w:hAnsi="Palatino Linotype" w:cs="Palatino Linotype"/>
        </w:rPr>
        <w:lastRenderedPageBreak/>
        <w:t>estatal y municipal, para lo cual se integrarán por tres vecinos de la localidad en la que se constituya la obra, y serán electos en asamblea general, por los ciudadanos beneficiados por aquella. Para cada obra estatal o municipal se constituirá un comité ciudadano de control y vigilancia, sin embargo, en aquellos casos en los que las características técnicas o las dimensiones de la obra lo ameriten, podrán integrarse más de uno, a saber:</w:t>
      </w:r>
    </w:p>
    <w:p w14:paraId="04F99AC1" w14:textId="77777777" w:rsidR="00833696" w:rsidRPr="00912F97" w:rsidRDefault="000B1380">
      <w:pPr>
        <w:spacing w:before="120" w:after="120"/>
        <w:ind w:left="851"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i/>
          <w:sz w:val="22"/>
          <w:szCs w:val="22"/>
        </w:rPr>
        <w:t>“</w:t>
      </w:r>
      <w:r w:rsidRPr="00912F97">
        <w:rPr>
          <w:rFonts w:ascii="Palatino Linotype" w:eastAsia="Palatino Linotype" w:hAnsi="Palatino Linotype" w:cs="Palatino Linotype"/>
          <w:b/>
          <w:i/>
          <w:sz w:val="22"/>
          <w:szCs w:val="22"/>
        </w:rPr>
        <w:t>Artículo 113 A.-</w:t>
      </w:r>
      <w:r w:rsidRPr="00912F97">
        <w:rPr>
          <w:rFonts w:ascii="Palatino Linotype" w:eastAsia="Palatino Linotype" w:hAnsi="Palatino Linotype" w:cs="Palatino Linotype"/>
          <w:i/>
          <w:sz w:val="22"/>
          <w:szCs w:val="22"/>
        </w:rPr>
        <w:t xml:space="preserve"> Los ayuntamientos promoverán la constitución de comités ciudadanos de control y vigilancia, los que serán responsables de supervisar la obra pública estatal y municipal. </w:t>
      </w:r>
    </w:p>
    <w:p w14:paraId="76B28BBE" w14:textId="77777777" w:rsidR="00833696" w:rsidRPr="00912F97" w:rsidRDefault="000B1380">
      <w:pPr>
        <w:spacing w:before="120" w:after="120"/>
        <w:ind w:left="851"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Artículo 113 B.-</w:t>
      </w:r>
      <w:r w:rsidRPr="00912F97">
        <w:rPr>
          <w:rFonts w:ascii="Palatino Linotype" w:eastAsia="Palatino Linotype" w:hAnsi="Palatino Linotype" w:cs="Palatino Linotype"/>
          <w:i/>
          <w:sz w:val="22"/>
          <w:szCs w:val="22"/>
        </w:rPr>
        <w:t xml:space="preserve"> Los comités ciudadanos de control y vigilancia estarán integrados por tres vecinos de la localidad en la que se construya la obra, serán electos en asamblea general, por los ciudadanos beneficiados por aquélla. El cargo de integrante del comité será honorífico. </w:t>
      </w:r>
    </w:p>
    <w:p w14:paraId="3AA7E99E" w14:textId="77777777" w:rsidR="00833696" w:rsidRPr="00912F97" w:rsidRDefault="000B1380">
      <w:pPr>
        <w:spacing w:before="120" w:after="120"/>
        <w:ind w:left="851"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i/>
          <w:sz w:val="22"/>
          <w:szCs w:val="22"/>
        </w:rPr>
        <w:t xml:space="preserve">No podrán ser integrantes de los comités las personas que sean dirigentes de organizaciones políticas o servidores públicos. </w:t>
      </w:r>
    </w:p>
    <w:p w14:paraId="56BA13F6" w14:textId="77777777" w:rsidR="00833696" w:rsidRPr="00912F97" w:rsidRDefault="000B1380">
      <w:pPr>
        <w:spacing w:before="120" w:after="120"/>
        <w:ind w:left="851"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Artículo 113 C.-</w:t>
      </w:r>
      <w:r w:rsidRPr="00912F97">
        <w:rPr>
          <w:rFonts w:ascii="Palatino Linotype" w:eastAsia="Palatino Linotype" w:hAnsi="Palatino Linotype" w:cs="Palatino Linotype"/>
          <w:i/>
          <w:sz w:val="22"/>
          <w:szCs w:val="22"/>
        </w:rPr>
        <w:t xml:space="preserve"> Para cada obra estatal o municipal se constituirá un comité ciudadano de control y vigilancia. Sin embargo, en aquellos casos en que las características técnicas o las dimensiones de la obra lo ameriten, podrán integrarse más de uno.”</w:t>
      </w:r>
    </w:p>
    <w:p w14:paraId="3B9C9BBC" w14:textId="77777777" w:rsidR="00833696" w:rsidRPr="00912F97" w:rsidRDefault="000B1380">
      <w:pPr>
        <w:spacing w:before="240" w:after="240" w:line="360" w:lineRule="auto"/>
        <w:jc w:val="both"/>
        <w:rPr>
          <w:rFonts w:ascii="Palatino Linotype" w:eastAsia="Palatino Linotype" w:hAnsi="Palatino Linotype" w:cs="Palatino Linotype"/>
        </w:rPr>
      </w:pPr>
      <w:bookmarkStart w:id="8" w:name="_heading=h.2jxsxqh" w:colFirst="0" w:colLast="0"/>
      <w:bookmarkEnd w:id="8"/>
      <w:r w:rsidRPr="00912F97">
        <w:rPr>
          <w:rFonts w:ascii="Palatino Linotype" w:eastAsia="Palatino Linotype" w:hAnsi="Palatino Linotype" w:cs="Palatino Linotype"/>
        </w:rPr>
        <w:t>Los Comités Ciudadanos de Control y Vigilancia tendrán las funciones establecidas en el artículo 113 D de la Ley Orgánica Municipal:</w:t>
      </w:r>
    </w:p>
    <w:p w14:paraId="020F4D33" w14:textId="77777777" w:rsidR="00833696" w:rsidRPr="00912F97" w:rsidRDefault="000B1380">
      <w:pPr>
        <w:spacing w:before="120" w:after="120"/>
        <w:ind w:left="851"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“Artículo 113 D.-</w:t>
      </w:r>
      <w:r w:rsidRPr="00912F97">
        <w:rPr>
          <w:rFonts w:ascii="Palatino Linotype" w:eastAsia="Palatino Linotype" w:hAnsi="Palatino Linotype" w:cs="Palatino Linotype"/>
          <w:i/>
          <w:sz w:val="22"/>
          <w:szCs w:val="22"/>
        </w:rPr>
        <w:t xml:space="preserve"> Los comités ciudadanos de control y vigilancia tendrán además, las siguientes funciones:</w:t>
      </w:r>
    </w:p>
    <w:p w14:paraId="20113F19" w14:textId="77777777" w:rsidR="00833696" w:rsidRPr="00912F97" w:rsidRDefault="000B1380">
      <w:pP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I.</w:t>
      </w:r>
      <w:r w:rsidRPr="00912F97">
        <w:rPr>
          <w:rFonts w:ascii="Palatino Linotype" w:eastAsia="Palatino Linotype" w:hAnsi="Palatino Linotype" w:cs="Palatino Linotype"/>
          <w:i/>
          <w:sz w:val="22"/>
          <w:szCs w:val="22"/>
        </w:rPr>
        <w:t xml:space="preserve"> Vigilar que la obra pública se realice de acuerdo al expediente técnico y dentro de la normatividad correspondiente;</w:t>
      </w:r>
    </w:p>
    <w:p w14:paraId="50AE63F2" w14:textId="77777777" w:rsidR="00833696" w:rsidRPr="00912F97" w:rsidRDefault="000B1380">
      <w:pP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II.</w:t>
      </w:r>
      <w:r w:rsidRPr="00912F97">
        <w:rPr>
          <w:rFonts w:ascii="Palatino Linotype" w:eastAsia="Palatino Linotype" w:hAnsi="Palatino Linotype" w:cs="Palatino Linotype"/>
          <w:i/>
          <w:sz w:val="22"/>
          <w:szCs w:val="22"/>
        </w:rPr>
        <w:t xml:space="preserve"> Participar como observador en los procesos o actos administrativos relacionados con la adjudicación o concesión de la ejecución de la obra;</w:t>
      </w:r>
    </w:p>
    <w:p w14:paraId="4D3D1ECB" w14:textId="77777777" w:rsidR="00833696" w:rsidRPr="00912F97" w:rsidRDefault="000B1380">
      <w:pP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III</w:t>
      </w:r>
      <w:r w:rsidRPr="00912F97">
        <w:rPr>
          <w:rFonts w:ascii="Palatino Linotype" w:eastAsia="Palatino Linotype" w:hAnsi="Palatino Linotype" w:cs="Palatino Linotype"/>
          <w:i/>
          <w:sz w:val="22"/>
          <w:szCs w:val="22"/>
        </w:rPr>
        <w:t>. Hacer visitas de inspección y llevar registro de sus resultados;</w:t>
      </w:r>
    </w:p>
    <w:p w14:paraId="3CD33075" w14:textId="77777777" w:rsidR="00833696" w:rsidRPr="00912F97" w:rsidRDefault="000B1380">
      <w:pP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IV</w:t>
      </w:r>
      <w:r w:rsidRPr="00912F97">
        <w:rPr>
          <w:rFonts w:ascii="Palatino Linotype" w:eastAsia="Palatino Linotype" w:hAnsi="Palatino Linotype" w:cs="Palatino Linotype"/>
          <w:i/>
          <w:sz w:val="22"/>
          <w:szCs w:val="22"/>
        </w:rPr>
        <w:t>. Verificar la calidad con que se realiza la obra pública,</w:t>
      </w:r>
    </w:p>
    <w:p w14:paraId="0CF6C2C3" w14:textId="77777777" w:rsidR="00833696" w:rsidRPr="00912F97" w:rsidRDefault="000B1380">
      <w:pP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lastRenderedPageBreak/>
        <w:t>V</w:t>
      </w:r>
      <w:r w:rsidRPr="00912F97">
        <w:rPr>
          <w:rFonts w:ascii="Palatino Linotype" w:eastAsia="Palatino Linotype" w:hAnsi="Palatino Linotype" w:cs="Palatino Linotype"/>
          <w:i/>
          <w:sz w:val="22"/>
          <w:szCs w:val="22"/>
        </w:rPr>
        <w:t>. Hacer del conocimiento de las autoridades correspondientes las irregularidades que observe durante el desempeño de sus funciones o las quejas que reciba de la ciudadanía, con motivo de las obras objeto de supervisión,</w:t>
      </w:r>
    </w:p>
    <w:p w14:paraId="719A668A" w14:textId="77777777" w:rsidR="00833696" w:rsidRPr="00912F97" w:rsidRDefault="000B1380">
      <w:pP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VI.</w:t>
      </w:r>
      <w:r w:rsidRPr="00912F97">
        <w:rPr>
          <w:rFonts w:ascii="Palatino Linotype" w:eastAsia="Palatino Linotype" w:hAnsi="Palatino Linotype" w:cs="Palatino Linotype"/>
          <w:i/>
          <w:sz w:val="22"/>
          <w:szCs w:val="22"/>
        </w:rPr>
        <w:t xml:space="preserve"> Integrar un archivo con la documentación que se derive de la supervisión de las obras, </w:t>
      </w:r>
    </w:p>
    <w:p w14:paraId="4B5CA2B6" w14:textId="77777777" w:rsidR="00833696" w:rsidRPr="00912F97" w:rsidRDefault="000B1380">
      <w:pP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VII.</w:t>
      </w:r>
      <w:r w:rsidRPr="00912F97">
        <w:rPr>
          <w:rFonts w:ascii="Palatino Linotype" w:eastAsia="Palatino Linotype" w:hAnsi="Palatino Linotype" w:cs="Palatino Linotype"/>
          <w:i/>
          <w:sz w:val="22"/>
          <w:szCs w:val="22"/>
        </w:rPr>
        <w:t xml:space="preserve"> Intervenir en los actos de entrega-recepción de las obras y acciones, informando a los vecinos el resultado del desempeño de sus funciones; y</w:t>
      </w:r>
    </w:p>
    <w:p w14:paraId="3BDAED38" w14:textId="77777777" w:rsidR="00833696" w:rsidRPr="00912F97" w:rsidRDefault="000B1380">
      <w:pP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VIII.</w:t>
      </w:r>
      <w:r w:rsidRPr="00912F97">
        <w:rPr>
          <w:rFonts w:ascii="Palatino Linotype" w:eastAsia="Palatino Linotype" w:hAnsi="Palatino Linotype" w:cs="Palatino Linotype"/>
          <w:i/>
          <w:sz w:val="22"/>
          <w:szCs w:val="22"/>
        </w:rPr>
        <w:t xml:space="preserve"> Promover el adecuado mantenimiento de la obra pública ante las autoridades municipales.”</w:t>
      </w:r>
    </w:p>
    <w:p w14:paraId="58CB53A9" w14:textId="77777777" w:rsidR="00833696" w:rsidRPr="00912F97" w:rsidRDefault="000B1380">
      <w:pP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 xml:space="preserve">De conformidad con el artículo 113 E de la Ley Orgánica Municipal, los Comités Ciudadanos de Control y Vigilancia </w:t>
      </w:r>
      <w:r w:rsidRPr="00912F97">
        <w:rPr>
          <w:rFonts w:ascii="Palatino Linotype" w:eastAsia="Palatino Linotype" w:hAnsi="Palatino Linotype" w:cs="Palatino Linotype"/>
          <w:b/>
        </w:rPr>
        <w:t xml:space="preserve">deben apoyarse en las Contralorías Municipal y estatal, </w:t>
      </w:r>
      <w:r w:rsidRPr="00912F97">
        <w:rPr>
          <w:rFonts w:ascii="Palatino Linotype" w:eastAsia="Palatino Linotype" w:hAnsi="Palatino Linotype" w:cs="Palatino Linotype"/>
          <w:b/>
          <w:u w:val="single"/>
        </w:rPr>
        <w:t>y coadyuvar con el órgano de control interno municipal</w:t>
      </w:r>
      <w:r w:rsidRPr="00912F97">
        <w:rPr>
          <w:rFonts w:ascii="Palatino Linotype" w:eastAsia="Palatino Linotype" w:hAnsi="Palatino Linotype" w:cs="Palatino Linotype"/>
        </w:rPr>
        <w:t xml:space="preserve"> en el desempeño de las funciones a que se refieren las fracciones VII y VIII del artículo 112 de la misma Ley, a saber:</w:t>
      </w:r>
    </w:p>
    <w:p w14:paraId="0B555DD4" w14:textId="77777777" w:rsidR="00833696" w:rsidRPr="00912F97" w:rsidRDefault="000B1380">
      <w:pPr>
        <w:spacing w:before="120" w:after="120"/>
        <w:ind w:left="851"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i/>
          <w:sz w:val="22"/>
          <w:szCs w:val="22"/>
        </w:rPr>
        <w:t>“</w:t>
      </w:r>
      <w:r w:rsidRPr="00912F97">
        <w:rPr>
          <w:rFonts w:ascii="Palatino Linotype" w:eastAsia="Palatino Linotype" w:hAnsi="Palatino Linotype" w:cs="Palatino Linotype"/>
          <w:b/>
          <w:i/>
          <w:sz w:val="22"/>
          <w:szCs w:val="22"/>
        </w:rPr>
        <w:t>Artículo 112</w:t>
      </w:r>
      <w:r w:rsidRPr="00912F97">
        <w:rPr>
          <w:rFonts w:ascii="Palatino Linotype" w:eastAsia="Palatino Linotype" w:hAnsi="Palatino Linotype" w:cs="Palatino Linotype"/>
          <w:i/>
          <w:sz w:val="22"/>
          <w:szCs w:val="22"/>
        </w:rPr>
        <w:t xml:space="preserve">. El órgano interno de control municipal, tendrá a su cargo las funciones siguientes: </w:t>
      </w:r>
    </w:p>
    <w:p w14:paraId="64FD42EA" w14:textId="77777777" w:rsidR="00833696" w:rsidRPr="00912F97" w:rsidRDefault="000B1380">
      <w:pPr>
        <w:spacing w:before="120" w:after="120"/>
        <w:ind w:left="1134" w:right="902"/>
        <w:jc w:val="both"/>
        <w:rPr>
          <w:rFonts w:ascii="Palatino Linotype" w:eastAsia="Palatino Linotype" w:hAnsi="Palatino Linotype" w:cs="Palatino Linotype"/>
          <w:b/>
          <w:i/>
          <w:sz w:val="22"/>
          <w:szCs w:val="22"/>
        </w:rPr>
      </w:pPr>
      <w:r w:rsidRPr="00912F97">
        <w:rPr>
          <w:rFonts w:ascii="Palatino Linotype" w:eastAsia="Palatino Linotype" w:hAnsi="Palatino Linotype" w:cs="Palatino Linotype"/>
          <w:b/>
          <w:i/>
          <w:sz w:val="22"/>
          <w:szCs w:val="22"/>
        </w:rPr>
        <w:t>…</w:t>
      </w:r>
    </w:p>
    <w:p w14:paraId="62FCEDFC" w14:textId="77777777" w:rsidR="00833696" w:rsidRPr="00912F97" w:rsidRDefault="000B1380">
      <w:pP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VII</w:t>
      </w:r>
      <w:r w:rsidRPr="00912F97">
        <w:rPr>
          <w:rFonts w:ascii="Palatino Linotype" w:eastAsia="Palatino Linotype" w:hAnsi="Palatino Linotype" w:cs="Palatino Linotype"/>
          <w:i/>
          <w:sz w:val="22"/>
          <w:szCs w:val="22"/>
        </w:rPr>
        <w:t xml:space="preserve">. Vigilar el cumplimiento de las obligaciones de proveedores y contratistas de la administración pública municipal; </w:t>
      </w:r>
    </w:p>
    <w:p w14:paraId="1C42DABB" w14:textId="77777777" w:rsidR="00833696" w:rsidRPr="00912F97" w:rsidRDefault="000B1380">
      <w:pP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VIII</w:t>
      </w:r>
      <w:r w:rsidRPr="00912F97">
        <w:rPr>
          <w:rFonts w:ascii="Palatino Linotype" w:eastAsia="Palatino Linotype" w:hAnsi="Palatino Linotype" w:cs="Palatino Linotype"/>
          <w:i/>
          <w:sz w:val="22"/>
          <w:szCs w:val="22"/>
        </w:rPr>
        <w:t xml:space="preserve">. Coordinarse con el Órgano Superior de Fiscalización del Estado de México y la Contraloría del Poder Legislativo y con la Secretaría de la Contraloría del Estado para el cumplimiento de sus funciones; </w:t>
      </w:r>
    </w:p>
    <w:p w14:paraId="4BCDE6EA" w14:textId="77777777" w:rsidR="00833696" w:rsidRPr="00912F97" w:rsidRDefault="000B1380">
      <w:pP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i/>
          <w:sz w:val="22"/>
          <w:szCs w:val="22"/>
        </w:rPr>
        <w:t>…”</w:t>
      </w:r>
    </w:p>
    <w:p w14:paraId="35207494" w14:textId="77777777" w:rsidR="00833696" w:rsidRPr="00912F97" w:rsidRDefault="000B1380">
      <w:pP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Derivado de lo anterior se colige que los entes municipales tienen la obligación de constituir por lo menos un comité ciudadano de control y vigilancia, por cada obra, siendo este responsable de su supervisión.</w:t>
      </w:r>
    </w:p>
    <w:p w14:paraId="392515E0" w14:textId="77777777" w:rsidR="00833696" w:rsidRPr="00912F97" w:rsidRDefault="000B1380">
      <w:pP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lastRenderedPageBreak/>
        <w:t>En el caso concreto, dicha atribución se le confiere a la Contraloría Municipal, como se desprende del artículo 32, fracción XXXI, del Reglamento Interior de la Administración Pública Municipal de Ecatepec de Morelos, 2020,  a saber:</w:t>
      </w:r>
    </w:p>
    <w:p w14:paraId="5EC5107C" w14:textId="77777777" w:rsidR="00833696" w:rsidRPr="00912F97" w:rsidRDefault="000B1380">
      <w:pPr>
        <w:spacing w:before="120" w:after="120"/>
        <w:ind w:left="851"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“Artículo 32</w:t>
      </w:r>
      <w:r w:rsidRPr="00912F97">
        <w:rPr>
          <w:rFonts w:ascii="Palatino Linotype" w:eastAsia="Palatino Linotype" w:hAnsi="Palatino Linotype" w:cs="Palatino Linotype"/>
          <w:i/>
          <w:sz w:val="22"/>
          <w:szCs w:val="22"/>
        </w:rPr>
        <w:t>. Son facultades de la Contraloría Interna Municipal:</w:t>
      </w:r>
    </w:p>
    <w:p w14:paraId="49164448" w14:textId="77777777" w:rsidR="00833696" w:rsidRPr="00912F97" w:rsidRDefault="000B1380">
      <w:pP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i/>
          <w:sz w:val="22"/>
          <w:szCs w:val="22"/>
        </w:rPr>
        <w:t>…</w:t>
      </w:r>
    </w:p>
    <w:p w14:paraId="764652D2" w14:textId="77777777" w:rsidR="00833696" w:rsidRPr="00912F97" w:rsidRDefault="000B1380">
      <w:pP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XXXI.</w:t>
      </w:r>
      <w:r w:rsidRPr="00912F97">
        <w:rPr>
          <w:rFonts w:ascii="Palatino Linotype" w:eastAsia="Palatino Linotype" w:hAnsi="Palatino Linotype" w:cs="Palatino Linotype"/>
          <w:i/>
          <w:sz w:val="22"/>
          <w:szCs w:val="22"/>
        </w:rPr>
        <w:t xml:space="preserve"> Crear, Promover y supervisar la constitución de Comités Ciudadanos de Control y Vigilancia C.O.C.I.C.O.V.I.S;”</w:t>
      </w:r>
    </w:p>
    <w:p w14:paraId="02E44C3C" w14:textId="77777777" w:rsidR="00833696" w:rsidRPr="00912F97" w:rsidRDefault="000B1380">
      <w:pP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 xml:space="preserve">En esta línea de pensamiento, es preciso recordar que el </w:t>
      </w:r>
      <w:r w:rsidRPr="00912F97">
        <w:rPr>
          <w:rFonts w:ascii="Palatino Linotype" w:eastAsia="Palatino Linotype" w:hAnsi="Palatino Linotype" w:cs="Palatino Linotype"/>
          <w:b/>
        </w:rPr>
        <w:t xml:space="preserve">Sujeto Obligado, </w:t>
      </w:r>
      <w:r w:rsidRPr="00912F97">
        <w:rPr>
          <w:rFonts w:ascii="Palatino Linotype" w:eastAsia="Palatino Linotype" w:hAnsi="Palatino Linotype" w:cs="Palatino Linotype"/>
        </w:rPr>
        <w:t>a través de la Unidad de Transparencia, se limitó a declinar la competencia para atender la solicitud de información en favor del Sistema Municipal para el Desarrollo Integral de la Familia, evidenciando que no se observó el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0B4D5CB6" w14:textId="77777777" w:rsidR="00833696" w:rsidRPr="00912F97" w:rsidRDefault="000B1380">
      <w:pPr>
        <w:tabs>
          <w:tab w:val="left" w:pos="567"/>
        </w:tabs>
        <w:spacing w:before="240" w:after="240" w:line="360" w:lineRule="auto"/>
        <w:ind w:left="284"/>
        <w:jc w:val="both"/>
        <w:rPr>
          <w:rFonts w:ascii="Palatino Linotype" w:eastAsia="Palatino Linotype" w:hAnsi="Palatino Linotype" w:cs="Palatino Linotype"/>
        </w:rPr>
      </w:pPr>
      <w:r w:rsidRPr="00912F97">
        <w:rPr>
          <w:rFonts w:ascii="Palatino Linotype" w:eastAsia="Palatino Linotype" w:hAnsi="Palatino Linotype" w:cs="Palatino Linotype"/>
        </w:rPr>
        <w:t>1.</w:t>
      </w:r>
      <w:r w:rsidRPr="00912F97">
        <w:rPr>
          <w:rFonts w:ascii="Palatino Linotype" w:eastAsia="Palatino Linotype" w:hAnsi="Palatino Linotype" w:cs="Palatino Linotype"/>
        </w:rPr>
        <w:tab/>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31EA6D77" w14:textId="77777777" w:rsidR="00833696" w:rsidRPr="00912F97" w:rsidRDefault="000B1380">
      <w:pPr>
        <w:tabs>
          <w:tab w:val="left" w:pos="567"/>
        </w:tabs>
        <w:spacing w:before="240" w:after="240" w:line="360" w:lineRule="auto"/>
        <w:ind w:left="284"/>
        <w:jc w:val="both"/>
        <w:rPr>
          <w:rFonts w:ascii="Palatino Linotype" w:eastAsia="Palatino Linotype" w:hAnsi="Palatino Linotype" w:cs="Palatino Linotype"/>
        </w:rPr>
      </w:pPr>
      <w:r w:rsidRPr="00912F97">
        <w:rPr>
          <w:rFonts w:ascii="Palatino Linotype" w:eastAsia="Palatino Linotype" w:hAnsi="Palatino Linotype" w:cs="Palatino Linotype"/>
        </w:rPr>
        <w:t>2.</w:t>
      </w:r>
      <w:r w:rsidRPr="00912F97">
        <w:rPr>
          <w:rFonts w:ascii="Palatino Linotype" w:eastAsia="Palatino Linotype" w:hAnsi="Palatino Linotype" w:cs="Palatino Linotype"/>
        </w:rPr>
        <w:tab/>
        <w:t xml:space="preserve">Los sujetos obligados otorgarán acceso a los documentos que se encuentren en sus archivos o que estén obligados a documentar de acuerdo con sus facultades, </w:t>
      </w:r>
      <w:r w:rsidRPr="00912F97">
        <w:rPr>
          <w:rFonts w:ascii="Palatino Linotype" w:eastAsia="Palatino Linotype" w:hAnsi="Palatino Linotype" w:cs="Palatino Linotype"/>
        </w:rPr>
        <w:lastRenderedPageBreak/>
        <w:t>competencias o funciones, en el formato en que el solicitante manifieste, de entre aquellos formatos existentes.</w:t>
      </w:r>
    </w:p>
    <w:p w14:paraId="0976334F" w14:textId="77777777" w:rsidR="00833696" w:rsidRPr="00912F97" w:rsidRDefault="000B1380">
      <w:pP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 xml:space="preserve">De manera que, en el presente caso no cumplió con el procedimiento de búsqueda exhaustiva y razonable, pues no obra constancia en el expediente electrónico de que la Unidad de Transparencia hubiera gestionado la solicitud de información en las diversas unidades en donde pudiera obrar la citada información, concretamente la </w:t>
      </w:r>
      <w:r w:rsidRPr="00912F97">
        <w:rPr>
          <w:rFonts w:ascii="Palatino Linotype" w:eastAsia="Palatino Linotype" w:hAnsi="Palatino Linotype" w:cs="Palatino Linotype"/>
          <w:b/>
          <w:u w:val="single"/>
        </w:rPr>
        <w:t>Contraloría Interna Municipal</w:t>
      </w:r>
      <w:r w:rsidRPr="00912F97">
        <w:rPr>
          <w:rFonts w:ascii="Palatino Linotype" w:eastAsia="Palatino Linotype" w:hAnsi="Palatino Linotype" w:cs="Palatino Linotype"/>
        </w:rPr>
        <w:t>.</w:t>
      </w:r>
    </w:p>
    <w:p w14:paraId="169B1410" w14:textId="77777777" w:rsidR="00833696" w:rsidRPr="00912F97" w:rsidRDefault="000B1380">
      <w:pP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Asimismo, es preciso mencionar que las Unidades de Transparencia, son el área responsable en cada Sujeto Obligado para dar atención a las solicitudes de información que se realicen al amparo de la Ley, el responsable de dicha área funge como enlace entre el sujeto obligado y los solicitantes, y tiene bajo su responsabilidad el tramitar internamente la solicitud de información.</w:t>
      </w:r>
    </w:p>
    <w:p w14:paraId="565D680A" w14:textId="77777777" w:rsidR="00833696" w:rsidRPr="00912F97" w:rsidRDefault="000B1380">
      <w:pP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 xml:space="preserve">De tal manera que, si bien el Titular de la Unidad de Transparencia no tiene bajo su resguardo el archivo que contiene la documentación en donde consta la información hoy solicitada, esta puede obrar en las distintas áreas que conforman la estructura orgánica del sujeto obligado, es por ello que debe turnar la solicitud al servidor público habilitado que tiene bajo su resguardo la misma. </w:t>
      </w:r>
    </w:p>
    <w:p w14:paraId="586D2EFF" w14:textId="77777777" w:rsidR="00833696" w:rsidRPr="00912F97" w:rsidRDefault="000B1380">
      <w:pP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 xml:space="preserve">Por su parte, de conformidad con el artículo 59 de la Ley de la materia, los servidores públicos habilitados tienen como función, buscar, localizar y en su caso entregar la información solicitada, de lo manifestado con antelación se advierte que el Titular de la Unidad de Transparencia debe garantizar que las solicitudes se turnen a todas las áreas competentes que puedan contar con la información, con el objeto de que se </w:t>
      </w:r>
      <w:r w:rsidRPr="00912F97">
        <w:rPr>
          <w:rFonts w:ascii="Palatino Linotype" w:eastAsia="Palatino Linotype" w:hAnsi="Palatino Linotype" w:cs="Palatino Linotype"/>
        </w:rPr>
        <w:lastRenderedPageBreak/>
        <w:t>realice una búsqueda exhaustiva y razonable de la información solicitada, y que una vez localizada, la misma sea proporcionada al solicitante atendiendo a la naturaleza jurídica de la misma, circunstancia que en el presente asunto no sucedió, como ya se señaló.</w:t>
      </w:r>
    </w:p>
    <w:p w14:paraId="6FB0C952" w14:textId="77777777" w:rsidR="00833696" w:rsidRPr="00912F97" w:rsidRDefault="000B1380">
      <w:pP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Aunado a lo anterior, el artículo 1.8, fracción XIII, del Código Administrativo del Estado de México, establece que para que tenga validez, todo acto administrativo deberá resolver todos los puntos propuestos por los interesados; además, el Criterio de interpretación con clave de registro SO/002/2017, de la Segunda Época, emitido por el Instituto Nacional de Transparencia, Acceso a la Información y Protección de Datos Personales, del Instituto Nacional de Transparencia, Acceso a la Información y Protección de Datos Personales, precisa lo siguiente:</w:t>
      </w:r>
    </w:p>
    <w:p w14:paraId="6C284313" w14:textId="77777777" w:rsidR="00833696" w:rsidRPr="00912F97" w:rsidRDefault="000B1380">
      <w:pPr>
        <w:spacing w:before="120" w:after="120"/>
        <w:ind w:left="851" w:right="618"/>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i/>
          <w:sz w:val="22"/>
          <w:szCs w:val="22"/>
        </w:rPr>
        <w:t>“</w:t>
      </w:r>
      <w:r w:rsidRPr="00912F97">
        <w:rPr>
          <w:rFonts w:ascii="Palatino Linotype" w:eastAsia="Palatino Linotype" w:hAnsi="Palatino Linotype" w:cs="Palatino Linotype"/>
          <w:b/>
          <w:i/>
          <w:sz w:val="22"/>
          <w:szCs w:val="22"/>
        </w:rPr>
        <w:t>Congruencia y exhaustividad.</w:t>
      </w:r>
      <w:r w:rsidRPr="00912F97">
        <w:rPr>
          <w:rFonts w:ascii="Palatino Linotype" w:eastAsia="Palatino Linotype" w:hAnsi="Palatino Linotype" w:cs="Palatino Linotype"/>
          <w:i/>
          <w:sz w:val="22"/>
          <w:szCs w:val="22"/>
        </w:rPr>
        <w:t xml:space="preserve"> Sus alcances para garantizar el derecho de acceso a la información.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5FA22C82" w14:textId="77777777" w:rsidR="00833696" w:rsidRPr="00912F97" w:rsidRDefault="000B1380">
      <w:pP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 xml:space="preserve">Conforme al criterio referido, se logra vislumbrar que todo acto administrativo debe apegarse al principio de exhaustividad, entendiendo por éste que se pronuncie expresamente sobre cada uno de los puntos requeridos, lo cual en materia de </w:t>
      </w:r>
      <w:r w:rsidRPr="00912F97">
        <w:rPr>
          <w:rFonts w:ascii="Palatino Linotype" w:eastAsia="Palatino Linotype" w:hAnsi="Palatino Linotype" w:cs="Palatino Linotype"/>
        </w:rPr>
        <w:lastRenderedPageBreak/>
        <w:t>transparencia y acceso a la información pública se traduce en que, las respuestas que emitan los sujetos obligados, deben guardar una relación lógica con lo solicitado, analizando y decidiendo –de manera íntegra- sobre todos los puntos requeridos, a fin de satisfacer la solicitud correspondiente.</w:t>
      </w:r>
    </w:p>
    <w:p w14:paraId="6B9253C3" w14:textId="77777777" w:rsidR="00833696" w:rsidRPr="00912F97" w:rsidRDefault="000B1380">
      <w:pP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 xml:space="preserve">En esa tesitura, se concluye que el </w:t>
      </w:r>
      <w:r w:rsidRPr="00912F97">
        <w:rPr>
          <w:rFonts w:ascii="Palatino Linotype" w:eastAsia="Palatino Linotype" w:hAnsi="Palatino Linotype" w:cs="Palatino Linotype"/>
          <w:b/>
        </w:rPr>
        <w:t>Sujeto Obligado</w:t>
      </w:r>
      <w:r w:rsidRPr="00912F97">
        <w:rPr>
          <w:rFonts w:ascii="Palatino Linotype" w:eastAsia="Palatino Linotype" w:hAnsi="Palatino Linotype" w:cs="Palatino Linotype"/>
        </w:rPr>
        <w:t xml:space="preserve"> no satisfizo el derecho de acceso a la información de la parte</w:t>
      </w:r>
      <w:r w:rsidRPr="00912F97">
        <w:rPr>
          <w:rFonts w:ascii="Palatino Linotype" w:eastAsia="Palatino Linotype" w:hAnsi="Palatino Linotype" w:cs="Palatino Linotype"/>
          <w:b/>
        </w:rPr>
        <w:t xml:space="preserve"> Recurrente</w:t>
      </w:r>
      <w:r w:rsidRPr="00912F97">
        <w:rPr>
          <w:rFonts w:ascii="Palatino Linotype" w:eastAsia="Palatino Linotype" w:hAnsi="Palatino Linotype" w:cs="Palatino Linotype"/>
        </w:rPr>
        <w:t>, al incumplir dicho principio, pues al no turnar la solicitud de información a todas las áreas que pudieran tener la información, éstas omitieron pronunciarse respecto a la información requerida.</w:t>
      </w:r>
    </w:p>
    <w:p w14:paraId="67A44631" w14:textId="77777777" w:rsidR="00833696" w:rsidRPr="00912F97" w:rsidRDefault="000B1380">
      <w:pP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 xml:space="preserve">Por tales circunstancias, se considera que, para atender el requerimiento de información, el </w:t>
      </w:r>
      <w:r w:rsidRPr="00912F97">
        <w:rPr>
          <w:rFonts w:ascii="Palatino Linotype" w:eastAsia="Palatino Linotype" w:hAnsi="Palatino Linotype" w:cs="Palatino Linotype"/>
          <w:b/>
        </w:rPr>
        <w:t>Sujeto Obligado</w:t>
      </w:r>
      <w:r w:rsidRPr="00912F97">
        <w:rPr>
          <w:rFonts w:ascii="Palatino Linotype" w:eastAsia="Palatino Linotype" w:hAnsi="Palatino Linotype" w:cs="Palatino Linotype"/>
        </w:rPr>
        <w:t xml:space="preserve"> deberá realizar una búsqueda exhaustiva y razonable, en todos los archivos de las áreas competentes, a efecto de que proporcionen la información solicitada por la parte</w:t>
      </w:r>
      <w:r w:rsidRPr="00912F97">
        <w:rPr>
          <w:rFonts w:ascii="Palatino Linotype" w:eastAsia="Palatino Linotype" w:hAnsi="Palatino Linotype" w:cs="Palatino Linotype"/>
          <w:b/>
        </w:rPr>
        <w:t xml:space="preserve"> Recurrente</w:t>
      </w:r>
      <w:r w:rsidRPr="00912F97">
        <w:rPr>
          <w:rFonts w:ascii="Palatino Linotype" w:eastAsia="Palatino Linotype" w:hAnsi="Palatino Linotype" w:cs="Palatino Linotype"/>
        </w:rPr>
        <w:t>, en versión pública de ser procedente, que consiste en lo siguiente de los Comités Ciudadanos de Control y Vigilancia (COCICOVI o Contraloría Social):</w:t>
      </w:r>
    </w:p>
    <w:p w14:paraId="2425A44A" w14:textId="77777777" w:rsidR="00833696" w:rsidRPr="00912F97" w:rsidRDefault="000B1380">
      <w:pPr>
        <w:spacing w:before="240" w:after="240" w:line="360" w:lineRule="auto"/>
        <w:ind w:left="284"/>
        <w:jc w:val="both"/>
        <w:rPr>
          <w:rFonts w:ascii="Palatino Linotype" w:eastAsia="Palatino Linotype" w:hAnsi="Palatino Linotype" w:cs="Palatino Linotype"/>
        </w:rPr>
      </w:pPr>
      <w:r w:rsidRPr="00912F97">
        <w:rPr>
          <w:rFonts w:ascii="Palatino Linotype" w:eastAsia="Palatino Linotype" w:hAnsi="Palatino Linotype" w:cs="Palatino Linotype"/>
        </w:rPr>
        <w:t>1. Actividades realizadas (propuestas, programas, recomendaciones, opiniones, posicionamientos, observaciones, entre otras).</w:t>
      </w:r>
    </w:p>
    <w:p w14:paraId="531C603B" w14:textId="77777777" w:rsidR="00833696" w:rsidRPr="00912F97" w:rsidRDefault="000B1380">
      <w:pPr>
        <w:spacing w:before="240" w:after="240" w:line="360" w:lineRule="auto"/>
        <w:ind w:left="284"/>
        <w:jc w:val="both"/>
        <w:rPr>
          <w:rFonts w:ascii="Palatino Linotype" w:eastAsia="Palatino Linotype" w:hAnsi="Palatino Linotype" w:cs="Palatino Linotype"/>
        </w:rPr>
      </w:pPr>
      <w:r w:rsidRPr="00912F97">
        <w:rPr>
          <w:rFonts w:ascii="Palatino Linotype" w:eastAsia="Palatino Linotype" w:hAnsi="Palatino Linotype" w:cs="Palatino Linotype"/>
        </w:rPr>
        <w:t>2. Resultados obtenidos e Informes de Actividades.</w:t>
      </w:r>
    </w:p>
    <w:p w14:paraId="02A49DDD" w14:textId="77777777" w:rsidR="00833696" w:rsidRPr="00912F97" w:rsidRDefault="000B1380">
      <w:pP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 xml:space="preserve">No obstante, se debe recordar que la persona solicitante requirió la información descrita en la solicitud de acceso a la información pública del uno de enero al treinta y uno de diciembre de dos mil veinticuatro, sin embargo, la solicitud se tuvo por presentada el treinta de mayo de dos mil veinticuatro, por lo que es ineludible </w:t>
      </w:r>
      <w:r w:rsidRPr="00912F97">
        <w:rPr>
          <w:rFonts w:ascii="Palatino Linotype" w:eastAsia="Palatino Linotype" w:hAnsi="Palatino Linotype" w:cs="Palatino Linotype"/>
        </w:rPr>
        <w:lastRenderedPageBreak/>
        <w:t>señalar que la información sobre hechos que aún no se han generado debido a la temporalidad, son hechos futuros e inciertos, los cuales no se pueden determinar ya que están supeditados a la conclusión de los mismos; por consiguiente no es procedente que los Sujetos Obligados proporcionen dicha información.</w:t>
      </w:r>
    </w:p>
    <w:p w14:paraId="0048E661" w14:textId="77777777" w:rsidR="00833696" w:rsidRPr="00912F97" w:rsidRDefault="000B1380">
      <w:pPr>
        <w:spacing w:before="240" w:after="240" w:line="360" w:lineRule="auto"/>
        <w:ind w:right="-93"/>
        <w:jc w:val="both"/>
        <w:rPr>
          <w:rFonts w:ascii="Palatino Linotype" w:eastAsia="Palatino Linotype" w:hAnsi="Palatino Linotype" w:cs="Palatino Linotype"/>
        </w:rPr>
      </w:pPr>
      <w:r w:rsidRPr="00912F97">
        <w:rPr>
          <w:rFonts w:ascii="Palatino Linotype" w:eastAsia="Palatino Linotype" w:hAnsi="Palatino Linotype" w:cs="Palatino Linotype"/>
        </w:rPr>
        <w:t>Lo anterior se robustece con la Tesis Aislada con número de registro 209001</w:t>
      </w:r>
      <w:r w:rsidRPr="00912F97">
        <w:rPr>
          <w:rFonts w:ascii="Palatino Linotype" w:eastAsia="Palatino Linotype" w:hAnsi="Palatino Linotype" w:cs="Palatino Linotype"/>
          <w:vertAlign w:val="superscript"/>
        </w:rPr>
        <w:footnoteReference w:id="1"/>
      </w:r>
      <w:r w:rsidRPr="00912F97">
        <w:rPr>
          <w:rFonts w:ascii="Palatino Linotype" w:eastAsia="Palatino Linotype" w:hAnsi="Palatino Linotype" w:cs="Palatino Linotype"/>
        </w:rPr>
        <w:t>, de la Suprema Corte de Justicia de la Nación, emitida por los Tribunales Colegiados de Circuito,  que a la letra señala:</w:t>
      </w:r>
    </w:p>
    <w:p w14:paraId="07BAC879" w14:textId="77777777" w:rsidR="00833696" w:rsidRPr="00912F97" w:rsidRDefault="000B1380">
      <w:pPr>
        <w:pBdr>
          <w:top w:val="nil"/>
          <w:left w:val="nil"/>
          <w:bottom w:val="nil"/>
          <w:right w:val="nil"/>
          <w:between w:val="nil"/>
        </w:pBdr>
        <w:ind w:left="851" w:right="900"/>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 xml:space="preserve">“ACTOS FUTUROS DE REALIZACION INCIERTA. NO PROCEDE EL JUICIO DE AMPARO CONTRA LOS. </w:t>
      </w:r>
      <w:r w:rsidRPr="00912F97">
        <w:rPr>
          <w:rFonts w:ascii="Palatino Linotype" w:eastAsia="Palatino Linotype" w:hAnsi="Palatino Linotype" w:cs="Palatino Linotype"/>
          <w:i/>
          <w:sz w:val="22"/>
          <w:szCs w:val="22"/>
        </w:rPr>
        <w:t>Contra actos futuros de realización incierta no procede el juicio de garantías.”</w:t>
      </w:r>
    </w:p>
    <w:p w14:paraId="23A97B08" w14:textId="77777777" w:rsidR="00833696" w:rsidRPr="00912F97" w:rsidRDefault="000B1380">
      <w:pPr>
        <w:spacing w:before="240" w:after="240" w:line="360" w:lineRule="auto"/>
        <w:ind w:right="51"/>
        <w:jc w:val="both"/>
        <w:rPr>
          <w:rFonts w:ascii="Palatino Linotype" w:eastAsia="Palatino Linotype" w:hAnsi="Palatino Linotype" w:cs="Palatino Linotype"/>
        </w:rPr>
      </w:pPr>
      <w:r w:rsidRPr="00912F97">
        <w:rPr>
          <w:rFonts w:ascii="Palatino Linotype" w:eastAsia="Palatino Linotype" w:hAnsi="Palatino Linotype" w:cs="Palatino Linotype"/>
        </w:rPr>
        <w:t xml:space="preserve">En ese sentido, no es procedente la exigencia de la parte </w:t>
      </w:r>
      <w:r w:rsidRPr="00912F97">
        <w:rPr>
          <w:rFonts w:ascii="Palatino Linotype" w:eastAsia="Palatino Linotype" w:hAnsi="Palatino Linotype" w:cs="Palatino Linotype"/>
          <w:b/>
        </w:rPr>
        <w:t>Recurrente</w:t>
      </w:r>
      <w:r w:rsidRPr="00912F97">
        <w:rPr>
          <w:rFonts w:ascii="Palatino Linotype" w:eastAsia="Palatino Linotype" w:hAnsi="Palatino Linotype" w:cs="Palatino Linotype"/>
        </w:rPr>
        <w:t xml:space="preserve"> de que el </w:t>
      </w:r>
      <w:r w:rsidRPr="00912F97">
        <w:rPr>
          <w:rFonts w:ascii="Palatino Linotype" w:eastAsia="Palatino Linotype" w:hAnsi="Palatino Linotype" w:cs="Palatino Linotype"/>
          <w:b/>
        </w:rPr>
        <w:t>Sujeto Obligado</w:t>
      </w:r>
      <w:r w:rsidRPr="00912F97">
        <w:rPr>
          <w:rFonts w:ascii="Palatino Linotype" w:eastAsia="Palatino Linotype" w:hAnsi="Palatino Linotype" w:cs="Palatino Linotype"/>
        </w:rPr>
        <w:t xml:space="preserve"> atienda su solicitud en los términos solicitados, es decir, al día treinta y uno de diciembre de dos mil veinticuatro, pues dicha autoridad únicamente está constreñida a proporcionar la información pública que genere en uso de sus atribuciones de derecho público con anterioridad a la fecha de la solicitud de información, esto es al treinta de mayo de dos mil veinticuatro.</w:t>
      </w:r>
    </w:p>
    <w:p w14:paraId="37E1AA86" w14:textId="77777777" w:rsidR="00833696" w:rsidRPr="00912F97" w:rsidRDefault="000B1380">
      <w:pP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 xml:space="preserve">Asimismo, no obsta mencionar que cabe la posibilidad de que dentro de la información que se ordena, pudieran encontrarse documentos que contengan información que actualice alguna de las causales de reserva establecidas en el artículo 140 de la Ley de Transparencia y Acceso a la Información Pública del Estado de México y Municipios, concretamente por lo que se refiere a las denuncias, que de haberse presentado y se encontraran en trámite a la fecha de la solicitud, </w:t>
      </w:r>
      <w:r w:rsidRPr="00912F97">
        <w:rPr>
          <w:rFonts w:ascii="Palatino Linotype" w:eastAsia="Palatino Linotype" w:hAnsi="Palatino Linotype" w:cs="Palatino Linotype"/>
        </w:rPr>
        <w:lastRenderedPageBreak/>
        <w:t>actualizarían el supuesto establecido en la fracción VI, de precepto legal referido, en cuyo caso se deberá emitir un acuerdo que clasifique con tal carácter el documento, de conformidad con lo previsto en los artículos 49, fracciones II y VIII, 129, 132, 134, 141 y 142, de la misma Ley, así como en los Lineamientos Generales en materia de Clasificación y Desclasificación de la Información, así como para la elaboración de Versiones Públicas, para efectos de clasificar dicha información hasta en tanto no se emita una resolución definitiva.</w:t>
      </w:r>
    </w:p>
    <w:p w14:paraId="675799C7" w14:textId="77777777" w:rsidR="00833696" w:rsidRPr="00912F97" w:rsidRDefault="000B1380">
      <w:pP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Por otro lado, para el caso de que derivado de la búsqueda que se ordena no llegara a localizar información que satisfaga los requerimientos relativos a las listas de asistencia y las actas o minutas de las sesiones y reuniones realizadas por el Comité Municipal de Salud Mental y Adicciones correspondientes al ejercicio en curso, por no obrar en sus archivos,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26B34747" w14:textId="77777777" w:rsidR="00833696" w:rsidRPr="00912F97" w:rsidRDefault="000B1380">
      <w:pPr>
        <w:spacing w:before="120" w:after="120"/>
        <w:ind w:left="851"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i/>
          <w:sz w:val="22"/>
          <w:szCs w:val="22"/>
        </w:rPr>
        <w:t>“</w:t>
      </w:r>
      <w:r w:rsidRPr="00912F97">
        <w:rPr>
          <w:rFonts w:ascii="Palatino Linotype" w:eastAsia="Palatino Linotype" w:hAnsi="Palatino Linotype" w:cs="Palatino Linotype"/>
          <w:b/>
          <w:i/>
          <w:sz w:val="22"/>
          <w:szCs w:val="22"/>
        </w:rPr>
        <w:t>Artículo 19</w:t>
      </w:r>
      <w:r w:rsidRPr="00912F97">
        <w:rPr>
          <w:rFonts w:ascii="Palatino Linotype" w:eastAsia="Palatino Linotype" w:hAnsi="Palatino Linotype" w:cs="Palatino Linotype"/>
          <w:i/>
          <w:sz w:val="22"/>
          <w:szCs w:val="22"/>
        </w:rPr>
        <w:t>…</w:t>
      </w:r>
    </w:p>
    <w:p w14:paraId="46C23C6B" w14:textId="77777777" w:rsidR="00833696" w:rsidRPr="00912F97" w:rsidRDefault="000B1380">
      <w:pPr>
        <w:spacing w:before="120" w:after="120"/>
        <w:ind w:left="851"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2494B59B" w14:textId="77777777" w:rsidR="00833696" w:rsidRPr="00912F97" w:rsidRDefault="000B1380">
      <w:pP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 xml:space="preserve">En tal supuesto, es improcedente la entrega de documento alguno, o en su caso, el Acuerdo de Inexistencia, toda vez que el pronunciamiento del </w:t>
      </w:r>
      <w:r w:rsidRPr="00912F97">
        <w:rPr>
          <w:rFonts w:ascii="Palatino Linotype" w:eastAsia="Palatino Linotype" w:hAnsi="Palatino Linotype" w:cs="Palatino Linotype"/>
          <w:b/>
        </w:rPr>
        <w:t>Sujeto Obligado</w:t>
      </w:r>
      <w:r w:rsidRPr="00912F97">
        <w:rPr>
          <w:rFonts w:ascii="Palatino Linotype" w:eastAsia="Palatino Linotype" w:hAnsi="Palatino Linotype" w:cs="Palatino Linotype"/>
        </w:rPr>
        <w:t xml:space="preserve"> declararía en automática la inexistencia de la información solicitada de modo que no existe obligación de justificar o allegar pruebas, y por ende no tiene aplicación lo </w:t>
      </w:r>
      <w:r w:rsidRPr="00912F97">
        <w:rPr>
          <w:rFonts w:ascii="Palatino Linotype" w:eastAsia="Palatino Linotype" w:hAnsi="Palatino Linotype" w:cs="Palatino Linotype"/>
        </w:rPr>
        <w:lastRenderedPageBreak/>
        <w:t>estatuido en el artículo 49, fracción XIII de la Ley de Transparencia y Acceso a la Información Pública del Estado de México y Municipios.</w:t>
      </w:r>
    </w:p>
    <w:p w14:paraId="7807C1E3" w14:textId="77777777" w:rsidR="00833696" w:rsidRPr="00912F97" w:rsidRDefault="000B1380">
      <w:pPr>
        <w:widowControl w:val="0"/>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 xml:space="preserve">De lo hasta aquí expuesto, se concluye que los motivos de inconformidad de la parte </w:t>
      </w:r>
      <w:r w:rsidRPr="00912F97">
        <w:rPr>
          <w:rFonts w:ascii="Palatino Linotype" w:eastAsia="Palatino Linotype" w:hAnsi="Palatino Linotype" w:cs="Palatino Linotype"/>
          <w:b/>
        </w:rPr>
        <w:t xml:space="preserve">Recurrente </w:t>
      </w:r>
      <w:r w:rsidRPr="00912F97">
        <w:rPr>
          <w:rFonts w:ascii="Palatino Linotype" w:eastAsia="Palatino Linotype" w:hAnsi="Palatino Linotype" w:cs="Palatino Linotype"/>
        </w:rPr>
        <w:t xml:space="preserve">devienen fundados, siendo procedente </w:t>
      </w:r>
      <w:r w:rsidRPr="00912F97">
        <w:rPr>
          <w:rFonts w:ascii="Palatino Linotype" w:eastAsia="Palatino Linotype" w:hAnsi="Palatino Linotype" w:cs="Palatino Linotype"/>
          <w:i/>
        </w:rPr>
        <w:t xml:space="preserve">Revocar </w:t>
      </w:r>
      <w:r w:rsidRPr="00912F97">
        <w:rPr>
          <w:rFonts w:ascii="Palatino Linotype" w:eastAsia="Palatino Linotype" w:hAnsi="Palatino Linotype" w:cs="Palatino Linotype"/>
        </w:rPr>
        <w:t xml:space="preserve">la respuesta proporcionada por el </w:t>
      </w:r>
      <w:r w:rsidRPr="00912F97">
        <w:rPr>
          <w:rFonts w:ascii="Palatino Linotype" w:eastAsia="Palatino Linotype" w:hAnsi="Palatino Linotype" w:cs="Palatino Linotype"/>
          <w:b/>
        </w:rPr>
        <w:t xml:space="preserve">Sujeto Obligado </w:t>
      </w:r>
      <w:r w:rsidRPr="00912F97">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5CA625B6" w14:textId="77777777" w:rsidR="00833696" w:rsidRPr="00912F97" w:rsidRDefault="000B138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b/>
        </w:rPr>
        <w:t>Quinto. Versión Pública.</w:t>
      </w:r>
      <w:r w:rsidRPr="00912F97">
        <w:rPr>
          <w:rFonts w:ascii="Palatino Linotype" w:eastAsia="Palatino Linotype" w:hAnsi="Palatino Linotype" w:cs="Palatino Linotype"/>
          <w:sz w:val="28"/>
          <w:szCs w:val="28"/>
        </w:rPr>
        <w:t xml:space="preserve"> </w:t>
      </w:r>
      <w:r w:rsidRPr="00912F97">
        <w:rPr>
          <w:rFonts w:ascii="Palatino Linotype" w:eastAsia="Palatino Linotype" w:hAnsi="Palatino Linotype" w:cs="Palatino Linotype"/>
        </w:rPr>
        <w:t xml:space="preserve">Finalmente, debe señalarse que de ser el caso en que los documentos que vayan a ser entregados para dar cumplimiento a la presente resolución, contengan datos que deban ser clasificados, el </w:t>
      </w:r>
      <w:r w:rsidRPr="00912F97">
        <w:rPr>
          <w:rFonts w:ascii="Palatino Linotype" w:eastAsia="Palatino Linotype" w:hAnsi="Palatino Linotype" w:cs="Palatino Linotype"/>
          <w:b/>
        </w:rPr>
        <w:t>Sujeto Obligado</w:t>
      </w:r>
      <w:r w:rsidRPr="00912F97">
        <w:rPr>
          <w:rFonts w:ascii="Palatino Linotype" w:eastAsia="Palatino Linotype" w:hAnsi="Palatino Linotype" w:cs="Palatino Linotype"/>
        </w:rPr>
        <w:t xml:space="preserve"> deberá hacer la elaboración de la versión pública de tales documentos a fin de satisfacer el derecho de acceso a la información pública de la parte </w:t>
      </w:r>
      <w:r w:rsidRPr="00912F97">
        <w:rPr>
          <w:rFonts w:ascii="Palatino Linotype" w:eastAsia="Palatino Linotype" w:hAnsi="Palatino Linotype" w:cs="Palatino Linotype"/>
          <w:b/>
        </w:rPr>
        <w:t>Recurrente</w:t>
      </w:r>
      <w:r w:rsidRPr="00912F97">
        <w:rPr>
          <w:rFonts w:ascii="Palatino Linotype" w:eastAsia="Palatino Linotype" w:hAnsi="Palatino Linotype" w:cs="Palatino Linotype"/>
        </w:rPr>
        <w:t xml:space="preserve"> sin menoscabo al derecho a la protección de los datos personales de terceros.</w:t>
      </w:r>
    </w:p>
    <w:p w14:paraId="6D01A7E2" w14:textId="77777777" w:rsidR="00833696" w:rsidRPr="00912F97" w:rsidRDefault="000B1380">
      <w:pP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Para efectos de la elaboración de la versión pública se deberá observar lo dispuesto por los artículos 3 fracciones IX, XX, XXI y XLV, 91, 132, 137 y 143, fracción I de la Ley de Transparencia y Acceso a la Información Pública del Estado de México y Municipios que establecen:</w:t>
      </w:r>
    </w:p>
    <w:p w14:paraId="73927119" w14:textId="77777777" w:rsidR="00833696" w:rsidRPr="00912F97" w:rsidRDefault="000B1380">
      <w:pPr>
        <w:spacing w:before="120" w:after="120"/>
        <w:ind w:left="851"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i/>
          <w:sz w:val="22"/>
          <w:szCs w:val="22"/>
        </w:rPr>
        <w:t>“</w:t>
      </w:r>
      <w:r w:rsidRPr="00912F97">
        <w:rPr>
          <w:rFonts w:ascii="Palatino Linotype" w:eastAsia="Palatino Linotype" w:hAnsi="Palatino Linotype" w:cs="Palatino Linotype"/>
          <w:b/>
          <w:i/>
          <w:sz w:val="22"/>
          <w:szCs w:val="22"/>
        </w:rPr>
        <w:t>Artículo 3</w:t>
      </w:r>
      <w:r w:rsidRPr="00912F97">
        <w:rPr>
          <w:rFonts w:ascii="Palatino Linotype" w:eastAsia="Palatino Linotype" w:hAnsi="Palatino Linotype" w:cs="Palatino Linotype"/>
          <w:i/>
          <w:sz w:val="22"/>
          <w:szCs w:val="22"/>
        </w:rPr>
        <w:t>. Para los efectos de la presente Ley se entenderá por:</w:t>
      </w:r>
    </w:p>
    <w:p w14:paraId="5409D0C7" w14:textId="77777777" w:rsidR="00833696" w:rsidRPr="00912F97" w:rsidRDefault="000B1380">
      <w:pP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i/>
          <w:sz w:val="22"/>
          <w:szCs w:val="22"/>
        </w:rPr>
        <w:t>…</w:t>
      </w:r>
    </w:p>
    <w:p w14:paraId="179B5682" w14:textId="77777777" w:rsidR="00833696" w:rsidRPr="00912F97" w:rsidRDefault="000B1380">
      <w:pP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IX. Datos personales</w:t>
      </w:r>
      <w:r w:rsidRPr="00912F97">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3D528880" w14:textId="77777777" w:rsidR="00833696" w:rsidRPr="00912F97" w:rsidRDefault="000B1380">
      <w:pP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XX. Información clasificada</w:t>
      </w:r>
      <w:r w:rsidRPr="00912F97">
        <w:rPr>
          <w:rFonts w:ascii="Palatino Linotype" w:eastAsia="Palatino Linotype" w:hAnsi="Palatino Linotype" w:cs="Palatino Linotype"/>
          <w:i/>
          <w:sz w:val="22"/>
          <w:szCs w:val="22"/>
        </w:rPr>
        <w:t>: Aquella considerada por la presente Ley como reservada o confidencial;</w:t>
      </w:r>
    </w:p>
    <w:p w14:paraId="224B7716" w14:textId="77777777" w:rsidR="00833696" w:rsidRPr="00912F97" w:rsidRDefault="000B1380">
      <w:pP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lastRenderedPageBreak/>
        <w:t xml:space="preserve">XXI. Información confidencial: </w:t>
      </w:r>
      <w:r w:rsidRPr="00912F97">
        <w:rPr>
          <w:rFonts w:ascii="Palatino Linotype" w:eastAsia="Palatino Linotype" w:hAnsi="Palatino Linotype" w:cs="Palatino Linotype"/>
          <w:i/>
          <w:sz w:val="22"/>
          <w:szCs w:val="22"/>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4243FA3" w14:textId="77777777" w:rsidR="00833696" w:rsidRPr="00912F97" w:rsidRDefault="000B1380">
      <w:pP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XLV. Versión pública:</w:t>
      </w:r>
      <w:r w:rsidRPr="00912F97">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3DAA3658" w14:textId="77777777" w:rsidR="00833696" w:rsidRPr="00912F97" w:rsidRDefault="000B1380">
      <w:pP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i/>
          <w:sz w:val="22"/>
          <w:szCs w:val="22"/>
        </w:rPr>
        <w:t>…</w:t>
      </w:r>
    </w:p>
    <w:p w14:paraId="45F3978C" w14:textId="77777777" w:rsidR="00833696" w:rsidRPr="00912F97" w:rsidRDefault="000B1380">
      <w:pPr>
        <w:spacing w:before="120" w:after="120"/>
        <w:ind w:left="851"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Artículo 91.</w:t>
      </w:r>
      <w:r w:rsidRPr="00912F97">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2D09BDF0" w14:textId="77777777" w:rsidR="00833696" w:rsidRPr="00912F97" w:rsidRDefault="000B1380">
      <w:pPr>
        <w:spacing w:before="120" w:after="120"/>
        <w:ind w:left="851"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Artículo 132.</w:t>
      </w:r>
      <w:r w:rsidRPr="00912F97">
        <w:rPr>
          <w:rFonts w:ascii="Palatino Linotype" w:eastAsia="Palatino Linotype" w:hAnsi="Palatino Linotype" w:cs="Palatino Linotype"/>
          <w:i/>
          <w:sz w:val="22"/>
          <w:szCs w:val="22"/>
        </w:rPr>
        <w:t xml:space="preserve"> La clasificación de la información se llevará a cabo en el momento en que:</w:t>
      </w:r>
    </w:p>
    <w:p w14:paraId="69C85F20" w14:textId="77777777" w:rsidR="00833696" w:rsidRPr="00912F97" w:rsidRDefault="000B1380">
      <w:pP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I</w:t>
      </w:r>
      <w:r w:rsidRPr="00912F97">
        <w:rPr>
          <w:rFonts w:ascii="Palatino Linotype" w:eastAsia="Palatino Linotype" w:hAnsi="Palatino Linotype" w:cs="Palatino Linotype"/>
          <w:i/>
          <w:sz w:val="22"/>
          <w:szCs w:val="22"/>
        </w:rPr>
        <w:t>. Se reciba una solicitud de acceso a la información;</w:t>
      </w:r>
    </w:p>
    <w:p w14:paraId="46F63EA5" w14:textId="77777777" w:rsidR="00833696" w:rsidRPr="00912F97" w:rsidRDefault="000B1380">
      <w:pP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II.</w:t>
      </w:r>
      <w:r w:rsidRPr="00912F97">
        <w:rPr>
          <w:rFonts w:ascii="Palatino Linotype" w:eastAsia="Palatino Linotype" w:hAnsi="Palatino Linotype" w:cs="Palatino Linotype"/>
          <w:i/>
          <w:sz w:val="22"/>
          <w:szCs w:val="22"/>
        </w:rPr>
        <w:t xml:space="preserve"> Se determine mediante resolución de autoridad competente; o</w:t>
      </w:r>
    </w:p>
    <w:p w14:paraId="6FCE089F" w14:textId="77777777" w:rsidR="00833696" w:rsidRPr="00912F97" w:rsidRDefault="000B1380">
      <w:pP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III.</w:t>
      </w:r>
      <w:r w:rsidRPr="00912F97">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4E2D9CF1" w14:textId="77777777" w:rsidR="00833696" w:rsidRPr="00912F97" w:rsidRDefault="000B1380">
      <w:pPr>
        <w:spacing w:before="120" w:after="120"/>
        <w:ind w:left="851"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i/>
          <w:sz w:val="22"/>
          <w:szCs w:val="22"/>
        </w:rPr>
        <w:t>…</w:t>
      </w:r>
    </w:p>
    <w:p w14:paraId="46EABA05" w14:textId="77777777" w:rsidR="00833696" w:rsidRPr="00912F97" w:rsidRDefault="000B1380">
      <w:pPr>
        <w:spacing w:before="120" w:after="120"/>
        <w:ind w:left="851"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Artículo 137.</w:t>
      </w:r>
      <w:r w:rsidRPr="00912F97">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35EF1DF2" w14:textId="77777777" w:rsidR="00833696" w:rsidRPr="00912F97" w:rsidRDefault="000B1380">
      <w:pPr>
        <w:spacing w:before="120" w:after="120"/>
        <w:ind w:left="851" w:right="902"/>
        <w:jc w:val="both"/>
        <w:rPr>
          <w:rFonts w:ascii="Palatino Linotype" w:eastAsia="Palatino Linotype" w:hAnsi="Palatino Linotype" w:cs="Palatino Linotype"/>
          <w:b/>
          <w:i/>
          <w:sz w:val="22"/>
          <w:szCs w:val="22"/>
        </w:rPr>
      </w:pPr>
      <w:r w:rsidRPr="00912F97">
        <w:rPr>
          <w:rFonts w:ascii="Palatino Linotype" w:eastAsia="Palatino Linotype" w:hAnsi="Palatino Linotype" w:cs="Palatino Linotype"/>
          <w:b/>
          <w:i/>
          <w:sz w:val="22"/>
          <w:szCs w:val="22"/>
        </w:rPr>
        <w:t>…</w:t>
      </w:r>
    </w:p>
    <w:p w14:paraId="315C955F" w14:textId="77777777" w:rsidR="00833696" w:rsidRPr="00912F97" w:rsidRDefault="000B1380">
      <w:pPr>
        <w:spacing w:before="120" w:after="120"/>
        <w:ind w:left="851"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Artículo 143</w:t>
      </w:r>
      <w:r w:rsidRPr="00912F97">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47DB29CA" w14:textId="77777777" w:rsidR="00833696" w:rsidRPr="00912F97" w:rsidRDefault="000B1380">
      <w:pP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I.</w:t>
      </w:r>
      <w:r w:rsidRPr="00912F97">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3DDF00C7" w14:textId="77777777" w:rsidR="00833696" w:rsidRPr="00912F97" w:rsidRDefault="000B1380">
      <w:pP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 xml:space="preserve">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w:t>
      </w:r>
      <w:r w:rsidRPr="00912F97">
        <w:rPr>
          <w:rFonts w:ascii="Palatino Linotype" w:eastAsia="Palatino Linotype" w:hAnsi="Palatino Linotype" w:cs="Palatino Linotype"/>
        </w:rPr>
        <w:lastRenderedPageBreak/>
        <w:t>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2F2D9654" w14:textId="77777777" w:rsidR="00833696" w:rsidRPr="00912F97" w:rsidRDefault="000B1380">
      <w:pP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 xml:space="preserve">Cabe señalar que la entrega de documentos en su versión pública debe acompañarse necesariamente del Acuerdo del Comité de Transparencia que la sustente el cual debe estar debidamente fundado y motivado, en el que se expongan los fundamentos y razonamientos que llevaron al </w:t>
      </w:r>
      <w:r w:rsidRPr="00912F97">
        <w:rPr>
          <w:rFonts w:ascii="Palatino Linotype" w:eastAsia="Palatino Linotype" w:hAnsi="Palatino Linotype" w:cs="Palatino Linotype"/>
          <w:b/>
        </w:rPr>
        <w:t>Sujeto Obligado</w:t>
      </w:r>
      <w:r w:rsidRPr="00912F97">
        <w:rPr>
          <w:rFonts w:ascii="Palatino Linotype" w:eastAsia="Palatino Linotype" w:hAnsi="Palatino Linotype" w:cs="Palatino Linotype"/>
        </w:rPr>
        <w:t xml:space="preserve"> a testar, suprimir o eliminar datos de dicho soporte documental, ya que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02ECEBA9" w14:textId="77777777" w:rsidR="00833696" w:rsidRPr="00912F97" w:rsidRDefault="000B1380">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912F97">
        <w:rPr>
          <w:rFonts w:ascii="Palatino Linotype" w:eastAsia="Palatino Linotype" w:hAnsi="Palatino Linotype" w:cs="Palatino Linotype"/>
        </w:rPr>
        <w:t xml:space="preserve">Respecto a las formalidades que deberá llevar el acuerdo de clasificación que deberá emitir el </w:t>
      </w:r>
      <w:r w:rsidRPr="00912F97">
        <w:rPr>
          <w:rFonts w:ascii="Palatino Linotype" w:eastAsia="Palatino Linotype" w:hAnsi="Palatino Linotype" w:cs="Palatino Linotype"/>
          <w:b/>
        </w:rPr>
        <w:t>Sujeto Obligado</w:t>
      </w:r>
      <w:r w:rsidRPr="00912F97">
        <w:rPr>
          <w:rFonts w:ascii="Palatino Linotype" w:eastAsia="Palatino Linotype" w:hAnsi="Palatino Linotype" w:cs="Palatino Linotype"/>
        </w:rPr>
        <w:t xml:space="preserve"> a través de su Comité de Transparencia, los Lineamientos Quincuagésimo, Quincuagésimo primero, Quincuagésimo segundo, de los Lineamientos Generales en Materia de Clasificación y Desclasificación de la Información, así como para la Elaboración de Versiones Públicas señalan lo siguiente:</w:t>
      </w:r>
    </w:p>
    <w:p w14:paraId="56196F63" w14:textId="77777777" w:rsidR="00833696" w:rsidRPr="00912F97" w:rsidRDefault="000B1380">
      <w:pPr>
        <w:spacing w:before="120" w:after="120"/>
        <w:ind w:left="851"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 xml:space="preserve"> “Quincuagésimo. </w:t>
      </w:r>
      <w:r w:rsidRPr="00912F97">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28D2FD43" w14:textId="77777777" w:rsidR="00833696" w:rsidRPr="00912F97" w:rsidRDefault="000B1380">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lastRenderedPageBreak/>
        <w:t xml:space="preserve">Quincuagésimo primero. </w:t>
      </w:r>
      <w:r w:rsidRPr="00912F97">
        <w:rPr>
          <w:rFonts w:ascii="Palatino Linotype" w:eastAsia="Palatino Linotype" w:hAnsi="Palatino Linotype" w:cs="Palatino Linotype"/>
          <w:i/>
          <w:sz w:val="22"/>
          <w:szCs w:val="22"/>
        </w:rPr>
        <w:t xml:space="preserve">Toda acta del Comité de Transparencia deberá contener: </w:t>
      </w:r>
    </w:p>
    <w:p w14:paraId="414ACB15" w14:textId="77777777" w:rsidR="00833696" w:rsidRPr="00912F97" w:rsidRDefault="000B1380">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I.</w:t>
      </w:r>
      <w:r w:rsidRPr="00912F97">
        <w:rPr>
          <w:rFonts w:ascii="Palatino Linotype" w:eastAsia="Palatino Linotype" w:hAnsi="Palatino Linotype" w:cs="Palatino Linotype"/>
          <w:i/>
          <w:sz w:val="22"/>
          <w:szCs w:val="22"/>
        </w:rPr>
        <w:t xml:space="preserve"> El número de sesión y fecha; </w:t>
      </w:r>
    </w:p>
    <w:p w14:paraId="6D5DB300" w14:textId="77777777" w:rsidR="00833696" w:rsidRPr="00912F97" w:rsidRDefault="000B1380">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II</w:t>
      </w:r>
      <w:r w:rsidRPr="00912F97">
        <w:rPr>
          <w:rFonts w:ascii="Palatino Linotype" w:eastAsia="Palatino Linotype" w:hAnsi="Palatino Linotype" w:cs="Palatino Linotype"/>
          <w:i/>
          <w:sz w:val="22"/>
          <w:szCs w:val="22"/>
        </w:rPr>
        <w:t xml:space="preserve">. El nombre del área que solicitó la clasificación de información; </w:t>
      </w:r>
    </w:p>
    <w:p w14:paraId="3EA9070E" w14:textId="77777777" w:rsidR="00833696" w:rsidRPr="00912F97" w:rsidRDefault="000B1380">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III</w:t>
      </w:r>
      <w:r w:rsidRPr="00912F97">
        <w:rPr>
          <w:rFonts w:ascii="Palatino Linotype" w:eastAsia="Palatino Linotype" w:hAnsi="Palatino Linotype" w:cs="Palatino Linotype"/>
          <w:i/>
          <w:sz w:val="22"/>
          <w:szCs w:val="22"/>
        </w:rPr>
        <w:t xml:space="preserve">. La fundamentación legal y motivación correspondiente; </w:t>
      </w:r>
    </w:p>
    <w:p w14:paraId="758067E5" w14:textId="77777777" w:rsidR="00833696" w:rsidRPr="00912F97" w:rsidRDefault="000B1380">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IV</w:t>
      </w:r>
      <w:r w:rsidRPr="00912F97">
        <w:rPr>
          <w:rFonts w:ascii="Palatino Linotype" w:eastAsia="Palatino Linotype" w:hAnsi="Palatino Linotype" w:cs="Palatino Linotype"/>
          <w:i/>
          <w:sz w:val="22"/>
          <w:szCs w:val="22"/>
        </w:rPr>
        <w:t xml:space="preserve">. La resolución o resoluciones aprobadas; y </w:t>
      </w:r>
    </w:p>
    <w:p w14:paraId="5A1EA4CA" w14:textId="77777777" w:rsidR="00833696" w:rsidRPr="00912F97" w:rsidRDefault="000B1380">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V</w:t>
      </w:r>
      <w:r w:rsidRPr="00912F97">
        <w:rPr>
          <w:rFonts w:ascii="Palatino Linotype" w:eastAsia="Palatino Linotype" w:hAnsi="Palatino Linotype" w:cs="Palatino Linotype"/>
          <w:i/>
          <w:sz w:val="22"/>
          <w:szCs w:val="22"/>
        </w:rPr>
        <w:t xml:space="preserve">. La rúbrica o firma digital de cada integrante del Comité de Transparencia. </w:t>
      </w:r>
    </w:p>
    <w:p w14:paraId="64A4C919" w14:textId="77777777" w:rsidR="00833696" w:rsidRPr="00912F97" w:rsidRDefault="000B1380">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20C3BD9E" w14:textId="77777777" w:rsidR="00833696" w:rsidRPr="00912F97" w:rsidRDefault="000B1380">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I.</w:t>
      </w:r>
      <w:r w:rsidRPr="00912F97">
        <w:rPr>
          <w:rFonts w:ascii="Palatino Linotype" w:eastAsia="Palatino Linotype" w:hAnsi="Palatino Linotype" w:cs="Palatino Linotype"/>
          <w:i/>
          <w:sz w:val="22"/>
          <w:szCs w:val="22"/>
        </w:rPr>
        <w:t xml:space="preserve"> Los motivos y razonamientos que sustenten la confirmación o modificación de la prueba de daño;</w:t>
      </w:r>
    </w:p>
    <w:p w14:paraId="104E21B4" w14:textId="77777777" w:rsidR="00833696" w:rsidRPr="00912F97" w:rsidRDefault="000B1380">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912F97">
        <w:rPr>
          <w:rFonts w:ascii="Palatino Linotype" w:eastAsia="Palatino Linotype" w:hAnsi="Palatino Linotype" w:cs="Palatino Linotype"/>
          <w:b/>
          <w:i/>
          <w:sz w:val="22"/>
          <w:szCs w:val="22"/>
        </w:rPr>
        <w:t>II</w:t>
      </w:r>
      <w:r w:rsidRPr="00912F97">
        <w:rPr>
          <w:rFonts w:ascii="Palatino Linotype" w:eastAsia="Palatino Linotype" w:hAnsi="Palatino Linotype" w:cs="Palatino Linotype"/>
          <w:i/>
          <w:sz w:val="22"/>
          <w:szCs w:val="22"/>
        </w:rPr>
        <w:t>. Descripción de las partes o secciones reservadas, en caso de clasificación parcial</w:t>
      </w:r>
      <w:r w:rsidRPr="00912F97">
        <w:rPr>
          <w:rFonts w:ascii="Palatino Linotype" w:eastAsia="Palatino Linotype" w:hAnsi="Palatino Linotype" w:cs="Palatino Linotype"/>
          <w:b/>
          <w:i/>
          <w:sz w:val="22"/>
          <w:szCs w:val="22"/>
        </w:rPr>
        <w:t xml:space="preserve">; </w:t>
      </w:r>
    </w:p>
    <w:p w14:paraId="206FBEEC" w14:textId="77777777" w:rsidR="00833696" w:rsidRPr="00912F97" w:rsidRDefault="000B1380">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III.</w:t>
      </w:r>
      <w:r w:rsidRPr="00912F97">
        <w:rPr>
          <w:rFonts w:ascii="Palatino Linotype" w:eastAsia="Palatino Linotype" w:hAnsi="Palatino Linotype" w:cs="Palatino Linotype"/>
          <w:i/>
          <w:sz w:val="22"/>
          <w:szCs w:val="22"/>
        </w:rPr>
        <w:t xml:space="preserve"> El periodo por el que mantendrá su clasificación y fecha de expiración; y </w:t>
      </w:r>
    </w:p>
    <w:p w14:paraId="79FC36FA" w14:textId="77777777" w:rsidR="00833696" w:rsidRPr="00912F97" w:rsidRDefault="000B1380">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IV.</w:t>
      </w:r>
      <w:r w:rsidRPr="00912F97">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5BD60D74" w14:textId="77777777" w:rsidR="00833696" w:rsidRPr="00912F97" w:rsidRDefault="000B1380">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3DCF05EA" w14:textId="77777777" w:rsidR="00833696" w:rsidRPr="00912F97" w:rsidRDefault="000B1380">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4A22B5A1" w14:textId="77777777" w:rsidR="00833696" w:rsidRPr="00912F97" w:rsidRDefault="000B1380">
      <w:pPr>
        <w:spacing w:before="120" w:after="120"/>
        <w:ind w:left="851" w:right="900"/>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Quincuagésimo segundo</w:t>
      </w:r>
      <w:r w:rsidRPr="00912F97">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09EB03D" w14:textId="77777777" w:rsidR="00833696" w:rsidRPr="00912F97" w:rsidRDefault="000B1380">
      <w:pPr>
        <w:spacing w:before="120" w:after="120"/>
        <w:ind w:left="851" w:right="900"/>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i/>
          <w:sz w:val="22"/>
          <w:szCs w:val="22"/>
        </w:rPr>
        <w:t xml:space="preserve">En el caso especifico de la clasificación y elaboración de versiones públicas de documentos que contengan información confidencial, las áreas de los sujetos obligados deberán: </w:t>
      </w:r>
    </w:p>
    <w:p w14:paraId="52DBEA54" w14:textId="77777777" w:rsidR="00833696" w:rsidRPr="00912F97" w:rsidRDefault="000B1380">
      <w:pPr>
        <w:spacing w:before="120" w:after="120"/>
        <w:ind w:left="1134" w:right="900"/>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I.</w:t>
      </w:r>
      <w:r w:rsidRPr="00912F97">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59B96E02" w14:textId="77777777" w:rsidR="00833696" w:rsidRPr="00912F97" w:rsidRDefault="000B1380">
      <w:pPr>
        <w:spacing w:before="120" w:after="120"/>
        <w:ind w:left="1134" w:right="900"/>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lastRenderedPageBreak/>
        <w:t>II.</w:t>
      </w:r>
      <w:r w:rsidRPr="00912F97">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39BE263B" w14:textId="77777777" w:rsidR="00833696" w:rsidRPr="00912F97" w:rsidRDefault="000B1380">
      <w:pPr>
        <w:spacing w:before="120" w:after="120"/>
        <w:ind w:left="1134" w:right="900"/>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III.</w:t>
      </w:r>
      <w:r w:rsidRPr="00912F97">
        <w:rPr>
          <w:rFonts w:ascii="Palatino Linotype" w:eastAsia="Palatino Linotype" w:hAnsi="Palatino Linotype" w:cs="Palatino Linotype"/>
          <w:i/>
          <w:sz w:val="22"/>
          <w:szCs w:val="22"/>
        </w:rPr>
        <w:t xml:space="preserve"> Señalar las personas o instancias autorizadas a acceder a la información clasificada.</w:t>
      </w:r>
    </w:p>
    <w:p w14:paraId="4ECD87AA" w14:textId="77777777" w:rsidR="00833696" w:rsidRPr="00912F97" w:rsidRDefault="000B1380">
      <w:pPr>
        <w:spacing w:before="120" w:after="120"/>
        <w:ind w:left="851" w:right="900"/>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3DDA639E" w14:textId="77777777" w:rsidR="00833696" w:rsidRPr="00912F97" w:rsidRDefault="000B1380">
      <w:pPr>
        <w:spacing w:before="240" w:after="240" w:line="360" w:lineRule="auto"/>
        <w:ind w:right="50"/>
        <w:jc w:val="both"/>
        <w:rPr>
          <w:rFonts w:ascii="Palatino Linotype" w:eastAsia="Palatino Linotype" w:hAnsi="Palatino Linotype" w:cs="Palatino Linotype"/>
        </w:rPr>
      </w:pPr>
      <w:r w:rsidRPr="00912F97">
        <w:rPr>
          <w:rFonts w:ascii="Palatino Linotype" w:eastAsia="Palatino Linotype" w:hAnsi="Palatino Linotype" w:cs="Palatino Linotype"/>
        </w:rPr>
        <w:t xml:space="preserve">En relación directa con ello deberá observar el Lineamiento Quincuagésimo tercero de los Lineamientos Generales en Materia de Clasificación y Desclasificación de la Información supraindicados, que establece los formatos para la clasificación de los documentos o expedientes que contengan información reservada, conforme a lo siguiente: </w:t>
      </w:r>
    </w:p>
    <w:p w14:paraId="7E2C7C96" w14:textId="77777777" w:rsidR="00833696" w:rsidRPr="00912F97" w:rsidRDefault="000B1380">
      <w:pPr>
        <w:ind w:left="851" w:right="900"/>
        <w:jc w:val="center"/>
        <w:rPr>
          <w:rFonts w:ascii="Palatino Linotype" w:eastAsia="Palatino Linotype" w:hAnsi="Palatino Linotype" w:cs="Palatino Linotype"/>
          <w:b/>
          <w:i/>
        </w:rPr>
      </w:pPr>
      <w:r w:rsidRPr="00912F97">
        <w:rPr>
          <w:rFonts w:ascii="Palatino Linotype" w:eastAsia="Palatino Linotype" w:hAnsi="Palatino Linotype" w:cs="Palatino Linotype"/>
          <w:b/>
          <w:i/>
        </w:rPr>
        <w:t>CAPÍTULO VIII</w:t>
      </w:r>
    </w:p>
    <w:p w14:paraId="0BB47EAE" w14:textId="77777777" w:rsidR="00833696" w:rsidRPr="00912F97" w:rsidRDefault="000B1380">
      <w:pPr>
        <w:ind w:left="851" w:right="900"/>
        <w:jc w:val="center"/>
        <w:rPr>
          <w:rFonts w:ascii="Palatino Linotype" w:eastAsia="Palatino Linotype" w:hAnsi="Palatino Linotype" w:cs="Palatino Linotype"/>
          <w:b/>
          <w:i/>
        </w:rPr>
      </w:pPr>
      <w:r w:rsidRPr="00912F97">
        <w:rPr>
          <w:rFonts w:ascii="Palatino Linotype" w:eastAsia="Palatino Linotype" w:hAnsi="Palatino Linotype" w:cs="Palatino Linotype"/>
          <w:b/>
          <w:i/>
        </w:rPr>
        <w:t xml:space="preserve">DE LOS ELEMENTOS PARA LA CLASIFICACIÓN </w:t>
      </w:r>
    </w:p>
    <w:p w14:paraId="266C9A2D" w14:textId="77777777" w:rsidR="00833696" w:rsidRPr="00912F97" w:rsidRDefault="000B1380">
      <w:pPr>
        <w:ind w:left="851" w:right="900"/>
        <w:rPr>
          <w:rFonts w:ascii="Palatino Linotype" w:eastAsia="Palatino Linotype" w:hAnsi="Palatino Linotype" w:cs="Palatino Linotype"/>
          <w:i/>
        </w:rPr>
      </w:pPr>
      <w:r w:rsidRPr="00912F97">
        <w:rPr>
          <w:rFonts w:ascii="Palatino Linotype" w:eastAsia="Palatino Linotype" w:hAnsi="Palatino Linotype" w:cs="Palatino Linotype"/>
          <w:i/>
        </w:rPr>
        <w:t>…</w:t>
      </w:r>
    </w:p>
    <w:p w14:paraId="2F637655" w14:textId="77777777" w:rsidR="00833696" w:rsidRPr="00912F97" w:rsidRDefault="000B1380">
      <w:pPr>
        <w:spacing w:before="120" w:after="120"/>
        <w:ind w:left="851" w:right="902"/>
        <w:jc w:val="both"/>
        <w:rPr>
          <w:rFonts w:ascii="Palatino Linotype" w:eastAsia="Palatino Linotype" w:hAnsi="Palatino Linotype" w:cs="Palatino Linotype"/>
          <w:i/>
        </w:rPr>
      </w:pPr>
      <w:r w:rsidRPr="00912F97">
        <w:rPr>
          <w:rFonts w:ascii="Palatino Linotype" w:eastAsia="Palatino Linotype" w:hAnsi="Palatino Linotype" w:cs="Palatino Linotype"/>
          <w:b/>
          <w:i/>
        </w:rPr>
        <w:t xml:space="preserve">Quincuagésimo tercero. </w:t>
      </w:r>
      <w:r w:rsidRPr="00912F97">
        <w:rPr>
          <w:rFonts w:ascii="Palatino Linotype" w:eastAsia="Palatino Linotype" w:hAnsi="Palatino Linotype" w:cs="Palatino Linotype"/>
          <w:b/>
          <w:i/>
          <w:u w:val="single"/>
        </w:rPr>
        <w:t>El formato para señalar la clasificación de un documento o expediente que contenga información reservada</w:t>
      </w:r>
      <w:r w:rsidRPr="00912F97">
        <w:rPr>
          <w:rFonts w:ascii="Palatino Linotype" w:eastAsia="Palatino Linotype" w:hAnsi="Palatino Linotype" w:cs="Palatino Linotype"/>
          <w:b/>
          <w:i/>
        </w:rPr>
        <w:t xml:space="preserve">, </w:t>
      </w:r>
      <w:r w:rsidRPr="00912F97">
        <w:rPr>
          <w:rFonts w:ascii="Palatino Linotype" w:eastAsia="Palatino Linotype" w:hAnsi="Palatino Linotype" w:cs="Palatino Linotype"/>
          <w:i/>
        </w:rPr>
        <w:t xml:space="preserve">es el siguiente: </w:t>
      </w:r>
    </w:p>
    <w:p w14:paraId="15BF6762" w14:textId="77777777" w:rsidR="00833696" w:rsidRPr="00912F97" w:rsidRDefault="000B1380">
      <w:pPr>
        <w:spacing w:before="120" w:after="120"/>
        <w:ind w:left="851" w:right="902"/>
        <w:jc w:val="both"/>
        <w:rPr>
          <w:rFonts w:ascii="Palatino Linotype" w:eastAsia="Palatino Linotype" w:hAnsi="Palatino Linotype" w:cs="Palatino Linotype"/>
          <w:b/>
          <w:i/>
        </w:rPr>
      </w:pPr>
      <w:r w:rsidRPr="00912F97">
        <w:rPr>
          <w:rFonts w:ascii="Palatino Linotype" w:eastAsia="Palatino Linotype" w:hAnsi="Palatino Linotype" w:cs="Palatino Linotype"/>
          <w:b/>
          <w:i/>
          <w:noProof/>
        </w:rPr>
        <w:drawing>
          <wp:inline distT="0" distB="0" distL="0" distR="0" wp14:anchorId="2B45F715" wp14:editId="3624A68A">
            <wp:extent cx="4295775" cy="295275"/>
            <wp:effectExtent l="0" t="0" r="0" b="0"/>
            <wp:docPr id="195208249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b="95731"/>
                    <a:stretch>
                      <a:fillRect/>
                    </a:stretch>
                  </pic:blipFill>
                  <pic:spPr>
                    <a:xfrm>
                      <a:off x="0" y="0"/>
                      <a:ext cx="4295775" cy="295275"/>
                    </a:xfrm>
                    <a:prstGeom prst="rect">
                      <a:avLst/>
                    </a:prstGeom>
                    <a:ln/>
                  </pic:spPr>
                </pic:pic>
              </a:graphicData>
            </a:graphic>
          </wp:inline>
        </w:drawing>
      </w:r>
    </w:p>
    <w:p w14:paraId="6AEDDF89" w14:textId="77777777" w:rsidR="00833696" w:rsidRPr="00912F97" w:rsidRDefault="000B1380">
      <w:pPr>
        <w:spacing w:before="120" w:after="120"/>
        <w:ind w:left="851" w:right="902"/>
        <w:jc w:val="both"/>
        <w:rPr>
          <w:rFonts w:ascii="Palatino Linotype" w:eastAsia="Palatino Linotype" w:hAnsi="Palatino Linotype" w:cs="Palatino Linotype"/>
          <w:b/>
          <w:i/>
        </w:rPr>
      </w:pPr>
      <w:r w:rsidRPr="00912F97">
        <w:rPr>
          <w:rFonts w:ascii="Palatino Linotype" w:eastAsia="Palatino Linotype" w:hAnsi="Palatino Linotype" w:cs="Palatino Linotype"/>
          <w:b/>
          <w:i/>
          <w:noProof/>
        </w:rPr>
        <w:drawing>
          <wp:inline distT="0" distB="0" distL="0" distR="0" wp14:anchorId="3715C1AB" wp14:editId="58B3862D">
            <wp:extent cx="4333875" cy="1838325"/>
            <wp:effectExtent l="0" t="0" r="0" b="0"/>
            <wp:docPr id="19520824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t="30908" b="42476"/>
                    <a:stretch>
                      <a:fillRect/>
                    </a:stretch>
                  </pic:blipFill>
                  <pic:spPr>
                    <a:xfrm>
                      <a:off x="0" y="0"/>
                      <a:ext cx="4333875" cy="1838325"/>
                    </a:xfrm>
                    <a:prstGeom prst="rect">
                      <a:avLst/>
                    </a:prstGeom>
                    <a:ln/>
                  </pic:spPr>
                </pic:pic>
              </a:graphicData>
            </a:graphic>
          </wp:inline>
        </w:drawing>
      </w:r>
    </w:p>
    <w:p w14:paraId="42A568CE" w14:textId="77777777" w:rsidR="00833696" w:rsidRPr="00912F97" w:rsidRDefault="000B1380">
      <w:pPr>
        <w:spacing w:before="120" w:after="120"/>
        <w:ind w:left="851" w:right="902"/>
        <w:jc w:val="both"/>
        <w:rPr>
          <w:rFonts w:ascii="Palatino Linotype" w:eastAsia="Palatino Linotype" w:hAnsi="Palatino Linotype" w:cs="Palatino Linotype"/>
          <w:b/>
          <w:i/>
        </w:rPr>
      </w:pPr>
      <w:r w:rsidRPr="00912F97">
        <w:rPr>
          <w:rFonts w:ascii="Palatino Linotype" w:eastAsia="Palatino Linotype" w:hAnsi="Palatino Linotype" w:cs="Palatino Linotype"/>
          <w:b/>
          <w:i/>
          <w:noProof/>
        </w:rPr>
        <w:lastRenderedPageBreak/>
        <w:drawing>
          <wp:inline distT="0" distB="0" distL="0" distR="0" wp14:anchorId="7A2F4A01" wp14:editId="03370A85">
            <wp:extent cx="4333875" cy="2933700"/>
            <wp:effectExtent l="0" t="0" r="0" b="0"/>
            <wp:docPr id="195208249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t="57524"/>
                    <a:stretch>
                      <a:fillRect/>
                    </a:stretch>
                  </pic:blipFill>
                  <pic:spPr>
                    <a:xfrm>
                      <a:off x="0" y="0"/>
                      <a:ext cx="4333875" cy="2933700"/>
                    </a:xfrm>
                    <a:prstGeom prst="rect">
                      <a:avLst/>
                    </a:prstGeom>
                    <a:ln/>
                  </pic:spPr>
                </pic:pic>
              </a:graphicData>
            </a:graphic>
          </wp:inline>
        </w:drawing>
      </w:r>
    </w:p>
    <w:p w14:paraId="5EB27F2D" w14:textId="77777777" w:rsidR="00833696" w:rsidRPr="00912F97" w:rsidRDefault="000B1380">
      <w:pPr>
        <w:spacing w:before="120" w:after="120"/>
        <w:ind w:left="851"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i/>
          <w:sz w:val="22"/>
          <w:szCs w:val="22"/>
        </w:rPr>
        <w:t>Los documentos que integren un expediente reservado en su totalidad no deberán marcarse en lo individual.</w:t>
      </w:r>
    </w:p>
    <w:p w14:paraId="00C5C11C" w14:textId="77777777" w:rsidR="00833696" w:rsidRPr="00912F97" w:rsidRDefault="000B1380">
      <w:pPr>
        <w:spacing w:before="120" w:after="120"/>
        <w:ind w:left="851"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i/>
          <w:sz w:val="22"/>
          <w:szCs w:val="22"/>
        </w:rPr>
        <w:t>Una vez desclasificados los expedientes, si existieren documentos que tuvieran el carácter de reservados deberán permanecer o ser marcados.”</w:t>
      </w:r>
    </w:p>
    <w:p w14:paraId="3D8E07E5" w14:textId="77777777" w:rsidR="00833696" w:rsidRPr="00912F97" w:rsidRDefault="000B1380">
      <w:pP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Asimismo, deberá observar los Lineamientos Quincuagésimo cuarto, Quincuagésimo quinto, Quincuagésimo séptimo y Quincuagésimo octavo, establecen lo siguiente:</w:t>
      </w:r>
    </w:p>
    <w:p w14:paraId="0CD1A2EE" w14:textId="77777777" w:rsidR="00833696" w:rsidRPr="00912F97" w:rsidRDefault="000B1380">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912F97">
        <w:rPr>
          <w:rFonts w:ascii="Palatino Linotype" w:eastAsia="Palatino Linotype" w:hAnsi="Palatino Linotype" w:cs="Palatino Linotype"/>
          <w:i/>
          <w:sz w:val="22"/>
          <w:szCs w:val="22"/>
        </w:rPr>
        <w:t>“</w:t>
      </w:r>
      <w:r w:rsidRPr="00912F97">
        <w:rPr>
          <w:rFonts w:ascii="Palatino Linotype" w:eastAsia="Palatino Linotype" w:hAnsi="Palatino Linotype" w:cs="Palatino Linotype"/>
          <w:b/>
          <w:i/>
          <w:sz w:val="22"/>
          <w:szCs w:val="22"/>
        </w:rPr>
        <w:t xml:space="preserve">Quincuagésimo cuarto. </w:t>
      </w:r>
      <w:r w:rsidRPr="00912F97">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912F97">
        <w:rPr>
          <w:rFonts w:ascii="Palatino Linotype" w:eastAsia="Palatino Linotype" w:hAnsi="Palatino Linotype" w:cs="Palatino Linotype"/>
          <w:b/>
          <w:i/>
          <w:sz w:val="22"/>
          <w:szCs w:val="22"/>
        </w:rPr>
        <w:t xml:space="preserve"> </w:t>
      </w:r>
    </w:p>
    <w:p w14:paraId="61642F05" w14:textId="77777777" w:rsidR="00833696" w:rsidRPr="00912F97" w:rsidRDefault="000B1380">
      <w:pPr>
        <w:spacing w:before="120" w:after="120"/>
        <w:ind w:left="851"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 xml:space="preserve">Quincuagésimo quinto. </w:t>
      </w:r>
      <w:r w:rsidRPr="00912F97">
        <w:rPr>
          <w:rFonts w:ascii="Palatino Linotype" w:eastAsia="Palatino Linotype" w:hAnsi="Palatino Linotype" w:cs="Palatino Linotype"/>
          <w:i/>
          <w:sz w:val="22"/>
          <w:szCs w:val="22"/>
        </w:rPr>
        <w:t>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5B6CB33F" w14:textId="77777777" w:rsidR="00833696" w:rsidRPr="00912F97" w:rsidRDefault="000B1380">
      <w:pPr>
        <w:spacing w:before="120" w:after="120"/>
        <w:ind w:left="851" w:right="902"/>
        <w:jc w:val="both"/>
        <w:rPr>
          <w:rFonts w:ascii="Palatino Linotype" w:eastAsia="Palatino Linotype" w:hAnsi="Palatino Linotype" w:cs="Palatino Linotype"/>
          <w:b/>
          <w:i/>
          <w:sz w:val="22"/>
          <w:szCs w:val="22"/>
        </w:rPr>
      </w:pPr>
      <w:r w:rsidRPr="00912F97">
        <w:rPr>
          <w:rFonts w:ascii="Palatino Linotype" w:eastAsia="Palatino Linotype" w:hAnsi="Palatino Linotype" w:cs="Palatino Linotype"/>
          <w:b/>
          <w:i/>
          <w:sz w:val="22"/>
          <w:szCs w:val="22"/>
        </w:rPr>
        <w:lastRenderedPageBreak/>
        <w:t>...</w:t>
      </w:r>
    </w:p>
    <w:p w14:paraId="74256F52" w14:textId="77777777" w:rsidR="00833696" w:rsidRPr="00912F97" w:rsidRDefault="000B1380">
      <w:pPr>
        <w:spacing w:before="120" w:after="120"/>
        <w:ind w:left="851"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Quincuagésimo séptimo</w:t>
      </w:r>
      <w:r w:rsidRPr="00912F97">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5B2C8B28" w14:textId="77777777" w:rsidR="00833696" w:rsidRPr="00912F97" w:rsidRDefault="000B1380">
      <w:pP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I</w:t>
      </w:r>
      <w:r w:rsidRPr="00912F97">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56E36CCC" w14:textId="77777777" w:rsidR="00833696" w:rsidRPr="00912F97" w:rsidRDefault="000B1380">
      <w:pP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II.</w:t>
      </w:r>
      <w:r w:rsidRPr="00912F97">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6DD1C432" w14:textId="77777777" w:rsidR="00833696" w:rsidRPr="00912F97" w:rsidRDefault="000B1380">
      <w:pPr>
        <w:spacing w:before="120" w:after="120"/>
        <w:ind w:left="1134"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III</w:t>
      </w:r>
      <w:r w:rsidRPr="00912F97">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23609632" w14:textId="77777777" w:rsidR="00833696" w:rsidRPr="00912F97" w:rsidRDefault="000B1380">
      <w:pPr>
        <w:spacing w:before="120" w:after="120"/>
        <w:ind w:left="851"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4B6EC285" w14:textId="77777777" w:rsidR="00833696" w:rsidRPr="00912F97" w:rsidRDefault="000B1380">
      <w:pPr>
        <w:spacing w:before="120" w:after="120"/>
        <w:ind w:left="851" w:right="902"/>
        <w:jc w:val="both"/>
        <w:rPr>
          <w:rFonts w:ascii="Palatino Linotype" w:eastAsia="Palatino Linotype" w:hAnsi="Palatino Linotype" w:cs="Palatino Linotype"/>
          <w:i/>
          <w:sz w:val="22"/>
          <w:szCs w:val="22"/>
        </w:rPr>
      </w:pPr>
      <w:r w:rsidRPr="00912F97">
        <w:rPr>
          <w:rFonts w:ascii="Palatino Linotype" w:eastAsia="Palatino Linotype" w:hAnsi="Palatino Linotype" w:cs="Palatino Linotype"/>
          <w:b/>
          <w:i/>
          <w:sz w:val="22"/>
          <w:szCs w:val="22"/>
        </w:rPr>
        <w:t>Quincuagésimo octavo</w:t>
      </w:r>
      <w:r w:rsidRPr="00912F97">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732957A8" w14:textId="77777777" w:rsidR="00833696" w:rsidRPr="00912F97" w:rsidRDefault="000B1380">
      <w:pP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1414C517" w14:textId="77777777" w:rsidR="00833696" w:rsidRPr="00912F97" w:rsidRDefault="000B1380">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912F97">
        <w:rPr>
          <w:rFonts w:ascii="Palatino Linotype" w:eastAsia="Palatino Linotype" w:hAnsi="Palatino Linotype" w:cs="Palatino Linotype"/>
          <w:b/>
        </w:rPr>
        <w:t>III. R E S U E L V E</w:t>
      </w:r>
    </w:p>
    <w:p w14:paraId="7BD9BCF9" w14:textId="77777777" w:rsidR="00833696" w:rsidRPr="00912F97" w:rsidRDefault="000B1380">
      <w:pPr>
        <w:spacing w:before="240" w:after="240" w:line="360" w:lineRule="auto"/>
        <w:jc w:val="both"/>
        <w:rPr>
          <w:rFonts w:ascii="Palatino Linotype" w:eastAsia="Palatino Linotype" w:hAnsi="Palatino Linotype" w:cs="Palatino Linotype"/>
        </w:rPr>
      </w:pPr>
      <w:bookmarkStart w:id="9" w:name="_heading=h.26in1rg" w:colFirst="0" w:colLast="0"/>
      <w:bookmarkEnd w:id="9"/>
      <w:r w:rsidRPr="00912F97">
        <w:rPr>
          <w:rFonts w:ascii="Palatino Linotype" w:eastAsia="Palatino Linotype" w:hAnsi="Palatino Linotype" w:cs="Palatino Linotype"/>
          <w:b/>
        </w:rPr>
        <w:t xml:space="preserve">Primero. </w:t>
      </w:r>
      <w:r w:rsidRPr="00912F97">
        <w:rPr>
          <w:rFonts w:ascii="Palatino Linotype" w:eastAsia="Palatino Linotype" w:hAnsi="Palatino Linotype" w:cs="Palatino Linotype"/>
        </w:rPr>
        <w:t>Resultan</w:t>
      </w:r>
      <w:r w:rsidRPr="00912F97">
        <w:rPr>
          <w:rFonts w:ascii="Palatino Linotype" w:eastAsia="Palatino Linotype" w:hAnsi="Palatino Linotype" w:cs="Palatino Linotype"/>
          <w:b/>
        </w:rPr>
        <w:t xml:space="preserve"> fundadas</w:t>
      </w:r>
      <w:r w:rsidRPr="00912F97">
        <w:rPr>
          <w:rFonts w:ascii="Palatino Linotype" w:eastAsia="Palatino Linotype" w:hAnsi="Palatino Linotype" w:cs="Palatino Linotype"/>
        </w:rPr>
        <w:t xml:space="preserve"> las razones o motivos de inconformidad hechos valer por la parte</w:t>
      </w:r>
      <w:r w:rsidRPr="00912F97">
        <w:rPr>
          <w:rFonts w:ascii="Palatino Linotype" w:eastAsia="Palatino Linotype" w:hAnsi="Palatino Linotype" w:cs="Palatino Linotype"/>
          <w:b/>
        </w:rPr>
        <w:t xml:space="preserve"> Recurrente</w:t>
      </w:r>
      <w:r w:rsidRPr="00912F97">
        <w:rPr>
          <w:rFonts w:ascii="Palatino Linotype" w:eastAsia="Palatino Linotype" w:hAnsi="Palatino Linotype" w:cs="Palatino Linotype"/>
        </w:rPr>
        <w:t xml:space="preserve"> en el recurso de revisión </w:t>
      </w:r>
      <w:r w:rsidRPr="00912F97">
        <w:rPr>
          <w:rFonts w:ascii="Palatino Linotype" w:eastAsia="Palatino Linotype" w:hAnsi="Palatino Linotype" w:cs="Palatino Linotype"/>
          <w:b/>
        </w:rPr>
        <w:t>03894/INFOEM/IP/RR/2024</w:t>
      </w:r>
      <w:r w:rsidRPr="00912F97">
        <w:rPr>
          <w:rFonts w:ascii="Palatino Linotype" w:eastAsia="Palatino Linotype" w:hAnsi="Palatino Linotype" w:cs="Palatino Linotype"/>
        </w:rPr>
        <w:t xml:space="preserve">; por lo </w:t>
      </w:r>
      <w:r w:rsidRPr="00912F97">
        <w:rPr>
          <w:rFonts w:ascii="Palatino Linotype" w:eastAsia="Palatino Linotype" w:hAnsi="Palatino Linotype" w:cs="Palatino Linotype"/>
        </w:rPr>
        <w:lastRenderedPageBreak/>
        <w:t xml:space="preserve">que, en términos del </w:t>
      </w:r>
      <w:r w:rsidRPr="00912F97">
        <w:rPr>
          <w:rFonts w:ascii="Palatino Linotype" w:eastAsia="Palatino Linotype" w:hAnsi="Palatino Linotype" w:cs="Palatino Linotype"/>
          <w:b/>
        </w:rPr>
        <w:t>Considerando</w:t>
      </w:r>
      <w:r w:rsidRPr="00912F97">
        <w:rPr>
          <w:rFonts w:ascii="Palatino Linotype" w:eastAsia="Palatino Linotype" w:hAnsi="Palatino Linotype" w:cs="Palatino Linotype"/>
        </w:rPr>
        <w:t xml:space="preserve"> </w:t>
      </w:r>
      <w:r w:rsidRPr="00912F97">
        <w:rPr>
          <w:rFonts w:ascii="Palatino Linotype" w:eastAsia="Palatino Linotype" w:hAnsi="Palatino Linotype" w:cs="Palatino Linotype"/>
          <w:b/>
        </w:rPr>
        <w:t xml:space="preserve">Cuarto </w:t>
      </w:r>
      <w:r w:rsidRPr="00912F97">
        <w:rPr>
          <w:rFonts w:ascii="Palatino Linotype" w:eastAsia="Palatino Linotype" w:hAnsi="Palatino Linotype" w:cs="Palatino Linotype"/>
        </w:rPr>
        <w:t xml:space="preserve">de esta resolución, se </w:t>
      </w:r>
      <w:r w:rsidRPr="00912F97">
        <w:rPr>
          <w:rFonts w:ascii="Palatino Linotype" w:eastAsia="Palatino Linotype" w:hAnsi="Palatino Linotype" w:cs="Palatino Linotype"/>
          <w:b/>
        </w:rPr>
        <w:t xml:space="preserve">Revoca </w:t>
      </w:r>
      <w:r w:rsidRPr="00912F97">
        <w:rPr>
          <w:rFonts w:ascii="Palatino Linotype" w:eastAsia="Palatino Linotype" w:hAnsi="Palatino Linotype" w:cs="Palatino Linotype"/>
        </w:rPr>
        <w:t xml:space="preserve">la respuesta emitida por el </w:t>
      </w:r>
      <w:r w:rsidRPr="00912F97">
        <w:rPr>
          <w:rFonts w:ascii="Palatino Linotype" w:eastAsia="Palatino Linotype" w:hAnsi="Palatino Linotype" w:cs="Palatino Linotype"/>
          <w:b/>
        </w:rPr>
        <w:t xml:space="preserve">Sujeto Obligado. </w:t>
      </w:r>
    </w:p>
    <w:p w14:paraId="6B339072" w14:textId="77777777" w:rsidR="00833696" w:rsidRPr="00912F97" w:rsidRDefault="000B1380">
      <w:pPr>
        <w:spacing w:before="240" w:after="240" w:line="360" w:lineRule="auto"/>
        <w:ind w:right="49"/>
        <w:jc w:val="both"/>
        <w:rPr>
          <w:rFonts w:ascii="Palatino Linotype" w:eastAsia="Palatino Linotype" w:hAnsi="Palatino Linotype" w:cs="Palatino Linotype"/>
        </w:rPr>
      </w:pPr>
      <w:r w:rsidRPr="00912F97">
        <w:rPr>
          <w:rFonts w:ascii="Palatino Linotype" w:eastAsia="Palatino Linotype" w:hAnsi="Palatino Linotype" w:cs="Palatino Linotype"/>
          <w:b/>
        </w:rPr>
        <w:t xml:space="preserve">Segundo. </w:t>
      </w:r>
      <w:r w:rsidRPr="00912F97">
        <w:rPr>
          <w:rFonts w:ascii="Palatino Linotype" w:eastAsia="Palatino Linotype" w:hAnsi="Palatino Linotype" w:cs="Palatino Linotype"/>
        </w:rPr>
        <w:t xml:space="preserve">Se </w:t>
      </w:r>
      <w:r w:rsidRPr="00912F97">
        <w:rPr>
          <w:rFonts w:ascii="Palatino Linotype" w:eastAsia="Palatino Linotype" w:hAnsi="Palatino Linotype" w:cs="Palatino Linotype"/>
          <w:b/>
        </w:rPr>
        <w:t xml:space="preserve">Ordena </w:t>
      </w:r>
      <w:r w:rsidRPr="00912F97">
        <w:rPr>
          <w:rFonts w:ascii="Palatino Linotype" w:eastAsia="Palatino Linotype" w:hAnsi="Palatino Linotype" w:cs="Palatino Linotype"/>
        </w:rPr>
        <w:t xml:space="preserve">al </w:t>
      </w:r>
      <w:r w:rsidRPr="00912F97">
        <w:rPr>
          <w:rFonts w:ascii="Palatino Linotype" w:eastAsia="Palatino Linotype" w:hAnsi="Palatino Linotype" w:cs="Palatino Linotype"/>
          <w:b/>
        </w:rPr>
        <w:t xml:space="preserve">Sujeto Obligado, </w:t>
      </w:r>
      <w:r w:rsidRPr="00912F97">
        <w:rPr>
          <w:rFonts w:ascii="Palatino Linotype" w:eastAsia="Palatino Linotype" w:hAnsi="Palatino Linotype" w:cs="Palatino Linotype"/>
        </w:rPr>
        <w:t xml:space="preserve">en términos de los </w:t>
      </w:r>
      <w:r w:rsidRPr="00912F97">
        <w:rPr>
          <w:rFonts w:ascii="Palatino Linotype" w:eastAsia="Palatino Linotype" w:hAnsi="Palatino Linotype" w:cs="Palatino Linotype"/>
          <w:b/>
        </w:rPr>
        <w:t>Considerandos</w:t>
      </w:r>
      <w:r w:rsidRPr="00912F97">
        <w:rPr>
          <w:rFonts w:ascii="Palatino Linotype" w:eastAsia="Palatino Linotype" w:hAnsi="Palatino Linotype" w:cs="Palatino Linotype"/>
        </w:rPr>
        <w:t xml:space="preserve"> </w:t>
      </w:r>
      <w:r w:rsidRPr="00912F97">
        <w:rPr>
          <w:rFonts w:ascii="Palatino Linotype" w:eastAsia="Palatino Linotype" w:hAnsi="Palatino Linotype" w:cs="Palatino Linotype"/>
          <w:b/>
        </w:rPr>
        <w:t xml:space="preserve">Cuarto </w:t>
      </w:r>
      <w:r w:rsidRPr="00912F97">
        <w:rPr>
          <w:rFonts w:ascii="Palatino Linotype" w:eastAsia="Palatino Linotype" w:hAnsi="Palatino Linotype" w:cs="Palatino Linotype"/>
        </w:rPr>
        <w:t xml:space="preserve">y </w:t>
      </w:r>
      <w:r w:rsidRPr="00912F97">
        <w:rPr>
          <w:rFonts w:ascii="Palatino Linotype" w:eastAsia="Palatino Linotype" w:hAnsi="Palatino Linotype" w:cs="Palatino Linotype"/>
          <w:b/>
        </w:rPr>
        <w:t xml:space="preserve">Quinto </w:t>
      </w:r>
      <w:r w:rsidRPr="00912F97">
        <w:rPr>
          <w:rFonts w:ascii="Palatino Linotype" w:eastAsia="Palatino Linotype" w:hAnsi="Palatino Linotype" w:cs="Palatino Linotype"/>
        </w:rPr>
        <w:t>de esta resolución, haga entrega, vía SAIMEX, previa búsqueda exhaustiva y razonable, de ser procedente en versión pública, de los documentos donde conste lo siguiente:</w:t>
      </w:r>
    </w:p>
    <w:p w14:paraId="34394626" w14:textId="77777777" w:rsidR="00833696" w:rsidRPr="00912F97" w:rsidRDefault="000B1380">
      <w:pPr>
        <w:spacing w:before="240" w:after="240" w:line="360" w:lineRule="auto"/>
        <w:ind w:left="284" w:right="49"/>
        <w:jc w:val="both"/>
        <w:rPr>
          <w:rFonts w:ascii="Palatino Linotype" w:eastAsia="Palatino Linotype" w:hAnsi="Palatino Linotype" w:cs="Palatino Linotype"/>
        </w:rPr>
      </w:pPr>
      <w:r w:rsidRPr="00912F97">
        <w:rPr>
          <w:rFonts w:ascii="Palatino Linotype" w:eastAsia="Palatino Linotype" w:hAnsi="Palatino Linotype" w:cs="Palatino Linotype"/>
        </w:rPr>
        <w:t>De los Comités Ciudadanos de Control y Vigilancia (COCICOVI o Contraloría Social), del primero de enero al treinta de mayo de dos mil veinticuatro:</w:t>
      </w:r>
    </w:p>
    <w:p w14:paraId="1444E677" w14:textId="77777777" w:rsidR="00833696" w:rsidRPr="00912F97" w:rsidRDefault="000B1380">
      <w:pPr>
        <w:spacing w:before="240" w:after="240" w:line="360" w:lineRule="auto"/>
        <w:ind w:left="284"/>
        <w:jc w:val="both"/>
        <w:rPr>
          <w:rFonts w:ascii="Palatino Linotype" w:eastAsia="Palatino Linotype" w:hAnsi="Palatino Linotype" w:cs="Palatino Linotype"/>
        </w:rPr>
      </w:pPr>
      <w:r w:rsidRPr="00912F97">
        <w:rPr>
          <w:rFonts w:ascii="Palatino Linotype" w:eastAsia="Palatino Linotype" w:hAnsi="Palatino Linotype" w:cs="Palatino Linotype"/>
        </w:rPr>
        <w:t>1. Actividades realizadas (propuestas, programas, recomendaciones, opiniones, posicionamientos, observaciones, denuncias, entre otras).</w:t>
      </w:r>
    </w:p>
    <w:p w14:paraId="324A21B9" w14:textId="77777777" w:rsidR="00833696" w:rsidRPr="00912F97" w:rsidRDefault="000B1380">
      <w:pPr>
        <w:spacing w:before="240" w:after="240" w:line="360" w:lineRule="auto"/>
        <w:ind w:left="284"/>
        <w:jc w:val="both"/>
        <w:rPr>
          <w:rFonts w:ascii="Palatino Linotype" w:eastAsia="Palatino Linotype" w:hAnsi="Palatino Linotype" w:cs="Palatino Linotype"/>
        </w:rPr>
      </w:pPr>
      <w:r w:rsidRPr="00912F97">
        <w:rPr>
          <w:rFonts w:ascii="Palatino Linotype" w:eastAsia="Palatino Linotype" w:hAnsi="Palatino Linotype" w:cs="Palatino Linotype"/>
        </w:rPr>
        <w:t>2. Resultados obtenidos e Informes de Actividades.</w:t>
      </w:r>
    </w:p>
    <w:p w14:paraId="60FC7C6A" w14:textId="77777777" w:rsidR="00833696" w:rsidRPr="00912F97" w:rsidRDefault="000B1380">
      <w:pPr>
        <w:spacing w:before="120" w:after="120"/>
        <w:ind w:left="284" w:right="-91"/>
        <w:jc w:val="both"/>
        <w:rPr>
          <w:rFonts w:ascii="Palatino Linotype" w:eastAsia="Palatino Linotype" w:hAnsi="Palatino Linotype" w:cs="Palatino Linotype"/>
          <w:sz w:val="20"/>
          <w:szCs w:val="20"/>
        </w:rPr>
      </w:pPr>
      <w:r w:rsidRPr="00912F97">
        <w:rPr>
          <w:rFonts w:ascii="Palatino Linotype" w:eastAsia="Palatino Linotype" w:hAnsi="Palatino Linotype" w:cs="Palatino Linotype"/>
          <w:i/>
          <w:sz w:val="20"/>
          <w:szCs w:val="20"/>
        </w:rPr>
        <w:t>De ser necesaria la versión pública, se deberán proporcionar junto con el Acuerdo de Clasificación donde el Comité de Transparencia, confirme la eliminación de los datos clasificados como confidenciales, y documentos clasificados en su totalidad, de conformidad con los artículos 49, fracciones II y VIII, 132, fracción II, 143, fracción I y 149 de la Ley de Transparencia y Acceso a la Información Pública del Estado de México y Municipios</w:t>
      </w:r>
      <w:r w:rsidRPr="00912F97">
        <w:rPr>
          <w:rFonts w:ascii="Palatino Linotype" w:eastAsia="Palatino Linotype" w:hAnsi="Palatino Linotype" w:cs="Palatino Linotype"/>
          <w:sz w:val="20"/>
          <w:szCs w:val="20"/>
        </w:rPr>
        <w:t>.</w:t>
      </w:r>
    </w:p>
    <w:p w14:paraId="513DCFEA" w14:textId="77777777" w:rsidR="00833696" w:rsidRPr="00912F97" w:rsidRDefault="000B1380">
      <w:pPr>
        <w:spacing w:before="240" w:after="240"/>
        <w:ind w:left="284" w:right="49"/>
        <w:jc w:val="both"/>
        <w:rPr>
          <w:rFonts w:ascii="Palatino Linotype" w:eastAsia="Palatino Linotype" w:hAnsi="Palatino Linotype" w:cs="Palatino Linotype"/>
          <w:i/>
          <w:sz w:val="20"/>
          <w:szCs w:val="20"/>
        </w:rPr>
      </w:pPr>
      <w:r w:rsidRPr="00912F97">
        <w:rPr>
          <w:rFonts w:ascii="Palatino Linotype" w:eastAsia="Palatino Linotype" w:hAnsi="Palatino Linotype" w:cs="Palatino Linotype"/>
          <w:i/>
          <w:sz w:val="20"/>
          <w:szCs w:val="20"/>
        </w:rPr>
        <w:t xml:space="preserve">En el supuesto que la información ordenada no obre en los archivos del </w:t>
      </w:r>
      <w:r w:rsidRPr="00912F97">
        <w:rPr>
          <w:rFonts w:ascii="Palatino Linotype" w:eastAsia="Palatino Linotype" w:hAnsi="Palatino Linotype" w:cs="Palatino Linotype"/>
          <w:b/>
          <w:i/>
          <w:sz w:val="20"/>
          <w:szCs w:val="20"/>
        </w:rPr>
        <w:t>Sujeto Obligado</w:t>
      </w:r>
      <w:r w:rsidRPr="00912F97">
        <w:rPr>
          <w:rFonts w:ascii="Palatino Linotype" w:eastAsia="Palatino Linotype" w:hAnsi="Palatino Linotype" w:cs="Palatino Linotype"/>
          <w:i/>
          <w:sz w:val="20"/>
          <w:szCs w:val="20"/>
        </w:rPr>
        <w:t xml:space="preserve">, bastará con que así lo haga del conocimiento de la parte </w:t>
      </w:r>
      <w:r w:rsidRPr="00912F97">
        <w:rPr>
          <w:rFonts w:ascii="Palatino Linotype" w:eastAsia="Palatino Linotype" w:hAnsi="Palatino Linotype" w:cs="Palatino Linotype"/>
          <w:b/>
          <w:i/>
          <w:sz w:val="20"/>
          <w:szCs w:val="20"/>
        </w:rPr>
        <w:t>Recurrente</w:t>
      </w:r>
      <w:r w:rsidRPr="00912F97">
        <w:rPr>
          <w:rFonts w:ascii="Palatino Linotype" w:eastAsia="Palatino Linotype" w:hAnsi="Palatino Linotype" w:cs="Palatino Linotype"/>
          <w:i/>
          <w:sz w:val="20"/>
          <w:szCs w:val="20"/>
        </w:rPr>
        <w:t>, de manera fundada y motivada, en términos del artículo 19, párrafo segundo de la Ley de Transparencia y Acceso a la Información Pública del Estado de México y Municipios, para tener por colmados los requerimientos de información.</w:t>
      </w:r>
    </w:p>
    <w:p w14:paraId="4B5E22F1" w14:textId="77777777" w:rsidR="00833696" w:rsidRPr="00912F97" w:rsidRDefault="000B1380">
      <w:pPr>
        <w:spacing w:before="240" w:after="240"/>
        <w:ind w:left="284" w:right="49"/>
        <w:jc w:val="both"/>
        <w:rPr>
          <w:rFonts w:ascii="Palatino Linotype" w:eastAsia="Palatino Linotype" w:hAnsi="Palatino Linotype" w:cs="Palatino Linotype"/>
          <w:i/>
          <w:sz w:val="20"/>
          <w:szCs w:val="20"/>
        </w:rPr>
      </w:pPr>
      <w:bookmarkStart w:id="10" w:name="_heading=h.35nkun2" w:colFirst="0" w:colLast="0"/>
      <w:bookmarkEnd w:id="10"/>
      <w:r w:rsidRPr="00912F97">
        <w:rPr>
          <w:rFonts w:ascii="Palatino Linotype" w:eastAsia="Palatino Linotype" w:hAnsi="Palatino Linotype" w:cs="Palatino Linotype"/>
          <w:i/>
          <w:sz w:val="20"/>
          <w:szCs w:val="20"/>
        </w:rPr>
        <w:t>En caso de contar con denuncias que se encuentren en trámite, al treinta de mayo de dos mil veinticuatro</w:t>
      </w:r>
      <w:r w:rsidRPr="00912F97">
        <w:rPr>
          <w:rFonts w:ascii="Palatino Linotype" w:eastAsia="Palatino Linotype" w:hAnsi="Palatino Linotype" w:cs="Palatino Linotype"/>
          <w:b/>
          <w:i/>
          <w:sz w:val="20"/>
          <w:szCs w:val="20"/>
        </w:rPr>
        <w:t xml:space="preserve">, </w:t>
      </w:r>
      <w:r w:rsidRPr="00912F97">
        <w:rPr>
          <w:rFonts w:ascii="Palatino Linotype" w:eastAsia="Palatino Linotype" w:hAnsi="Palatino Linotype" w:cs="Palatino Linotype"/>
          <w:i/>
          <w:sz w:val="20"/>
          <w:szCs w:val="20"/>
        </w:rPr>
        <w:t>deberá emitir el acuerdo del Comité de Transparencia, donde clasifique de manera fundada y motivada, la información como reservada, con excepción de aquellos se relacionen con actos de corrupción o posibles violaciones graves a derechos humanos, en términos del artículo 142 de la Ley de la materia, que deberán entregarse en versión pública.</w:t>
      </w:r>
    </w:p>
    <w:p w14:paraId="756F56B5" w14:textId="77777777" w:rsidR="00833696" w:rsidRPr="00912F97" w:rsidRDefault="000B1380">
      <w:pP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b/>
        </w:rPr>
        <w:lastRenderedPageBreak/>
        <w:t xml:space="preserve">Tercero. Notifíquese, </w:t>
      </w:r>
      <w:r w:rsidRPr="00912F97">
        <w:rPr>
          <w:rFonts w:ascii="Palatino Linotype" w:eastAsia="Palatino Linotype" w:hAnsi="Palatino Linotype" w:cs="Palatino Linotype"/>
        </w:rPr>
        <w:t xml:space="preserve">vía </w:t>
      </w:r>
      <w:r w:rsidRPr="00912F97">
        <w:rPr>
          <w:rFonts w:ascii="Palatino Linotype" w:eastAsia="Palatino Linotype" w:hAnsi="Palatino Linotype" w:cs="Palatino Linotype"/>
          <w:b/>
        </w:rPr>
        <w:t>SAIMEX</w:t>
      </w:r>
      <w:r w:rsidRPr="00912F97">
        <w:rPr>
          <w:rFonts w:ascii="Palatino Linotype" w:eastAsia="Palatino Linotype" w:hAnsi="Palatino Linotype" w:cs="Palatino Linotype"/>
        </w:rPr>
        <w:t xml:space="preserve">, al Titular de la Unidad de Transparencia del </w:t>
      </w:r>
      <w:r w:rsidRPr="00912F97">
        <w:rPr>
          <w:rFonts w:ascii="Palatino Linotype" w:eastAsia="Palatino Linotype" w:hAnsi="Palatino Linotype" w:cs="Palatino Linotype"/>
          <w:b/>
        </w:rPr>
        <w:t>Sujeto Obligado,</w:t>
      </w:r>
      <w:r w:rsidRPr="00912F97">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B5E51D1" w14:textId="77777777" w:rsidR="00833696" w:rsidRPr="00912F97" w:rsidRDefault="000B1380">
      <w:pPr>
        <w:spacing w:before="240" w:after="240"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912F97">
        <w:rPr>
          <w:rFonts w:ascii="Palatino Linotype" w:eastAsia="Palatino Linotype" w:hAnsi="Palatino Linotype" w:cs="Palatino Linotype"/>
          <w:b/>
        </w:rPr>
        <w:t>Sujeto Obligado</w:t>
      </w:r>
      <w:r w:rsidRPr="00912F97">
        <w:rPr>
          <w:rFonts w:ascii="Palatino Linotype" w:eastAsia="Palatino Linotype" w:hAnsi="Palatino Linotype" w:cs="Palatino Linotype"/>
        </w:rPr>
        <w:t xml:space="preserve"> de manera fundada y motivada, podrá solicitar una ampliación de plazo para el cumplimiento de la presente resolución.</w:t>
      </w:r>
    </w:p>
    <w:p w14:paraId="7C75A6B3" w14:textId="77777777" w:rsidR="00833696" w:rsidRPr="00912F97" w:rsidRDefault="000B1380">
      <w:pPr>
        <w:spacing w:before="240" w:after="240" w:line="360" w:lineRule="auto"/>
        <w:jc w:val="both"/>
        <w:rPr>
          <w:rFonts w:ascii="Palatino Linotype" w:eastAsia="Palatino Linotype" w:hAnsi="Palatino Linotype" w:cs="Palatino Linotype"/>
        </w:rPr>
      </w:pPr>
      <w:bookmarkStart w:id="11" w:name="_heading=h.lnxbz9" w:colFirst="0" w:colLast="0"/>
      <w:bookmarkEnd w:id="11"/>
      <w:r w:rsidRPr="00912F97">
        <w:rPr>
          <w:rFonts w:ascii="Palatino Linotype" w:eastAsia="Palatino Linotype" w:hAnsi="Palatino Linotype" w:cs="Palatino Linotype"/>
          <w:b/>
        </w:rPr>
        <w:t xml:space="preserve">Cuarto.  Notifíquese, </w:t>
      </w:r>
      <w:r w:rsidRPr="00912F97">
        <w:rPr>
          <w:rFonts w:ascii="Palatino Linotype" w:eastAsia="Palatino Linotype" w:hAnsi="Palatino Linotype" w:cs="Palatino Linotype"/>
        </w:rPr>
        <w:t xml:space="preserve">vía </w:t>
      </w:r>
      <w:r w:rsidRPr="00912F97">
        <w:rPr>
          <w:rFonts w:ascii="Palatino Linotype" w:eastAsia="Palatino Linotype" w:hAnsi="Palatino Linotype" w:cs="Palatino Linotype"/>
          <w:b/>
        </w:rPr>
        <w:t>SAIMEX</w:t>
      </w:r>
      <w:r w:rsidRPr="00912F97">
        <w:rPr>
          <w:rFonts w:ascii="Palatino Linotype" w:eastAsia="Palatino Linotype" w:hAnsi="Palatino Linotype" w:cs="Palatino Linotype"/>
        </w:rPr>
        <w:t xml:space="preserve">, a la parte </w:t>
      </w:r>
      <w:r w:rsidRPr="00912F97">
        <w:rPr>
          <w:rFonts w:ascii="Palatino Linotype" w:eastAsia="Palatino Linotype" w:hAnsi="Palatino Linotype" w:cs="Palatino Linotype"/>
          <w:b/>
        </w:rPr>
        <w:t>Recurrente</w:t>
      </w:r>
      <w:r w:rsidRPr="00912F97">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88910D2" w14:textId="77777777" w:rsidR="00833696" w:rsidRPr="00912F97" w:rsidRDefault="000B1380">
      <w:pPr>
        <w:spacing w:line="360" w:lineRule="auto"/>
        <w:jc w:val="both"/>
        <w:rPr>
          <w:rFonts w:ascii="Palatino Linotype" w:eastAsia="Palatino Linotype" w:hAnsi="Palatino Linotype" w:cs="Palatino Linotype"/>
        </w:rPr>
      </w:pPr>
      <w:r w:rsidRPr="00912F97">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w:t>
      </w:r>
      <w:r w:rsidRPr="00912F97">
        <w:rPr>
          <w:rFonts w:ascii="Palatino Linotype" w:eastAsia="Palatino Linotype" w:hAnsi="Palatino Linotype" w:cs="Palatino Linotype"/>
        </w:rPr>
        <w:lastRenderedPageBreak/>
        <w:t>MUNICIPIOS, CONFORMADO POR LOS COMISIONADOS JOSÉ MARTÍNEZ VILCHIS, MARÍA DEL ROSARIO MEJÍA AYALA, SHARON CRISTINA MORALES MARTÍNEZ, LUIS GUSTAVO P</w:t>
      </w:r>
      <w:r w:rsidR="00912F97" w:rsidRPr="00912F97">
        <w:rPr>
          <w:rFonts w:ascii="Palatino Linotype" w:eastAsia="Palatino Linotype" w:hAnsi="Palatino Linotype" w:cs="Palatino Linotype"/>
        </w:rPr>
        <w:t>ARRA NORIEGA (</w:t>
      </w:r>
      <w:r w:rsidRPr="00912F97">
        <w:rPr>
          <w:rFonts w:ascii="Palatino Linotype" w:eastAsia="Palatino Linotype" w:hAnsi="Palatino Linotype" w:cs="Palatino Linotype"/>
        </w:rPr>
        <w:t>EMITIENDO VOTO PARTICULAR</w:t>
      </w:r>
      <w:r w:rsidR="00912F97" w:rsidRPr="00912F97">
        <w:rPr>
          <w:rFonts w:ascii="Palatino Linotype" w:eastAsia="Palatino Linotype" w:hAnsi="Palatino Linotype" w:cs="Palatino Linotype"/>
        </w:rPr>
        <w:t>)</w:t>
      </w:r>
      <w:r w:rsidRPr="00912F97">
        <w:rPr>
          <w:rFonts w:ascii="Palatino Linotype" w:eastAsia="Palatino Linotype" w:hAnsi="Palatino Linotype" w:cs="Palatino Linotype"/>
        </w:rPr>
        <w:t>; Y GUADALUPE RAMÍREZ PEÑA, EN LA TRIGÉSIMA SEGUNDA SESIÓN ORDINARIA CELEBRADA EL ONCE DE SEPTIEMBRE DE DOS MIL VEINTICUATRO, ANTE EL SECRETARIO TÉCNICO DEL PLENO ALEXIS TAPIA RAMÍREZ.</w:t>
      </w:r>
    </w:p>
    <w:p w14:paraId="4D57226D" w14:textId="77777777" w:rsidR="00833696" w:rsidRPr="00912F97" w:rsidRDefault="00833696">
      <w:pPr>
        <w:spacing w:line="360" w:lineRule="auto"/>
        <w:jc w:val="both"/>
        <w:rPr>
          <w:rFonts w:ascii="Palatino Linotype" w:eastAsia="Palatino Linotype" w:hAnsi="Palatino Linotype" w:cs="Palatino Linotype"/>
        </w:rPr>
      </w:pPr>
      <w:bookmarkStart w:id="12" w:name="_heading=h.1fob9te" w:colFirst="0" w:colLast="0"/>
      <w:bookmarkEnd w:id="12"/>
    </w:p>
    <w:p w14:paraId="22D09D25" w14:textId="77777777" w:rsidR="00833696" w:rsidRPr="00912F97" w:rsidRDefault="00833696">
      <w:pPr>
        <w:rPr>
          <w:rFonts w:ascii="Palatino Linotype" w:eastAsia="Palatino Linotype" w:hAnsi="Palatino Linotype" w:cs="Palatino Linotype"/>
        </w:rPr>
      </w:pPr>
    </w:p>
    <w:p w14:paraId="38295D59" w14:textId="77777777" w:rsidR="00833696" w:rsidRPr="00912F97" w:rsidRDefault="00833696">
      <w:pPr>
        <w:rPr>
          <w:rFonts w:ascii="Palatino Linotype" w:eastAsia="Palatino Linotype" w:hAnsi="Palatino Linotype" w:cs="Palatino Linotype"/>
        </w:rPr>
      </w:pPr>
    </w:p>
    <w:p w14:paraId="25EEEF0F" w14:textId="77777777" w:rsidR="00833696" w:rsidRPr="00912F97" w:rsidRDefault="00833696">
      <w:pPr>
        <w:rPr>
          <w:rFonts w:ascii="Palatino Linotype" w:eastAsia="Palatino Linotype" w:hAnsi="Palatino Linotype" w:cs="Palatino Linotype"/>
        </w:rPr>
      </w:pPr>
    </w:p>
    <w:p w14:paraId="5A55D01D" w14:textId="77777777" w:rsidR="00833696" w:rsidRPr="00912F97" w:rsidRDefault="00833696">
      <w:pPr>
        <w:rPr>
          <w:rFonts w:ascii="Palatino Linotype" w:eastAsia="Palatino Linotype" w:hAnsi="Palatino Linotype" w:cs="Palatino Linotype"/>
        </w:rPr>
      </w:pPr>
    </w:p>
    <w:p w14:paraId="291DD52F" w14:textId="77777777" w:rsidR="00833696" w:rsidRPr="00912F97" w:rsidRDefault="00833696">
      <w:pPr>
        <w:rPr>
          <w:rFonts w:ascii="Palatino Linotype" w:eastAsia="Palatino Linotype" w:hAnsi="Palatino Linotype" w:cs="Palatino Linotype"/>
        </w:rPr>
      </w:pPr>
    </w:p>
    <w:p w14:paraId="78882E15" w14:textId="77777777" w:rsidR="00833696" w:rsidRPr="00912F97" w:rsidRDefault="00833696">
      <w:pPr>
        <w:rPr>
          <w:rFonts w:ascii="Palatino Linotype" w:eastAsia="Palatino Linotype" w:hAnsi="Palatino Linotype" w:cs="Palatino Linotype"/>
        </w:rPr>
      </w:pPr>
    </w:p>
    <w:p w14:paraId="1B5CDCCF" w14:textId="77777777" w:rsidR="00833696" w:rsidRPr="00912F97" w:rsidRDefault="00833696">
      <w:pPr>
        <w:rPr>
          <w:rFonts w:ascii="Palatino Linotype" w:eastAsia="Palatino Linotype" w:hAnsi="Palatino Linotype" w:cs="Palatino Linotype"/>
        </w:rPr>
      </w:pPr>
    </w:p>
    <w:p w14:paraId="548FAA5E" w14:textId="77777777" w:rsidR="00833696" w:rsidRPr="00912F97" w:rsidRDefault="00833696">
      <w:pPr>
        <w:rPr>
          <w:rFonts w:ascii="Palatino Linotype" w:eastAsia="Palatino Linotype" w:hAnsi="Palatino Linotype" w:cs="Palatino Linotype"/>
        </w:rPr>
      </w:pPr>
    </w:p>
    <w:p w14:paraId="2687C8B1" w14:textId="77777777" w:rsidR="00833696" w:rsidRPr="00912F97" w:rsidRDefault="00833696">
      <w:pPr>
        <w:rPr>
          <w:rFonts w:ascii="Palatino Linotype" w:eastAsia="Palatino Linotype" w:hAnsi="Palatino Linotype" w:cs="Palatino Linotype"/>
        </w:rPr>
      </w:pPr>
    </w:p>
    <w:p w14:paraId="422B0165" w14:textId="77777777" w:rsidR="00833696" w:rsidRPr="00912F97" w:rsidRDefault="00833696">
      <w:pPr>
        <w:spacing w:line="360" w:lineRule="auto"/>
        <w:jc w:val="both"/>
        <w:rPr>
          <w:rFonts w:ascii="Palatino Linotype" w:eastAsia="Palatino Linotype" w:hAnsi="Palatino Linotype" w:cs="Palatino Linotype"/>
        </w:rPr>
      </w:pPr>
      <w:bookmarkStart w:id="13" w:name="_heading=h.3rdcrjn" w:colFirst="0" w:colLast="0"/>
      <w:bookmarkEnd w:id="13"/>
    </w:p>
    <w:p w14:paraId="06E16A65" w14:textId="77777777" w:rsidR="00833696" w:rsidRPr="00912F97" w:rsidRDefault="00833696">
      <w:pPr>
        <w:spacing w:line="360" w:lineRule="auto"/>
        <w:jc w:val="both"/>
        <w:rPr>
          <w:rFonts w:ascii="Palatino Linotype" w:eastAsia="Palatino Linotype" w:hAnsi="Palatino Linotype" w:cs="Palatino Linotype"/>
        </w:rPr>
      </w:pPr>
    </w:p>
    <w:p w14:paraId="10BB4AFC" w14:textId="77777777" w:rsidR="00833696" w:rsidRPr="00912F97" w:rsidRDefault="00833696">
      <w:pPr>
        <w:spacing w:line="360" w:lineRule="auto"/>
        <w:jc w:val="both"/>
        <w:rPr>
          <w:rFonts w:ascii="Palatino Linotype" w:eastAsia="Palatino Linotype" w:hAnsi="Palatino Linotype" w:cs="Palatino Linotype"/>
        </w:rPr>
      </w:pPr>
    </w:p>
    <w:p w14:paraId="7C38520D" w14:textId="77777777" w:rsidR="00833696" w:rsidRPr="00912F97" w:rsidRDefault="00833696">
      <w:pPr>
        <w:spacing w:line="360" w:lineRule="auto"/>
        <w:jc w:val="both"/>
        <w:rPr>
          <w:rFonts w:ascii="Palatino Linotype" w:eastAsia="Palatino Linotype" w:hAnsi="Palatino Linotype" w:cs="Palatino Linotype"/>
        </w:rPr>
      </w:pPr>
      <w:bookmarkStart w:id="14" w:name="_heading=h.1t3h5sf" w:colFirst="0" w:colLast="0"/>
      <w:bookmarkEnd w:id="14"/>
    </w:p>
    <w:p w14:paraId="17B0B8E2" w14:textId="77777777" w:rsidR="00833696" w:rsidRPr="00912F97" w:rsidRDefault="00833696">
      <w:pPr>
        <w:spacing w:line="360" w:lineRule="auto"/>
        <w:jc w:val="both"/>
        <w:rPr>
          <w:rFonts w:ascii="Palatino Linotype" w:eastAsia="Palatino Linotype" w:hAnsi="Palatino Linotype" w:cs="Palatino Linotype"/>
        </w:rPr>
      </w:pPr>
    </w:p>
    <w:p w14:paraId="71B168D3" w14:textId="77777777" w:rsidR="00833696" w:rsidRPr="00912F97" w:rsidRDefault="00833696">
      <w:pPr>
        <w:spacing w:line="360" w:lineRule="auto"/>
        <w:jc w:val="both"/>
        <w:rPr>
          <w:rFonts w:ascii="Palatino Linotype" w:eastAsia="Palatino Linotype" w:hAnsi="Palatino Linotype" w:cs="Palatino Linotype"/>
        </w:rPr>
      </w:pPr>
    </w:p>
    <w:p w14:paraId="3E0F65BB" w14:textId="77777777" w:rsidR="00833696" w:rsidRPr="00912F97" w:rsidRDefault="00833696">
      <w:pPr>
        <w:spacing w:line="360" w:lineRule="auto"/>
        <w:jc w:val="both"/>
        <w:rPr>
          <w:rFonts w:ascii="Palatino Linotype" w:eastAsia="Palatino Linotype" w:hAnsi="Palatino Linotype" w:cs="Palatino Linotype"/>
        </w:rPr>
      </w:pPr>
    </w:p>
    <w:p w14:paraId="6FBE932B" w14:textId="77777777" w:rsidR="00833696" w:rsidRPr="00912F97" w:rsidRDefault="00833696">
      <w:pPr>
        <w:spacing w:line="360" w:lineRule="auto"/>
        <w:jc w:val="both"/>
        <w:rPr>
          <w:rFonts w:ascii="Palatino Linotype" w:eastAsia="Palatino Linotype" w:hAnsi="Palatino Linotype" w:cs="Palatino Linotype"/>
        </w:rPr>
      </w:pPr>
    </w:p>
    <w:p w14:paraId="7D20C976" w14:textId="77777777" w:rsidR="00833696" w:rsidRPr="00912F97" w:rsidRDefault="00833696">
      <w:pPr>
        <w:spacing w:line="360" w:lineRule="auto"/>
        <w:jc w:val="both"/>
        <w:rPr>
          <w:rFonts w:ascii="Palatino Linotype" w:eastAsia="Palatino Linotype" w:hAnsi="Palatino Linotype" w:cs="Palatino Linotype"/>
        </w:rPr>
      </w:pPr>
    </w:p>
    <w:p w14:paraId="6DDDA2D5" w14:textId="77777777" w:rsidR="00833696" w:rsidRPr="00912F97" w:rsidRDefault="00833696">
      <w:pPr>
        <w:spacing w:line="360" w:lineRule="auto"/>
        <w:jc w:val="both"/>
        <w:rPr>
          <w:rFonts w:ascii="Palatino Linotype" w:eastAsia="Palatino Linotype" w:hAnsi="Palatino Linotype" w:cs="Palatino Linotype"/>
        </w:rPr>
      </w:pPr>
    </w:p>
    <w:p w14:paraId="6ABCC607" w14:textId="77777777" w:rsidR="00833696" w:rsidRPr="00912F97" w:rsidRDefault="00833696">
      <w:pPr>
        <w:spacing w:line="360" w:lineRule="auto"/>
        <w:jc w:val="both"/>
        <w:rPr>
          <w:rFonts w:ascii="Palatino Linotype" w:eastAsia="Palatino Linotype" w:hAnsi="Palatino Linotype" w:cs="Palatino Linotype"/>
        </w:rPr>
      </w:pPr>
    </w:p>
    <w:p w14:paraId="6705F619" w14:textId="77777777" w:rsidR="00833696" w:rsidRPr="00912F97" w:rsidRDefault="00833696">
      <w:pPr>
        <w:spacing w:line="360" w:lineRule="auto"/>
        <w:jc w:val="both"/>
        <w:rPr>
          <w:rFonts w:ascii="Palatino Linotype" w:eastAsia="Palatino Linotype" w:hAnsi="Palatino Linotype" w:cs="Palatino Linotype"/>
        </w:rPr>
      </w:pPr>
    </w:p>
    <w:p w14:paraId="6ABF0B13" w14:textId="77777777" w:rsidR="00833696" w:rsidRPr="00912F97" w:rsidRDefault="00833696">
      <w:pPr>
        <w:spacing w:line="360" w:lineRule="auto"/>
        <w:jc w:val="both"/>
        <w:rPr>
          <w:rFonts w:ascii="Palatino Linotype" w:eastAsia="Palatino Linotype" w:hAnsi="Palatino Linotype" w:cs="Palatino Linotype"/>
        </w:rPr>
      </w:pPr>
    </w:p>
    <w:p w14:paraId="3E18CA9E" w14:textId="77777777" w:rsidR="00833696" w:rsidRPr="00912F97" w:rsidRDefault="00833696">
      <w:pPr>
        <w:spacing w:line="360" w:lineRule="auto"/>
        <w:jc w:val="both"/>
        <w:rPr>
          <w:rFonts w:ascii="Palatino Linotype" w:eastAsia="Palatino Linotype" w:hAnsi="Palatino Linotype" w:cs="Palatino Linotype"/>
        </w:rPr>
      </w:pPr>
    </w:p>
    <w:p w14:paraId="5821ECC2" w14:textId="77777777" w:rsidR="00833696" w:rsidRPr="00912F97" w:rsidRDefault="00833696">
      <w:pPr>
        <w:spacing w:line="360" w:lineRule="auto"/>
        <w:jc w:val="both"/>
        <w:rPr>
          <w:rFonts w:ascii="Palatino Linotype" w:eastAsia="Palatino Linotype" w:hAnsi="Palatino Linotype" w:cs="Palatino Linotype"/>
        </w:rPr>
      </w:pPr>
    </w:p>
    <w:p w14:paraId="2884B4C1" w14:textId="77777777" w:rsidR="00833696" w:rsidRPr="00912F97" w:rsidRDefault="00833696">
      <w:pPr>
        <w:spacing w:line="360" w:lineRule="auto"/>
        <w:jc w:val="both"/>
        <w:rPr>
          <w:rFonts w:ascii="Palatino Linotype" w:eastAsia="Palatino Linotype" w:hAnsi="Palatino Linotype" w:cs="Palatino Linotype"/>
        </w:rPr>
      </w:pPr>
    </w:p>
    <w:p w14:paraId="061727A2" w14:textId="77777777" w:rsidR="00833696" w:rsidRPr="00912F97" w:rsidRDefault="00833696">
      <w:pPr>
        <w:spacing w:line="360" w:lineRule="auto"/>
        <w:jc w:val="both"/>
        <w:rPr>
          <w:rFonts w:ascii="Palatino Linotype" w:eastAsia="Palatino Linotype" w:hAnsi="Palatino Linotype" w:cs="Palatino Linotype"/>
        </w:rPr>
      </w:pPr>
    </w:p>
    <w:sectPr w:rsidR="00833696" w:rsidRPr="00912F97">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65CC1" w14:textId="77777777" w:rsidR="006A76E1" w:rsidRDefault="006A76E1">
      <w:r>
        <w:separator/>
      </w:r>
    </w:p>
  </w:endnote>
  <w:endnote w:type="continuationSeparator" w:id="0">
    <w:p w14:paraId="38BDBB36" w14:textId="77777777" w:rsidR="006A76E1" w:rsidRDefault="006A7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CB80" w14:textId="77777777" w:rsidR="00833696" w:rsidRDefault="000B138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12F97">
      <w:rPr>
        <w:rFonts w:ascii="Palatino Linotype" w:eastAsia="Palatino Linotype" w:hAnsi="Palatino Linotype" w:cs="Palatino Linotype"/>
        <w:b/>
        <w:noProof/>
        <w:color w:val="000000"/>
        <w:sz w:val="20"/>
        <w:szCs w:val="20"/>
      </w:rPr>
      <w:t>33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12F97">
      <w:rPr>
        <w:rFonts w:ascii="Palatino Linotype" w:eastAsia="Palatino Linotype" w:hAnsi="Palatino Linotype" w:cs="Palatino Linotype"/>
        <w:b/>
        <w:noProof/>
        <w:color w:val="000000"/>
        <w:sz w:val="20"/>
        <w:szCs w:val="20"/>
      </w:rPr>
      <w:t>35</w:t>
    </w:r>
    <w:r>
      <w:rPr>
        <w:rFonts w:ascii="Palatino Linotype" w:eastAsia="Palatino Linotype" w:hAnsi="Palatino Linotype" w:cs="Palatino Linotype"/>
        <w:b/>
        <w:color w:val="000000"/>
        <w:sz w:val="20"/>
        <w:szCs w:val="20"/>
      </w:rPr>
      <w:fldChar w:fldCharType="end"/>
    </w:r>
  </w:p>
  <w:p w14:paraId="1D87CBFD" w14:textId="77777777" w:rsidR="00833696" w:rsidRDefault="00833696">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493A" w14:textId="77777777" w:rsidR="00833696" w:rsidRDefault="000B138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12F97">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12F97">
      <w:rPr>
        <w:rFonts w:ascii="Palatino Linotype" w:eastAsia="Palatino Linotype" w:hAnsi="Palatino Linotype" w:cs="Palatino Linotype"/>
        <w:b/>
        <w:noProof/>
        <w:color w:val="000000"/>
        <w:sz w:val="20"/>
        <w:szCs w:val="20"/>
      </w:rPr>
      <w:t>35</w:t>
    </w:r>
    <w:r>
      <w:rPr>
        <w:rFonts w:ascii="Palatino Linotype" w:eastAsia="Palatino Linotype" w:hAnsi="Palatino Linotype" w:cs="Palatino Linotype"/>
        <w:b/>
        <w:color w:val="000000"/>
        <w:sz w:val="20"/>
        <w:szCs w:val="20"/>
      </w:rPr>
      <w:fldChar w:fldCharType="end"/>
    </w:r>
  </w:p>
  <w:p w14:paraId="060304E6" w14:textId="77777777" w:rsidR="00833696" w:rsidRDefault="00833696">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038ED" w14:textId="77777777" w:rsidR="006A76E1" w:rsidRDefault="006A76E1">
      <w:r>
        <w:separator/>
      </w:r>
    </w:p>
  </w:footnote>
  <w:footnote w:type="continuationSeparator" w:id="0">
    <w:p w14:paraId="3FC87D72" w14:textId="77777777" w:rsidR="006A76E1" w:rsidRDefault="006A76E1">
      <w:r>
        <w:continuationSeparator/>
      </w:r>
    </w:p>
  </w:footnote>
  <w:footnote w:id="1">
    <w:p w14:paraId="759916D2" w14:textId="77777777" w:rsidR="00833696" w:rsidRDefault="000B1380">
      <w:pPr>
        <w:pBdr>
          <w:top w:val="nil"/>
          <w:left w:val="nil"/>
          <w:bottom w:val="nil"/>
          <w:right w:val="nil"/>
          <w:between w:val="nil"/>
        </w:pBdr>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Tesis XX.308 K, </w:t>
      </w:r>
      <w:r>
        <w:rPr>
          <w:rFonts w:ascii="Palatino Linotype" w:eastAsia="Palatino Linotype" w:hAnsi="Palatino Linotype" w:cs="Palatino Linotype"/>
          <w:i/>
          <w:color w:val="000000"/>
          <w:sz w:val="16"/>
          <w:szCs w:val="16"/>
        </w:rPr>
        <w:t>Semanario Judicial de la Federación</w:t>
      </w:r>
      <w:r>
        <w:rPr>
          <w:rFonts w:ascii="Palatino Linotype" w:eastAsia="Palatino Linotype" w:hAnsi="Palatino Linotype" w:cs="Palatino Linotype"/>
          <w:color w:val="000000"/>
          <w:sz w:val="16"/>
          <w:szCs w:val="16"/>
        </w:rPr>
        <w:t>, Octava Época, tomo XV-1, febrero de 1995, pág. 138.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644D" w14:textId="77777777" w:rsidR="00833696" w:rsidRDefault="000B1380">
    <w:pPr>
      <w:rPr>
        <w:rFonts w:ascii="Cambria" w:eastAsia="Cambria" w:hAnsi="Cambria" w:cs="Cambria"/>
        <w:color w:val="000000"/>
      </w:rPr>
    </w:pPr>
    <w:r>
      <w:rPr>
        <w:noProof/>
      </w:rPr>
      <w:drawing>
        <wp:anchor distT="0" distB="0" distL="0" distR="0" simplePos="0" relativeHeight="251658240" behindDoc="1" locked="0" layoutInCell="1" hidden="0" allowOverlap="1" wp14:anchorId="7CE38557" wp14:editId="3F7F5FAE">
          <wp:simplePos x="0" y="0"/>
          <wp:positionH relativeFrom="column">
            <wp:posOffset>-1080105</wp:posOffset>
          </wp:positionH>
          <wp:positionV relativeFrom="paragraph">
            <wp:posOffset>-488280</wp:posOffset>
          </wp:positionV>
          <wp:extent cx="7809865" cy="10165715"/>
          <wp:effectExtent l="0" t="0" r="0" b="0"/>
          <wp:wrapNone/>
          <wp:docPr id="19520824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a"/>
      <w:tblW w:w="5953" w:type="dxa"/>
      <w:tblInd w:w="3261" w:type="dxa"/>
      <w:tblLayout w:type="fixed"/>
      <w:tblLook w:val="0400" w:firstRow="0" w:lastRow="0" w:firstColumn="0" w:lastColumn="0" w:noHBand="0" w:noVBand="1"/>
    </w:tblPr>
    <w:tblGrid>
      <w:gridCol w:w="2489"/>
      <w:gridCol w:w="3464"/>
    </w:tblGrid>
    <w:tr w:rsidR="00833696" w14:paraId="2ABD2F11" w14:textId="77777777">
      <w:tc>
        <w:tcPr>
          <w:tcW w:w="2489" w:type="dxa"/>
          <w:shd w:val="clear" w:color="auto" w:fill="auto"/>
        </w:tcPr>
        <w:p w14:paraId="0E65DCE8" w14:textId="77777777" w:rsidR="00833696" w:rsidRDefault="000B138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74D85837" w14:textId="77777777" w:rsidR="00833696" w:rsidRDefault="000B138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03894/INFOEM/IP/RR/2024</w:t>
          </w:r>
        </w:p>
      </w:tc>
    </w:tr>
    <w:tr w:rsidR="00833696" w14:paraId="219F3F42" w14:textId="77777777">
      <w:trPr>
        <w:trHeight w:val="228"/>
      </w:trPr>
      <w:tc>
        <w:tcPr>
          <w:tcW w:w="2489" w:type="dxa"/>
          <w:shd w:val="clear" w:color="auto" w:fill="auto"/>
          <w:vAlign w:val="center"/>
        </w:tcPr>
        <w:p w14:paraId="36C36708" w14:textId="77777777" w:rsidR="00833696" w:rsidRDefault="000B138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1547F2B" w14:textId="77777777" w:rsidR="00833696" w:rsidRDefault="000B1380">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Ecatepec de Morelos</w:t>
          </w:r>
        </w:p>
      </w:tc>
    </w:tr>
    <w:tr w:rsidR="00833696" w14:paraId="03C47047" w14:textId="77777777">
      <w:tc>
        <w:tcPr>
          <w:tcW w:w="2489" w:type="dxa"/>
          <w:shd w:val="clear" w:color="auto" w:fill="auto"/>
          <w:vAlign w:val="center"/>
        </w:tcPr>
        <w:p w14:paraId="754A8803" w14:textId="77777777" w:rsidR="00833696" w:rsidRDefault="000B1380">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4750D9E8" w14:textId="77777777" w:rsidR="00833696" w:rsidRDefault="000B138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21402DA" w14:textId="77777777" w:rsidR="00833696" w:rsidRDefault="000B1380">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F067" w14:textId="77777777" w:rsidR="00833696" w:rsidRDefault="000B1380">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w:t>
    </w:r>
    <w:r>
      <w:rPr>
        <w:noProof/>
      </w:rPr>
      <w:drawing>
        <wp:anchor distT="0" distB="0" distL="0" distR="0" simplePos="0" relativeHeight="251659264" behindDoc="1" locked="0" layoutInCell="1" hidden="0" allowOverlap="1" wp14:anchorId="14866078" wp14:editId="022F8F4C">
          <wp:simplePos x="0" y="0"/>
          <wp:positionH relativeFrom="column">
            <wp:posOffset>-1080131</wp:posOffset>
          </wp:positionH>
          <wp:positionV relativeFrom="paragraph">
            <wp:posOffset>-369908</wp:posOffset>
          </wp:positionV>
          <wp:extent cx="7809865" cy="10165715"/>
          <wp:effectExtent l="0" t="0" r="0" b="0"/>
          <wp:wrapNone/>
          <wp:docPr id="19520824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b"/>
      <w:tblW w:w="5953" w:type="dxa"/>
      <w:tblInd w:w="3261" w:type="dxa"/>
      <w:tblLayout w:type="fixed"/>
      <w:tblLook w:val="0400" w:firstRow="0" w:lastRow="0" w:firstColumn="0" w:lastColumn="0" w:noHBand="0" w:noVBand="1"/>
    </w:tblPr>
    <w:tblGrid>
      <w:gridCol w:w="2489"/>
      <w:gridCol w:w="3464"/>
    </w:tblGrid>
    <w:tr w:rsidR="00833696" w14:paraId="75A002A2" w14:textId="77777777">
      <w:tc>
        <w:tcPr>
          <w:tcW w:w="2489" w:type="dxa"/>
          <w:shd w:val="clear" w:color="auto" w:fill="auto"/>
        </w:tcPr>
        <w:p w14:paraId="2AC084F3" w14:textId="77777777" w:rsidR="00833696" w:rsidRDefault="000B138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36B91679" w14:textId="77777777" w:rsidR="00833696" w:rsidRDefault="000B138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03894/INFOEM/IP/RR/2024</w:t>
          </w:r>
        </w:p>
      </w:tc>
    </w:tr>
    <w:tr w:rsidR="00833696" w14:paraId="15C57484" w14:textId="77777777">
      <w:tc>
        <w:tcPr>
          <w:tcW w:w="2489" w:type="dxa"/>
          <w:shd w:val="clear" w:color="auto" w:fill="auto"/>
        </w:tcPr>
        <w:p w14:paraId="16920986" w14:textId="77777777" w:rsidR="00833696" w:rsidRDefault="000B138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7B841924" w14:textId="77777777" w:rsidR="00833696" w:rsidRDefault="00833696">
          <w:pPr>
            <w:ind w:right="175"/>
            <w:jc w:val="both"/>
            <w:rPr>
              <w:rFonts w:ascii="Palatino Linotype" w:eastAsia="Palatino Linotype" w:hAnsi="Palatino Linotype" w:cs="Palatino Linotype"/>
              <w:b/>
              <w:sz w:val="22"/>
              <w:szCs w:val="22"/>
            </w:rPr>
          </w:pPr>
        </w:p>
      </w:tc>
    </w:tr>
    <w:tr w:rsidR="00833696" w14:paraId="35F4BF65" w14:textId="77777777">
      <w:trPr>
        <w:trHeight w:val="228"/>
      </w:trPr>
      <w:tc>
        <w:tcPr>
          <w:tcW w:w="2489" w:type="dxa"/>
          <w:shd w:val="clear" w:color="auto" w:fill="auto"/>
          <w:vAlign w:val="center"/>
        </w:tcPr>
        <w:p w14:paraId="531397C9" w14:textId="77777777" w:rsidR="00833696" w:rsidRDefault="000B138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31B2DDD3" w14:textId="77777777" w:rsidR="00833696" w:rsidRDefault="000B1380">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Ecatepec de Morelos</w:t>
          </w:r>
        </w:p>
      </w:tc>
    </w:tr>
    <w:tr w:rsidR="00833696" w14:paraId="21A0AD63" w14:textId="77777777">
      <w:tc>
        <w:tcPr>
          <w:tcW w:w="2489" w:type="dxa"/>
          <w:shd w:val="clear" w:color="auto" w:fill="auto"/>
          <w:vAlign w:val="center"/>
        </w:tcPr>
        <w:p w14:paraId="095F5412" w14:textId="77777777" w:rsidR="00833696" w:rsidRDefault="000B1380">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928E9DE" w14:textId="77777777" w:rsidR="00833696" w:rsidRDefault="000B138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C286A3C" w14:textId="77777777" w:rsidR="00833696" w:rsidRDefault="008336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EFB"/>
    <w:multiLevelType w:val="multilevel"/>
    <w:tmpl w:val="673E2C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F14018"/>
    <w:multiLevelType w:val="multilevel"/>
    <w:tmpl w:val="2F2AE76E"/>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696"/>
    <w:rsid w:val="000B1380"/>
    <w:rsid w:val="002508C3"/>
    <w:rsid w:val="00310D55"/>
    <w:rsid w:val="006A76E1"/>
    <w:rsid w:val="006D3580"/>
    <w:rsid w:val="00833696"/>
    <w:rsid w:val="00912F97"/>
    <w:rsid w:val="00DE61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A78ED"/>
  <w15:docId w15:val="{B74546DB-8A47-4ABD-AD8B-3A624FD0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171"/>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4D7E58"/>
    <w:rPr>
      <w:color w:val="605E5C"/>
      <w:shd w:val="clear" w:color="auto" w:fill="E1DFDD"/>
    </w:r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character" w:customStyle="1" w:styleId="object">
    <w:name w:val="object"/>
    <w:basedOn w:val="Fuentedeprrafopredeter"/>
    <w:rsid w:val="003E1B7B"/>
  </w:style>
  <w:style w:type="character" w:styleId="Textoennegrita">
    <w:name w:val="Strong"/>
    <w:basedOn w:val="Fuentedeprrafopredeter"/>
    <w:uiPriority w:val="22"/>
    <w:qFormat/>
    <w:rsid w:val="003E1B7B"/>
    <w:rPr>
      <w:b/>
      <w:bCs/>
    </w:rPr>
  </w:style>
  <w:style w:type="paragraph" w:customStyle="1" w:styleId="Citas">
    <w:name w:val="Citas"/>
    <w:basedOn w:val="Normal"/>
    <w:qFormat/>
    <w:rsid w:val="00C43145"/>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v9SDJUvK1Uuy+zrHmPBfpR8ilQ==">CgMxLjAyCWguNGQzNG9nODIIaC5namRneHMyCWguM2R5NnZrbTIJaC4zMGowemxsMgloLjJzOGV5bzEyCGgudHlqY3d0MgloLjN6bnlzaDcyCWguMmV0OTJwMDIJaC4yanhzeHFoMgloLjI2aW4xcmcyCWguMzVua3VuMjIIaC5sbnhiejkyCWguMWZvYjl0ZTIJaC4zcmRjcmpuMgloLjF0M2g1c2Y4AHIhMVFKWEp4dTFqclJVejE4X09TV3AzaUdOeE8yUW1QTnNK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8704</Words>
  <Characters>47874</Characters>
  <Application>Microsoft Office Word</Application>
  <DocSecurity>0</DocSecurity>
  <Lines>398</Lines>
  <Paragraphs>112</Paragraphs>
  <ScaleCrop>false</ScaleCrop>
  <Company>HP Inc.</Company>
  <LinksUpToDate>false</LinksUpToDate>
  <CharactersWithSpaces>56466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2024-09-13T17:22:00Z</cp:lastPrinted>
  <dcterms:created xsi:type="dcterms:W3CDTF">2024-09-24T20:14:00Z</dcterms:created>
  <dcterms:modified xsi:type="dcterms:W3CDTF">2024-09-24T20:14:00Z</dcterms:modified>
</cp:coreProperties>
</file>