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1AB42"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nueve de octubre de dos mil veinticuatro. </w:t>
      </w:r>
    </w:p>
    <w:p w14:paraId="1D53C67D" w14:textId="1FC2A412"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b/>
          <w:sz w:val="22"/>
          <w:szCs w:val="22"/>
        </w:rPr>
        <w:t>VISTO</w:t>
      </w:r>
      <w:r w:rsidRPr="005B0AF4">
        <w:rPr>
          <w:rFonts w:ascii="Palatino Linotype" w:eastAsia="Palatino Linotype" w:hAnsi="Palatino Linotype" w:cs="Palatino Linotype"/>
          <w:sz w:val="22"/>
          <w:szCs w:val="22"/>
        </w:rPr>
        <w:t xml:space="preserve"> el expediente formado con motivo del recurso de revisión </w:t>
      </w:r>
      <w:r w:rsidRPr="005B0AF4">
        <w:rPr>
          <w:rFonts w:ascii="Palatino Linotype" w:eastAsia="Palatino Linotype" w:hAnsi="Palatino Linotype" w:cs="Palatino Linotype"/>
          <w:b/>
          <w:sz w:val="22"/>
          <w:szCs w:val="22"/>
        </w:rPr>
        <w:t>02994/INFOEM/IP/RR/2024</w:t>
      </w:r>
      <w:r w:rsidRPr="005B0AF4">
        <w:rPr>
          <w:rFonts w:ascii="Palatino Linotype" w:eastAsia="Palatino Linotype" w:hAnsi="Palatino Linotype" w:cs="Palatino Linotype"/>
          <w:sz w:val="22"/>
          <w:szCs w:val="22"/>
        </w:rPr>
        <w:t>, interpuesto por</w:t>
      </w:r>
      <w:r w:rsidRPr="005B0AF4">
        <w:rPr>
          <w:rFonts w:ascii="Palatino Linotype" w:eastAsia="Palatino Linotype" w:hAnsi="Palatino Linotype" w:cs="Palatino Linotype"/>
          <w:b/>
          <w:sz w:val="22"/>
          <w:szCs w:val="22"/>
        </w:rPr>
        <w:t xml:space="preserve"> </w:t>
      </w:r>
      <w:r w:rsidR="00187FEC" w:rsidRPr="00187FEC">
        <w:rPr>
          <w:rFonts w:ascii="Palatino Linotype" w:eastAsia="Palatino Linotype" w:hAnsi="Palatino Linotype" w:cs="Palatino Linotype"/>
          <w:b/>
          <w:sz w:val="22"/>
          <w:szCs w:val="22"/>
        </w:rPr>
        <w:t>XXX XXXXX XXXXXX</w:t>
      </w:r>
      <w:r w:rsidRPr="005B0AF4">
        <w:rPr>
          <w:rFonts w:ascii="Palatino Linotype" w:eastAsia="Palatino Linotype" w:hAnsi="Palatino Linotype" w:cs="Palatino Linotype"/>
          <w:b/>
          <w:sz w:val="22"/>
          <w:szCs w:val="22"/>
        </w:rPr>
        <w:t>,</w:t>
      </w:r>
      <w:r w:rsidRPr="005B0AF4">
        <w:rPr>
          <w:rFonts w:ascii="Palatino Linotype" w:eastAsia="Palatino Linotype" w:hAnsi="Palatino Linotype" w:cs="Palatino Linotype"/>
          <w:sz w:val="22"/>
          <w:szCs w:val="22"/>
        </w:rPr>
        <w:t xml:space="preserve"> en lo sucesivo</w:t>
      </w:r>
      <w:r w:rsidRPr="005B0AF4">
        <w:rPr>
          <w:rFonts w:ascii="Palatino Linotype" w:eastAsia="Palatino Linotype" w:hAnsi="Palatino Linotype" w:cs="Palatino Linotype"/>
          <w:b/>
          <w:sz w:val="22"/>
          <w:szCs w:val="22"/>
        </w:rPr>
        <w:t xml:space="preserve"> </w:t>
      </w:r>
      <w:r w:rsidRPr="005B0AF4">
        <w:rPr>
          <w:rFonts w:ascii="Palatino Linotype" w:eastAsia="Palatino Linotype" w:hAnsi="Palatino Linotype" w:cs="Palatino Linotype"/>
          <w:sz w:val="22"/>
          <w:szCs w:val="22"/>
        </w:rPr>
        <w:t xml:space="preserve">la parte </w:t>
      </w:r>
      <w:r w:rsidRPr="005B0AF4">
        <w:rPr>
          <w:rFonts w:ascii="Palatino Linotype" w:eastAsia="Palatino Linotype" w:hAnsi="Palatino Linotype" w:cs="Palatino Linotype"/>
          <w:b/>
          <w:sz w:val="22"/>
          <w:szCs w:val="22"/>
        </w:rPr>
        <w:t>Recurrente,</w:t>
      </w:r>
      <w:r w:rsidRPr="005B0AF4">
        <w:rPr>
          <w:rFonts w:ascii="Palatino Linotype" w:eastAsia="Palatino Linotype" w:hAnsi="Palatino Linotype" w:cs="Palatino Linotype"/>
          <w:sz w:val="22"/>
          <w:szCs w:val="22"/>
        </w:rPr>
        <w:t xml:space="preserve"> en contra de la respuesta a la solicitud de información con número de folio </w:t>
      </w:r>
      <w:r w:rsidRPr="005B0AF4">
        <w:rPr>
          <w:rFonts w:ascii="Palatino Linotype" w:eastAsia="Palatino Linotype" w:hAnsi="Palatino Linotype" w:cs="Palatino Linotype"/>
          <w:b/>
          <w:sz w:val="22"/>
          <w:szCs w:val="22"/>
        </w:rPr>
        <w:t xml:space="preserve">00490/FGJ/IP/2024, </w:t>
      </w:r>
      <w:r w:rsidRPr="005B0AF4">
        <w:rPr>
          <w:rFonts w:ascii="Palatino Linotype" w:eastAsia="Palatino Linotype" w:hAnsi="Palatino Linotype" w:cs="Palatino Linotype"/>
          <w:sz w:val="22"/>
          <w:szCs w:val="22"/>
        </w:rPr>
        <w:t xml:space="preserve">por parte de la </w:t>
      </w:r>
      <w:proofErr w:type="gramStart"/>
      <w:r w:rsidRPr="005B0AF4">
        <w:rPr>
          <w:rFonts w:ascii="Palatino Linotype" w:eastAsia="Palatino Linotype" w:hAnsi="Palatino Linotype" w:cs="Palatino Linotype"/>
          <w:b/>
          <w:sz w:val="22"/>
          <w:szCs w:val="22"/>
        </w:rPr>
        <w:t>Fiscalía General</w:t>
      </w:r>
      <w:proofErr w:type="gramEnd"/>
      <w:r w:rsidRPr="005B0AF4">
        <w:rPr>
          <w:rFonts w:ascii="Palatino Linotype" w:eastAsia="Palatino Linotype" w:hAnsi="Palatino Linotype" w:cs="Palatino Linotype"/>
          <w:b/>
          <w:sz w:val="22"/>
          <w:szCs w:val="22"/>
        </w:rPr>
        <w:t xml:space="preserve"> de Justicia del Estado de México, </w:t>
      </w:r>
      <w:r w:rsidRPr="005B0AF4">
        <w:rPr>
          <w:rFonts w:ascii="Palatino Linotype" w:eastAsia="Palatino Linotype" w:hAnsi="Palatino Linotype" w:cs="Palatino Linotype"/>
          <w:sz w:val="22"/>
          <w:szCs w:val="22"/>
        </w:rPr>
        <w:t xml:space="preserve">en lo sucesivo el </w:t>
      </w:r>
      <w:r w:rsidRPr="005B0AF4">
        <w:rPr>
          <w:rFonts w:ascii="Palatino Linotype" w:eastAsia="Palatino Linotype" w:hAnsi="Palatino Linotype" w:cs="Palatino Linotype"/>
          <w:b/>
          <w:sz w:val="22"/>
          <w:szCs w:val="22"/>
        </w:rPr>
        <w:t xml:space="preserve">Sujeto Obligado, </w:t>
      </w:r>
      <w:r w:rsidRPr="005B0AF4">
        <w:rPr>
          <w:rFonts w:ascii="Palatino Linotype" w:eastAsia="Palatino Linotype" w:hAnsi="Palatino Linotype" w:cs="Palatino Linotype"/>
          <w:sz w:val="22"/>
          <w:szCs w:val="22"/>
        </w:rPr>
        <w:t xml:space="preserve">se procede a dictar la presente resolución con base en los siguientes: </w:t>
      </w:r>
    </w:p>
    <w:p w14:paraId="31F27623" w14:textId="77777777" w:rsidR="003D34B1" w:rsidRPr="005B0AF4" w:rsidRDefault="00F50C64">
      <w:pPr>
        <w:spacing w:before="240" w:after="240" w:line="360" w:lineRule="auto"/>
        <w:jc w:val="center"/>
        <w:rPr>
          <w:rFonts w:ascii="Palatino Linotype" w:eastAsia="Palatino Linotype" w:hAnsi="Palatino Linotype" w:cs="Palatino Linotype"/>
          <w:b/>
          <w:sz w:val="22"/>
          <w:szCs w:val="22"/>
        </w:rPr>
      </w:pPr>
      <w:r w:rsidRPr="005B0AF4">
        <w:rPr>
          <w:rFonts w:ascii="Palatino Linotype" w:eastAsia="Palatino Linotype" w:hAnsi="Palatino Linotype" w:cs="Palatino Linotype"/>
          <w:b/>
          <w:sz w:val="22"/>
          <w:szCs w:val="22"/>
        </w:rPr>
        <w:t>I. A N T E C E D E N T E S</w:t>
      </w:r>
    </w:p>
    <w:p w14:paraId="3DAAF68E"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bookmarkStart w:id="0" w:name="_heading=h.4d34og8" w:colFirst="0" w:colLast="0"/>
      <w:bookmarkEnd w:id="0"/>
      <w:r w:rsidRPr="005B0AF4">
        <w:rPr>
          <w:rFonts w:ascii="Palatino Linotype" w:eastAsia="Palatino Linotype" w:hAnsi="Palatino Linotype" w:cs="Palatino Linotype"/>
          <w:b/>
          <w:sz w:val="22"/>
          <w:szCs w:val="22"/>
        </w:rPr>
        <w:t>1. Solicitud de acceso a la información.</w:t>
      </w:r>
      <w:r w:rsidRPr="005B0AF4">
        <w:rPr>
          <w:rFonts w:ascii="Palatino Linotype" w:eastAsia="Palatino Linotype" w:hAnsi="Palatino Linotype" w:cs="Palatino Linotype"/>
          <w:sz w:val="22"/>
          <w:szCs w:val="22"/>
        </w:rPr>
        <w:t xml:space="preserve"> El </w:t>
      </w:r>
      <w:r w:rsidRPr="005B0AF4">
        <w:rPr>
          <w:rFonts w:ascii="Palatino Linotype" w:eastAsia="Palatino Linotype" w:hAnsi="Palatino Linotype" w:cs="Palatino Linotype"/>
          <w:b/>
          <w:sz w:val="22"/>
          <w:szCs w:val="22"/>
        </w:rPr>
        <w:t>diez de mayo de dos mil veinticuatro,</w:t>
      </w:r>
      <w:r w:rsidRPr="005B0AF4">
        <w:rPr>
          <w:rFonts w:ascii="Palatino Linotype" w:eastAsia="Palatino Linotype" w:hAnsi="Palatino Linotype" w:cs="Palatino Linotype"/>
          <w:sz w:val="22"/>
          <w:szCs w:val="22"/>
        </w:rPr>
        <w:t xml:space="preserve"> la parte </w:t>
      </w:r>
      <w:r w:rsidRPr="005B0AF4">
        <w:rPr>
          <w:rFonts w:ascii="Palatino Linotype" w:eastAsia="Palatino Linotype" w:hAnsi="Palatino Linotype" w:cs="Palatino Linotype"/>
          <w:b/>
          <w:sz w:val="22"/>
          <w:szCs w:val="22"/>
        </w:rPr>
        <w:t xml:space="preserve">Recurrente </w:t>
      </w:r>
      <w:r w:rsidRPr="005B0AF4">
        <w:rPr>
          <w:rFonts w:ascii="Palatino Linotype" w:eastAsia="Palatino Linotype" w:hAnsi="Palatino Linotype" w:cs="Palatino Linotype"/>
          <w:sz w:val="22"/>
          <w:szCs w:val="22"/>
        </w:rPr>
        <w:t xml:space="preserve">presentó, a través del Sistema de Acceso a la Información Mexiquense, en lo subsecuente el </w:t>
      </w:r>
      <w:r w:rsidRPr="005B0AF4">
        <w:rPr>
          <w:rFonts w:ascii="Palatino Linotype" w:eastAsia="Palatino Linotype" w:hAnsi="Palatino Linotype" w:cs="Palatino Linotype"/>
          <w:b/>
          <w:sz w:val="22"/>
          <w:szCs w:val="22"/>
        </w:rPr>
        <w:t>SAIMEX,</w:t>
      </w:r>
      <w:r w:rsidRPr="005B0AF4">
        <w:rPr>
          <w:rFonts w:ascii="Palatino Linotype" w:eastAsia="Palatino Linotype" w:hAnsi="Palatino Linotype" w:cs="Palatino Linotype"/>
          <w:sz w:val="22"/>
          <w:szCs w:val="22"/>
        </w:rPr>
        <w:t xml:space="preserve"> ante el </w:t>
      </w:r>
      <w:r w:rsidRPr="005B0AF4">
        <w:rPr>
          <w:rFonts w:ascii="Palatino Linotype" w:eastAsia="Palatino Linotype" w:hAnsi="Palatino Linotype" w:cs="Palatino Linotype"/>
          <w:b/>
          <w:sz w:val="22"/>
          <w:szCs w:val="22"/>
        </w:rPr>
        <w:t>Sujeto Obligado</w:t>
      </w:r>
      <w:r w:rsidRPr="005B0AF4">
        <w:rPr>
          <w:rFonts w:ascii="Palatino Linotype" w:eastAsia="Palatino Linotype" w:hAnsi="Palatino Linotype" w:cs="Palatino Linotype"/>
          <w:sz w:val="22"/>
          <w:szCs w:val="22"/>
        </w:rPr>
        <w:t xml:space="preserve">, la solicitud de acceso a la información pública, mediante la cual requirió la información siguiente: </w:t>
      </w:r>
    </w:p>
    <w:p w14:paraId="62C17742" w14:textId="714E8FC1" w:rsidR="003D34B1" w:rsidRPr="005B0AF4" w:rsidRDefault="00F50C64">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5B0AF4">
        <w:rPr>
          <w:rFonts w:ascii="Palatino Linotype" w:eastAsia="Palatino Linotype" w:hAnsi="Palatino Linotype" w:cs="Palatino Linotype"/>
          <w:i/>
          <w:sz w:val="22"/>
          <w:szCs w:val="22"/>
        </w:rPr>
        <w:t xml:space="preserve"> “Solicito la sentencia de </w:t>
      </w:r>
      <w:r w:rsidR="00187FEC">
        <w:rPr>
          <w:rFonts w:ascii="Palatino Linotype" w:eastAsia="Palatino Linotype" w:hAnsi="Palatino Linotype" w:cs="Palatino Linotype"/>
          <w:i/>
          <w:sz w:val="22"/>
          <w:szCs w:val="22"/>
        </w:rPr>
        <w:t>XXXXX XXXX XXXXXXX</w:t>
      </w:r>
      <w:r w:rsidRPr="005B0AF4">
        <w:rPr>
          <w:rFonts w:ascii="Palatino Linotype" w:eastAsia="Palatino Linotype" w:hAnsi="Palatino Linotype" w:cs="Palatino Linotype"/>
          <w:i/>
          <w:sz w:val="22"/>
          <w:szCs w:val="22"/>
        </w:rPr>
        <w:t xml:space="preserve"> en Versión pública de ser procedente </w:t>
      </w:r>
      <w:proofErr w:type="spellStart"/>
      <w:r w:rsidRPr="005B0AF4">
        <w:rPr>
          <w:rFonts w:ascii="Palatino Linotype" w:eastAsia="Palatino Linotype" w:hAnsi="Palatino Linotype" w:cs="Palatino Linotype"/>
          <w:i/>
          <w:sz w:val="22"/>
          <w:szCs w:val="22"/>
        </w:rPr>
        <w:t>asi</w:t>
      </w:r>
      <w:proofErr w:type="spellEnd"/>
      <w:r w:rsidRPr="005B0AF4">
        <w:rPr>
          <w:rFonts w:ascii="Palatino Linotype" w:eastAsia="Palatino Linotype" w:hAnsi="Palatino Linotype" w:cs="Palatino Linotype"/>
          <w:i/>
          <w:sz w:val="22"/>
          <w:szCs w:val="22"/>
        </w:rPr>
        <w:t xml:space="preserve"> como los soportes documentales legales que fundamentaron la litis </w:t>
      </w:r>
      <w:proofErr w:type="spellStart"/>
      <w:r w:rsidRPr="005B0AF4">
        <w:rPr>
          <w:rFonts w:ascii="Palatino Linotype" w:eastAsia="Palatino Linotype" w:hAnsi="Palatino Linotype" w:cs="Palatino Linotype"/>
          <w:i/>
          <w:sz w:val="22"/>
          <w:szCs w:val="22"/>
        </w:rPr>
        <w:t>asi</w:t>
      </w:r>
      <w:proofErr w:type="spellEnd"/>
      <w:r w:rsidRPr="005B0AF4">
        <w:rPr>
          <w:rFonts w:ascii="Palatino Linotype" w:eastAsia="Palatino Linotype" w:hAnsi="Palatino Linotype" w:cs="Palatino Linotype"/>
          <w:i/>
          <w:sz w:val="22"/>
          <w:szCs w:val="22"/>
        </w:rPr>
        <w:t xml:space="preserve"> como los criterios bajo los cuales se </w:t>
      </w:r>
      <w:proofErr w:type="spellStart"/>
      <w:r w:rsidRPr="005B0AF4">
        <w:rPr>
          <w:rFonts w:ascii="Palatino Linotype" w:eastAsia="Palatino Linotype" w:hAnsi="Palatino Linotype" w:cs="Palatino Linotype"/>
          <w:i/>
          <w:sz w:val="22"/>
          <w:szCs w:val="22"/>
        </w:rPr>
        <w:t>investigo</w:t>
      </w:r>
      <w:proofErr w:type="spellEnd"/>
      <w:r w:rsidRPr="005B0AF4">
        <w:rPr>
          <w:rFonts w:ascii="Palatino Linotype" w:eastAsia="Palatino Linotype" w:hAnsi="Palatino Linotype" w:cs="Palatino Linotype"/>
          <w:i/>
          <w:sz w:val="22"/>
          <w:szCs w:val="22"/>
        </w:rPr>
        <w:t xml:space="preserve"> dicho trans feminicidio.</w:t>
      </w:r>
      <w:r w:rsidRPr="005B0AF4">
        <w:rPr>
          <w:rFonts w:ascii="Palatino Linotype" w:eastAsia="Palatino Linotype" w:hAnsi="Palatino Linotype" w:cs="Palatino Linotype"/>
          <w:b/>
          <w:i/>
          <w:sz w:val="22"/>
          <w:szCs w:val="22"/>
        </w:rPr>
        <w:t>”</w:t>
      </w:r>
      <w:r w:rsidRPr="005B0AF4">
        <w:rPr>
          <w:rFonts w:ascii="Palatino Linotype" w:eastAsia="Palatino Linotype" w:hAnsi="Palatino Linotype" w:cs="Palatino Linotype"/>
          <w:i/>
          <w:sz w:val="22"/>
          <w:szCs w:val="22"/>
        </w:rPr>
        <w:t xml:space="preserve"> (sic) </w:t>
      </w:r>
    </w:p>
    <w:p w14:paraId="3308F85E"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5B0AF4">
        <w:rPr>
          <w:rFonts w:ascii="Palatino Linotype" w:eastAsia="Palatino Linotype" w:hAnsi="Palatino Linotype" w:cs="Palatino Linotype"/>
          <w:b/>
          <w:sz w:val="22"/>
          <w:szCs w:val="22"/>
        </w:rPr>
        <w:t>Modalidad de Entrega:</w:t>
      </w:r>
      <w:r w:rsidRPr="005B0AF4">
        <w:rPr>
          <w:rFonts w:ascii="Palatino Linotype" w:eastAsia="Palatino Linotype" w:hAnsi="Palatino Linotype" w:cs="Palatino Linotype"/>
          <w:sz w:val="22"/>
          <w:szCs w:val="22"/>
        </w:rPr>
        <w:t xml:space="preserve"> de manera electrónica por vía del SAIMEX. </w:t>
      </w:r>
    </w:p>
    <w:p w14:paraId="7A2CFC5F"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b/>
          <w:sz w:val="22"/>
          <w:szCs w:val="22"/>
        </w:rPr>
        <w:t xml:space="preserve">2. Respuesta. </w:t>
      </w:r>
      <w:r w:rsidRPr="005B0AF4">
        <w:rPr>
          <w:rFonts w:ascii="Palatino Linotype" w:eastAsia="Palatino Linotype" w:hAnsi="Palatino Linotype" w:cs="Palatino Linotype"/>
          <w:sz w:val="22"/>
          <w:szCs w:val="22"/>
        </w:rPr>
        <w:t xml:space="preserve">El </w:t>
      </w:r>
      <w:r w:rsidRPr="005B0AF4">
        <w:rPr>
          <w:rFonts w:ascii="Palatino Linotype" w:eastAsia="Palatino Linotype" w:hAnsi="Palatino Linotype" w:cs="Palatino Linotype"/>
          <w:b/>
          <w:sz w:val="22"/>
          <w:szCs w:val="22"/>
        </w:rPr>
        <w:t>trece de mayo de dos mil veinticuatro</w:t>
      </w:r>
      <w:r w:rsidRPr="005B0AF4">
        <w:rPr>
          <w:rFonts w:ascii="Palatino Linotype" w:eastAsia="Palatino Linotype" w:hAnsi="Palatino Linotype" w:cs="Palatino Linotype"/>
          <w:sz w:val="22"/>
          <w:szCs w:val="22"/>
        </w:rPr>
        <w:t xml:space="preserve">, el </w:t>
      </w:r>
      <w:r w:rsidRPr="005B0AF4">
        <w:rPr>
          <w:rFonts w:ascii="Palatino Linotype" w:eastAsia="Palatino Linotype" w:hAnsi="Palatino Linotype" w:cs="Palatino Linotype"/>
          <w:b/>
          <w:sz w:val="22"/>
          <w:szCs w:val="22"/>
        </w:rPr>
        <w:t xml:space="preserve">Sujeto Obligado </w:t>
      </w:r>
      <w:r w:rsidRPr="005B0AF4">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2ADABAA1" w14:textId="77777777" w:rsidR="003D34B1" w:rsidRPr="005B0AF4" w:rsidRDefault="00F50C64">
      <w:pPr>
        <w:spacing w:before="240" w:after="240"/>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“Incompetencia de sujeto obligado, procede orientación por notificar (Art. 167) (sic)</w:t>
      </w:r>
    </w:p>
    <w:p w14:paraId="24367E8B" w14:textId="77777777" w:rsidR="003D34B1" w:rsidRPr="005B0AF4" w:rsidRDefault="00F50C64">
      <w:pPr>
        <w:spacing w:before="240" w:after="240" w:line="360" w:lineRule="auto"/>
        <w:ind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lastRenderedPageBreak/>
        <w:t xml:space="preserve">El </w:t>
      </w:r>
      <w:r w:rsidRPr="005B0AF4">
        <w:rPr>
          <w:rFonts w:ascii="Palatino Linotype" w:eastAsia="Palatino Linotype" w:hAnsi="Palatino Linotype" w:cs="Palatino Linotype"/>
          <w:b/>
          <w:sz w:val="22"/>
          <w:szCs w:val="22"/>
        </w:rPr>
        <w:t>Sujeto Obligado</w:t>
      </w:r>
      <w:r w:rsidRPr="005B0AF4">
        <w:rPr>
          <w:rFonts w:ascii="Palatino Linotype" w:eastAsia="Palatino Linotype" w:hAnsi="Palatino Linotype" w:cs="Palatino Linotype"/>
          <w:sz w:val="22"/>
          <w:szCs w:val="22"/>
        </w:rPr>
        <w:t xml:space="preserve"> adjuntó un denominado </w:t>
      </w:r>
      <w:r w:rsidRPr="005B0AF4">
        <w:rPr>
          <w:rFonts w:ascii="Palatino Linotype" w:eastAsia="Palatino Linotype" w:hAnsi="Palatino Linotype" w:cs="Palatino Linotype"/>
          <w:b/>
          <w:i/>
          <w:sz w:val="22"/>
          <w:szCs w:val="22"/>
        </w:rPr>
        <w:t>“ORIENTACION 00490.pdf”</w:t>
      </w:r>
      <w:r w:rsidRPr="005B0AF4">
        <w:rPr>
          <w:rFonts w:ascii="Palatino Linotype" w:eastAsia="Palatino Linotype" w:hAnsi="Palatino Linotype" w:cs="Palatino Linotype"/>
          <w:sz w:val="22"/>
          <w:szCs w:val="22"/>
        </w:rPr>
        <w:t xml:space="preserve">  en cuyo contenido se advierte el oficio 1760/MAIP/FGJ/2024  de fecha 13 de mayo de dos mil veinticuatro, por medio del cual el Titular de la Unidad de Transparencia informó: </w:t>
      </w:r>
    </w:p>
    <w:p w14:paraId="59A15BFB" w14:textId="77777777" w:rsidR="003D34B1" w:rsidRPr="005B0AF4" w:rsidRDefault="00F50C64">
      <w:pPr>
        <w:spacing w:before="240" w:after="240" w:line="360" w:lineRule="auto"/>
        <w:ind w:left="850" w:right="719"/>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sz w:val="22"/>
          <w:szCs w:val="22"/>
        </w:rPr>
        <w:t xml:space="preserve">“… se </w:t>
      </w:r>
      <w:r w:rsidRPr="005B0AF4">
        <w:rPr>
          <w:rFonts w:ascii="Palatino Linotype" w:eastAsia="Palatino Linotype" w:hAnsi="Palatino Linotype" w:cs="Palatino Linotype"/>
          <w:i/>
          <w:sz w:val="22"/>
          <w:szCs w:val="22"/>
        </w:rPr>
        <w:t xml:space="preserve">hace del conocimiento que dentro de sus atribuciones de este Sujeto Obligado. establecidas en el artículo 10 de la Ley  de la Fiscalía General de Justicia del Estado de México, NO se encuentra la de generar o poseer información solicitada, toda vez que  esta Fiscalía  es un órgano público autónomo, dotado de personalidad jurídica y patrimonio propio con autonomía presupuestal, técnica y de gestión; con capacidad para decidir sobre el ejercicio de su presupuesto, así como de los órganos que la integran, para el despacho de los asuntos que el Ministerio Público, la Policía de Investigación a </w:t>
      </w:r>
      <w:proofErr w:type="spellStart"/>
      <w:r w:rsidRPr="005B0AF4">
        <w:rPr>
          <w:rFonts w:ascii="Palatino Linotype" w:eastAsia="Palatino Linotype" w:hAnsi="Palatino Linotype" w:cs="Palatino Linotype"/>
          <w:i/>
          <w:sz w:val="22"/>
          <w:szCs w:val="22"/>
        </w:rPr>
        <w:t>a</w:t>
      </w:r>
      <w:proofErr w:type="spellEnd"/>
      <w:r w:rsidRPr="005B0AF4">
        <w:rPr>
          <w:rFonts w:ascii="Palatino Linotype" w:eastAsia="Palatino Linotype" w:hAnsi="Palatino Linotype" w:cs="Palatino Linotype"/>
          <w:i/>
          <w:sz w:val="22"/>
          <w:szCs w:val="22"/>
        </w:rPr>
        <w:t xml:space="preserve"> los Servicios Periciales que le confieren la Constitución Política de los Estados Unidos Mexicanos, la Constitución Política del Estado Libre y Sobe4rna de México, y las demás disposiciones jurídicas aplicables; por lo que con fundamento en el artículo 167 de la Ley de Transparencia de la entidad, se le orienta par que dirija su solicitud al </w:t>
      </w:r>
      <w:r w:rsidRPr="005B0AF4">
        <w:rPr>
          <w:rFonts w:ascii="Palatino Linotype" w:eastAsia="Palatino Linotype" w:hAnsi="Palatino Linotype" w:cs="Palatino Linotype"/>
          <w:b/>
          <w:i/>
          <w:sz w:val="22"/>
          <w:szCs w:val="22"/>
          <w:u w:val="single"/>
        </w:rPr>
        <w:t>Poder Judicial del Estado de México</w:t>
      </w:r>
      <w:r w:rsidRPr="005B0AF4">
        <w:rPr>
          <w:rFonts w:ascii="Palatino Linotype" w:eastAsia="Palatino Linotype" w:hAnsi="Palatino Linotype" w:cs="Palatino Linotype"/>
          <w:i/>
          <w:sz w:val="22"/>
          <w:szCs w:val="22"/>
        </w:rPr>
        <w:t>, institución que, de conformidad con las funciones y atribuciones establecidas en los artículos 10 y 55 de la Ley Orgánica del Poder Judicial del Estado de México, pudiera contar con la información de su interés. “</w:t>
      </w:r>
      <w:r w:rsidRPr="005B0AF4">
        <w:rPr>
          <w:rFonts w:ascii="Palatino Linotype" w:eastAsia="Palatino Linotype" w:hAnsi="Palatino Linotype" w:cs="Palatino Linotype"/>
          <w:sz w:val="22"/>
          <w:szCs w:val="22"/>
        </w:rPr>
        <w:t xml:space="preserve"> </w:t>
      </w:r>
    </w:p>
    <w:p w14:paraId="1E52A2F3" w14:textId="77777777" w:rsidR="003D34B1" w:rsidRPr="005B0AF4" w:rsidRDefault="00F50C64">
      <w:pPr>
        <w:spacing w:before="240" w:after="240" w:line="360" w:lineRule="auto"/>
        <w:ind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b/>
          <w:sz w:val="22"/>
          <w:szCs w:val="22"/>
        </w:rPr>
        <w:t xml:space="preserve">3. Interposición del recurso de revisión. </w:t>
      </w:r>
      <w:r w:rsidRPr="005B0AF4">
        <w:rPr>
          <w:rFonts w:ascii="Palatino Linotype" w:eastAsia="Palatino Linotype" w:hAnsi="Palatino Linotype" w:cs="Palatino Linotype"/>
          <w:sz w:val="22"/>
          <w:szCs w:val="22"/>
        </w:rPr>
        <w:t xml:space="preserve">Inconforme con los términos de la respuesta emitida por parte del </w:t>
      </w:r>
      <w:r w:rsidRPr="005B0AF4">
        <w:rPr>
          <w:rFonts w:ascii="Palatino Linotype" w:eastAsia="Palatino Linotype" w:hAnsi="Palatino Linotype" w:cs="Palatino Linotype"/>
          <w:b/>
          <w:sz w:val="22"/>
          <w:szCs w:val="22"/>
        </w:rPr>
        <w:t>Sujeto Obligado</w:t>
      </w:r>
      <w:r w:rsidRPr="005B0AF4">
        <w:rPr>
          <w:rFonts w:ascii="Palatino Linotype" w:eastAsia="Palatino Linotype" w:hAnsi="Palatino Linotype" w:cs="Palatino Linotype"/>
          <w:sz w:val="22"/>
          <w:szCs w:val="22"/>
        </w:rPr>
        <w:t>, el</w:t>
      </w:r>
      <w:r w:rsidRPr="005B0AF4">
        <w:rPr>
          <w:rFonts w:ascii="Palatino Linotype" w:eastAsia="Palatino Linotype" w:hAnsi="Palatino Linotype" w:cs="Palatino Linotype"/>
          <w:b/>
          <w:sz w:val="22"/>
          <w:szCs w:val="22"/>
        </w:rPr>
        <w:t xml:space="preserve"> diecisiete de mayo de dos mil veinticuatro, </w:t>
      </w:r>
      <w:r w:rsidRPr="005B0AF4">
        <w:rPr>
          <w:rFonts w:ascii="Palatino Linotype" w:eastAsia="Palatino Linotype" w:hAnsi="Palatino Linotype" w:cs="Palatino Linotype"/>
          <w:sz w:val="22"/>
          <w:szCs w:val="22"/>
        </w:rPr>
        <w:t xml:space="preserve">la parte </w:t>
      </w:r>
      <w:r w:rsidRPr="005B0AF4">
        <w:rPr>
          <w:rFonts w:ascii="Palatino Linotype" w:eastAsia="Palatino Linotype" w:hAnsi="Palatino Linotype" w:cs="Palatino Linotype"/>
          <w:b/>
          <w:sz w:val="22"/>
          <w:szCs w:val="22"/>
        </w:rPr>
        <w:t>Recurrente</w:t>
      </w:r>
      <w:r w:rsidRPr="005B0AF4">
        <w:rPr>
          <w:rFonts w:ascii="Palatino Linotype" w:eastAsia="Palatino Linotype" w:hAnsi="Palatino Linotype" w:cs="Palatino Linotype"/>
          <w:sz w:val="22"/>
          <w:szCs w:val="22"/>
        </w:rPr>
        <w:t xml:space="preserve"> interpuso el recurso de revisión a través de </w:t>
      </w:r>
      <w:r w:rsidRPr="005B0AF4">
        <w:rPr>
          <w:rFonts w:ascii="Palatino Linotype" w:eastAsia="Palatino Linotype" w:hAnsi="Palatino Linotype" w:cs="Palatino Linotype"/>
          <w:b/>
          <w:sz w:val="22"/>
          <w:szCs w:val="22"/>
        </w:rPr>
        <w:t xml:space="preserve">SAIMEX, </w:t>
      </w:r>
      <w:r w:rsidRPr="005B0AF4">
        <w:rPr>
          <w:rFonts w:ascii="Palatino Linotype" w:eastAsia="Palatino Linotype" w:hAnsi="Palatino Linotype" w:cs="Palatino Linotype"/>
          <w:sz w:val="22"/>
          <w:szCs w:val="22"/>
        </w:rPr>
        <w:t>en donde se manifestó de la siguiente manera:</w:t>
      </w:r>
    </w:p>
    <w:p w14:paraId="6341F3EE" w14:textId="77777777" w:rsidR="003D34B1" w:rsidRPr="005B0AF4" w:rsidRDefault="00F50C64">
      <w:pPr>
        <w:tabs>
          <w:tab w:val="left" w:pos="2745"/>
        </w:tabs>
        <w:spacing w:before="240" w:after="240" w:line="360" w:lineRule="auto"/>
        <w:jc w:val="both"/>
        <w:rPr>
          <w:rFonts w:ascii="Palatino Linotype" w:eastAsia="Palatino Linotype" w:hAnsi="Palatino Linotype" w:cs="Palatino Linotype"/>
          <w:b/>
          <w:sz w:val="22"/>
          <w:szCs w:val="22"/>
        </w:rPr>
      </w:pPr>
      <w:r w:rsidRPr="005B0AF4">
        <w:rPr>
          <w:rFonts w:ascii="Palatino Linotype" w:eastAsia="Palatino Linotype" w:hAnsi="Palatino Linotype" w:cs="Palatino Linotype"/>
          <w:b/>
          <w:sz w:val="22"/>
          <w:szCs w:val="22"/>
        </w:rPr>
        <w:t xml:space="preserve">Acto impugnado: </w:t>
      </w:r>
    </w:p>
    <w:p w14:paraId="7437DF61" w14:textId="77777777" w:rsidR="003D34B1" w:rsidRPr="005B0AF4" w:rsidRDefault="00F50C64">
      <w:pPr>
        <w:tabs>
          <w:tab w:val="left" w:pos="2745"/>
        </w:tabs>
        <w:spacing w:before="240" w:after="240"/>
        <w:ind w:left="851" w:right="90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“La respuesta del Sujeto Obligado …” (Sic)</w:t>
      </w:r>
    </w:p>
    <w:p w14:paraId="1E8177FD" w14:textId="77777777" w:rsidR="003D34B1" w:rsidRPr="005B0AF4" w:rsidRDefault="00F50C64">
      <w:pPr>
        <w:spacing w:line="360" w:lineRule="auto"/>
        <w:jc w:val="both"/>
        <w:rPr>
          <w:rFonts w:ascii="Palatino Linotype" w:eastAsia="Palatino Linotype" w:hAnsi="Palatino Linotype" w:cs="Palatino Linotype"/>
          <w:sz w:val="22"/>
          <w:szCs w:val="22"/>
        </w:rPr>
      </w:pPr>
      <w:bookmarkStart w:id="3" w:name="_heading=h.30j0zll" w:colFirst="0" w:colLast="0"/>
      <w:bookmarkEnd w:id="3"/>
      <w:r w:rsidRPr="005B0AF4">
        <w:rPr>
          <w:rFonts w:ascii="Palatino Linotype" w:eastAsia="Palatino Linotype" w:hAnsi="Palatino Linotype" w:cs="Palatino Linotype"/>
          <w:b/>
          <w:sz w:val="22"/>
          <w:szCs w:val="22"/>
        </w:rPr>
        <w:lastRenderedPageBreak/>
        <w:t>Y, Razones o motivos de inconformidad</w:t>
      </w:r>
      <w:r w:rsidRPr="005B0AF4">
        <w:rPr>
          <w:rFonts w:ascii="Palatino Linotype" w:eastAsia="Palatino Linotype" w:hAnsi="Palatino Linotype" w:cs="Palatino Linotype"/>
          <w:sz w:val="22"/>
          <w:szCs w:val="22"/>
        </w:rPr>
        <w:t>:</w:t>
      </w:r>
    </w:p>
    <w:p w14:paraId="67E4E02D" w14:textId="77777777" w:rsidR="003D34B1" w:rsidRPr="005B0AF4" w:rsidRDefault="00F50C64">
      <w:pPr>
        <w:tabs>
          <w:tab w:val="left" w:pos="2745"/>
        </w:tabs>
        <w:spacing w:before="240" w:after="240"/>
        <w:ind w:left="851" w:right="90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“La respuesta del sujeto obligado …” (Sic)</w:t>
      </w:r>
    </w:p>
    <w:p w14:paraId="52791230" w14:textId="77777777" w:rsidR="003D34B1" w:rsidRPr="005B0AF4" w:rsidRDefault="00F50C64">
      <w:pPr>
        <w:spacing w:before="240" w:after="240" w:line="360" w:lineRule="auto"/>
        <w:ind w:right="51"/>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b/>
          <w:sz w:val="22"/>
          <w:szCs w:val="22"/>
        </w:rPr>
        <w:t xml:space="preserve">4. Turno. </w:t>
      </w:r>
      <w:r w:rsidRPr="005B0AF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B0AF4">
        <w:rPr>
          <w:rFonts w:ascii="Palatino Linotype" w:eastAsia="Palatino Linotype" w:hAnsi="Palatino Linotype" w:cs="Palatino Linotype"/>
          <w:b/>
          <w:sz w:val="22"/>
          <w:szCs w:val="22"/>
        </w:rPr>
        <w:t xml:space="preserve">Guadalupe Ramírez Peña, </w:t>
      </w:r>
      <w:r w:rsidRPr="005B0AF4">
        <w:rPr>
          <w:rFonts w:ascii="Palatino Linotype" w:eastAsia="Palatino Linotype" w:hAnsi="Palatino Linotype" w:cs="Palatino Linotype"/>
          <w:sz w:val="22"/>
          <w:szCs w:val="22"/>
        </w:rPr>
        <w:t xml:space="preserve">a efecto de que analizara sobre su admisión o su </w:t>
      </w:r>
      <w:proofErr w:type="spellStart"/>
      <w:r w:rsidRPr="005B0AF4">
        <w:rPr>
          <w:rFonts w:ascii="Palatino Linotype" w:eastAsia="Palatino Linotype" w:hAnsi="Palatino Linotype" w:cs="Palatino Linotype"/>
          <w:sz w:val="22"/>
          <w:szCs w:val="22"/>
        </w:rPr>
        <w:t>desechamiento</w:t>
      </w:r>
      <w:proofErr w:type="spellEnd"/>
      <w:r w:rsidRPr="005B0AF4">
        <w:rPr>
          <w:rFonts w:ascii="Palatino Linotype" w:eastAsia="Palatino Linotype" w:hAnsi="Palatino Linotype" w:cs="Palatino Linotype"/>
          <w:sz w:val="22"/>
          <w:szCs w:val="22"/>
        </w:rPr>
        <w:t>.</w:t>
      </w:r>
    </w:p>
    <w:p w14:paraId="09BB8E3D"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b/>
          <w:sz w:val="22"/>
          <w:szCs w:val="22"/>
        </w:rPr>
        <w:t>5. Admisión del Recurso de revisión.</w:t>
      </w:r>
      <w:r w:rsidRPr="005B0AF4">
        <w:rPr>
          <w:rFonts w:ascii="Palatino Linotype" w:eastAsia="Palatino Linotype" w:hAnsi="Palatino Linotype" w:cs="Palatino Linotype"/>
          <w:sz w:val="22"/>
          <w:szCs w:val="22"/>
        </w:rPr>
        <w:t xml:space="preserve"> Con fecha</w:t>
      </w:r>
      <w:r w:rsidRPr="005B0AF4">
        <w:rPr>
          <w:rFonts w:ascii="Palatino Linotype" w:eastAsia="Palatino Linotype" w:hAnsi="Palatino Linotype" w:cs="Palatino Linotype"/>
          <w:b/>
          <w:sz w:val="22"/>
          <w:szCs w:val="22"/>
        </w:rPr>
        <w:t xml:space="preserve"> veintidós de mayo de dos mil veinticuatro, </w:t>
      </w:r>
      <w:r w:rsidRPr="005B0AF4">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B0AF4">
        <w:rPr>
          <w:rFonts w:ascii="Palatino Linotype" w:eastAsia="Palatino Linotype" w:hAnsi="Palatino Linotype" w:cs="Palatino Linotype"/>
          <w:b/>
          <w:sz w:val="22"/>
          <w:szCs w:val="22"/>
        </w:rPr>
        <w:t xml:space="preserve">Sujeto Obligado </w:t>
      </w:r>
      <w:r w:rsidRPr="005B0AF4">
        <w:rPr>
          <w:rFonts w:ascii="Palatino Linotype" w:eastAsia="Palatino Linotype" w:hAnsi="Palatino Linotype" w:cs="Palatino Linotype"/>
          <w:sz w:val="22"/>
          <w:szCs w:val="22"/>
        </w:rPr>
        <w:t>presentara su informe justificado.</w:t>
      </w:r>
    </w:p>
    <w:p w14:paraId="7B4C629E" w14:textId="77777777" w:rsidR="003D34B1" w:rsidRPr="005B0AF4" w:rsidRDefault="00F50C64">
      <w:pPr>
        <w:spacing w:before="240" w:after="240"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5B0AF4">
        <w:rPr>
          <w:rFonts w:ascii="Palatino Linotype" w:eastAsia="Palatino Linotype" w:hAnsi="Palatino Linotype" w:cs="Palatino Linotype"/>
          <w:b/>
          <w:sz w:val="22"/>
          <w:szCs w:val="22"/>
        </w:rPr>
        <w:t>6. Manifestaciones</w:t>
      </w:r>
      <w:r w:rsidRPr="005B0AF4">
        <w:rPr>
          <w:rFonts w:ascii="Palatino Linotype" w:eastAsia="Palatino Linotype" w:hAnsi="Palatino Linotype" w:cs="Palatino Linotype"/>
          <w:sz w:val="22"/>
          <w:szCs w:val="22"/>
        </w:rPr>
        <w:t xml:space="preserve">.  De las constancias que integran el expediente electrónico sobre del que se actúa, se advierte que la parte recurrente fue omisa en manifestarse en esta etapa procesal; en razón de esto, se tiene por fenecido su derecho en ese sentido.  </w:t>
      </w:r>
    </w:p>
    <w:p w14:paraId="3C704AE6" w14:textId="77777777" w:rsidR="003D34B1" w:rsidRPr="005B0AF4" w:rsidRDefault="00F50C64">
      <w:pPr>
        <w:spacing w:before="240" w:after="240" w:line="360" w:lineRule="auto"/>
        <w:ind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Por otro lado, la Fiscalía General de Justicia del Estado de México como parte en el presente asunto, en fecha tres de junio de este año, adjunto las siguientes documentales: </w:t>
      </w:r>
    </w:p>
    <w:p w14:paraId="3AF62B01" w14:textId="77777777" w:rsidR="003D34B1" w:rsidRPr="005B0AF4" w:rsidRDefault="00F50C64">
      <w:pPr>
        <w:numPr>
          <w:ilvl w:val="0"/>
          <w:numId w:val="4"/>
        </w:numPr>
        <w:pBdr>
          <w:top w:val="nil"/>
          <w:left w:val="nil"/>
          <w:bottom w:val="nil"/>
          <w:right w:val="nil"/>
          <w:between w:val="nil"/>
        </w:pBdr>
        <w:spacing w:before="240" w:line="360" w:lineRule="auto"/>
        <w:ind w:right="49"/>
        <w:jc w:val="both"/>
        <w:rPr>
          <w:rFonts w:ascii="Palatino Linotype" w:eastAsia="Palatino Linotype" w:hAnsi="Palatino Linotype" w:cs="Palatino Linotype"/>
          <w:b/>
          <w:sz w:val="22"/>
          <w:szCs w:val="22"/>
        </w:rPr>
      </w:pPr>
      <w:r w:rsidRPr="005B0AF4">
        <w:rPr>
          <w:rFonts w:ascii="Palatino Linotype" w:eastAsia="Palatino Linotype" w:hAnsi="Palatino Linotype" w:cs="Palatino Linotype"/>
          <w:b/>
          <w:i/>
          <w:sz w:val="22"/>
          <w:szCs w:val="22"/>
        </w:rPr>
        <w:t>OFICIO I.J RR 2994 SOL. 490 OF 1925_2024_06_03_18_55_29_656.pdf</w:t>
      </w:r>
      <w:r w:rsidRPr="005B0AF4">
        <w:rPr>
          <w:rFonts w:ascii="Palatino Linotype" w:eastAsia="Palatino Linotype" w:hAnsi="Palatino Linotype" w:cs="Palatino Linotype"/>
          <w:b/>
          <w:sz w:val="22"/>
          <w:szCs w:val="22"/>
        </w:rPr>
        <w:t xml:space="preserve">.   </w:t>
      </w:r>
      <w:r w:rsidRPr="005B0AF4">
        <w:rPr>
          <w:rFonts w:ascii="Palatino Linotype" w:eastAsia="Palatino Linotype" w:hAnsi="Palatino Linotype" w:cs="Palatino Linotype"/>
          <w:sz w:val="22"/>
          <w:szCs w:val="22"/>
        </w:rPr>
        <w:t xml:space="preserve"> Contiene el oficio número 1925/MAIP/FGJ/2024 de fecha treinta y uno de mayo de este año, suscrito por la Titular de la Unidad de Transparencia por vía del cual señala que se remite el Informe Justificado correspondiente. </w:t>
      </w:r>
    </w:p>
    <w:p w14:paraId="10DC89DA" w14:textId="77777777" w:rsidR="003D34B1" w:rsidRPr="005B0AF4" w:rsidRDefault="003D34B1">
      <w:pPr>
        <w:pBdr>
          <w:top w:val="nil"/>
          <w:left w:val="nil"/>
          <w:bottom w:val="nil"/>
          <w:right w:val="nil"/>
          <w:between w:val="nil"/>
        </w:pBdr>
        <w:spacing w:line="360" w:lineRule="auto"/>
        <w:ind w:left="360" w:right="49"/>
        <w:jc w:val="both"/>
        <w:rPr>
          <w:rFonts w:ascii="Palatino Linotype" w:eastAsia="Palatino Linotype" w:hAnsi="Palatino Linotype" w:cs="Palatino Linotype"/>
          <w:b/>
          <w:sz w:val="22"/>
          <w:szCs w:val="22"/>
        </w:rPr>
      </w:pPr>
    </w:p>
    <w:p w14:paraId="77A1246B" w14:textId="77777777" w:rsidR="003D34B1" w:rsidRPr="005B0AF4" w:rsidRDefault="00F50C64">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5B0AF4">
        <w:rPr>
          <w:rFonts w:ascii="Palatino Linotype" w:eastAsia="Palatino Linotype" w:hAnsi="Palatino Linotype" w:cs="Palatino Linotype"/>
          <w:b/>
          <w:i/>
          <w:sz w:val="22"/>
          <w:szCs w:val="22"/>
          <w:lang w:val="en-US"/>
        </w:rPr>
        <w:t>I.J RR 2994 SOL. 490 OF 1926_2024_06_03_18_56_25_563.pdf</w:t>
      </w:r>
      <w:r w:rsidRPr="005B0AF4">
        <w:rPr>
          <w:rFonts w:ascii="Palatino Linotype" w:eastAsia="Palatino Linotype" w:hAnsi="Palatino Linotype" w:cs="Palatino Linotype"/>
          <w:b/>
          <w:sz w:val="22"/>
          <w:szCs w:val="22"/>
          <w:lang w:val="en-US"/>
        </w:rPr>
        <w:t xml:space="preserve">. </w:t>
      </w:r>
      <w:r w:rsidRPr="005B0AF4">
        <w:rPr>
          <w:rFonts w:ascii="Palatino Linotype" w:eastAsia="Palatino Linotype" w:hAnsi="Palatino Linotype" w:cs="Palatino Linotype"/>
          <w:sz w:val="22"/>
          <w:szCs w:val="22"/>
          <w:lang w:val="en-US"/>
        </w:rPr>
        <w:t xml:space="preserve"> </w:t>
      </w:r>
      <w:r w:rsidRPr="005B0AF4">
        <w:rPr>
          <w:rFonts w:ascii="Palatino Linotype" w:eastAsia="Palatino Linotype" w:hAnsi="Palatino Linotype" w:cs="Palatino Linotype"/>
          <w:sz w:val="22"/>
          <w:szCs w:val="22"/>
        </w:rPr>
        <w:t>Se trata del oficio número 1226/MAIP/FGJ/2024 de fecha 31 de mayo de este año, en este archivo se incluyen los argumentos con motivo del Informe Justificado.</w:t>
      </w:r>
    </w:p>
    <w:p w14:paraId="7BFF0DDC" w14:textId="77777777" w:rsidR="003D34B1" w:rsidRPr="005B0AF4" w:rsidRDefault="003D34B1">
      <w:pPr>
        <w:pBdr>
          <w:top w:val="nil"/>
          <w:left w:val="nil"/>
          <w:bottom w:val="nil"/>
          <w:right w:val="nil"/>
          <w:between w:val="nil"/>
        </w:pBdr>
        <w:ind w:left="720"/>
        <w:rPr>
          <w:rFonts w:ascii="Palatino Linotype" w:eastAsia="Palatino Linotype" w:hAnsi="Palatino Linotype" w:cs="Palatino Linotype"/>
          <w:b/>
          <w:sz w:val="22"/>
          <w:szCs w:val="22"/>
        </w:rPr>
      </w:pPr>
    </w:p>
    <w:p w14:paraId="02C3ADD5" w14:textId="77777777" w:rsidR="003D34B1" w:rsidRPr="005B0AF4" w:rsidRDefault="00F50C64">
      <w:pPr>
        <w:numPr>
          <w:ilvl w:val="1"/>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Que cita el artículo 10 y 55 de la Ley Orgánica del Poder Judicial del Estado de México, en los cuales se señala que son prerrogativas y obligaciones de los magistrados, dictar, dentro de los plazos señalados por la ley, las resoluciones que provean legalmente las promociones de las partes, o las sentencias definitivas o interlocutorias en los negocios de su conocimiento. Asimismo, que son facultades y prerrogativas de los jueces, cumplir con la máxima diligencia las funciones o labores que deban realizar, al dirigir el desarrollo de los procesos;</w:t>
      </w:r>
    </w:p>
    <w:p w14:paraId="27F07010" w14:textId="77777777" w:rsidR="003D34B1" w:rsidRPr="005B0AF4" w:rsidRDefault="003D34B1">
      <w:pPr>
        <w:pBdr>
          <w:top w:val="nil"/>
          <w:left w:val="nil"/>
          <w:bottom w:val="nil"/>
          <w:right w:val="nil"/>
          <w:between w:val="nil"/>
        </w:pBdr>
        <w:spacing w:line="360" w:lineRule="auto"/>
        <w:ind w:left="1080" w:right="49"/>
        <w:jc w:val="both"/>
        <w:rPr>
          <w:rFonts w:ascii="Palatino Linotype" w:eastAsia="Palatino Linotype" w:hAnsi="Palatino Linotype" w:cs="Palatino Linotype"/>
          <w:sz w:val="22"/>
          <w:szCs w:val="22"/>
        </w:rPr>
      </w:pPr>
    </w:p>
    <w:p w14:paraId="4E07EBAF" w14:textId="77777777" w:rsidR="003D34B1" w:rsidRPr="005B0AF4" w:rsidRDefault="00F50C64">
      <w:pPr>
        <w:numPr>
          <w:ilvl w:val="1"/>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Que por tales razones, se advierte que la Fiscalía del Estado como </w:t>
      </w:r>
      <w:r w:rsidRPr="005B0AF4">
        <w:rPr>
          <w:rFonts w:ascii="Palatino Linotype" w:eastAsia="Palatino Linotype" w:hAnsi="Palatino Linotype" w:cs="Palatino Linotype"/>
          <w:b/>
          <w:sz w:val="22"/>
          <w:szCs w:val="22"/>
        </w:rPr>
        <w:t>Sujeto Obligado</w:t>
      </w:r>
      <w:r w:rsidRPr="005B0AF4">
        <w:rPr>
          <w:rFonts w:ascii="Palatino Linotype" w:eastAsia="Palatino Linotype" w:hAnsi="Palatino Linotype" w:cs="Palatino Linotype"/>
          <w:sz w:val="22"/>
          <w:szCs w:val="22"/>
        </w:rPr>
        <w:t xml:space="preserve">, no cuenta con la información a la cual pretende ingresar el ciudadano por no ser de su competencia, atendiendo al contenido del artículo 12 de la ley en la materia en el cual se precisa que los Sujetos Obligados únicamente proporcionaran la información que obra dentro de sus archivos, en el estado en el que ésta se encuentre sin que exista la necesidad de procesar cálculos o realizar investigaciones; y, </w:t>
      </w:r>
    </w:p>
    <w:p w14:paraId="20E96933" w14:textId="77777777" w:rsidR="003D34B1" w:rsidRPr="005B0AF4" w:rsidRDefault="003D34B1">
      <w:pPr>
        <w:pBdr>
          <w:top w:val="nil"/>
          <w:left w:val="nil"/>
          <w:bottom w:val="nil"/>
          <w:right w:val="nil"/>
          <w:between w:val="nil"/>
        </w:pBdr>
        <w:ind w:left="720"/>
        <w:rPr>
          <w:rFonts w:ascii="Palatino Linotype" w:eastAsia="Palatino Linotype" w:hAnsi="Palatino Linotype" w:cs="Palatino Linotype"/>
          <w:sz w:val="22"/>
          <w:szCs w:val="22"/>
        </w:rPr>
      </w:pPr>
    </w:p>
    <w:p w14:paraId="35758E16" w14:textId="77777777" w:rsidR="003D34B1" w:rsidRPr="005B0AF4" w:rsidRDefault="00F50C64">
      <w:pPr>
        <w:numPr>
          <w:ilvl w:val="1"/>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También se señala, que se atendió el Derecho de Acceso a la Información del particular en términos de lo que establece el artículo 6 de la Constitución general. Sin omitir que, de acuerdo a la información proporcionada en el Informe Justificado se dan por atendidos los motivos de inconformidad del particular. </w:t>
      </w:r>
    </w:p>
    <w:p w14:paraId="79D8C38C" w14:textId="77777777" w:rsidR="003D34B1" w:rsidRPr="005B0AF4" w:rsidRDefault="003D34B1">
      <w:pPr>
        <w:pBdr>
          <w:top w:val="nil"/>
          <w:left w:val="nil"/>
          <w:bottom w:val="nil"/>
          <w:right w:val="nil"/>
          <w:between w:val="nil"/>
        </w:pBdr>
        <w:ind w:left="720"/>
        <w:rPr>
          <w:rFonts w:ascii="Palatino Linotype" w:eastAsia="Palatino Linotype" w:hAnsi="Palatino Linotype" w:cs="Palatino Linotype"/>
          <w:sz w:val="22"/>
          <w:szCs w:val="22"/>
        </w:rPr>
      </w:pPr>
    </w:p>
    <w:p w14:paraId="0BD2BEBC" w14:textId="77777777" w:rsidR="003D34B1" w:rsidRPr="005B0AF4" w:rsidRDefault="00F50C64">
      <w:pPr>
        <w:spacing w:before="240" w:after="240" w:line="360" w:lineRule="auto"/>
        <w:ind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lastRenderedPageBreak/>
        <w:t xml:space="preserve">Documentos que fueron notificados a la parte </w:t>
      </w:r>
      <w:r w:rsidRPr="005B0AF4">
        <w:rPr>
          <w:rFonts w:ascii="Palatino Linotype" w:eastAsia="Palatino Linotype" w:hAnsi="Palatino Linotype" w:cs="Palatino Linotype"/>
          <w:b/>
          <w:sz w:val="22"/>
          <w:szCs w:val="22"/>
        </w:rPr>
        <w:t xml:space="preserve">Recurrente </w:t>
      </w:r>
      <w:r w:rsidRPr="005B0AF4">
        <w:rPr>
          <w:rFonts w:ascii="Palatino Linotype" w:eastAsia="Palatino Linotype" w:hAnsi="Palatino Linotype" w:cs="Palatino Linotype"/>
          <w:sz w:val="22"/>
          <w:szCs w:val="22"/>
        </w:rPr>
        <w:t xml:space="preserve">para su conocimiento, </w:t>
      </w:r>
      <w:r w:rsidRPr="005B0AF4">
        <w:rPr>
          <w:rFonts w:ascii="Palatino Linotype" w:eastAsia="Palatino Linotype" w:hAnsi="Palatino Linotype" w:cs="Palatino Linotype"/>
          <w:b/>
          <w:sz w:val="22"/>
          <w:szCs w:val="22"/>
        </w:rPr>
        <w:t xml:space="preserve"> </w:t>
      </w:r>
      <w:r w:rsidRPr="005B0AF4">
        <w:rPr>
          <w:rFonts w:ascii="Palatino Linotype" w:eastAsia="Palatino Linotype" w:hAnsi="Palatino Linotype" w:cs="Palatino Linotype"/>
          <w:sz w:val="22"/>
          <w:szCs w:val="22"/>
        </w:rPr>
        <w:t xml:space="preserve">el dos de octubre de dos mil veinticuatro. </w:t>
      </w:r>
    </w:p>
    <w:p w14:paraId="2EEBE2ED"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b/>
          <w:sz w:val="22"/>
          <w:szCs w:val="22"/>
        </w:rPr>
        <w:t>7. Ampliación del término para resolver</w:t>
      </w:r>
      <w:r w:rsidRPr="005B0AF4">
        <w:rPr>
          <w:rFonts w:ascii="Palatino Linotype" w:eastAsia="Palatino Linotype" w:hAnsi="Palatino Linotype" w:cs="Palatino Linotype"/>
          <w:sz w:val="22"/>
          <w:szCs w:val="22"/>
        </w:rPr>
        <w:t xml:space="preserve">. El </w:t>
      </w:r>
      <w:r w:rsidRPr="005B0AF4">
        <w:rPr>
          <w:rFonts w:ascii="Palatino Linotype" w:eastAsia="Palatino Linotype" w:hAnsi="Palatino Linotype" w:cs="Palatino Linotype"/>
          <w:b/>
          <w:sz w:val="22"/>
          <w:szCs w:val="22"/>
        </w:rPr>
        <w:t>dos de octubre de dos mil veinticuatro</w:t>
      </w:r>
      <w:r w:rsidRPr="005B0AF4">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2A6D7384"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3F56B7D"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92980C3"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3D9754"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E326DD" w14:textId="77777777" w:rsidR="003D34B1" w:rsidRPr="005B0AF4" w:rsidRDefault="00F50C64">
      <w:pPr>
        <w:spacing w:before="240" w:after="240" w:line="360" w:lineRule="auto"/>
        <w:jc w:val="both"/>
        <w:rPr>
          <w:rFonts w:ascii="Palatino Linotype" w:eastAsia="Palatino Linotype" w:hAnsi="Palatino Linotype" w:cs="Palatino Linotype"/>
          <w:strike/>
          <w:sz w:val="22"/>
          <w:szCs w:val="22"/>
        </w:rPr>
      </w:pPr>
      <w:r w:rsidRPr="005B0AF4">
        <w:rPr>
          <w:rFonts w:ascii="Palatino Linotype" w:eastAsia="Palatino Linotype" w:hAnsi="Palatino Linotype" w:cs="Palatino Linotype"/>
          <w:sz w:val="22"/>
          <w:szCs w:val="22"/>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E56D2B6" w14:textId="77777777" w:rsidR="003D34B1" w:rsidRPr="005B0AF4" w:rsidRDefault="00F50C64">
      <w:pPr>
        <w:numPr>
          <w:ilvl w:val="0"/>
          <w:numId w:val="3"/>
        </w:num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73DE7591" w14:textId="77777777" w:rsidR="003D34B1" w:rsidRPr="005B0AF4" w:rsidRDefault="00F50C64">
      <w:pPr>
        <w:numPr>
          <w:ilvl w:val="0"/>
          <w:numId w:val="3"/>
        </w:num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Actividad Procesal del interesado. Acciones u omisiones del interesado.</w:t>
      </w:r>
    </w:p>
    <w:p w14:paraId="385139A2" w14:textId="77777777" w:rsidR="003D34B1" w:rsidRPr="005B0AF4" w:rsidRDefault="00F50C64">
      <w:pPr>
        <w:numPr>
          <w:ilvl w:val="0"/>
          <w:numId w:val="3"/>
        </w:num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1F1CBC5E" w14:textId="77777777" w:rsidR="003D34B1" w:rsidRPr="005B0AF4" w:rsidRDefault="00F50C64">
      <w:pPr>
        <w:spacing w:before="240" w:after="240" w:line="360" w:lineRule="auto"/>
        <w:ind w:left="567"/>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2C7324B0"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85332CD" w14:textId="77777777" w:rsidR="003D34B1" w:rsidRPr="005B0AF4" w:rsidRDefault="00F50C64">
      <w:pPr>
        <w:spacing w:before="240" w:after="240" w:line="360" w:lineRule="auto"/>
        <w:jc w:val="both"/>
        <w:rPr>
          <w:rFonts w:ascii="Palatino Linotype" w:eastAsia="Palatino Linotype" w:hAnsi="Palatino Linotype" w:cs="Palatino Linotype"/>
          <w:b/>
          <w:sz w:val="22"/>
          <w:szCs w:val="22"/>
        </w:rPr>
      </w:pPr>
      <w:r w:rsidRPr="005B0AF4">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5B0AF4">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5B0AF4">
        <w:rPr>
          <w:rFonts w:ascii="Palatino Linotype" w:eastAsia="Palatino Linotype" w:hAnsi="Palatino Linotype" w:cs="Palatino Linotype"/>
          <w:sz w:val="22"/>
          <w:szCs w:val="22"/>
        </w:rPr>
        <w:t>, visible en la Gaceta del Seminario Judicial de la Federación con el registro digital 205635.</w:t>
      </w:r>
    </w:p>
    <w:p w14:paraId="0AD0CB87"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1CA07C"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0456F7D" w14:textId="77777777" w:rsidR="003D34B1" w:rsidRPr="005B0AF4" w:rsidRDefault="00F50C64">
      <w:pPr>
        <w:spacing w:before="240" w:after="240"/>
        <w:ind w:left="851" w:right="902"/>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 </w:t>
      </w:r>
      <w:r w:rsidRPr="005B0AF4">
        <w:rPr>
          <w:rFonts w:ascii="Palatino Linotype" w:eastAsia="Palatino Linotype" w:hAnsi="Palatino Linotype" w:cs="Palatino Linotype"/>
          <w:i/>
          <w:sz w:val="22"/>
          <w:szCs w:val="22"/>
        </w:rPr>
        <w:t>“</w:t>
      </w:r>
      <w:r w:rsidRPr="005B0AF4">
        <w:rPr>
          <w:rFonts w:ascii="Palatino Linotype" w:eastAsia="Palatino Linotype" w:hAnsi="Palatino Linotype" w:cs="Palatino Linotype"/>
          <w:b/>
          <w:i/>
          <w:sz w:val="22"/>
          <w:szCs w:val="22"/>
        </w:rPr>
        <w:t>PLAZO RAZONABLE PARA RESOLVER. DIMENSIÓN Y EFECTOS DE ESTE CONCEPTO CUANDO SE ADUCE EXCESIVA CARGA DE TRABAJO</w:t>
      </w:r>
      <w:r w:rsidRPr="005B0AF4">
        <w:rPr>
          <w:rFonts w:ascii="Palatino Linotype" w:eastAsia="Palatino Linotype" w:hAnsi="Palatino Linotype" w:cs="Palatino Linotype"/>
          <w:i/>
          <w:sz w:val="22"/>
          <w:szCs w:val="22"/>
        </w:rPr>
        <w:t>.”</w:t>
      </w:r>
      <w:r w:rsidRPr="005B0AF4">
        <w:rPr>
          <w:rFonts w:ascii="Palatino Linotype" w:eastAsia="Palatino Linotype" w:hAnsi="Palatino Linotype" w:cs="Palatino Linotype"/>
          <w:sz w:val="22"/>
          <w:szCs w:val="22"/>
        </w:rPr>
        <w:t xml:space="preserve"> consultable en el Seminario Judicial de la Federación y su gaceta, con el registro digital 2002351.</w:t>
      </w:r>
    </w:p>
    <w:p w14:paraId="32D30253" w14:textId="77777777" w:rsidR="003D34B1" w:rsidRPr="005B0AF4" w:rsidRDefault="00F50C64">
      <w:pPr>
        <w:spacing w:before="240" w:after="240"/>
        <w:ind w:left="851" w:right="902"/>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i/>
          <w:sz w:val="22"/>
          <w:szCs w:val="22"/>
        </w:rPr>
        <w:t>“</w:t>
      </w:r>
      <w:r w:rsidRPr="005B0AF4">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5B0AF4">
        <w:rPr>
          <w:rFonts w:ascii="Palatino Linotype" w:eastAsia="Palatino Linotype" w:hAnsi="Palatino Linotype" w:cs="Palatino Linotype"/>
          <w:i/>
          <w:sz w:val="22"/>
          <w:szCs w:val="22"/>
        </w:rPr>
        <w:t>.”</w:t>
      </w:r>
      <w:r w:rsidRPr="005B0AF4">
        <w:rPr>
          <w:rFonts w:ascii="Palatino Linotype" w:eastAsia="Palatino Linotype" w:hAnsi="Palatino Linotype" w:cs="Palatino Linotype"/>
          <w:sz w:val="22"/>
          <w:szCs w:val="22"/>
        </w:rPr>
        <w:t>, visible en el Seminario Judicial de la Federación y su gaceta, con el registro digital 2002350.</w:t>
      </w:r>
    </w:p>
    <w:p w14:paraId="640D03FD"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25EF8F2"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b/>
          <w:sz w:val="22"/>
          <w:szCs w:val="22"/>
        </w:rPr>
        <w:t xml:space="preserve">8. Cierre de instrucción. </w:t>
      </w:r>
      <w:r w:rsidRPr="005B0AF4">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5B0AF4">
        <w:rPr>
          <w:rFonts w:ascii="Palatino Linotype" w:eastAsia="Palatino Linotype" w:hAnsi="Palatino Linotype" w:cs="Palatino Linotype"/>
          <w:b/>
          <w:sz w:val="22"/>
          <w:szCs w:val="22"/>
        </w:rPr>
        <w:t>ocho de octubre de dos mil veinticuatro</w:t>
      </w:r>
      <w:r w:rsidRPr="005B0AF4">
        <w:rPr>
          <w:rFonts w:ascii="Palatino Linotype" w:eastAsia="Palatino Linotype" w:hAnsi="Palatino Linotype" w:cs="Palatino Linotype"/>
          <w:sz w:val="22"/>
          <w:szCs w:val="22"/>
        </w:rPr>
        <w:t xml:space="preserve">, la Comisionada Ponente determinó el cierre de </w:t>
      </w:r>
      <w:r w:rsidRPr="005B0AF4">
        <w:rPr>
          <w:rFonts w:ascii="Palatino Linotype" w:eastAsia="Palatino Linotype" w:hAnsi="Palatino Linotype" w:cs="Palatino Linotype"/>
          <w:sz w:val="22"/>
          <w:szCs w:val="22"/>
        </w:rPr>
        <w:lastRenderedPageBreak/>
        <w:t>instrucción en términos de la fracción VI del artículo 185 de la Ley de Transparencia y Acceso a la Información Pública del Estado de México y Municipios</w:t>
      </w:r>
    </w:p>
    <w:p w14:paraId="7081354D"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7E6BF90" w14:textId="77777777" w:rsidR="003D34B1" w:rsidRPr="005B0AF4" w:rsidRDefault="00F50C64">
      <w:pPr>
        <w:widowControl w:val="0"/>
        <w:spacing w:before="240" w:after="240" w:line="360" w:lineRule="auto"/>
        <w:jc w:val="center"/>
        <w:rPr>
          <w:rFonts w:ascii="Palatino Linotype" w:eastAsia="Palatino Linotype" w:hAnsi="Palatino Linotype" w:cs="Palatino Linotype"/>
          <w:b/>
          <w:sz w:val="22"/>
          <w:szCs w:val="22"/>
        </w:rPr>
      </w:pPr>
      <w:r w:rsidRPr="005B0AF4">
        <w:rPr>
          <w:rFonts w:ascii="Palatino Linotype" w:eastAsia="Palatino Linotype" w:hAnsi="Palatino Linotype" w:cs="Palatino Linotype"/>
          <w:b/>
          <w:sz w:val="22"/>
          <w:szCs w:val="22"/>
        </w:rPr>
        <w:t>II. C O N S I D E R A N D O S</w:t>
      </w:r>
    </w:p>
    <w:p w14:paraId="5A4FC310"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b/>
          <w:sz w:val="22"/>
          <w:szCs w:val="22"/>
        </w:rPr>
        <w:t>Primero. Competencia.</w:t>
      </w:r>
      <w:r w:rsidRPr="005B0AF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w:t>
      </w:r>
      <w:r w:rsidRPr="005B0AF4">
        <w:rPr>
          <w:rFonts w:ascii="Palatino Linotype" w:eastAsia="Palatino Linotype" w:hAnsi="Palatino Linotype" w:cs="Palatino Linotype"/>
          <w:b/>
          <w:sz w:val="22"/>
          <w:szCs w:val="22"/>
        </w:rPr>
        <w:t>Recurrente</w:t>
      </w:r>
      <w:r w:rsidRPr="005B0AF4">
        <w:rPr>
          <w:rFonts w:ascii="Palatino Linotype" w:eastAsia="Palatino Linotype" w:hAnsi="Palatino Linotype" w:cs="Palatino Linotype"/>
          <w:sz w:val="22"/>
          <w:szCs w:val="22"/>
        </w:rPr>
        <w:t>,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0FB2F27"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5B0AF4">
        <w:rPr>
          <w:rFonts w:ascii="Palatino Linotype" w:eastAsia="Palatino Linotype" w:hAnsi="Palatino Linotype" w:cs="Palatino Linotype"/>
          <w:b/>
          <w:sz w:val="22"/>
          <w:szCs w:val="22"/>
        </w:rPr>
        <w:t>Segundo. Oportunidad y Procedibilidad del Recurso de Revisión</w:t>
      </w:r>
      <w:r w:rsidRPr="005B0AF4">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F4CCC0C"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5B0AF4">
        <w:rPr>
          <w:rFonts w:ascii="Palatino Linotype" w:eastAsia="Palatino Linotype" w:hAnsi="Palatino Linotype" w:cs="Palatino Linotype"/>
          <w:b/>
          <w:sz w:val="22"/>
          <w:szCs w:val="22"/>
        </w:rPr>
        <w:t xml:space="preserve">Sujeto Obligado </w:t>
      </w:r>
      <w:r w:rsidRPr="005B0AF4">
        <w:rPr>
          <w:rFonts w:ascii="Palatino Linotype" w:eastAsia="Palatino Linotype" w:hAnsi="Palatino Linotype" w:cs="Palatino Linotype"/>
          <w:sz w:val="22"/>
          <w:szCs w:val="22"/>
        </w:rPr>
        <w:t xml:space="preserve">remitió la respuesta a la solicitud de </w:t>
      </w:r>
      <w:r w:rsidRPr="005B0AF4">
        <w:rPr>
          <w:rFonts w:ascii="Palatino Linotype" w:eastAsia="Palatino Linotype" w:hAnsi="Palatino Linotype" w:cs="Palatino Linotype"/>
          <w:sz w:val="22"/>
          <w:szCs w:val="22"/>
        </w:rPr>
        <w:lastRenderedPageBreak/>
        <w:t xml:space="preserve">información el día </w:t>
      </w:r>
      <w:r w:rsidRPr="005B0AF4">
        <w:rPr>
          <w:rFonts w:ascii="Palatino Linotype" w:eastAsia="Palatino Linotype" w:hAnsi="Palatino Linotype" w:cs="Palatino Linotype"/>
          <w:b/>
          <w:sz w:val="22"/>
          <w:szCs w:val="22"/>
        </w:rPr>
        <w:t>trece de mayo de dos mil veinticuatro</w:t>
      </w:r>
      <w:r w:rsidRPr="005B0AF4">
        <w:rPr>
          <w:rFonts w:ascii="Palatino Linotype" w:eastAsia="Palatino Linotype" w:hAnsi="Palatino Linotype" w:cs="Palatino Linotype"/>
          <w:sz w:val="22"/>
          <w:szCs w:val="22"/>
        </w:rPr>
        <w:t>,</w:t>
      </w:r>
      <w:r w:rsidRPr="005B0AF4">
        <w:rPr>
          <w:rFonts w:ascii="Palatino Linotype" w:eastAsia="Palatino Linotype" w:hAnsi="Palatino Linotype" w:cs="Palatino Linotype"/>
          <w:b/>
          <w:sz w:val="22"/>
          <w:szCs w:val="22"/>
        </w:rPr>
        <w:t xml:space="preserve"> </w:t>
      </w:r>
      <w:r w:rsidRPr="005B0AF4">
        <w:rPr>
          <w:rFonts w:ascii="Palatino Linotype" w:eastAsia="Palatino Linotype" w:hAnsi="Palatino Linotype" w:cs="Palatino Linotype"/>
          <w:sz w:val="22"/>
          <w:szCs w:val="22"/>
        </w:rPr>
        <w:t xml:space="preserve">mientras que el recurso de revisión interpuesto por la parte </w:t>
      </w:r>
      <w:r w:rsidRPr="005B0AF4">
        <w:rPr>
          <w:rFonts w:ascii="Palatino Linotype" w:eastAsia="Palatino Linotype" w:hAnsi="Palatino Linotype" w:cs="Palatino Linotype"/>
          <w:b/>
          <w:sz w:val="22"/>
          <w:szCs w:val="22"/>
        </w:rPr>
        <w:t>Recurrente</w:t>
      </w:r>
      <w:r w:rsidRPr="005B0AF4">
        <w:rPr>
          <w:rFonts w:ascii="Palatino Linotype" w:eastAsia="Palatino Linotype" w:hAnsi="Palatino Linotype" w:cs="Palatino Linotype"/>
          <w:sz w:val="22"/>
          <w:szCs w:val="22"/>
        </w:rPr>
        <w:t xml:space="preserve">, se tuvo por presentado el día </w:t>
      </w:r>
      <w:r w:rsidRPr="005B0AF4">
        <w:rPr>
          <w:rFonts w:ascii="Palatino Linotype" w:eastAsia="Palatino Linotype" w:hAnsi="Palatino Linotype" w:cs="Palatino Linotype"/>
          <w:b/>
          <w:sz w:val="22"/>
          <w:szCs w:val="22"/>
        </w:rPr>
        <w:t>diecisiete de mayo de dos mil veinticuatro</w:t>
      </w:r>
      <w:r w:rsidRPr="005B0AF4">
        <w:rPr>
          <w:rFonts w:ascii="Palatino Linotype" w:eastAsia="Palatino Linotype" w:hAnsi="Palatino Linotype" w:cs="Palatino Linotype"/>
          <w:sz w:val="22"/>
          <w:szCs w:val="22"/>
        </w:rPr>
        <w:t>, esto es al cuarto día hábil siguiente en que tuvo conocimiento de la respuesta impugnada. En este sentido, se concluye que el presente recurso de revisión se encuentra dentro de los márgenes temporales previstos en las disposiciones legales referidas.</w:t>
      </w:r>
    </w:p>
    <w:p w14:paraId="403CE33E"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5B0AF4">
        <w:rPr>
          <w:rFonts w:ascii="Palatino Linotype" w:eastAsia="Palatino Linotype" w:hAnsi="Palatino Linotype" w:cs="Palatino Linotype"/>
          <w:sz w:val="22"/>
          <w:szCs w:val="22"/>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AE6972A"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5B0AF4">
        <w:rPr>
          <w:rFonts w:ascii="Palatino Linotype" w:eastAsia="Palatino Linotype" w:hAnsi="Palatino Linotype" w:cs="Palatino Linotype"/>
          <w:b/>
          <w:sz w:val="22"/>
          <w:szCs w:val="22"/>
        </w:rPr>
        <w:t>Recurrente</w:t>
      </w:r>
      <w:r w:rsidRPr="005B0AF4">
        <w:rPr>
          <w:rFonts w:ascii="Palatino Linotype" w:eastAsia="Palatino Linotype" w:hAnsi="Palatino Linotype" w:cs="Palatino Linotype"/>
          <w:sz w:val="22"/>
          <w:szCs w:val="22"/>
        </w:rPr>
        <w:t xml:space="preserve"> en sus motivos de inconformidad, de acuerdo al artículo 179, fracción IV del ordenamiento legal citado, que a la letra dice: </w:t>
      </w:r>
    </w:p>
    <w:p w14:paraId="7B4217B2" w14:textId="77777777" w:rsidR="003D34B1" w:rsidRPr="005B0AF4" w:rsidRDefault="00F50C64">
      <w:pPr>
        <w:spacing w:before="120" w:after="120"/>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r w:rsidRPr="005B0AF4">
        <w:rPr>
          <w:rFonts w:ascii="Palatino Linotype" w:eastAsia="Palatino Linotype" w:hAnsi="Palatino Linotype" w:cs="Palatino Linotype"/>
          <w:b/>
          <w:i/>
          <w:sz w:val="22"/>
          <w:szCs w:val="22"/>
        </w:rPr>
        <w:t>Artículo 179.</w:t>
      </w:r>
      <w:r w:rsidRPr="005B0AF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194082B" w14:textId="77777777" w:rsidR="003D34B1" w:rsidRPr="005B0AF4" w:rsidRDefault="00F50C64">
      <w:pPr>
        <w:spacing w:before="120" w:after="120"/>
        <w:ind w:left="1134" w:right="900"/>
        <w:jc w:val="both"/>
        <w:rPr>
          <w:rFonts w:ascii="Palatino Linotype" w:eastAsia="Palatino Linotype" w:hAnsi="Palatino Linotype" w:cs="Palatino Linotype"/>
          <w:b/>
          <w:i/>
          <w:sz w:val="22"/>
          <w:szCs w:val="22"/>
        </w:rPr>
      </w:pPr>
      <w:r w:rsidRPr="005B0AF4">
        <w:rPr>
          <w:rFonts w:ascii="Palatino Linotype" w:eastAsia="Palatino Linotype" w:hAnsi="Palatino Linotype" w:cs="Palatino Linotype"/>
          <w:b/>
          <w:i/>
          <w:sz w:val="22"/>
          <w:szCs w:val="22"/>
        </w:rPr>
        <w:t>…</w:t>
      </w:r>
    </w:p>
    <w:p w14:paraId="170A20E1" w14:textId="77777777" w:rsidR="003D34B1" w:rsidRPr="005B0AF4" w:rsidRDefault="00F50C64">
      <w:pPr>
        <w:spacing w:before="120" w:after="120"/>
        <w:ind w:left="1134" w:right="90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IV. La declaración de incompetencia por el sujeto obligado;</w:t>
      </w:r>
      <w:r w:rsidRPr="005B0AF4">
        <w:rPr>
          <w:rFonts w:ascii="Palatino Linotype" w:eastAsia="Palatino Linotype" w:hAnsi="Palatino Linotype" w:cs="Palatino Linotype"/>
          <w:i/>
          <w:sz w:val="22"/>
          <w:szCs w:val="22"/>
        </w:rPr>
        <w:t>”</w:t>
      </w:r>
    </w:p>
    <w:p w14:paraId="7A9C279C" w14:textId="77777777" w:rsidR="003D34B1" w:rsidRPr="005B0AF4" w:rsidRDefault="00F50C64">
      <w:pPr>
        <w:spacing w:before="240" w:after="240" w:line="360" w:lineRule="auto"/>
        <w:jc w:val="both"/>
        <w:rPr>
          <w:rFonts w:ascii="Palatino Linotype" w:eastAsia="Palatino Linotype" w:hAnsi="Palatino Linotype" w:cs="Palatino Linotype"/>
          <w:b/>
          <w:sz w:val="22"/>
          <w:szCs w:val="22"/>
        </w:rPr>
      </w:pPr>
      <w:r w:rsidRPr="005B0AF4">
        <w:rPr>
          <w:rFonts w:ascii="Palatino Linotype" w:eastAsia="Palatino Linotype" w:hAnsi="Palatino Linotype" w:cs="Palatino Linotype"/>
          <w:b/>
          <w:sz w:val="22"/>
          <w:szCs w:val="22"/>
        </w:rPr>
        <w:t xml:space="preserve">Tercero. Materia de la revisión. </w:t>
      </w:r>
      <w:r w:rsidRPr="005B0AF4">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B0AF4">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5B0AF4">
        <w:rPr>
          <w:rFonts w:ascii="Palatino Linotype" w:eastAsia="Palatino Linotype" w:hAnsi="Palatino Linotype" w:cs="Palatino Linotype"/>
          <w:sz w:val="22"/>
          <w:szCs w:val="22"/>
        </w:rPr>
        <w:t xml:space="preserve">de la parte </w:t>
      </w:r>
      <w:r w:rsidRPr="005B0AF4">
        <w:rPr>
          <w:rFonts w:ascii="Palatino Linotype" w:eastAsia="Palatino Linotype" w:hAnsi="Palatino Linotype" w:cs="Palatino Linotype"/>
          <w:b/>
          <w:sz w:val="22"/>
          <w:szCs w:val="22"/>
        </w:rPr>
        <w:t>Recurrente</w:t>
      </w:r>
      <w:r w:rsidRPr="005B0AF4">
        <w:rPr>
          <w:rFonts w:ascii="Palatino Linotype" w:eastAsia="Palatino Linotype" w:hAnsi="Palatino Linotype" w:cs="Palatino Linotype"/>
          <w:sz w:val="22"/>
          <w:szCs w:val="22"/>
        </w:rPr>
        <w:t>, o en su defecto, en caso de ser procedente, ordenar la entrega de información.</w:t>
      </w:r>
    </w:p>
    <w:p w14:paraId="53A87DA3"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5B0AF4">
        <w:rPr>
          <w:rFonts w:ascii="Palatino Linotype" w:eastAsia="Palatino Linotype" w:hAnsi="Palatino Linotype" w:cs="Palatino Linotype"/>
          <w:b/>
          <w:sz w:val="22"/>
          <w:szCs w:val="22"/>
        </w:rPr>
        <w:lastRenderedPageBreak/>
        <w:t xml:space="preserve">Cuarto. Estudio del asunto. </w:t>
      </w:r>
      <w:r w:rsidRPr="005B0AF4">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1E8BAB3" w14:textId="77777777" w:rsidR="003D34B1" w:rsidRPr="005B0AF4" w:rsidRDefault="00F50C64">
      <w:pPr>
        <w:spacing w:before="120" w:after="120"/>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r w:rsidRPr="005B0AF4">
        <w:rPr>
          <w:rFonts w:ascii="Palatino Linotype" w:eastAsia="Palatino Linotype" w:hAnsi="Palatino Linotype" w:cs="Palatino Linotype"/>
          <w:b/>
          <w:i/>
          <w:sz w:val="22"/>
          <w:szCs w:val="22"/>
        </w:rPr>
        <w:t>Artículo 4</w:t>
      </w:r>
      <w:r w:rsidRPr="005B0AF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84F0864" w14:textId="77777777" w:rsidR="003D34B1" w:rsidRPr="005B0AF4" w:rsidRDefault="00F50C64">
      <w:pPr>
        <w:spacing w:before="120" w:after="120"/>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B0AF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B01DA57" w14:textId="77777777" w:rsidR="003D34B1" w:rsidRPr="005B0AF4" w:rsidRDefault="00F50C64">
      <w:pPr>
        <w:spacing w:before="120" w:after="120"/>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B0AF4">
        <w:rPr>
          <w:rFonts w:ascii="Palatino Linotype" w:eastAsia="Palatino Linotype" w:hAnsi="Palatino Linotype" w:cs="Palatino Linotype"/>
          <w:i/>
          <w:sz w:val="22"/>
          <w:szCs w:val="22"/>
        </w:rPr>
        <w:t>.”</w:t>
      </w:r>
    </w:p>
    <w:p w14:paraId="41222FAB"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w:t>
      </w:r>
      <w:r w:rsidRPr="005B0AF4">
        <w:rPr>
          <w:rFonts w:ascii="Palatino Linotype" w:eastAsia="Palatino Linotype" w:hAnsi="Palatino Linotype" w:cs="Palatino Linotype"/>
          <w:sz w:val="22"/>
          <w:szCs w:val="22"/>
        </w:rPr>
        <w:lastRenderedPageBreak/>
        <w:t>establece el artículo 12 de la Ley de Transparencia y Acceso a la Información Pública del Estado de México y Municipios, que a la letra dice:</w:t>
      </w:r>
    </w:p>
    <w:p w14:paraId="578B9AE5" w14:textId="77777777" w:rsidR="003D34B1" w:rsidRPr="005B0AF4" w:rsidRDefault="00F50C64">
      <w:pPr>
        <w:spacing w:before="120" w:after="120"/>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“Artículo 12.-</w:t>
      </w:r>
      <w:r w:rsidRPr="005B0AF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1C232FD" w14:textId="77777777" w:rsidR="003D34B1" w:rsidRPr="005B0AF4" w:rsidRDefault="00F50C64">
      <w:pPr>
        <w:spacing w:before="120" w:after="120"/>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B0AF4">
        <w:rPr>
          <w:rFonts w:ascii="Palatino Linotype" w:eastAsia="Palatino Linotype" w:hAnsi="Palatino Linotype" w:cs="Palatino Linotype"/>
          <w:i/>
          <w:sz w:val="22"/>
          <w:szCs w:val="22"/>
        </w:rPr>
        <w:t xml:space="preserve">. </w:t>
      </w:r>
      <w:r w:rsidRPr="005B0AF4">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322AC7B0" w14:textId="77777777" w:rsidR="003D34B1" w:rsidRPr="005B0AF4" w:rsidRDefault="00F50C64">
      <w:pPr>
        <w:spacing w:before="240" w:after="240" w:line="360" w:lineRule="auto"/>
        <w:ind w:right="-93"/>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Es decir, que todo </w:t>
      </w:r>
      <w:r w:rsidRPr="005B0AF4">
        <w:rPr>
          <w:rFonts w:ascii="Palatino Linotype" w:eastAsia="Palatino Linotype" w:hAnsi="Palatino Linotype" w:cs="Palatino Linotype"/>
          <w:b/>
          <w:sz w:val="22"/>
          <w:szCs w:val="22"/>
        </w:rPr>
        <w:t>SUJETO OBLIGADO</w:t>
      </w:r>
      <w:r w:rsidRPr="005B0AF4">
        <w:rPr>
          <w:rFonts w:ascii="Palatino Linotype" w:eastAsia="Palatino Linotype" w:hAnsi="Palatino Linotype" w:cs="Palatino Linotype"/>
          <w:sz w:val="22"/>
          <w:szCs w:val="22"/>
        </w:rPr>
        <w:t xml:space="preserve">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2E3B721F" w14:textId="77777777" w:rsidR="003D34B1" w:rsidRPr="005B0AF4" w:rsidRDefault="00F50C64">
      <w:pPr>
        <w:spacing w:before="240" w:after="240" w:line="360" w:lineRule="auto"/>
        <w:jc w:val="both"/>
        <w:rPr>
          <w:rFonts w:ascii="Palatino Linotype" w:eastAsia="Palatino Linotype" w:hAnsi="Palatino Linotype" w:cs="Palatino Linotype"/>
          <w:b/>
          <w:sz w:val="22"/>
          <w:szCs w:val="22"/>
        </w:rPr>
      </w:pPr>
      <w:r w:rsidRPr="005B0AF4">
        <w:rPr>
          <w:rFonts w:ascii="Palatino Linotype" w:eastAsia="Palatino Linotype" w:hAnsi="Palatino Linotype" w:cs="Palatino Linotype"/>
          <w:sz w:val="22"/>
          <w:szCs w:val="22"/>
        </w:rPr>
        <w:t>Sirve de apoyo a lo anterior, el Criterio de Interpretación, con clave de control número SO/003/2017, emitido por el Instituto Nacional de Transparencia, Acceso a la Información y Protección de Datos Personales, que por rubro y texto, dispone lo siguiente:</w:t>
      </w:r>
      <w:r w:rsidRPr="005B0AF4">
        <w:rPr>
          <w:rFonts w:ascii="Palatino Linotype" w:eastAsia="Palatino Linotype" w:hAnsi="Palatino Linotype" w:cs="Palatino Linotype"/>
          <w:b/>
          <w:sz w:val="22"/>
          <w:szCs w:val="22"/>
        </w:rPr>
        <w:t xml:space="preserve"> </w:t>
      </w:r>
    </w:p>
    <w:p w14:paraId="3995D82B" w14:textId="77777777" w:rsidR="003D34B1" w:rsidRPr="005B0AF4" w:rsidRDefault="00F50C64">
      <w:pPr>
        <w:spacing w:before="120" w:after="120"/>
        <w:ind w:left="1134"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r w:rsidRPr="005B0AF4">
        <w:rPr>
          <w:rFonts w:ascii="Palatino Linotype" w:eastAsia="Palatino Linotype" w:hAnsi="Palatino Linotype" w:cs="Palatino Linotype"/>
          <w:b/>
          <w:i/>
          <w:sz w:val="22"/>
          <w:szCs w:val="22"/>
        </w:rPr>
        <w:t>No existe obligación de elaborar documentos ad hoc para atender las solicitudes de acceso a la información.</w:t>
      </w:r>
      <w:r w:rsidRPr="005B0AF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w:t>
      </w:r>
      <w:r w:rsidRPr="005B0AF4">
        <w:rPr>
          <w:rFonts w:ascii="Palatino Linotype" w:eastAsia="Palatino Linotype" w:hAnsi="Palatino Linotype" w:cs="Palatino Linotype"/>
          <w:i/>
          <w:sz w:val="22"/>
          <w:szCs w:val="22"/>
        </w:rPr>
        <w:lastRenderedPageBreak/>
        <w:t>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4492B958" w14:textId="77777777" w:rsidR="003D34B1" w:rsidRPr="005B0AF4" w:rsidRDefault="00F50C64">
      <w:pPr>
        <w:spacing w:before="120" w:after="12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BDD48FF" w14:textId="77777777" w:rsidR="003D34B1" w:rsidRPr="005B0AF4" w:rsidRDefault="00F50C64">
      <w:pPr>
        <w:spacing w:before="120" w:after="12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3464B49" w14:textId="77777777" w:rsidR="003D34B1" w:rsidRPr="005B0AF4" w:rsidRDefault="00F50C64">
      <w:pPr>
        <w:spacing w:before="120" w:after="120"/>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r w:rsidRPr="005B0AF4">
        <w:rPr>
          <w:rFonts w:ascii="Palatino Linotype" w:eastAsia="Palatino Linotype" w:hAnsi="Palatino Linotype" w:cs="Palatino Linotype"/>
          <w:b/>
          <w:i/>
          <w:sz w:val="22"/>
          <w:szCs w:val="22"/>
        </w:rPr>
        <w:t xml:space="preserve">Artículo 3. </w:t>
      </w:r>
      <w:r w:rsidRPr="005B0AF4">
        <w:rPr>
          <w:rFonts w:ascii="Palatino Linotype" w:eastAsia="Palatino Linotype" w:hAnsi="Palatino Linotype" w:cs="Palatino Linotype"/>
          <w:i/>
          <w:sz w:val="22"/>
          <w:szCs w:val="22"/>
        </w:rPr>
        <w:t>Para los efectos de la presente Ley se entenderá por:</w:t>
      </w:r>
    </w:p>
    <w:p w14:paraId="3AC2F188" w14:textId="77777777" w:rsidR="003D34B1" w:rsidRPr="005B0AF4" w:rsidRDefault="00F50C64">
      <w:pPr>
        <w:spacing w:before="120" w:after="120"/>
        <w:ind w:left="1134"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p>
    <w:p w14:paraId="63B8C938" w14:textId="77777777" w:rsidR="003D34B1" w:rsidRPr="005B0AF4" w:rsidRDefault="00F50C64">
      <w:pPr>
        <w:spacing w:before="120" w:after="120"/>
        <w:ind w:left="1134"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XI. Documento:</w:t>
      </w:r>
      <w:r w:rsidRPr="005B0AF4">
        <w:rPr>
          <w:rFonts w:ascii="Palatino Linotype" w:eastAsia="Palatino Linotype" w:hAnsi="Palatino Linotype" w:cs="Palatino Linotype"/>
          <w:i/>
          <w:sz w:val="22"/>
          <w:szCs w:val="22"/>
        </w:rPr>
        <w:t xml:space="preserve"> Los expedientes, reportes, estudios, actas</w:t>
      </w:r>
      <w:r w:rsidRPr="005B0AF4">
        <w:rPr>
          <w:rFonts w:ascii="Palatino Linotype" w:eastAsia="Palatino Linotype" w:hAnsi="Palatino Linotype" w:cs="Palatino Linotype"/>
          <w:b/>
          <w:i/>
          <w:sz w:val="22"/>
          <w:szCs w:val="22"/>
        </w:rPr>
        <w:t>,</w:t>
      </w:r>
      <w:r w:rsidRPr="005B0AF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30C5FE1"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Es aplicable, el Criterio de interpretación en el orden administrativo número 0002-11, emitido por Acuerdo del Pleno del Instituto de Transparencia y Acceso a la Información Pública del </w:t>
      </w:r>
      <w:r w:rsidRPr="005B0AF4">
        <w:rPr>
          <w:rFonts w:ascii="Palatino Linotype" w:eastAsia="Palatino Linotype" w:hAnsi="Palatino Linotype" w:cs="Palatino Linotype"/>
          <w:sz w:val="22"/>
          <w:szCs w:val="22"/>
        </w:rPr>
        <w:lastRenderedPageBreak/>
        <w:t>Estado de México y Municipios; publicado en el Periódico Oficial del Gobierno del Estado Libre y Soberano de México “Gaceta del Gobierno”, el diecinueve de octubre de dos mil once, cuyo rubro y texto refieren lo siguiente:</w:t>
      </w:r>
    </w:p>
    <w:p w14:paraId="4CC72237" w14:textId="77777777" w:rsidR="003D34B1" w:rsidRPr="005B0AF4" w:rsidRDefault="00F50C64">
      <w:pPr>
        <w:spacing w:before="120" w:after="120"/>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sz w:val="22"/>
          <w:szCs w:val="22"/>
        </w:rPr>
        <w:t>“</w:t>
      </w:r>
      <w:r w:rsidRPr="005B0AF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B0AF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E786BE7" w14:textId="77777777" w:rsidR="003D34B1" w:rsidRPr="005B0AF4" w:rsidRDefault="00F50C64">
      <w:pPr>
        <w:spacing w:before="120" w:after="120"/>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CD0412E" w14:textId="77777777" w:rsidR="003D34B1" w:rsidRPr="005B0AF4" w:rsidRDefault="00F50C64">
      <w:pPr>
        <w:spacing w:before="120" w:after="120"/>
        <w:ind w:left="1134"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C614766" w14:textId="77777777" w:rsidR="003D34B1" w:rsidRPr="005B0AF4" w:rsidRDefault="00F50C64">
      <w:pPr>
        <w:spacing w:before="120" w:after="120"/>
        <w:ind w:left="1134"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5AFCC4AF" w14:textId="77777777" w:rsidR="003D34B1" w:rsidRPr="005B0AF4" w:rsidRDefault="00F50C64">
      <w:pPr>
        <w:spacing w:before="120" w:after="120"/>
        <w:ind w:left="1134"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2E1242FE" w14:textId="77777777" w:rsidR="003D34B1" w:rsidRPr="005B0AF4" w:rsidRDefault="00F50C64">
      <w:pPr>
        <w:spacing w:before="240" w:after="240" w:line="360" w:lineRule="auto"/>
        <w:ind w:right="51"/>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w:t>
      </w:r>
      <w:r w:rsidRPr="005B0AF4">
        <w:rPr>
          <w:rFonts w:ascii="Palatino Linotype" w:eastAsia="Palatino Linotype" w:hAnsi="Palatino Linotype" w:cs="Palatino Linotype"/>
          <w:b/>
          <w:sz w:val="22"/>
          <w:szCs w:val="22"/>
        </w:rPr>
        <w:t>Sujeto Obligado</w:t>
      </w:r>
      <w:r w:rsidRPr="005B0AF4">
        <w:rPr>
          <w:rFonts w:ascii="Palatino Linotype" w:eastAsia="Palatino Linotype" w:hAnsi="Palatino Linotype" w:cs="Palatino Linotype"/>
          <w:sz w:val="22"/>
          <w:szCs w:val="22"/>
        </w:rPr>
        <w:t>; como así se establece en la Ley de Transparencia y Acceso a la Información Pública del Estado de México y Municipios.</w:t>
      </w:r>
    </w:p>
    <w:p w14:paraId="0DA0E6D0"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0C3798C" w14:textId="77777777" w:rsidR="003D34B1" w:rsidRPr="005B0AF4" w:rsidRDefault="00F50C64">
      <w:pPr>
        <w:spacing w:before="240" w:after="240" w:line="360" w:lineRule="auto"/>
        <w:ind w:right="51"/>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5B0AF4">
        <w:rPr>
          <w:rFonts w:ascii="Palatino Linotype" w:eastAsia="Palatino Linotype" w:hAnsi="Palatino Linotype" w:cs="Palatino Linotype"/>
          <w:b/>
          <w:sz w:val="22"/>
          <w:szCs w:val="22"/>
        </w:rPr>
        <w:t>Recurrente</w:t>
      </w:r>
      <w:r w:rsidRPr="005B0AF4">
        <w:rPr>
          <w:rFonts w:ascii="Palatino Linotype" w:eastAsia="Palatino Linotype" w:hAnsi="Palatino Linotype" w:cs="Palatino Linotype"/>
          <w:sz w:val="22"/>
          <w:szCs w:val="22"/>
        </w:rPr>
        <w:t xml:space="preserve"> requirió al </w:t>
      </w:r>
      <w:r w:rsidRPr="005B0AF4">
        <w:rPr>
          <w:rFonts w:ascii="Palatino Linotype" w:eastAsia="Palatino Linotype" w:hAnsi="Palatino Linotype" w:cs="Palatino Linotype"/>
          <w:b/>
          <w:sz w:val="22"/>
          <w:szCs w:val="22"/>
        </w:rPr>
        <w:t xml:space="preserve">Sujeto Obligado </w:t>
      </w:r>
      <w:r w:rsidRPr="005B0AF4">
        <w:rPr>
          <w:rFonts w:ascii="Palatino Linotype" w:eastAsia="Palatino Linotype" w:hAnsi="Palatino Linotype" w:cs="Palatino Linotype"/>
          <w:sz w:val="22"/>
          <w:szCs w:val="22"/>
        </w:rPr>
        <w:t>le proporcione, información consistente en lo siguiente:</w:t>
      </w:r>
    </w:p>
    <w:p w14:paraId="161AF4B6" w14:textId="77777777" w:rsidR="003D34B1" w:rsidRPr="005B0AF4" w:rsidRDefault="00F50C64">
      <w:pPr>
        <w:pBdr>
          <w:top w:val="nil"/>
          <w:left w:val="nil"/>
          <w:bottom w:val="nil"/>
          <w:right w:val="nil"/>
          <w:between w:val="nil"/>
        </w:pBdr>
        <w:spacing w:before="240"/>
        <w:ind w:left="720"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1.- La sentencia relacionada con la persona señalada;</w:t>
      </w:r>
    </w:p>
    <w:p w14:paraId="232A9F8B" w14:textId="77777777" w:rsidR="003D34B1" w:rsidRPr="005B0AF4" w:rsidRDefault="00F50C64">
      <w:pPr>
        <w:pBdr>
          <w:top w:val="nil"/>
          <w:left w:val="nil"/>
          <w:bottom w:val="nil"/>
          <w:right w:val="nil"/>
          <w:between w:val="nil"/>
        </w:pBdr>
        <w:ind w:left="720"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2.- Los soportes documentales legales que fundamentaron la Litis; y, </w:t>
      </w:r>
    </w:p>
    <w:p w14:paraId="35375E87" w14:textId="77777777" w:rsidR="003D34B1" w:rsidRPr="005B0AF4" w:rsidRDefault="00F50C64">
      <w:pPr>
        <w:pBdr>
          <w:top w:val="nil"/>
          <w:left w:val="nil"/>
          <w:bottom w:val="nil"/>
          <w:right w:val="nil"/>
          <w:between w:val="nil"/>
        </w:pBdr>
        <w:ind w:left="720"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3.- Los criterios bajo los cuales se investigó dicho trans feminicidio.</w:t>
      </w:r>
    </w:p>
    <w:p w14:paraId="28324260" w14:textId="77777777" w:rsidR="003D34B1" w:rsidRPr="005B0AF4" w:rsidRDefault="003D34B1">
      <w:pPr>
        <w:pBdr>
          <w:top w:val="nil"/>
          <w:left w:val="nil"/>
          <w:bottom w:val="nil"/>
          <w:right w:val="nil"/>
          <w:between w:val="nil"/>
        </w:pBdr>
        <w:spacing w:after="240"/>
        <w:ind w:left="720" w:right="49"/>
        <w:jc w:val="both"/>
        <w:rPr>
          <w:rFonts w:ascii="Palatino Linotype" w:eastAsia="Palatino Linotype" w:hAnsi="Palatino Linotype" w:cs="Palatino Linotype"/>
          <w:sz w:val="22"/>
          <w:szCs w:val="22"/>
        </w:rPr>
      </w:pPr>
    </w:p>
    <w:p w14:paraId="2B2934D8" w14:textId="77777777" w:rsidR="003D34B1" w:rsidRPr="005B0AF4" w:rsidRDefault="00F50C64">
      <w:pPr>
        <w:spacing w:before="240" w:after="240" w:line="360" w:lineRule="auto"/>
        <w:ind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En atención a lo anterior, el </w:t>
      </w:r>
      <w:r w:rsidRPr="005B0AF4">
        <w:rPr>
          <w:rFonts w:ascii="Palatino Linotype" w:eastAsia="Palatino Linotype" w:hAnsi="Palatino Linotype" w:cs="Palatino Linotype"/>
          <w:b/>
          <w:sz w:val="22"/>
          <w:szCs w:val="22"/>
        </w:rPr>
        <w:t>Sujeto Obligado</w:t>
      </w:r>
      <w:r w:rsidRPr="005B0AF4">
        <w:rPr>
          <w:rFonts w:ascii="Palatino Linotype" w:eastAsia="Palatino Linotype" w:hAnsi="Palatino Linotype" w:cs="Palatino Linotype"/>
          <w:sz w:val="22"/>
          <w:szCs w:val="22"/>
        </w:rPr>
        <w:t xml:space="preserve"> adjuntó el oficio 1760/MAIP/FGJ/2024  de fecha 13 de mayo de la presente anualidad, en este oficio suscrito por la Titular de la Unidad de Transparencia hace del conocimiento del  particular que dentro de sus atribuciones, establecidas en el artículo 10 de la Ley  de la Fiscalía General de Justicia del Estado de México, no se encuentra la de generar o poseer la información peticionada por el particular, toda vez que la Fiscalía  General de Justicia del  Estado de México es un Organismo Público Autónomo, dotado de personalidad jurídica y patrimonio propio con autonomía presupuestal, técnica y de gestión; por lo que con fundamento en el artículo 167 de la Ley de </w:t>
      </w:r>
      <w:r w:rsidRPr="005B0AF4">
        <w:rPr>
          <w:rFonts w:ascii="Palatino Linotype" w:eastAsia="Palatino Linotype" w:hAnsi="Palatino Linotype" w:cs="Palatino Linotype"/>
          <w:sz w:val="22"/>
          <w:szCs w:val="22"/>
        </w:rPr>
        <w:lastRenderedPageBreak/>
        <w:t xml:space="preserve">Transparencia de la entidad, se le orienta  para dirigir su solicitud al Poder Judicial del Estado de México. Institución que en términos de las atribuciones contenidas en los artículos 10 y 55 de la Ley Orgánica del Poder Judicial del Estado de México, pudiera contar con la información.   </w:t>
      </w:r>
    </w:p>
    <w:p w14:paraId="66DCFF62"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Inconforme el particular con la respuesta de la </w:t>
      </w:r>
      <w:r w:rsidRPr="005B0AF4">
        <w:rPr>
          <w:rFonts w:ascii="Palatino Linotype" w:eastAsia="Palatino Linotype" w:hAnsi="Palatino Linotype" w:cs="Palatino Linotype"/>
          <w:b/>
          <w:sz w:val="22"/>
          <w:szCs w:val="22"/>
        </w:rPr>
        <w:t>Fiscalía General de Justicia del Estado de México</w:t>
      </w:r>
      <w:r w:rsidRPr="005B0AF4">
        <w:rPr>
          <w:rFonts w:ascii="Palatino Linotype" w:eastAsia="Palatino Linotype" w:hAnsi="Palatino Linotype" w:cs="Palatino Linotype"/>
          <w:sz w:val="22"/>
          <w:szCs w:val="22"/>
        </w:rPr>
        <w:t xml:space="preserve">, interpuso el recurso de revisión ante este Organismo Garante, señalando como motivo de inconformidad principal, la respuesta entregada por éste; es decir, el particular se queja de la incompetencia planteada por el </w:t>
      </w:r>
      <w:r w:rsidRPr="005B0AF4">
        <w:rPr>
          <w:rFonts w:ascii="Palatino Linotype" w:eastAsia="Palatino Linotype" w:hAnsi="Palatino Linotype" w:cs="Palatino Linotype"/>
          <w:b/>
          <w:sz w:val="22"/>
          <w:szCs w:val="22"/>
        </w:rPr>
        <w:t>Sujeto Obligado</w:t>
      </w:r>
      <w:r w:rsidRPr="005B0AF4">
        <w:rPr>
          <w:rFonts w:ascii="Palatino Linotype" w:eastAsia="Palatino Linotype" w:hAnsi="Palatino Linotype" w:cs="Palatino Linotype"/>
          <w:sz w:val="22"/>
          <w:szCs w:val="22"/>
        </w:rPr>
        <w:t xml:space="preserve">. </w:t>
      </w:r>
    </w:p>
    <w:p w14:paraId="473E464A"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Finalmente, tal y como fue descrito en el apartado de antecedentes de la presente resolución, por medio del Informe Justificado que entrega la Fiscalía General de Justicia del Estado de México, se advierte que en términos generales se está confirmando la respuesta que en su origen fue proporcionada al particular. </w:t>
      </w:r>
    </w:p>
    <w:p w14:paraId="1B5A4C42" w14:textId="6BA2F73F" w:rsidR="003D34B1" w:rsidRPr="005B0AF4" w:rsidRDefault="00F50C64" w:rsidP="007B4960">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Agotado lo anterior, a efecto de analizar la legalidad de la respuesta que proporciona la Fiscalía General de Justicia del Estado de México como </w:t>
      </w:r>
      <w:r w:rsidRPr="005B0AF4">
        <w:rPr>
          <w:rFonts w:ascii="Palatino Linotype" w:eastAsia="Palatino Linotype" w:hAnsi="Palatino Linotype" w:cs="Palatino Linotype"/>
          <w:b/>
          <w:sz w:val="22"/>
          <w:szCs w:val="22"/>
        </w:rPr>
        <w:t>Sujeto Obligado</w:t>
      </w:r>
      <w:r w:rsidRPr="005B0AF4">
        <w:rPr>
          <w:rFonts w:ascii="Palatino Linotype" w:eastAsia="Palatino Linotype" w:hAnsi="Palatino Linotype" w:cs="Palatino Linotype"/>
          <w:sz w:val="22"/>
          <w:szCs w:val="22"/>
        </w:rPr>
        <w:t>, en relación a declarase incompetente por considerar que le corresponde al Poder Judicial de Estado de México, quien tiene atribuciones para conocer del asunto. De conformidad con la Ley Orgánica del Poder Judicial del Estado de Méx</w:t>
      </w:r>
      <w:r w:rsidR="007B4960">
        <w:rPr>
          <w:rFonts w:ascii="Palatino Linotype" w:eastAsia="Palatino Linotype" w:hAnsi="Palatino Linotype" w:cs="Palatino Linotype"/>
          <w:sz w:val="22"/>
          <w:szCs w:val="22"/>
        </w:rPr>
        <w:t>ico, se establece lo siguiente:</w:t>
      </w:r>
    </w:p>
    <w:p w14:paraId="722C4056" w14:textId="77777777" w:rsidR="003D34B1" w:rsidRPr="005B0AF4" w:rsidRDefault="00F50C64">
      <w:pPr>
        <w:ind w:left="709" w:right="560"/>
        <w:jc w:val="both"/>
        <w:rPr>
          <w:rFonts w:ascii="Palatino Linotype" w:eastAsia="Palatino Linotype" w:hAnsi="Palatino Linotype" w:cs="Palatino Linotype"/>
          <w:b/>
          <w:i/>
          <w:sz w:val="22"/>
          <w:szCs w:val="22"/>
        </w:rPr>
      </w:pPr>
      <w:r w:rsidRPr="005B0AF4">
        <w:rPr>
          <w:rFonts w:ascii="Palatino Linotype" w:eastAsia="Palatino Linotype" w:hAnsi="Palatino Linotype" w:cs="Palatino Linotype"/>
          <w:b/>
          <w:i/>
          <w:sz w:val="22"/>
          <w:szCs w:val="22"/>
        </w:rPr>
        <w:t xml:space="preserve">Ejercicio de la función jurisdiccional </w:t>
      </w:r>
    </w:p>
    <w:p w14:paraId="26AD2492" w14:textId="77777777" w:rsidR="003D34B1" w:rsidRPr="005B0AF4" w:rsidRDefault="003D34B1">
      <w:pPr>
        <w:ind w:left="709" w:right="560"/>
        <w:jc w:val="both"/>
        <w:rPr>
          <w:rFonts w:ascii="Palatino Linotype" w:eastAsia="Palatino Linotype" w:hAnsi="Palatino Linotype" w:cs="Palatino Linotype"/>
          <w:i/>
          <w:sz w:val="22"/>
          <w:szCs w:val="22"/>
        </w:rPr>
      </w:pPr>
    </w:p>
    <w:p w14:paraId="5B60BC4B" w14:textId="77777777" w:rsidR="003D34B1" w:rsidRPr="005B0AF4" w:rsidRDefault="00F50C64">
      <w:pPr>
        <w:ind w:left="709" w:right="56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Artículo 1.</w:t>
      </w:r>
      <w:r w:rsidRPr="005B0AF4">
        <w:rPr>
          <w:rFonts w:ascii="Palatino Linotype" w:eastAsia="Palatino Linotype" w:hAnsi="Palatino Linotype" w:cs="Palatino Linotype"/>
          <w:i/>
          <w:sz w:val="22"/>
          <w:szCs w:val="22"/>
        </w:rPr>
        <w:t xml:space="preserve"> El ejercicio de la función jurisdiccional corresponde a los órganos del Poder Judicial en los términos que establece la Constitución Política del Estado Libre y Soberano de México y se deposita en: </w:t>
      </w:r>
    </w:p>
    <w:p w14:paraId="29247F7C" w14:textId="77777777" w:rsidR="003D34B1" w:rsidRPr="005B0AF4" w:rsidRDefault="00F50C64">
      <w:pPr>
        <w:ind w:left="709" w:right="56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a) El Tribunal Superior de Justicia, que funcionará en Pleno y en Salas; </w:t>
      </w:r>
    </w:p>
    <w:p w14:paraId="783B83A5" w14:textId="77777777" w:rsidR="003D34B1" w:rsidRPr="005B0AF4" w:rsidRDefault="00F50C64">
      <w:pPr>
        <w:ind w:left="709" w:right="56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b) Una Sala Constitucional; </w:t>
      </w:r>
    </w:p>
    <w:p w14:paraId="1E365BB6" w14:textId="77777777" w:rsidR="003D34B1" w:rsidRPr="005B0AF4" w:rsidRDefault="00F50C64">
      <w:pPr>
        <w:ind w:left="709" w:right="56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c) Salas Colegiadas y Unitarias; </w:t>
      </w:r>
    </w:p>
    <w:p w14:paraId="266917E1" w14:textId="77777777" w:rsidR="003D34B1" w:rsidRPr="005B0AF4" w:rsidRDefault="00F50C64">
      <w:pPr>
        <w:ind w:left="709" w:right="56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d) Tribunales de Alzada;</w:t>
      </w:r>
    </w:p>
    <w:p w14:paraId="28C5E683" w14:textId="77777777" w:rsidR="003D34B1" w:rsidRPr="005B0AF4" w:rsidRDefault="00F50C64">
      <w:pPr>
        <w:ind w:left="709" w:right="56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e) Tribunales de enjuiciamiento, juzgados de primera instancia y juzgados de ejecución; </w:t>
      </w:r>
    </w:p>
    <w:p w14:paraId="4B28E5EA" w14:textId="77777777" w:rsidR="003D34B1" w:rsidRPr="005B0AF4" w:rsidRDefault="00F50C64">
      <w:pPr>
        <w:ind w:left="709" w:right="56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lastRenderedPageBreak/>
        <w:t xml:space="preserve">f) Juzgados de cuantía menor y juzgados de control, y </w:t>
      </w:r>
    </w:p>
    <w:p w14:paraId="7B090FEE" w14:textId="77777777" w:rsidR="003D34B1" w:rsidRPr="005B0AF4" w:rsidRDefault="00F50C64">
      <w:pPr>
        <w:ind w:left="709" w:right="56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g) Tribunales laborales. </w:t>
      </w:r>
    </w:p>
    <w:p w14:paraId="25B51A12" w14:textId="77777777" w:rsidR="003D34B1" w:rsidRPr="005B0AF4" w:rsidRDefault="00F50C64">
      <w:pPr>
        <w:ind w:left="709" w:right="56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h) Una Sala de Asuntos Indígenas</w:t>
      </w:r>
    </w:p>
    <w:p w14:paraId="2FB5DAB7" w14:textId="77777777" w:rsidR="003D34B1" w:rsidRPr="005B0AF4" w:rsidRDefault="003D34B1">
      <w:pPr>
        <w:spacing w:line="360" w:lineRule="auto"/>
        <w:ind w:right="49"/>
        <w:jc w:val="both"/>
        <w:rPr>
          <w:rFonts w:ascii="Palatino Linotype" w:eastAsia="Palatino Linotype" w:hAnsi="Palatino Linotype" w:cs="Palatino Linotype"/>
          <w:b/>
          <w:i/>
          <w:sz w:val="22"/>
          <w:szCs w:val="22"/>
        </w:rPr>
      </w:pPr>
    </w:p>
    <w:p w14:paraId="6E945E77" w14:textId="77777777" w:rsidR="003D34B1" w:rsidRPr="005B0AF4" w:rsidRDefault="00F50C64">
      <w:pPr>
        <w:ind w:left="709" w:right="49"/>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Artículo 10. Son prerrogativas y obligaciones de las y los magistrados:</w:t>
      </w:r>
    </w:p>
    <w:p w14:paraId="4CF90014" w14:textId="77777777" w:rsidR="003D34B1" w:rsidRPr="005B0AF4" w:rsidRDefault="00F50C64">
      <w:pPr>
        <w:ind w:left="709" w:right="49"/>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p>
    <w:p w14:paraId="0784DB0E" w14:textId="77777777" w:rsidR="003D34B1" w:rsidRPr="005B0AF4" w:rsidRDefault="00F50C64">
      <w:pPr>
        <w:ind w:left="709" w:right="49"/>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VIII. Dictar, dentro de los plazos señalados por la ley, las resoluciones que provean legalmente las promociones de las partes, o las sentencias definitivas o interlocutorias en los negocios de su conocimiento;</w:t>
      </w:r>
    </w:p>
    <w:p w14:paraId="0ED46F1F" w14:textId="77777777" w:rsidR="003D34B1" w:rsidRPr="005B0AF4" w:rsidRDefault="00F50C64">
      <w:pPr>
        <w:ind w:left="709" w:right="49"/>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p>
    <w:p w14:paraId="06B7B33C" w14:textId="77777777" w:rsidR="003D34B1" w:rsidRPr="005B0AF4" w:rsidRDefault="003D34B1">
      <w:pPr>
        <w:ind w:left="709" w:right="49"/>
        <w:jc w:val="both"/>
        <w:rPr>
          <w:rFonts w:ascii="Palatino Linotype" w:eastAsia="Palatino Linotype" w:hAnsi="Palatino Linotype" w:cs="Palatino Linotype"/>
          <w:i/>
          <w:sz w:val="22"/>
          <w:szCs w:val="22"/>
        </w:rPr>
      </w:pPr>
    </w:p>
    <w:p w14:paraId="5063B666" w14:textId="77777777" w:rsidR="003D34B1" w:rsidRPr="005B0AF4" w:rsidRDefault="00F50C64">
      <w:pPr>
        <w:ind w:left="709" w:right="49"/>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Facultades y prerrogativas de las y los jueces </w:t>
      </w:r>
    </w:p>
    <w:p w14:paraId="1C594A56" w14:textId="77777777" w:rsidR="003D34B1" w:rsidRPr="005B0AF4" w:rsidRDefault="00F50C64">
      <w:pPr>
        <w:ind w:left="709" w:right="49"/>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Artículo 55. Son facultades y prerrogativas de los jueces las siguientes:</w:t>
      </w:r>
    </w:p>
    <w:p w14:paraId="28859292" w14:textId="77777777" w:rsidR="003D34B1" w:rsidRPr="005B0AF4" w:rsidRDefault="00F50C64">
      <w:pPr>
        <w:ind w:left="709" w:right="49"/>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I. Cumplir con la máxima diligencia las funciones o labores que deban realizar, al dirigir el desarrollo de los procesos, </w:t>
      </w:r>
      <w:proofErr w:type="spellStart"/>
      <w:r w:rsidRPr="005B0AF4">
        <w:rPr>
          <w:rFonts w:ascii="Palatino Linotype" w:eastAsia="Palatino Linotype" w:hAnsi="Palatino Linotype" w:cs="Palatino Linotype"/>
          <w:i/>
          <w:sz w:val="22"/>
          <w:szCs w:val="22"/>
        </w:rPr>
        <w:t>alpresidir</w:t>
      </w:r>
      <w:proofErr w:type="spellEnd"/>
      <w:r w:rsidRPr="005B0AF4">
        <w:rPr>
          <w:rFonts w:ascii="Palatino Linotype" w:eastAsia="Palatino Linotype" w:hAnsi="Palatino Linotype" w:cs="Palatino Linotype"/>
          <w:i/>
          <w:sz w:val="22"/>
          <w:szCs w:val="22"/>
        </w:rPr>
        <w:t xml:space="preserve"> las audiencias y al dictar las resoluciones;</w:t>
      </w:r>
    </w:p>
    <w:p w14:paraId="2754AFE6" w14:textId="77777777" w:rsidR="003D34B1" w:rsidRPr="005B0AF4" w:rsidRDefault="00F50C64">
      <w:pPr>
        <w:ind w:left="709" w:right="49"/>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p>
    <w:p w14:paraId="76ECE19E" w14:textId="77777777" w:rsidR="003D34B1" w:rsidRPr="005B0AF4" w:rsidRDefault="003D34B1">
      <w:pPr>
        <w:spacing w:line="360" w:lineRule="auto"/>
        <w:ind w:right="49"/>
        <w:jc w:val="both"/>
        <w:rPr>
          <w:rFonts w:ascii="Palatino Linotype" w:eastAsia="Palatino Linotype" w:hAnsi="Palatino Linotype" w:cs="Palatino Linotype"/>
          <w:sz w:val="22"/>
          <w:szCs w:val="22"/>
        </w:rPr>
      </w:pPr>
    </w:p>
    <w:p w14:paraId="78986D25" w14:textId="77777777" w:rsidR="003D34B1" w:rsidRPr="005B0AF4" w:rsidRDefault="00F50C64">
      <w:pPr>
        <w:spacing w:line="360" w:lineRule="auto"/>
        <w:ind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Como se logra advertir, el ejercicio de la función jurisdiccional corresponde a los órganos del Poder Judicial en los términos que establece la Constitución Política del Estado Libre y Soberano de México. Por lo que se señala, que dentro de las atribuciones y prerrogativas que le son inherentes a jueces y magistrados se encuentra la correspondiente a dictar, dentro de los plazos señalados por la ley, las resoluciones que provean legalmente las promociones de las partes, o las sentencias definitivas o interlocutorias en los negocios de su conocimiento. </w:t>
      </w:r>
    </w:p>
    <w:p w14:paraId="0AA0234C"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Por lo citado, en efecto tal y como lo precisa en su respuesta la Titular de la Unidad de Transparencia, el Poder Judicial del Estado de México en uso de las atribuciones señaladas, contenidas en su Ley Orgánica del Poder Judicial del Estado de México, tiene oportunidad de conocer del asunto tomándose en consideración la naturaleza de la información. </w:t>
      </w:r>
    </w:p>
    <w:p w14:paraId="3C76E204"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Ahora, sin menoscabo de que el Poder Judicial del Estado de México puede conocer de la naturaleza de la información, lo procedente en el presente asunto es determinar si la Fiscalía en uso de las atribuciones que le encomienda su normatividad se encuentra en  posición de </w:t>
      </w:r>
      <w:r w:rsidRPr="005B0AF4">
        <w:rPr>
          <w:rFonts w:ascii="Palatino Linotype" w:eastAsia="Palatino Linotype" w:hAnsi="Palatino Linotype" w:cs="Palatino Linotype"/>
          <w:sz w:val="22"/>
          <w:szCs w:val="22"/>
        </w:rPr>
        <w:lastRenderedPageBreak/>
        <w:t xml:space="preserve">conocer de la naturaleza de la  información materia de la solicitud de mérito, razón suficiente para  que este Organismo Garante proceda a analizar algunas de las atribuciones del </w:t>
      </w:r>
      <w:r w:rsidRPr="005B0AF4">
        <w:rPr>
          <w:rFonts w:ascii="Palatino Linotype" w:eastAsia="Palatino Linotype" w:hAnsi="Palatino Linotype" w:cs="Palatino Linotype"/>
          <w:b/>
          <w:sz w:val="22"/>
          <w:szCs w:val="22"/>
        </w:rPr>
        <w:t>Sujeto Obligado</w:t>
      </w:r>
      <w:r w:rsidRPr="005B0AF4">
        <w:rPr>
          <w:rFonts w:ascii="Palatino Linotype" w:eastAsia="Palatino Linotype" w:hAnsi="Palatino Linotype" w:cs="Palatino Linotype"/>
          <w:sz w:val="22"/>
          <w:szCs w:val="22"/>
        </w:rPr>
        <w:t xml:space="preserve"> relacionadas con  el presente asunto.  </w:t>
      </w:r>
    </w:p>
    <w:p w14:paraId="37C99144"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Para comenzar, es importante referir que el artículo 21  de la Constitución General  dispone que, </w:t>
      </w:r>
      <w:r w:rsidRPr="005B0AF4">
        <w:rPr>
          <w:rFonts w:ascii="Palatino Linotype" w:eastAsia="Palatino Linotype" w:hAnsi="Palatino Linotype" w:cs="Palatino Linotype"/>
          <w:b/>
          <w:sz w:val="22"/>
          <w:szCs w:val="22"/>
        </w:rPr>
        <w:t xml:space="preserve">la investigación de los delitos le corresponde al Ministerio Público y a las policías, </w:t>
      </w:r>
      <w:r w:rsidRPr="005B0AF4">
        <w:rPr>
          <w:rFonts w:ascii="Palatino Linotype" w:eastAsia="Palatino Linotype" w:hAnsi="Palatino Linotype" w:cs="Palatino Linotype"/>
          <w:sz w:val="22"/>
          <w:szCs w:val="22"/>
        </w:rPr>
        <w:t xml:space="preserve">las cuales actuarán bajo la conducción y mando de aquel en el ejercicio de esta función, además, </w:t>
      </w:r>
      <w:r w:rsidRPr="005B0AF4">
        <w:rPr>
          <w:rFonts w:ascii="Palatino Linotype" w:eastAsia="Palatino Linotype" w:hAnsi="Palatino Linotype" w:cs="Palatino Linotype"/>
          <w:b/>
          <w:sz w:val="22"/>
          <w:szCs w:val="22"/>
          <w:u w:val="single"/>
        </w:rPr>
        <w:t>señala que el ejercicio de la acción penal ante los tribunales corresponde al Ministerio Público, y que la imposición de las penas, su modificación y duración son propias y exclusivas de la autoridad judicial</w:t>
      </w:r>
      <w:r w:rsidRPr="005B0AF4">
        <w:rPr>
          <w:rFonts w:ascii="Palatino Linotype" w:eastAsia="Palatino Linotype" w:hAnsi="Palatino Linotype" w:cs="Palatino Linotype"/>
          <w:sz w:val="22"/>
          <w:szCs w:val="22"/>
        </w:rPr>
        <w:t xml:space="preserve">. </w:t>
      </w:r>
      <w:r w:rsidRPr="005B0AF4">
        <w:rPr>
          <w:rFonts w:ascii="Palatino Linotype" w:eastAsia="Palatino Linotype" w:hAnsi="Palatino Linotype" w:cs="Palatino Linotype"/>
          <w:sz w:val="22"/>
          <w:szCs w:val="22"/>
          <w:vertAlign w:val="superscript"/>
        </w:rPr>
        <w:footnoteReference w:id="1"/>
      </w:r>
    </w:p>
    <w:p w14:paraId="4AD6A110" w14:textId="77777777" w:rsidR="003D34B1" w:rsidRPr="005B0AF4" w:rsidRDefault="00F50C6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Abonando a lo anterior,  de conformidad con lo previsto en el artículo 127 del Código Nacional de Procedimientos Penales  se precisa que, corresponde  al Ministerio Público conducir la investigación, coordinar a las policías y a los servidores periciales  durante la investigación, resolver sobre el ejercicio de la acción penal en la forma establecida por la ley y, en su caso, ordenar las diligencias pertinentes y útiles para demostrar, o no, la existencia del delito y la responsabilidad de quien lo cometió o  participó en su comisión. </w:t>
      </w:r>
    </w:p>
    <w:p w14:paraId="26EDC7F8" w14:textId="77777777" w:rsidR="003D34B1" w:rsidRPr="005B0AF4" w:rsidRDefault="003D34B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B1D30D1" w14:textId="56E38473" w:rsidR="003D34B1" w:rsidRPr="005B0AF4" w:rsidRDefault="00F50C6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En relación con lo antes acotado,  de acuerdo a lo que se precisa en el artículo 83 de la Constitución del Estado Libre y Soberano de México,  </w:t>
      </w:r>
      <w:r w:rsidRPr="005B0AF4">
        <w:rPr>
          <w:rFonts w:ascii="Palatino Linotype" w:eastAsia="Palatino Linotype" w:hAnsi="Palatino Linotype" w:cs="Palatino Linotype"/>
          <w:b/>
          <w:sz w:val="22"/>
          <w:szCs w:val="22"/>
        </w:rPr>
        <w:t>el Ministerio Público se integra en una Fiscalía General de Justicia  como un órgano público autónomo, dotado de personalidad jurídica y patrimonio propio con autonomía presupuestal, técnica y de gestión</w:t>
      </w:r>
      <w:r w:rsidR="007B4960">
        <w:rPr>
          <w:rFonts w:ascii="Palatino Linotype" w:eastAsia="Palatino Linotype" w:hAnsi="Palatino Linotype" w:cs="Palatino Linotype"/>
          <w:b/>
          <w:sz w:val="22"/>
          <w:szCs w:val="22"/>
        </w:rPr>
        <w:t>, así como con capacidad  para d</w:t>
      </w:r>
      <w:r w:rsidRPr="005B0AF4">
        <w:rPr>
          <w:rFonts w:ascii="Palatino Linotype" w:eastAsia="Palatino Linotype" w:hAnsi="Palatino Linotype" w:cs="Palatino Linotype"/>
          <w:b/>
          <w:sz w:val="22"/>
          <w:szCs w:val="22"/>
        </w:rPr>
        <w:t>ecidir sobre el ejercicio de su presupuesto en los</w:t>
      </w:r>
      <w:r w:rsidR="007B4960">
        <w:rPr>
          <w:rFonts w:ascii="Palatino Linotype" w:eastAsia="Palatino Linotype" w:hAnsi="Palatino Linotype" w:cs="Palatino Linotype"/>
          <w:b/>
          <w:sz w:val="22"/>
          <w:szCs w:val="22"/>
        </w:rPr>
        <w:t xml:space="preserve"> </w:t>
      </w:r>
      <w:r w:rsidRPr="005B0AF4">
        <w:rPr>
          <w:rFonts w:ascii="Palatino Linotype" w:eastAsia="Palatino Linotype" w:hAnsi="Palatino Linotype" w:cs="Palatino Linotype"/>
          <w:b/>
          <w:sz w:val="22"/>
          <w:szCs w:val="22"/>
        </w:rPr>
        <w:lastRenderedPageBreak/>
        <w:t>términos que establece la Constitución Política de los Estados Unidos Mexicanos, la propia Constitución local  y las leyes aplicables, la cual  estará a cargo de un Fiscal General</w:t>
      </w:r>
      <w:r w:rsidRPr="005B0AF4">
        <w:rPr>
          <w:rFonts w:ascii="Palatino Linotype" w:eastAsia="Palatino Linotype" w:hAnsi="Palatino Linotype" w:cs="Palatino Linotype"/>
          <w:sz w:val="22"/>
          <w:szCs w:val="22"/>
        </w:rPr>
        <w:t xml:space="preserve">. </w:t>
      </w:r>
      <w:r w:rsidRPr="005B0AF4">
        <w:rPr>
          <w:sz w:val="22"/>
          <w:szCs w:val="22"/>
          <w:vertAlign w:val="superscript"/>
        </w:rPr>
        <w:footnoteReference w:id="2"/>
      </w:r>
    </w:p>
    <w:p w14:paraId="79E66C7B" w14:textId="77777777" w:rsidR="003D34B1" w:rsidRPr="005B0AF4" w:rsidRDefault="00F50C6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En este tenor, es importante referir que conforme al artículo 33 la Ley de la Fiscalía General de Justicia del Estado de México, el Ministerio Público es una institución única e indivisible, que funge como representante social en los intereses de quienes sean lesionadas o lesionados en sus derechos, a través de la investigación y persecución de los delitos y el ejercicio de la acción penal ante los tribunales competentes.</w:t>
      </w:r>
    </w:p>
    <w:p w14:paraId="17DCB17B"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Asimismo, conforme al artículo 34 de la Ley en cita, el Ministerio Público tiene entre sus funciones, atribuciones y obligaciones las siguientes: </w:t>
      </w:r>
    </w:p>
    <w:p w14:paraId="08918CD6" w14:textId="77777777" w:rsidR="003D34B1" w:rsidRPr="005B0AF4" w:rsidRDefault="003D34B1">
      <w:pPr>
        <w:tabs>
          <w:tab w:val="left" w:pos="851"/>
        </w:tabs>
        <w:ind w:left="851" w:right="901"/>
        <w:jc w:val="both"/>
        <w:rPr>
          <w:rFonts w:ascii="Palatino Linotype" w:eastAsia="Palatino Linotype" w:hAnsi="Palatino Linotype" w:cs="Palatino Linotype"/>
          <w:i/>
          <w:sz w:val="22"/>
          <w:szCs w:val="22"/>
        </w:rPr>
      </w:pPr>
    </w:p>
    <w:p w14:paraId="52D4965A" w14:textId="77777777" w:rsidR="003D34B1" w:rsidRPr="005B0AF4" w:rsidRDefault="00F50C64">
      <w:pPr>
        <w:tabs>
          <w:tab w:val="left" w:pos="851"/>
        </w:tabs>
        <w:ind w:left="851" w:right="90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r w:rsidRPr="005B0AF4">
        <w:rPr>
          <w:rFonts w:ascii="Palatino Linotype" w:eastAsia="Palatino Linotype" w:hAnsi="Palatino Linotype" w:cs="Palatino Linotype"/>
          <w:b/>
          <w:i/>
          <w:sz w:val="22"/>
          <w:szCs w:val="22"/>
        </w:rPr>
        <w:t xml:space="preserve">Artículo 34. </w:t>
      </w:r>
      <w:r w:rsidRPr="005B0AF4">
        <w:rPr>
          <w:rFonts w:ascii="Palatino Linotype" w:eastAsia="Palatino Linotype" w:hAnsi="Palatino Linotype" w:cs="Palatino Linotype"/>
          <w:i/>
          <w:sz w:val="22"/>
          <w:szCs w:val="22"/>
        </w:rPr>
        <w:t>El Ministerio Público tendrá, además de las funciones, atribuciones y obligaciones que le señalen la Constitución Federal, la Constitución del Estado, los instrumentos jurídicos internacionales vinculantes para el Estado Mexicano, el Código Nacional, las leyes nacionales y generales, la presente Ley y otros ordenamientos jurídicos estatales aplicables, las siguientes: A. En la investigación del delito:</w:t>
      </w:r>
    </w:p>
    <w:p w14:paraId="4098E5C5" w14:textId="77777777" w:rsidR="003D34B1" w:rsidRPr="005B0AF4" w:rsidRDefault="003D34B1">
      <w:pPr>
        <w:tabs>
          <w:tab w:val="left" w:pos="851"/>
        </w:tabs>
        <w:ind w:left="851" w:right="901"/>
        <w:jc w:val="both"/>
        <w:rPr>
          <w:rFonts w:ascii="Palatino Linotype" w:eastAsia="Palatino Linotype" w:hAnsi="Palatino Linotype" w:cs="Palatino Linotype"/>
          <w:i/>
          <w:sz w:val="22"/>
          <w:szCs w:val="22"/>
        </w:rPr>
      </w:pPr>
    </w:p>
    <w:p w14:paraId="44B37FB2" w14:textId="77777777" w:rsidR="003D34B1" w:rsidRPr="005B0AF4" w:rsidRDefault="00F50C64">
      <w:pPr>
        <w:tabs>
          <w:tab w:val="left" w:pos="851"/>
        </w:tabs>
        <w:ind w:left="851" w:right="901"/>
        <w:jc w:val="both"/>
        <w:rPr>
          <w:rFonts w:ascii="Palatino Linotype" w:eastAsia="Palatino Linotype" w:hAnsi="Palatino Linotype" w:cs="Palatino Linotype"/>
          <w:b/>
          <w:i/>
          <w:sz w:val="22"/>
          <w:szCs w:val="22"/>
          <w:u w:val="single"/>
        </w:rPr>
      </w:pPr>
      <w:r w:rsidRPr="005B0AF4">
        <w:rPr>
          <w:rFonts w:ascii="Palatino Linotype" w:eastAsia="Palatino Linotype" w:hAnsi="Palatino Linotype" w:cs="Palatino Linotype"/>
          <w:i/>
          <w:sz w:val="22"/>
          <w:szCs w:val="22"/>
        </w:rPr>
        <w:t xml:space="preserve">IV. </w:t>
      </w:r>
      <w:r w:rsidRPr="005B0AF4">
        <w:rPr>
          <w:rFonts w:ascii="Palatino Linotype" w:eastAsia="Palatino Linotype" w:hAnsi="Palatino Linotype" w:cs="Palatino Linotype"/>
          <w:b/>
          <w:i/>
          <w:sz w:val="22"/>
          <w:szCs w:val="22"/>
          <w:u w:val="single"/>
        </w:rPr>
        <w:t xml:space="preserve">Iniciar la carpeta de investigación si de los datos aportados por la o el denunciante o querellante y los recabados por éste, se desprende la probable comisión de un hecho delictivo. </w:t>
      </w:r>
    </w:p>
    <w:p w14:paraId="3536B44B" w14:textId="77777777" w:rsidR="003D34B1" w:rsidRPr="005B0AF4" w:rsidRDefault="003D34B1">
      <w:pPr>
        <w:tabs>
          <w:tab w:val="left" w:pos="851"/>
        </w:tabs>
        <w:ind w:left="851" w:right="901"/>
        <w:jc w:val="both"/>
        <w:rPr>
          <w:rFonts w:ascii="Palatino Linotype" w:eastAsia="Palatino Linotype" w:hAnsi="Palatino Linotype" w:cs="Palatino Linotype"/>
          <w:i/>
          <w:sz w:val="22"/>
          <w:szCs w:val="22"/>
        </w:rPr>
      </w:pPr>
    </w:p>
    <w:p w14:paraId="0EAF78EA" w14:textId="77777777" w:rsidR="003D34B1" w:rsidRPr="005B0AF4" w:rsidRDefault="00F50C64">
      <w:pPr>
        <w:tabs>
          <w:tab w:val="left" w:pos="851"/>
        </w:tabs>
        <w:ind w:left="851" w:right="90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Las corporaciones policiales de la Secretaría de Seguridad y de los municipios del Estado de México, tienen la obligación de colaborar con la Fiscalía y cumplir con los mandamientos que al efecto instruya el Ministerio Público en ejercicio de su función.</w:t>
      </w:r>
    </w:p>
    <w:p w14:paraId="7CBE7069" w14:textId="77777777" w:rsidR="003D34B1" w:rsidRPr="005B0AF4" w:rsidRDefault="003D34B1">
      <w:pPr>
        <w:tabs>
          <w:tab w:val="left" w:pos="851"/>
        </w:tabs>
        <w:ind w:left="851" w:right="901"/>
        <w:jc w:val="both"/>
        <w:rPr>
          <w:rFonts w:ascii="Palatino Linotype" w:eastAsia="Palatino Linotype" w:hAnsi="Palatino Linotype" w:cs="Palatino Linotype"/>
          <w:i/>
          <w:sz w:val="22"/>
          <w:szCs w:val="22"/>
        </w:rPr>
      </w:pPr>
    </w:p>
    <w:p w14:paraId="30EB7052" w14:textId="77777777" w:rsidR="003D34B1" w:rsidRPr="005B0AF4" w:rsidRDefault="003D34B1">
      <w:pPr>
        <w:tabs>
          <w:tab w:val="left" w:pos="851"/>
        </w:tabs>
        <w:ind w:left="851" w:right="901"/>
        <w:jc w:val="both"/>
        <w:rPr>
          <w:rFonts w:ascii="Palatino Linotype" w:eastAsia="Palatino Linotype" w:hAnsi="Palatino Linotype" w:cs="Palatino Linotype"/>
          <w:i/>
          <w:sz w:val="22"/>
          <w:szCs w:val="22"/>
        </w:rPr>
      </w:pPr>
    </w:p>
    <w:p w14:paraId="5340BD26" w14:textId="77777777" w:rsidR="003D34B1" w:rsidRPr="005B0AF4" w:rsidRDefault="00F50C64">
      <w:pPr>
        <w:tabs>
          <w:tab w:val="left" w:pos="851"/>
        </w:tabs>
        <w:ind w:left="851" w:right="90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VI. Ejercer la conducción y mando de la Policía de Investigación y otras instituciones policiales, en coordinación con los servicios periciales y las áreas de información y análisis, en la investigación de los delitos, en forma continua, sin </w:t>
      </w:r>
      <w:r w:rsidRPr="005B0AF4">
        <w:rPr>
          <w:rFonts w:ascii="Palatino Linotype" w:eastAsia="Palatino Linotype" w:hAnsi="Palatino Linotype" w:cs="Palatino Linotype"/>
          <w:i/>
          <w:sz w:val="22"/>
          <w:szCs w:val="22"/>
        </w:rPr>
        <w:lastRenderedPageBreak/>
        <w:t xml:space="preserve">dilaciones y hasta la conclusión legal de la misma, de conformidad con las disposiciones </w:t>
      </w:r>
      <w:proofErr w:type="spellStart"/>
      <w:r w:rsidRPr="005B0AF4">
        <w:rPr>
          <w:rFonts w:ascii="Palatino Linotype" w:eastAsia="Palatino Linotype" w:hAnsi="Palatino Linotype" w:cs="Palatino Linotype"/>
          <w:i/>
          <w:sz w:val="22"/>
          <w:szCs w:val="22"/>
        </w:rPr>
        <w:t>legislativasaplicables</w:t>
      </w:r>
      <w:proofErr w:type="spellEnd"/>
      <w:r w:rsidRPr="005B0AF4">
        <w:rPr>
          <w:rFonts w:ascii="Palatino Linotype" w:eastAsia="Palatino Linotype" w:hAnsi="Palatino Linotype" w:cs="Palatino Linotype"/>
          <w:i/>
          <w:sz w:val="22"/>
          <w:szCs w:val="22"/>
        </w:rPr>
        <w:t>.</w:t>
      </w:r>
    </w:p>
    <w:p w14:paraId="75A53FF4" w14:textId="77777777" w:rsidR="003D34B1" w:rsidRPr="005B0AF4" w:rsidRDefault="003D34B1">
      <w:pPr>
        <w:tabs>
          <w:tab w:val="left" w:pos="851"/>
        </w:tabs>
        <w:ind w:left="851" w:right="901"/>
        <w:jc w:val="both"/>
        <w:rPr>
          <w:rFonts w:ascii="Palatino Linotype" w:eastAsia="Palatino Linotype" w:hAnsi="Palatino Linotype" w:cs="Palatino Linotype"/>
          <w:i/>
          <w:sz w:val="22"/>
          <w:szCs w:val="22"/>
        </w:rPr>
      </w:pPr>
    </w:p>
    <w:p w14:paraId="5F937C15" w14:textId="77777777" w:rsidR="003D34B1" w:rsidRPr="005B0AF4" w:rsidRDefault="00F50C64">
      <w:pPr>
        <w:tabs>
          <w:tab w:val="left" w:pos="851"/>
        </w:tabs>
        <w:ind w:left="851" w:right="901"/>
        <w:jc w:val="both"/>
        <w:rPr>
          <w:rFonts w:ascii="Palatino Linotype" w:eastAsia="Palatino Linotype" w:hAnsi="Palatino Linotype" w:cs="Palatino Linotype"/>
          <w:b/>
          <w:i/>
          <w:sz w:val="22"/>
          <w:szCs w:val="22"/>
          <w:u w:val="single"/>
        </w:rPr>
      </w:pPr>
      <w:r w:rsidRPr="005B0AF4">
        <w:rPr>
          <w:rFonts w:ascii="Palatino Linotype" w:eastAsia="Palatino Linotype" w:hAnsi="Palatino Linotype" w:cs="Palatino Linotype"/>
          <w:i/>
          <w:sz w:val="22"/>
          <w:szCs w:val="22"/>
        </w:rPr>
        <w:t xml:space="preserve">VIII. </w:t>
      </w:r>
      <w:r w:rsidRPr="005B0AF4">
        <w:rPr>
          <w:rFonts w:ascii="Palatino Linotype" w:eastAsia="Palatino Linotype" w:hAnsi="Palatino Linotype" w:cs="Palatino Linotype"/>
          <w:b/>
          <w:i/>
          <w:sz w:val="22"/>
          <w:szCs w:val="22"/>
          <w:u w:val="single"/>
        </w:rPr>
        <w:t>Solicitar, ejecutar u ordenar las técnicas de investigación aplicables, conforme al Código Nacional y la normatividad que emita la o el Fiscal General, con base en lo siguiente:</w:t>
      </w:r>
    </w:p>
    <w:p w14:paraId="380C28FE" w14:textId="77777777" w:rsidR="003D34B1" w:rsidRPr="005B0AF4" w:rsidRDefault="003D34B1">
      <w:pPr>
        <w:tabs>
          <w:tab w:val="left" w:pos="851"/>
        </w:tabs>
        <w:ind w:left="851" w:right="901"/>
        <w:jc w:val="both"/>
        <w:rPr>
          <w:rFonts w:ascii="Palatino Linotype" w:eastAsia="Palatino Linotype" w:hAnsi="Palatino Linotype" w:cs="Palatino Linotype"/>
          <w:i/>
          <w:sz w:val="22"/>
          <w:szCs w:val="22"/>
        </w:rPr>
      </w:pPr>
    </w:p>
    <w:p w14:paraId="458D5950" w14:textId="77777777" w:rsidR="003D34B1" w:rsidRPr="005B0AF4" w:rsidRDefault="00F50C64">
      <w:pPr>
        <w:tabs>
          <w:tab w:val="left" w:pos="851"/>
        </w:tabs>
        <w:ind w:left="851" w:right="90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a) Solicitar a la o el juez de control, la autorización para realizar las técnicas de investigación que requieren control judicial y aplicarlas. </w:t>
      </w:r>
    </w:p>
    <w:p w14:paraId="5AA81F03" w14:textId="77777777" w:rsidR="003D34B1" w:rsidRPr="005B0AF4" w:rsidRDefault="003D34B1">
      <w:pPr>
        <w:tabs>
          <w:tab w:val="left" w:pos="851"/>
        </w:tabs>
        <w:ind w:left="851" w:right="901"/>
        <w:jc w:val="both"/>
        <w:rPr>
          <w:rFonts w:ascii="Palatino Linotype" w:eastAsia="Palatino Linotype" w:hAnsi="Palatino Linotype" w:cs="Palatino Linotype"/>
          <w:i/>
          <w:sz w:val="22"/>
          <w:szCs w:val="22"/>
        </w:rPr>
      </w:pPr>
    </w:p>
    <w:p w14:paraId="7EBAA4D5" w14:textId="77777777" w:rsidR="003D34B1" w:rsidRPr="005B0AF4" w:rsidRDefault="00F50C64">
      <w:pPr>
        <w:tabs>
          <w:tab w:val="left" w:pos="851"/>
        </w:tabs>
        <w:ind w:left="851" w:right="90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b) Solicitar la aprobación de la o el juez de control de las técnicas de investigación, cuya realización requieren aprobación judicial posterior. </w:t>
      </w:r>
    </w:p>
    <w:p w14:paraId="59526B0D" w14:textId="77777777" w:rsidR="003D34B1" w:rsidRPr="005B0AF4" w:rsidRDefault="003D34B1">
      <w:pPr>
        <w:tabs>
          <w:tab w:val="left" w:pos="851"/>
        </w:tabs>
        <w:ind w:left="851" w:right="901"/>
        <w:jc w:val="both"/>
        <w:rPr>
          <w:rFonts w:ascii="Palatino Linotype" w:eastAsia="Palatino Linotype" w:hAnsi="Palatino Linotype" w:cs="Palatino Linotype"/>
          <w:i/>
          <w:sz w:val="22"/>
          <w:szCs w:val="22"/>
        </w:rPr>
      </w:pPr>
    </w:p>
    <w:p w14:paraId="49E1AC50" w14:textId="77777777" w:rsidR="003D34B1" w:rsidRPr="005B0AF4" w:rsidRDefault="00F50C64">
      <w:pPr>
        <w:tabs>
          <w:tab w:val="left" w:pos="851"/>
        </w:tabs>
        <w:ind w:left="851" w:right="90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c) Observar los manuales y protocolos que al efecto se emitan y demás disposiciones jurídicas aplicables. </w:t>
      </w:r>
    </w:p>
    <w:p w14:paraId="719C43B0" w14:textId="77777777" w:rsidR="003D34B1" w:rsidRPr="005B0AF4" w:rsidRDefault="003D34B1">
      <w:pPr>
        <w:tabs>
          <w:tab w:val="left" w:pos="851"/>
        </w:tabs>
        <w:ind w:left="851" w:right="901"/>
        <w:jc w:val="both"/>
        <w:rPr>
          <w:rFonts w:ascii="Palatino Linotype" w:eastAsia="Palatino Linotype" w:hAnsi="Palatino Linotype" w:cs="Palatino Linotype"/>
          <w:i/>
          <w:sz w:val="22"/>
          <w:szCs w:val="22"/>
        </w:rPr>
      </w:pPr>
    </w:p>
    <w:p w14:paraId="12DDB3D9" w14:textId="77777777" w:rsidR="003D34B1" w:rsidRPr="005B0AF4" w:rsidRDefault="00F50C64">
      <w:pPr>
        <w:tabs>
          <w:tab w:val="left" w:pos="851"/>
        </w:tabs>
        <w:ind w:left="851" w:right="90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d) Guardar estricta confidencialidad respecto de la información que se genere con las técnicas de investigación, cuya revelación no autorizada será sancionada en términos de las disposiciones penales aplicables.</w:t>
      </w:r>
    </w:p>
    <w:p w14:paraId="5E493784" w14:textId="77777777" w:rsidR="003D34B1" w:rsidRPr="005B0AF4" w:rsidRDefault="003D34B1">
      <w:pPr>
        <w:tabs>
          <w:tab w:val="left" w:pos="851"/>
        </w:tabs>
        <w:ind w:right="901"/>
        <w:jc w:val="both"/>
        <w:rPr>
          <w:rFonts w:ascii="Palatino Linotype" w:eastAsia="Palatino Linotype" w:hAnsi="Palatino Linotype" w:cs="Palatino Linotype"/>
          <w:i/>
          <w:sz w:val="22"/>
          <w:szCs w:val="22"/>
        </w:rPr>
      </w:pPr>
    </w:p>
    <w:p w14:paraId="39E398D2" w14:textId="77777777" w:rsidR="003D34B1" w:rsidRPr="005B0AF4" w:rsidRDefault="00F50C64">
      <w:pPr>
        <w:tabs>
          <w:tab w:val="left" w:pos="851"/>
        </w:tabs>
        <w:ind w:left="851" w:right="90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p>
    <w:p w14:paraId="6B6A9045" w14:textId="77777777" w:rsidR="003D34B1" w:rsidRPr="005B0AF4" w:rsidRDefault="00F50C64">
      <w:pPr>
        <w:tabs>
          <w:tab w:val="left" w:pos="851"/>
        </w:tabs>
        <w:ind w:left="851" w:right="90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IX.</w:t>
      </w:r>
      <w:r w:rsidRPr="005B0AF4">
        <w:rPr>
          <w:rFonts w:ascii="Palatino Linotype" w:eastAsia="Palatino Linotype" w:hAnsi="Palatino Linotype" w:cs="Palatino Linotype"/>
          <w:i/>
          <w:sz w:val="22"/>
          <w:szCs w:val="22"/>
        </w:rPr>
        <w:t xml:space="preserve"> </w:t>
      </w:r>
      <w:r w:rsidRPr="005B0AF4">
        <w:rPr>
          <w:rFonts w:ascii="Palatino Linotype" w:eastAsia="Palatino Linotype" w:hAnsi="Palatino Linotype" w:cs="Palatino Linotype"/>
          <w:b/>
          <w:i/>
          <w:sz w:val="22"/>
          <w:szCs w:val="22"/>
        </w:rPr>
        <w:t>Actuar durante todas las etapas del procedimiento</w:t>
      </w:r>
      <w:r w:rsidRPr="005B0AF4">
        <w:rPr>
          <w:rFonts w:ascii="Palatino Linotype" w:eastAsia="Palatino Linotype" w:hAnsi="Palatino Linotype" w:cs="Palatino Linotype"/>
          <w:i/>
          <w:sz w:val="22"/>
          <w:szCs w:val="22"/>
        </w:rPr>
        <w:t xml:space="preserve"> en las que intervenga, con absoluto apego a las disposiciones jurídicas aplicables, protegiendo los derechos tanto de las y los imputados como de las demás personas que intervienen en el procedimiento penal, así como el interés social.</w:t>
      </w:r>
    </w:p>
    <w:p w14:paraId="722D9B0D" w14:textId="77777777" w:rsidR="003D34B1" w:rsidRPr="005B0AF4" w:rsidRDefault="00F50C64">
      <w:pPr>
        <w:tabs>
          <w:tab w:val="left" w:pos="851"/>
        </w:tabs>
        <w:ind w:left="851" w:right="90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p>
    <w:p w14:paraId="5AA248D1" w14:textId="77777777" w:rsidR="003D34B1" w:rsidRPr="005B0AF4" w:rsidRDefault="00F50C64">
      <w:pPr>
        <w:tabs>
          <w:tab w:val="left" w:pos="851"/>
        </w:tabs>
        <w:ind w:left="851" w:right="90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X. Requerir y recabar informes, entrevistas, así como la práctica de peritajes, inspecciones, procesamiento del lugar de los hechos, actuaciones policiales, obtener evidencias, formular requerimientos e integrar a la carpeta de investigación los datos y elementos de prueba que tiendan a establecer el hecho que las disposiciones jurídicas señalan como delito en la forma que determine el Código Nacional y demás leyes aplicables, para fundamentar el ejercicio de la acción penal, así como para acreditar y cuantificar la reparación de los daños y perjuicios causados.</w:t>
      </w:r>
    </w:p>
    <w:p w14:paraId="1ED066F3" w14:textId="77777777" w:rsidR="003D34B1" w:rsidRPr="005B0AF4" w:rsidRDefault="003D34B1">
      <w:pPr>
        <w:tabs>
          <w:tab w:val="left" w:pos="851"/>
        </w:tabs>
        <w:ind w:left="851" w:right="901"/>
        <w:jc w:val="both"/>
        <w:rPr>
          <w:rFonts w:ascii="Palatino Linotype" w:eastAsia="Palatino Linotype" w:hAnsi="Palatino Linotype" w:cs="Palatino Linotype"/>
          <w:i/>
          <w:sz w:val="22"/>
          <w:szCs w:val="22"/>
        </w:rPr>
      </w:pPr>
    </w:p>
    <w:p w14:paraId="3C0A36C5" w14:textId="77777777" w:rsidR="003D34B1" w:rsidRPr="005B0AF4" w:rsidRDefault="00F50C64">
      <w:pPr>
        <w:tabs>
          <w:tab w:val="left" w:pos="851"/>
        </w:tabs>
        <w:ind w:left="851" w:right="90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XII.</w:t>
      </w:r>
      <w:r w:rsidRPr="005B0AF4">
        <w:rPr>
          <w:rFonts w:ascii="Palatino Linotype" w:eastAsia="Palatino Linotype" w:hAnsi="Palatino Linotype" w:cs="Palatino Linotype"/>
          <w:i/>
          <w:sz w:val="22"/>
          <w:szCs w:val="22"/>
        </w:rPr>
        <w:t xml:space="preserve"> </w:t>
      </w:r>
      <w:r w:rsidRPr="005B0AF4">
        <w:rPr>
          <w:rFonts w:ascii="Palatino Linotype" w:eastAsia="Palatino Linotype" w:hAnsi="Palatino Linotype" w:cs="Palatino Linotype"/>
          <w:b/>
          <w:i/>
          <w:sz w:val="22"/>
          <w:szCs w:val="22"/>
        </w:rPr>
        <w:t>Velar para que en todos los actos iniciales del procedimiento</w:t>
      </w:r>
      <w:r w:rsidRPr="005B0AF4">
        <w:rPr>
          <w:rFonts w:ascii="Palatino Linotype" w:eastAsia="Palatino Linotype" w:hAnsi="Palatino Linotype" w:cs="Palatino Linotype"/>
          <w:i/>
          <w:sz w:val="22"/>
          <w:szCs w:val="22"/>
        </w:rPr>
        <w:t>, tanto la o el imputado como la víctima u ofendido conozcan los derechos que le reconocen en ese momento procedimental la Constitución Federal, los tratados internacionales vinculantes para el Estado Mexicano y demás disposiciones jurídicas aplicables, en los términos establecidos en el Código Nacional.</w:t>
      </w:r>
    </w:p>
    <w:p w14:paraId="6EE3E9C6" w14:textId="77777777" w:rsidR="003D34B1" w:rsidRPr="005B0AF4" w:rsidRDefault="003D34B1">
      <w:pPr>
        <w:tabs>
          <w:tab w:val="left" w:pos="851"/>
        </w:tabs>
        <w:ind w:right="901"/>
        <w:jc w:val="both"/>
        <w:rPr>
          <w:rFonts w:ascii="Palatino Linotype" w:eastAsia="Palatino Linotype" w:hAnsi="Palatino Linotype" w:cs="Palatino Linotype"/>
          <w:i/>
          <w:sz w:val="22"/>
          <w:szCs w:val="22"/>
        </w:rPr>
      </w:pPr>
    </w:p>
    <w:p w14:paraId="388C3256" w14:textId="77777777" w:rsidR="003D34B1" w:rsidRPr="005B0AF4" w:rsidRDefault="00F50C64">
      <w:pPr>
        <w:tabs>
          <w:tab w:val="left" w:pos="851"/>
        </w:tabs>
        <w:ind w:left="851" w:right="901"/>
        <w:jc w:val="both"/>
        <w:rPr>
          <w:rFonts w:ascii="Palatino Linotype" w:eastAsia="Palatino Linotype" w:hAnsi="Palatino Linotype" w:cs="Palatino Linotype"/>
          <w:b/>
          <w:i/>
          <w:sz w:val="22"/>
          <w:szCs w:val="22"/>
        </w:rPr>
      </w:pPr>
      <w:r w:rsidRPr="005B0AF4">
        <w:rPr>
          <w:rFonts w:ascii="Palatino Linotype" w:eastAsia="Palatino Linotype" w:hAnsi="Palatino Linotype" w:cs="Palatino Linotype"/>
          <w:b/>
          <w:i/>
          <w:sz w:val="22"/>
          <w:szCs w:val="22"/>
        </w:rPr>
        <w:t>B. Para el ejercicio de la acción penal:</w:t>
      </w:r>
    </w:p>
    <w:p w14:paraId="7573EC2C" w14:textId="77777777" w:rsidR="003D34B1" w:rsidRPr="005B0AF4" w:rsidRDefault="00F50C64">
      <w:pPr>
        <w:tabs>
          <w:tab w:val="left" w:pos="851"/>
        </w:tabs>
        <w:ind w:left="851" w:right="90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IX.</w:t>
      </w:r>
      <w:r w:rsidRPr="005B0AF4">
        <w:rPr>
          <w:rFonts w:ascii="Palatino Linotype" w:eastAsia="Palatino Linotype" w:hAnsi="Palatino Linotype" w:cs="Palatino Linotype"/>
          <w:i/>
          <w:sz w:val="22"/>
          <w:szCs w:val="22"/>
        </w:rPr>
        <w:t xml:space="preserve"> </w:t>
      </w:r>
      <w:r w:rsidRPr="005B0AF4">
        <w:rPr>
          <w:rFonts w:ascii="Palatino Linotype" w:eastAsia="Palatino Linotype" w:hAnsi="Palatino Linotype" w:cs="Palatino Linotype"/>
          <w:b/>
          <w:i/>
          <w:sz w:val="22"/>
          <w:szCs w:val="22"/>
        </w:rPr>
        <w:t xml:space="preserve">Aportar los datos o elementos de prueba suficientes para obtener resoluciones favorables </w:t>
      </w:r>
      <w:r w:rsidRPr="005B0AF4">
        <w:rPr>
          <w:rFonts w:ascii="Palatino Linotype" w:eastAsia="Palatino Linotype" w:hAnsi="Palatino Linotype" w:cs="Palatino Linotype"/>
          <w:i/>
          <w:sz w:val="22"/>
          <w:szCs w:val="22"/>
        </w:rPr>
        <w:t>al interés social o los medios de prueba y su legal desahogo para la debida comprobación en juicio de la existencia del delito y la plena responsabilidad de la o el imputado, las circunstancias en que hubiese sido cometido, la existencia de los daños, así como para la fijación del monto de su reparación, el decomiso de los bienes afectos, así como para la procedencia de las demás penas y medidas de seguridad.</w:t>
      </w:r>
    </w:p>
    <w:p w14:paraId="7B385981" w14:textId="77777777" w:rsidR="003D34B1" w:rsidRPr="005B0AF4" w:rsidRDefault="003D34B1">
      <w:pPr>
        <w:tabs>
          <w:tab w:val="left" w:pos="851"/>
        </w:tabs>
        <w:ind w:left="851" w:right="901"/>
        <w:jc w:val="both"/>
        <w:rPr>
          <w:rFonts w:ascii="Palatino Linotype" w:eastAsia="Palatino Linotype" w:hAnsi="Palatino Linotype" w:cs="Palatino Linotype"/>
          <w:i/>
          <w:sz w:val="22"/>
          <w:szCs w:val="22"/>
        </w:rPr>
      </w:pPr>
    </w:p>
    <w:p w14:paraId="3BCE9E14" w14:textId="77777777" w:rsidR="003D34B1" w:rsidRPr="005B0AF4" w:rsidRDefault="00F50C64">
      <w:pPr>
        <w:ind w:left="720" w:right="90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XI. Acudir puntualmente a las audiencias que fijen las autoridades judiciales, con los datos, órganos y medios de prueba conducentes, permanecer en éstas, promover oralmente lo que en derecho proceda y solicitar copia de los registros respectivos para el acervo institucional.</w:t>
      </w:r>
    </w:p>
    <w:p w14:paraId="0093349E" w14:textId="77777777" w:rsidR="003D34B1" w:rsidRPr="005B0AF4" w:rsidRDefault="003D34B1">
      <w:pPr>
        <w:ind w:left="720" w:right="900"/>
        <w:jc w:val="both"/>
        <w:rPr>
          <w:rFonts w:ascii="Palatino Linotype" w:eastAsia="Palatino Linotype" w:hAnsi="Palatino Linotype" w:cs="Palatino Linotype"/>
          <w:i/>
          <w:sz w:val="22"/>
          <w:szCs w:val="22"/>
        </w:rPr>
      </w:pPr>
    </w:p>
    <w:p w14:paraId="2A565296" w14:textId="77777777" w:rsidR="003D34B1" w:rsidRPr="005B0AF4" w:rsidRDefault="003D34B1">
      <w:pPr>
        <w:ind w:left="720" w:right="900"/>
        <w:jc w:val="both"/>
        <w:rPr>
          <w:rFonts w:ascii="Palatino Linotype" w:eastAsia="Palatino Linotype" w:hAnsi="Palatino Linotype" w:cs="Palatino Linotype"/>
          <w:i/>
          <w:sz w:val="22"/>
          <w:szCs w:val="22"/>
        </w:rPr>
      </w:pPr>
    </w:p>
    <w:p w14:paraId="4CAB1F62" w14:textId="77777777" w:rsidR="003D34B1" w:rsidRPr="005B0AF4" w:rsidRDefault="00F50C64">
      <w:pPr>
        <w:ind w:left="720" w:right="90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C. Para la ejecución de las sanciones penales:</w:t>
      </w:r>
    </w:p>
    <w:p w14:paraId="5BDFBE3E" w14:textId="77777777" w:rsidR="003D34B1" w:rsidRPr="005B0AF4" w:rsidRDefault="00F50C64">
      <w:pPr>
        <w:ind w:left="720" w:right="90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II. Intervenir e impulsar los procedimientos que se ventilen ante los juzgados de ejecución y cualquier otra autoridad judicial competente. (Sic)</w:t>
      </w:r>
    </w:p>
    <w:p w14:paraId="31922532"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4EA9AC61"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De lo anterior, se puede advertir que el Ministerio Público dentro de sus atribuciones le corresponde iniciar la carpeta de investigación si de los datos aportados por la o el denunciante o querellante y los recabados por éste, se desprende la probable comisión de un hecho delictivo.</w:t>
      </w:r>
    </w:p>
    <w:p w14:paraId="5E46EE70"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6236196D"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Además, el Ministerio Público tiene como atribución: solicitar, ejecutar u ordenar las técnicas de investigación aplicables, conforme al Código Nacional de Procedimientos Penales y a la Normatividad que emita la o el Fiscal General.</w:t>
      </w:r>
    </w:p>
    <w:p w14:paraId="507A432A"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7D6F708E"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En este sentido, se advierte que la Fiscalía General de Justicia del Estado de México por vía del Ministerio Público debe actuar en todas las etapas del procedimiento y debe velar por el interés de quienes sean lesionadas o lesionados en sus derechos. </w:t>
      </w:r>
    </w:p>
    <w:p w14:paraId="373DF0AC" w14:textId="77777777" w:rsidR="003D34B1" w:rsidRPr="005B0AF4" w:rsidRDefault="003D34B1">
      <w:pPr>
        <w:tabs>
          <w:tab w:val="left" w:pos="851"/>
        </w:tabs>
        <w:ind w:left="851" w:right="901"/>
        <w:jc w:val="both"/>
        <w:rPr>
          <w:rFonts w:ascii="Palatino Linotype" w:eastAsia="Palatino Linotype" w:hAnsi="Palatino Linotype" w:cs="Palatino Linotype"/>
          <w:i/>
          <w:sz w:val="22"/>
          <w:szCs w:val="22"/>
        </w:rPr>
      </w:pPr>
    </w:p>
    <w:p w14:paraId="5E46BE57"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Finalmente, señala que para el ejercicio de la acción penal el Ministerio Público deberá aportar los datos y elementos de prueba suficientes para obtener resoluciones favorables al interés social o los medios de prueba y su legal desahogo para la debida comprobación en juicio de la existencia del delito y la plena responsabilidad de la o el imputado, las circunstancias en que hubiese sido cometido, la existencia de los daños, así como para la fijación del monto de su reparación, el decomiso de los bienes afectos, así como para la procedencia de las demás penas y medidas de seguridad. </w:t>
      </w:r>
    </w:p>
    <w:p w14:paraId="5B00F0DC"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4E251F48" w14:textId="77777777" w:rsidR="003D34B1" w:rsidRPr="005B0AF4" w:rsidRDefault="00F50C64">
      <w:pPr>
        <w:spacing w:line="360" w:lineRule="auto"/>
        <w:jc w:val="both"/>
        <w:rPr>
          <w:rFonts w:ascii="Palatino Linotype" w:eastAsia="Palatino Linotype" w:hAnsi="Palatino Linotype" w:cs="Palatino Linotype"/>
          <w:b/>
          <w:sz w:val="22"/>
          <w:szCs w:val="22"/>
          <w:u w:val="single"/>
        </w:rPr>
      </w:pPr>
      <w:r w:rsidRPr="005B0AF4">
        <w:rPr>
          <w:rFonts w:ascii="Palatino Linotype" w:eastAsia="Palatino Linotype" w:hAnsi="Palatino Linotype" w:cs="Palatino Linotype"/>
          <w:sz w:val="22"/>
          <w:szCs w:val="22"/>
        </w:rPr>
        <w:t xml:space="preserve">Asimismo, </w:t>
      </w:r>
      <w:r w:rsidRPr="005B0AF4">
        <w:rPr>
          <w:rFonts w:ascii="Palatino Linotype" w:eastAsia="Palatino Linotype" w:hAnsi="Palatino Linotype" w:cs="Palatino Linotype"/>
          <w:b/>
          <w:sz w:val="22"/>
          <w:szCs w:val="22"/>
          <w:u w:val="single"/>
        </w:rPr>
        <w:t xml:space="preserve">es importante mencionar que conforme al artículo 105 del Código Nacional de Procedimientos Penales, el Ministerio Público es sujeto del procedimiento penal y le corresponde conocer de las resoluciones dictadas por el Órgano jurisdiccional. </w:t>
      </w:r>
    </w:p>
    <w:p w14:paraId="012DF490" w14:textId="77777777" w:rsidR="003D34B1" w:rsidRPr="005B0AF4" w:rsidRDefault="003D34B1">
      <w:pPr>
        <w:spacing w:line="360" w:lineRule="auto"/>
        <w:jc w:val="both"/>
        <w:rPr>
          <w:rFonts w:ascii="Palatino Linotype" w:eastAsia="Palatino Linotype" w:hAnsi="Palatino Linotype" w:cs="Palatino Linotype"/>
          <w:b/>
          <w:sz w:val="22"/>
          <w:szCs w:val="22"/>
          <w:u w:val="single"/>
        </w:rPr>
      </w:pPr>
    </w:p>
    <w:p w14:paraId="5B0BDEE6" w14:textId="77777777" w:rsidR="003D34B1" w:rsidRPr="005B0AF4" w:rsidRDefault="00F50C64">
      <w:pPr>
        <w:pBdr>
          <w:top w:val="nil"/>
          <w:left w:val="nil"/>
          <w:bottom w:val="nil"/>
          <w:right w:val="nil"/>
          <w:between w:val="nil"/>
        </w:pBdr>
        <w:ind w:left="720" w:right="1134"/>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 xml:space="preserve">“Artículo 105. Sujetos de procedimiento penal </w:t>
      </w:r>
    </w:p>
    <w:p w14:paraId="71730C4C" w14:textId="77777777" w:rsidR="003D34B1" w:rsidRPr="005B0AF4" w:rsidRDefault="00F50C64">
      <w:pPr>
        <w:pBdr>
          <w:top w:val="nil"/>
          <w:left w:val="nil"/>
          <w:bottom w:val="nil"/>
          <w:right w:val="nil"/>
          <w:between w:val="nil"/>
        </w:pBdr>
        <w:ind w:left="720" w:right="1134"/>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Son sujetos del procedimiento penal los siguientes:</w:t>
      </w:r>
    </w:p>
    <w:p w14:paraId="65ABB6BE" w14:textId="77777777" w:rsidR="003D34B1" w:rsidRPr="005B0AF4" w:rsidRDefault="00F50C64">
      <w:pPr>
        <w:pBdr>
          <w:top w:val="nil"/>
          <w:left w:val="nil"/>
          <w:bottom w:val="nil"/>
          <w:right w:val="nil"/>
          <w:between w:val="nil"/>
        </w:pBdr>
        <w:ind w:left="720" w:right="1134"/>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p>
    <w:p w14:paraId="078E9009" w14:textId="77777777" w:rsidR="003D34B1" w:rsidRPr="005B0AF4" w:rsidRDefault="00F50C64">
      <w:pPr>
        <w:ind w:left="720" w:right="1134"/>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V. El Ministerio Público;</w:t>
      </w:r>
    </w:p>
    <w:p w14:paraId="03386A29" w14:textId="77777777" w:rsidR="003D34B1" w:rsidRPr="005B0AF4" w:rsidRDefault="003D34B1">
      <w:pPr>
        <w:ind w:left="720" w:right="1134"/>
        <w:jc w:val="both"/>
        <w:rPr>
          <w:rFonts w:ascii="Palatino Linotype" w:eastAsia="Palatino Linotype" w:hAnsi="Palatino Linotype" w:cs="Palatino Linotype"/>
          <w:i/>
          <w:sz w:val="22"/>
          <w:szCs w:val="22"/>
        </w:rPr>
      </w:pPr>
    </w:p>
    <w:p w14:paraId="264D65E9" w14:textId="77777777" w:rsidR="003D34B1" w:rsidRPr="005B0AF4" w:rsidRDefault="00F50C64">
      <w:pPr>
        <w:pBdr>
          <w:top w:val="nil"/>
          <w:left w:val="nil"/>
          <w:bottom w:val="nil"/>
          <w:right w:val="nil"/>
          <w:between w:val="nil"/>
        </w:pBdr>
        <w:ind w:right="1134"/>
        <w:rPr>
          <w:rFonts w:ascii="Palatino Linotype" w:eastAsia="Palatino Linotype" w:hAnsi="Palatino Linotype" w:cs="Palatino Linotype"/>
          <w:b/>
          <w:i/>
          <w:sz w:val="22"/>
          <w:szCs w:val="22"/>
        </w:rPr>
      </w:pPr>
      <w:r w:rsidRPr="005B0AF4">
        <w:rPr>
          <w:rFonts w:ascii="Cambria" w:eastAsia="Cambria" w:hAnsi="Cambria" w:cs="Cambria"/>
          <w:sz w:val="22"/>
          <w:szCs w:val="22"/>
        </w:rPr>
        <w:t xml:space="preserve">                </w:t>
      </w:r>
      <w:r w:rsidRPr="005B0AF4">
        <w:rPr>
          <w:rFonts w:ascii="Palatino Linotype" w:eastAsia="Palatino Linotype" w:hAnsi="Palatino Linotype" w:cs="Palatino Linotype"/>
          <w:b/>
          <w:i/>
          <w:sz w:val="22"/>
          <w:szCs w:val="22"/>
        </w:rPr>
        <w:t>Artículo 63. Notificación en audiencia</w:t>
      </w:r>
    </w:p>
    <w:p w14:paraId="024B6C46" w14:textId="77777777" w:rsidR="003D34B1" w:rsidRPr="005B0AF4" w:rsidRDefault="00F50C64">
      <w:pPr>
        <w:ind w:left="720" w:right="1134"/>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b/>
          <w:i/>
          <w:sz w:val="22"/>
          <w:szCs w:val="22"/>
        </w:rPr>
        <w:t>Las resoluciones del Órgano jurisdiccional serán dictadas en forma oral, con expresión de sus fundamentos y motivaciones, quedando los intervinientes en ellas y quienes estaban obligados a asistir formalmente notificados de su emisión, lo que constará en el registro correspondiente en los términos previstos en este Código</w:t>
      </w:r>
      <w:r w:rsidRPr="005B0AF4">
        <w:rPr>
          <w:rFonts w:ascii="Palatino Linotype" w:eastAsia="Palatino Linotype" w:hAnsi="Palatino Linotype" w:cs="Palatino Linotype"/>
          <w:i/>
          <w:sz w:val="22"/>
          <w:szCs w:val="22"/>
        </w:rPr>
        <w:t>.”(Sic)</w:t>
      </w:r>
    </w:p>
    <w:p w14:paraId="22856EA2"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73F1EEFA"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De todo lo dicho, se puede advertir que, contrario a lo señalado por la fiscalía General de Justicia está sí, está en oportunidad de conocer respecto de la naturaleza de la información; es decir, con base en lo anterior está en oportunidad de conocer de la sentencias, los documentos que aporta y que soportan la Litis, así como los criterios bajo los cuales se hace una investigación ante la autoridad jurisdiccional. </w:t>
      </w:r>
    </w:p>
    <w:p w14:paraId="2369F185" w14:textId="77777777" w:rsidR="003D34B1" w:rsidRPr="005B0AF4" w:rsidRDefault="003D34B1">
      <w:pPr>
        <w:spacing w:line="360" w:lineRule="auto"/>
        <w:ind w:right="-93"/>
        <w:jc w:val="both"/>
        <w:rPr>
          <w:rFonts w:ascii="Palatino Linotype" w:eastAsia="Palatino Linotype" w:hAnsi="Palatino Linotype" w:cs="Palatino Linotype"/>
          <w:sz w:val="22"/>
          <w:szCs w:val="22"/>
        </w:rPr>
      </w:pPr>
    </w:p>
    <w:p w14:paraId="3263492B" w14:textId="77777777" w:rsidR="003D34B1" w:rsidRPr="005B0AF4" w:rsidRDefault="00F50C64">
      <w:pPr>
        <w:spacing w:line="360" w:lineRule="auto"/>
        <w:ind w:right="-93"/>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Aunado a lo anterior y tomando como referencia que el peticionario solicita de la Fiscalía General de Justicia del Estado de México información relacionada con un posible hecho de constitución delictiva; a su decir, señala como “…</w:t>
      </w:r>
      <w:r w:rsidRPr="005B0AF4">
        <w:rPr>
          <w:rFonts w:ascii="Palatino Linotype" w:eastAsia="Palatino Linotype" w:hAnsi="Palatino Linotype" w:cs="Palatino Linotype"/>
          <w:i/>
          <w:sz w:val="22"/>
          <w:szCs w:val="22"/>
        </w:rPr>
        <w:t xml:space="preserve">trans feminicidio” </w:t>
      </w:r>
      <w:r w:rsidRPr="005B0AF4">
        <w:rPr>
          <w:rFonts w:ascii="Palatino Linotype" w:eastAsia="Palatino Linotype" w:hAnsi="Palatino Linotype" w:cs="Palatino Linotype"/>
          <w:sz w:val="22"/>
          <w:szCs w:val="22"/>
        </w:rPr>
        <w:t>por lo que es importante realizar las siguientes precisiones.</w:t>
      </w:r>
    </w:p>
    <w:p w14:paraId="25FAC5E6" w14:textId="77777777" w:rsidR="003D34B1" w:rsidRPr="005B0AF4" w:rsidRDefault="003D34B1">
      <w:pPr>
        <w:spacing w:line="360" w:lineRule="auto"/>
        <w:ind w:right="-93"/>
        <w:jc w:val="both"/>
        <w:rPr>
          <w:rFonts w:ascii="Palatino Linotype" w:eastAsia="Palatino Linotype" w:hAnsi="Palatino Linotype" w:cs="Palatino Linotype"/>
          <w:sz w:val="22"/>
          <w:szCs w:val="22"/>
        </w:rPr>
      </w:pPr>
    </w:p>
    <w:p w14:paraId="2086C2C7" w14:textId="77777777" w:rsidR="003D34B1" w:rsidRPr="005B0AF4" w:rsidRDefault="00F50C64">
      <w:pPr>
        <w:spacing w:line="360" w:lineRule="auto"/>
        <w:ind w:right="-93"/>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Al respecto, de acuerdo con </w:t>
      </w:r>
      <w:r w:rsidRPr="005B0AF4">
        <w:rPr>
          <w:rFonts w:ascii="Palatino Linotype" w:eastAsia="Palatino Linotype" w:hAnsi="Palatino Linotype" w:cs="Palatino Linotype"/>
          <w:i/>
          <w:sz w:val="22"/>
          <w:szCs w:val="22"/>
        </w:rPr>
        <w:t>la Guía para usos de lenguaje inclusivo y no sexista de la Unidad General de Igualdad de Género de la Suprema Corte de Justicia de la Nación</w:t>
      </w:r>
      <w:r w:rsidRPr="005B0AF4">
        <w:rPr>
          <w:rFonts w:ascii="Palatino Linotype" w:eastAsia="Palatino Linotype" w:hAnsi="Palatino Linotype" w:cs="Palatino Linotype"/>
          <w:sz w:val="22"/>
          <w:szCs w:val="22"/>
        </w:rPr>
        <w:t xml:space="preserve">, señala que un término adecuado para referirse a las personas que tienen identidad de género o expresión de género diferente a las expectativas culturales basadas en el sexo que se les asignó al nacer, es persona </w:t>
      </w:r>
      <w:r w:rsidRPr="005B0AF4">
        <w:rPr>
          <w:rFonts w:ascii="Palatino Linotype" w:eastAsia="Palatino Linotype" w:hAnsi="Palatino Linotype" w:cs="Palatino Linotype"/>
          <w:i/>
          <w:sz w:val="22"/>
          <w:szCs w:val="22"/>
        </w:rPr>
        <w:t xml:space="preserve">trans. </w:t>
      </w:r>
      <w:r w:rsidRPr="005B0AF4">
        <w:rPr>
          <w:rFonts w:ascii="Palatino Linotype" w:eastAsia="Palatino Linotype" w:hAnsi="Palatino Linotype" w:cs="Palatino Linotype"/>
          <w:sz w:val="22"/>
          <w:szCs w:val="22"/>
          <w:vertAlign w:val="superscript"/>
        </w:rPr>
        <w:footnoteReference w:id="3"/>
      </w:r>
    </w:p>
    <w:p w14:paraId="6CEB04F0" w14:textId="77777777" w:rsidR="003D34B1" w:rsidRPr="005B0AF4" w:rsidRDefault="003D34B1">
      <w:pPr>
        <w:spacing w:line="360" w:lineRule="auto"/>
        <w:ind w:right="-93"/>
        <w:jc w:val="both"/>
        <w:rPr>
          <w:rFonts w:ascii="Palatino Linotype" w:eastAsia="Palatino Linotype" w:hAnsi="Palatino Linotype" w:cs="Palatino Linotype"/>
          <w:sz w:val="22"/>
          <w:szCs w:val="22"/>
        </w:rPr>
      </w:pPr>
    </w:p>
    <w:p w14:paraId="0F295151" w14:textId="77777777" w:rsidR="003D34B1" w:rsidRPr="005B0AF4" w:rsidRDefault="00F50C64">
      <w:pPr>
        <w:spacing w:line="360" w:lineRule="auto"/>
        <w:ind w:right="-93"/>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Ahora, respecto del término “</w:t>
      </w:r>
      <w:r w:rsidRPr="005B0AF4">
        <w:rPr>
          <w:rFonts w:ascii="Palatino Linotype" w:eastAsia="Palatino Linotype" w:hAnsi="Palatino Linotype" w:cs="Palatino Linotype"/>
          <w:i/>
          <w:sz w:val="22"/>
          <w:szCs w:val="22"/>
        </w:rPr>
        <w:t>feminicidio</w:t>
      </w:r>
      <w:r w:rsidRPr="005B0AF4">
        <w:rPr>
          <w:rFonts w:ascii="Palatino Linotype" w:eastAsia="Palatino Linotype" w:hAnsi="Palatino Linotype" w:cs="Palatino Linotype"/>
          <w:sz w:val="22"/>
          <w:szCs w:val="22"/>
        </w:rPr>
        <w:t>” la Corte Interamericana de Derechos Humanos, en su sentencia en contra del Estado mexicano en el caso Campo Algodonero</w:t>
      </w:r>
      <w:r w:rsidRPr="005B0AF4">
        <w:rPr>
          <w:rFonts w:ascii="Palatino Linotype" w:eastAsia="Palatino Linotype" w:hAnsi="Palatino Linotype" w:cs="Palatino Linotype"/>
          <w:sz w:val="22"/>
          <w:szCs w:val="22"/>
          <w:vertAlign w:val="superscript"/>
        </w:rPr>
        <w:footnoteReference w:id="4"/>
      </w:r>
      <w:r w:rsidRPr="005B0AF4">
        <w:rPr>
          <w:rFonts w:ascii="Palatino Linotype" w:eastAsia="Palatino Linotype" w:hAnsi="Palatino Linotype" w:cs="Palatino Linotype"/>
          <w:sz w:val="22"/>
          <w:szCs w:val="22"/>
        </w:rPr>
        <w:t>,  reconoce el término feminicidio como “…</w:t>
      </w:r>
      <w:r w:rsidRPr="005B0AF4">
        <w:rPr>
          <w:rFonts w:ascii="Palatino Linotype" w:eastAsia="Palatino Linotype" w:hAnsi="Palatino Linotype" w:cs="Palatino Linotype"/>
          <w:i/>
          <w:sz w:val="22"/>
          <w:szCs w:val="22"/>
        </w:rPr>
        <w:t xml:space="preserve">el homicidio de mujeres y niñas por razones de género”. </w:t>
      </w:r>
    </w:p>
    <w:p w14:paraId="3F215A15" w14:textId="77777777" w:rsidR="003D34B1" w:rsidRPr="005B0AF4" w:rsidRDefault="003D34B1">
      <w:pPr>
        <w:spacing w:line="360" w:lineRule="auto"/>
        <w:ind w:right="-93"/>
        <w:jc w:val="both"/>
        <w:rPr>
          <w:rFonts w:ascii="Palatino Linotype" w:eastAsia="Palatino Linotype" w:hAnsi="Palatino Linotype" w:cs="Palatino Linotype"/>
          <w:sz w:val="22"/>
          <w:szCs w:val="22"/>
        </w:rPr>
      </w:pPr>
    </w:p>
    <w:p w14:paraId="7D89A04E" w14:textId="77777777" w:rsidR="003D34B1" w:rsidRPr="005B0AF4" w:rsidRDefault="00F50C64">
      <w:pPr>
        <w:spacing w:line="360" w:lineRule="auto"/>
        <w:ind w:right="-93"/>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Así, en el Código Penal para la Ciudad de México en el capítulo VII sobre </w:t>
      </w:r>
      <w:proofErr w:type="spellStart"/>
      <w:r w:rsidRPr="005B0AF4">
        <w:rPr>
          <w:rFonts w:ascii="Palatino Linotype" w:eastAsia="Palatino Linotype" w:hAnsi="Palatino Linotype" w:cs="Palatino Linotype"/>
          <w:sz w:val="22"/>
          <w:szCs w:val="22"/>
        </w:rPr>
        <w:t>transfeminicidio</w:t>
      </w:r>
      <w:proofErr w:type="spellEnd"/>
      <w:r w:rsidRPr="005B0AF4">
        <w:rPr>
          <w:rFonts w:ascii="Palatino Linotype" w:eastAsia="Palatino Linotype" w:hAnsi="Palatino Linotype" w:cs="Palatino Linotype"/>
          <w:sz w:val="22"/>
          <w:szCs w:val="22"/>
        </w:rPr>
        <w:t xml:space="preserve">, se define que </w:t>
      </w:r>
      <w:r w:rsidRPr="005B0AF4">
        <w:rPr>
          <w:rFonts w:ascii="Palatino Linotype" w:eastAsia="Palatino Linotype" w:hAnsi="Palatino Linotype" w:cs="Palatino Linotype"/>
          <w:i/>
          <w:sz w:val="22"/>
          <w:szCs w:val="22"/>
        </w:rPr>
        <w:t xml:space="preserve">“comete el delito de </w:t>
      </w:r>
      <w:proofErr w:type="spellStart"/>
      <w:r w:rsidRPr="005B0AF4">
        <w:rPr>
          <w:rFonts w:ascii="Palatino Linotype" w:eastAsia="Palatino Linotype" w:hAnsi="Palatino Linotype" w:cs="Palatino Linotype"/>
          <w:i/>
          <w:sz w:val="22"/>
          <w:szCs w:val="22"/>
        </w:rPr>
        <w:t>transfeminicidio</w:t>
      </w:r>
      <w:proofErr w:type="spellEnd"/>
      <w:r w:rsidRPr="005B0AF4">
        <w:rPr>
          <w:rFonts w:ascii="Palatino Linotype" w:eastAsia="Palatino Linotype" w:hAnsi="Palatino Linotype" w:cs="Palatino Linotype"/>
          <w:i/>
          <w:sz w:val="22"/>
          <w:szCs w:val="22"/>
        </w:rPr>
        <w:t xml:space="preserve"> quien, por razón de identidad de género o expresión de género, prive de la vida a una mujer trans o a una persona cuya identidad o expresión de género, real o percibida, se encuentre dentro del espectro femenino de género</w:t>
      </w:r>
      <w:r w:rsidRPr="005B0AF4">
        <w:rPr>
          <w:rFonts w:ascii="Palatino Linotype" w:eastAsia="Palatino Linotype" w:hAnsi="Palatino Linotype" w:cs="Palatino Linotype"/>
          <w:sz w:val="22"/>
          <w:szCs w:val="22"/>
        </w:rPr>
        <w:t>”.</w:t>
      </w:r>
    </w:p>
    <w:p w14:paraId="23D7D7E2" w14:textId="77777777" w:rsidR="003D34B1" w:rsidRPr="005B0AF4" w:rsidRDefault="003D34B1">
      <w:pPr>
        <w:spacing w:line="360" w:lineRule="auto"/>
        <w:ind w:right="-93"/>
        <w:jc w:val="both"/>
        <w:rPr>
          <w:rFonts w:ascii="Palatino Linotype" w:eastAsia="Palatino Linotype" w:hAnsi="Palatino Linotype" w:cs="Palatino Linotype"/>
          <w:sz w:val="22"/>
          <w:szCs w:val="22"/>
        </w:rPr>
      </w:pPr>
    </w:p>
    <w:p w14:paraId="2A81C335" w14:textId="77777777" w:rsidR="003D34B1" w:rsidRPr="005B0AF4" w:rsidRDefault="00F50C64">
      <w:pPr>
        <w:spacing w:line="360" w:lineRule="auto"/>
        <w:ind w:right="-93"/>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No obstante, lo anterior, cabe enfatizar que, en nuestra legislación penal a la fecha no se tipifica como tal el delito de </w:t>
      </w:r>
      <w:proofErr w:type="spellStart"/>
      <w:r w:rsidRPr="005B0AF4">
        <w:rPr>
          <w:rFonts w:ascii="Palatino Linotype" w:eastAsia="Palatino Linotype" w:hAnsi="Palatino Linotype" w:cs="Palatino Linotype"/>
          <w:i/>
          <w:sz w:val="22"/>
          <w:szCs w:val="22"/>
        </w:rPr>
        <w:t>transfeminicidio</w:t>
      </w:r>
      <w:proofErr w:type="spellEnd"/>
      <w:r w:rsidRPr="005B0AF4">
        <w:rPr>
          <w:rFonts w:ascii="Palatino Linotype" w:eastAsia="Palatino Linotype" w:hAnsi="Palatino Linotype" w:cs="Palatino Linotype"/>
          <w:i/>
          <w:sz w:val="22"/>
          <w:szCs w:val="22"/>
        </w:rPr>
        <w:t xml:space="preserve">; </w:t>
      </w:r>
      <w:r w:rsidRPr="005B0AF4">
        <w:rPr>
          <w:rFonts w:ascii="Palatino Linotype" w:eastAsia="Palatino Linotype" w:hAnsi="Palatino Linotype" w:cs="Palatino Linotype"/>
          <w:b/>
          <w:sz w:val="22"/>
          <w:szCs w:val="22"/>
        </w:rPr>
        <w:t>sin embargo,</w:t>
      </w:r>
      <w:r w:rsidRPr="005B0AF4">
        <w:rPr>
          <w:rFonts w:ascii="Palatino Linotype" w:eastAsia="Palatino Linotype" w:hAnsi="Palatino Linotype" w:cs="Palatino Linotype"/>
          <w:sz w:val="22"/>
          <w:szCs w:val="22"/>
        </w:rPr>
        <w:t xml:space="preserve">  en el Capítulo V “FEMINICIDIO” en su artículo 218 del Código Penal del Estado de México, se señala que:</w:t>
      </w:r>
    </w:p>
    <w:p w14:paraId="4F2A9461" w14:textId="77777777" w:rsidR="003D34B1" w:rsidRPr="005B0AF4" w:rsidRDefault="003D34B1">
      <w:pPr>
        <w:spacing w:line="360" w:lineRule="auto"/>
        <w:ind w:right="-93"/>
        <w:jc w:val="both"/>
        <w:rPr>
          <w:rFonts w:ascii="Palatino Linotype" w:eastAsia="Palatino Linotype" w:hAnsi="Palatino Linotype" w:cs="Palatino Linotype"/>
          <w:sz w:val="22"/>
          <w:szCs w:val="22"/>
        </w:rPr>
      </w:pPr>
    </w:p>
    <w:p w14:paraId="2F8B3C0F" w14:textId="77777777" w:rsidR="003D34B1" w:rsidRPr="005B0AF4" w:rsidRDefault="00F50C64">
      <w:pPr>
        <w:ind w:left="720" w:right="1134"/>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Comete el delito de feminicidio quien prive de la vida a una mujer por razones de género. Se considera que existen razones de género cuando concurra alguna de las siguientes circunstancias: </w:t>
      </w:r>
    </w:p>
    <w:p w14:paraId="0B8BD7BB" w14:textId="77777777" w:rsidR="003D34B1" w:rsidRPr="005B0AF4" w:rsidRDefault="003D34B1">
      <w:pPr>
        <w:ind w:left="720" w:right="1134"/>
        <w:jc w:val="both"/>
        <w:rPr>
          <w:rFonts w:ascii="Palatino Linotype" w:eastAsia="Palatino Linotype" w:hAnsi="Palatino Linotype" w:cs="Palatino Linotype"/>
          <w:i/>
          <w:sz w:val="22"/>
          <w:szCs w:val="22"/>
        </w:rPr>
      </w:pPr>
    </w:p>
    <w:p w14:paraId="0EDFD0F7" w14:textId="77777777" w:rsidR="003D34B1" w:rsidRPr="005B0AF4" w:rsidRDefault="00F50C64">
      <w:pPr>
        <w:ind w:left="720" w:right="1134"/>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I. La víctima presente signos de violencia sexual de cualquier tipo.</w:t>
      </w:r>
    </w:p>
    <w:p w14:paraId="3B6057C4" w14:textId="77777777" w:rsidR="003D34B1" w:rsidRPr="005B0AF4" w:rsidRDefault="00F50C64">
      <w:pPr>
        <w:ind w:left="720" w:right="1134"/>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 II. A la víctima se le hayan infligido lesiones o mutilaciones infamantes o degradantes, previas o posteriores a la privación de la vida o actos de necrofilia. </w:t>
      </w:r>
    </w:p>
    <w:p w14:paraId="7A13D157" w14:textId="77777777" w:rsidR="003D34B1" w:rsidRPr="005B0AF4" w:rsidRDefault="00F50C64">
      <w:pPr>
        <w:ind w:left="720" w:right="1134"/>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III. Existan antecedentes, datos o medios de prueba de cualquier tipo de violencia en el ámbito familiar, laboral o escolar, del sujeto activo en contra de la víctima.</w:t>
      </w:r>
    </w:p>
    <w:p w14:paraId="65530052" w14:textId="77777777" w:rsidR="003D34B1" w:rsidRPr="005B0AF4" w:rsidRDefault="00F50C64">
      <w:pPr>
        <w:ind w:left="720" w:right="1134"/>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 IV. Haya existido entre el activo y la víctima una relación sentimental, afectiva o de confianza. </w:t>
      </w:r>
    </w:p>
    <w:p w14:paraId="3C404499" w14:textId="77777777" w:rsidR="003D34B1" w:rsidRPr="005B0AF4" w:rsidRDefault="00F50C64">
      <w:pPr>
        <w:ind w:left="720" w:right="1134"/>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V. Existan datos o medios de prueba que establezcan que hubo amenazas relacionadas con el hecho delictuoso, acoso o lesiones del sujeto activo en contra de la víctima. </w:t>
      </w:r>
    </w:p>
    <w:p w14:paraId="08947043" w14:textId="77777777" w:rsidR="003D34B1" w:rsidRPr="005B0AF4" w:rsidRDefault="00F50C64">
      <w:pPr>
        <w:ind w:left="720" w:right="1134"/>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VI. La víctima haya sido incomunicada, cualquiera que sea el tiempo previo a la privación de la vida. </w:t>
      </w:r>
    </w:p>
    <w:p w14:paraId="41A3632D" w14:textId="77777777" w:rsidR="003D34B1" w:rsidRPr="005B0AF4" w:rsidRDefault="00F50C64">
      <w:pPr>
        <w:ind w:left="720" w:right="1134"/>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VII. El cuerpo de la víctima sea expuesto o exhibido en un lugar público. </w:t>
      </w:r>
    </w:p>
    <w:p w14:paraId="34208EF7" w14:textId="77777777" w:rsidR="003D34B1" w:rsidRPr="005B0AF4" w:rsidRDefault="00F50C64">
      <w:pPr>
        <w:ind w:left="720" w:right="1134"/>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VIII. Como resultado de violencia de género, pudiendo ser el sujeto activo persona conocida o desconocida y sin ningún tipo de relación…” </w:t>
      </w:r>
    </w:p>
    <w:p w14:paraId="6019567F" w14:textId="77777777" w:rsidR="003D34B1" w:rsidRPr="005B0AF4" w:rsidRDefault="003D34B1">
      <w:pPr>
        <w:spacing w:line="360" w:lineRule="auto"/>
        <w:ind w:right="-93"/>
        <w:jc w:val="both"/>
        <w:rPr>
          <w:rFonts w:ascii="Palatino Linotype" w:eastAsia="Palatino Linotype" w:hAnsi="Palatino Linotype" w:cs="Palatino Linotype"/>
          <w:i/>
          <w:sz w:val="22"/>
          <w:szCs w:val="22"/>
        </w:rPr>
      </w:pPr>
    </w:p>
    <w:p w14:paraId="47182BE4" w14:textId="77777777" w:rsidR="003D34B1" w:rsidRPr="005B0AF4" w:rsidRDefault="00F50C64">
      <w:pPr>
        <w:widowControl w:val="0"/>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Ahora bien, sobre el asunto que ahora se resuelve, es necesario resaltar que, el requerimiento de información se desprende que </w:t>
      </w:r>
      <w:r w:rsidRPr="005B0AF4">
        <w:rPr>
          <w:rFonts w:ascii="Palatino Linotype" w:eastAsia="Palatino Linotype" w:hAnsi="Palatino Linotype" w:cs="Palatino Linotype"/>
          <w:b/>
          <w:sz w:val="22"/>
          <w:szCs w:val="22"/>
        </w:rPr>
        <w:t xml:space="preserve">LA PARTE RECURRENTE </w:t>
      </w:r>
      <w:r w:rsidRPr="005B0AF4">
        <w:rPr>
          <w:rFonts w:ascii="Palatino Linotype" w:eastAsia="Palatino Linotype" w:hAnsi="Palatino Linotype" w:cs="Palatino Linotype"/>
          <w:sz w:val="22"/>
          <w:szCs w:val="22"/>
        </w:rPr>
        <w:t xml:space="preserve">solicita información con un hecho en específico, sobre el cual se localizó  </w:t>
      </w:r>
      <w:proofErr w:type="spellStart"/>
      <w:r w:rsidRPr="005B0AF4">
        <w:rPr>
          <w:rFonts w:ascii="Palatino Linotype" w:eastAsia="Palatino Linotype" w:hAnsi="Palatino Linotype" w:cs="Palatino Linotype"/>
          <w:sz w:val="22"/>
          <w:szCs w:val="22"/>
        </w:rPr>
        <w:t>localizó</w:t>
      </w:r>
      <w:proofErr w:type="spellEnd"/>
      <w:r w:rsidRPr="005B0AF4">
        <w:rPr>
          <w:rFonts w:ascii="Palatino Linotype" w:eastAsia="Palatino Linotype" w:hAnsi="Palatino Linotype" w:cs="Palatino Linotype"/>
          <w:sz w:val="22"/>
          <w:szCs w:val="22"/>
        </w:rPr>
        <w:t xml:space="preserve"> la nota periodística, denominada “Comunidad trans de Edomex exige justicia por trans feminicidio de Karen”, publicado por MILENIO, el doce de noviembre del año dos mil veintitrés, tal como se aprecia en la siguiente </w:t>
      </w:r>
      <w:proofErr w:type="spellStart"/>
      <w:r w:rsidRPr="005B0AF4">
        <w:rPr>
          <w:rFonts w:ascii="Palatino Linotype" w:eastAsia="Palatino Linotype" w:hAnsi="Palatino Linotype" w:cs="Palatino Linotype"/>
          <w:sz w:val="22"/>
          <w:szCs w:val="22"/>
        </w:rPr>
        <w:t>imágen</w:t>
      </w:r>
      <w:proofErr w:type="spellEnd"/>
      <w:r w:rsidRPr="005B0AF4">
        <w:rPr>
          <w:rFonts w:ascii="Palatino Linotype" w:eastAsia="Palatino Linotype" w:hAnsi="Palatino Linotype" w:cs="Palatino Linotype"/>
          <w:sz w:val="22"/>
          <w:szCs w:val="22"/>
        </w:rPr>
        <w:t xml:space="preserve">. </w:t>
      </w:r>
    </w:p>
    <w:p w14:paraId="055896EF" w14:textId="77777777" w:rsidR="003D34B1" w:rsidRPr="005B0AF4" w:rsidRDefault="003D34B1">
      <w:pPr>
        <w:widowControl w:val="0"/>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2A2FEC8" w14:textId="77777777" w:rsidR="003D34B1" w:rsidRPr="005B0AF4" w:rsidRDefault="00187FEC">
      <w:pPr>
        <w:spacing w:line="360" w:lineRule="auto"/>
        <w:jc w:val="both"/>
        <w:rPr>
          <w:rFonts w:ascii="Palatino Linotype" w:eastAsia="Palatino Linotype" w:hAnsi="Palatino Linotype" w:cs="Palatino Linotype"/>
          <w:sz w:val="22"/>
          <w:szCs w:val="22"/>
          <w:u w:val="single"/>
        </w:rPr>
      </w:pPr>
      <w:hyperlink r:id="rId8">
        <w:r w:rsidR="00F50C64" w:rsidRPr="005B0AF4">
          <w:rPr>
            <w:rFonts w:ascii="Palatino Linotype" w:eastAsia="Palatino Linotype" w:hAnsi="Palatino Linotype" w:cs="Palatino Linotype"/>
            <w:sz w:val="22"/>
            <w:szCs w:val="22"/>
            <w:u w:val="single"/>
          </w:rPr>
          <w:t>https://www.milenio.com/policia/comunidad-trans-de-edomex-exige-justicia-por-transfeminicidio-de-karen</w:t>
        </w:r>
      </w:hyperlink>
      <w:r w:rsidR="00F50C64" w:rsidRPr="005B0AF4">
        <w:rPr>
          <w:rFonts w:ascii="Palatino Linotype" w:eastAsia="Palatino Linotype" w:hAnsi="Palatino Linotype" w:cs="Palatino Linotype"/>
          <w:sz w:val="22"/>
          <w:szCs w:val="22"/>
          <w:u w:val="single"/>
        </w:rPr>
        <w:t xml:space="preserve">  </w:t>
      </w:r>
    </w:p>
    <w:p w14:paraId="3214FBB9"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noProof/>
          <w:sz w:val="22"/>
          <w:szCs w:val="22"/>
        </w:rPr>
        <w:lastRenderedPageBreak/>
        <w:drawing>
          <wp:inline distT="0" distB="0" distL="0" distR="0" wp14:anchorId="254BAB84" wp14:editId="62FF9E53">
            <wp:extent cx="5671185" cy="4267835"/>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71185" cy="4267835"/>
                    </a:xfrm>
                    <a:prstGeom prst="rect">
                      <a:avLst/>
                    </a:prstGeom>
                    <a:ln/>
                  </pic:spPr>
                </pic:pic>
              </a:graphicData>
            </a:graphic>
          </wp:inline>
        </w:drawing>
      </w:r>
    </w:p>
    <w:p w14:paraId="04CE8A96" w14:textId="77777777" w:rsidR="003D34B1" w:rsidRPr="005B0AF4" w:rsidRDefault="003D34B1" w:rsidP="007B4960">
      <w:pPr>
        <w:spacing w:line="360" w:lineRule="auto"/>
        <w:rPr>
          <w:rFonts w:ascii="Palatino Linotype" w:eastAsia="Palatino Linotype" w:hAnsi="Palatino Linotype" w:cs="Palatino Linotype"/>
          <w:sz w:val="22"/>
          <w:szCs w:val="22"/>
        </w:rPr>
      </w:pPr>
    </w:p>
    <w:p w14:paraId="02A74136"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Con base a lo anterior, podemos concluir que hay un indicio de que la información solicitada debe obrar en los archivos de un </w:t>
      </w:r>
      <w:r w:rsidRPr="005B0AF4">
        <w:rPr>
          <w:rFonts w:ascii="Palatino Linotype" w:eastAsia="Palatino Linotype" w:hAnsi="Palatino Linotype" w:cs="Palatino Linotype"/>
          <w:b/>
          <w:sz w:val="22"/>
          <w:szCs w:val="22"/>
        </w:rPr>
        <w:t>Sujeto Obligado diverso</w:t>
      </w:r>
      <w:r w:rsidRPr="005B0AF4">
        <w:rPr>
          <w:rFonts w:ascii="Palatino Linotype" w:eastAsia="Palatino Linotype" w:hAnsi="Palatino Linotype" w:cs="Palatino Linotype"/>
          <w:sz w:val="22"/>
          <w:szCs w:val="22"/>
        </w:rPr>
        <w:t>, sirve de sustento a lo anterior las siguientes tesis jurisprudenciales:</w:t>
      </w:r>
    </w:p>
    <w:p w14:paraId="657D683E"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1714F223" w14:textId="77777777" w:rsidR="003D34B1" w:rsidRPr="005B0AF4" w:rsidRDefault="00F50C64">
      <w:pPr>
        <w:spacing w:line="360" w:lineRule="auto"/>
        <w:ind w:left="567" w:right="618"/>
        <w:jc w:val="center"/>
        <w:rPr>
          <w:rFonts w:ascii="Palatino Linotype" w:eastAsia="Palatino Linotype" w:hAnsi="Palatino Linotype" w:cs="Palatino Linotype"/>
          <w:b/>
          <w:i/>
          <w:sz w:val="22"/>
          <w:szCs w:val="22"/>
        </w:rPr>
      </w:pPr>
      <w:r w:rsidRPr="005B0AF4">
        <w:rPr>
          <w:rFonts w:ascii="Palatino Linotype" w:eastAsia="Palatino Linotype" w:hAnsi="Palatino Linotype" w:cs="Palatino Linotype"/>
          <w:b/>
          <w:i/>
          <w:sz w:val="22"/>
          <w:szCs w:val="22"/>
        </w:rPr>
        <w:t>HECHOS NOTORIOS. CONCEPTOS GENERAL Y JURÍDICO</w:t>
      </w:r>
    </w:p>
    <w:p w14:paraId="1999EA81" w14:textId="77777777" w:rsidR="003D34B1" w:rsidRPr="005B0AF4" w:rsidRDefault="00F50C64">
      <w:pPr>
        <w:spacing w:line="276" w:lineRule="auto"/>
        <w:ind w:left="567" w:right="618"/>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 xml:space="preserve">Conforme al artículo </w:t>
      </w:r>
      <w:hyperlink r:id="rId10">
        <w:r w:rsidRPr="005B0AF4">
          <w:rPr>
            <w:rFonts w:ascii="Palatino Linotype" w:eastAsia="Palatino Linotype" w:hAnsi="Palatino Linotype" w:cs="Palatino Linotype"/>
            <w:b/>
            <w:i/>
            <w:sz w:val="22"/>
            <w:szCs w:val="22"/>
          </w:rPr>
          <w:t>88 del Código Federal de Procedimientos Civiles</w:t>
        </w:r>
      </w:hyperlink>
      <w:r w:rsidRPr="005B0AF4">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5B0AF4">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5B0AF4">
        <w:rPr>
          <w:rFonts w:ascii="Palatino Linotype" w:eastAsia="Palatino Linotype" w:hAnsi="Palatino Linotype" w:cs="Palatino Linotype"/>
          <w:b/>
          <w:i/>
          <w:sz w:val="22"/>
          <w:szCs w:val="22"/>
        </w:rPr>
        <w:t xml:space="preserve">, a las vicisitudes de la vida pública actual o a circunstancias comúnmente conocidas en un determinado </w:t>
      </w:r>
      <w:r w:rsidRPr="005B0AF4">
        <w:rPr>
          <w:rFonts w:ascii="Palatino Linotype" w:eastAsia="Palatino Linotype" w:hAnsi="Palatino Linotype" w:cs="Palatino Linotype"/>
          <w:b/>
          <w:i/>
          <w:sz w:val="22"/>
          <w:szCs w:val="22"/>
        </w:rPr>
        <w:lastRenderedPageBreak/>
        <w:t>lugar</w:t>
      </w:r>
      <w:r w:rsidRPr="005B0AF4">
        <w:rPr>
          <w:rFonts w:ascii="Palatino Linotype" w:eastAsia="Palatino Linotype" w:hAnsi="Palatino Linotype" w:cs="Palatino Linotype"/>
          <w:i/>
          <w:sz w:val="22"/>
          <w:szCs w:val="22"/>
        </w:rPr>
        <w:t xml:space="preserve">, </w:t>
      </w:r>
      <w:r w:rsidRPr="005B0AF4">
        <w:rPr>
          <w:rFonts w:ascii="Palatino Linotype" w:eastAsia="Palatino Linotype" w:hAnsi="Palatino Linotype" w:cs="Palatino Linotype"/>
          <w:b/>
          <w:i/>
          <w:sz w:val="22"/>
          <w:szCs w:val="22"/>
        </w:rPr>
        <w:t>de modo que toda persona de ese medio esté en condiciones de saberlo</w:t>
      </w:r>
      <w:r w:rsidRPr="005B0AF4">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40C61CC6" w14:textId="77777777" w:rsidR="003D34B1" w:rsidRPr="005B0AF4" w:rsidRDefault="00F50C64">
      <w:pPr>
        <w:spacing w:line="276" w:lineRule="auto"/>
        <w:ind w:left="567" w:right="618"/>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0B4A9D77" w14:textId="77777777" w:rsidR="003D34B1" w:rsidRPr="005B0AF4" w:rsidRDefault="00F50C64">
      <w:pPr>
        <w:spacing w:line="276" w:lineRule="auto"/>
        <w:ind w:left="567" w:right="618"/>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4887A749" w14:textId="77777777" w:rsidR="003D34B1" w:rsidRPr="005B0AF4" w:rsidRDefault="00F50C64">
      <w:pPr>
        <w:spacing w:line="276" w:lineRule="auto"/>
        <w:ind w:left="567" w:right="618"/>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1729792F"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2D1AB580"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Por otro lado, se localizó un comunicado publicado  del </w:t>
      </w:r>
      <w:r w:rsidRPr="005B0AF4">
        <w:rPr>
          <w:rFonts w:ascii="Palatino Linotype" w:eastAsia="Palatino Linotype" w:hAnsi="Palatino Linotype" w:cs="Palatino Linotype"/>
          <w:b/>
          <w:sz w:val="22"/>
          <w:szCs w:val="22"/>
        </w:rPr>
        <w:t>SUJETO OBLIGADO</w:t>
      </w:r>
      <w:r w:rsidRPr="005B0AF4">
        <w:rPr>
          <w:rFonts w:ascii="Palatino Linotype" w:eastAsia="Palatino Linotype" w:hAnsi="Palatino Linotype" w:cs="Palatino Linotype"/>
          <w:sz w:val="22"/>
          <w:szCs w:val="22"/>
        </w:rPr>
        <w:t xml:space="preserve"> del cual se desprende lo siguiente: </w:t>
      </w:r>
    </w:p>
    <w:p w14:paraId="74B1B687"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 </w:t>
      </w:r>
    </w:p>
    <w:p w14:paraId="60B460BD" w14:textId="77777777" w:rsidR="003D34B1" w:rsidRPr="005B0AF4" w:rsidRDefault="00187FEC">
      <w:pPr>
        <w:spacing w:line="360" w:lineRule="auto"/>
        <w:jc w:val="both"/>
        <w:rPr>
          <w:rFonts w:ascii="Palatino Linotype" w:eastAsia="Palatino Linotype" w:hAnsi="Palatino Linotype" w:cs="Palatino Linotype"/>
          <w:sz w:val="22"/>
          <w:szCs w:val="22"/>
        </w:rPr>
      </w:pPr>
      <w:hyperlink r:id="rId11">
        <w:r w:rsidR="00F50C64" w:rsidRPr="005B0AF4">
          <w:rPr>
            <w:rFonts w:ascii="Palatino Linotype" w:eastAsia="Palatino Linotype" w:hAnsi="Palatino Linotype" w:cs="Palatino Linotype"/>
            <w:sz w:val="22"/>
            <w:szCs w:val="22"/>
            <w:u w:val="single"/>
          </w:rPr>
          <w:t>https://x.com/FiscaliaEdomex/status/1728117922676240611</w:t>
        </w:r>
      </w:hyperlink>
      <w:r w:rsidR="00F50C64" w:rsidRPr="005B0AF4">
        <w:rPr>
          <w:rFonts w:ascii="Palatino Linotype" w:eastAsia="Palatino Linotype" w:hAnsi="Palatino Linotype" w:cs="Palatino Linotype"/>
          <w:sz w:val="22"/>
          <w:szCs w:val="22"/>
        </w:rPr>
        <w:t xml:space="preserve"> </w:t>
      </w:r>
    </w:p>
    <w:p w14:paraId="02F00AB4"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noProof/>
          <w:sz w:val="22"/>
          <w:szCs w:val="22"/>
        </w:rPr>
        <w:lastRenderedPageBreak/>
        <w:drawing>
          <wp:inline distT="114300" distB="114300" distL="114300" distR="114300" wp14:anchorId="0369B8E9" wp14:editId="09E7858F">
            <wp:extent cx="5667375" cy="6349072"/>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67375" cy="6349072"/>
                    </a:xfrm>
                    <a:prstGeom prst="rect">
                      <a:avLst/>
                    </a:prstGeom>
                    <a:ln/>
                  </pic:spPr>
                </pic:pic>
              </a:graphicData>
            </a:graphic>
          </wp:inline>
        </w:drawing>
      </w:r>
    </w:p>
    <w:p w14:paraId="4DD75F46" w14:textId="77777777" w:rsidR="003D34B1" w:rsidRPr="005B0AF4" w:rsidRDefault="00F50C64">
      <w:pPr>
        <w:spacing w:before="240" w:after="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 </w:t>
      </w:r>
    </w:p>
    <w:p w14:paraId="5A6EF000" w14:textId="77777777" w:rsidR="003D34B1" w:rsidRPr="005B0AF4" w:rsidRDefault="00F50C64">
      <w:pPr>
        <w:spacing w:line="360" w:lineRule="auto"/>
        <w:jc w:val="both"/>
        <w:rPr>
          <w:rFonts w:ascii="Palatino Linotype" w:eastAsia="Palatino Linotype" w:hAnsi="Palatino Linotype" w:cs="Palatino Linotype"/>
          <w:b/>
          <w:sz w:val="22"/>
          <w:szCs w:val="22"/>
        </w:rPr>
      </w:pPr>
      <w:r w:rsidRPr="005B0AF4">
        <w:rPr>
          <w:rFonts w:ascii="Palatino Linotype" w:eastAsia="Palatino Linotype" w:hAnsi="Palatino Linotype" w:cs="Palatino Linotype"/>
          <w:sz w:val="22"/>
          <w:szCs w:val="22"/>
        </w:rPr>
        <w:lastRenderedPageBreak/>
        <w:t xml:space="preserve">Conforme a lo anterior, se logra vislumbrar que el hecho referido en la solicitud, se encuentra en etapa de investigación por lo que aún no se cuenta con una sentencia, por lo que, no resulta procedente ordenar la información requerida en ese punto de la solicitud. </w:t>
      </w:r>
    </w:p>
    <w:p w14:paraId="6CFA0C3C"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4FB44AA3"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Ahora bien, por cuanto hace a los soportes documentales que fundamentaron la litis y los criterios bajo los cuales se investigó el tras feminicidio, se trata de información contenida en  la carpeta de investigación en trámite</w:t>
      </w:r>
      <w:r w:rsidRPr="005B0AF4">
        <w:rPr>
          <w:rFonts w:ascii="Palatino Linotype" w:eastAsia="Palatino Linotype" w:hAnsi="Palatino Linotype" w:cs="Palatino Linotype"/>
          <w:b/>
          <w:sz w:val="22"/>
          <w:szCs w:val="22"/>
        </w:rPr>
        <w:t xml:space="preserve">, </w:t>
      </w:r>
      <w:r w:rsidRPr="005B0AF4">
        <w:rPr>
          <w:rFonts w:ascii="Palatino Linotype" w:eastAsia="Palatino Linotype" w:hAnsi="Palatino Linotype" w:cs="Palatino Linotype"/>
          <w:sz w:val="22"/>
          <w:szCs w:val="22"/>
        </w:rPr>
        <w:t xml:space="preserve">motivo por el que es necesario analizar la siguiente normatividad. </w:t>
      </w:r>
    </w:p>
    <w:p w14:paraId="52A03E55" w14:textId="77777777" w:rsidR="003D34B1" w:rsidRPr="005B0AF4" w:rsidRDefault="003D34B1">
      <w:pPr>
        <w:spacing w:line="360" w:lineRule="auto"/>
        <w:jc w:val="both"/>
        <w:rPr>
          <w:rFonts w:ascii="Palatino Linotype" w:eastAsia="Palatino Linotype" w:hAnsi="Palatino Linotype" w:cs="Palatino Linotype"/>
          <w:b/>
          <w:sz w:val="22"/>
          <w:szCs w:val="22"/>
        </w:rPr>
      </w:pPr>
    </w:p>
    <w:p w14:paraId="68842B07" w14:textId="77777777" w:rsidR="003D34B1" w:rsidRPr="005B0AF4" w:rsidRDefault="00F50C64">
      <w:pPr>
        <w:widowControl w:val="0"/>
        <w:pBdr>
          <w:top w:val="nil"/>
          <w:left w:val="nil"/>
          <w:bottom w:val="nil"/>
          <w:right w:val="nil"/>
          <w:between w:val="nil"/>
        </w:pBdr>
        <w:spacing w:line="276" w:lineRule="auto"/>
        <w:ind w:left="851" w:right="992"/>
        <w:jc w:val="both"/>
        <w:rPr>
          <w:rFonts w:ascii="Palatino Linotype" w:eastAsia="Palatino Linotype" w:hAnsi="Palatino Linotype" w:cs="Palatino Linotype"/>
          <w:b/>
          <w:i/>
          <w:sz w:val="22"/>
          <w:szCs w:val="22"/>
        </w:rPr>
      </w:pPr>
      <w:r w:rsidRPr="005B0AF4">
        <w:rPr>
          <w:rFonts w:ascii="Palatino Linotype" w:eastAsia="Palatino Linotype" w:hAnsi="Palatino Linotype" w:cs="Palatino Linotype"/>
          <w:b/>
          <w:i/>
          <w:sz w:val="22"/>
          <w:szCs w:val="22"/>
        </w:rPr>
        <w:t>CÓDIGO NACIONAL DE PROCEDIMIENTOS PENALES.</w:t>
      </w:r>
    </w:p>
    <w:p w14:paraId="317397D1" w14:textId="77777777" w:rsidR="003D34B1" w:rsidRPr="005B0AF4" w:rsidRDefault="003D34B1">
      <w:pPr>
        <w:widowControl w:val="0"/>
        <w:pBdr>
          <w:top w:val="nil"/>
          <w:left w:val="nil"/>
          <w:bottom w:val="nil"/>
          <w:right w:val="nil"/>
          <w:between w:val="nil"/>
        </w:pBdr>
        <w:spacing w:line="276" w:lineRule="auto"/>
        <w:ind w:left="851" w:right="992"/>
        <w:jc w:val="both"/>
        <w:rPr>
          <w:rFonts w:ascii="Palatino Linotype" w:eastAsia="Palatino Linotype" w:hAnsi="Palatino Linotype" w:cs="Palatino Linotype"/>
          <w:b/>
          <w:i/>
          <w:sz w:val="22"/>
          <w:szCs w:val="22"/>
        </w:rPr>
      </w:pPr>
    </w:p>
    <w:p w14:paraId="3A93F276" w14:textId="77777777" w:rsidR="003D34B1" w:rsidRPr="005B0AF4" w:rsidRDefault="00F50C64">
      <w:pPr>
        <w:widowControl w:val="0"/>
        <w:pBdr>
          <w:top w:val="nil"/>
          <w:left w:val="nil"/>
          <w:bottom w:val="nil"/>
          <w:right w:val="nil"/>
          <w:between w:val="nil"/>
        </w:pBdr>
        <w:spacing w:line="276" w:lineRule="auto"/>
        <w:ind w:left="851" w:right="99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Artículo 15.</w:t>
      </w:r>
      <w:r w:rsidRPr="005B0AF4">
        <w:rPr>
          <w:rFonts w:ascii="Palatino Linotype" w:eastAsia="Palatino Linotype" w:hAnsi="Palatino Linotype" w:cs="Palatino Linotype"/>
          <w:i/>
          <w:sz w:val="22"/>
          <w:szCs w:val="22"/>
        </w:rPr>
        <w:t xml:space="preserve"> Derecho a la intimidad y a la privacidad En todo procedimiento penal se respetará el derecho a la intimidad de cualquier persona que intervenga en él, asimismo se protegerá la información que se refiere a la vida privada y los datos personales, en los términos y con las excepciones que fijan la Constitución, este Código y la legislación aplicable. </w:t>
      </w:r>
    </w:p>
    <w:p w14:paraId="58C961EC" w14:textId="77777777" w:rsidR="003D34B1" w:rsidRPr="005B0AF4" w:rsidRDefault="003D34B1">
      <w:pPr>
        <w:widowControl w:val="0"/>
        <w:pBdr>
          <w:top w:val="nil"/>
          <w:left w:val="nil"/>
          <w:bottom w:val="nil"/>
          <w:right w:val="nil"/>
          <w:between w:val="nil"/>
        </w:pBdr>
        <w:spacing w:line="276" w:lineRule="auto"/>
        <w:ind w:left="851" w:right="992"/>
        <w:jc w:val="both"/>
        <w:rPr>
          <w:rFonts w:ascii="Palatino Linotype" w:eastAsia="Palatino Linotype" w:hAnsi="Palatino Linotype" w:cs="Palatino Linotype"/>
          <w:i/>
          <w:sz w:val="22"/>
          <w:szCs w:val="22"/>
        </w:rPr>
      </w:pPr>
    </w:p>
    <w:p w14:paraId="40BE7865" w14:textId="77777777" w:rsidR="003D34B1" w:rsidRPr="005B0AF4" w:rsidRDefault="00F50C64">
      <w:pPr>
        <w:widowControl w:val="0"/>
        <w:pBdr>
          <w:top w:val="nil"/>
          <w:left w:val="nil"/>
          <w:bottom w:val="nil"/>
          <w:right w:val="nil"/>
          <w:between w:val="nil"/>
        </w:pBdr>
        <w:spacing w:line="276" w:lineRule="auto"/>
        <w:ind w:left="851" w:right="99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Artículo 218. Reserva de los actos de investigación.</w:t>
      </w:r>
    </w:p>
    <w:p w14:paraId="661D967A" w14:textId="77777777" w:rsidR="003D34B1" w:rsidRPr="005B0AF4" w:rsidRDefault="00F50C64">
      <w:pPr>
        <w:widowControl w:val="0"/>
        <w:pBdr>
          <w:top w:val="nil"/>
          <w:left w:val="nil"/>
          <w:bottom w:val="nil"/>
          <w:right w:val="nil"/>
          <w:between w:val="nil"/>
        </w:pBdr>
        <w:spacing w:line="276" w:lineRule="auto"/>
        <w:ind w:left="851" w:right="99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Los registros de la investigación, así como todos los documentos, independientemente de su contenido o naturaleza, los objetos, los registros de voz e imágenes o cosas que le estén relacionados, son estrictamente reservados, por lo que únicamente las partes, podrán tener acceso a los mismos, con las limitaciones establecidas en este Código y demás disposiciones aplicables.</w:t>
      </w:r>
    </w:p>
    <w:p w14:paraId="1822B3B8" w14:textId="77777777" w:rsidR="003D34B1" w:rsidRPr="005B0AF4" w:rsidRDefault="003D34B1">
      <w:pPr>
        <w:widowControl w:val="0"/>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65554D1"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En este tenor, los registros de investigación, así como los documentos independientemente de su contenido o naturaleza, son estrictamente reservados, por lo que únicamente las partes podrán tener acceso a los mismos, con las limitaciones establecidas en el Código Nacional de Procedimientos Penales, por lo tanto, </w:t>
      </w:r>
      <w:r w:rsidRPr="005B0AF4">
        <w:rPr>
          <w:rFonts w:ascii="Palatino Linotype" w:eastAsia="Palatino Linotype" w:hAnsi="Palatino Linotype" w:cs="Palatino Linotype"/>
          <w:b/>
          <w:sz w:val="22"/>
          <w:szCs w:val="22"/>
          <w:u w:val="single"/>
        </w:rPr>
        <w:t xml:space="preserve">las carpetas de investigación </w:t>
      </w:r>
      <w:r w:rsidRPr="005B0AF4">
        <w:rPr>
          <w:rFonts w:ascii="Palatino Linotype" w:eastAsia="Palatino Linotype" w:hAnsi="Palatino Linotype" w:cs="Palatino Linotype"/>
          <w:sz w:val="22"/>
          <w:szCs w:val="22"/>
        </w:rPr>
        <w:t xml:space="preserve">son susceptibles de </w:t>
      </w:r>
      <w:r w:rsidRPr="005B0AF4">
        <w:rPr>
          <w:rFonts w:ascii="Palatino Linotype" w:eastAsia="Palatino Linotype" w:hAnsi="Palatino Linotype" w:cs="Palatino Linotype"/>
          <w:sz w:val="22"/>
          <w:szCs w:val="22"/>
        </w:rPr>
        <w:lastRenderedPageBreak/>
        <w:t>clasificación como reservada</w:t>
      </w:r>
      <w:r w:rsidRPr="005B0AF4">
        <w:rPr>
          <w:rFonts w:ascii="Palatino Linotype" w:eastAsia="Palatino Linotype" w:hAnsi="Palatino Linotype" w:cs="Palatino Linotype"/>
          <w:b/>
          <w:sz w:val="22"/>
          <w:szCs w:val="22"/>
          <w:u w:val="single"/>
        </w:rPr>
        <w:t>,</w:t>
      </w:r>
      <w:r w:rsidRPr="005B0AF4">
        <w:rPr>
          <w:rFonts w:ascii="Palatino Linotype" w:eastAsia="Palatino Linotype" w:hAnsi="Palatino Linotype" w:cs="Palatino Linotype"/>
          <w:b/>
          <w:sz w:val="22"/>
          <w:szCs w:val="22"/>
        </w:rPr>
        <w:t xml:space="preserve"> </w:t>
      </w:r>
      <w:r w:rsidRPr="005B0AF4">
        <w:rPr>
          <w:rFonts w:ascii="Palatino Linotype" w:eastAsia="Palatino Linotype" w:hAnsi="Palatino Linotype" w:cs="Palatino Linotype"/>
          <w:sz w:val="22"/>
          <w:szCs w:val="22"/>
        </w:rPr>
        <w:t xml:space="preserve">de acuerdo con las bases y los principios inmersos en la normatividad aplicable. </w:t>
      </w:r>
    </w:p>
    <w:p w14:paraId="12A38788" w14:textId="77777777" w:rsidR="003D34B1" w:rsidRPr="005B0AF4" w:rsidRDefault="00F50C64">
      <w:pPr>
        <w:spacing w:before="240"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En este contexto, en primer lugar, es oportuno referir que por regla general, toda la información que generen, administren y/o posean los Sujetos Obligados, es considerada información pública, pues al ser entes que ejercen recursos públicos tienen la obligación de rendir cuentas y asumir responsabilidades ante los ciudadanos derivado del ejercicio de sus atribuciones, garantizando así el Derecho humano de acceso a la información pública, sin embargo, dicho derecho puede ser restringido de manera excepcional por razones de interés público, en los términos de las causas legítimas y estrictamente necesarias previstas por la Ley, como se desprende del artículo 91 de la Ley de la Materia que es del tenor literal siguiente:</w:t>
      </w:r>
    </w:p>
    <w:p w14:paraId="26932953" w14:textId="77777777" w:rsidR="003D34B1" w:rsidRPr="005B0AF4" w:rsidRDefault="003D34B1">
      <w:pPr>
        <w:spacing w:before="240" w:line="360" w:lineRule="auto"/>
        <w:jc w:val="both"/>
        <w:rPr>
          <w:rFonts w:ascii="Palatino Linotype" w:eastAsia="Palatino Linotype" w:hAnsi="Palatino Linotype" w:cs="Palatino Linotype"/>
          <w:sz w:val="22"/>
          <w:szCs w:val="22"/>
        </w:rPr>
      </w:pPr>
    </w:p>
    <w:p w14:paraId="76A5227A" w14:textId="77777777" w:rsidR="003D34B1" w:rsidRPr="005B0AF4" w:rsidRDefault="00F50C64">
      <w:pPr>
        <w:spacing w:line="360" w:lineRule="auto"/>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 xml:space="preserve">“Artículo 91. </w:t>
      </w:r>
      <w:r w:rsidRPr="005B0AF4">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8288D8B" w14:textId="77777777" w:rsidR="003D34B1" w:rsidRPr="005B0AF4" w:rsidRDefault="003D34B1">
      <w:pPr>
        <w:spacing w:line="360" w:lineRule="auto"/>
        <w:ind w:left="851" w:right="900"/>
        <w:jc w:val="both"/>
        <w:rPr>
          <w:rFonts w:ascii="Palatino Linotype" w:eastAsia="Palatino Linotype" w:hAnsi="Palatino Linotype" w:cs="Palatino Linotype"/>
          <w:i/>
          <w:sz w:val="22"/>
          <w:szCs w:val="22"/>
        </w:rPr>
      </w:pPr>
    </w:p>
    <w:p w14:paraId="06CAE4A4"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30B22492"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Debe decirse que la Ley de Transparencia y Acceso a la Información Pública del Estado de México y Municipios, define como </w:t>
      </w:r>
      <w:r w:rsidRPr="005B0AF4">
        <w:rPr>
          <w:rFonts w:ascii="Palatino Linotype" w:eastAsia="Palatino Linotype" w:hAnsi="Palatino Linotype" w:cs="Palatino Linotype"/>
          <w:b/>
          <w:sz w:val="22"/>
          <w:szCs w:val="22"/>
        </w:rPr>
        <w:t xml:space="preserve">información reservada </w:t>
      </w:r>
      <w:r w:rsidRPr="005B0AF4">
        <w:rPr>
          <w:rFonts w:ascii="Palatino Linotype" w:eastAsia="Palatino Linotype" w:hAnsi="Palatino Linotype" w:cs="Palatino Linotype"/>
          <w:sz w:val="22"/>
          <w:szCs w:val="22"/>
        </w:rPr>
        <w:t xml:space="preserve">a la información pública clasificada con este carácter de manera temporal por las disposiciones de la Ley de la Materia, cuya divulgación puede causar daños a las  seguridad pública, y como </w:t>
      </w:r>
      <w:r w:rsidRPr="005B0AF4">
        <w:rPr>
          <w:rFonts w:ascii="Palatino Linotype" w:eastAsia="Palatino Linotype" w:hAnsi="Palatino Linotype" w:cs="Palatino Linotype"/>
          <w:b/>
          <w:sz w:val="22"/>
          <w:szCs w:val="22"/>
        </w:rPr>
        <w:t>información confidencial</w:t>
      </w:r>
      <w:r w:rsidRPr="005B0AF4">
        <w:rPr>
          <w:rFonts w:ascii="Palatino Linotype" w:eastAsia="Palatino Linotype" w:hAnsi="Palatino Linotype" w:cs="Palatino Linotype"/>
          <w:sz w:val="22"/>
          <w:szCs w:val="22"/>
        </w:rPr>
        <w:t xml:space="preserve">, la relacionada con los secretos bancario, fiduciario, industrial, comercial, fiscal, bursátil y postal, cuya titularidad corresponda a particulares, sujetos de derecho </w:t>
      </w:r>
      <w:r w:rsidRPr="005B0AF4">
        <w:rPr>
          <w:rFonts w:ascii="Palatino Linotype" w:eastAsia="Palatino Linotype" w:hAnsi="Palatino Linotype" w:cs="Palatino Linotype"/>
          <w:sz w:val="22"/>
          <w:szCs w:val="22"/>
        </w:rPr>
        <w:lastRenderedPageBreak/>
        <w:t xml:space="preserve">internacional o sujetos obligados cuando no involucren el ejercicio de recursos públicos, así como la información privada contenida en documentos públicos o privados que refiera a la vida privada y/o los datos personales, que no son de acceso público. </w:t>
      </w:r>
    </w:p>
    <w:p w14:paraId="3D31C955" w14:textId="77777777" w:rsidR="003D34B1" w:rsidRPr="005B0AF4" w:rsidRDefault="003D34B1">
      <w:pPr>
        <w:widowControl w:val="0"/>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A05A8FB" w14:textId="77777777" w:rsidR="003D34B1" w:rsidRPr="005B0AF4" w:rsidRDefault="00F50C64">
      <w:pPr>
        <w:spacing w:line="360" w:lineRule="auto"/>
        <w:ind w:right="13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En relación con las implicaciones anteriores, cabe considerar que los titulares de las áreas son los responsables de clasificar la información mediante el Comité de Transparencia por ser la autoridad máxima al interior de los Sujetos Obligados, al ser éste un Cuerpo Colegiado que se integra para resolver sobre la información que debe clasificarse, así como para atender y resolver los requerimientos de las Unidades de Transparencia y del Instituto.</w:t>
      </w:r>
    </w:p>
    <w:p w14:paraId="06307CA1"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0D29DEFE"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En lo que concierne a la información clasificada como reservada, para que el acceso a la información pública pueda ser restringido, se deben actualizar los supuestos establecidos en el artículo 113 de la y Ley General de Transparencia Acceso a la Información Pública y el artículo 140 de la Ley de Transparencia y Acceso a la Información Pública del Estado de México y Municipios, que a la letra señalan lo siguiente:</w:t>
      </w:r>
    </w:p>
    <w:p w14:paraId="1A5C7A16"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68C4603A" w14:textId="77777777" w:rsidR="003D34B1" w:rsidRPr="005B0AF4" w:rsidRDefault="00F50C64">
      <w:pPr>
        <w:spacing w:line="276" w:lineRule="auto"/>
        <w:ind w:left="851"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“Artículo 113.</w:t>
      </w:r>
      <w:r w:rsidRPr="005B0AF4">
        <w:rPr>
          <w:rFonts w:ascii="Palatino Linotype" w:eastAsia="Palatino Linotype" w:hAnsi="Palatino Linotype" w:cs="Palatino Linotype"/>
          <w:i/>
          <w:sz w:val="22"/>
          <w:szCs w:val="22"/>
        </w:rPr>
        <w:t xml:space="preserve"> Como información reservada podrá clasificarse aquella cuya publicación:</w:t>
      </w:r>
    </w:p>
    <w:p w14:paraId="50AC80CA"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 xml:space="preserve"> I.</w:t>
      </w:r>
      <w:r w:rsidRPr="005B0AF4">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04D5988F"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II.</w:t>
      </w:r>
      <w:r w:rsidRPr="005B0AF4">
        <w:rPr>
          <w:rFonts w:ascii="Palatino Linotype" w:eastAsia="Palatino Linotype" w:hAnsi="Palatino Linotype" w:cs="Palatino Linotype"/>
          <w:i/>
          <w:sz w:val="22"/>
          <w:szCs w:val="22"/>
        </w:rPr>
        <w:t xml:space="preserve"> Pueda menoscabar la conducción de las negociaciones y relaciones internacionales; </w:t>
      </w:r>
      <w:r w:rsidRPr="005B0AF4">
        <w:rPr>
          <w:rFonts w:ascii="Palatino Linotype" w:eastAsia="Palatino Linotype" w:hAnsi="Palatino Linotype" w:cs="Palatino Linotype"/>
          <w:i/>
          <w:sz w:val="22"/>
          <w:szCs w:val="22"/>
        </w:rPr>
        <w:br/>
      </w:r>
      <w:r w:rsidRPr="005B0AF4">
        <w:rPr>
          <w:rFonts w:ascii="Palatino Linotype" w:eastAsia="Palatino Linotype" w:hAnsi="Palatino Linotype" w:cs="Palatino Linotype"/>
          <w:b/>
          <w:i/>
          <w:sz w:val="22"/>
          <w:szCs w:val="22"/>
        </w:rPr>
        <w:t>III.</w:t>
      </w:r>
      <w:r w:rsidRPr="005B0AF4">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114A4AE4"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IV.</w:t>
      </w:r>
      <w:r w:rsidRPr="005B0AF4">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w:t>
      </w:r>
      <w:r w:rsidRPr="005B0AF4">
        <w:rPr>
          <w:rFonts w:ascii="Palatino Linotype" w:eastAsia="Palatino Linotype" w:hAnsi="Palatino Linotype" w:cs="Palatino Linotype"/>
          <w:i/>
          <w:sz w:val="22"/>
          <w:szCs w:val="22"/>
        </w:rPr>
        <w:lastRenderedPageBreak/>
        <w:t xml:space="preserve">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6A27D55B"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V.</w:t>
      </w:r>
      <w:r w:rsidRPr="005B0AF4">
        <w:rPr>
          <w:rFonts w:ascii="Palatino Linotype" w:eastAsia="Palatino Linotype" w:hAnsi="Palatino Linotype" w:cs="Palatino Linotype"/>
          <w:i/>
          <w:sz w:val="22"/>
          <w:szCs w:val="22"/>
        </w:rPr>
        <w:t xml:space="preserve"> Pueda poner en riesgo la vida, seguridad o salud de una persona física; </w:t>
      </w:r>
    </w:p>
    <w:p w14:paraId="1530FDAC"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VI</w:t>
      </w:r>
      <w:r w:rsidRPr="005B0AF4">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13805B65" w14:textId="77777777" w:rsidR="003D34B1" w:rsidRPr="005B0AF4" w:rsidRDefault="00F50C64">
      <w:pPr>
        <w:spacing w:line="276" w:lineRule="auto"/>
        <w:ind w:left="1134" w:right="851"/>
        <w:jc w:val="both"/>
        <w:rPr>
          <w:rFonts w:ascii="Palatino Linotype" w:eastAsia="Palatino Linotype" w:hAnsi="Palatino Linotype" w:cs="Palatino Linotype"/>
          <w:b/>
          <w:i/>
          <w:sz w:val="22"/>
          <w:szCs w:val="22"/>
        </w:rPr>
      </w:pPr>
      <w:r w:rsidRPr="005B0AF4">
        <w:rPr>
          <w:rFonts w:ascii="Palatino Linotype" w:eastAsia="Palatino Linotype" w:hAnsi="Palatino Linotype" w:cs="Palatino Linotype"/>
          <w:b/>
          <w:i/>
          <w:sz w:val="22"/>
          <w:szCs w:val="22"/>
        </w:rPr>
        <w:t xml:space="preserve">VII. Obstruya la prevención o persecución de los delitos; </w:t>
      </w:r>
    </w:p>
    <w:p w14:paraId="3E3EF61A"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VIII.</w:t>
      </w:r>
      <w:r w:rsidRPr="005B0AF4">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10741712"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IX.</w:t>
      </w:r>
      <w:r w:rsidRPr="005B0AF4">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50A5B5ED"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X.</w:t>
      </w:r>
      <w:r w:rsidRPr="005B0AF4">
        <w:rPr>
          <w:rFonts w:ascii="Palatino Linotype" w:eastAsia="Palatino Linotype" w:hAnsi="Palatino Linotype" w:cs="Palatino Linotype"/>
          <w:i/>
          <w:sz w:val="22"/>
          <w:szCs w:val="22"/>
        </w:rPr>
        <w:t xml:space="preserve"> Afecte los derechos del debido proceso; </w:t>
      </w:r>
    </w:p>
    <w:p w14:paraId="00411B45"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XI.</w:t>
      </w:r>
      <w:r w:rsidRPr="005B0AF4">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5CBFD532" w14:textId="77777777" w:rsidR="003D34B1" w:rsidRPr="005B0AF4" w:rsidRDefault="003D34B1">
      <w:pPr>
        <w:spacing w:line="276" w:lineRule="auto"/>
        <w:ind w:left="1134" w:right="851"/>
        <w:jc w:val="both"/>
        <w:rPr>
          <w:rFonts w:ascii="Palatino Linotype" w:eastAsia="Palatino Linotype" w:hAnsi="Palatino Linotype" w:cs="Palatino Linotype"/>
          <w:i/>
          <w:sz w:val="22"/>
          <w:szCs w:val="22"/>
        </w:rPr>
      </w:pPr>
    </w:p>
    <w:p w14:paraId="4662C2AC" w14:textId="77777777" w:rsidR="003D34B1" w:rsidRPr="005B0AF4" w:rsidRDefault="00F50C64">
      <w:pPr>
        <w:spacing w:line="276" w:lineRule="auto"/>
        <w:ind w:left="851"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Artículo 140</w:t>
      </w:r>
      <w:r w:rsidRPr="005B0AF4">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55D30ABD"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w:t>
      </w:r>
      <w:r w:rsidRPr="005B0AF4">
        <w:rPr>
          <w:rFonts w:ascii="Palatino Linotype" w:eastAsia="Palatino Linotype" w:hAnsi="Palatino Linotype" w:cs="Palatino Linotype"/>
          <w:i/>
          <w:sz w:val="22"/>
          <w:szCs w:val="22"/>
        </w:rPr>
        <w:t xml:space="preserve">. Comprometa la seguridad pública y cuente con un propósito genuino y un efecto demostrable; </w:t>
      </w:r>
    </w:p>
    <w:p w14:paraId="1C4FCEBA"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II.</w:t>
      </w:r>
      <w:r w:rsidRPr="005B0AF4">
        <w:rPr>
          <w:rFonts w:ascii="Palatino Linotype" w:eastAsia="Palatino Linotype" w:hAnsi="Palatino Linotype" w:cs="Palatino Linotype"/>
          <w:i/>
          <w:sz w:val="22"/>
          <w:szCs w:val="22"/>
        </w:rPr>
        <w:t xml:space="preserve"> Pueda menoscabar la conducción de las negociaciones y relaciones internacionales; </w:t>
      </w:r>
    </w:p>
    <w:p w14:paraId="3CBA75C9"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III.</w:t>
      </w:r>
      <w:r w:rsidRPr="005B0AF4">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8456D0B"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IV.</w:t>
      </w:r>
      <w:r w:rsidRPr="005B0AF4">
        <w:rPr>
          <w:rFonts w:ascii="Palatino Linotype" w:eastAsia="Palatino Linotype" w:hAnsi="Palatino Linotype" w:cs="Palatino Linotype"/>
          <w:i/>
          <w:sz w:val="22"/>
          <w:szCs w:val="22"/>
        </w:rPr>
        <w:t xml:space="preserve"> Ponga en riesgo la vida, la seguridad o la salud de una persona física; </w:t>
      </w:r>
    </w:p>
    <w:p w14:paraId="7A7534B5"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V</w:t>
      </w:r>
      <w:r w:rsidRPr="005B0AF4">
        <w:rPr>
          <w:rFonts w:ascii="Palatino Linotype" w:eastAsia="Palatino Linotype" w:hAnsi="Palatino Linotype" w:cs="Palatino Linotype"/>
          <w:i/>
          <w:sz w:val="22"/>
          <w:szCs w:val="22"/>
        </w:rPr>
        <w:t xml:space="preserve">. Aquella cuya divulgación obstruya o pueda causar un serio perjuicio a: </w:t>
      </w:r>
    </w:p>
    <w:p w14:paraId="7D73EB4D" w14:textId="77777777" w:rsidR="003D34B1" w:rsidRPr="005B0AF4" w:rsidRDefault="00F50C64">
      <w:pPr>
        <w:spacing w:line="276" w:lineRule="auto"/>
        <w:ind w:left="1418"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6316EA5F" w14:textId="77777777" w:rsidR="003D34B1" w:rsidRPr="005B0AF4" w:rsidRDefault="00F50C64">
      <w:pPr>
        <w:spacing w:line="276" w:lineRule="auto"/>
        <w:ind w:left="1418"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2. La recaudación de las contribuciones. </w:t>
      </w:r>
    </w:p>
    <w:p w14:paraId="012A3308"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u w:val="single"/>
        </w:rPr>
      </w:pPr>
      <w:r w:rsidRPr="005B0AF4">
        <w:rPr>
          <w:rFonts w:ascii="Palatino Linotype" w:eastAsia="Palatino Linotype" w:hAnsi="Palatino Linotype" w:cs="Palatino Linotype"/>
          <w:i/>
          <w:sz w:val="22"/>
          <w:szCs w:val="22"/>
          <w:u w:val="single"/>
        </w:rPr>
        <w:lastRenderedPageBreak/>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AF45854"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VII.</w:t>
      </w:r>
      <w:r w:rsidRPr="005B0AF4">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1AED5E9E"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VIII.</w:t>
      </w:r>
      <w:r w:rsidRPr="005B0AF4">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1F539902"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IX</w:t>
      </w:r>
      <w:r w:rsidRPr="005B0AF4">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6521B1BF"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X.</w:t>
      </w:r>
      <w:r w:rsidRPr="005B0AF4">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58ACEC4A"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7CF1AF0B" w14:textId="77777777" w:rsidR="003D34B1" w:rsidRPr="005B0AF4" w:rsidRDefault="00F50C64">
      <w:pPr>
        <w:spacing w:line="276" w:lineRule="auto"/>
        <w:ind w:left="1134" w:right="851"/>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XI.</w:t>
      </w:r>
      <w:r w:rsidRPr="005B0AF4">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5ED522DE" w14:textId="77777777" w:rsidR="003D34B1" w:rsidRPr="005B0AF4" w:rsidRDefault="003D34B1">
      <w:pPr>
        <w:spacing w:line="276" w:lineRule="auto"/>
        <w:ind w:left="1134" w:right="851"/>
        <w:jc w:val="both"/>
        <w:rPr>
          <w:rFonts w:ascii="Palatino Linotype" w:eastAsia="Palatino Linotype" w:hAnsi="Palatino Linotype" w:cs="Palatino Linotype"/>
          <w:sz w:val="22"/>
          <w:szCs w:val="22"/>
        </w:rPr>
      </w:pPr>
    </w:p>
    <w:p w14:paraId="31A791D0" w14:textId="77777777" w:rsidR="003D34B1" w:rsidRPr="005B0AF4" w:rsidRDefault="00F50C64">
      <w:pPr>
        <w:widowControl w:val="0"/>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5B0AF4">
        <w:rPr>
          <w:rFonts w:ascii="Palatino Linotype" w:eastAsia="Palatino Linotype" w:hAnsi="Palatino Linotype" w:cs="Palatino Linotype"/>
          <w:b/>
          <w:sz w:val="22"/>
          <w:szCs w:val="22"/>
        </w:rPr>
        <w:t>Reservada</w:t>
      </w:r>
      <w:r w:rsidRPr="005B0AF4">
        <w:rPr>
          <w:rFonts w:ascii="Palatino Linotype" w:eastAsia="Palatino Linotype" w:hAnsi="Palatino Linotype" w:cs="Palatino Linotype"/>
          <w:sz w:val="22"/>
          <w:szCs w:val="22"/>
        </w:rPr>
        <w:t xml:space="preserve">, delimitando una serie de hipótesis de hecho en las cuales descansa la posibilidad de reserva de información, </w:t>
      </w:r>
      <w:r w:rsidRPr="005B0AF4">
        <w:rPr>
          <w:rFonts w:ascii="Palatino Linotype" w:eastAsia="Palatino Linotype" w:hAnsi="Palatino Linotype" w:cs="Palatino Linotype"/>
          <w:sz w:val="22"/>
          <w:szCs w:val="22"/>
        </w:rPr>
        <w:lastRenderedPageBreak/>
        <w:t>por lo que, dentro la información que generen, posean o administren los Sujetos Obligados, se considerará reservada cuando su divulgación pueda causar un daño en términos de lo establecido en la Ley, como es en el caso de que</w:t>
      </w:r>
      <w:r w:rsidRPr="005B0AF4">
        <w:rPr>
          <w:sz w:val="22"/>
          <w:szCs w:val="22"/>
        </w:rPr>
        <w:t xml:space="preserve"> p</w:t>
      </w:r>
      <w:r w:rsidRPr="005B0AF4">
        <w:rPr>
          <w:rFonts w:ascii="Palatino Linotype" w:eastAsia="Palatino Linotype" w:hAnsi="Palatino Linotype" w:cs="Palatino Linotype"/>
          <w:sz w:val="22"/>
          <w:szCs w:val="22"/>
        </w:rPr>
        <w:t>ueda causar daño u obstruya la prevención o persecución de los delitos y altere el proceso de investigación de las carpetas de investigación.</w:t>
      </w:r>
    </w:p>
    <w:p w14:paraId="0491B960" w14:textId="77777777" w:rsidR="003D34B1" w:rsidRPr="005B0AF4" w:rsidRDefault="003D34B1">
      <w:pPr>
        <w:widowControl w:val="0"/>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5813F0F"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No obstante, en términos generales, las Leyes de la materia disponen que, para proceder a realizar la reserva de la información, no basta que se refiera a alguno de los supuestos que enmarque, en este caso, el artículo 140 de la Ley de Transparencia y Acceso a la Información Pública del Estado de México y Municipios, sino que, es necesario que la autoridad demuestre que la divulgación de la información, puede causar un daño al interés público protegido.</w:t>
      </w:r>
    </w:p>
    <w:p w14:paraId="2A5D2294" w14:textId="77777777" w:rsidR="003D34B1" w:rsidRPr="005B0AF4" w:rsidRDefault="003D34B1">
      <w:pPr>
        <w:widowControl w:val="0"/>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2045278"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Dicha valoración, debe realizarse caso por caso, a través de lo que se conoce como la llamada </w:t>
      </w:r>
      <w:r w:rsidRPr="005B0AF4">
        <w:rPr>
          <w:rFonts w:ascii="Palatino Linotype" w:eastAsia="Palatino Linotype" w:hAnsi="Palatino Linotype" w:cs="Palatino Linotype"/>
          <w:i/>
          <w:sz w:val="22"/>
          <w:szCs w:val="22"/>
        </w:rPr>
        <w:t>“prueba de daño”</w:t>
      </w:r>
      <w:r w:rsidRPr="005B0AF4">
        <w:rPr>
          <w:rFonts w:ascii="Palatino Linotype" w:eastAsia="Palatino Linotype" w:hAnsi="Palatino Linotype" w:cs="Palatino Linotype"/>
          <w:sz w:val="22"/>
          <w:szCs w:val="22"/>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esta no debe basarse en meras especulaciones o suposiciones, sino en elementos objetivos que deban evaluar que existe un riego actual e inminente. </w:t>
      </w:r>
    </w:p>
    <w:p w14:paraId="0ADCA31C"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4D6A10A9"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Es importante referir, lo que al respecto establece el Lineamiento Segundo, fracción XIII, de los Lineamientos Generales en Materia de Clasificación y Desclasificación de la Información, así como para la elaboración de Versiones Públicas, que a la letra dice:</w:t>
      </w:r>
    </w:p>
    <w:p w14:paraId="790DF2AA"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27236AB5" w14:textId="77777777" w:rsidR="003D34B1" w:rsidRPr="005B0AF4" w:rsidRDefault="00F50C64">
      <w:pPr>
        <w:spacing w:line="276" w:lineRule="auto"/>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“Segundo.</w:t>
      </w:r>
      <w:r w:rsidRPr="005B0AF4">
        <w:rPr>
          <w:rFonts w:ascii="Palatino Linotype" w:eastAsia="Palatino Linotype" w:hAnsi="Palatino Linotype" w:cs="Palatino Linotype"/>
          <w:i/>
          <w:sz w:val="22"/>
          <w:szCs w:val="22"/>
        </w:rPr>
        <w:t xml:space="preserve"> Para efectos de los presentes Lineamientos Generales, se entenderá por: </w:t>
      </w:r>
    </w:p>
    <w:p w14:paraId="14C15A7A" w14:textId="77777777" w:rsidR="003D34B1" w:rsidRPr="005B0AF4" w:rsidRDefault="00F50C64">
      <w:pPr>
        <w:spacing w:line="276" w:lineRule="auto"/>
        <w:ind w:left="1134" w:right="902"/>
        <w:jc w:val="both"/>
        <w:rPr>
          <w:rFonts w:ascii="Palatino Linotype" w:eastAsia="Palatino Linotype" w:hAnsi="Palatino Linotype" w:cs="Palatino Linotype"/>
          <w:b/>
          <w:i/>
          <w:sz w:val="22"/>
          <w:szCs w:val="22"/>
        </w:rPr>
      </w:pPr>
      <w:r w:rsidRPr="005B0AF4">
        <w:rPr>
          <w:rFonts w:ascii="Palatino Linotype" w:eastAsia="Palatino Linotype" w:hAnsi="Palatino Linotype" w:cs="Palatino Linotype"/>
          <w:b/>
          <w:i/>
          <w:sz w:val="22"/>
          <w:szCs w:val="22"/>
        </w:rPr>
        <w:t>...</w:t>
      </w:r>
    </w:p>
    <w:p w14:paraId="58B8C10D" w14:textId="77777777" w:rsidR="003D34B1" w:rsidRPr="005B0AF4" w:rsidRDefault="00F50C64">
      <w:pPr>
        <w:spacing w:line="276" w:lineRule="auto"/>
        <w:ind w:left="1134" w:right="902"/>
        <w:jc w:val="both"/>
        <w:rPr>
          <w:rFonts w:ascii="Palatino Linotype" w:eastAsia="Palatino Linotype" w:hAnsi="Palatino Linotype" w:cs="Palatino Linotype"/>
          <w:b/>
          <w:i/>
          <w:sz w:val="22"/>
          <w:szCs w:val="22"/>
        </w:rPr>
      </w:pPr>
      <w:r w:rsidRPr="005B0AF4">
        <w:rPr>
          <w:rFonts w:ascii="Palatino Linotype" w:eastAsia="Palatino Linotype" w:hAnsi="Palatino Linotype" w:cs="Palatino Linotype"/>
          <w:b/>
          <w:i/>
          <w:sz w:val="22"/>
          <w:szCs w:val="22"/>
        </w:rPr>
        <w:t>XIII.    Prueba de daño</w:t>
      </w:r>
      <w:r w:rsidRPr="005B0AF4">
        <w:rPr>
          <w:rFonts w:ascii="Palatino Linotype" w:eastAsia="Palatino Linotype" w:hAnsi="Palatino Linotype" w:cs="Palatino Linotype"/>
          <w:i/>
          <w:sz w:val="22"/>
          <w:szCs w:val="22"/>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5B0AF4">
        <w:rPr>
          <w:rFonts w:ascii="Palatino Linotype" w:eastAsia="Palatino Linotype" w:hAnsi="Palatino Linotype" w:cs="Palatino Linotype"/>
          <w:b/>
          <w:i/>
          <w:sz w:val="22"/>
          <w:szCs w:val="22"/>
        </w:rPr>
        <w:t>”</w:t>
      </w:r>
    </w:p>
    <w:p w14:paraId="42D2FB8B"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3308EBF2"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 siendo que, además, el Sujeto Obligado debe, en todo momento, aplicar una prueba de daño.</w:t>
      </w:r>
    </w:p>
    <w:p w14:paraId="785084B1" w14:textId="77777777" w:rsidR="003D34B1" w:rsidRPr="005B0AF4" w:rsidRDefault="003D34B1">
      <w:pPr>
        <w:widowControl w:val="0"/>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3FF7C14"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B47D5D2"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4DE2A8DD" w14:textId="77777777" w:rsidR="003D34B1" w:rsidRPr="005B0AF4" w:rsidRDefault="00F50C64">
      <w:pPr>
        <w:numPr>
          <w:ilvl w:val="0"/>
          <w:numId w:val="1"/>
        </w:numPr>
        <w:spacing w:line="360" w:lineRule="auto"/>
        <w:ind w:left="851"/>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Se reciba una solicitud de acceso a la información.</w:t>
      </w:r>
    </w:p>
    <w:p w14:paraId="0B74FC62" w14:textId="77777777" w:rsidR="003D34B1" w:rsidRPr="005B0AF4" w:rsidRDefault="00F50C64">
      <w:pPr>
        <w:numPr>
          <w:ilvl w:val="0"/>
          <w:numId w:val="1"/>
        </w:numPr>
        <w:spacing w:line="360" w:lineRule="auto"/>
        <w:ind w:left="851"/>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lastRenderedPageBreak/>
        <w:t>Se determine mediante resolución de autoridad competente.</w:t>
      </w:r>
    </w:p>
    <w:p w14:paraId="2202E3C4" w14:textId="77777777" w:rsidR="003D34B1" w:rsidRPr="005B0AF4" w:rsidRDefault="00F50C64">
      <w:pPr>
        <w:numPr>
          <w:ilvl w:val="0"/>
          <w:numId w:val="1"/>
        </w:numPr>
        <w:spacing w:line="360" w:lineRule="auto"/>
        <w:ind w:left="851"/>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Se generen versiones públicas para dar cumplimiento a las obligaciones de transparencia previstas en la Ley.</w:t>
      </w:r>
    </w:p>
    <w:p w14:paraId="63E89777"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6D079216"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Situación que se robustece con el artículo 141 de la misma Ley, que señala que las causales de reserva previstas, se deberán fundar y motivar, a través de la aplicación de la prueba de daño.</w:t>
      </w:r>
    </w:p>
    <w:p w14:paraId="567C385F"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a saber:</w:t>
      </w:r>
    </w:p>
    <w:p w14:paraId="768B8161"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60EF6384" w14:textId="77777777" w:rsidR="003D34B1" w:rsidRPr="005B0AF4" w:rsidRDefault="00F50C64">
      <w:pPr>
        <w:spacing w:line="276" w:lineRule="auto"/>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“Artículo 129</w:t>
      </w:r>
      <w:r w:rsidRPr="005B0AF4">
        <w:rPr>
          <w:rFonts w:ascii="Palatino Linotype" w:eastAsia="Palatino Linotype" w:hAnsi="Palatino Linotype" w:cs="Palatino Linotype"/>
          <w:i/>
          <w:sz w:val="22"/>
          <w:szCs w:val="22"/>
        </w:rPr>
        <w:t>. En la aplicación de la prueba de daño, el sujeto obligado deberá precisar las razones objetivas por las que la apertura de la información generaría una afectación, justificando que:</w:t>
      </w:r>
    </w:p>
    <w:p w14:paraId="5AC9B3C4" w14:textId="77777777" w:rsidR="003D34B1" w:rsidRPr="005B0AF4" w:rsidRDefault="00F50C64">
      <w:pPr>
        <w:spacing w:line="276" w:lineRule="auto"/>
        <w:ind w:left="1134"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w:t>
      </w:r>
      <w:r w:rsidRPr="005B0AF4">
        <w:rPr>
          <w:rFonts w:ascii="Palatino Linotype" w:eastAsia="Palatino Linotype" w:hAnsi="Palatino Linotype" w:cs="Palatino Linotype"/>
          <w:i/>
          <w:sz w:val="22"/>
          <w:szCs w:val="22"/>
        </w:rPr>
        <w:t xml:space="preserve">. La divulgación de la información representa un riesgo real, demostrable e identificable del perjuicio significativo al interés público o a la seguridad pública; </w:t>
      </w:r>
    </w:p>
    <w:p w14:paraId="070246DD" w14:textId="77777777" w:rsidR="003D34B1" w:rsidRPr="005B0AF4" w:rsidRDefault="00F50C64">
      <w:pPr>
        <w:spacing w:line="276" w:lineRule="auto"/>
        <w:ind w:left="1134"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II.</w:t>
      </w:r>
      <w:r w:rsidRPr="005B0AF4">
        <w:rPr>
          <w:rFonts w:ascii="Palatino Linotype" w:eastAsia="Palatino Linotype" w:hAnsi="Palatino Linotype" w:cs="Palatino Linotype"/>
          <w:i/>
          <w:sz w:val="22"/>
          <w:szCs w:val="22"/>
        </w:rPr>
        <w:t xml:space="preserve"> El riesgo de perjuicio que supondría la divulgación supera el interés público general de que se difunda; y</w:t>
      </w:r>
    </w:p>
    <w:p w14:paraId="7D654BE5" w14:textId="77777777" w:rsidR="003D34B1" w:rsidRPr="005B0AF4" w:rsidRDefault="00F50C64">
      <w:pPr>
        <w:spacing w:line="276" w:lineRule="auto"/>
        <w:ind w:left="1134"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III.</w:t>
      </w:r>
      <w:r w:rsidRPr="005B0AF4">
        <w:rPr>
          <w:rFonts w:ascii="Palatino Linotype" w:eastAsia="Palatino Linotype" w:hAnsi="Palatino Linotype" w:cs="Palatino Linotype"/>
          <w:i/>
          <w:sz w:val="22"/>
          <w:szCs w:val="22"/>
        </w:rPr>
        <w:t xml:space="preserve"> La limitación se adecua al principio de proporcionalidad y representa el medio menos restrictivo disponible representa el medio menos restrictivo disponible para evitar el perjuicio.”</w:t>
      </w:r>
    </w:p>
    <w:p w14:paraId="321D9890" w14:textId="77777777" w:rsidR="003D34B1" w:rsidRPr="005B0AF4" w:rsidRDefault="003D34B1">
      <w:pPr>
        <w:spacing w:line="276" w:lineRule="auto"/>
        <w:ind w:left="1134" w:right="902"/>
        <w:jc w:val="both"/>
        <w:rPr>
          <w:rFonts w:ascii="Palatino Linotype" w:eastAsia="Palatino Linotype" w:hAnsi="Palatino Linotype" w:cs="Palatino Linotype"/>
          <w:sz w:val="22"/>
          <w:szCs w:val="22"/>
        </w:rPr>
      </w:pPr>
    </w:p>
    <w:p w14:paraId="34729645"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Al respecto, debe entenderse que la primera fracción consiste en verificar que existe un riesgo de publicar determinada información para el interés público o la seguridad pública, no implica, por el contrario, argumentar individualmente un riesgo real, demostrable e identificable, pues se entraría en una dinámica usar argumentos repetitivos en categorías de definición vaga. Por lo que el segundo paso de la prueba de daño es que, una vez que se </w:t>
      </w:r>
      <w:r w:rsidRPr="005B0AF4">
        <w:rPr>
          <w:rFonts w:ascii="Palatino Linotype" w:eastAsia="Palatino Linotype" w:hAnsi="Palatino Linotype" w:cs="Palatino Linotype"/>
          <w:sz w:val="22"/>
          <w:szCs w:val="22"/>
        </w:rPr>
        <w:lastRenderedPageBreak/>
        <w:t>acreditó el riesgo de hacer pública la información, es necesario ponderarlo con el interés público general de que se difunda esa información, demostrando que el primero -el riesgo al divulgarse- supera al segundo -el interés de que se conozca-. Mientras que la tercera fracción es una guía de cómo realizar dicha ponderación a través del principio de proporcionalidad. Es decir, se debe determinar, en resumen, la idoneidad, necesidad y proporcionalidad de la reserva de la información frente al interés público de divulgarla. Además, se deben explorar las alternativas a través de las cuales se puede conseguir un menor daño a los intereses en pugna, o verificar que el medio que se eligió para reservar la información es el más benigno.</w:t>
      </w:r>
    </w:p>
    <w:p w14:paraId="2AFB9342" w14:textId="77777777" w:rsidR="003D34B1" w:rsidRPr="005B0AF4" w:rsidRDefault="003D34B1">
      <w:pPr>
        <w:widowControl w:val="0"/>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04D1BAD"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En el mismo tenor el Lineamiento Trigésimo Tercero, de los Lineamientos Generales en Materia de Clasificación y Desclasificación de la Información, dispone lo siguiente:</w:t>
      </w:r>
    </w:p>
    <w:p w14:paraId="792B875F"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15F54B50" w14:textId="77777777" w:rsidR="003D34B1" w:rsidRPr="005B0AF4" w:rsidRDefault="00F50C64">
      <w:pPr>
        <w:spacing w:line="276" w:lineRule="auto"/>
        <w:ind w:left="851" w:right="758"/>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r w:rsidRPr="005B0AF4">
        <w:rPr>
          <w:rFonts w:ascii="Palatino Linotype" w:eastAsia="Palatino Linotype" w:hAnsi="Palatino Linotype" w:cs="Palatino Linotype"/>
          <w:b/>
          <w:i/>
          <w:sz w:val="22"/>
          <w:szCs w:val="22"/>
        </w:rPr>
        <w:t>Trigésimo tercero</w:t>
      </w:r>
      <w:r w:rsidRPr="005B0AF4">
        <w:rPr>
          <w:rFonts w:ascii="Palatino Linotype" w:eastAsia="Palatino Linotype" w:hAnsi="Palatino Linotype" w:cs="Palatino Linotype"/>
          <w:i/>
          <w:sz w:val="22"/>
          <w:szCs w:val="22"/>
        </w:rPr>
        <w:t>. Para la aplicación de la prueba de daño a la que hace referencia el artículo 104 de la Ley General, los sujetos obligados atenderán lo siguiente:</w:t>
      </w:r>
    </w:p>
    <w:p w14:paraId="7E570304" w14:textId="77777777" w:rsidR="003D34B1" w:rsidRPr="005B0AF4" w:rsidRDefault="00F50C64">
      <w:pPr>
        <w:tabs>
          <w:tab w:val="left" w:pos="1701"/>
        </w:tabs>
        <w:spacing w:line="276" w:lineRule="auto"/>
        <w:ind w:left="1134" w:right="760"/>
        <w:jc w:val="both"/>
        <w:rPr>
          <w:rFonts w:ascii="Palatino Linotype" w:eastAsia="Palatino Linotype" w:hAnsi="Palatino Linotype" w:cs="Palatino Linotype"/>
          <w:b/>
          <w:i/>
          <w:sz w:val="22"/>
          <w:szCs w:val="22"/>
        </w:rPr>
      </w:pPr>
      <w:r w:rsidRPr="005B0AF4">
        <w:rPr>
          <w:rFonts w:ascii="Palatino Linotype" w:eastAsia="Palatino Linotype" w:hAnsi="Palatino Linotype" w:cs="Palatino Linotype"/>
          <w:b/>
          <w:i/>
          <w:sz w:val="22"/>
          <w:szCs w:val="22"/>
        </w:rPr>
        <w:t xml:space="preserve">I. </w:t>
      </w:r>
      <w:r w:rsidRPr="005B0AF4">
        <w:rPr>
          <w:rFonts w:ascii="Palatino Linotype" w:eastAsia="Palatino Linotype" w:hAnsi="Palatino Linotype" w:cs="Palatino Linotype"/>
          <w:i/>
          <w:sz w:val="22"/>
          <w:szCs w:val="22"/>
        </w:rPr>
        <w:t>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14:paraId="6B1BB12D" w14:textId="77777777" w:rsidR="003D34B1" w:rsidRPr="005B0AF4" w:rsidRDefault="00F50C64">
      <w:pPr>
        <w:tabs>
          <w:tab w:val="left" w:pos="1701"/>
        </w:tabs>
        <w:spacing w:line="276" w:lineRule="auto"/>
        <w:ind w:left="1134" w:right="76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II</w:t>
      </w:r>
      <w:r w:rsidRPr="005B0AF4">
        <w:rPr>
          <w:rFonts w:ascii="Palatino Linotype" w:eastAsia="Palatino Linotype" w:hAnsi="Palatino Linotype" w:cs="Palatino Linotype"/>
          <w:i/>
          <w:sz w:val="22"/>
          <w:szCs w:val="22"/>
        </w:rPr>
        <w:t>. Se deberá motivar la clasificación, señalando las circunstancias de modo, tiempo y lugar que acrediten el vínculo entre la difusión de la información y la afectación al interés público o a la seguridad nacional;</w:t>
      </w:r>
    </w:p>
    <w:p w14:paraId="20690DF3" w14:textId="77777777" w:rsidR="003D34B1" w:rsidRPr="005B0AF4" w:rsidRDefault="00F50C64">
      <w:pPr>
        <w:tabs>
          <w:tab w:val="left" w:pos="1701"/>
        </w:tabs>
        <w:spacing w:line="276" w:lineRule="auto"/>
        <w:ind w:left="1134" w:right="76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III.</w:t>
      </w:r>
      <w:r w:rsidRPr="005B0AF4">
        <w:rPr>
          <w:rFonts w:ascii="Palatino Linotype" w:eastAsia="Palatino Linotype" w:hAnsi="Palatino Linotype" w:cs="Palatino Linotype"/>
          <w:i/>
          <w:sz w:val="22"/>
          <w:szCs w:val="22"/>
        </w:rPr>
        <w:t xml:space="preserve"> Se deberán precisar las razones objetivas por las que la apertura de la información generaría un riesgo de perjuicio real, demostrable e identificable al interés jurídico tutelado de que se trate;</w:t>
      </w:r>
    </w:p>
    <w:p w14:paraId="7948EDD4" w14:textId="77777777" w:rsidR="003D34B1" w:rsidRPr="005B0AF4" w:rsidRDefault="00F50C64">
      <w:pPr>
        <w:tabs>
          <w:tab w:val="left" w:pos="1701"/>
        </w:tabs>
        <w:spacing w:line="276" w:lineRule="auto"/>
        <w:ind w:left="1134" w:right="760"/>
        <w:jc w:val="both"/>
        <w:rPr>
          <w:rFonts w:ascii="Palatino Linotype" w:eastAsia="Palatino Linotype" w:hAnsi="Palatino Linotype" w:cs="Palatino Linotype"/>
          <w:b/>
          <w:i/>
          <w:sz w:val="22"/>
          <w:szCs w:val="22"/>
        </w:rPr>
      </w:pPr>
      <w:r w:rsidRPr="005B0AF4">
        <w:rPr>
          <w:rFonts w:ascii="Palatino Linotype" w:eastAsia="Palatino Linotype" w:hAnsi="Palatino Linotype" w:cs="Palatino Linotype"/>
          <w:b/>
          <w:i/>
          <w:sz w:val="22"/>
          <w:szCs w:val="22"/>
        </w:rPr>
        <w:t>IV.</w:t>
      </w:r>
      <w:r w:rsidRPr="005B0AF4">
        <w:rPr>
          <w:rFonts w:ascii="Palatino Linotype" w:eastAsia="Palatino Linotype" w:hAnsi="Palatino Linotype" w:cs="Palatino Linotype"/>
          <w:i/>
          <w:sz w:val="22"/>
          <w:szCs w:val="22"/>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RPr="005B0AF4">
        <w:rPr>
          <w:rFonts w:ascii="Palatino Linotype" w:eastAsia="Palatino Linotype" w:hAnsi="Palatino Linotype" w:cs="Palatino Linotype"/>
          <w:b/>
          <w:i/>
          <w:sz w:val="22"/>
          <w:szCs w:val="22"/>
        </w:rPr>
        <w:t xml:space="preserve"> </w:t>
      </w:r>
    </w:p>
    <w:p w14:paraId="7DD8D3F3" w14:textId="77777777" w:rsidR="003D34B1" w:rsidRPr="005B0AF4" w:rsidRDefault="00F50C64">
      <w:pPr>
        <w:tabs>
          <w:tab w:val="left" w:pos="1701"/>
        </w:tabs>
        <w:spacing w:line="276" w:lineRule="auto"/>
        <w:ind w:left="1134" w:right="760"/>
        <w:jc w:val="both"/>
        <w:rPr>
          <w:rFonts w:ascii="Palatino Linotype" w:eastAsia="Palatino Linotype" w:hAnsi="Palatino Linotype" w:cs="Palatino Linotype"/>
          <w:b/>
          <w:i/>
          <w:sz w:val="22"/>
          <w:szCs w:val="22"/>
        </w:rPr>
      </w:pPr>
      <w:r w:rsidRPr="005B0AF4">
        <w:rPr>
          <w:rFonts w:ascii="Palatino Linotype" w:eastAsia="Palatino Linotype" w:hAnsi="Palatino Linotype" w:cs="Palatino Linotype"/>
          <w:b/>
          <w:i/>
          <w:sz w:val="22"/>
          <w:szCs w:val="22"/>
        </w:rPr>
        <w:lastRenderedPageBreak/>
        <w:t>V</w:t>
      </w:r>
      <w:r w:rsidRPr="005B0AF4">
        <w:rPr>
          <w:rFonts w:ascii="Palatino Linotype" w:eastAsia="Palatino Linotype" w:hAnsi="Palatino Linotype" w:cs="Palatino Linotype"/>
          <w:i/>
          <w:sz w:val="22"/>
          <w:szCs w:val="22"/>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5B0AF4">
        <w:rPr>
          <w:rFonts w:ascii="Palatino Linotype" w:eastAsia="Palatino Linotype" w:hAnsi="Palatino Linotype" w:cs="Palatino Linotype"/>
          <w:b/>
          <w:i/>
          <w:sz w:val="22"/>
          <w:szCs w:val="22"/>
        </w:rPr>
        <w:t xml:space="preserve"> </w:t>
      </w:r>
    </w:p>
    <w:p w14:paraId="02480DE3" w14:textId="77777777" w:rsidR="003D34B1" w:rsidRPr="005B0AF4" w:rsidRDefault="00F50C64">
      <w:pPr>
        <w:tabs>
          <w:tab w:val="left" w:pos="1701"/>
        </w:tabs>
        <w:spacing w:line="276" w:lineRule="auto"/>
        <w:ind w:left="1134" w:right="760"/>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b/>
          <w:i/>
          <w:sz w:val="22"/>
          <w:szCs w:val="22"/>
        </w:rPr>
        <w:t>VI</w:t>
      </w:r>
      <w:r w:rsidRPr="005B0AF4">
        <w:rPr>
          <w:rFonts w:ascii="Palatino Linotype" w:eastAsia="Palatino Linotype" w:hAnsi="Palatino Linotype" w:cs="Palatino Linotype"/>
          <w:i/>
          <w:sz w:val="22"/>
          <w:szCs w:val="22"/>
        </w:rPr>
        <w:t>.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214973A4" w14:textId="77777777" w:rsidR="003D34B1" w:rsidRPr="005B0AF4" w:rsidRDefault="003D34B1">
      <w:pPr>
        <w:tabs>
          <w:tab w:val="left" w:pos="1701"/>
        </w:tabs>
        <w:spacing w:line="360" w:lineRule="auto"/>
        <w:ind w:left="1134" w:right="760"/>
        <w:jc w:val="both"/>
        <w:rPr>
          <w:rFonts w:ascii="Palatino Linotype" w:eastAsia="Palatino Linotype" w:hAnsi="Palatino Linotype" w:cs="Palatino Linotype"/>
          <w:i/>
          <w:sz w:val="22"/>
          <w:szCs w:val="22"/>
        </w:rPr>
      </w:pPr>
    </w:p>
    <w:p w14:paraId="19E61A92"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2B96222A"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39A977E8"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14:paraId="3569C02C"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34FE1700" w14:textId="77777777" w:rsidR="003D34B1" w:rsidRPr="005B0AF4" w:rsidRDefault="00F50C64">
      <w:pPr>
        <w:spacing w:line="276" w:lineRule="auto"/>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r w:rsidRPr="005B0AF4">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5B0AF4">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w:t>
      </w:r>
      <w:r w:rsidRPr="005B0AF4">
        <w:rPr>
          <w:rFonts w:ascii="Palatino Linotype" w:eastAsia="Palatino Linotype" w:hAnsi="Palatino Linotype" w:cs="Palatino Linotype"/>
          <w:i/>
          <w:sz w:val="22"/>
          <w:szCs w:val="22"/>
        </w:rPr>
        <w:lastRenderedPageBreak/>
        <w:t xml:space="preserve">clasificación de la información, generando así una regla individualizada y pertinente para el caso, a través de aplicar la "prueba de daño e interés público" ex </w:t>
      </w:r>
      <w:proofErr w:type="spellStart"/>
      <w:r w:rsidRPr="005B0AF4">
        <w:rPr>
          <w:rFonts w:ascii="Palatino Linotype" w:eastAsia="Palatino Linotype" w:hAnsi="Palatino Linotype" w:cs="Palatino Linotype"/>
          <w:i/>
          <w:sz w:val="22"/>
          <w:szCs w:val="22"/>
        </w:rPr>
        <w:t>officio</w:t>
      </w:r>
      <w:proofErr w:type="spellEnd"/>
      <w:r w:rsidRPr="005B0AF4">
        <w:rPr>
          <w:rFonts w:ascii="Palatino Linotype" w:eastAsia="Palatino Linotype" w:hAnsi="Palatino Linotype" w:cs="Palatino Linotype"/>
          <w:i/>
          <w:sz w:val="22"/>
          <w:szCs w:val="22"/>
        </w:rPr>
        <w:t>, con el propósito de obtener una versión que sea pública para la parte interesada.”</w:t>
      </w:r>
    </w:p>
    <w:p w14:paraId="12C52BA0"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31275DB0"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La prueba de daño, que cobra relevancia puesto que sí ésta no arroja resultados contundentes sobre un posible peligro, deberá de publicarse o difundirse la información.</w:t>
      </w:r>
    </w:p>
    <w:p w14:paraId="4E41E421" w14:textId="77777777" w:rsidR="003D34B1" w:rsidRPr="005B0AF4" w:rsidRDefault="003D34B1">
      <w:pPr>
        <w:widowControl w:val="0"/>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0D9B2DC"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Asimismo, de conformidad con los artículos 108 de la Ley General de Transparencia y Acceso a la Información Pública y 134 de la Ley de Transparencia y Acceso a la Información Pública del Estado de México y Municipios, los Sujetos Obligados no pueden emitir acuerdos de carácter general ni particular que clasifiquen documentos o información como reservada, ya que dicha clasificación ya sea parcial o total, debe estar acorde con la actualización de los supuestos definidos; resaltándose además que, la clasificación de la información se debe realizar conforme a un análisis caso por caso, mediante la aplicación de la enunciada prueba de daño.</w:t>
      </w:r>
    </w:p>
    <w:p w14:paraId="4AAF78D7"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48BB9E8E"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De este modo, es necesario que el Sujeto Obligado,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w:t>
      </w:r>
    </w:p>
    <w:p w14:paraId="60BE8E3E"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0963C681"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Aunado a lo anterior, se tiene que conforme al Lineamiento Octavo, de los Lineamientos Generales en materia de Clasificación y Desclasificación de la Información, para fundar la clasificación de la información se debe señalar el artículo, fracción, inciso, párrafo o numeral </w:t>
      </w:r>
      <w:r w:rsidRPr="005B0AF4">
        <w:rPr>
          <w:rFonts w:ascii="Palatino Linotype" w:eastAsia="Palatino Linotype" w:hAnsi="Palatino Linotype" w:cs="Palatino Linotype"/>
          <w:sz w:val="22"/>
          <w:szCs w:val="22"/>
        </w:rPr>
        <w:lastRenderedPageBreak/>
        <w:t>de la Ley o tratado internacional suscrito por el Estado Mexicano que expresamente le otorgue el carácter de reservada, mientras que para motivar la clasificación se deben señalar las razones o circunstancias especiales que lo llevaron a concluir que el caso particular se ajusta al supuesto previsto por la norma legal invocada como fundamento, reiterando que en el caso específico de la reserva, la motivación de la clasificación deberá comprender el análisis de la prueba de daño a que hace referencia el artículo 104 de la Ley General, en relación con el artículo Trigésimo Tercero de los Lineamientos, así como las circunstancias que justifican el establecimiento de determinado plazo de reserva, en otras palabras, para clasificar la información como reservada, el acuerdo respectivo debe estar debidamente fundado y motivado.</w:t>
      </w:r>
    </w:p>
    <w:p w14:paraId="53C2FE81"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Sirve de sustento a lo anterior, la Tesis jurisprudencial número I.4º.A. J/43, publicada en el Semanario Judicial de la Federación y su Gaceta, bajo el número de registro 175,082; que a la letra dice:</w:t>
      </w:r>
    </w:p>
    <w:p w14:paraId="7AAA8B2D"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7BAA4843" w14:textId="77777777" w:rsidR="003D34B1" w:rsidRPr="005B0AF4" w:rsidRDefault="00F50C64">
      <w:pPr>
        <w:spacing w:line="276" w:lineRule="auto"/>
        <w:ind w:left="851" w:right="902"/>
        <w:jc w:val="both"/>
        <w:rPr>
          <w:rFonts w:ascii="Palatino Linotype" w:eastAsia="Palatino Linotype" w:hAnsi="Palatino Linotype" w:cs="Palatino Linotype"/>
          <w:i/>
          <w:sz w:val="22"/>
          <w:szCs w:val="22"/>
        </w:rPr>
      </w:pPr>
      <w:r w:rsidRPr="005B0AF4">
        <w:rPr>
          <w:rFonts w:ascii="Palatino Linotype" w:eastAsia="Palatino Linotype" w:hAnsi="Palatino Linotype" w:cs="Palatino Linotype"/>
          <w:i/>
          <w:sz w:val="22"/>
          <w:szCs w:val="22"/>
        </w:rPr>
        <w:t>“</w:t>
      </w:r>
      <w:r w:rsidRPr="005B0AF4">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5B0AF4">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sidRPr="005B0AF4">
        <w:rPr>
          <w:rFonts w:ascii="Palatino Linotype" w:eastAsia="Palatino Linotype" w:hAnsi="Palatino Linotype" w:cs="Palatino Linotype"/>
          <w:b/>
          <w:i/>
          <w:sz w:val="22"/>
          <w:szCs w:val="22"/>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B0AF4">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5B0AF4">
        <w:rPr>
          <w:rFonts w:ascii="Palatino Linotype" w:eastAsia="Palatino Linotype" w:hAnsi="Palatino Linotype" w:cs="Palatino Linotype"/>
          <w:b/>
          <w:i/>
          <w:sz w:val="22"/>
          <w:szCs w:val="22"/>
        </w:rPr>
        <w:t xml:space="preserve">es suficiente la expresión de lo estrictamente necesario para explicar, justificar y posibilitar la defensa, así como para </w:t>
      </w:r>
      <w:r w:rsidRPr="005B0AF4">
        <w:rPr>
          <w:rFonts w:ascii="Palatino Linotype" w:eastAsia="Palatino Linotype" w:hAnsi="Palatino Linotype" w:cs="Palatino Linotype"/>
          <w:b/>
          <w:i/>
          <w:sz w:val="22"/>
          <w:szCs w:val="22"/>
        </w:rPr>
        <w:lastRenderedPageBreak/>
        <w:t>comunicar la decisión a efecto de que se considere debidamente fundado y motivado, exponiendo los hechos relevantes para decidir, citando la norma habilitante y un argumento mínimo pero suficiente para acreditar el razonamiento</w:t>
      </w:r>
      <w:r w:rsidRPr="005B0AF4">
        <w:rPr>
          <w:rFonts w:ascii="Palatino Linotype" w:eastAsia="Palatino Linotype" w:hAnsi="Palatino Linotype" w:cs="Palatino Linotype"/>
          <w:i/>
          <w:sz w:val="22"/>
          <w:szCs w:val="22"/>
        </w:rPr>
        <w:t> del que se deduzca la relación de pertenencia lógica de los hechos al derecho invocado, que es la subsunción.”</w:t>
      </w:r>
    </w:p>
    <w:p w14:paraId="4EA3298D" w14:textId="77777777" w:rsidR="003D34B1" w:rsidRPr="005B0AF4" w:rsidRDefault="003D34B1">
      <w:pPr>
        <w:spacing w:line="276" w:lineRule="auto"/>
        <w:ind w:left="851" w:right="902"/>
        <w:jc w:val="both"/>
        <w:rPr>
          <w:rFonts w:ascii="Palatino Linotype" w:eastAsia="Palatino Linotype" w:hAnsi="Palatino Linotype" w:cs="Palatino Linotype"/>
          <w:sz w:val="22"/>
          <w:szCs w:val="22"/>
        </w:rPr>
      </w:pPr>
    </w:p>
    <w:p w14:paraId="647DDFC3" w14:textId="77777777" w:rsidR="003D34B1" w:rsidRPr="005B0AF4" w:rsidRDefault="00F50C64">
      <w:pPr>
        <w:spacing w:line="360" w:lineRule="auto"/>
        <w:ind w:right="51"/>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A partir de lo anterior, este Organismo Garante estima que la información a la que se pretende acceder pudiera ubicarse en el supuesto previsto por el artículo 140, fracción VIII de la Ley de Transparencia y  Acceso a la Información Pública del Estado de México y Municipios, que a su vez se vincula con el artículo 113, fracción XI de la Ley General de Transparencia y Acceso a la Información Pública, así como los requisitos previstos por los numerales Trigésimo y Trigésimo tercero, de los Lineamientos Generales en materia de Clasificación y Desclasificación de la información, así como para la elaboración de Versiones Públicas, al aplicar la prueba de daño correspondiente.</w:t>
      </w:r>
    </w:p>
    <w:p w14:paraId="4BFE1800"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6DEBA1DF"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Ahora bien, como se expuso con anterioridad, la reserva de la información no se da por el simple mandato de Ley sino que es necesario que los Sujetos Obligados</w:t>
      </w:r>
      <w:r w:rsidRPr="005B0AF4">
        <w:rPr>
          <w:rFonts w:ascii="Palatino Linotype" w:eastAsia="Palatino Linotype" w:hAnsi="Palatino Linotype" w:cs="Palatino Linotype"/>
          <w:b/>
          <w:sz w:val="22"/>
          <w:szCs w:val="22"/>
        </w:rPr>
        <w:t>,</w:t>
      </w:r>
      <w:r w:rsidRPr="005B0AF4">
        <w:rPr>
          <w:rFonts w:ascii="Palatino Linotype" w:eastAsia="Palatino Linotype" w:hAnsi="Palatino Linotype" w:cs="Palatino Linotype"/>
          <w:sz w:val="22"/>
          <w:szCs w:val="22"/>
        </w:rPr>
        <w:t xml:space="preserve"> cuando clasifiquen algún documento o información, ya sea todo o en parte, emitan, a través de su Comité de Transparencia, el Acuerdo mediante el cual, de manera fundada y motivada, se establezcan las hipótesis normativas aplicables al caso concreto y se analice la prueba de daño, de conformidad con los Lineamientos Octavo y Trigésimo Tercero de los Lineamientos Generales en materia de Clasificación y Desclasificación de la Información, y los artículos 129 y 134, último párrafo de la Ley de Transparencia y Acceso a la Información Pública del Estado de México y Municipios, en relación con los diversos 104 y 108, último párrafo, de la Ley General de Transparencia y Acceso a la Información Pública.</w:t>
      </w:r>
    </w:p>
    <w:p w14:paraId="03ADDB1B"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3FBB4E49" w14:textId="77777777" w:rsidR="003D34B1" w:rsidRPr="005B0AF4" w:rsidRDefault="00F50C64">
      <w:pPr>
        <w:tabs>
          <w:tab w:val="left" w:pos="7513"/>
        </w:tabs>
        <w:spacing w:line="360" w:lineRule="auto"/>
        <w:ind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lastRenderedPageBreak/>
        <w:t xml:space="preserve">Por tal motivo, para el caso de aquella información que pueda causar daño u obstruya la prevención o persecución de los delitos, altere el proceso de investigación de las carpetas de investigación, deberá elaborar un acuerdo de clasificación de la información como reservada, bajo las causales establecidas en los artículos 113, fracción VII de la Ley General de Transparencia, y 140, fracción VI de la Ley de Transparencia del Estado, correlativo con el numeral Vigésimo Sexto de los Lineamientos de Clasificación. </w:t>
      </w:r>
    </w:p>
    <w:p w14:paraId="0FB71832" w14:textId="77777777" w:rsidR="003D34B1" w:rsidRPr="005B0AF4" w:rsidRDefault="003D34B1">
      <w:pPr>
        <w:tabs>
          <w:tab w:val="left" w:pos="7513"/>
        </w:tabs>
        <w:spacing w:line="360" w:lineRule="auto"/>
        <w:ind w:right="49"/>
        <w:jc w:val="both"/>
        <w:rPr>
          <w:rFonts w:ascii="Palatino Linotype" w:eastAsia="Palatino Linotype" w:hAnsi="Palatino Linotype" w:cs="Palatino Linotype"/>
          <w:sz w:val="22"/>
          <w:szCs w:val="22"/>
        </w:rPr>
      </w:pPr>
    </w:p>
    <w:p w14:paraId="7E27E930" w14:textId="77777777" w:rsidR="003D34B1" w:rsidRPr="005B0AF4" w:rsidRDefault="00F50C64">
      <w:pPr>
        <w:tabs>
          <w:tab w:val="left" w:pos="7513"/>
        </w:tabs>
        <w:spacing w:line="360" w:lineRule="auto"/>
        <w:ind w:right="49"/>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Motivo por el cual resulta procedente ordenar la el Acuerdo emitido por el Comité de Transparencia, en el que se confirme la clasificación como información reservada, de la carpeta de investigación de los hechos referidos en la solicitud de información. </w:t>
      </w:r>
    </w:p>
    <w:p w14:paraId="5C29CB06"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29DF0A97" w14:textId="715D1980" w:rsidR="003D34B1" w:rsidRPr="005B0AF4" w:rsidRDefault="00F50C64">
      <w:pPr>
        <w:spacing w:line="360" w:lineRule="auto"/>
        <w:ind w:right="51"/>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36F62065" w14:textId="335172E1" w:rsidR="003D34B1" w:rsidRPr="005B0AF4" w:rsidRDefault="00F50C64" w:rsidP="007B4960">
      <w:pPr>
        <w:spacing w:line="360" w:lineRule="auto"/>
        <w:ind w:left="1080"/>
        <w:jc w:val="center"/>
        <w:rPr>
          <w:rFonts w:ascii="Palatino Linotype" w:eastAsia="Palatino Linotype" w:hAnsi="Palatino Linotype" w:cs="Palatino Linotype"/>
          <w:b/>
          <w:sz w:val="22"/>
          <w:szCs w:val="22"/>
        </w:rPr>
      </w:pPr>
      <w:r w:rsidRPr="005B0AF4">
        <w:rPr>
          <w:rFonts w:ascii="Palatino Linotype" w:eastAsia="Palatino Linotype" w:hAnsi="Palatino Linotype" w:cs="Palatino Linotype"/>
          <w:b/>
          <w:sz w:val="22"/>
          <w:szCs w:val="22"/>
        </w:rPr>
        <w:t>R E S U E L V E</w:t>
      </w:r>
    </w:p>
    <w:p w14:paraId="46BBC33A" w14:textId="77777777" w:rsidR="007B4960" w:rsidRDefault="007B4960">
      <w:pPr>
        <w:spacing w:line="360" w:lineRule="auto"/>
        <w:jc w:val="both"/>
        <w:rPr>
          <w:rFonts w:ascii="Palatino Linotype" w:eastAsia="Palatino Linotype" w:hAnsi="Palatino Linotype" w:cs="Palatino Linotype"/>
          <w:b/>
          <w:sz w:val="22"/>
          <w:szCs w:val="22"/>
        </w:rPr>
      </w:pPr>
    </w:p>
    <w:p w14:paraId="1B459856"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b/>
          <w:sz w:val="22"/>
          <w:szCs w:val="22"/>
        </w:rPr>
        <w:t xml:space="preserve">PRIMERO. </w:t>
      </w:r>
      <w:r w:rsidRPr="005B0AF4">
        <w:rPr>
          <w:rFonts w:ascii="Palatino Linotype" w:eastAsia="Palatino Linotype" w:hAnsi="Palatino Linotype" w:cs="Palatino Linotype"/>
          <w:sz w:val="22"/>
          <w:szCs w:val="22"/>
        </w:rPr>
        <w:t xml:space="preserve">Resultan fundados los motivos de inconformidad hechos valer por la parte </w:t>
      </w:r>
      <w:r w:rsidRPr="005B0AF4">
        <w:rPr>
          <w:rFonts w:ascii="Palatino Linotype" w:eastAsia="Palatino Linotype" w:hAnsi="Palatino Linotype" w:cs="Palatino Linotype"/>
          <w:b/>
          <w:sz w:val="22"/>
          <w:szCs w:val="22"/>
        </w:rPr>
        <w:t>RECURRENTE</w:t>
      </w:r>
      <w:r w:rsidRPr="005B0AF4">
        <w:rPr>
          <w:rFonts w:ascii="Palatino Linotype" w:eastAsia="Palatino Linotype" w:hAnsi="Palatino Linotype" w:cs="Palatino Linotype"/>
          <w:sz w:val="22"/>
          <w:szCs w:val="22"/>
        </w:rPr>
        <w:t xml:space="preserve"> en el Recurso de Revisión </w:t>
      </w:r>
      <w:r w:rsidRPr="005B0AF4">
        <w:rPr>
          <w:rFonts w:ascii="Palatino Linotype" w:eastAsia="Palatino Linotype" w:hAnsi="Palatino Linotype" w:cs="Palatino Linotype"/>
          <w:b/>
          <w:sz w:val="22"/>
          <w:szCs w:val="22"/>
        </w:rPr>
        <w:t xml:space="preserve">02994/INFOEM/IP/RR/2024, </w:t>
      </w:r>
      <w:r w:rsidRPr="005B0AF4">
        <w:rPr>
          <w:rFonts w:ascii="Palatino Linotype" w:eastAsia="Palatino Linotype" w:hAnsi="Palatino Linotype" w:cs="Palatino Linotype"/>
          <w:sz w:val="22"/>
          <w:szCs w:val="22"/>
        </w:rPr>
        <w:t xml:space="preserve">por lo que, en términos del considerando </w:t>
      </w:r>
      <w:r w:rsidRPr="005B0AF4">
        <w:rPr>
          <w:rFonts w:ascii="Palatino Linotype" w:eastAsia="Palatino Linotype" w:hAnsi="Palatino Linotype" w:cs="Palatino Linotype"/>
          <w:b/>
          <w:sz w:val="22"/>
          <w:szCs w:val="22"/>
        </w:rPr>
        <w:t xml:space="preserve">Cuarto </w:t>
      </w:r>
      <w:r w:rsidRPr="005B0AF4">
        <w:rPr>
          <w:rFonts w:ascii="Palatino Linotype" w:eastAsia="Palatino Linotype" w:hAnsi="Palatino Linotype" w:cs="Palatino Linotype"/>
          <w:sz w:val="22"/>
          <w:szCs w:val="22"/>
        </w:rPr>
        <w:t xml:space="preserve">de esta resolución, se </w:t>
      </w:r>
      <w:r w:rsidRPr="005B0AF4">
        <w:rPr>
          <w:rFonts w:ascii="Palatino Linotype" w:eastAsia="Palatino Linotype" w:hAnsi="Palatino Linotype" w:cs="Palatino Linotype"/>
          <w:b/>
          <w:sz w:val="22"/>
          <w:szCs w:val="22"/>
        </w:rPr>
        <w:t xml:space="preserve">REVOCA </w:t>
      </w:r>
      <w:r w:rsidRPr="005B0AF4">
        <w:rPr>
          <w:rFonts w:ascii="Palatino Linotype" w:eastAsia="Palatino Linotype" w:hAnsi="Palatino Linotype" w:cs="Palatino Linotype"/>
          <w:sz w:val="22"/>
          <w:szCs w:val="22"/>
        </w:rPr>
        <w:t xml:space="preserve">la respuesta emitida por </w:t>
      </w:r>
      <w:r w:rsidRPr="005B0AF4">
        <w:rPr>
          <w:rFonts w:ascii="Palatino Linotype" w:eastAsia="Palatino Linotype" w:hAnsi="Palatino Linotype" w:cs="Palatino Linotype"/>
          <w:b/>
          <w:sz w:val="22"/>
          <w:szCs w:val="22"/>
        </w:rPr>
        <w:t>EL SUJETO OBLIGADO</w:t>
      </w:r>
      <w:r w:rsidRPr="005B0AF4">
        <w:rPr>
          <w:rFonts w:ascii="Palatino Linotype" w:eastAsia="Palatino Linotype" w:hAnsi="Palatino Linotype" w:cs="Palatino Linotype"/>
          <w:sz w:val="22"/>
          <w:szCs w:val="22"/>
        </w:rPr>
        <w:t>.</w:t>
      </w:r>
    </w:p>
    <w:p w14:paraId="57F1E652"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6C39FEE6" w14:textId="5CB08575" w:rsidR="003D34B1" w:rsidRPr="005B0AF4" w:rsidRDefault="00F50C64">
      <w:pPr>
        <w:spacing w:line="360" w:lineRule="auto"/>
        <w:jc w:val="both"/>
        <w:rPr>
          <w:rFonts w:ascii="Palatino Linotype" w:eastAsia="Palatino Linotype" w:hAnsi="Palatino Linotype" w:cs="Palatino Linotype"/>
          <w:sz w:val="22"/>
          <w:szCs w:val="22"/>
        </w:rPr>
      </w:pPr>
      <w:bookmarkStart w:id="8" w:name="_heading=h.kelgs2428oa6" w:colFirst="0" w:colLast="0"/>
      <w:bookmarkEnd w:id="8"/>
      <w:r w:rsidRPr="005B0AF4">
        <w:rPr>
          <w:rFonts w:ascii="Palatino Linotype" w:eastAsia="Palatino Linotype" w:hAnsi="Palatino Linotype" w:cs="Palatino Linotype"/>
          <w:b/>
          <w:sz w:val="22"/>
          <w:szCs w:val="22"/>
        </w:rPr>
        <w:t xml:space="preserve">SEGUNDO. </w:t>
      </w:r>
      <w:r w:rsidRPr="005B0AF4">
        <w:rPr>
          <w:rFonts w:ascii="Palatino Linotype" w:eastAsia="Palatino Linotype" w:hAnsi="Palatino Linotype" w:cs="Palatino Linotype"/>
          <w:sz w:val="22"/>
          <w:szCs w:val="22"/>
        </w:rPr>
        <w:t>Se</w:t>
      </w:r>
      <w:r w:rsidRPr="005B0AF4">
        <w:rPr>
          <w:rFonts w:ascii="Palatino Linotype" w:eastAsia="Palatino Linotype" w:hAnsi="Palatino Linotype" w:cs="Palatino Linotype"/>
          <w:b/>
          <w:sz w:val="22"/>
          <w:szCs w:val="22"/>
        </w:rPr>
        <w:t xml:space="preserve"> ORDENA </w:t>
      </w:r>
      <w:r w:rsidRPr="005B0AF4">
        <w:rPr>
          <w:rFonts w:ascii="Palatino Linotype" w:eastAsia="Palatino Linotype" w:hAnsi="Palatino Linotype" w:cs="Palatino Linotype"/>
          <w:sz w:val="22"/>
          <w:szCs w:val="22"/>
        </w:rPr>
        <w:t xml:space="preserve">al </w:t>
      </w:r>
      <w:r w:rsidRPr="005B0AF4">
        <w:rPr>
          <w:rFonts w:ascii="Palatino Linotype" w:eastAsia="Palatino Linotype" w:hAnsi="Palatino Linotype" w:cs="Palatino Linotype"/>
          <w:b/>
          <w:sz w:val="22"/>
          <w:szCs w:val="22"/>
        </w:rPr>
        <w:t xml:space="preserve">SUJETO OBLIGADO </w:t>
      </w:r>
      <w:r w:rsidRPr="005B0AF4">
        <w:rPr>
          <w:rFonts w:ascii="Palatino Linotype" w:eastAsia="Palatino Linotype" w:hAnsi="Palatino Linotype" w:cs="Palatino Linotype"/>
          <w:sz w:val="22"/>
          <w:szCs w:val="22"/>
        </w:rPr>
        <w:t xml:space="preserve">que, en términos del Considerando </w:t>
      </w:r>
      <w:r w:rsidRPr="005B0AF4">
        <w:rPr>
          <w:rFonts w:ascii="Palatino Linotype" w:eastAsia="Palatino Linotype" w:hAnsi="Palatino Linotype" w:cs="Palatino Linotype"/>
          <w:b/>
          <w:sz w:val="22"/>
          <w:szCs w:val="22"/>
        </w:rPr>
        <w:t xml:space="preserve">Cuarto </w:t>
      </w:r>
      <w:r w:rsidRPr="005B0AF4">
        <w:rPr>
          <w:rFonts w:ascii="Palatino Linotype" w:eastAsia="Palatino Linotype" w:hAnsi="Palatino Linotype" w:cs="Palatino Linotype"/>
          <w:sz w:val="22"/>
          <w:szCs w:val="22"/>
        </w:rPr>
        <w:t xml:space="preserve">de esta resolución, haga entrega, vía </w:t>
      </w:r>
      <w:r w:rsidRPr="005B0AF4">
        <w:rPr>
          <w:rFonts w:ascii="Palatino Linotype" w:eastAsia="Palatino Linotype" w:hAnsi="Palatino Linotype" w:cs="Palatino Linotype"/>
          <w:b/>
          <w:sz w:val="22"/>
          <w:szCs w:val="22"/>
        </w:rPr>
        <w:t>SAIMEX</w:t>
      </w:r>
      <w:r w:rsidRPr="005B0AF4">
        <w:rPr>
          <w:rFonts w:ascii="Palatino Linotype" w:eastAsia="Palatino Linotype" w:hAnsi="Palatino Linotype" w:cs="Palatino Linotype"/>
          <w:sz w:val="22"/>
          <w:szCs w:val="22"/>
        </w:rPr>
        <w:t>, de lo siguiente:</w:t>
      </w:r>
    </w:p>
    <w:p w14:paraId="07F4B512" w14:textId="1CB47EFF" w:rsidR="003D34B1" w:rsidRPr="005B0AF4" w:rsidRDefault="00F50C6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9" w:name="_heading=h.35nkun2" w:colFirst="0" w:colLast="0"/>
      <w:bookmarkEnd w:id="9"/>
      <w:r w:rsidRPr="005B0AF4">
        <w:rPr>
          <w:rFonts w:ascii="Palatino Linotype" w:eastAsia="Palatino Linotype" w:hAnsi="Palatino Linotype" w:cs="Palatino Linotype"/>
          <w:sz w:val="22"/>
          <w:szCs w:val="22"/>
        </w:rPr>
        <w:lastRenderedPageBreak/>
        <w:t xml:space="preserve">El Acuerdo emitido por el Comité de Transparencia, en el que se confirme la clasificación como información reservada la carpeta de investigación generada por el hecho referido en la solicitud de información. </w:t>
      </w:r>
    </w:p>
    <w:p w14:paraId="51D31C39" w14:textId="77777777" w:rsidR="003D34B1" w:rsidRPr="005B0AF4" w:rsidRDefault="003D34B1">
      <w:pPr>
        <w:pBdr>
          <w:top w:val="nil"/>
          <w:left w:val="nil"/>
          <w:bottom w:val="nil"/>
          <w:right w:val="nil"/>
          <w:between w:val="nil"/>
        </w:pBdr>
        <w:spacing w:line="360" w:lineRule="auto"/>
        <w:ind w:left="1004"/>
        <w:jc w:val="both"/>
        <w:rPr>
          <w:rFonts w:ascii="Palatino Linotype" w:eastAsia="Palatino Linotype" w:hAnsi="Palatino Linotype" w:cs="Palatino Linotype"/>
          <w:sz w:val="22"/>
          <w:szCs w:val="22"/>
        </w:rPr>
      </w:pPr>
      <w:bookmarkStart w:id="10" w:name="_heading=h.7ndvp96zwzf9" w:colFirst="0" w:colLast="0"/>
      <w:bookmarkEnd w:id="10"/>
    </w:p>
    <w:p w14:paraId="2AEEA8C0"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b/>
          <w:sz w:val="22"/>
          <w:szCs w:val="22"/>
        </w:rPr>
        <w:t xml:space="preserve">TERCERO. NOTIFÍQUESE, </w:t>
      </w:r>
      <w:r w:rsidRPr="005B0AF4">
        <w:rPr>
          <w:rFonts w:ascii="Palatino Linotype" w:eastAsia="Palatino Linotype" w:hAnsi="Palatino Linotype" w:cs="Palatino Linotype"/>
          <w:sz w:val="22"/>
          <w:szCs w:val="22"/>
        </w:rPr>
        <w:t xml:space="preserve">vía </w:t>
      </w:r>
      <w:r w:rsidRPr="005B0AF4">
        <w:rPr>
          <w:rFonts w:ascii="Palatino Linotype" w:eastAsia="Palatino Linotype" w:hAnsi="Palatino Linotype" w:cs="Palatino Linotype"/>
          <w:b/>
          <w:sz w:val="22"/>
          <w:szCs w:val="22"/>
        </w:rPr>
        <w:t>SAIMEX</w:t>
      </w:r>
      <w:r w:rsidRPr="005B0AF4">
        <w:rPr>
          <w:rFonts w:ascii="Palatino Linotype" w:eastAsia="Palatino Linotype" w:hAnsi="Palatino Linotype" w:cs="Palatino Linotype"/>
          <w:sz w:val="22"/>
          <w:szCs w:val="22"/>
        </w:rPr>
        <w:t xml:space="preserve">, al Titular de la Unidad de Transparencia del </w:t>
      </w:r>
      <w:r w:rsidRPr="005B0AF4">
        <w:rPr>
          <w:rFonts w:ascii="Palatino Linotype" w:eastAsia="Palatino Linotype" w:hAnsi="Palatino Linotype" w:cs="Palatino Linotype"/>
          <w:b/>
          <w:sz w:val="22"/>
          <w:szCs w:val="22"/>
        </w:rPr>
        <w:t>SUJETO OBLIGADO,</w:t>
      </w:r>
      <w:r w:rsidRPr="005B0AF4">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0CC92C3"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6327017A"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w:t>
      </w:r>
      <w:r w:rsidRPr="005B0AF4">
        <w:rPr>
          <w:rFonts w:ascii="Palatino Linotype" w:eastAsia="Palatino Linotype" w:hAnsi="Palatino Linotype" w:cs="Palatino Linotype"/>
          <w:b/>
          <w:sz w:val="22"/>
          <w:szCs w:val="22"/>
        </w:rPr>
        <w:t>EL SUJETO OBLIGADO</w:t>
      </w:r>
      <w:r w:rsidRPr="005B0AF4">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A709FD3"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7DB0612D" w14:textId="77777777" w:rsidR="003D34B1" w:rsidRPr="005B0AF4" w:rsidRDefault="00F50C64">
      <w:pPr>
        <w:spacing w:line="360" w:lineRule="auto"/>
        <w:jc w:val="both"/>
        <w:rPr>
          <w:rFonts w:ascii="Palatino Linotype" w:eastAsia="Palatino Linotype" w:hAnsi="Palatino Linotype" w:cs="Palatino Linotype"/>
          <w:sz w:val="22"/>
          <w:szCs w:val="22"/>
        </w:rPr>
      </w:pPr>
      <w:r w:rsidRPr="005B0AF4">
        <w:rPr>
          <w:rFonts w:ascii="Palatino Linotype" w:eastAsia="Palatino Linotype" w:hAnsi="Palatino Linotype" w:cs="Palatino Linotype"/>
          <w:b/>
          <w:sz w:val="22"/>
          <w:szCs w:val="22"/>
        </w:rPr>
        <w:t xml:space="preserve">CUARTO.  NOTIFÍQUESE, </w:t>
      </w:r>
      <w:r w:rsidRPr="005B0AF4">
        <w:rPr>
          <w:rFonts w:ascii="Palatino Linotype" w:eastAsia="Palatino Linotype" w:hAnsi="Palatino Linotype" w:cs="Palatino Linotype"/>
          <w:sz w:val="22"/>
          <w:szCs w:val="22"/>
        </w:rPr>
        <w:t xml:space="preserve">vía </w:t>
      </w:r>
      <w:r w:rsidRPr="005B0AF4">
        <w:rPr>
          <w:rFonts w:ascii="Palatino Linotype" w:eastAsia="Palatino Linotype" w:hAnsi="Palatino Linotype" w:cs="Palatino Linotype"/>
          <w:b/>
          <w:sz w:val="22"/>
          <w:szCs w:val="22"/>
        </w:rPr>
        <w:t>SAIMEX</w:t>
      </w:r>
      <w:r w:rsidRPr="005B0AF4">
        <w:rPr>
          <w:rFonts w:ascii="Palatino Linotype" w:eastAsia="Palatino Linotype" w:hAnsi="Palatino Linotype" w:cs="Palatino Linotype"/>
          <w:sz w:val="22"/>
          <w:szCs w:val="22"/>
        </w:rPr>
        <w:t xml:space="preserve">, a </w:t>
      </w:r>
      <w:r w:rsidRPr="005B0AF4">
        <w:rPr>
          <w:rFonts w:ascii="Palatino Linotype" w:eastAsia="Palatino Linotype" w:hAnsi="Palatino Linotype" w:cs="Palatino Linotype"/>
          <w:b/>
          <w:sz w:val="22"/>
          <w:szCs w:val="22"/>
        </w:rPr>
        <w:t>LA PARTE RECURRENTE</w:t>
      </w:r>
      <w:r w:rsidRPr="005B0AF4">
        <w:rPr>
          <w:rFonts w:ascii="Palatino Linotype" w:eastAsia="Palatino Linotype" w:hAnsi="Palatino Linotype" w:cs="Palatino Linotype"/>
          <w:sz w:val="22"/>
          <w:szCs w:val="22"/>
        </w:rPr>
        <w:t xml:space="preserve"> la presente resolución, así como, que de conformidad con lo establecido en los artículos 159 y 160 de la Ley General de Transparencia y Acceso a la Información Pública, y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14:paraId="728D0164" w14:textId="77777777" w:rsidR="006D611C" w:rsidRPr="005B0AF4" w:rsidRDefault="006D611C">
      <w:pPr>
        <w:spacing w:line="360" w:lineRule="auto"/>
        <w:jc w:val="both"/>
        <w:rPr>
          <w:rFonts w:ascii="Palatino Linotype" w:eastAsia="Palatino Linotype" w:hAnsi="Palatino Linotype" w:cs="Palatino Linotype"/>
          <w:sz w:val="22"/>
          <w:szCs w:val="22"/>
        </w:rPr>
      </w:pPr>
    </w:p>
    <w:p w14:paraId="267B57E2" w14:textId="77777777" w:rsidR="003D34B1" w:rsidRPr="005B0AF4" w:rsidRDefault="00F50C64">
      <w:pPr>
        <w:spacing w:line="360" w:lineRule="auto"/>
        <w:jc w:val="both"/>
        <w:rPr>
          <w:rFonts w:ascii="Palatino Linotype" w:eastAsia="Palatino Linotype" w:hAnsi="Palatino Linotype" w:cs="Palatino Linotype"/>
          <w:sz w:val="22"/>
          <w:szCs w:val="22"/>
        </w:rPr>
      </w:pPr>
      <w:bookmarkStart w:id="11" w:name="_heading=h.lnxbz9" w:colFirst="0" w:colLast="0"/>
      <w:bookmarkEnd w:id="11"/>
      <w:r w:rsidRPr="005B0AF4">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D611C" w:rsidRPr="005B0AF4">
        <w:rPr>
          <w:rFonts w:ascii="Palatino Linotype" w:eastAsia="Palatino Linotype" w:hAnsi="Palatino Linotype" w:cs="Palatino Linotype"/>
          <w:sz w:val="22"/>
          <w:szCs w:val="22"/>
        </w:rPr>
        <w:t xml:space="preserve"> (EMITIENDO VOTO PARTICULAR)</w:t>
      </w:r>
      <w:r w:rsidRPr="005B0AF4">
        <w:rPr>
          <w:rFonts w:ascii="Palatino Linotype" w:eastAsia="Palatino Linotype" w:hAnsi="Palatino Linotype" w:cs="Palatino Linotype"/>
          <w:sz w:val="22"/>
          <w:szCs w:val="22"/>
        </w:rPr>
        <w:t>; Y GUADALUPE RAMÍREZ PEÑA, EN LA TRIGÉSIMA SEXTA SESIÓN ORDINARIA CELEBRADA EL NUEVE DE OCTUBRE DOS MIL VEINTICUATRO, ANTE EL SECRETARIO TÉCNICO DEL PLENO ALEXIS TAPIA RAMÍREZ.</w:t>
      </w:r>
    </w:p>
    <w:p w14:paraId="64E74AFF" w14:textId="77777777" w:rsidR="003D34B1" w:rsidRPr="005B0AF4" w:rsidRDefault="003D34B1">
      <w:pPr>
        <w:spacing w:line="360" w:lineRule="auto"/>
        <w:jc w:val="both"/>
        <w:rPr>
          <w:rFonts w:ascii="Palatino Linotype" w:eastAsia="Palatino Linotype" w:hAnsi="Palatino Linotype" w:cs="Palatino Linotype"/>
          <w:sz w:val="22"/>
          <w:szCs w:val="22"/>
        </w:rPr>
      </w:pPr>
      <w:bookmarkStart w:id="12" w:name="_heading=h.1fob9te" w:colFirst="0" w:colLast="0"/>
      <w:bookmarkEnd w:id="12"/>
    </w:p>
    <w:p w14:paraId="183506EF" w14:textId="77777777" w:rsidR="003D34B1" w:rsidRPr="005B0AF4" w:rsidRDefault="003D34B1">
      <w:pPr>
        <w:rPr>
          <w:rFonts w:ascii="Palatino Linotype" w:eastAsia="Palatino Linotype" w:hAnsi="Palatino Linotype" w:cs="Palatino Linotype"/>
          <w:sz w:val="22"/>
          <w:szCs w:val="22"/>
        </w:rPr>
      </w:pPr>
    </w:p>
    <w:p w14:paraId="4557C0B0" w14:textId="77777777" w:rsidR="003D34B1" w:rsidRPr="005B0AF4" w:rsidRDefault="003D34B1">
      <w:pPr>
        <w:rPr>
          <w:rFonts w:ascii="Palatino Linotype" w:eastAsia="Palatino Linotype" w:hAnsi="Palatino Linotype" w:cs="Palatino Linotype"/>
          <w:sz w:val="22"/>
          <w:szCs w:val="22"/>
        </w:rPr>
      </w:pPr>
    </w:p>
    <w:p w14:paraId="5287ECD0" w14:textId="77777777" w:rsidR="003D34B1" w:rsidRPr="005B0AF4" w:rsidRDefault="003D34B1">
      <w:pPr>
        <w:rPr>
          <w:rFonts w:ascii="Palatino Linotype" w:eastAsia="Palatino Linotype" w:hAnsi="Palatino Linotype" w:cs="Palatino Linotype"/>
          <w:sz w:val="22"/>
          <w:szCs w:val="22"/>
        </w:rPr>
      </w:pPr>
    </w:p>
    <w:p w14:paraId="4394CF57" w14:textId="77777777" w:rsidR="003D34B1" w:rsidRPr="005B0AF4" w:rsidRDefault="003D34B1">
      <w:pPr>
        <w:rPr>
          <w:rFonts w:ascii="Palatino Linotype" w:eastAsia="Palatino Linotype" w:hAnsi="Palatino Linotype" w:cs="Palatino Linotype"/>
          <w:sz w:val="22"/>
          <w:szCs w:val="22"/>
        </w:rPr>
      </w:pPr>
    </w:p>
    <w:p w14:paraId="3EE30609" w14:textId="77777777" w:rsidR="003D34B1" w:rsidRPr="005B0AF4" w:rsidRDefault="003D34B1">
      <w:pPr>
        <w:rPr>
          <w:rFonts w:ascii="Palatino Linotype" w:eastAsia="Palatino Linotype" w:hAnsi="Palatino Linotype" w:cs="Palatino Linotype"/>
          <w:sz w:val="22"/>
          <w:szCs w:val="22"/>
        </w:rPr>
      </w:pPr>
    </w:p>
    <w:p w14:paraId="266B6169" w14:textId="77777777" w:rsidR="003D34B1" w:rsidRPr="005B0AF4" w:rsidRDefault="003D34B1">
      <w:pPr>
        <w:rPr>
          <w:rFonts w:ascii="Palatino Linotype" w:eastAsia="Palatino Linotype" w:hAnsi="Palatino Linotype" w:cs="Palatino Linotype"/>
          <w:sz w:val="22"/>
          <w:szCs w:val="22"/>
        </w:rPr>
      </w:pPr>
    </w:p>
    <w:p w14:paraId="0084C055" w14:textId="77777777" w:rsidR="003D34B1" w:rsidRPr="005B0AF4" w:rsidRDefault="003D34B1">
      <w:pPr>
        <w:rPr>
          <w:rFonts w:ascii="Palatino Linotype" w:eastAsia="Palatino Linotype" w:hAnsi="Palatino Linotype" w:cs="Palatino Linotype"/>
          <w:sz w:val="22"/>
          <w:szCs w:val="22"/>
        </w:rPr>
      </w:pPr>
    </w:p>
    <w:p w14:paraId="7FD31F6B" w14:textId="77777777" w:rsidR="003D34B1" w:rsidRPr="005B0AF4" w:rsidRDefault="003D34B1">
      <w:pPr>
        <w:rPr>
          <w:rFonts w:ascii="Palatino Linotype" w:eastAsia="Palatino Linotype" w:hAnsi="Palatino Linotype" w:cs="Palatino Linotype"/>
          <w:sz w:val="22"/>
          <w:szCs w:val="22"/>
        </w:rPr>
      </w:pPr>
    </w:p>
    <w:p w14:paraId="616941F5" w14:textId="77777777" w:rsidR="003D34B1" w:rsidRPr="005B0AF4" w:rsidRDefault="003D34B1">
      <w:pPr>
        <w:rPr>
          <w:rFonts w:ascii="Palatino Linotype" w:eastAsia="Palatino Linotype" w:hAnsi="Palatino Linotype" w:cs="Palatino Linotype"/>
          <w:sz w:val="22"/>
          <w:szCs w:val="22"/>
        </w:rPr>
      </w:pPr>
    </w:p>
    <w:p w14:paraId="1E144393" w14:textId="77777777" w:rsidR="003D34B1" w:rsidRPr="005B0AF4" w:rsidRDefault="003D34B1">
      <w:pPr>
        <w:spacing w:line="360" w:lineRule="auto"/>
        <w:jc w:val="both"/>
        <w:rPr>
          <w:rFonts w:ascii="Palatino Linotype" w:eastAsia="Palatino Linotype" w:hAnsi="Palatino Linotype" w:cs="Palatino Linotype"/>
          <w:sz w:val="22"/>
          <w:szCs w:val="22"/>
        </w:rPr>
      </w:pPr>
      <w:bookmarkStart w:id="13" w:name="_heading=h.3rdcrjn" w:colFirst="0" w:colLast="0"/>
      <w:bookmarkEnd w:id="13"/>
    </w:p>
    <w:p w14:paraId="0A7123A4"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3170F7C3"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55DDBB9F" w14:textId="77777777" w:rsidR="003D34B1" w:rsidRPr="005B0AF4" w:rsidRDefault="003D34B1">
      <w:pPr>
        <w:spacing w:line="360" w:lineRule="auto"/>
        <w:jc w:val="both"/>
        <w:rPr>
          <w:rFonts w:ascii="Palatino Linotype" w:eastAsia="Palatino Linotype" w:hAnsi="Palatino Linotype" w:cs="Palatino Linotype"/>
          <w:sz w:val="22"/>
          <w:szCs w:val="22"/>
        </w:rPr>
      </w:pPr>
      <w:bookmarkStart w:id="14" w:name="_heading=h.1t3h5sf" w:colFirst="0" w:colLast="0"/>
      <w:bookmarkEnd w:id="14"/>
    </w:p>
    <w:p w14:paraId="36739D0D"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0C5CD0D8"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5FC4AF21"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177F7BD4"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10BE2AA4"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6A769903"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62D8F436"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381D9994"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62999410"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38D206B9" w14:textId="77777777" w:rsidR="003D34B1" w:rsidRPr="005B0AF4" w:rsidRDefault="003D34B1">
      <w:pPr>
        <w:spacing w:line="360" w:lineRule="auto"/>
        <w:jc w:val="both"/>
        <w:rPr>
          <w:rFonts w:ascii="Palatino Linotype" w:eastAsia="Palatino Linotype" w:hAnsi="Palatino Linotype" w:cs="Palatino Linotype"/>
          <w:sz w:val="22"/>
          <w:szCs w:val="22"/>
        </w:rPr>
      </w:pPr>
    </w:p>
    <w:p w14:paraId="6C58CA09" w14:textId="77777777" w:rsidR="003D34B1" w:rsidRPr="005B0AF4" w:rsidRDefault="003D34B1">
      <w:pPr>
        <w:spacing w:line="360" w:lineRule="auto"/>
        <w:jc w:val="both"/>
        <w:rPr>
          <w:rFonts w:ascii="Palatino Linotype" w:eastAsia="Palatino Linotype" w:hAnsi="Palatino Linotype" w:cs="Palatino Linotype"/>
          <w:sz w:val="22"/>
          <w:szCs w:val="22"/>
        </w:rPr>
      </w:pPr>
    </w:p>
    <w:sectPr w:rsidR="003D34B1" w:rsidRPr="005B0AF4">
      <w:headerReference w:type="default" r:id="rId13"/>
      <w:footerReference w:type="default" r:id="rId14"/>
      <w:headerReference w:type="first" r:id="rId15"/>
      <w:footerReference w:type="first" r:id="rId16"/>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6A644" w14:textId="77777777" w:rsidR="00E26644" w:rsidRDefault="00E26644">
      <w:r>
        <w:separator/>
      </w:r>
    </w:p>
  </w:endnote>
  <w:endnote w:type="continuationSeparator" w:id="0">
    <w:p w14:paraId="148DC262" w14:textId="77777777" w:rsidR="00E26644" w:rsidRDefault="00E26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4719F" w14:textId="77777777" w:rsidR="003D34B1" w:rsidRDefault="00F50C6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C3B95">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C3B95">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5057BF2C" w14:textId="77777777" w:rsidR="003D34B1" w:rsidRDefault="003D34B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B937" w14:textId="77777777" w:rsidR="003D34B1" w:rsidRDefault="00F50C6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C3B9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C3B95">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7ACC4852" w14:textId="77777777" w:rsidR="003D34B1" w:rsidRDefault="003D34B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A8631" w14:textId="77777777" w:rsidR="00E26644" w:rsidRDefault="00E26644">
      <w:r>
        <w:separator/>
      </w:r>
    </w:p>
  </w:footnote>
  <w:footnote w:type="continuationSeparator" w:id="0">
    <w:p w14:paraId="47921D88" w14:textId="77777777" w:rsidR="00E26644" w:rsidRDefault="00E26644">
      <w:r>
        <w:continuationSeparator/>
      </w:r>
    </w:p>
  </w:footnote>
  <w:footnote w:id="1">
    <w:p w14:paraId="7C87470E" w14:textId="77777777" w:rsidR="003D34B1" w:rsidRDefault="00F50C6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Artículo 21 de la Constitución Política de los Estados Unidos Mexicanos, en correlación con el artículo 81 de la Constitución Política del Estado Libre y Soberano de México.</w:t>
      </w:r>
    </w:p>
  </w:footnote>
  <w:footnote w:id="2">
    <w:p w14:paraId="6CBDE8EE" w14:textId="77777777" w:rsidR="003D34B1" w:rsidRDefault="00F50C6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artículo 83 de la Constitución Política del Estado Libre y Soberano de México.</w:t>
      </w:r>
    </w:p>
    <w:p w14:paraId="4C9DF49C" w14:textId="77777777" w:rsidR="003D34B1" w:rsidRDefault="003D34B1">
      <w:pPr>
        <w:pBdr>
          <w:top w:val="nil"/>
          <w:left w:val="nil"/>
          <w:bottom w:val="nil"/>
          <w:right w:val="nil"/>
          <w:between w:val="nil"/>
        </w:pBdr>
        <w:rPr>
          <w:rFonts w:ascii="Cambria" w:eastAsia="Cambria" w:hAnsi="Cambria" w:cs="Cambria"/>
          <w:color w:val="000000"/>
          <w:sz w:val="20"/>
          <w:szCs w:val="20"/>
        </w:rPr>
      </w:pPr>
    </w:p>
  </w:footnote>
  <w:footnote w:id="3">
    <w:p w14:paraId="62BDF224" w14:textId="77777777" w:rsidR="003D34B1" w:rsidRDefault="00F50C6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Unidad General de Igualdad de Género de la Suprema Corte de Justicia de la Nación.</w:t>
      </w:r>
    </w:p>
    <w:p w14:paraId="2BFF3761" w14:textId="77777777" w:rsidR="003D34B1" w:rsidRDefault="00F50C64">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Guía para usos de lenguaje inclusivo y no sexista</w:t>
      </w:r>
    </w:p>
  </w:footnote>
  <w:footnote w:id="4">
    <w:p w14:paraId="78FC5814" w14:textId="77777777" w:rsidR="003D34B1" w:rsidRDefault="00F50C6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Visible en la pagina https://www.scielo.org.mx/scielo.php?script=sci_arttext&amp;pid=S1870-46542011000100018#nota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BE373" w14:textId="77777777" w:rsidR="003D34B1" w:rsidRDefault="00F50C64">
    <w:pPr>
      <w:rPr>
        <w:rFonts w:ascii="Cambria" w:eastAsia="Cambria" w:hAnsi="Cambria" w:cs="Cambria"/>
        <w:color w:val="000000"/>
      </w:rPr>
    </w:pPr>
    <w:r>
      <w:rPr>
        <w:noProof/>
      </w:rPr>
      <w:drawing>
        <wp:anchor distT="0" distB="0" distL="0" distR="0" simplePos="0" relativeHeight="251658240" behindDoc="1" locked="0" layoutInCell="1" hidden="0" allowOverlap="1" wp14:anchorId="3B67BF47" wp14:editId="1621DDCA">
          <wp:simplePos x="0" y="0"/>
          <wp:positionH relativeFrom="column">
            <wp:posOffset>-1080103</wp:posOffset>
          </wp:positionH>
          <wp:positionV relativeFrom="paragraph">
            <wp:posOffset>-488278</wp:posOffset>
          </wp:positionV>
          <wp:extent cx="7809865" cy="10165715"/>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3D34B1" w14:paraId="073AB6F7" w14:textId="77777777">
      <w:tc>
        <w:tcPr>
          <w:tcW w:w="2489" w:type="dxa"/>
          <w:shd w:val="clear" w:color="auto" w:fill="auto"/>
        </w:tcPr>
        <w:p w14:paraId="71E19A67" w14:textId="77777777" w:rsidR="003D34B1" w:rsidRDefault="00F50C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6ED4345" w14:textId="77777777" w:rsidR="003D34B1" w:rsidRDefault="00F50C6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02994/INFOEM/IP/RR/2024</w:t>
          </w:r>
        </w:p>
      </w:tc>
    </w:tr>
    <w:tr w:rsidR="003D34B1" w14:paraId="1E324C83" w14:textId="77777777">
      <w:trPr>
        <w:trHeight w:val="228"/>
      </w:trPr>
      <w:tc>
        <w:tcPr>
          <w:tcW w:w="2489" w:type="dxa"/>
          <w:shd w:val="clear" w:color="auto" w:fill="auto"/>
          <w:vAlign w:val="center"/>
        </w:tcPr>
        <w:p w14:paraId="7289CFCF" w14:textId="77777777" w:rsidR="003D34B1" w:rsidRDefault="00F50C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BF62D3D" w14:textId="77777777" w:rsidR="003D34B1" w:rsidRDefault="00F50C64">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Fiscalía General de Justicia del Estado de México</w:t>
          </w:r>
        </w:p>
      </w:tc>
    </w:tr>
    <w:tr w:rsidR="003D34B1" w14:paraId="28651237" w14:textId="77777777">
      <w:tc>
        <w:tcPr>
          <w:tcW w:w="2489" w:type="dxa"/>
          <w:shd w:val="clear" w:color="auto" w:fill="auto"/>
          <w:vAlign w:val="center"/>
        </w:tcPr>
        <w:p w14:paraId="0AADFEC8" w14:textId="77777777" w:rsidR="003D34B1" w:rsidRDefault="00F50C6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013F32E" w14:textId="77777777" w:rsidR="003D34B1" w:rsidRDefault="00F50C6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8788E0A" w14:textId="77777777" w:rsidR="003D34B1" w:rsidRDefault="00F50C6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6FD1F" w14:textId="77777777" w:rsidR="003D34B1" w:rsidRDefault="00F50C6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2C463D70" wp14:editId="1DAFCE3A">
          <wp:simplePos x="0" y="0"/>
          <wp:positionH relativeFrom="column">
            <wp:posOffset>-1080129</wp:posOffset>
          </wp:positionH>
          <wp:positionV relativeFrom="paragraph">
            <wp:posOffset>-369905</wp:posOffset>
          </wp:positionV>
          <wp:extent cx="7809865" cy="10165715"/>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3D34B1" w14:paraId="5AA6BEDE" w14:textId="77777777">
      <w:tc>
        <w:tcPr>
          <w:tcW w:w="2489" w:type="dxa"/>
          <w:shd w:val="clear" w:color="auto" w:fill="auto"/>
        </w:tcPr>
        <w:p w14:paraId="3FC94CFA" w14:textId="77777777" w:rsidR="003D34B1" w:rsidRDefault="00F50C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89AEDEF" w14:textId="77777777" w:rsidR="003D34B1" w:rsidRDefault="00F50C6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02994/INFOEM/IP/RR/2024</w:t>
          </w:r>
        </w:p>
      </w:tc>
    </w:tr>
    <w:tr w:rsidR="003D34B1" w14:paraId="4E55D0F1" w14:textId="77777777">
      <w:tc>
        <w:tcPr>
          <w:tcW w:w="2489" w:type="dxa"/>
          <w:shd w:val="clear" w:color="auto" w:fill="auto"/>
        </w:tcPr>
        <w:p w14:paraId="49F52AB5" w14:textId="77777777" w:rsidR="003D34B1" w:rsidRDefault="00F50C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5D743659" w14:textId="2951C303" w:rsidR="003D34B1" w:rsidRDefault="00187FE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 XXXXX XXXXXX </w:t>
          </w:r>
        </w:p>
      </w:tc>
    </w:tr>
    <w:tr w:rsidR="003D34B1" w14:paraId="5F3839F6" w14:textId="77777777">
      <w:trPr>
        <w:trHeight w:val="228"/>
      </w:trPr>
      <w:tc>
        <w:tcPr>
          <w:tcW w:w="2489" w:type="dxa"/>
          <w:shd w:val="clear" w:color="auto" w:fill="auto"/>
          <w:vAlign w:val="center"/>
        </w:tcPr>
        <w:p w14:paraId="4D3D9ADF" w14:textId="77777777" w:rsidR="003D34B1" w:rsidRDefault="00F50C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F6B3760" w14:textId="77777777" w:rsidR="003D34B1" w:rsidRDefault="00F50C64">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Fiscalía General de Justicia del Estado de México</w:t>
          </w:r>
        </w:p>
      </w:tc>
    </w:tr>
    <w:tr w:rsidR="003D34B1" w14:paraId="0093B043" w14:textId="77777777">
      <w:tc>
        <w:tcPr>
          <w:tcW w:w="2489" w:type="dxa"/>
          <w:shd w:val="clear" w:color="auto" w:fill="auto"/>
          <w:vAlign w:val="center"/>
        </w:tcPr>
        <w:p w14:paraId="0B147547" w14:textId="77777777" w:rsidR="003D34B1" w:rsidRDefault="00F50C6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AE3CF47" w14:textId="77777777" w:rsidR="003D34B1" w:rsidRDefault="00F50C6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CDDA92C" w14:textId="77777777" w:rsidR="003D34B1" w:rsidRDefault="003D34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8B6"/>
    <w:multiLevelType w:val="multilevel"/>
    <w:tmpl w:val="0B9CAD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77076A9"/>
    <w:multiLevelType w:val="multilevel"/>
    <w:tmpl w:val="0B262410"/>
    <w:lvl w:ilvl="0">
      <w:start w:val="1"/>
      <w:numFmt w:val="lowerLetter"/>
      <w:pStyle w:val="Listaconvietas3"/>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 w15:restartNumberingAfterBreak="0">
    <w:nsid w:val="5C810ADF"/>
    <w:multiLevelType w:val="multilevel"/>
    <w:tmpl w:val="77487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BA660A8"/>
    <w:multiLevelType w:val="multilevel"/>
    <w:tmpl w:val="935496A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4B1"/>
    <w:rsid w:val="00187FEC"/>
    <w:rsid w:val="00194A96"/>
    <w:rsid w:val="003D34B1"/>
    <w:rsid w:val="005B0AF4"/>
    <w:rsid w:val="006D611C"/>
    <w:rsid w:val="007B4960"/>
    <w:rsid w:val="009C3B95"/>
    <w:rsid w:val="00E26644"/>
    <w:rsid w:val="00F50C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36183"/>
  <w15:docId w15:val="{9FC96E73-32C0-40E6-A880-724A45803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INAI"/>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INAI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paragraph" w:customStyle="1" w:styleId="Citas">
    <w:name w:val="Citas"/>
    <w:basedOn w:val="Normal"/>
    <w:qFormat/>
    <w:rsid w:val="00A81D5A"/>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7">
    <w:name w:val="Tabla con cuadrícula7"/>
    <w:basedOn w:val="Tablanormal"/>
    <w:next w:val="Tablaconcuadrcula"/>
    <w:uiPriority w:val="39"/>
    <w:rsid w:val="00073C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ilenio.com/policia/comunidad-trans-de-edomex-exige-justicia-por-transfeminicidio-de-kare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com/FiscaliaEdomex/status/172811792267624061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baL80QgVe13arfhz/Mxq4C5yXw==">CgMxLjAyCWguNGQzNG9nODIIaC5namRneHMyCWguM2R5NnZrbTIJaC4zMGowemxsMgloLjJzOGV5bzEyCGgudHlqY3d0MgloLjN6bnlzaDcyCWguMmV0OTJwMDIOaC5rZWxnczI0MjhvYTYyCWguMzVua3VuMjIOaC43bmR2cDk2end6ZjkyCGgubG54Yno5MgloLjFmb2I5dGUyCWguM3JkY3JqbjIJaC4xdDNoNXNmOAByITFFY3E1N3pkOTVEUlNuQnhUVWs3bHVNV1V1STJHRlhu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11479</Words>
  <Characters>63139</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2024-10-11T16:52:00Z</cp:lastPrinted>
  <dcterms:created xsi:type="dcterms:W3CDTF">2024-10-23T23:17:00Z</dcterms:created>
  <dcterms:modified xsi:type="dcterms:W3CDTF">2024-10-23T23:17:00Z</dcterms:modified>
</cp:coreProperties>
</file>