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D5C4" w14:textId="77777777" w:rsidR="006655FF" w:rsidRDefault="006655FF" w:rsidP="006655F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diecinueve (19) de septiembre de dos mil veinticuatro. </w:t>
      </w:r>
    </w:p>
    <w:p w14:paraId="41C68A62" w14:textId="77777777" w:rsidR="006655FF" w:rsidRDefault="006655FF" w:rsidP="006655FF">
      <w:pPr>
        <w:spacing w:line="360" w:lineRule="auto"/>
        <w:jc w:val="both"/>
        <w:rPr>
          <w:rFonts w:ascii="Palatino Linotype" w:eastAsia="Palatino Linotype" w:hAnsi="Palatino Linotype" w:cs="Palatino Linotype"/>
        </w:rPr>
      </w:pPr>
    </w:p>
    <w:p w14:paraId="78B7A4B2" w14:textId="40263AEE" w:rsidR="006655FF" w:rsidRDefault="006655FF" w:rsidP="006655F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01263/INFOEM/IP/RR/2024, </w:t>
      </w:r>
      <w:r>
        <w:rPr>
          <w:rFonts w:ascii="Palatino Linotype" w:eastAsia="Palatino Linotype" w:hAnsi="Palatino Linotype" w:cs="Palatino Linotype"/>
        </w:rPr>
        <w:t xml:space="preserve">promovido por </w:t>
      </w:r>
      <w:r w:rsidR="0096745F">
        <w:rPr>
          <w:rFonts w:ascii="Palatino Linotype" w:eastAsia="Palatino Linotype" w:hAnsi="Palatino Linotype" w:cs="Palatino Linotype"/>
          <w:b/>
          <w:bCs/>
        </w:rPr>
        <w:t xml:space="preserve">XXX </w:t>
      </w:r>
      <w:proofErr w:type="spellStart"/>
      <w:r w:rsidR="0096745F">
        <w:rPr>
          <w:rFonts w:ascii="Palatino Linotype" w:eastAsia="Palatino Linotype" w:hAnsi="Palatino Linotype" w:cs="Palatino Linotype"/>
          <w:b/>
          <w:bCs/>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Texcoco,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38362B5D" w14:textId="77777777" w:rsidR="006655FF" w:rsidRDefault="006655FF" w:rsidP="006655FF">
      <w:pPr>
        <w:spacing w:line="360" w:lineRule="auto"/>
        <w:jc w:val="both"/>
        <w:rPr>
          <w:rFonts w:ascii="Palatino Linotype" w:eastAsia="Palatino Linotype" w:hAnsi="Palatino Linotype" w:cs="Palatino Linotype"/>
          <w:b/>
        </w:rPr>
      </w:pPr>
    </w:p>
    <w:p w14:paraId="112A5B71" w14:textId="77777777" w:rsidR="006655FF" w:rsidRDefault="006655FF" w:rsidP="006655FF">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ANTECEDENTES</w:t>
      </w:r>
    </w:p>
    <w:p w14:paraId="2102AA8F" w14:textId="77777777" w:rsidR="006655FF" w:rsidRDefault="006655FF" w:rsidP="006655FF">
      <w:pPr>
        <w:spacing w:line="360" w:lineRule="auto"/>
        <w:rPr>
          <w:rFonts w:ascii="Palatino Linotype" w:eastAsia="Palatino Linotype" w:hAnsi="Palatino Linotype" w:cs="Palatino Linotype"/>
        </w:rPr>
      </w:pPr>
    </w:p>
    <w:p w14:paraId="7E5605BD"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treinta y uno (31) de enero de dos mil veinticuatro,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presentó la solicitud de información registrada con el número </w:t>
      </w:r>
      <w:r w:rsidRPr="006655FF">
        <w:rPr>
          <w:rFonts w:ascii="Palatino Linotype" w:eastAsia="Palatino Linotype" w:hAnsi="Palatino Linotype" w:cs="Palatino Linotype"/>
          <w:b/>
          <w:bCs/>
          <w:color w:val="000000"/>
        </w:rPr>
        <w:t>00026/TEXCOCO/IP/2024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mediante las cuales solicitó lo siguiente:</w:t>
      </w:r>
    </w:p>
    <w:p w14:paraId="4527230A"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9780862" w14:textId="77777777" w:rsidR="006655FF" w:rsidRDefault="006655FF" w:rsidP="006655FF">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r w:rsidRPr="006655FF">
        <w:rPr>
          <w:rFonts w:ascii="Palatino Linotype" w:eastAsia="Palatino Linotype" w:hAnsi="Palatino Linotype" w:cs="Palatino Linotype"/>
          <w:i/>
          <w:color w:val="000000"/>
          <w:sz w:val="22"/>
          <w:szCs w:val="22"/>
        </w:rPr>
        <w:t xml:space="preserve">solicito los </w:t>
      </w:r>
      <w:proofErr w:type="spellStart"/>
      <w:r w:rsidRPr="006655FF">
        <w:rPr>
          <w:rFonts w:ascii="Palatino Linotype" w:eastAsia="Palatino Linotype" w:hAnsi="Palatino Linotype" w:cs="Palatino Linotype"/>
          <w:i/>
          <w:color w:val="000000"/>
          <w:sz w:val="22"/>
          <w:szCs w:val="22"/>
        </w:rPr>
        <w:t>egersos</w:t>
      </w:r>
      <w:proofErr w:type="spellEnd"/>
      <w:r w:rsidRPr="006655FF">
        <w:rPr>
          <w:rFonts w:ascii="Palatino Linotype" w:eastAsia="Palatino Linotype" w:hAnsi="Palatino Linotype" w:cs="Palatino Linotype"/>
          <w:i/>
          <w:color w:val="000000"/>
          <w:sz w:val="22"/>
          <w:szCs w:val="22"/>
        </w:rPr>
        <w:t xml:space="preserve"> </w:t>
      </w:r>
      <w:proofErr w:type="spellStart"/>
      <w:r w:rsidRPr="006655FF">
        <w:rPr>
          <w:rFonts w:ascii="Palatino Linotype" w:eastAsia="Palatino Linotype" w:hAnsi="Palatino Linotype" w:cs="Palatino Linotype"/>
          <w:i/>
          <w:color w:val="000000"/>
          <w:sz w:val="22"/>
          <w:szCs w:val="22"/>
        </w:rPr>
        <w:t>realizadoas</w:t>
      </w:r>
      <w:proofErr w:type="spellEnd"/>
      <w:r w:rsidRPr="006655FF">
        <w:rPr>
          <w:rFonts w:ascii="Palatino Linotype" w:eastAsia="Palatino Linotype" w:hAnsi="Palatino Linotype" w:cs="Palatino Linotype"/>
          <w:i/>
          <w:color w:val="000000"/>
          <w:sz w:val="22"/>
          <w:szCs w:val="22"/>
        </w:rPr>
        <w:t xml:space="preserve"> del año 2023, detallado en obra </w:t>
      </w:r>
      <w:proofErr w:type="spellStart"/>
      <w:r w:rsidRPr="006655FF">
        <w:rPr>
          <w:rFonts w:ascii="Palatino Linotype" w:eastAsia="Palatino Linotype" w:hAnsi="Palatino Linotype" w:cs="Palatino Linotype"/>
          <w:i/>
          <w:color w:val="000000"/>
          <w:sz w:val="22"/>
          <w:szCs w:val="22"/>
        </w:rPr>
        <w:t>publica</w:t>
      </w:r>
      <w:proofErr w:type="spellEnd"/>
      <w:r w:rsidRPr="006655FF">
        <w:rPr>
          <w:rFonts w:ascii="Palatino Linotype" w:eastAsia="Palatino Linotype" w:hAnsi="Palatino Linotype" w:cs="Palatino Linotype"/>
          <w:i/>
          <w:color w:val="000000"/>
          <w:sz w:val="22"/>
          <w:szCs w:val="22"/>
        </w:rPr>
        <w:t xml:space="preserve">, festivales, agua </w:t>
      </w:r>
      <w:proofErr w:type="spellStart"/>
      <w:r w:rsidRPr="006655FF">
        <w:rPr>
          <w:rFonts w:ascii="Palatino Linotype" w:eastAsia="Palatino Linotype" w:hAnsi="Palatino Linotype" w:cs="Palatino Linotype"/>
          <w:i/>
          <w:color w:val="000000"/>
          <w:sz w:val="22"/>
          <w:szCs w:val="22"/>
        </w:rPr>
        <w:t>patable</w:t>
      </w:r>
      <w:proofErr w:type="spellEnd"/>
      <w:r>
        <w:rPr>
          <w:rFonts w:ascii="Palatino Linotype" w:eastAsia="Palatino Linotype" w:hAnsi="Palatino Linotype" w:cs="Palatino Linotype"/>
          <w:i/>
          <w:color w:val="000000"/>
          <w:sz w:val="22"/>
          <w:szCs w:val="22"/>
        </w:rPr>
        <w:t xml:space="preserve">” (Sic) </w:t>
      </w:r>
    </w:p>
    <w:p w14:paraId="5CE65198"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D524B1"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a través de SAIMEX.</w:t>
      </w:r>
    </w:p>
    <w:p w14:paraId="2DED4011"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BF94A3"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treinta y uno (31) de enero de dos mil veintitrés, se realizó un requerimiento al servidor público habilitado. </w:t>
      </w:r>
    </w:p>
    <w:p w14:paraId="2DB5D721" w14:textId="77777777" w:rsidR="006655FF" w:rsidRDefault="006655FF" w:rsidP="006655FF">
      <w:pPr>
        <w:pStyle w:val="Prrafodelista"/>
        <w:rPr>
          <w:rFonts w:ascii="Palatino Linotype" w:eastAsia="Palatino Linotype" w:hAnsi="Palatino Linotype" w:cs="Palatino Linotype"/>
          <w:color w:val="000000"/>
        </w:rPr>
      </w:pPr>
    </w:p>
    <w:p w14:paraId="340AE362" w14:textId="77777777" w:rsidR="00510BD2" w:rsidRDefault="006655FF" w:rsidP="00510BD2">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veintidós (22) de febrero de dos mil veinticuatro, se notificó una prórroga para emitir respuesta a la solicitud de información</w:t>
      </w:r>
      <w:r w:rsidR="00510BD2">
        <w:rPr>
          <w:rFonts w:ascii="Palatino Linotype" w:eastAsia="Palatino Linotype" w:hAnsi="Palatino Linotype" w:cs="Palatino Linotype"/>
          <w:color w:val="000000"/>
        </w:rPr>
        <w:t xml:space="preserve"> en el siguiente sentido:</w:t>
      </w:r>
    </w:p>
    <w:p w14:paraId="20C201A4" w14:textId="77777777" w:rsidR="00510BD2" w:rsidRDefault="00510BD2" w:rsidP="00510BD2">
      <w:pPr>
        <w:pStyle w:val="Prrafodelista"/>
        <w:rPr>
          <w:rFonts w:ascii="Palatino Linotype" w:eastAsia="Palatino Linotype" w:hAnsi="Palatino Linotype" w:cs="Palatino Linotype"/>
          <w:color w:val="000000"/>
        </w:rPr>
      </w:pPr>
    </w:p>
    <w:tbl>
      <w:tblPr>
        <w:tblW w:w="7826" w:type="dxa"/>
        <w:jc w:val="center"/>
        <w:tblCellSpacing w:w="0" w:type="dxa"/>
        <w:tblCellMar>
          <w:left w:w="0" w:type="dxa"/>
          <w:right w:w="0" w:type="dxa"/>
        </w:tblCellMar>
        <w:tblLook w:val="04A0" w:firstRow="1" w:lastRow="0" w:firstColumn="1" w:lastColumn="0" w:noHBand="0" w:noVBand="1"/>
      </w:tblPr>
      <w:tblGrid>
        <w:gridCol w:w="7826"/>
      </w:tblGrid>
      <w:tr w:rsidR="00510BD2" w:rsidRPr="00510BD2" w14:paraId="362FF0D9" w14:textId="77777777" w:rsidTr="00510BD2">
        <w:trPr>
          <w:trHeight w:val="324"/>
          <w:tblCellSpacing w:w="0" w:type="dxa"/>
          <w:jc w:val="center"/>
        </w:trPr>
        <w:tc>
          <w:tcPr>
            <w:tcW w:w="0" w:type="auto"/>
            <w:vAlign w:val="center"/>
            <w:hideMark/>
          </w:tcPr>
          <w:p w14:paraId="4DC5BEA7" w14:textId="77777777" w:rsidR="00510BD2" w:rsidRPr="00510BD2" w:rsidRDefault="00510BD2" w:rsidP="00510BD2">
            <w:pPr>
              <w:jc w:val="right"/>
              <w:rPr>
                <w:rFonts w:ascii="Palatino Linotype" w:hAnsi="Palatino Linotype"/>
                <w:i/>
                <w:sz w:val="22"/>
              </w:rPr>
            </w:pPr>
            <w:r>
              <w:rPr>
                <w:rFonts w:ascii="Palatino Linotype" w:hAnsi="Palatino Linotype"/>
                <w:i/>
                <w:sz w:val="22"/>
                <w:szCs w:val="15"/>
              </w:rPr>
              <w:t>“</w:t>
            </w:r>
            <w:r w:rsidRPr="00510BD2">
              <w:rPr>
                <w:rFonts w:ascii="Palatino Linotype" w:hAnsi="Palatino Linotype"/>
                <w:i/>
                <w:sz w:val="22"/>
                <w:szCs w:val="15"/>
              </w:rPr>
              <w:t>Texcoco, México a 22 de Febrero de 2024</w:t>
            </w:r>
          </w:p>
        </w:tc>
      </w:tr>
      <w:tr w:rsidR="00510BD2" w:rsidRPr="00510BD2" w14:paraId="359197DB" w14:textId="77777777" w:rsidTr="00510BD2">
        <w:trPr>
          <w:trHeight w:val="324"/>
          <w:tblCellSpacing w:w="0" w:type="dxa"/>
          <w:jc w:val="center"/>
        </w:trPr>
        <w:tc>
          <w:tcPr>
            <w:tcW w:w="0" w:type="auto"/>
            <w:vAlign w:val="center"/>
            <w:hideMark/>
          </w:tcPr>
          <w:p w14:paraId="6837890D" w14:textId="77777777" w:rsidR="00510BD2" w:rsidRPr="00510BD2" w:rsidRDefault="00510BD2" w:rsidP="00510BD2">
            <w:pPr>
              <w:jc w:val="right"/>
              <w:rPr>
                <w:rFonts w:ascii="Palatino Linotype" w:hAnsi="Palatino Linotype"/>
                <w:i/>
                <w:sz w:val="22"/>
              </w:rPr>
            </w:pPr>
            <w:r w:rsidRPr="00510BD2">
              <w:rPr>
                <w:rFonts w:ascii="Palatino Linotype" w:hAnsi="Palatino Linotype"/>
                <w:i/>
                <w:sz w:val="22"/>
                <w:szCs w:val="15"/>
              </w:rPr>
              <w:t>Nombre del solicitante: C. Solicitante</w:t>
            </w:r>
          </w:p>
        </w:tc>
      </w:tr>
      <w:tr w:rsidR="00510BD2" w:rsidRPr="00510BD2" w14:paraId="7721E5C0" w14:textId="77777777" w:rsidTr="00510BD2">
        <w:trPr>
          <w:trHeight w:val="324"/>
          <w:tblCellSpacing w:w="0" w:type="dxa"/>
          <w:jc w:val="center"/>
        </w:trPr>
        <w:tc>
          <w:tcPr>
            <w:tcW w:w="0" w:type="auto"/>
            <w:vAlign w:val="center"/>
            <w:hideMark/>
          </w:tcPr>
          <w:p w14:paraId="2D7B881F" w14:textId="77777777" w:rsidR="00510BD2" w:rsidRPr="00510BD2" w:rsidRDefault="00510BD2" w:rsidP="00510BD2">
            <w:pPr>
              <w:jc w:val="right"/>
              <w:rPr>
                <w:rFonts w:ascii="Palatino Linotype" w:hAnsi="Palatino Linotype"/>
                <w:i/>
                <w:sz w:val="22"/>
              </w:rPr>
            </w:pPr>
            <w:r w:rsidRPr="00510BD2">
              <w:rPr>
                <w:rFonts w:ascii="Palatino Linotype" w:hAnsi="Palatino Linotype"/>
                <w:i/>
                <w:sz w:val="22"/>
                <w:szCs w:val="15"/>
              </w:rPr>
              <w:t>Folio de la solicitud: 00026/TEXCOCO/IP/2024</w:t>
            </w:r>
          </w:p>
        </w:tc>
      </w:tr>
      <w:tr w:rsidR="00510BD2" w:rsidRPr="00510BD2" w14:paraId="1483C042" w14:textId="77777777" w:rsidTr="00510BD2">
        <w:trPr>
          <w:trHeight w:val="486"/>
          <w:tblCellSpacing w:w="0" w:type="dxa"/>
          <w:jc w:val="center"/>
        </w:trPr>
        <w:tc>
          <w:tcPr>
            <w:tcW w:w="0" w:type="auto"/>
            <w:vAlign w:val="center"/>
            <w:hideMark/>
          </w:tcPr>
          <w:p w14:paraId="6A77E471" w14:textId="77777777" w:rsidR="00510BD2" w:rsidRPr="00510BD2" w:rsidRDefault="00510BD2" w:rsidP="00510BD2">
            <w:pPr>
              <w:jc w:val="right"/>
              <w:rPr>
                <w:rFonts w:ascii="Palatino Linotype" w:hAnsi="Palatino Linotype"/>
                <w:i/>
                <w:sz w:val="22"/>
              </w:rPr>
            </w:pPr>
          </w:p>
        </w:tc>
      </w:tr>
      <w:tr w:rsidR="00510BD2" w:rsidRPr="00510BD2" w14:paraId="6FEE4C48" w14:textId="77777777" w:rsidTr="00510BD2">
        <w:trPr>
          <w:trHeight w:val="162"/>
          <w:tblCellSpacing w:w="0" w:type="dxa"/>
          <w:jc w:val="center"/>
        </w:trPr>
        <w:tc>
          <w:tcPr>
            <w:tcW w:w="0" w:type="auto"/>
            <w:vAlign w:val="center"/>
            <w:hideMark/>
          </w:tcPr>
          <w:p w14:paraId="1D736B76" w14:textId="77777777" w:rsidR="00510BD2" w:rsidRPr="00510BD2" w:rsidRDefault="00510BD2" w:rsidP="00510BD2">
            <w:pPr>
              <w:rPr>
                <w:rFonts w:ascii="Palatino Linotype" w:hAnsi="Palatino Linotype"/>
                <w:i/>
                <w:sz w:val="22"/>
              </w:rPr>
            </w:pPr>
            <w:r w:rsidRPr="00510BD2">
              <w:rPr>
                <w:rFonts w:ascii="Palatino Linotype" w:hAnsi="Palatino Linotype"/>
                <w:i/>
                <w:sz w:val="22"/>
                <w:szCs w:val="15"/>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510BD2" w:rsidRPr="00510BD2" w14:paraId="7AF43700" w14:textId="77777777" w:rsidTr="00510BD2">
        <w:trPr>
          <w:trHeight w:val="405"/>
          <w:tblCellSpacing w:w="0" w:type="dxa"/>
          <w:jc w:val="center"/>
        </w:trPr>
        <w:tc>
          <w:tcPr>
            <w:tcW w:w="0" w:type="auto"/>
            <w:vAlign w:val="center"/>
            <w:hideMark/>
          </w:tcPr>
          <w:p w14:paraId="23F14BC3" w14:textId="77777777" w:rsidR="00510BD2" w:rsidRPr="00510BD2" w:rsidRDefault="00510BD2" w:rsidP="00510BD2">
            <w:pPr>
              <w:rPr>
                <w:rFonts w:ascii="Palatino Linotype" w:hAnsi="Palatino Linotype"/>
                <w:i/>
                <w:sz w:val="22"/>
              </w:rPr>
            </w:pPr>
          </w:p>
        </w:tc>
      </w:tr>
      <w:tr w:rsidR="00510BD2" w:rsidRPr="00510BD2" w14:paraId="3CDCE391" w14:textId="77777777" w:rsidTr="00510BD2">
        <w:trPr>
          <w:trHeight w:val="162"/>
          <w:tblCellSpacing w:w="0" w:type="dxa"/>
          <w:jc w:val="center"/>
        </w:trPr>
        <w:tc>
          <w:tcPr>
            <w:tcW w:w="0" w:type="auto"/>
            <w:vAlign w:val="center"/>
            <w:hideMark/>
          </w:tcPr>
          <w:p w14:paraId="05EEFFED" w14:textId="77777777" w:rsidR="00510BD2" w:rsidRPr="00510BD2" w:rsidRDefault="00510BD2" w:rsidP="00510BD2">
            <w:pPr>
              <w:rPr>
                <w:rFonts w:ascii="Palatino Linotype" w:hAnsi="Palatino Linotype"/>
                <w:i/>
                <w:sz w:val="22"/>
              </w:rPr>
            </w:pPr>
            <w:r w:rsidRPr="00510BD2">
              <w:rPr>
                <w:rFonts w:ascii="Palatino Linotype" w:hAnsi="Palatino Linotype"/>
                <w:i/>
                <w:sz w:val="22"/>
                <w:szCs w:val="15"/>
              </w:rPr>
              <w:t>En espera de información para dar seguimiento a la solicitud</w:t>
            </w:r>
          </w:p>
        </w:tc>
      </w:tr>
      <w:tr w:rsidR="00510BD2" w:rsidRPr="00510BD2" w14:paraId="5049542C" w14:textId="77777777" w:rsidTr="00510BD2">
        <w:trPr>
          <w:trHeight w:val="405"/>
          <w:tblCellSpacing w:w="0" w:type="dxa"/>
          <w:jc w:val="center"/>
        </w:trPr>
        <w:tc>
          <w:tcPr>
            <w:tcW w:w="0" w:type="auto"/>
            <w:vAlign w:val="center"/>
            <w:hideMark/>
          </w:tcPr>
          <w:p w14:paraId="0112FB8F" w14:textId="77777777" w:rsidR="00510BD2" w:rsidRPr="00510BD2" w:rsidRDefault="00510BD2" w:rsidP="00510BD2">
            <w:pPr>
              <w:rPr>
                <w:rFonts w:ascii="Palatino Linotype" w:hAnsi="Palatino Linotype"/>
                <w:i/>
                <w:sz w:val="22"/>
              </w:rPr>
            </w:pPr>
          </w:p>
        </w:tc>
      </w:tr>
      <w:tr w:rsidR="00510BD2" w:rsidRPr="00510BD2" w14:paraId="2BD8E574" w14:textId="77777777" w:rsidTr="00510BD2">
        <w:trPr>
          <w:trHeight w:val="162"/>
          <w:tblCellSpacing w:w="0" w:type="dxa"/>
          <w:jc w:val="center"/>
        </w:trPr>
        <w:tc>
          <w:tcPr>
            <w:tcW w:w="0" w:type="auto"/>
            <w:vAlign w:val="center"/>
            <w:hideMark/>
          </w:tcPr>
          <w:p w14:paraId="282EF0CE" w14:textId="77777777" w:rsidR="00510BD2" w:rsidRPr="00510BD2" w:rsidRDefault="00510BD2" w:rsidP="00510BD2">
            <w:pPr>
              <w:rPr>
                <w:rFonts w:ascii="Palatino Linotype" w:hAnsi="Palatino Linotype"/>
                <w:i/>
                <w:sz w:val="22"/>
              </w:rPr>
            </w:pPr>
            <w:r w:rsidRPr="00510BD2">
              <w:rPr>
                <w:rFonts w:ascii="Palatino Linotype" w:hAnsi="Palatino Linotype"/>
                <w:i/>
                <w:sz w:val="22"/>
                <w:szCs w:val="15"/>
              </w:rPr>
              <w:t>Lic. René Jonathan Sandoval Tinoco</w:t>
            </w:r>
          </w:p>
        </w:tc>
      </w:tr>
      <w:tr w:rsidR="00510BD2" w:rsidRPr="00510BD2" w14:paraId="5B2A2C68" w14:textId="77777777" w:rsidTr="00510BD2">
        <w:trPr>
          <w:trHeight w:val="162"/>
          <w:tblCellSpacing w:w="0" w:type="dxa"/>
          <w:jc w:val="center"/>
        </w:trPr>
        <w:tc>
          <w:tcPr>
            <w:tcW w:w="0" w:type="auto"/>
            <w:vAlign w:val="center"/>
            <w:hideMark/>
          </w:tcPr>
          <w:p w14:paraId="3AE76C15" w14:textId="77777777" w:rsidR="00510BD2" w:rsidRPr="00510BD2" w:rsidRDefault="00510BD2" w:rsidP="00510BD2">
            <w:pPr>
              <w:rPr>
                <w:rFonts w:ascii="Palatino Linotype" w:hAnsi="Palatino Linotype"/>
                <w:i/>
                <w:sz w:val="22"/>
              </w:rPr>
            </w:pPr>
            <w:r w:rsidRPr="00510BD2">
              <w:rPr>
                <w:rFonts w:ascii="Palatino Linotype" w:hAnsi="Palatino Linotype"/>
                <w:b/>
                <w:bCs/>
                <w:i/>
                <w:sz w:val="22"/>
                <w:szCs w:val="15"/>
              </w:rPr>
              <w:t>Responsable de la Unidad de Transparencia</w:t>
            </w:r>
            <w:r>
              <w:rPr>
                <w:rFonts w:ascii="Palatino Linotype" w:hAnsi="Palatino Linotype"/>
                <w:b/>
                <w:bCs/>
                <w:i/>
                <w:sz w:val="22"/>
                <w:szCs w:val="15"/>
              </w:rPr>
              <w:t>”</w:t>
            </w:r>
          </w:p>
        </w:tc>
      </w:tr>
    </w:tbl>
    <w:p w14:paraId="7BF67642" w14:textId="77777777" w:rsidR="006655FF" w:rsidRDefault="006655FF" w:rsidP="00510BD2">
      <w:pPr>
        <w:pBdr>
          <w:top w:val="nil"/>
          <w:left w:val="nil"/>
          <w:bottom w:val="nil"/>
          <w:right w:val="nil"/>
          <w:between w:val="nil"/>
        </w:pBdr>
        <w:spacing w:line="360" w:lineRule="auto"/>
        <w:rPr>
          <w:rFonts w:ascii="Palatino Linotype" w:eastAsia="Palatino Linotype" w:hAnsi="Palatino Linotype" w:cs="Palatino Linotype"/>
          <w:color w:val="000000"/>
        </w:rPr>
      </w:pPr>
    </w:p>
    <w:p w14:paraId="3923B212"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510BD2">
        <w:rPr>
          <w:rFonts w:ascii="Palatino Linotype" w:eastAsia="Palatino Linotype" w:hAnsi="Palatino Linotype" w:cs="Palatino Linotype"/>
          <w:color w:val="000000"/>
        </w:rPr>
        <w:t>cuatro (04) de marzo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dio respuesta a las solicitud de información en el siguiente sentido:</w:t>
      </w:r>
    </w:p>
    <w:p w14:paraId="29732C31" w14:textId="77777777" w:rsidR="006655FF" w:rsidRDefault="006655FF" w:rsidP="006655FF">
      <w:pPr>
        <w:spacing w:line="360" w:lineRule="auto"/>
        <w:jc w:val="both"/>
        <w:rPr>
          <w:rFonts w:ascii="Palatino Linotype" w:eastAsia="Palatino Linotype" w:hAnsi="Palatino Linotype" w:cs="Palatino Linotype"/>
        </w:rPr>
      </w:pPr>
    </w:p>
    <w:tbl>
      <w:tblPr>
        <w:tblW w:w="8080" w:type="dxa"/>
        <w:jc w:val="center"/>
        <w:tblCellSpacing w:w="0" w:type="dxa"/>
        <w:tblCellMar>
          <w:left w:w="0" w:type="dxa"/>
          <w:right w:w="0" w:type="dxa"/>
        </w:tblCellMar>
        <w:tblLook w:val="04A0" w:firstRow="1" w:lastRow="0" w:firstColumn="1" w:lastColumn="0" w:noHBand="0" w:noVBand="1"/>
      </w:tblPr>
      <w:tblGrid>
        <w:gridCol w:w="8080"/>
      </w:tblGrid>
      <w:tr w:rsidR="00510BD2" w:rsidRPr="00510BD2" w14:paraId="52669AE7" w14:textId="77777777" w:rsidTr="00510BD2">
        <w:trPr>
          <w:trHeight w:val="582"/>
          <w:tblCellSpacing w:w="0" w:type="dxa"/>
          <w:jc w:val="center"/>
        </w:trPr>
        <w:tc>
          <w:tcPr>
            <w:tcW w:w="8080" w:type="dxa"/>
            <w:vAlign w:val="center"/>
            <w:hideMark/>
          </w:tcPr>
          <w:p w14:paraId="42730A80" w14:textId="77777777" w:rsidR="00510BD2" w:rsidRPr="00510BD2" w:rsidRDefault="00510BD2" w:rsidP="00510BD2">
            <w:pPr>
              <w:jc w:val="right"/>
              <w:rPr>
                <w:rFonts w:ascii="Palatino Linotype" w:hAnsi="Palatino Linotype"/>
                <w:i/>
                <w:sz w:val="22"/>
              </w:rPr>
            </w:pPr>
            <w:r>
              <w:rPr>
                <w:rFonts w:ascii="Palatino Linotype" w:hAnsi="Palatino Linotype"/>
                <w:i/>
                <w:sz w:val="22"/>
                <w:szCs w:val="18"/>
              </w:rPr>
              <w:t>“</w:t>
            </w:r>
            <w:r w:rsidRPr="00510BD2">
              <w:rPr>
                <w:rFonts w:ascii="Palatino Linotype" w:hAnsi="Palatino Linotype"/>
                <w:i/>
                <w:sz w:val="22"/>
                <w:szCs w:val="18"/>
              </w:rPr>
              <w:t>Texcoco, México a 04 de Marzo de 2024</w:t>
            </w:r>
          </w:p>
        </w:tc>
      </w:tr>
      <w:tr w:rsidR="00510BD2" w:rsidRPr="00510BD2" w14:paraId="617250B4" w14:textId="77777777" w:rsidTr="00510BD2">
        <w:trPr>
          <w:trHeight w:val="582"/>
          <w:tblCellSpacing w:w="0" w:type="dxa"/>
          <w:jc w:val="center"/>
        </w:trPr>
        <w:tc>
          <w:tcPr>
            <w:tcW w:w="8080" w:type="dxa"/>
            <w:vAlign w:val="center"/>
            <w:hideMark/>
          </w:tcPr>
          <w:p w14:paraId="455177EB" w14:textId="77777777" w:rsidR="00510BD2" w:rsidRPr="00510BD2" w:rsidRDefault="00510BD2" w:rsidP="00510BD2">
            <w:pPr>
              <w:jc w:val="right"/>
              <w:rPr>
                <w:rFonts w:ascii="Palatino Linotype" w:hAnsi="Palatino Linotype"/>
                <w:i/>
                <w:sz w:val="22"/>
              </w:rPr>
            </w:pPr>
            <w:r w:rsidRPr="00510BD2">
              <w:rPr>
                <w:rFonts w:ascii="Palatino Linotype" w:hAnsi="Palatino Linotype"/>
                <w:i/>
                <w:sz w:val="22"/>
                <w:szCs w:val="18"/>
              </w:rPr>
              <w:t>Nombre del solicitante: C. Solicitante</w:t>
            </w:r>
          </w:p>
        </w:tc>
      </w:tr>
      <w:tr w:rsidR="00510BD2" w:rsidRPr="00510BD2" w14:paraId="7DA112B5" w14:textId="77777777" w:rsidTr="00510BD2">
        <w:trPr>
          <w:trHeight w:val="582"/>
          <w:tblCellSpacing w:w="0" w:type="dxa"/>
          <w:jc w:val="center"/>
        </w:trPr>
        <w:tc>
          <w:tcPr>
            <w:tcW w:w="8080" w:type="dxa"/>
            <w:vAlign w:val="center"/>
            <w:hideMark/>
          </w:tcPr>
          <w:p w14:paraId="798EFD87" w14:textId="77777777" w:rsidR="00510BD2" w:rsidRPr="00510BD2" w:rsidRDefault="00510BD2" w:rsidP="00510BD2">
            <w:pPr>
              <w:jc w:val="right"/>
              <w:rPr>
                <w:rFonts w:ascii="Palatino Linotype" w:hAnsi="Palatino Linotype"/>
                <w:i/>
                <w:sz w:val="22"/>
              </w:rPr>
            </w:pPr>
            <w:r w:rsidRPr="00510BD2">
              <w:rPr>
                <w:rFonts w:ascii="Palatino Linotype" w:hAnsi="Palatino Linotype"/>
                <w:i/>
                <w:sz w:val="22"/>
                <w:szCs w:val="18"/>
              </w:rPr>
              <w:t>Folio de la solicitud: 00026/TEXCOCO/IP/2024</w:t>
            </w:r>
          </w:p>
        </w:tc>
      </w:tr>
      <w:tr w:rsidR="00510BD2" w:rsidRPr="00510BD2" w14:paraId="6AC39ADE" w14:textId="77777777" w:rsidTr="00510BD2">
        <w:trPr>
          <w:trHeight w:val="874"/>
          <w:tblCellSpacing w:w="0" w:type="dxa"/>
          <w:jc w:val="center"/>
        </w:trPr>
        <w:tc>
          <w:tcPr>
            <w:tcW w:w="8080" w:type="dxa"/>
            <w:vAlign w:val="center"/>
            <w:hideMark/>
          </w:tcPr>
          <w:p w14:paraId="2757B4E6" w14:textId="77777777" w:rsidR="00510BD2" w:rsidRPr="00510BD2" w:rsidRDefault="00510BD2" w:rsidP="00510BD2">
            <w:pPr>
              <w:jc w:val="right"/>
              <w:rPr>
                <w:rFonts w:ascii="Palatino Linotype" w:hAnsi="Palatino Linotype"/>
                <w:i/>
                <w:sz w:val="22"/>
              </w:rPr>
            </w:pPr>
          </w:p>
        </w:tc>
      </w:tr>
      <w:tr w:rsidR="00510BD2" w:rsidRPr="00510BD2" w14:paraId="78661CE0" w14:textId="77777777" w:rsidTr="00510BD2">
        <w:trPr>
          <w:trHeight w:val="291"/>
          <w:tblCellSpacing w:w="0" w:type="dxa"/>
          <w:jc w:val="center"/>
        </w:trPr>
        <w:tc>
          <w:tcPr>
            <w:tcW w:w="8080" w:type="dxa"/>
            <w:vAlign w:val="center"/>
            <w:hideMark/>
          </w:tcPr>
          <w:p w14:paraId="6D192324" w14:textId="77777777" w:rsidR="00510BD2" w:rsidRPr="00510BD2" w:rsidRDefault="00510BD2" w:rsidP="00510BD2">
            <w:pPr>
              <w:jc w:val="both"/>
              <w:rPr>
                <w:rFonts w:ascii="Palatino Linotype" w:hAnsi="Palatino Linotype"/>
                <w:i/>
                <w:sz w:val="22"/>
              </w:rPr>
            </w:pPr>
            <w:r w:rsidRPr="00510BD2">
              <w:rPr>
                <w:rFonts w:ascii="Palatino Linotype" w:hAnsi="Palatino Linotype"/>
                <w:i/>
                <w:sz w:val="22"/>
                <w:szCs w:val="18"/>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10BD2" w:rsidRPr="00510BD2" w14:paraId="34D0187A" w14:textId="77777777" w:rsidTr="00510BD2">
        <w:trPr>
          <w:trHeight w:val="728"/>
          <w:tblCellSpacing w:w="0" w:type="dxa"/>
          <w:jc w:val="center"/>
        </w:trPr>
        <w:tc>
          <w:tcPr>
            <w:tcW w:w="8080" w:type="dxa"/>
            <w:vAlign w:val="center"/>
            <w:hideMark/>
          </w:tcPr>
          <w:p w14:paraId="006EC6DF" w14:textId="77777777" w:rsidR="00510BD2" w:rsidRPr="00510BD2" w:rsidRDefault="00510BD2" w:rsidP="00510BD2">
            <w:pPr>
              <w:jc w:val="both"/>
              <w:rPr>
                <w:rFonts w:ascii="Palatino Linotype" w:hAnsi="Palatino Linotype"/>
                <w:i/>
                <w:sz w:val="22"/>
              </w:rPr>
            </w:pPr>
          </w:p>
        </w:tc>
      </w:tr>
      <w:tr w:rsidR="00510BD2" w:rsidRPr="00510BD2" w14:paraId="14ABDE07" w14:textId="77777777" w:rsidTr="00510BD2">
        <w:trPr>
          <w:trHeight w:val="291"/>
          <w:tblCellSpacing w:w="0" w:type="dxa"/>
          <w:jc w:val="center"/>
        </w:trPr>
        <w:tc>
          <w:tcPr>
            <w:tcW w:w="8080" w:type="dxa"/>
            <w:vAlign w:val="center"/>
            <w:hideMark/>
          </w:tcPr>
          <w:p w14:paraId="2E47D464" w14:textId="77777777" w:rsidR="00510BD2" w:rsidRPr="00510BD2" w:rsidRDefault="00510BD2" w:rsidP="00510BD2">
            <w:pPr>
              <w:jc w:val="both"/>
              <w:rPr>
                <w:rFonts w:ascii="Palatino Linotype" w:hAnsi="Palatino Linotype"/>
                <w:i/>
                <w:sz w:val="22"/>
              </w:rPr>
            </w:pPr>
            <w:r w:rsidRPr="00510BD2">
              <w:rPr>
                <w:rFonts w:ascii="Palatino Linotype" w:hAnsi="Palatino Linotype"/>
                <w:i/>
                <w:sz w:val="22"/>
                <w:szCs w:val="18"/>
              </w:rPr>
              <w:t>Texcoco, México a 04 de marzo de 2024 C. Solicitante Folio de la solicitud: 00026/TEXCOCO/IP/2024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p>
        </w:tc>
      </w:tr>
      <w:tr w:rsidR="00510BD2" w:rsidRPr="00510BD2" w14:paraId="3D13E501" w14:textId="77777777" w:rsidTr="00510BD2">
        <w:trPr>
          <w:trHeight w:val="728"/>
          <w:tblCellSpacing w:w="0" w:type="dxa"/>
          <w:jc w:val="center"/>
        </w:trPr>
        <w:tc>
          <w:tcPr>
            <w:tcW w:w="8080" w:type="dxa"/>
            <w:vAlign w:val="center"/>
            <w:hideMark/>
          </w:tcPr>
          <w:p w14:paraId="20717EA3" w14:textId="77777777" w:rsidR="00510BD2" w:rsidRPr="00510BD2" w:rsidRDefault="00510BD2" w:rsidP="00510BD2">
            <w:pPr>
              <w:rPr>
                <w:rFonts w:ascii="Palatino Linotype" w:hAnsi="Palatino Linotype"/>
                <w:i/>
                <w:sz w:val="22"/>
              </w:rPr>
            </w:pPr>
          </w:p>
        </w:tc>
      </w:tr>
      <w:tr w:rsidR="00510BD2" w:rsidRPr="00510BD2" w14:paraId="5DA40C45" w14:textId="77777777" w:rsidTr="00510BD2">
        <w:trPr>
          <w:trHeight w:val="291"/>
          <w:tblCellSpacing w:w="0" w:type="dxa"/>
          <w:jc w:val="center"/>
        </w:trPr>
        <w:tc>
          <w:tcPr>
            <w:tcW w:w="8080" w:type="dxa"/>
            <w:vAlign w:val="center"/>
            <w:hideMark/>
          </w:tcPr>
          <w:p w14:paraId="3F4538E2" w14:textId="77777777" w:rsidR="00510BD2" w:rsidRPr="00510BD2" w:rsidRDefault="00510BD2" w:rsidP="00510BD2">
            <w:pPr>
              <w:rPr>
                <w:rFonts w:ascii="Palatino Linotype" w:hAnsi="Palatino Linotype"/>
                <w:i/>
                <w:sz w:val="22"/>
                <w:szCs w:val="20"/>
              </w:rPr>
            </w:pPr>
          </w:p>
        </w:tc>
      </w:tr>
      <w:tr w:rsidR="00510BD2" w:rsidRPr="00510BD2" w14:paraId="79BEB973" w14:textId="77777777" w:rsidTr="00510BD2">
        <w:trPr>
          <w:trHeight w:val="291"/>
          <w:tblCellSpacing w:w="0" w:type="dxa"/>
          <w:jc w:val="center"/>
        </w:trPr>
        <w:tc>
          <w:tcPr>
            <w:tcW w:w="8080" w:type="dxa"/>
            <w:vAlign w:val="center"/>
            <w:hideMark/>
          </w:tcPr>
          <w:p w14:paraId="7977888E" w14:textId="77777777" w:rsidR="00510BD2" w:rsidRPr="00510BD2" w:rsidRDefault="00510BD2" w:rsidP="00510BD2">
            <w:pPr>
              <w:rPr>
                <w:rFonts w:ascii="Palatino Linotype" w:hAnsi="Palatino Linotype"/>
                <w:i/>
                <w:sz w:val="22"/>
              </w:rPr>
            </w:pPr>
            <w:r w:rsidRPr="00510BD2">
              <w:rPr>
                <w:rFonts w:ascii="Palatino Linotype" w:hAnsi="Palatino Linotype"/>
                <w:i/>
                <w:sz w:val="22"/>
                <w:szCs w:val="18"/>
              </w:rPr>
              <w:t>ATENTAMENTE</w:t>
            </w:r>
          </w:p>
        </w:tc>
      </w:tr>
      <w:tr w:rsidR="00510BD2" w:rsidRPr="00510BD2" w14:paraId="5F861072" w14:textId="77777777" w:rsidTr="00510BD2">
        <w:trPr>
          <w:trHeight w:val="437"/>
          <w:tblCellSpacing w:w="0" w:type="dxa"/>
          <w:jc w:val="center"/>
        </w:trPr>
        <w:tc>
          <w:tcPr>
            <w:tcW w:w="8080" w:type="dxa"/>
            <w:vAlign w:val="center"/>
            <w:hideMark/>
          </w:tcPr>
          <w:p w14:paraId="24DD7960" w14:textId="77777777" w:rsidR="00510BD2" w:rsidRPr="00510BD2" w:rsidRDefault="00510BD2" w:rsidP="00510BD2">
            <w:pPr>
              <w:rPr>
                <w:rFonts w:ascii="Palatino Linotype" w:hAnsi="Palatino Linotype"/>
                <w:i/>
                <w:sz w:val="22"/>
              </w:rPr>
            </w:pPr>
          </w:p>
        </w:tc>
      </w:tr>
      <w:tr w:rsidR="00510BD2" w:rsidRPr="00510BD2" w14:paraId="601D1225" w14:textId="77777777" w:rsidTr="00510BD2">
        <w:trPr>
          <w:trHeight w:val="291"/>
          <w:tblCellSpacing w:w="0" w:type="dxa"/>
          <w:jc w:val="center"/>
        </w:trPr>
        <w:tc>
          <w:tcPr>
            <w:tcW w:w="8080" w:type="dxa"/>
            <w:vAlign w:val="center"/>
            <w:hideMark/>
          </w:tcPr>
          <w:p w14:paraId="3531C493" w14:textId="77777777" w:rsidR="00510BD2" w:rsidRDefault="00510BD2" w:rsidP="00510BD2">
            <w:pPr>
              <w:rPr>
                <w:rFonts w:ascii="Palatino Linotype" w:hAnsi="Palatino Linotype"/>
                <w:i/>
                <w:sz w:val="22"/>
                <w:szCs w:val="18"/>
              </w:rPr>
            </w:pPr>
            <w:r w:rsidRPr="00510BD2">
              <w:rPr>
                <w:rFonts w:ascii="Palatino Linotype" w:hAnsi="Palatino Linotype"/>
                <w:i/>
                <w:sz w:val="22"/>
                <w:szCs w:val="18"/>
              </w:rPr>
              <w:t>Lic. René Jonathan Sandoval Tinoco</w:t>
            </w:r>
            <w:r>
              <w:rPr>
                <w:rFonts w:ascii="Palatino Linotype" w:hAnsi="Palatino Linotype"/>
                <w:i/>
                <w:sz w:val="22"/>
                <w:szCs w:val="18"/>
              </w:rPr>
              <w:t>”</w:t>
            </w:r>
          </w:p>
          <w:p w14:paraId="514F091A" w14:textId="77777777" w:rsidR="00510BD2" w:rsidRPr="00510BD2" w:rsidRDefault="00510BD2" w:rsidP="00510BD2">
            <w:pPr>
              <w:pStyle w:val="Prrafodelista"/>
              <w:spacing w:line="360" w:lineRule="auto"/>
              <w:ind w:left="0" w:right="-33"/>
              <w:rPr>
                <w:rFonts w:ascii="Palatino Linotype" w:hAnsi="Palatino Linotype"/>
                <w:sz w:val="22"/>
                <w:szCs w:val="18"/>
              </w:rPr>
            </w:pPr>
          </w:p>
        </w:tc>
      </w:tr>
    </w:tbl>
    <w:p w14:paraId="564DFE44" w14:textId="77777777" w:rsidR="00510BD2" w:rsidRDefault="00510BD2" w:rsidP="006655FF">
      <w:pPr>
        <w:spacing w:line="360" w:lineRule="auto"/>
        <w:jc w:val="both"/>
        <w:rPr>
          <w:rFonts w:ascii="Palatino Linotype" w:eastAsia="Palatino Linotype" w:hAnsi="Palatino Linotype" w:cs="Palatino Linotype"/>
        </w:rPr>
      </w:pPr>
    </w:p>
    <w:p w14:paraId="092054F7" w14:textId="77777777" w:rsidR="00510BD2" w:rsidRDefault="00510BD2" w:rsidP="00510BD2">
      <w:pPr>
        <w:pStyle w:val="Prrafodelista"/>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la respuesta se adjuntó el archivo denominado </w:t>
      </w:r>
      <w:hyperlink r:id="rId8" w:tgtFrame="_blank" w:history="1">
        <w:r w:rsidRPr="00510BD2">
          <w:rPr>
            <w:rStyle w:val="Hipervnculo"/>
            <w:rFonts w:ascii="Palatino Linotype" w:eastAsia="Palatino Linotype" w:hAnsi="Palatino Linotype" w:cs="Palatino Linotype"/>
            <w:b/>
            <w:bCs/>
          </w:rPr>
          <w:t>RESPUESTA SOLICITUD 00026-2024.pdf</w:t>
        </w:r>
      </w:hyperlink>
      <w:r>
        <w:rPr>
          <w:rFonts w:ascii="Palatino Linotype" w:eastAsia="Palatino Linotype" w:hAnsi="Palatino Linotype" w:cs="Palatino Linotype"/>
          <w:color w:val="000000"/>
        </w:rPr>
        <w:t>, en el que se advierte el oficio 00026/TEXCOCO/IP/2024, de fecha cuatro de marzo de dos mil veinticuatro, suscrito por el Titular de la Unidad de Transparencia, en el que señaló:</w:t>
      </w:r>
    </w:p>
    <w:p w14:paraId="38684E8A" w14:textId="77777777" w:rsidR="00510BD2" w:rsidRDefault="00510BD2" w:rsidP="00510BD2">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499D090" w14:textId="77777777" w:rsidR="0072011E" w:rsidRPr="0072011E" w:rsidRDefault="0072011E" w:rsidP="0072011E">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72011E">
        <w:rPr>
          <w:rFonts w:ascii="Palatino Linotype" w:eastAsia="Palatino Linotype" w:hAnsi="Palatino Linotype" w:cs="Palatino Linotype"/>
          <w:i/>
          <w:color w:val="000000"/>
          <w:sz w:val="22"/>
        </w:rPr>
        <w:t>…</w:t>
      </w:r>
    </w:p>
    <w:p w14:paraId="6BE2E247" w14:textId="77777777" w:rsidR="0072011E" w:rsidRDefault="00510BD2" w:rsidP="0072011E">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510BD2">
        <w:rPr>
          <w:rFonts w:ascii="Palatino Linotype" w:eastAsia="Palatino Linotype" w:hAnsi="Palatino Linotype" w:cs="Palatino Linotype"/>
          <w:i/>
          <w:color w:val="000000"/>
          <w:sz w:val="22"/>
        </w:rPr>
        <w:t xml:space="preserve">Se informa a continuación: En cuanto a la información solicitada sobre egresos, es importante mencionar que el área correspondiente para proporcionarla es la Tesorería Municipal, a su vez se sugiere consultar la página oficial del Ayuntamiento de este Municipio (https://www.texcocoedomex.gob.mx/), misma que </w:t>
      </w:r>
      <w:r w:rsidRPr="00510BD2">
        <w:rPr>
          <w:rFonts w:ascii="Palatino Linotype" w:eastAsia="Palatino Linotype" w:hAnsi="Palatino Linotype" w:cs="Palatino Linotype"/>
          <w:i/>
          <w:color w:val="000000"/>
          <w:sz w:val="22"/>
        </w:rPr>
        <w:lastRenderedPageBreak/>
        <w:t>en su apartado de Documentos, se encuentra los archivos referentes al Primer y Segundo Informe de Gobierno mismos que corresponden a los ejercicios fiscales 2022 y 2023; y con certeza encontrará lo concerniente a la interrogante planteada.</w:t>
      </w:r>
    </w:p>
    <w:p w14:paraId="7A0F9FF2" w14:textId="77777777" w:rsidR="00510BD2" w:rsidRPr="00510BD2" w:rsidRDefault="0072011E" w:rsidP="0072011E">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510BD2" w:rsidRPr="00510BD2">
        <w:rPr>
          <w:rFonts w:ascii="Palatino Linotype" w:eastAsia="Palatino Linotype" w:hAnsi="Palatino Linotype" w:cs="Palatino Linotype"/>
          <w:i/>
          <w:color w:val="000000"/>
          <w:sz w:val="22"/>
        </w:rPr>
        <w:t>”</w:t>
      </w:r>
    </w:p>
    <w:p w14:paraId="44780551" w14:textId="77777777" w:rsidR="00510BD2" w:rsidRPr="00510BD2" w:rsidRDefault="00510BD2" w:rsidP="00510BD2">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B70DEC0"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72011E">
        <w:rPr>
          <w:rFonts w:ascii="Palatino Linotype" w:eastAsia="Palatino Linotype" w:hAnsi="Palatino Linotype" w:cs="Palatino Linotype"/>
          <w:color w:val="000000"/>
        </w:rPr>
        <w:t>seis (06) de marzo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señalando como:</w:t>
      </w:r>
    </w:p>
    <w:p w14:paraId="441E3BEC" w14:textId="77777777" w:rsidR="006655FF" w:rsidRDefault="006655FF" w:rsidP="006655FF">
      <w:pPr>
        <w:spacing w:line="360" w:lineRule="auto"/>
        <w:ind w:right="567"/>
        <w:jc w:val="both"/>
        <w:rPr>
          <w:rFonts w:ascii="Palatino Linotype" w:eastAsia="Palatino Linotype" w:hAnsi="Palatino Linotype" w:cs="Palatino Linotype"/>
          <w:sz w:val="22"/>
          <w:szCs w:val="22"/>
        </w:rPr>
      </w:pPr>
    </w:p>
    <w:p w14:paraId="56EDB436" w14:textId="77777777" w:rsidR="006655FF" w:rsidRDefault="006655FF" w:rsidP="006655FF">
      <w:pPr>
        <w:spacing w:line="360" w:lineRule="auto"/>
        <w:ind w:left="851"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14"/>
          <w:szCs w:val="14"/>
        </w:rPr>
        <w:t xml:space="preserve"> </w:t>
      </w:r>
      <w:r w:rsidR="0072011E" w:rsidRPr="0072011E">
        <w:rPr>
          <w:rFonts w:ascii="Palatino Linotype" w:eastAsia="Palatino Linotype" w:hAnsi="Palatino Linotype" w:cs="Palatino Linotype"/>
          <w:i/>
          <w:color w:val="000000"/>
          <w:sz w:val="22"/>
          <w:szCs w:val="22"/>
        </w:rPr>
        <w:t>sujeto obligado se niega a informar</w:t>
      </w:r>
      <w:r>
        <w:rPr>
          <w:rFonts w:ascii="Palatino Linotype" w:eastAsia="Palatino Linotype" w:hAnsi="Palatino Linotype" w:cs="Palatino Linotype"/>
          <w:i/>
          <w:color w:val="000000"/>
          <w:sz w:val="22"/>
          <w:szCs w:val="22"/>
        </w:rPr>
        <w:t>" (Sic)</w:t>
      </w:r>
    </w:p>
    <w:p w14:paraId="78274F89" w14:textId="77777777" w:rsidR="006655FF" w:rsidRDefault="006655FF" w:rsidP="006655FF">
      <w:pPr>
        <w:spacing w:line="360" w:lineRule="auto"/>
        <w:ind w:left="851" w:right="822"/>
        <w:jc w:val="both"/>
        <w:rPr>
          <w:rFonts w:ascii="Palatino Linotype" w:eastAsia="Palatino Linotype" w:hAnsi="Palatino Linotype" w:cs="Palatino Linotype"/>
          <w:sz w:val="22"/>
          <w:szCs w:val="22"/>
        </w:rPr>
      </w:pPr>
    </w:p>
    <w:p w14:paraId="17232565" w14:textId="77777777" w:rsidR="006655FF" w:rsidRDefault="006655FF" w:rsidP="006655FF">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 “</w:t>
      </w:r>
      <w:r w:rsidR="0072011E" w:rsidRPr="0072011E">
        <w:rPr>
          <w:rFonts w:ascii="Palatino Linotype" w:eastAsia="Palatino Linotype" w:hAnsi="Palatino Linotype" w:cs="Palatino Linotype"/>
          <w:i/>
          <w:color w:val="000000"/>
          <w:sz w:val="22"/>
          <w:szCs w:val="22"/>
        </w:rPr>
        <w:t>“Artículo 4.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r>
        <w:rPr>
          <w:rFonts w:ascii="Palatino Linotype" w:eastAsia="Palatino Linotype" w:hAnsi="Palatino Linotype" w:cs="Palatino Linotype"/>
          <w:i/>
          <w:color w:val="000000"/>
          <w:sz w:val="22"/>
          <w:szCs w:val="22"/>
        </w:rPr>
        <w:t>” (Sic)</w:t>
      </w:r>
      <w:r>
        <w:rPr>
          <w:rFonts w:ascii="Palatino Linotype" w:eastAsia="Palatino Linotype" w:hAnsi="Palatino Linotype" w:cs="Palatino Linotype"/>
          <w:sz w:val="22"/>
          <w:szCs w:val="22"/>
        </w:rPr>
        <w:t xml:space="preserve">. </w:t>
      </w:r>
    </w:p>
    <w:p w14:paraId="3A5E5973" w14:textId="77777777" w:rsidR="006B71DE" w:rsidRDefault="006B71DE" w:rsidP="006B71DE">
      <w:pPr>
        <w:spacing w:line="360" w:lineRule="auto"/>
        <w:ind w:right="822"/>
        <w:jc w:val="both"/>
        <w:rPr>
          <w:rFonts w:ascii="Palatino Linotype" w:eastAsia="Palatino Linotype" w:hAnsi="Palatino Linotype" w:cs="Palatino Linotype"/>
          <w:sz w:val="22"/>
          <w:szCs w:val="22"/>
        </w:rPr>
      </w:pPr>
    </w:p>
    <w:p w14:paraId="509A6EBD" w14:textId="77777777" w:rsidR="006B71DE" w:rsidRPr="006B71DE" w:rsidRDefault="006B71DE" w:rsidP="006B71DE">
      <w:pPr>
        <w:pStyle w:val="Prrafodelista"/>
        <w:numPr>
          <w:ilvl w:val="0"/>
          <w:numId w:val="6"/>
        </w:numPr>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recurso de revisión se adjuntó el archivo </w:t>
      </w:r>
      <w:hyperlink r:id="rId9" w:tgtFrame="_blank" w:history="1">
        <w:r w:rsidRPr="006B71DE">
          <w:rPr>
            <w:rStyle w:val="Hipervnculo"/>
            <w:rFonts w:ascii="Palatino Linotype" w:eastAsia="Palatino Linotype" w:hAnsi="Palatino Linotype" w:cs="Palatino Linotype"/>
            <w:b/>
            <w:bCs/>
            <w:sz w:val="22"/>
            <w:szCs w:val="22"/>
          </w:rPr>
          <w:t>RESPUESTA SOLICITUD 00028-2024 (1).pdf</w:t>
        </w:r>
      </w:hyperlink>
      <w:r>
        <w:rPr>
          <w:rFonts w:ascii="Palatino Linotype" w:eastAsia="Palatino Linotype" w:hAnsi="Palatino Linotype" w:cs="Palatino Linotype"/>
          <w:sz w:val="22"/>
          <w:szCs w:val="22"/>
        </w:rPr>
        <w:t>, en el que se advierte el oficio de respuesta emitido por el Sujeto Obligado.</w:t>
      </w:r>
    </w:p>
    <w:p w14:paraId="4F9719F5" w14:textId="77777777" w:rsidR="006655FF" w:rsidRPr="006B71DE" w:rsidRDefault="006655FF" w:rsidP="006B71DE">
      <w:pPr>
        <w:pStyle w:val="Prrafodelista"/>
        <w:spacing w:line="360" w:lineRule="auto"/>
        <w:ind w:right="567"/>
        <w:jc w:val="both"/>
        <w:rPr>
          <w:rFonts w:ascii="Palatino Linotype" w:eastAsia="Palatino Linotype" w:hAnsi="Palatino Linotype" w:cs="Palatino Linotype"/>
          <w:sz w:val="22"/>
          <w:szCs w:val="22"/>
        </w:rPr>
      </w:pPr>
    </w:p>
    <w:p w14:paraId="72CBA8EA"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turnó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con el objeto de su análisis. </w:t>
      </w:r>
    </w:p>
    <w:p w14:paraId="0A1BFBD8"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99310F"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Comisionado Ponente con fundamento en lo dispuesto por el artículo 185 fracción II de la ley de la materia, a través del acuerdo de admisión del </w:t>
      </w:r>
      <w:r w:rsidR="008E7D47">
        <w:rPr>
          <w:rFonts w:ascii="Palatino Linotype" w:eastAsia="Palatino Linotype" w:hAnsi="Palatino Linotype" w:cs="Palatino Linotype"/>
          <w:color w:val="000000"/>
        </w:rPr>
        <w:t>once (11) de marzo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 </w:t>
      </w:r>
    </w:p>
    <w:p w14:paraId="05FBF102"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D598436"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t>De las constancias que obran en el expediente e</w:t>
      </w:r>
      <w:r w:rsidR="005C6358">
        <w:rPr>
          <w:rFonts w:ascii="Palatino Linotype" w:eastAsia="Palatino Linotype" w:hAnsi="Palatino Linotype" w:cs="Palatino Linotype"/>
          <w:color w:val="000000"/>
        </w:rPr>
        <w:t xml:space="preserve">lectrónico SAIMEX, se advierte que el Sujeto Obligado no entregó informe justificado; por su parte, el Recurrente entregó en la etapa de manifestaciones, el archivo electrónico denominado </w:t>
      </w:r>
      <w:r>
        <w:rPr>
          <w:rFonts w:ascii="Palatino Linotype" w:eastAsia="Palatino Linotype" w:hAnsi="Palatino Linotype" w:cs="Palatino Linotype"/>
          <w:color w:val="000000"/>
        </w:rPr>
        <w:t xml:space="preserve"> </w:t>
      </w:r>
      <w:hyperlink r:id="rId10" w:history="1">
        <w:r w:rsidR="005C6358" w:rsidRPr="005C6358">
          <w:rPr>
            <w:rStyle w:val="Hipervnculo"/>
            <w:rFonts w:ascii="Palatino Linotype" w:eastAsia="Palatino Linotype" w:hAnsi="Palatino Linotype" w:cs="Palatino Linotype"/>
            <w:b/>
            <w:bCs/>
          </w:rPr>
          <w:t>RESPUESTA SOLICITUD 00026-2024 (1).pdf</w:t>
        </w:r>
      </w:hyperlink>
      <w:r w:rsidR="005C6358">
        <w:rPr>
          <w:rFonts w:ascii="Palatino Linotype" w:eastAsia="Palatino Linotype" w:hAnsi="Palatino Linotype" w:cs="Palatino Linotype"/>
          <w:color w:val="000000"/>
        </w:rPr>
        <w:t xml:space="preserve">, en el que se advierte el oficio de respuesta emitido por el Sujeto Obligado. </w:t>
      </w:r>
    </w:p>
    <w:p w14:paraId="5E31E514"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B2E2BD3"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rPr>
        <w:lastRenderedPageBreak/>
        <w:t xml:space="preserve">El </w:t>
      </w:r>
      <w:r w:rsidR="005C6358">
        <w:rPr>
          <w:rFonts w:ascii="Palatino Linotype" w:eastAsia="Palatino Linotype" w:hAnsi="Palatino Linotype" w:cs="Palatino Linotype"/>
          <w:color w:val="000000"/>
        </w:rPr>
        <w:t>siete (07) de junio</w:t>
      </w:r>
      <w:r>
        <w:rPr>
          <w:rFonts w:ascii="Palatino Linotype" w:eastAsia="Palatino Linotype" w:hAnsi="Palatino Linotype" w:cs="Palatino Linotype"/>
          <w:color w:val="000000"/>
        </w:rPr>
        <w:t xml:space="preserve"> de dos mil veinticuatro, se notificó el acuerdo mediante el cual se aprobó la ampliación para emitir resolución por un plazo de quince (15) días. </w:t>
      </w:r>
    </w:p>
    <w:p w14:paraId="75540548"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14:paraId="335B8DDF"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A5E8172" w14:textId="77777777" w:rsidR="006655FF" w:rsidRDefault="006655FF" w:rsidP="006655FF">
      <w:pPr>
        <w:spacing w:line="360" w:lineRule="auto"/>
        <w:rPr>
          <w:rFonts w:ascii="Palatino Linotype" w:eastAsia="Palatino Linotype" w:hAnsi="Palatino Linotype" w:cs="Palatino Linotype"/>
        </w:rPr>
      </w:pPr>
    </w:p>
    <w:p w14:paraId="7698DFA8"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1C929CA" w14:textId="77777777" w:rsidR="006655FF" w:rsidRDefault="006655FF" w:rsidP="006655FF">
      <w:pPr>
        <w:spacing w:line="360" w:lineRule="auto"/>
        <w:rPr>
          <w:rFonts w:ascii="Palatino Linotype" w:eastAsia="Palatino Linotype" w:hAnsi="Palatino Linotype" w:cs="Palatino Linotype"/>
        </w:rPr>
      </w:pPr>
    </w:p>
    <w:p w14:paraId="7D550AAA"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870542" w14:textId="77777777" w:rsidR="006655FF" w:rsidRDefault="006655FF" w:rsidP="006655FF">
      <w:pPr>
        <w:spacing w:line="360" w:lineRule="auto"/>
        <w:rPr>
          <w:rFonts w:ascii="Palatino Linotype" w:eastAsia="Palatino Linotype" w:hAnsi="Palatino Linotype" w:cs="Palatino Linotype"/>
        </w:rPr>
      </w:pPr>
    </w:p>
    <w:p w14:paraId="50E18539"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C0CA26" w14:textId="77777777" w:rsidR="006655FF" w:rsidRDefault="006655FF" w:rsidP="006655FF">
      <w:pPr>
        <w:spacing w:line="360" w:lineRule="auto"/>
        <w:jc w:val="both"/>
        <w:rPr>
          <w:rFonts w:ascii="Palatino Linotype" w:eastAsia="Palatino Linotype" w:hAnsi="Palatino Linotype" w:cs="Palatino Linotype"/>
          <w:b/>
        </w:rPr>
      </w:pPr>
    </w:p>
    <w:p w14:paraId="5D1809F7"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7E4333CD" w14:textId="77777777" w:rsidR="006655FF" w:rsidRDefault="006655FF" w:rsidP="006655FF">
      <w:pPr>
        <w:spacing w:line="360" w:lineRule="auto"/>
        <w:rPr>
          <w:rFonts w:ascii="Palatino Linotype" w:eastAsia="Palatino Linotype" w:hAnsi="Palatino Linotype" w:cs="Palatino Linotype"/>
        </w:rPr>
      </w:pPr>
    </w:p>
    <w:p w14:paraId="73272EF7" w14:textId="77777777" w:rsidR="006655FF" w:rsidRDefault="006655FF" w:rsidP="006655F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41419E5C" w14:textId="77777777" w:rsidR="006655FF" w:rsidRDefault="006655FF" w:rsidP="006655FF">
      <w:pPr>
        <w:pBdr>
          <w:top w:val="nil"/>
          <w:left w:val="nil"/>
          <w:bottom w:val="nil"/>
          <w:right w:val="nil"/>
          <w:between w:val="nil"/>
        </w:pBdr>
        <w:spacing w:line="360" w:lineRule="auto"/>
        <w:ind w:left="927"/>
        <w:jc w:val="both"/>
        <w:rPr>
          <w:rFonts w:ascii="Palatino Linotype" w:eastAsia="Palatino Linotype" w:hAnsi="Palatino Linotype" w:cs="Palatino Linotype"/>
          <w:color w:val="000000"/>
        </w:rPr>
      </w:pPr>
    </w:p>
    <w:p w14:paraId="0D65072B" w14:textId="77777777" w:rsidR="006655FF" w:rsidRDefault="006655FF" w:rsidP="006655F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77D0A4A1" w14:textId="77777777" w:rsidR="006655FF" w:rsidRDefault="006655FF" w:rsidP="006655FF">
      <w:pPr>
        <w:spacing w:line="360" w:lineRule="auto"/>
        <w:jc w:val="both"/>
        <w:rPr>
          <w:rFonts w:ascii="Palatino Linotype" w:eastAsia="Palatino Linotype" w:hAnsi="Palatino Linotype" w:cs="Palatino Linotype"/>
        </w:rPr>
      </w:pPr>
    </w:p>
    <w:p w14:paraId="1A48B48B" w14:textId="77777777" w:rsidR="006655FF" w:rsidRDefault="006655FF" w:rsidP="006655F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242FC4E"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ED624F0" w14:textId="77777777" w:rsidR="006655FF" w:rsidRDefault="006655FF" w:rsidP="006655FF">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4853D48B" w14:textId="77777777" w:rsidR="006655FF" w:rsidRDefault="006655FF" w:rsidP="006655FF">
      <w:pPr>
        <w:spacing w:line="360" w:lineRule="auto"/>
        <w:rPr>
          <w:rFonts w:ascii="Palatino Linotype" w:eastAsia="Palatino Linotype" w:hAnsi="Palatino Linotype" w:cs="Palatino Linotype"/>
        </w:rPr>
      </w:pPr>
    </w:p>
    <w:p w14:paraId="530DABAA"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4E7F8A6C" w14:textId="77777777" w:rsidR="006655FF" w:rsidRDefault="006655FF" w:rsidP="006655FF">
      <w:pPr>
        <w:spacing w:line="360" w:lineRule="auto"/>
        <w:jc w:val="both"/>
        <w:rPr>
          <w:rFonts w:ascii="Palatino Linotype" w:eastAsia="Palatino Linotype" w:hAnsi="Palatino Linotype" w:cs="Palatino Linotype"/>
          <w:b/>
        </w:rPr>
      </w:pPr>
    </w:p>
    <w:p w14:paraId="0DEE4022"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081F053D" w14:textId="77777777" w:rsidR="006655FF" w:rsidRDefault="006655FF" w:rsidP="006655FF">
      <w:pPr>
        <w:spacing w:line="360" w:lineRule="auto"/>
        <w:rPr>
          <w:rFonts w:ascii="Palatino Linotype" w:eastAsia="Palatino Linotype" w:hAnsi="Palatino Linotype" w:cs="Palatino Linotype"/>
        </w:rPr>
      </w:pPr>
    </w:p>
    <w:p w14:paraId="2918A112"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E7F3F3" w14:textId="77777777" w:rsidR="006655FF" w:rsidRDefault="006655FF" w:rsidP="006655FF">
      <w:pPr>
        <w:spacing w:line="360" w:lineRule="auto"/>
        <w:rPr>
          <w:rFonts w:ascii="Palatino Linotype" w:eastAsia="Palatino Linotype" w:hAnsi="Palatino Linotype" w:cs="Palatino Linotype"/>
        </w:rPr>
      </w:pPr>
    </w:p>
    <w:p w14:paraId="4D8684E6"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3CA53A4E" w14:textId="77777777" w:rsidR="006655FF" w:rsidRDefault="006655FF" w:rsidP="006655FF">
      <w:pPr>
        <w:spacing w:line="360" w:lineRule="auto"/>
        <w:rPr>
          <w:rFonts w:ascii="Palatino Linotype" w:eastAsia="Palatino Linotype" w:hAnsi="Palatino Linotype" w:cs="Palatino Linotype"/>
        </w:rPr>
      </w:pPr>
    </w:p>
    <w:p w14:paraId="29BA9881" w14:textId="77777777" w:rsidR="006655FF" w:rsidRDefault="006655FF" w:rsidP="006655FF">
      <w:pPr>
        <w:numPr>
          <w:ilvl w:val="0"/>
          <w:numId w:val="3"/>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679625A" w14:textId="77777777" w:rsidR="006655FF" w:rsidRDefault="006655FF" w:rsidP="006655FF">
      <w:pPr>
        <w:spacing w:line="360" w:lineRule="auto"/>
        <w:jc w:val="both"/>
        <w:rPr>
          <w:rFonts w:ascii="Palatino Linotype" w:eastAsia="Palatino Linotype" w:hAnsi="Palatino Linotype" w:cs="Palatino Linotype"/>
        </w:rPr>
      </w:pPr>
    </w:p>
    <w:p w14:paraId="29BF2091" w14:textId="77777777" w:rsidR="006655FF" w:rsidRDefault="006655FF" w:rsidP="006655FF">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2451168C" w14:textId="77777777" w:rsidR="006655FF" w:rsidRDefault="006655FF" w:rsidP="006655FF">
      <w:pPr>
        <w:spacing w:line="360" w:lineRule="auto"/>
        <w:ind w:left="851" w:right="822"/>
        <w:jc w:val="both"/>
        <w:rPr>
          <w:rFonts w:ascii="Palatino Linotype" w:eastAsia="Palatino Linotype" w:hAnsi="Palatino Linotype" w:cs="Palatino Linotype"/>
          <w:b/>
        </w:rPr>
      </w:pPr>
    </w:p>
    <w:p w14:paraId="55DAB15B" w14:textId="77777777" w:rsidR="006655FF" w:rsidRDefault="006655FF" w:rsidP="006655FF">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41D2C840" w14:textId="77777777" w:rsidR="006655FF" w:rsidRDefault="006655FF" w:rsidP="006655FF">
      <w:pPr>
        <w:spacing w:line="360" w:lineRule="auto"/>
        <w:ind w:right="822"/>
        <w:jc w:val="both"/>
        <w:rPr>
          <w:rFonts w:ascii="Palatino Linotype" w:eastAsia="Palatino Linotype" w:hAnsi="Palatino Linotype" w:cs="Palatino Linotype"/>
          <w:i/>
        </w:rPr>
      </w:pPr>
    </w:p>
    <w:p w14:paraId="4E591112" w14:textId="77777777" w:rsidR="006655FF" w:rsidRDefault="006655FF" w:rsidP="006655FF">
      <w:pPr>
        <w:numPr>
          <w:ilvl w:val="0"/>
          <w:numId w:val="3"/>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49F0C6DD"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09F8A2"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Comisionado Ponente decretó el cierre de instrucción mediante el acuerdo del </w:t>
      </w:r>
      <w:r w:rsidR="005C6358">
        <w:rPr>
          <w:rFonts w:ascii="Palatino Linotype" w:eastAsia="Palatino Linotype" w:hAnsi="Palatino Linotype" w:cs="Palatino Linotype"/>
          <w:color w:val="000000"/>
        </w:rPr>
        <w:t>tres (03) de septiembre</w:t>
      </w:r>
      <w:r>
        <w:rPr>
          <w:rFonts w:ascii="Palatino Linotype" w:eastAsia="Palatino Linotype" w:hAnsi="Palatino Linotype" w:cs="Palatino Linotype"/>
          <w:color w:val="000000"/>
        </w:rPr>
        <w:t xml:space="preserve"> de dos mil veinticuatro.</w:t>
      </w:r>
    </w:p>
    <w:p w14:paraId="5A942B5A" w14:textId="77777777" w:rsidR="005C6358" w:rsidRDefault="005C6358" w:rsidP="006655FF">
      <w:pPr>
        <w:spacing w:line="360" w:lineRule="auto"/>
        <w:rPr>
          <w:rFonts w:ascii="Palatino Linotype" w:eastAsia="Palatino Linotype" w:hAnsi="Palatino Linotype" w:cs="Palatino Linotype"/>
        </w:rPr>
      </w:pPr>
    </w:p>
    <w:p w14:paraId="015006FF" w14:textId="77777777" w:rsidR="006655FF" w:rsidRDefault="006655FF" w:rsidP="005C6358">
      <w:pPr>
        <w:spacing w:line="360" w:lineRule="auto"/>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CONSIDERANDO</w:t>
      </w:r>
    </w:p>
    <w:p w14:paraId="76291C4E" w14:textId="77777777" w:rsidR="005C6358" w:rsidRDefault="005C6358" w:rsidP="005C6358">
      <w:pPr>
        <w:spacing w:line="360" w:lineRule="auto"/>
        <w:jc w:val="center"/>
        <w:rPr>
          <w:rFonts w:ascii="Palatino Linotype" w:eastAsia="Palatino Linotype" w:hAnsi="Palatino Linotype" w:cs="Palatino Linotype"/>
        </w:rPr>
      </w:pPr>
    </w:p>
    <w:p w14:paraId="222FDAF8" w14:textId="77777777" w:rsidR="006655FF" w:rsidRDefault="006655FF" w:rsidP="006655FF">
      <w:pPr>
        <w:spacing w:line="360" w:lineRule="auto"/>
        <w:jc w:val="both"/>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14:paraId="20F01A10" w14:textId="77777777" w:rsidR="006655FF" w:rsidRDefault="006655FF" w:rsidP="006655FF">
      <w:pPr>
        <w:spacing w:line="360" w:lineRule="auto"/>
        <w:jc w:val="both"/>
        <w:rPr>
          <w:rFonts w:ascii="Palatino Linotype" w:eastAsia="Palatino Linotype" w:hAnsi="Palatino Linotype" w:cs="Palatino Linotype"/>
          <w:b/>
        </w:rPr>
      </w:pPr>
    </w:p>
    <w:p w14:paraId="3624939B"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5C6358">
        <w:rPr>
          <w:rFonts w:ascii="Palatino Linotype" w:eastAsia="Palatino Linotype" w:hAnsi="Palatino Linotype" w:cs="Palatino Linotype"/>
          <w:color w:val="000000"/>
        </w:rPr>
        <w:t>pios; y 7, 9 fracciones I y XXIII</w:t>
      </w:r>
      <w:r>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14:paraId="343F7933" w14:textId="77777777" w:rsidR="005C6358" w:rsidRPr="005C6358" w:rsidRDefault="005C6358" w:rsidP="005C63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1975D8" w14:textId="77777777" w:rsidR="006655FF" w:rsidRDefault="006655FF" w:rsidP="006655FF">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14:paraId="25CA8A8E"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6322E12"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a la solicitud el </w:t>
      </w:r>
      <w:r w:rsidR="005C6358">
        <w:rPr>
          <w:rFonts w:ascii="Palatino Linotype" w:eastAsia="Palatino Linotype" w:hAnsi="Palatino Linotype" w:cs="Palatino Linotype"/>
          <w:color w:val="000000"/>
        </w:rPr>
        <w:t>cuatro (04) de marzo de dos mil veinticuatro</w:t>
      </w:r>
      <w:r>
        <w:rPr>
          <w:rFonts w:ascii="Palatino Linotype" w:eastAsia="Palatino Linotype" w:hAnsi="Palatino Linotype" w:cs="Palatino Linotype"/>
          <w:color w:val="000000"/>
        </w:rPr>
        <w:t xml:space="preserve">, de tal forma que el plazo para interponer </w:t>
      </w:r>
      <w:r>
        <w:rPr>
          <w:rFonts w:ascii="Palatino Linotype" w:eastAsia="Palatino Linotype" w:hAnsi="Palatino Linotype" w:cs="Palatino Linotype"/>
          <w:color w:val="000000"/>
        </w:rPr>
        <w:lastRenderedPageBreak/>
        <w:t xml:space="preserve">el recurso de revisión transcurrió del </w:t>
      </w:r>
      <w:r w:rsidR="005C6358">
        <w:rPr>
          <w:rFonts w:ascii="Palatino Linotype" w:eastAsia="Palatino Linotype" w:hAnsi="Palatino Linotype" w:cs="Palatino Linotype"/>
          <w:color w:val="000000"/>
        </w:rPr>
        <w:t>cinco (05) de marzo al dos (02) de abril de dos mil veinticuatro</w:t>
      </w:r>
      <w:r>
        <w:rPr>
          <w:rFonts w:ascii="Palatino Linotype" w:eastAsia="Palatino Linotype" w:hAnsi="Palatino Linotype" w:cs="Palatino Linotype"/>
          <w:color w:val="000000"/>
        </w:rPr>
        <w:t xml:space="preserve">; en consecuencia, presentó su inconformidad el día </w:t>
      </w:r>
      <w:r w:rsidR="005C6358">
        <w:rPr>
          <w:rFonts w:ascii="Palatino Linotype" w:eastAsia="Palatino Linotype" w:hAnsi="Palatino Linotype" w:cs="Palatino Linotype"/>
          <w:color w:val="000000"/>
        </w:rPr>
        <w:t>seis (06) de marzo de dos mil veinticuatro</w:t>
      </w:r>
      <w:r>
        <w:rPr>
          <w:rFonts w:ascii="Palatino Linotype" w:eastAsia="Palatino Linotype" w:hAnsi="Palatino Linotype" w:cs="Palatino Linotype"/>
          <w:color w:val="000000"/>
        </w:rPr>
        <w:t xml:space="preserve">, por lo que se encuentra dentro de los márgenes temporales previstos en el artículo 178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vigente.</w:t>
      </w:r>
    </w:p>
    <w:p w14:paraId="2E1E5A22" w14:textId="77777777" w:rsidR="006655FF" w:rsidRDefault="006655FF" w:rsidP="006655FF">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14:paraId="5D748BEA"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B28675F" w14:textId="77777777" w:rsidR="006655FF" w:rsidRDefault="006655FF" w:rsidP="006655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8129FC6" w14:textId="77777777" w:rsidR="006655FF" w:rsidRDefault="006655FF" w:rsidP="006655FF">
      <w:pPr>
        <w:spacing w:line="360" w:lineRule="auto"/>
        <w:ind w:right="49"/>
        <w:jc w:val="both"/>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TERCERO. Planteamiento de la Litis.</w:t>
      </w:r>
    </w:p>
    <w:p w14:paraId="3D8836DC" w14:textId="77777777" w:rsidR="006655FF" w:rsidRDefault="006655FF" w:rsidP="006655FF">
      <w:pPr>
        <w:spacing w:line="360" w:lineRule="auto"/>
        <w:ind w:right="49"/>
        <w:jc w:val="both"/>
        <w:rPr>
          <w:rFonts w:ascii="Palatino Linotype" w:eastAsia="Palatino Linotype" w:hAnsi="Palatino Linotype" w:cs="Palatino Linotype"/>
          <w:b/>
        </w:rPr>
      </w:pPr>
    </w:p>
    <w:p w14:paraId="2DAD7E26"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solicitó </w:t>
      </w:r>
      <w:r w:rsidR="005C6358">
        <w:rPr>
          <w:rFonts w:ascii="Palatino Linotype" w:eastAsia="Palatino Linotype" w:hAnsi="Palatino Linotype" w:cs="Palatino Linotype"/>
        </w:rPr>
        <w:t xml:space="preserve">los egresos en obra pública, festivales y agua potable, correspondiente al ejercicio 2023. </w:t>
      </w:r>
      <w:r>
        <w:rPr>
          <w:rFonts w:ascii="Palatino Linotype" w:eastAsia="Palatino Linotype" w:hAnsi="Palatino Linotype" w:cs="Palatino Linotype"/>
        </w:rPr>
        <w:t xml:space="preserve"> </w:t>
      </w:r>
    </w:p>
    <w:p w14:paraId="73CD44AE" w14:textId="77777777" w:rsidR="006655FF" w:rsidRDefault="006655FF" w:rsidP="006655FF">
      <w:pPr>
        <w:spacing w:line="360" w:lineRule="auto"/>
        <w:ind w:right="49"/>
        <w:jc w:val="both"/>
        <w:rPr>
          <w:rFonts w:ascii="Palatino Linotype" w:eastAsia="Palatino Linotype" w:hAnsi="Palatino Linotype" w:cs="Palatino Linotype"/>
        </w:rPr>
      </w:pPr>
    </w:p>
    <w:p w14:paraId="24D0AEFD"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Sujeto Obligado adjuntó una liga electrónica en la que señaló </w:t>
      </w:r>
      <w:r w:rsidR="006B71DE">
        <w:rPr>
          <w:rFonts w:ascii="Palatino Linotype" w:eastAsia="Palatino Linotype" w:hAnsi="Palatino Linotype" w:cs="Palatino Linotype"/>
        </w:rPr>
        <w:t>la información solicitada</w:t>
      </w:r>
      <w:r>
        <w:rPr>
          <w:rFonts w:ascii="Palatino Linotype" w:eastAsia="Palatino Linotype" w:hAnsi="Palatino Linotype" w:cs="Palatino Linotype"/>
        </w:rPr>
        <w:t xml:space="preserve">. Posteriormente, el particular interpuso recurso de revisión en el que señaló, de forma medular, la negativa de la información. </w:t>
      </w:r>
    </w:p>
    <w:p w14:paraId="74D5E969" w14:textId="77777777" w:rsidR="006655FF" w:rsidRDefault="006655FF" w:rsidP="006655FF">
      <w:pPr>
        <w:spacing w:line="360" w:lineRule="auto"/>
        <w:ind w:right="49"/>
        <w:jc w:val="both"/>
        <w:rPr>
          <w:rFonts w:ascii="Palatino Linotype" w:eastAsia="Palatino Linotype" w:hAnsi="Palatino Linotype" w:cs="Palatino Linotype"/>
        </w:rPr>
      </w:pPr>
    </w:p>
    <w:p w14:paraId="4D68689D"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 Litis a resolver en este recurso, se circunscribe a determinar si la respuesta colma con lo solicitado o si se actualizan las causales de procedencia previstas en el artículo 179, fracción I de la Ley de Transparencia y Acceso a la </w:t>
      </w:r>
      <w:r>
        <w:rPr>
          <w:rFonts w:ascii="Palatino Linotype" w:eastAsia="Palatino Linotype" w:hAnsi="Palatino Linotype" w:cs="Palatino Linotype"/>
        </w:rPr>
        <w:lastRenderedPageBreak/>
        <w:t>Información Pública del Estado de México y Municipios; que establece la negativa de la información.</w:t>
      </w:r>
    </w:p>
    <w:p w14:paraId="39823876" w14:textId="77777777" w:rsidR="006655FF" w:rsidRDefault="006655FF" w:rsidP="006655FF">
      <w:pPr>
        <w:spacing w:line="360" w:lineRule="auto"/>
        <w:ind w:right="49"/>
        <w:jc w:val="both"/>
        <w:rPr>
          <w:rFonts w:ascii="Palatino Linotype" w:eastAsia="Palatino Linotype" w:hAnsi="Palatino Linotype" w:cs="Palatino Linotype"/>
        </w:rPr>
      </w:pPr>
    </w:p>
    <w:p w14:paraId="53BCD025" w14:textId="77777777" w:rsidR="006655FF" w:rsidRDefault="006655FF" w:rsidP="006655FF">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t>CUARTO. Del estudio y resolución del recurso de revisión.</w:t>
      </w:r>
    </w:p>
    <w:p w14:paraId="0D8A0E03" w14:textId="77777777" w:rsidR="006655FF" w:rsidRDefault="006655FF" w:rsidP="006655FF">
      <w:pPr>
        <w:keepNext/>
        <w:keepLines/>
        <w:spacing w:line="360" w:lineRule="auto"/>
        <w:ind w:right="48"/>
        <w:rPr>
          <w:rFonts w:ascii="Palatino Linotype" w:eastAsia="Palatino Linotype" w:hAnsi="Palatino Linotype" w:cs="Palatino Linotype"/>
          <w:b/>
        </w:rPr>
      </w:pPr>
    </w:p>
    <w:p w14:paraId="04483228" w14:textId="77777777" w:rsidR="006655FF" w:rsidRDefault="006655FF" w:rsidP="006655FF">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De la información solicitada y la respuesta del Sujeto Obligado.</w:t>
      </w:r>
    </w:p>
    <w:p w14:paraId="60B8CA52" w14:textId="77777777" w:rsidR="006655FF" w:rsidRDefault="006655FF" w:rsidP="006655FF">
      <w:pPr>
        <w:spacing w:line="360" w:lineRule="auto"/>
        <w:ind w:right="49"/>
        <w:jc w:val="both"/>
        <w:rPr>
          <w:rFonts w:ascii="Palatino Linotype" w:eastAsia="Palatino Linotype" w:hAnsi="Palatino Linotype" w:cs="Palatino Linotype"/>
        </w:rPr>
      </w:pPr>
    </w:p>
    <w:p w14:paraId="2C36A8EC"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47FB263F" w14:textId="77777777" w:rsidR="006655FF" w:rsidRDefault="006655FF" w:rsidP="006655FF">
      <w:pPr>
        <w:spacing w:line="360" w:lineRule="auto"/>
        <w:ind w:right="49"/>
        <w:jc w:val="both"/>
        <w:rPr>
          <w:rFonts w:ascii="Palatino Linotype" w:eastAsia="Palatino Linotype" w:hAnsi="Palatino Linotype" w:cs="Palatino Linotype"/>
        </w:rPr>
      </w:pPr>
    </w:p>
    <w:p w14:paraId="08F727CA" w14:textId="77777777" w:rsidR="006B71DE" w:rsidRDefault="006655FF" w:rsidP="006B71DE">
      <w:pPr>
        <w:numPr>
          <w:ilvl w:val="0"/>
          <w:numId w:val="3"/>
        </w:numPr>
        <w:spacing w:line="360" w:lineRule="auto"/>
        <w:ind w:left="0" w:right="49" w:firstLine="0"/>
        <w:jc w:val="both"/>
        <w:rPr>
          <w:rFonts w:ascii="Palatino Linotype" w:eastAsia="Palatino Linotype" w:hAnsi="Palatino Linotype" w:cs="Palatino Linotype"/>
        </w:rPr>
      </w:pPr>
      <w:bookmarkStart w:id="7" w:name="_heading=h.1t3h5sf" w:colFirst="0" w:colLast="0"/>
      <w:bookmarkEnd w:id="7"/>
      <w:r w:rsidRPr="006B71DE">
        <w:rPr>
          <w:rFonts w:ascii="Palatino Linotype" w:eastAsia="Palatino Linotype" w:hAnsi="Palatino Linotype" w:cs="Palatino Linotype"/>
        </w:rPr>
        <w:t xml:space="preserve">En este caso, el particular solicitó </w:t>
      </w:r>
      <w:r w:rsidR="006B71DE" w:rsidRPr="006B71DE">
        <w:rPr>
          <w:rFonts w:ascii="Palatino Linotype" w:eastAsia="Palatino Linotype" w:hAnsi="Palatino Linotype" w:cs="Palatino Linotype"/>
        </w:rPr>
        <w:t xml:space="preserve">los egresos en obra pública, festivales y agua potable, correspondiente al ejercicio 2023.  </w:t>
      </w:r>
    </w:p>
    <w:p w14:paraId="0CBE2F40" w14:textId="77777777" w:rsidR="006B71DE" w:rsidRPr="006B71DE" w:rsidRDefault="006B71DE" w:rsidP="006B71DE">
      <w:pPr>
        <w:spacing w:line="360" w:lineRule="auto"/>
        <w:ind w:right="49"/>
        <w:jc w:val="both"/>
        <w:rPr>
          <w:rFonts w:ascii="Palatino Linotype" w:eastAsia="Palatino Linotype" w:hAnsi="Palatino Linotype" w:cs="Palatino Linotype"/>
        </w:rPr>
      </w:pPr>
    </w:p>
    <w:p w14:paraId="77276CEF"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Primeramente, se precisa que se obvia el análisis de la competencia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para generar, administrar o poseer la información solicitada, dado que éste ha asumido la misma, en razón de que en su respuesta admitió contar con dicha información.</w:t>
      </w:r>
    </w:p>
    <w:p w14:paraId="3E8AFFFD"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58B6DCA"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bookmarkStart w:id="8" w:name="_heading=h.4d34og8" w:colFirst="0" w:colLast="0"/>
      <w:bookmarkEnd w:id="8"/>
      <w:r>
        <w:rPr>
          <w:rFonts w:ascii="Palatino Linotype" w:eastAsia="Palatino Linotype" w:hAnsi="Palatino Linotype" w:cs="Palatino Linotype"/>
        </w:rPr>
        <w:t xml:space="preserve">En efecto, el hecho de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haya admitido contar con la información pública solicitada, acepta que la genera, posee y administra, en ejercicio de sus funciones de derecho público, motivo por el cual se actualiza el </w:t>
      </w:r>
      <w:r>
        <w:rPr>
          <w:rFonts w:ascii="Palatino Linotype" w:eastAsia="Palatino Linotype" w:hAnsi="Palatino Linotype" w:cs="Palatino Linotype"/>
        </w:rPr>
        <w:lastRenderedPageBreak/>
        <w:t>supuesto jurídico, previsto en el artículo 12 de la Ley de Transparencia y Acceso a la Información Pública del Estado de México y Municipios.</w:t>
      </w:r>
    </w:p>
    <w:p w14:paraId="00FFD945" w14:textId="77777777" w:rsidR="006655FF" w:rsidRDefault="006655FF" w:rsidP="006655F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723EDB58" w14:textId="77777777" w:rsidR="006655FF" w:rsidRDefault="006655FF" w:rsidP="006655FF">
      <w:pPr>
        <w:pBdr>
          <w:top w:val="nil"/>
          <w:left w:val="nil"/>
          <w:bottom w:val="nil"/>
          <w:right w:val="nil"/>
          <w:between w:val="nil"/>
        </w:pBdr>
        <w:tabs>
          <w:tab w:val="left" w:pos="8080"/>
        </w:tabs>
        <w:spacing w:line="360" w:lineRule="auto"/>
        <w:ind w:left="851"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14:paraId="7071B069" w14:textId="77777777" w:rsidR="006655FF" w:rsidRDefault="006655FF" w:rsidP="006655FF">
      <w:pPr>
        <w:tabs>
          <w:tab w:val="left" w:pos="8080"/>
        </w:tabs>
        <w:spacing w:line="360" w:lineRule="auto"/>
        <w:ind w:left="851" w:right="902"/>
        <w:jc w:val="both"/>
        <w:rPr>
          <w:rFonts w:ascii="Palatino Linotype" w:eastAsia="Palatino Linotype" w:hAnsi="Palatino Linotype" w:cs="Palatino Linotype"/>
          <w:i/>
        </w:rPr>
      </w:pPr>
    </w:p>
    <w:p w14:paraId="548991AC" w14:textId="77777777" w:rsidR="006655FF" w:rsidRDefault="006655FF" w:rsidP="006655FF">
      <w:pPr>
        <w:pBdr>
          <w:top w:val="nil"/>
          <w:left w:val="nil"/>
          <w:bottom w:val="nil"/>
          <w:right w:val="nil"/>
          <w:between w:val="nil"/>
        </w:pBdr>
        <w:tabs>
          <w:tab w:val="left" w:pos="8080"/>
        </w:tabs>
        <w:spacing w:line="360" w:lineRule="auto"/>
        <w:ind w:left="851"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CA6521F" w14:textId="77777777" w:rsidR="006655FF" w:rsidRDefault="006655FF" w:rsidP="006655FF">
      <w:pPr>
        <w:pBdr>
          <w:top w:val="nil"/>
          <w:left w:val="nil"/>
          <w:bottom w:val="nil"/>
          <w:right w:val="nil"/>
          <w:between w:val="nil"/>
        </w:pBdr>
        <w:spacing w:line="360" w:lineRule="auto"/>
        <w:ind w:left="720" w:right="902"/>
        <w:jc w:val="both"/>
        <w:rPr>
          <w:rFonts w:ascii="Palatino Linotype" w:eastAsia="Palatino Linotype" w:hAnsi="Palatino Linotype" w:cs="Palatino Linotype"/>
          <w:color w:val="000000"/>
          <w:sz w:val="22"/>
          <w:szCs w:val="22"/>
        </w:rPr>
      </w:pPr>
    </w:p>
    <w:p w14:paraId="53A9328C" w14:textId="77777777" w:rsidR="006655FF" w:rsidRDefault="006655FF" w:rsidP="006655F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el estudio de la naturaleza jurídica de la información pública solicitada, tiene por objeto determinar si ésta la genera, posee o administra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1D05030C"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6452A332"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Pr>
          <w:rFonts w:ascii="Palatino Linotype" w:eastAsia="Palatino Linotype" w:hAnsi="Palatino Linotype" w:cs="Palatino Linotype"/>
          <w:b/>
        </w:rPr>
        <w:t>sencilla</w:t>
      </w:r>
      <w:r>
        <w:rPr>
          <w:rFonts w:ascii="Palatino Linotype" w:eastAsia="Palatino Linotype" w:hAnsi="Palatino Linotype" w:cs="Palatino Linotype"/>
        </w:rPr>
        <w:t xml:space="preserve">, expeditos, </w:t>
      </w:r>
      <w:r>
        <w:rPr>
          <w:rFonts w:ascii="Palatino Linotype" w:eastAsia="Palatino Linotype" w:hAnsi="Palatino Linotype" w:cs="Palatino Linotype"/>
          <w:b/>
        </w:rPr>
        <w:t>oportunos</w:t>
      </w:r>
      <w:r>
        <w:rPr>
          <w:rFonts w:ascii="Palatino Linotype" w:eastAsia="Palatino Linotype" w:hAnsi="Palatino Linotype" w:cs="Palatino Linotype"/>
        </w:rPr>
        <w:t xml:space="preserve"> y gratuitos, y con ello contribuir a la mejora de </w:t>
      </w:r>
      <w:r>
        <w:rPr>
          <w:rFonts w:ascii="Palatino Linotype" w:eastAsia="Palatino Linotype" w:hAnsi="Palatino Linotype" w:cs="Palatino Linotype"/>
        </w:rPr>
        <w:lastRenderedPageBreak/>
        <w:t>procedimientos y mecanismos que permitan trasparentar la gestión pública y mejora la toma decisiones, a través de la difusión de la información que obra en poder de los sujeto obligados.</w:t>
      </w:r>
    </w:p>
    <w:p w14:paraId="514BAC13"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5F1538DB"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Pr>
          <w:rFonts w:ascii="Palatino Linotype" w:eastAsia="Palatino Linotype" w:hAnsi="Palatino Linotype" w:cs="Palatino Linotype"/>
          <w:b/>
        </w:rPr>
        <w:t xml:space="preserve"> </w:t>
      </w:r>
      <w:r>
        <w:rPr>
          <w:rFonts w:ascii="Palatino Linotype" w:eastAsia="Palatino Linotype" w:hAnsi="Palatino Linotype" w:cs="Palatino Linotype"/>
        </w:rPr>
        <w:t>a la Información Pública del Estado de México y Municipios establece dos puntos importantes que impactan sobre la modalidad de entrega de la información.</w:t>
      </w:r>
    </w:p>
    <w:p w14:paraId="4C330F3C"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5DDC5D4B"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primer punto a analizar es que la ley en materia contempla </w:t>
      </w:r>
      <w:r>
        <w:rPr>
          <w:rFonts w:ascii="Palatino Linotype" w:eastAsia="Palatino Linotype" w:hAnsi="Palatino Linotype" w:cs="Palatino Linotype"/>
          <w:b/>
        </w:rPr>
        <w:t>información pública de oficio</w:t>
      </w:r>
      <w:r>
        <w:rPr>
          <w:rFonts w:ascii="Palatino Linotype" w:eastAsia="Palatino Linotype" w:hAnsi="Palatino Linotype" w:cs="Palatino Linotype"/>
        </w:rPr>
        <w:t xml:space="preserve"> que los Sujetos Obligados deben poner a disposición del público de manera permanente y actualizada de forma sencilla, precisa y entendible, en los respectivos medios electrónicos la información pública que generen, administren o posean.</w:t>
      </w:r>
    </w:p>
    <w:p w14:paraId="69F3E0AF" w14:textId="77777777" w:rsidR="006B71DE" w:rsidRDefault="006B71DE" w:rsidP="006B71DE">
      <w:pPr>
        <w:spacing w:line="360" w:lineRule="auto"/>
        <w:ind w:right="49"/>
        <w:jc w:val="both"/>
        <w:rPr>
          <w:rFonts w:ascii="Palatino Linotype" w:eastAsia="Palatino Linotype" w:hAnsi="Palatino Linotype" w:cs="Palatino Linotype"/>
        </w:rPr>
      </w:pPr>
    </w:p>
    <w:p w14:paraId="4BFF7CA1"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El segundo punto a analizar y que guarda estricta relación con el punto anterior, se encuentra en el artículo 161 de la citada Ley de Transparencia Local:</w:t>
      </w:r>
    </w:p>
    <w:p w14:paraId="235D0B46"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3864DA7" w14:textId="77777777" w:rsidR="006655FF" w:rsidRDefault="006655FF" w:rsidP="006B71DE">
      <w:pPr>
        <w:spacing w:line="360" w:lineRule="auto"/>
        <w:ind w:left="851" w:right="822"/>
        <w:jc w:val="both"/>
        <w:rPr>
          <w:rFonts w:ascii="Palatino Linotype" w:eastAsia="Palatino Linotype" w:hAnsi="Palatino Linotype" w:cs="Palatino Linotype"/>
          <w:i/>
          <w:sz w:val="28"/>
          <w:szCs w:val="28"/>
        </w:rPr>
      </w:pPr>
      <w:r>
        <w:rPr>
          <w:rFonts w:ascii="Palatino Linotype" w:eastAsia="Palatino Linotype" w:hAnsi="Palatino Linotype" w:cs="Palatino Linotype"/>
          <w:b/>
          <w:i/>
          <w:sz w:val="22"/>
          <w:szCs w:val="22"/>
        </w:rPr>
        <w:t>Artículo 161. Cuando la información requerida por el solicitante ya esté disponible</w:t>
      </w:r>
      <w:r>
        <w:rPr>
          <w:rFonts w:ascii="Palatino Linotype" w:eastAsia="Palatino Linotype" w:hAnsi="Palatino Linotype" w:cs="Palatino Linotype"/>
          <w:i/>
          <w:sz w:val="22"/>
          <w:szCs w:val="22"/>
        </w:rPr>
        <w:t xml:space="preserve"> al público en medios impresos, tales como libros, compendios, trípticos, </w:t>
      </w:r>
      <w:r>
        <w:rPr>
          <w:rFonts w:ascii="Palatino Linotype" w:eastAsia="Palatino Linotype" w:hAnsi="Palatino Linotype" w:cs="Palatino Linotype"/>
          <w:i/>
          <w:sz w:val="22"/>
          <w:szCs w:val="22"/>
        </w:rPr>
        <w:lastRenderedPageBreak/>
        <w:t xml:space="preserve">registros públicos, </w:t>
      </w:r>
      <w:r>
        <w:rPr>
          <w:rFonts w:ascii="Palatino Linotype" w:eastAsia="Palatino Linotype" w:hAnsi="Palatino Linotype" w:cs="Palatino Linotype"/>
          <w:b/>
          <w:i/>
          <w:sz w:val="22"/>
          <w:szCs w:val="22"/>
        </w:rPr>
        <w:t xml:space="preserve">en formatos electrónicos disponibles en Internet </w:t>
      </w:r>
      <w:r>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Pr>
          <w:rFonts w:ascii="Palatino Linotype" w:eastAsia="Palatino Linotype" w:hAnsi="Palatino Linotype" w:cs="Palatino Linotype"/>
          <w:b/>
          <w:i/>
          <w:sz w:val="22"/>
          <w:szCs w:val="22"/>
        </w:rPr>
        <w:t>en un plazo no mayor a cinco días hábiles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Pr>
          <w:rFonts w:ascii="Palatino Linotype" w:eastAsia="Palatino Linotype" w:hAnsi="Palatino Linotype" w:cs="Palatino Linotype"/>
          <w:i/>
          <w:sz w:val="22"/>
          <w:szCs w:val="22"/>
        </w:rPr>
        <w:t>.</w:t>
      </w:r>
    </w:p>
    <w:p w14:paraId="125DD59D"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34D8A8A0"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76C9CBA0" w14:textId="77777777" w:rsidR="006655FF" w:rsidRDefault="006655FF" w:rsidP="006655FF">
      <w:pPr>
        <w:spacing w:line="360" w:lineRule="auto"/>
        <w:ind w:right="49"/>
        <w:jc w:val="both"/>
        <w:rPr>
          <w:rFonts w:ascii="Palatino Linotype" w:eastAsia="Palatino Linotype" w:hAnsi="Palatino Linotype" w:cs="Palatino Linotype"/>
        </w:rPr>
      </w:pPr>
    </w:p>
    <w:p w14:paraId="3695C099"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b/>
        </w:rPr>
        <w:t>La orientación</w:t>
      </w:r>
      <w:r>
        <w:rPr>
          <w:rFonts w:ascii="Palatino Linotype" w:eastAsia="Palatino Linotype" w:hAnsi="Palatino Linotype" w:cs="Palatino Linotype"/>
        </w:rPr>
        <w:t xml:space="preserve"> que realicen los Sujetos Obligados a los sitios electrónicos para la consulta de la información </w:t>
      </w:r>
      <w:r>
        <w:rPr>
          <w:rFonts w:ascii="Palatino Linotype" w:eastAsia="Palatino Linotype" w:hAnsi="Palatino Linotype" w:cs="Palatino Linotype"/>
          <w:b/>
        </w:rPr>
        <w:t>debe cumplir con las características de tiempo y forma.</w:t>
      </w:r>
    </w:p>
    <w:p w14:paraId="2A0A70A5"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6D903338"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Para que la orientación se encuentre en tiempo, debe realizarse en un plazo no mayor a cinco días hábiles. En este caso, el Recurrente presentó su solicitud en fecha </w:t>
      </w:r>
      <w:r w:rsidR="006B71DE">
        <w:rPr>
          <w:rFonts w:ascii="Palatino Linotype" w:eastAsia="Palatino Linotype" w:hAnsi="Palatino Linotype" w:cs="Palatino Linotype"/>
        </w:rPr>
        <w:t>treinta y uno (31) de enero de dos mil veinticuatro, posteriormente,</w:t>
      </w:r>
      <w:r>
        <w:rPr>
          <w:rFonts w:ascii="Palatino Linotype" w:eastAsia="Palatino Linotype" w:hAnsi="Palatino Linotype" w:cs="Palatino Linotype"/>
        </w:rPr>
        <w:t xml:space="preserve"> el Sujeto Obligado dio respuesta el </w:t>
      </w:r>
      <w:r w:rsidR="006B71DE">
        <w:rPr>
          <w:rFonts w:ascii="Palatino Linotype" w:eastAsia="Palatino Linotype" w:hAnsi="Palatino Linotype" w:cs="Palatino Linotype"/>
        </w:rPr>
        <w:t>cuatro (04) de marzo de dos mil veinticuatro</w:t>
      </w:r>
      <w:r>
        <w:rPr>
          <w:rFonts w:ascii="Palatino Linotype" w:eastAsia="Palatino Linotype" w:hAnsi="Palatino Linotype" w:cs="Palatino Linotype"/>
        </w:rPr>
        <w:t xml:space="preserve">, por lo que </w:t>
      </w:r>
      <w:r>
        <w:rPr>
          <w:rFonts w:ascii="Palatino Linotype" w:eastAsia="Palatino Linotype" w:hAnsi="Palatino Linotype" w:cs="Palatino Linotype"/>
        </w:rPr>
        <w:lastRenderedPageBreak/>
        <w:t xml:space="preserve">evidentemente se encuentra fuera del plazo que señala la normatividad en materia, lo que trae como consecuencia que </w:t>
      </w:r>
      <w:r>
        <w:rPr>
          <w:rFonts w:ascii="Palatino Linotype" w:eastAsia="Palatino Linotype" w:hAnsi="Palatino Linotype" w:cs="Palatino Linotype"/>
          <w:b/>
        </w:rPr>
        <w:t>la orientación no se encuentre en tiempo</w:t>
      </w:r>
      <w:r>
        <w:rPr>
          <w:rFonts w:ascii="Palatino Linotype" w:eastAsia="Palatino Linotype" w:hAnsi="Palatino Linotype" w:cs="Palatino Linotype"/>
        </w:rPr>
        <w:t>.</w:t>
      </w:r>
    </w:p>
    <w:p w14:paraId="5009DDE9"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25930325"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Ahora bien, la normatividad en materia establece que las direcciones electrónicas deben ser precisas, de tal modo que no implique que el Recurrente deba de realizar una búsqueda dentro de toda la información disponible.</w:t>
      </w:r>
    </w:p>
    <w:p w14:paraId="13EC7192" w14:textId="77777777" w:rsidR="006655FF" w:rsidRDefault="006655FF" w:rsidP="006655FF">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0CD9A52"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El Sujeto Obligado señaló que la información solicitada se encontraba en la siguiente liga electrónica:</w:t>
      </w:r>
    </w:p>
    <w:p w14:paraId="1AA6230B" w14:textId="77777777" w:rsidR="006655FF" w:rsidRDefault="006655FF" w:rsidP="006655FF">
      <w:pPr>
        <w:spacing w:line="360" w:lineRule="auto"/>
        <w:ind w:right="49"/>
        <w:jc w:val="both"/>
        <w:rPr>
          <w:rFonts w:ascii="Palatino Linotype" w:eastAsia="Palatino Linotype" w:hAnsi="Palatino Linotype" w:cs="Palatino Linotype"/>
        </w:rPr>
      </w:pPr>
    </w:p>
    <w:p w14:paraId="729B1C28" w14:textId="77777777" w:rsidR="006655FF" w:rsidRDefault="00D32276" w:rsidP="006B71DE">
      <w:pPr>
        <w:pStyle w:val="Prrafodelista"/>
        <w:numPr>
          <w:ilvl w:val="0"/>
          <w:numId w:val="6"/>
        </w:numPr>
        <w:spacing w:line="360" w:lineRule="auto"/>
        <w:rPr>
          <w:rFonts w:ascii="Palatino Linotype" w:eastAsia="Palatino Linotype" w:hAnsi="Palatino Linotype" w:cs="Palatino Linotype"/>
        </w:rPr>
      </w:pPr>
      <w:hyperlink r:id="rId11" w:history="1">
        <w:r w:rsidR="006B71DE" w:rsidRPr="00824797">
          <w:rPr>
            <w:rStyle w:val="Hipervnculo"/>
            <w:rFonts w:ascii="Palatino Linotype" w:eastAsia="Palatino Linotype" w:hAnsi="Palatino Linotype" w:cs="Palatino Linotype"/>
          </w:rPr>
          <w:t>https://www.texcocoedomex.gob.mx</w:t>
        </w:r>
      </w:hyperlink>
    </w:p>
    <w:p w14:paraId="43942F74" w14:textId="77777777" w:rsidR="006B71DE" w:rsidRPr="006B71DE" w:rsidRDefault="006B71DE" w:rsidP="006B71DE">
      <w:pPr>
        <w:pStyle w:val="Prrafodelista"/>
        <w:spacing w:line="360" w:lineRule="auto"/>
        <w:rPr>
          <w:rFonts w:ascii="Palatino Linotype" w:eastAsia="Palatino Linotype" w:hAnsi="Palatino Linotype" w:cs="Palatino Linotype"/>
        </w:rPr>
      </w:pPr>
    </w:p>
    <w:p w14:paraId="26ED57F9" w14:textId="77777777" w:rsidR="006655FF" w:rsidRDefault="006655FF" w:rsidP="006655FF">
      <w:pPr>
        <w:numPr>
          <w:ilvl w:val="0"/>
          <w:numId w:val="3"/>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ingresar a la liga el</w:t>
      </w:r>
      <w:r w:rsidR="006B71DE">
        <w:rPr>
          <w:rFonts w:ascii="Palatino Linotype" w:eastAsia="Palatino Linotype" w:hAnsi="Palatino Linotype" w:cs="Palatino Linotype"/>
          <w:color w:val="000000"/>
        </w:rPr>
        <w:t>ectrónica, remite a la página oficial del Ayuntamiento de Texcoco como se observa en la siguiente imagen:</w:t>
      </w:r>
    </w:p>
    <w:p w14:paraId="7A54B555" w14:textId="77777777" w:rsidR="006B71DE" w:rsidRDefault="006B71DE" w:rsidP="006B71D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1EBD81D4" w14:textId="77777777" w:rsidR="006B71DE" w:rsidRDefault="006B71DE" w:rsidP="006B71DE">
      <w:pPr>
        <w:pBdr>
          <w:top w:val="nil"/>
          <w:left w:val="nil"/>
          <w:bottom w:val="nil"/>
          <w:right w:val="nil"/>
          <w:between w:val="nil"/>
        </w:pBdr>
        <w:spacing w:line="360" w:lineRule="auto"/>
        <w:ind w:right="48"/>
        <w:jc w:val="center"/>
        <w:rPr>
          <w:rFonts w:ascii="Palatino Linotype" w:eastAsia="Palatino Linotype" w:hAnsi="Palatino Linotype" w:cs="Palatino Linotype"/>
          <w:color w:val="000000"/>
        </w:rPr>
      </w:pPr>
      <w:r w:rsidRPr="006B71DE">
        <w:rPr>
          <w:rFonts w:ascii="Palatino Linotype" w:eastAsia="Palatino Linotype" w:hAnsi="Palatino Linotype" w:cs="Palatino Linotype"/>
          <w:noProof/>
          <w:color w:val="000000"/>
        </w:rPr>
        <w:drawing>
          <wp:inline distT="0" distB="0" distL="0" distR="0" wp14:anchorId="46909B48" wp14:editId="34A1E4C3">
            <wp:extent cx="5093517"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0601" cy="1526120"/>
                    </a:xfrm>
                    <a:prstGeom prst="rect">
                      <a:avLst/>
                    </a:prstGeom>
                  </pic:spPr>
                </pic:pic>
              </a:graphicData>
            </a:graphic>
          </wp:inline>
        </w:drawing>
      </w:r>
    </w:p>
    <w:p w14:paraId="672A76E8" w14:textId="77777777" w:rsidR="006655FF" w:rsidRDefault="006655FF" w:rsidP="006655FF">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3209AC4" w14:textId="77777777" w:rsidR="006655FF" w:rsidRDefault="006655FF" w:rsidP="006655FF">
      <w:pPr>
        <w:pBdr>
          <w:top w:val="nil"/>
          <w:left w:val="nil"/>
          <w:bottom w:val="nil"/>
          <w:right w:val="nil"/>
          <w:between w:val="nil"/>
        </w:pBdr>
        <w:spacing w:line="360" w:lineRule="auto"/>
        <w:ind w:right="48"/>
        <w:jc w:val="center"/>
        <w:rPr>
          <w:rFonts w:ascii="Palatino Linotype" w:eastAsia="Palatino Linotype" w:hAnsi="Palatino Linotype" w:cs="Palatino Linotype"/>
          <w:color w:val="000000"/>
        </w:rPr>
      </w:pPr>
    </w:p>
    <w:p w14:paraId="74DE2E09" w14:textId="77777777" w:rsidR="006655FF" w:rsidRDefault="006655FF" w:rsidP="006655FF">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0A991180" w14:textId="77777777" w:rsidR="005C18A9" w:rsidRDefault="006655FF" w:rsidP="005C18A9">
      <w:pPr>
        <w:numPr>
          <w:ilvl w:val="0"/>
          <w:numId w:val="3"/>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este caso, la liga electrónica no puede colmar con la solicitud de información del particular, pues en primer lugar, no cumple con la formalidad de tiempo, ya que como fue referido en párrafos anteriores, la respuesta fue emitida fuera del plazo esta</w:t>
      </w:r>
      <w:r w:rsidR="006B71DE">
        <w:rPr>
          <w:rFonts w:ascii="Palatino Linotype" w:eastAsia="Palatino Linotype" w:hAnsi="Palatino Linotype" w:cs="Palatino Linotype"/>
          <w:color w:val="000000"/>
        </w:rPr>
        <w:t>blecido en la ley en la materia y en segundo lugar</w:t>
      </w:r>
      <w:r>
        <w:rPr>
          <w:rFonts w:ascii="Palatino Linotype" w:eastAsia="Palatino Linotype" w:hAnsi="Palatino Linotype" w:cs="Palatino Linotype"/>
          <w:color w:val="000000"/>
        </w:rPr>
        <w:t xml:space="preserve">, la liga electrónica no remite a la información solicitada de forma precisa y concreta, lo que implicaría que el Recurrente realice una búsqueda en toda la información. </w:t>
      </w:r>
    </w:p>
    <w:p w14:paraId="2D41034A" w14:textId="77777777" w:rsidR="005C18A9" w:rsidRDefault="005C18A9" w:rsidP="005C18A9">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3227F2AB" w14:textId="77777777" w:rsidR="005C18A9" w:rsidRPr="005C18A9" w:rsidRDefault="005C18A9" w:rsidP="005C18A9">
      <w:pPr>
        <w:numPr>
          <w:ilvl w:val="0"/>
          <w:numId w:val="3"/>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5C18A9">
        <w:rPr>
          <w:rFonts w:ascii="Palatino Linotype" w:eastAsia="Calibri" w:hAnsi="Palatino Linotype" w:cs="Arial"/>
        </w:rPr>
        <w:t>Derivado de la naturaleza de la información requerida, es necesario precisar que las erogaciones que realizan los Sujetos Obligados, deben estar soportados en documentos que amparen dicha erogación como lo es factura o póliza. P</w:t>
      </w:r>
      <w:r w:rsidRPr="005C18A9">
        <w:rPr>
          <w:rFonts w:ascii="Palatino Linotype" w:hAnsi="Palatino Linotype" w:cs="Tahoma"/>
          <w:bCs/>
          <w:iCs/>
        </w:rPr>
        <w:t>rimeramente conocer a que nos referimos por “</w:t>
      </w:r>
      <w:r w:rsidRPr="005C18A9">
        <w:rPr>
          <w:rFonts w:ascii="Palatino Linotype" w:hAnsi="Palatino Linotype" w:cs="Tahoma"/>
          <w:bCs/>
          <w:i/>
          <w:iCs/>
        </w:rPr>
        <w:t>factura</w:t>
      </w:r>
      <w:r w:rsidRPr="005C18A9">
        <w:rPr>
          <w:rFonts w:ascii="Palatino Linotype" w:hAnsi="Palatino Linotype" w:cs="Tahoma"/>
          <w:bCs/>
          <w:iCs/>
        </w:rPr>
        <w:t>”; al respecto, nos referiremos a éste concepto aunque sea sucintamente de acuerdo a lo que dispone el Glosario de Términos Hacendarios que emite el Instituto Hacendario del Estado de México, mismo que expresa lo siguiente:</w:t>
      </w:r>
    </w:p>
    <w:p w14:paraId="41955A38" w14:textId="77777777" w:rsidR="005C18A9"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19B2F6DB" w14:textId="77777777" w:rsidR="005C18A9" w:rsidRPr="004B6CB0" w:rsidRDefault="005C18A9" w:rsidP="005C18A9">
      <w:pPr>
        <w:pStyle w:val="Prrafodelista"/>
        <w:spacing w:before="240" w:after="240" w:line="360" w:lineRule="auto"/>
        <w:ind w:left="851" w:right="822"/>
        <w:jc w:val="both"/>
        <w:rPr>
          <w:rFonts w:ascii="Palatino Linotype" w:hAnsi="Palatino Linotype" w:cs="Tahoma"/>
          <w:b/>
          <w:bCs/>
          <w:i/>
          <w:iCs/>
        </w:rPr>
      </w:pPr>
      <w:r>
        <w:rPr>
          <w:rFonts w:ascii="Palatino Linotype" w:hAnsi="Palatino Linotype" w:cs="Tahoma"/>
          <w:bCs/>
          <w:i/>
          <w:iCs/>
        </w:rPr>
        <w:t>“</w:t>
      </w:r>
      <w:r w:rsidRPr="004B6CB0">
        <w:rPr>
          <w:rFonts w:ascii="Palatino Linotype" w:hAnsi="Palatino Linotype" w:cs="Tahoma"/>
          <w:b/>
          <w:bCs/>
          <w:i/>
          <w:iCs/>
        </w:rPr>
        <w:t>FACTURA</w:t>
      </w:r>
      <w:r>
        <w:rPr>
          <w:rFonts w:ascii="Palatino Linotype" w:hAnsi="Palatino Linotype" w:cs="Tahoma"/>
          <w:b/>
          <w:bCs/>
          <w:i/>
          <w:iCs/>
        </w:rPr>
        <w:t>:</w:t>
      </w:r>
    </w:p>
    <w:p w14:paraId="01B4E13D" w14:textId="77777777" w:rsidR="005C18A9" w:rsidRPr="004B6CB0" w:rsidRDefault="005C18A9" w:rsidP="005C18A9">
      <w:pPr>
        <w:pStyle w:val="Prrafodelista"/>
        <w:spacing w:before="240" w:after="240" w:line="360" w:lineRule="auto"/>
        <w:ind w:left="851" w:right="822"/>
        <w:jc w:val="both"/>
        <w:rPr>
          <w:rFonts w:ascii="Palatino Linotype" w:hAnsi="Palatino Linotype" w:cs="Tahoma"/>
          <w:bCs/>
          <w:i/>
          <w:iCs/>
        </w:rPr>
      </w:pPr>
      <w:r w:rsidRPr="004B6CB0">
        <w:rPr>
          <w:rFonts w:ascii="Palatino Linotype" w:hAnsi="Palatino Linotype" w:cs="Tahoma"/>
          <w:bCs/>
          <w:i/>
          <w:iCs/>
        </w:rPr>
        <w:t>Es el documento fiscal que emite la persona física o moral para comprobar la venta o adquisición de un bien y/o servicio.”</w:t>
      </w:r>
    </w:p>
    <w:p w14:paraId="1331A50C" w14:textId="77777777" w:rsidR="005C18A9" w:rsidRPr="00DC4DAD"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72958690"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Una </w:t>
      </w:r>
      <w:r w:rsidRPr="009B3DD8">
        <w:rPr>
          <w:rFonts w:ascii="Palatino Linotype" w:eastAsia="Calibri" w:hAnsi="Palatino Linotype" w:cs="Arial"/>
          <w:bCs/>
          <w:lang w:eastAsia="en-US"/>
        </w:rPr>
        <w:t xml:space="preserve">vez precisado lo anterior, se procede a analizar si las facturas solicitadas son de acceso público; por lo que es de señalarse que </w:t>
      </w:r>
      <w:r w:rsidRPr="009B3DD8">
        <w:rPr>
          <w:rFonts w:ascii="Palatino Linotype" w:eastAsia="Calibri" w:hAnsi="Palatino Linotype" w:cs="Arial"/>
          <w:b/>
          <w:bCs/>
          <w:lang w:eastAsia="en-US"/>
        </w:rPr>
        <w:t xml:space="preserve">las facturas </w:t>
      </w:r>
      <w:r w:rsidRPr="009B3DD8">
        <w:rPr>
          <w:rFonts w:ascii="Palatino Linotype" w:eastAsia="Calibri" w:hAnsi="Palatino Linotype" w:cs="Arial"/>
          <w:bCs/>
          <w:lang w:eastAsia="en-US"/>
        </w:rPr>
        <w:t xml:space="preserve">o comprobantes que amparan las erogaciones que se realizan con erario público tienen naturaleza análoga, </w:t>
      </w:r>
      <w:r w:rsidRPr="009B3DD8">
        <w:rPr>
          <w:rFonts w:ascii="Palatino Linotype" w:eastAsia="Calibri" w:hAnsi="Palatino Linotype" w:cs="Arial"/>
          <w:bCs/>
          <w:lang w:eastAsia="en-US"/>
        </w:rPr>
        <w:lastRenderedPageBreak/>
        <w:t xml:space="preserve">pues </w:t>
      </w:r>
      <w:r w:rsidRPr="009B3DD8">
        <w:rPr>
          <w:rFonts w:ascii="Palatino Linotype" w:eastAsia="Calibri" w:hAnsi="Palatino Linotype" w:cs="Arial"/>
          <w:b/>
          <w:bCs/>
          <w:lang w:eastAsia="en-US"/>
        </w:rPr>
        <w:t>constituyen los medios idóneos de evidencia del gasto realizado con recursos públicos</w:t>
      </w:r>
      <w:r w:rsidRPr="009B3DD8">
        <w:rPr>
          <w:rFonts w:ascii="Palatino Linotype" w:eastAsia="Calibri" w:hAnsi="Palatino Linotype" w:cs="Arial"/>
          <w:bCs/>
          <w:lang w:eastAsia="en-US"/>
        </w:rPr>
        <w:t>.</w:t>
      </w:r>
    </w:p>
    <w:p w14:paraId="6D5844E9" w14:textId="77777777" w:rsidR="005C18A9" w:rsidRPr="009B3DD8"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6E588F8F"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Al </w:t>
      </w:r>
      <w:r w:rsidRPr="009B3DD8">
        <w:rPr>
          <w:rFonts w:ascii="Palatino Linotype" w:eastAsia="Calibri" w:hAnsi="Palatino Linotype" w:cs="Arial"/>
          <w:bCs/>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568856F6" w14:textId="77777777" w:rsidR="005C18A9" w:rsidRPr="009B3DD8"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477CF881"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Como </w:t>
      </w:r>
      <w:r w:rsidRPr="009B3DD8">
        <w:rPr>
          <w:rFonts w:ascii="Palatino Linotype" w:eastAsia="Calibri" w:hAnsi="Palatino Linotype" w:cs="Arial"/>
          <w:bCs/>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20563E3D" w14:textId="77777777" w:rsidR="005C18A9"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279E67AE" w14:textId="77777777" w:rsidR="005C18A9" w:rsidRPr="004B6CB0" w:rsidRDefault="005C18A9" w:rsidP="005C18A9">
      <w:pPr>
        <w:pStyle w:val="Prrafodelista"/>
        <w:tabs>
          <w:tab w:val="left" w:pos="426"/>
        </w:tabs>
        <w:spacing w:before="240" w:after="240" w:line="360" w:lineRule="auto"/>
        <w:ind w:left="567" w:right="567"/>
        <w:jc w:val="both"/>
        <w:rPr>
          <w:rFonts w:ascii="Palatino Linotype" w:hAnsi="Palatino Linotype" w:cs="Tahoma"/>
          <w:bCs/>
          <w:i/>
          <w:iCs/>
        </w:rPr>
      </w:pPr>
      <w:r w:rsidRPr="004B6CB0">
        <w:rPr>
          <w:rFonts w:ascii="Palatino Linotype" w:hAnsi="Palatino Linotype" w:cs="Tahoma"/>
          <w:bCs/>
          <w:i/>
          <w:iCs/>
        </w:rPr>
        <w:t>“</w:t>
      </w:r>
      <w:r w:rsidRPr="004B6CB0">
        <w:rPr>
          <w:rFonts w:ascii="Palatino Linotype" w:hAnsi="Palatino Linotype" w:cs="Tahoma"/>
          <w:b/>
          <w:bCs/>
          <w:i/>
          <w:iCs/>
        </w:rPr>
        <w:t>Artículo 342.-</w:t>
      </w:r>
      <w:r w:rsidRPr="004B6CB0">
        <w:rPr>
          <w:rFonts w:ascii="Palatino Linotype" w:hAnsi="Palatino Linotype" w:cs="Tahoma"/>
          <w:bCs/>
          <w:i/>
          <w:iC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02FC3690" w14:textId="77777777" w:rsidR="005C18A9" w:rsidRDefault="005C18A9" w:rsidP="005C18A9">
      <w:pPr>
        <w:pStyle w:val="Prrafodelista"/>
        <w:tabs>
          <w:tab w:val="left" w:pos="426"/>
        </w:tabs>
        <w:spacing w:before="240" w:after="240" w:line="360" w:lineRule="auto"/>
        <w:ind w:left="567" w:right="567"/>
        <w:jc w:val="both"/>
        <w:rPr>
          <w:rFonts w:ascii="Palatino Linotype" w:hAnsi="Palatino Linotype" w:cs="Tahoma"/>
          <w:bCs/>
          <w:i/>
          <w:iCs/>
        </w:rPr>
      </w:pPr>
      <w:r>
        <w:rPr>
          <w:rFonts w:ascii="Palatino Linotype" w:hAnsi="Palatino Linotype" w:cs="Tahoma"/>
          <w:bCs/>
          <w:i/>
          <w:iCs/>
        </w:rPr>
        <w:t>(</w:t>
      </w:r>
      <w:r w:rsidRPr="004B6CB0">
        <w:rPr>
          <w:rFonts w:ascii="Palatino Linotype" w:hAnsi="Palatino Linotype" w:cs="Tahoma"/>
          <w:bCs/>
          <w:i/>
          <w:iCs/>
        </w:rPr>
        <w:t>…</w:t>
      </w:r>
      <w:r>
        <w:rPr>
          <w:rFonts w:ascii="Palatino Linotype" w:hAnsi="Palatino Linotype" w:cs="Tahoma"/>
          <w:bCs/>
          <w:i/>
          <w:iCs/>
        </w:rPr>
        <w:t>)”</w:t>
      </w:r>
    </w:p>
    <w:p w14:paraId="20C5D635" w14:textId="77777777" w:rsidR="005C18A9" w:rsidRPr="004B6CB0" w:rsidRDefault="005C18A9" w:rsidP="005C18A9">
      <w:pPr>
        <w:pStyle w:val="Prrafodelista"/>
        <w:tabs>
          <w:tab w:val="left" w:pos="426"/>
        </w:tabs>
        <w:spacing w:before="240" w:after="240" w:line="276" w:lineRule="auto"/>
        <w:ind w:left="567" w:right="567"/>
        <w:jc w:val="both"/>
        <w:rPr>
          <w:rFonts w:ascii="Palatino Linotype" w:hAnsi="Palatino Linotype" w:cs="Tahoma"/>
          <w:bCs/>
          <w:i/>
          <w:iCs/>
        </w:rPr>
      </w:pPr>
    </w:p>
    <w:p w14:paraId="60B762F5"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
          <w:bCs/>
          <w:i/>
          <w:iCs/>
          <w:sz w:val="22"/>
        </w:rPr>
        <w:lastRenderedPageBreak/>
        <w:t>“Artículo 343.-</w:t>
      </w:r>
      <w:r w:rsidRPr="005C18A9">
        <w:rPr>
          <w:rFonts w:ascii="Palatino Linotype" w:hAnsi="Palatino Linotype" w:cs="Tahoma"/>
          <w:bCs/>
          <w:i/>
          <w:iCs/>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65C2838"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El sistema de contabilidad sobre base acumulativa total se sustentará en los postulados básicos y el marco conceptual de la contabilidad gubernamental.”</w:t>
      </w:r>
    </w:p>
    <w:p w14:paraId="487FD6AB"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p>
    <w:p w14:paraId="6B5B2E5E"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Artículo 344.-</w:t>
      </w:r>
      <w:r w:rsidRPr="005C18A9">
        <w:rPr>
          <w:rFonts w:ascii="Palatino Linotype" w:hAnsi="Palatino Linotype" w:cs="Tahoma"/>
          <w:bCs/>
          <w:i/>
          <w:iCs/>
          <w:sz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240EBA98"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 xml:space="preserve">Derogado. </w:t>
      </w:r>
    </w:p>
    <w:p w14:paraId="6419292A"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44D2931"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w:t>
      </w:r>
    </w:p>
    <w:p w14:paraId="0F321D16"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p>
    <w:p w14:paraId="10929822"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Artículo 345.-</w:t>
      </w:r>
      <w:r w:rsidRPr="005C18A9">
        <w:rPr>
          <w:rFonts w:ascii="Palatino Linotype" w:hAnsi="Palatino Linotype" w:cs="Tahoma"/>
          <w:bCs/>
          <w:i/>
          <w:iCs/>
          <w:sz w:val="22"/>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w:t>
      </w:r>
      <w:r w:rsidRPr="005C18A9">
        <w:rPr>
          <w:rFonts w:ascii="Palatino Linotype" w:hAnsi="Palatino Linotype" w:cs="Tahoma"/>
          <w:bCs/>
          <w:i/>
          <w:iCs/>
          <w:sz w:val="22"/>
        </w:rPr>
        <w:lastRenderedPageBreak/>
        <w:t xml:space="preserve">Contable Gubernamental. Tratándose de los comprobantes fiscales digitales, estos deberán estar agregados en forma electrónica en cada póliza de registro contable. </w:t>
      </w:r>
    </w:p>
    <w:p w14:paraId="62E2FA3C"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El plazo señalado en el párrafo anterior, empezará a contar a partir de la publicación en el Periódico Oficial, del decreto correspondiente. “</w:t>
      </w:r>
    </w:p>
    <w:p w14:paraId="38A6BE3E" w14:textId="77777777" w:rsidR="005C18A9" w:rsidRPr="00DC4DAD"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6FDD2052"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De </w:t>
      </w:r>
      <w:r w:rsidRPr="009B3DD8">
        <w:rPr>
          <w:rFonts w:ascii="Palatino Linotype" w:eastAsia="Calibri" w:hAnsi="Palatino Linotype" w:cs="Arial"/>
          <w:bCs/>
          <w:lang w:eastAsia="en-US"/>
        </w:rPr>
        <w:t>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12DD4CA" w14:textId="77777777" w:rsidR="005C18A9" w:rsidRPr="009B3DD8"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26490B8C"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Al </w:t>
      </w:r>
      <w:r w:rsidRPr="009B3DD8">
        <w:rPr>
          <w:rFonts w:ascii="Palatino Linotype" w:eastAsia="Calibri" w:hAnsi="Palatino Linotype" w:cs="Arial"/>
          <w:bCs/>
          <w:lang w:eastAsia="en-US"/>
        </w:rPr>
        <w:t>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5B4CBC3F" w14:textId="77777777" w:rsidR="005C18A9"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29DE942E" w14:textId="77777777" w:rsidR="005C18A9" w:rsidRPr="005C18A9" w:rsidRDefault="005C18A9" w:rsidP="005C18A9">
      <w:pPr>
        <w:pStyle w:val="Prrafodelista"/>
        <w:tabs>
          <w:tab w:val="left" w:pos="709"/>
          <w:tab w:val="left" w:pos="8222"/>
        </w:tabs>
        <w:spacing w:before="240" w:after="240" w:line="360" w:lineRule="auto"/>
        <w:ind w:left="851" w:right="822"/>
        <w:jc w:val="both"/>
        <w:rPr>
          <w:rFonts w:ascii="Palatino Linotype" w:hAnsi="Palatino Linotype" w:cs="Tahoma"/>
          <w:b/>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REGISTRO CONTABLE:</w:t>
      </w:r>
    </w:p>
    <w:p w14:paraId="5AE773A3" w14:textId="77777777" w:rsidR="005C18A9" w:rsidRPr="005C18A9" w:rsidRDefault="005C18A9" w:rsidP="005C18A9">
      <w:pPr>
        <w:pStyle w:val="Prrafodelista"/>
        <w:tabs>
          <w:tab w:val="left" w:pos="709"/>
          <w:tab w:val="left" w:pos="8222"/>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lastRenderedPageBreak/>
        <w:t xml:space="preserve">Asiento que se realiza en los libros de contabilidad de las actividades relacionadas con el ingreso y egresos de un ente económico.” </w:t>
      </w:r>
    </w:p>
    <w:p w14:paraId="7C4C26A1" w14:textId="77777777" w:rsidR="005C18A9" w:rsidRPr="005C18A9" w:rsidRDefault="005C18A9" w:rsidP="005C18A9">
      <w:pPr>
        <w:pStyle w:val="Prrafodelista"/>
        <w:tabs>
          <w:tab w:val="left" w:pos="709"/>
          <w:tab w:val="left" w:pos="8222"/>
        </w:tabs>
        <w:spacing w:before="240" w:after="240" w:line="360" w:lineRule="auto"/>
        <w:ind w:left="851" w:right="822"/>
        <w:jc w:val="both"/>
        <w:rPr>
          <w:rFonts w:ascii="Palatino Linotype" w:hAnsi="Palatino Linotype" w:cs="Tahoma"/>
          <w:bCs/>
          <w:i/>
          <w:iCs/>
          <w:sz w:val="22"/>
        </w:rPr>
      </w:pPr>
    </w:p>
    <w:p w14:paraId="1072D658" w14:textId="77777777" w:rsidR="005C18A9" w:rsidRPr="005C18A9" w:rsidRDefault="005C18A9" w:rsidP="005C18A9">
      <w:pPr>
        <w:pStyle w:val="Prrafodelista"/>
        <w:tabs>
          <w:tab w:val="left" w:pos="709"/>
          <w:tab w:val="left" w:pos="8222"/>
        </w:tabs>
        <w:spacing w:before="240" w:after="240" w:line="360" w:lineRule="auto"/>
        <w:ind w:left="851" w:right="822"/>
        <w:jc w:val="both"/>
        <w:rPr>
          <w:rFonts w:ascii="Palatino Linotype" w:hAnsi="Palatino Linotype" w:cs="Tahoma"/>
          <w:b/>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REGISTRO PRESUPUESTARIO:</w:t>
      </w:r>
    </w:p>
    <w:p w14:paraId="20959828" w14:textId="77777777" w:rsidR="005C18A9" w:rsidRPr="005C18A9" w:rsidRDefault="005C18A9" w:rsidP="005C18A9">
      <w:pPr>
        <w:pStyle w:val="Prrafodelista"/>
        <w:tabs>
          <w:tab w:val="left" w:pos="709"/>
          <w:tab w:val="left" w:pos="8222"/>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Asiento contable de las erogaciones realizadas por las dependencias y entidades con relación a la asignación, modificación y ejercicio de los recursos presupuestarios que se les hayan autorizado.”</w:t>
      </w:r>
    </w:p>
    <w:p w14:paraId="25FAF420" w14:textId="77777777" w:rsidR="005C18A9" w:rsidRPr="00DC4DAD"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27742EF1"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Por </w:t>
      </w:r>
      <w:r w:rsidRPr="009B3DD8">
        <w:rPr>
          <w:rFonts w:ascii="Palatino Linotype" w:eastAsia="Calibri" w:hAnsi="Palatino Linotype" w:cs="Arial"/>
          <w:bCs/>
          <w:lang w:eastAsia="en-US"/>
        </w:rPr>
        <w:t>otra parte, se establece que el sistema de contabilidad sobre base acumulativa total se sustentará en los principios de contabilidad gubernamental.</w:t>
      </w:r>
    </w:p>
    <w:p w14:paraId="2F3999AF" w14:textId="77777777" w:rsidR="005C18A9" w:rsidRPr="009B3DD8"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4FC9A903"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Igualmente, </w:t>
      </w:r>
      <w:r w:rsidRPr="009B3DD8">
        <w:rPr>
          <w:rFonts w:ascii="Palatino Linotype" w:eastAsia="Calibri" w:hAnsi="Palatino Linotype"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665BB26" w14:textId="77777777" w:rsidR="005C18A9" w:rsidRPr="009B3DD8"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07C9593B"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t xml:space="preserve">Correlativo </w:t>
      </w:r>
      <w:r w:rsidRPr="009B3DD8">
        <w:rPr>
          <w:rFonts w:ascii="Palatino Linotype" w:eastAsia="Calibri" w:hAnsi="Palatino Linotype" w:cs="Arial"/>
          <w:bCs/>
          <w:lang w:eastAsia="en-US"/>
        </w:rPr>
        <w:t>a lo anterior, es preciso referir una definición de póliza contable, la cual, primeramente, no está definida en el Código Financiero del Estado de México y Municipios; no obstante, los ya mencionados Glosarios la definen como:</w:t>
      </w:r>
    </w:p>
    <w:p w14:paraId="5270D74B" w14:textId="77777777" w:rsidR="005C18A9"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4E002E30"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
          <w:bCs/>
          <w:i/>
          <w:iCs/>
          <w:sz w:val="22"/>
        </w:rPr>
      </w:pPr>
      <w:r w:rsidRPr="005C18A9">
        <w:rPr>
          <w:rFonts w:ascii="Palatino Linotype" w:hAnsi="Palatino Linotype" w:cs="Tahoma"/>
          <w:bCs/>
          <w:i/>
          <w:iCs/>
          <w:sz w:val="22"/>
        </w:rPr>
        <w:t>“</w:t>
      </w:r>
      <w:r w:rsidRPr="005C18A9">
        <w:rPr>
          <w:rFonts w:ascii="Palatino Linotype" w:hAnsi="Palatino Linotype" w:cs="Tahoma"/>
          <w:b/>
          <w:bCs/>
          <w:i/>
          <w:iCs/>
          <w:sz w:val="22"/>
        </w:rPr>
        <w:t>PÓLIZA CONTABLE:</w:t>
      </w:r>
    </w:p>
    <w:p w14:paraId="77F8CE63" w14:textId="77777777" w:rsidR="005C18A9" w:rsidRPr="005C18A9" w:rsidRDefault="005C18A9" w:rsidP="005C18A9">
      <w:pPr>
        <w:pStyle w:val="Prrafodelista"/>
        <w:tabs>
          <w:tab w:val="left" w:pos="851"/>
        </w:tabs>
        <w:spacing w:before="240" w:after="240" w:line="360" w:lineRule="auto"/>
        <w:ind w:left="851" w:right="822"/>
        <w:jc w:val="both"/>
        <w:rPr>
          <w:rFonts w:ascii="Palatino Linotype" w:hAnsi="Palatino Linotype" w:cs="Tahoma"/>
          <w:bCs/>
          <w:i/>
          <w:iCs/>
          <w:sz w:val="22"/>
        </w:rPr>
      </w:pPr>
      <w:r w:rsidRPr="005C18A9">
        <w:rPr>
          <w:rFonts w:ascii="Palatino Linotype" w:hAnsi="Palatino Linotype" w:cs="Tahoma"/>
          <w:bCs/>
          <w:i/>
          <w:iCs/>
          <w:sz w:val="22"/>
        </w:rPr>
        <w:t>Documento en el cual se asientan en forma individual todas y cada una de las operaciones desarrolladas por una institución, así como la información necesaria para la identificación de dichas operaciones.”</w:t>
      </w:r>
    </w:p>
    <w:p w14:paraId="1F129BD6" w14:textId="77777777" w:rsidR="005C18A9" w:rsidRPr="00DC4DAD"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27F11B90"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hAnsi="Palatino Linotype"/>
          <w:color w:val="000000" w:themeColor="text1"/>
        </w:rPr>
        <w:lastRenderedPageBreak/>
        <w:t xml:space="preserve">Luego entonces, </w:t>
      </w:r>
      <w:r w:rsidRPr="009B3DD8">
        <w:rPr>
          <w:rFonts w:ascii="Palatino Linotype" w:eastAsia="Calibri" w:hAnsi="Palatino Linotype" w:cs="Arial"/>
          <w:bCs/>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67BB2D57" w14:textId="77777777" w:rsidR="005C18A9" w:rsidRPr="009B3DD8" w:rsidRDefault="005C18A9" w:rsidP="005C18A9">
      <w:pPr>
        <w:pStyle w:val="Prrafodelista"/>
        <w:tabs>
          <w:tab w:val="left" w:pos="426"/>
        </w:tabs>
        <w:spacing w:before="240" w:after="240" w:line="360" w:lineRule="auto"/>
        <w:ind w:left="0" w:right="51"/>
        <w:jc w:val="both"/>
        <w:rPr>
          <w:rFonts w:ascii="Palatino Linotype" w:hAnsi="Palatino Linotype" w:cs="Tahoma"/>
          <w:bCs/>
          <w:iCs/>
        </w:rPr>
      </w:pPr>
    </w:p>
    <w:p w14:paraId="12C74E21" w14:textId="77777777" w:rsidR="005C18A9" w:rsidRPr="009B3DD8"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sidRPr="009B3DD8">
        <w:rPr>
          <w:rFonts w:ascii="Palatino Linotype" w:eastAsia="Calibri" w:hAnsi="Palatino Linotype" w:cs="Arial"/>
          <w:bCs/>
          <w:lang w:eastAsia="en-US"/>
        </w:rPr>
        <w:t>Al respecto, existen diversos tipos de pólizas contables de acuerdo a las operaciones realizadas, dentro de las cuales, encontramos las llamadas pólizas de egresos, en las cuales se anotan diariamente las operaciones que representan egresos, es decir, salidas de dinero para, la cual además, debe encontrarse acompañada de las documentales que sirven de soporte de dicho movimiento.</w:t>
      </w:r>
    </w:p>
    <w:p w14:paraId="030D1492" w14:textId="77777777" w:rsidR="005C18A9" w:rsidRPr="009B3DD8" w:rsidRDefault="005C18A9" w:rsidP="005C18A9">
      <w:pPr>
        <w:pStyle w:val="Prrafodelista"/>
        <w:ind w:left="0"/>
        <w:rPr>
          <w:rFonts w:ascii="Palatino Linotype" w:hAnsi="Palatino Linotype" w:cs="Tahoma"/>
          <w:bCs/>
          <w:iCs/>
        </w:rPr>
      </w:pPr>
    </w:p>
    <w:p w14:paraId="27DACA94" w14:textId="77777777" w:rsidR="006655FF" w:rsidRPr="005C18A9" w:rsidRDefault="005C18A9" w:rsidP="005C18A9">
      <w:pPr>
        <w:pStyle w:val="Prrafodelista"/>
        <w:numPr>
          <w:ilvl w:val="0"/>
          <w:numId w:val="3"/>
        </w:numPr>
        <w:tabs>
          <w:tab w:val="left" w:pos="426"/>
        </w:tabs>
        <w:spacing w:before="240" w:after="240" w:line="360" w:lineRule="auto"/>
        <w:ind w:left="0" w:right="51" w:firstLine="0"/>
        <w:jc w:val="both"/>
        <w:rPr>
          <w:rFonts w:ascii="Palatino Linotype" w:hAnsi="Palatino Linotype" w:cs="Tahoma"/>
          <w:bCs/>
          <w:iCs/>
        </w:rPr>
      </w:pPr>
      <w:r>
        <w:rPr>
          <w:rFonts w:ascii="Palatino Linotype" w:hAnsi="Palatino Linotype" w:cs="Tahoma"/>
          <w:bCs/>
          <w:iCs/>
        </w:rPr>
        <w:t xml:space="preserve">Asimismo, se refuerza que al tener que documentar cada egreso que se realiza de manera diaria, queda claro que el Sujeto Obligado debe generar, administrar y poseer la información que solicitó el particular. Por ello, se manera enunciativa más no limitativa, la información solicitada puede colmarse con la entrega de la póliza de egresos. </w:t>
      </w:r>
    </w:p>
    <w:p w14:paraId="0F9A69AF" w14:textId="77777777" w:rsidR="006655FF" w:rsidRDefault="006655FF" w:rsidP="006655FF">
      <w:pPr>
        <w:numPr>
          <w:ilvl w:val="0"/>
          <w:numId w:val="3"/>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sidR="008303CF">
        <w:rPr>
          <w:rFonts w:ascii="Palatino Linotype" w:eastAsia="Palatino Linotype" w:hAnsi="Palatino Linotype" w:cs="Palatino Linotype"/>
          <w:b/>
          <w:color w:val="000000"/>
        </w:rPr>
        <w:t>01263</w:t>
      </w:r>
      <w:r>
        <w:rPr>
          <w:rFonts w:ascii="Palatino Linotype" w:eastAsia="Palatino Linotype" w:hAnsi="Palatino Linotype" w:cs="Palatino Linotype"/>
          <w:b/>
          <w:color w:val="000000"/>
        </w:rPr>
        <w:t>/IN</w:t>
      </w:r>
      <w:r w:rsidR="008303CF">
        <w:rPr>
          <w:rFonts w:ascii="Palatino Linotype" w:eastAsia="Palatino Linotype" w:hAnsi="Palatino Linotype" w:cs="Palatino Linotype"/>
          <w:b/>
          <w:color w:val="000000"/>
        </w:rPr>
        <w:t>FOEM/IP/RR/2024</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REVOCA</w:t>
      </w:r>
      <w:r>
        <w:rPr>
          <w:rFonts w:ascii="Palatino Linotype" w:eastAsia="Palatino Linotype" w:hAnsi="Palatino Linotype" w:cs="Palatino Linotype"/>
          <w:color w:val="000000"/>
        </w:rPr>
        <w:t xml:space="preserve"> la respuesta a la solicitud de información número </w:t>
      </w:r>
      <w:r w:rsidR="008303CF" w:rsidRPr="008303CF">
        <w:rPr>
          <w:rFonts w:ascii="Palatino Linotype" w:eastAsia="Palatino Linotype" w:hAnsi="Palatino Linotype" w:cs="Palatino Linotype"/>
          <w:b/>
          <w:bCs/>
          <w:color w:val="000000"/>
        </w:rPr>
        <w:t>00026/TEXCOCO/IP/2024</w:t>
      </w:r>
      <w:r>
        <w:rPr>
          <w:rFonts w:ascii="Palatino Linotype" w:eastAsia="Palatino Linotype" w:hAnsi="Palatino Linotype" w:cs="Palatino Linotype"/>
          <w:color w:val="000000"/>
        </w:rPr>
        <w:t>.</w:t>
      </w:r>
    </w:p>
    <w:p w14:paraId="31D527DB" w14:textId="77777777" w:rsidR="008303CF" w:rsidRDefault="008303CF" w:rsidP="008303CF">
      <w:pPr>
        <w:spacing w:line="360" w:lineRule="auto"/>
        <w:ind w:right="49"/>
        <w:jc w:val="both"/>
        <w:rPr>
          <w:rFonts w:ascii="Palatino Linotype" w:eastAsia="Palatino Linotype" w:hAnsi="Palatino Linotype" w:cs="Palatino Linotype"/>
        </w:rPr>
      </w:pPr>
      <w:bookmarkStart w:id="9" w:name="_heading=h.2s8eyo1" w:colFirst="0" w:colLast="0"/>
      <w:bookmarkEnd w:id="9"/>
    </w:p>
    <w:p w14:paraId="5966C8C2" w14:textId="77777777" w:rsidR="008303CF" w:rsidRDefault="008303CF" w:rsidP="008303CF">
      <w:pPr>
        <w:pStyle w:val="Prrafodelista"/>
        <w:rPr>
          <w:rFonts w:ascii="Palatino Linotype" w:eastAsia="Palatino Linotype" w:hAnsi="Palatino Linotype" w:cs="Palatino Linotype"/>
        </w:rPr>
      </w:pPr>
    </w:p>
    <w:p w14:paraId="5730B043" w14:textId="77777777" w:rsidR="008303CF" w:rsidRPr="006376EE" w:rsidRDefault="008303CF" w:rsidP="008303CF">
      <w:pPr>
        <w:pStyle w:val="Prrafodelista"/>
        <w:tabs>
          <w:tab w:val="left" w:pos="426"/>
        </w:tabs>
        <w:spacing w:line="360" w:lineRule="auto"/>
        <w:ind w:left="0" w:right="51"/>
        <w:jc w:val="both"/>
        <w:outlineLvl w:val="1"/>
        <w:rPr>
          <w:rFonts w:ascii="Palatino Linotype" w:hAnsi="Palatino Linotype"/>
          <w:b/>
          <w:bCs/>
          <w:color w:val="000000" w:themeColor="text1"/>
        </w:rPr>
      </w:pPr>
      <w:bookmarkStart w:id="10" w:name="_Toc89350464"/>
      <w:bookmarkStart w:id="11" w:name="_Toc94119619"/>
      <w:r w:rsidRPr="006376EE">
        <w:rPr>
          <w:rFonts w:ascii="Palatino Linotype" w:hAnsi="Palatino Linotype"/>
          <w:b/>
          <w:bCs/>
          <w:color w:val="000000" w:themeColor="text1"/>
        </w:rPr>
        <w:t>QUINTO. De la versión pública.</w:t>
      </w:r>
      <w:bookmarkEnd w:id="10"/>
      <w:bookmarkEnd w:id="11"/>
    </w:p>
    <w:p w14:paraId="01E6E8DD" w14:textId="77777777" w:rsidR="008303CF" w:rsidRPr="006376EE" w:rsidRDefault="008303CF" w:rsidP="008303CF">
      <w:pPr>
        <w:pStyle w:val="Prrafodelista"/>
        <w:tabs>
          <w:tab w:val="left" w:pos="426"/>
        </w:tabs>
        <w:spacing w:line="360" w:lineRule="auto"/>
        <w:ind w:left="0" w:right="51"/>
        <w:jc w:val="both"/>
        <w:rPr>
          <w:rFonts w:ascii="Palatino Linotype" w:hAnsi="Palatino Linotype"/>
          <w:color w:val="000000" w:themeColor="text1"/>
        </w:rPr>
      </w:pPr>
    </w:p>
    <w:p w14:paraId="128016B1" w14:textId="77777777" w:rsidR="008303CF" w:rsidRPr="006376EE" w:rsidRDefault="008303CF" w:rsidP="008303CF">
      <w:pPr>
        <w:pStyle w:val="Prrafodelista"/>
        <w:numPr>
          <w:ilvl w:val="0"/>
          <w:numId w:val="3"/>
        </w:numPr>
        <w:tabs>
          <w:tab w:val="left" w:pos="0"/>
        </w:tabs>
        <w:spacing w:line="360" w:lineRule="auto"/>
        <w:ind w:left="0" w:right="51" w:firstLine="0"/>
        <w:jc w:val="both"/>
        <w:rPr>
          <w:rFonts w:ascii="Palatino Linotype" w:hAnsi="Palatino Linotype"/>
          <w:color w:val="000000" w:themeColor="text1"/>
        </w:rPr>
      </w:pPr>
      <w:r w:rsidRPr="006376EE">
        <w:rPr>
          <w:rFonts w:ascii="Palatino Linotype" w:hAnsi="Palatino Linotype"/>
          <w:color w:val="000000" w:themeColor="text1"/>
        </w:rPr>
        <w:t>Debe destacarse que, debido a la naturaleza de la información solicitada</w:t>
      </w:r>
      <w:r w:rsidRPr="006376EE">
        <w:rPr>
          <w:rFonts w:ascii="Palatino Linotype" w:hAnsi="Palatino Linotype"/>
          <w:b/>
          <w:color w:val="000000" w:themeColor="text1"/>
        </w:rPr>
        <w:t xml:space="preserve"> </w:t>
      </w:r>
      <w:r w:rsidRPr="006376EE">
        <w:rPr>
          <w:rFonts w:ascii="Palatino Linotype" w:hAnsi="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56F344D1" w14:textId="77777777" w:rsidR="008303CF" w:rsidRPr="006376EE" w:rsidRDefault="008303CF" w:rsidP="008303CF">
      <w:pPr>
        <w:pStyle w:val="Prrafodelista"/>
        <w:tabs>
          <w:tab w:val="left" w:pos="426"/>
        </w:tabs>
        <w:spacing w:line="360" w:lineRule="auto"/>
        <w:ind w:left="0" w:right="51"/>
        <w:jc w:val="both"/>
        <w:rPr>
          <w:rFonts w:ascii="Palatino Linotype" w:hAnsi="Palatino Linotype"/>
          <w:color w:val="000000" w:themeColor="text1"/>
        </w:rPr>
      </w:pPr>
    </w:p>
    <w:p w14:paraId="4DA3DF77" w14:textId="77777777" w:rsidR="008303CF" w:rsidRPr="006376EE" w:rsidRDefault="008303CF" w:rsidP="008303CF">
      <w:pPr>
        <w:pStyle w:val="Prrafodelista"/>
        <w:numPr>
          <w:ilvl w:val="0"/>
          <w:numId w:val="3"/>
        </w:numPr>
        <w:tabs>
          <w:tab w:val="left" w:pos="0"/>
        </w:tabs>
        <w:spacing w:line="360" w:lineRule="auto"/>
        <w:ind w:left="0" w:right="51" w:firstLine="0"/>
        <w:jc w:val="both"/>
        <w:rPr>
          <w:rFonts w:ascii="Palatino Linotype" w:hAnsi="Palatino Linotype"/>
          <w:color w:val="000000" w:themeColor="text1"/>
        </w:rPr>
      </w:pPr>
      <w:r w:rsidRPr="006376EE">
        <w:rPr>
          <w:rFonts w:ascii="Palatino Linotype" w:hAnsi="Palatino Linotype"/>
          <w:color w:val="000000" w:themeColor="text1"/>
        </w:rPr>
        <w:t xml:space="preserve">La </w:t>
      </w:r>
      <w:r w:rsidRPr="006376EE">
        <w:rPr>
          <w:rFonts w:ascii="Palatino Linotype" w:eastAsia="MS Mincho" w:hAnsi="Palatino Linotype"/>
        </w:rPr>
        <w:t>clasificación total o parcial de la información requerida, mediante solicitud de acceso a la información pública, constituye una restricción al derecho humano de acceso a la información</w:t>
      </w:r>
      <w:r w:rsidRPr="006376EE">
        <w:rPr>
          <w:rFonts w:ascii="Palatino Linotype" w:hAnsi="Palatino Linotype" w:cs="Arial"/>
          <w:color w:val="000000"/>
        </w:rPr>
        <w:t>, por lo que es menester reiterar los mismos:</w:t>
      </w:r>
    </w:p>
    <w:p w14:paraId="22C0B465" w14:textId="77777777" w:rsidR="008303CF" w:rsidRPr="006376EE" w:rsidRDefault="008303CF" w:rsidP="008303CF">
      <w:pPr>
        <w:pStyle w:val="Prrafodelista"/>
        <w:tabs>
          <w:tab w:val="left" w:pos="426"/>
        </w:tabs>
        <w:spacing w:line="360" w:lineRule="auto"/>
        <w:ind w:left="0" w:right="51"/>
        <w:jc w:val="both"/>
        <w:rPr>
          <w:rFonts w:ascii="Palatino Linotype" w:hAnsi="Palatino Linotype"/>
          <w:color w:val="000000" w:themeColor="text1"/>
        </w:rPr>
      </w:pPr>
    </w:p>
    <w:tbl>
      <w:tblPr>
        <w:tblStyle w:val="Tablaconcuadrcula6concolores"/>
        <w:tblW w:w="0" w:type="auto"/>
        <w:tblLook w:val="04A0" w:firstRow="1" w:lastRow="0" w:firstColumn="1" w:lastColumn="0" w:noHBand="0" w:noVBand="1"/>
      </w:tblPr>
      <w:tblGrid>
        <w:gridCol w:w="1838"/>
        <w:gridCol w:w="6990"/>
      </w:tblGrid>
      <w:tr w:rsidR="008303CF" w:rsidRPr="006376EE" w14:paraId="5276BAAE" w14:textId="77777777" w:rsidTr="000B6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D54A33" w14:textId="77777777" w:rsidR="008303CF" w:rsidRPr="006376EE" w:rsidRDefault="008303CF" w:rsidP="000B6B67">
            <w:pPr>
              <w:spacing w:line="360" w:lineRule="auto"/>
              <w:rPr>
                <w:rFonts w:ascii="Palatino Linotype" w:hAnsi="Palatino Linotype"/>
                <w:sz w:val="20"/>
                <w:szCs w:val="20"/>
              </w:rPr>
            </w:pPr>
            <w:r w:rsidRPr="006376EE">
              <w:rPr>
                <w:rFonts w:ascii="Palatino Linotype" w:hAnsi="Palatino Linotype" w:cstheme="majorBidi"/>
                <w:b w:val="0"/>
                <w:sz w:val="20"/>
                <w:szCs w:val="20"/>
              </w:rPr>
              <w:t>a) Requisitos previos.</w:t>
            </w:r>
          </w:p>
        </w:tc>
        <w:tc>
          <w:tcPr>
            <w:tcW w:w="6990" w:type="dxa"/>
          </w:tcPr>
          <w:p w14:paraId="728C799D" w14:textId="77777777" w:rsidR="008303CF" w:rsidRPr="006376EE" w:rsidRDefault="008303CF" w:rsidP="000B6B6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Los artículos 100 y 122 de la Ley Estatal y de la Ley General, respectivamente, señalan que si los </w:t>
            </w:r>
            <w:r w:rsidRPr="006376EE">
              <w:rPr>
                <w:rFonts w:ascii="Palatino Linotype" w:hAnsi="Palatino Linotype" w:cs="Arial"/>
                <w:b w:val="0"/>
                <w:color w:val="000000"/>
                <w:sz w:val="20"/>
                <w:szCs w:val="20"/>
              </w:rPr>
              <w:t>Sujetos Obligados</w:t>
            </w:r>
            <w:r w:rsidRPr="006376EE">
              <w:rPr>
                <w:rFonts w:ascii="Palatino Linotype" w:hAnsi="Palatino Linotype" w:cs="Arial"/>
                <w:color w:val="000000"/>
                <w:sz w:val="20"/>
                <w:szCs w:val="20"/>
              </w:rPr>
              <w:t xml:space="preserve"> determinan que la información actualiza alguno de los supuestos de clasificación, es deber de los titulares de las áreas proponer su clasificación y no del Comité de Transparencia. </w:t>
            </w:r>
          </w:p>
          <w:p w14:paraId="12227C3E" w14:textId="77777777" w:rsidR="008303CF" w:rsidRPr="006376EE" w:rsidRDefault="008303CF" w:rsidP="000B6B6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Al hacerlo tienen que precisar de qué información se trata, señalando el supuesto de clasificación (confidencialidad o reserva).</w:t>
            </w:r>
          </w:p>
          <w:p w14:paraId="500501E8" w14:textId="77777777" w:rsidR="008303CF" w:rsidRPr="006376EE" w:rsidRDefault="008303CF" w:rsidP="000B6B67">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Además, se debe señalar el procedimiento, de los tres que establecen los artículos 132 y 106 de la Ley Estatal y General, respectivamente.</w:t>
            </w:r>
          </w:p>
          <w:p w14:paraId="6B2701A3" w14:textId="77777777" w:rsidR="008303CF" w:rsidRPr="006376EE" w:rsidRDefault="008303CF" w:rsidP="000B6B67">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6376EE">
              <w:rPr>
                <w:rFonts w:ascii="Palatino Linotype" w:hAnsi="Palatino Linotype" w:cs="Arial"/>
                <w:b w:val="0"/>
                <w:color w:val="000000"/>
                <w:sz w:val="20"/>
                <w:szCs w:val="20"/>
                <w:u w:val="single"/>
              </w:rPr>
              <w:t xml:space="preserve">no se puede hacer un acuerdo para clasificar de manera general todos los documentos de un </w:t>
            </w:r>
            <w:r w:rsidRPr="006376EE">
              <w:rPr>
                <w:rFonts w:ascii="Palatino Linotype" w:hAnsi="Palatino Linotype" w:cs="Arial"/>
                <w:b w:val="0"/>
                <w:color w:val="000000"/>
                <w:sz w:val="20"/>
                <w:szCs w:val="20"/>
                <w:u w:val="single"/>
              </w:rPr>
              <w:lastRenderedPageBreak/>
              <w:t xml:space="preserve">expediente o área,  </w:t>
            </w:r>
            <w:r w:rsidRPr="006376EE">
              <w:rPr>
                <w:rFonts w:ascii="Palatino Linotype" w:hAnsi="Palatino Linotype" w:cs="Arial"/>
                <w:color w:val="000000"/>
                <w:sz w:val="20"/>
                <w:szCs w:val="20"/>
              </w:rPr>
              <w:t>sin individualizar su análisis y tampoco se puede hacer un acuerdo por cada dato que se vaya a clasificar dentro de un documento con diez datos, por ejemplo, susceptibles de ser clasificados.</w:t>
            </w:r>
          </w:p>
        </w:tc>
      </w:tr>
      <w:tr w:rsidR="008303CF" w:rsidRPr="006376EE" w14:paraId="5476C2F3" w14:textId="77777777" w:rsidTr="000B6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E497C7" w14:textId="77777777" w:rsidR="008303CF" w:rsidRPr="006376EE" w:rsidRDefault="008303CF" w:rsidP="000B6B67">
            <w:pPr>
              <w:spacing w:line="360" w:lineRule="auto"/>
              <w:rPr>
                <w:rFonts w:ascii="Palatino Linotype" w:hAnsi="Palatino Linotype"/>
                <w:sz w:val="20"/>
                <w:szCs w:val="20"/>
              </w:rPr>
            </w:pPr>
            <w:r w:rsidRPr="006376EE">
              <w:rPr>
                <w:rFonts w:ascii="Palatino Linotype" w:hAnsi="Palatino Linotype" w:cstheme="majorBidi"/>
                <w:b w:val="0"/>
                <w:sz w:val="20"/>
                <w:szCs w:val="20"/>
              </w:rPr>
              <w:lastRenderedPageBreak/>
              <w:t>b) Supuestos de clasificación.</w:t>
            </w:r>
          </w:p>
        </w:tc>
        <w:tc>
          <w:tcPr>
            <w:tcW w:w="6990" w:type="dxa"/>
          </w:tcPr>
          <w:p w14:paraId="6F9F7CB7"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14:paraId="54806700"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CFC41D7" w14:textId="77777777" w:rsidR="008303CF" w:rsidRPr="006376EE" w:rsidRDefault="008303CF" w:rsidP="000B6B67">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 xml:space="preserve">El </w:t>
            </w:r>
            <w:r w:rsidRPr="006376EE">
              <w:rPr>
                <w:rFonts w:ascii="Palatino Linotype" w:hAnsi="Palatino Linotype" w:cs="Arial"/>
                <w:b/>
                <w:color w:val="000000"/>
                <w:sz w:val="20"/>
                <w:szCs w:val="20"/>
              </w:rPr>
              <w:t>SUJETO OBLIGADO</w:t>
            </w:r>
            <w:r w:rsidRPr="006376EE">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303CF" w:rsidRPr="006376EE" w14:paraId="14D96B11" w14:textId="77777777" w:rsidTr="000B6B67">
        <w:tc>
          <w:tcPr>
            <w:cnfStyle w:val="001000000000" w:firstRow="0" w:lastRow="0" w:firstColumn="1" w:lastColumn="0" w:oddVBand="0" w:evenVBand="0" w:oddHBand="0" w:evenHBand="0" w:firstRowFirstColumn="0" w:firstRowLastColumn="0" w:lastRowFirstColumn="0" w:lastRowLastColumn="0"/>
            <w:tcW w:w="1838" w:type="dxa"/>
          </w:tcPr>
          <w:p w14:paraId="6B21C90E" w14:textId="77777777" w:rsidR="008303CF" w:rsidRPr="006376EE" w:rsidRDefault="008303CF" w:rsidP="000B6B67">
            <w:pPr>
              <w:spacing w:line="360" w:lineRule="auto"/>
              <w:rPr>
                <w:rFonts w:ascii="Palatino Linotype" w:hAnsi="Palatino Linotype"/>
                <w:sz w:val="20"/>
                <w:szCs w:val="20"/>
              </w:rPr>
            </w:pPr>
            <w:r w:rsidRPr="006376EE">
              <w:rPr>
                <w:rFonts w:ascii="Palatino Linotype" w:hAnsi="Palatino Linotype" w:cstheme="majorBidi"/>
                <w:b w:val="0"/>
                <w:sz w:val="20"/>
                <w:szCs w:val="20"/>
              </w:rPr>
              <w:t>c) Formalidades para emitir el acuerdo de clasificación.</w:t>
            </w:r>
          </w:p>
        </w:tc>
        <w:tc>
          <w:tcPr>
            <w:tcW w:w="6990" w:type="dxa"/>
          </w:tcPr>
          <w:p w14:paraId="0A2B03B1" w14:textId="77777777" w:rsidR="008303CF" w:rsidRPr="006376EE" w:rsidRDefault="008303CF" w:rsidP="000B6B6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14:paraId="2F395C77" w14:textId="77777777" w:rsidR="008303CF" w:rsidRPr="006376EE" w:rsidRDefault="008303CF" w:rsidP="000B6B6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Es necesario que </w:t>
            </w:r>
            <w:r w:rsidRPr="006376EE">
              <w:rPr>
                <w:rFonts w:ascii="Palatino Linotype" w:hAnsi="Palatino Linotype" w:cs="Arial"/>
                <w:b/>
                <w:color w:val="000000"/>
                <w:sz w:val="20"/>
                <w:szCs w:val="20"/>
                <w:u w:val="single"/>
              </w:rPr>
              <w:t>el acto reúna con los requisitos elementales</w:t>
            </w:r>
            <w:r w:rsidRPr="006376EE">
              <w:rPr>
                <w:rFonts w:ascii="Palatino Linotype" w:hAnsi="Palatino Linotype" w:cs="Arial"/>
                <w:color w:val="000000"/>
                <w:sz w:val="20"/>
                <w:szCs w:val="20"/>
              </w:rPr>
              <w:t>, entre ellos, que la autoridad que va a emitir el acto de autoridad sea la legalmente facultada para ello.</w:t>
            </w:r>
          </w:p>
          <w:p w14:paraId="469D1FCA" w14:textId="77777777" w:rsidR="008303CF" w:rsidRPr="006376EE" w:rsidRDefault="008303CF" w:rsidP="000B6B67">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w:t>
            </w:r>
            <w:r w:rsidRPr="006376EE">
              <w:rPr>
                <w:rFonts w:ascii="Palatino Linotype" w:hAnsi="Palatino Linotype" w:cs="Arial"/>
                <w:color w:val="000000"/>
                <w:sz w:val="20"/>
                <w:szCs w:val="20"/>
              </w:rPr>
              <w:lastRenderedPageBreak/>
              <w:t>agenda de los asuntos a tratar en las sesiones, se insiste, a partir de las decisiones adoptadas previamente por los titulares de áreas y que son sujetas a control, en primera instancia, por el Comité de Transparencia.</w:t>
            </w:r>
          </w:p>
        </w:tc>
      </w:tr>
      <w:tr w:rsidR="008303CF" w:rsidRPr="006376EE" w14:paraId="0C4BA8B2" w14:textId="77777777" w:rsidTr="000B6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ED271E" w14:textId="77777777" w:rsidR="008303CF" w:rsidRPr="006376EE" w:rsidRDefault="008303CF" w:rsidP="000B6B67">
            <w:pPr>
              <w:spacing w:line="360" w:lineRule="auto"/>
              <w:rPr>
                <w:rFonts w:ascii="Palatino Linotype" w:hAnsi="Palatino Linotype"/>
                <w:b w:val="0"/>
                <w:sz w:val="20"/>
                <w:szCs w:val="20"/>
              </w:rPr>
            </w:pPr>
          </w:p>
          <w:p w14:paraId="6C028FB9" w14:textId="77777777" w:rsidR="008303CF" w:rsidRPr="006376EE" w:rsidRDefault="008303CF" w:rsidP="000B6B67">
            <w:pPr>
              <w:spacing w:line="360" w:lineRule="auto"/>
              <w:jc w:val="both"/>
              <w:rPr>
                <w:rFonts w:ascii="Palatino Linotype" w:hAnsi="Palatino Linotype"/>
                <w:b w:val="0"/>
                <w:sz w:val="20"/>
                <w:szCs w:val="20"/>
              </w:rPr>
            </w:pPr>
            <w:r w:rsidRPr="006376EE">
              <w:rPr>
                <w:rFonts w:ascii="Palatino Linotype" w:hAnsi="Palatino Linotype" w:cs="Arial"/>
                <w:b w:val="0"/>
                <w:color w:val="000000"/>
                <w:sz w:val="20"/>
                <w:szCs w:val="20"/>
              </w:rPr>
              <w:t xml:space="preserve">d) Requisitos de fondo del acuerdo de clasificación. </w:t>
            </w:r>
          </w:p>
        </w:tc>
        <w:tc>
          <w:tcPr>
            <w:tcW w:w="6990" w:type="dxa"/>
          </w:tcPr>
          <w:p w14:paraId="3950A6B7"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376EE">
              <w:rPr>
                <w:rFonts w:ascii="Palatino Linotype" w:hAnsi="Palatino Linotype" w:cs="Arial"/>
                <w:b/>
                <w:color w:val="000000"/>
                <w:sz w:val="20"/>
                <w:szCs w:val="20"/>
              </w:rPr>
              <w:t>Sujetos Obligados</w:t>
            </w:r>
            <w:r w:rsidRPr="006376EE">
              <w:rPr>
                <w:rFonts w:ascii="Palatino Linotype" w:hAnsi="Palatino Linotype" w:cs="Arial"/>
                <w:color w:val="000000"/>
                <w:sz w:val="20"/>
                <w:szCs w:val="20"/>
              </w:rPr>
              <w:t xml:space="preserve">, por lo que deberán fundar y motivar debidamente la clasificación. </w:t>
            </w:r>
          </w:p>
          <w:p w14:paraId="661893B8"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De lo anterior, se desprende que para una correcta </w:t>
            </w:r>
            <w:r w:rsidRPr="006376EE">
              <w:rPr>
                <w:rFonts w:ascii="Palatino Linotype" w:hAnsi="Palatino Linotype" w:cs="Arial"/>
                <w:b/>
                <w:color w:val="000000"/>
                <w:sz w:val="20"/>
                <w:szCs w:val="20"/>
              </w:rPr>
              <w:t>clasificación total o parcial</w:t>
            </w:r>
            <w:r w:rsidRPr="006376EE">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7E7E07F"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59C3C21"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14:paraId="05BBAF95" w14:textId="77777777" w:rsidR="008303CF" w:rsidRPr="006376EE" w:rsidRDefault="008303CF" w:rsidP="000B6B67">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Ahora bien, </w:t>
            </w:r>
            <w:r w:rsidRPr="006376EE">
              <w:rPr>
                <w:rFonts w:ascii="Palatino Linotype" w:hAnsi="Palatino Linotype" w:cs="Arial"/>
                <w:b/>
                <w:color w:val="000000"/>
                <w:sz w:val="20"/>
                <w:szCs w:val="20"/>
                <w:u w:val="single"/>
              </w:rPr>
              <w:t>para cada caso además de fundar y motivar</w:t>
            </w:r>
            <w:r w:rsidRPr="006376EE">
              <w:rPr>
                <w:rFonts w:ascii="Palatino Linotype" w:hAnsi="Palatino Linotype" w:cs="Arial"/>
                <w:color w:val="000000"/>
                <w:sz w:val="20"/>
                <w:szCs w:val="20"/>
              </w:rPr>
              <w:t xml:space="preserve">, se debe identificar con claridad que datos contenidos en las documentales que son susceptibles de suprimirse, por ejemplo; </w:t>
            </w:r>
            <w:r w:rsidRPr="006376EE">
              <w:rPr>
                <w:rFonts w:ascii="Palatino Linotype" w:hAnsi="Palatino Linotype" w:cs="Arial"/>
                <w:color w:val="000000"/>
                <w:sz w:val="20"/>
                <w:szCs w:val="20"/>
                <w:lang w:val="es-ES"/>
              </w:rPr>
              <w:t xml:space="preserve">Clave Única de Registro de Población (CURP), </w:t>
            </w:r>
            <w:r w:rsidRPr="006376EE">
              <w:rPr>
                <w:rFonts w:ascii="Palatino Linotype" w:hAnsi="Palatino Linotype" w:cs="Arial"/>
                <w:color w:val="000000"/>
                <w:sz w:val="20"/>
                <w:szCs w:val="20"/>
                <w:lang w:val="es-ES"/>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8303CF" w:rsidRPr="006376EE" w14:paraId="06972E6D" w14:textId="77777777" w:rsidTr="000B6B67">
        <w:tc>
          <w:tcPr>
            <w:cnfStyle w:val="001000000000" w:firstRow="0" w:lastRow="0" w:firstColumn="1" w:lastColumn="0" w:oddVBand="0" w:evenVBand="0" w:oddHBand="0" w:evenHBand="0" w:firstRowFirstColumn="0" w:firstRowLastColumn="0" w:lastRowFirstColumn="0" w:lastRowLastColumn="0"/>
            <w:tcW w:w="1838" w:type="dxa"/>
          </w:tcPr>
          <w:p w14:paraId="4D9365AB" w14:textId="77777777" w:rsidR="008303CF" w:rsidRPr="006376EE" w:rsidRDefault="008303CF" w:rsidP="000B6B67">
            <w:pPr>
              <w:spacing w:line="360" w:lineRule="auto"/>
              <w:ind w:right="49"/>
              <w:jc w:val="both"/>
              <w:rPr>
                <w:rFonts w:ascii="Palatino Linotype" w:hAnsi="Palatino Linotype" w:cs="Arial"/>
                <w:color w:val="000000"/>
                <w:sz w:val="20"/>
                <w:szCs w:val="20"/>
              </w:rPr>
            </w:pPr>
            <w:r w:rsidRPr="006376EE">
              <w:rPr>
                <w:rFonts w:ascii="Palatino Linotype" w:eastAsia="MS Gothic" w:hAnsi="Palatino Linotype"/>
                <w:b w:val="0"/>
                <w:sz w:val="20"/>
                <w:szCs w:val="20"/>
              </w:rPr>
              <w:lastRenderedPageBreak/>
              <w:t xml:space="preserve">e) Condiciones especiales de la clasificación de la información como confidencial. </w:t>
            </w:r>
          </w:p>
          <w:p w14:paraId="2AB02305" w14:textId="77777777" w:rsidR="008303CF" w:rsidRPr="006376EE" w:rsidRDefault="008303CF" w:rsidP="000B6B67">
            <w:pPr>
              <w:spacing w:line="360" w:lineRule="auto"/>
              <w:rPr>
                <w:rFonts w:ascii="Palatino Linotype" w:hAnsi="Palatino Linotype"/>
                <w:sz w:val="20"/>
                <w:szCs w:val="20"/>
              </w:rPr>
            </w:pPr>
          </w:p>
        </w:tc>
        <w:tc>
          <w:tcPr>
            <w:tcW w:w="6990" w:type="dxa"/>
          </w:tcPr>
          <w:p w14:paraId="423C3EBF" w14:textId="77777777" w:rsidR="008303CF" w:rsidRPr="006376EE" w:rsidRDefault="008303CF" w:rsidP="000B6B6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1C400D9D" w14:textId="77777777" w:rsidR="008303CF" w:rsidRPr="006376EE" w:rsidRDefault="008303CF" w:rsidP="000B6B67">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6376EE">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0570CE9" w14:textId="77777777" w:rsidR="008303CF" w:rsidRPr="006376EE" w:rsidRDefault="008303CF" w:rsidP="000B6B67">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6376EE">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0DCAEA9" w14:textId="77777777" w:rsidR="008303CF" w:rsidRDefault="008303CF" w:rsidP="008303CF">
      <w:pPr>
        <w:spacing w:line="360" w:lineRule="auto"/>
        <w:ind w:right="49"/>
        <w:jc w:val="both"/>
        <w:rPr>
          <w:rFonts w:ascii="Palatino Linotype" w:eastAsia="Palatino Linotype" w:hAnsi="Palatino Linotype" w:cs="Palatino Linotype"/>
        </w:rPr>
      </w:pPr>
    </w:p>
    <w:p w14:paraId="5D2589E5" w14:textId="77777777" w:rsidR="006655FF" w:rsidRDefault="006655FF" w:rsidP="006655FF">
      <w:pPr>
        <w:numPr>
          <w:ilvl w:val="0"/>
          <w:numId w:val="3"/>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042803D1" w14:textId="77777777" w:rsidR="006655FF" w:rsidRDefault="006655FF" w:rsidP="006655FF">
      <w:pPr>
        <w:spacing w:line="360" w:lineRule="auto"/>
        <w:jc w:val="both"/>
        <w:rPr>
          <w:rFonts w:ascii="Palatino Linotype" w:eastAsia="Palatino Linotype" w:hAnsi="Palatino Linotype" w:cs="Palatino Linotype"/>
        </w:rPr>
      </w:pPr>
    </w:p>
    <w:p w14:paraId="0E271270" w14:textId="77777777" w:rsidR="006655FF" w:rsidRDefault="006655FF" w:rsidP="006655FF">
      <w:pPr>
        <w:keepNext/>
        <w:keepLines/>
        <w:spacing w:line="360" w:lineRule="auto"/>
        <w:jc w:val="center"/>
        <w:rPr>
          <w:rFonts w:ascii="Palatino Linotype" w:eastAsia="Palatino Linotype" w:hAnsi="Palatino Linotype" w:cs="Palatino Linotype"/>
          <w:b/>
          <w:color w:val="000000"/>
        </w:rPr>
      </w:pPr>
      <w:bookmarkStart w:id="12" w:name="_heading=h.17dp8vu" w:colFirst="0" w:colLast="0"/>
      <w:bookmarkEnd w:id="12"/>
      <w:r>
        <w:rPr>
          <w:rFonts w:ascii="Palatino Linotype" w:eastAsia="Palatino Linotype" w:hAnsi="Palatino Linotype" w:cs="Palatino Linotype"/>
          <w:b/>
          <w:color w:val="000000"/>
        </w:rPr>
        <w:t>R E S O L U T I V O S</w:t>
      </w:r>
    </w:p>
    <w:p w14:paraId="0BFB1E4B" w14:textId="77777777" w:rsidR="006655FF" w:rsidRDefault="006655FF" w:rsidP="006655FF">
      <w:pPr>
        <w:keepNext/>
        <w:keepLines/>
        <w:spacing w:line="360" w:lineRule="auto"/>
        <w:jc w:val="center"/>
        <w:rPr>
          <w:rFonts w:ascii="Palatino Linotype" w:eastAsia="Palatino Linotype" w:hAnsi="Palatino Linotype" w:cs="Palatino Linotype"/>
          <w:b/>
          <w:color w:val="000000"/>
        </w:rPr>
      </w:pPr>
    </w:p>
    <w:p w14:paraId="3BC5E14A" w14:textId="77777777" w:rsidR="006655FF" w:rsidRDefault="006655FF" w:rsidP="006655F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sidR="008303CF">
        <w:rPr>
          <w:rFonts w:ascii="Palatino Linotype" w:eastAsia="Palatino Linotype" w:hAnsi="Palatino Linotype" w:cs="Palatino Linotype"/>
          <w:b/>
        </w:rPr>
        <w:t>01263/INFOEM/IP/RR/2024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w:t>
      </w:r>
      <w:r>
        <w:rPr>
          <w:rFonts w:ascii="Palatino Linotype" w:eastAsia="Palatino Linotype" w:hAnsi="Palatino Linotype" w:cs="Palatino Linotype"/>
        </w:rPr>
        <w:t xml:space="preserve">de la presente resolución. </w:t>
      </w:r>
    </w:p>
    <w:p w14:paraId="316096A5" w14:textId="77777777" w:rsidR="006655FF" w:rsidRDefault="006655FF" w:rsidP="006655FF">
      <w:pPr>
        <w:spacing w:line="360" w:lineRule="auto"/>
        <w:jc w:val="both"/>
        <w:rPr>
          <w:rFonts w:ascii="Palatino Linotype" w:eastAsia="Palatino Linotype" w:hAnsi="Palatino Linotype" w:cs="Palatino Linotype"/>
        </w:rPr>
      </w:pPr>
    </w:p>
    <w:p w14:paraId="61800BB6" w14:textId="77777777" w:rsidR="006655FF" w:rsidRDefault="006655FF" w:rsidP="006655FF">
      <w:pPr>
        <w:spacing w:line="360" w:lineRule="auto"/>
        <w:ind w:right="49"/>
        <w:jc w:val="both"/>
        <w:rPr>
          <w:rFonts w:ascii="Palatino Linotype" w:eastAsia="Palatino Linotype" w:hAnsi="Palatino Linotype" w:cs="Palatino Linotype"/>
        </w:rPr>
      </w:pPr>
      <w:bookmarkStart w:id="13" w:name="_heading=h.3rdcrjn" w:colFirst="0" w:colLast="0"/>
      <w:bookmarkEnd w:id="13"/>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respuesta emitida por el </w:t>
      </w:r>
      <w:r w:rsidR="008303CF">
        <w:rPr>
          <w:rFonts w:ascii="Palatino Linotype" w:eastAsia="Palatino Linotype" w:hAnsi="Palatino Linotype" w:cs="Palatino Linotype"/>
          <w:b/>
          <w:color w:val="000000"/>
        </w:rPr>
        <w:t>Ayuntamiento de Texcoco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sidR="008303CF">
        <w:rPr>
          <w:rFonts w:ascii="Palatino Linotype" w:eastAsia="Palatino Linotype" w:hAnsi="Palatino Linotype" w:cs="Palatino Linotype"/>
          <w:b/>
          <w:color w:val="000000"/>
        </w:rPr>
        <w:t xml:space="preserve">(SAIMEX), </w:t>
      </w:r>
      <w:r w:rsidR="008303CF" w:rsidRPr="008303CF">
        <w:rPr>
          <w:rFonts w:ascii="Palatino Linotype" w:eastAsia="Palatino Linotype" w:hAnsi="Palatino Linotype" w:cs="Palatino Linotype"/>
          <w:color w:val="000000"/>
        </w:rPr>
        <w:t>de ser procedente en versión pública</w:t>
      </w:r>
      <w:r w:rsidR="008303CF">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la siguiente información:</w:t>
      </w:r>
    </w:p>
    <w:p w14:paraId="084E21CF" w14:textId="77777777" w:rsidR="006655FF" w:rsidRDefault="006655FF" w:rsidP="006655FF">
      <w:pPr>
        <w:tabs>
          <w:tab w:val="left" w:pos="8080"/>
        </w:tabs>
        <w:spacing w:line="360" w:lineRule="auto"/>
        <w:ind w:right="48"/>
        <w:jc w:val="both"/>
        <w:rPr>
          <w:rFonts w:ascii="Palatino Linotype" w:eastAsia="Palatino Linotype" w:hAnsi="Palatino Linotype" w:cs="Palatino Linotype"/>
        </w:rPr>
      </w:pPr>
    </w:p>
    <w:p w14:paraId="3873A9C3" w14:textId="77777777" w:rsidR="006655FF" w:rsidRDefault="008303CF" w:rsidP="006655FF">
      <w:pPr>
        <w:numPr>
          <w:ilvl w:val="0"/>
          <w:numId w:val="1"/>
        </w:numPr>
        <w:pBdr>
          <w:top w:val="nil"/>
          <w:left w:val="nil"/>
          <w:bottom w:val="nil"/>
          <w:right w:val="nil"/>
          <w:between w:val="nil"/>
        </w:pBdr>
        <w:tabs>
          <w:tab w:val="left" w:pos="993"/>
        </w:tabs>
        <w:spacing w:line="360" w:lineRule="auto"/>
        <w:ind w:right="616" w:hanging="1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Soporte </w:t>
      </w:r>
      <w:r w:rsidRPr="00230C40">
        <w:rPr>
          <w:rFonts w:ascii="Palatino Linotype" w:eastAsia="Palatino Linotype" w:hAnsi="Palatino Linotype" w:cs="Palatino Linotype"/>
          <w:b/>
          <w:color w:val="000000"/>
          <w:sz w:val="22"/>
          <w:szCs w:val="22"/>
        </w:rPr>
        <w:t>documental en donde conste el gasto detallado en obra públ</w:t>
      </w:r>
      <w:r w:rsidR="00941BB1" w:rsidRPr="00230C40">
        <w:rPr>
          <w:rFonts w:ascii="Palatino Linotype" w:eastAsia="Palatino Linotype" w:hAnsi="Palatino Linotype" w:cs="Palatino Linotype"/>
          <w:b/>
          <w:color w:val="000000"/>
          <w:sz w:val="22"/>
          <w:szCs w:val="22"/>
        </w:rPr>
        <w:t>ica, festivales y agua potable, del periodo comprendido del primero de enero al treinta y uno de diciembre de dos mil veintitrés.</w:t>
      </w:r>
      <w:r w:rsidR="00941BB1">
        <w:rPr>
          <w:rFonts w:ascii="Palatino Linotype" w:eastAsia="Palatino Linotype" w:hAnsi="Palatino Linotype" w:cs="Palatino Linotype"/>
          <w:b/>
          <w:color w:val="000000"/>
          <w:sz w:val="22"/>
          <w:szCs w:val="22"/>
        </w:rPr>
        <w:t xml:space="preserve"> </w:t>
      </w:r>
    </w:p>
    <w:p w14:paraId="48447415" w14:textId="77777777" w:rsidR="006655FF" w:rsidRDefault="006655FF" w:rsidP="006655FF">
      <w:pPr>
        <w:spacing w:line="360" w:lineRule="auto"/>
        <w:ind w:right="539"/>
        <w:jc w:val="both"/>
        <w:rPr>
          <w:rFonts w:ascii="Palatino Linotype" w:eastAsia="Palatino Linotype" w:hAnsi="Palatino Linotype" w:cs="Palatino Linotype"/>
          <w:b/>
        </w:rPr>
      </w:pPr>
    </w:p>
    <w:p w14:paraId="05262618" w14:textId="77777777" w:rsidR="008303CF" w:rsidRPr="006376EE" w:rsidRDefault="008303CF" w:rsidP="008303CF">
      <w:pPr>
        <w:tabs>
          <w:tab w:val="left" w:pos="8080"/>
        </w:tabs>
        <w:spacing w:line="360" w:lineRule="auto"/>
        <w:ind w:right="48"/>
        <w:contextualSpacing/>
        <w:jc w:val="both"/>
        <w:rPr>
          <w:rFonts w:ascii="Palatino Linotype" w:hAnsi="Palatino Linotype"/>
          <w:b/>
        </w:rPr>
      </w:pPr>
      <w:r w:rsidRPr="006376EE">
        <w:rPr>
          <w:rFonts w:ascii="Palatino Linotype" w:hAnsi="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6376EE">
        <w:rPr>
          <w:rFonts w:ascii="Palatino Linotype" w:hAnsi="Palatino Linotype"/>
          <w:b/>
        </w:rPr>
        <w:t>EL RECURRENTE.</w:t>
      </w:r>
    </w:p>
    <w:p w14:paraId="23901FBE" w14:textId="77777777" w:rsidR="008303CF" w:rsidRDefault="008303CF" w:rsidP="006655FF">
      <w:pPr>
        <w:spacing w:line="360" w:lineRule="auto"/>
        <w:ind w:right="539"/>
        <w:jc w:val="both"/>
        <w:rPr>
          <w:rFonts w:ascii="Palatino Linotype" w:eastAsia="Palatino Linotype" w:hAnsi="Palatino Linotype" w:cs="Palatino Linotype"/>
          <w:b/>
        </w:rPr>
      </w:pPr>
    </w:p>
    <w:p w14:paraId="6B1E7843" w14:textId="77777777" w:rsidR="006655FF" w:rsidRDefault="006655FF" w:rsidP="006655FF">
      <w:pPr>
        <w:tabs>
          <w:tab w:val="left" w:pos="8080"/>
        </w:tabs>
        <w:spacing w:line="360" w:lineRule="auto"/>
        <w:ind w:right="48"/>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Pr>
          <w:rFonts w:ascii="Palatino Linotype" w:eastAsia="Palatino Linotype" w:hAnsi="Palatino Linotype" w:cs="Palatino Linotype"/>
          <w:b/>
        </w:rPr>
        <w:t>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Pr>
          <w:rFonts w:ascii="Palatino Linotype" w:eastAsia="Palatino Linotype" w:hAnsi="Palatino Linotype" w:cs="Palatino Linotype"/>
        </w:rPr>
        <w:lastRenderedPageBreak/>
        <w:t>artículos 198, 200, fracción III; 214, 215 y 216 de la Ley de Transparencia y Acceso a la Información Pública del Estado de México y Municipios.</w:t>
      </w:r>
    </w:p>
    <w:p w14:paraId="0AF8A40B" w14:textId="77777777" w:rsidR="006655FF" w:rsidRDefault="006655FF" w:rsidP="006655FF">
      <w:pPr>
        <w:tabs>
          <w:tab w:val="left" w:pos="8080"/>
        </w:tabs>
        <w:spacing w:line="360" w:lineRule="auto"/>
        <w:ind w:right="48"/>
        <w:jc w:val="both"/>
        <w:rPr>
          <w:rFonts w:ascii="Palatino Linotype" w:eastAsia="Palatino Linotype" w:hAnsi="Palatino Linotype" w:cs="Palatino Linotype"/>
          <w:color w:val="222222"/>
          <w:highlight w:val="white"/>
        </w:rPr>
      </w:pPr>
    </w:p>
    <w:p w14:paraId="7FB9FDA7" w14:textId="77777777" w:rsidR="006655FF" w:rsidRDefault="006655FF" w:rsidP="006655FF">
      <w:pPr>
        <w:shd w:val="clear" w:color="auto" w:fill="FFFFFF"/>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14:paraId="1D44F0B2" w14:textId="77777777" w:rsidR="006655FF" w:rsidRDefault="006655FF" w:rsidP="006655FF">
      <w:pPr>
        <w:shd w:val="clear" w:color="auto" w:fill="FFFFFF"/>
        <w:spacing w:line="360" w:lineRule="auto"/>
        <w:ind w:right="48"/>
        <w:jc w:val="both"/>
        <w:rPr>
          <w:rFonts w:ascii="Palatino Linotype" w:eastAsia="Palatino Linotype" w:hAnsi="Palatino Linotype" w:cs="Palatino Linotype"/>
          <w:b/>
          <w:color w:val="FF0000"/>
        </w:rPr>
      </w:pPr>
    </w:p>
    <w:p w14:paraId="78D2AE68" w14:textId="77777777" w:rsidR="006655FF" w:rsidRDefault="006655FF" w:rsidP="006655FF">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579D281" w14:textId="77777777" w:rsidR="006655FF" w:rsidRDefault="006655FF" w:rsidP="006655FF">
      <w:pPr>
        <w:spacing w:line="360" w:lineRule="auto"/>
        <w:ind w:right="48"/>
        <w:jc w:val="both"/>
        <w:rPr>
          <w:rFonts w:ascii="Palatino Linotype" w:eastAsia="Palatino Linotype" w:hAnsi="Palatino Linotype" w:cs="Palatino Linotype"/>
          <w:color w:val="000000"/>
          <w:highlight w:val="white"/>
        </w:rPr>
      </w:pPr>
    </w:p>
    <w:p w14:paraId="6D8D691D" w14:textId="77777777" w:rsidR="006655FF" w:rsidRDefault="006655FF" w:rsidP="006655FF">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067DF6" w14:textId="77777777" w:rsidR="006655FF" w:rsidRDefault="006655FF" w:rsidP="006655FF">
      <w:pPr>
        <w:spacing w:line="360" w:lineRule="auto"/>
        <w:ind w:right="48"/>
        <w:jc w:val="both"/>
        <w:rPr>
          <w:rFonts w:ascii="Palatino Linotype" w:eastAsia="Palatino Linotype" w:hAnsi="Palatino Linotype" w:cs="Palatino Linotype"/>
        </w:rPr>
      </w:pPr>
    </w:p>
    <w:p w14:paraId="451B2D18" w14:textId="77777777" w:rsidR="00230C40" w:rsidRDefault="00604859" w:rsidP="00604859">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w:t>
      </w:r>
      <w:r w:rsidRPr="003C7186">
        <w:rPr>
          <w:rFonts w:ascii="Palatino Linotype" w:hAnsi="Palatino Linotype"/>
        </w:rPr>
        <w:lastRenderedPageBreak/>
        <w:t xml:space="preserve">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3E9DCCAF" w14:textId="77777777" w:rsidR="00604859" w:rsidRPr="003C7186" w:rsidRDefault="00230C40" w:rsidP="00604859">
      <w:pPr>
        <w:spacing w:line="360" w:lineRule="auto"/>
        <w:ind w:firstLine="1"/>
        <w:jc w:val="both"/>
        <w:rPr>
          <w:rFonts w:ascii="Palatino Linotype" w:hAnsi="Palatino Linotype"/>
        </w:rPr>
      </w:pPr>
      <w:r>
        <w:rPr>
          <w:rFonts w:ascii="Palatino Linotype" w:hAnsi="Palatino Linotype"/>
        </w:rPr>
        <w:br w:type="column"/>
      </w:r>
    </w:p>
    <w:p w14:paraId="46C21CAE" w14:textId="77777777" w:rsidR="006655FF" w:rsidRDefault="006655FF" w:rsidP="006655FF">
      <w:pPr>
        <w:spacing w:line="360" w:lineRule="auto"/>
        <w:rPr>
          <w:rFonts w:ascii="Palatino Linotype" w:eastAsia="Palatino Linotype" w:hAnsi="Palatino Linotype" w:cs="Palatino Linotype"/>
        </w:rPr>
      </w:pPr>
    </w:p>
    <w:p w14:paraId="1FD32783" w14:textId="77777777" w:rsidR="006655FF" w:rsidRDefault="006655FF" w:rsidP="006655FF">
      <w:pPr>
        <w:spacing w:line="360" w:lineRule="auto"/>
        <w:rPr>
          <w:rFonts w:ascii="Palatino Linotype" w:eastAsia="Palatino Linotype" w:hAnsi="Palatino Linotype" w:cs="Palatino Linotype"/>
        </w:rPr>
      </w:pPr>
    </w:p>
    <w:p w14:paraId="029FA070" w14:textId="77777777" w:rsidR="006655FF" w:rsidRDefault="006655FF" w:rsidP="006655FF">
      <w:pPr>
        <w:spacing w:line="360" w:lineRule="auto"/>
        <w:rPr>
          <w:rFonts w:ascii="Palatino Linotype" w:eastAsia="Palatino Linotype" w:hAnsi="Palatino Linotype" w:cs="Palatino Linotype"/>
        </w:rPr>
      </w:pPr>
    </w:p>
    <w:p w14:paraId="40DAA5FB" w14:textId="77777777" w:rsidR="006655FF" w:rsidRDefault="006655FF" w:rsidP="006655FF">
      <w:pPr>
        <w:spacing w:line="360" w:lineRule="auto"/>
        <w:rPr>
          <w:rFonts w:ascii="Palatino Linotype" w:eastAsia="Palatino Linotype" w:hAnsi="Palatino Linotype" w:cs="Palatino Linotype"/>
        </w:rPr>
      </w:pPr>
    </w:p>
    <w:p w14:paraId="1F1E57FE" w14:textId="77777777" w:rsidR="006655FF" w:rsidRDefault="006655FF" w:rsidP="006655FF">
      <w:pPr>
        <w:spacing w:line="360" w:lineRule="auto"/>
        <w:rPr>
          <w:rFonts w:ascii="Palatino Linotype" w:eastAsia="Palatino Linotype" w:hAnsi="Palatino Linotype" w:cs="Palatino Linotype"/>
        </w:rPr>
      </w:pPr>
    </w:p>
    <w:p w14:paraId="6A227287" w14:textId="77777777" w:rsidR="00EC6F3F" w:rsidRDefault="00EC6F3F"/>
    <w:sectPr w:rsidR="00EC6F3F">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D8F1" w14:textId="77777777" w:rsidR="00D32276" w:rsidRDefault="00D32276" w:rsidP="006655FF">
      <w:r>
        <w:separator/>
      </w:r>
    </w:p>
  </w:endnote>
  <w:endnote w:type="continuationSeparator" w:id="0">
    <w:p w14:paraId="6134CD15" w14:textId="77777777" w:rsidR="00D32276" w:rsidRDefault="00D32276" w:rsidP="0066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8E83" w14:textId="77777777" w:rsidR="006B71DE" w:rsidRDefault="006B71D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30C40">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30C40">
      <w:rPr>
        <w:b/>
        <w:noProof/>
        <w:color w:val="000000"/>
      </w:rPr>
      <w:t>30</w:t>
    </w:r>
    <w:r>
      <w:rPr>
        <w:b/>
        <w:color w:val="000000"/>
      </w:rPr>
      <w:fldChar w:fldCharType="end"/>
    </w:r>
  </w:p>
  <w:p w14:paraId="5BA4006B" w14:textId="77777777" w:rsidR="006B71DE" w:rsidRDefault="006B71D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B566" w14:textId="77777777" w:rsidR="006B71DE" w:rsidRDefault="006B71D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30C4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30C40">
      <w:rPr>
        <w:b/>
        <w:noProof/>
        <w:color w:val="000000"/>
      </w:rPr>
      <w:t>29</w:t>
    </w:r>
    <w:r>
      <w:rPr>
        <w:b/>
        <w:color w:val="000000"/>
      </w:rPr>
      <w:fldChar w:fldCharType="end"/>
    </w:r>
  </w:p>
  <w:p w14:paraId="17FBFAD3" w14:textId="77777777" w:rsidR="006B71DE" w:rsidRDefault="006B71D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C620" w14:textId="77777777" w:rsidR="00D32276" w:rsidRDefault="00D32276" w:rsidP="006655FF">
      <w:r>
        <w:separator/>
      </w:r>
    </w:p>
  </w:footnote>
  <w:footnote w:type="continuationSeparator" w:id="0">
    <w:p w14:paraId="5B6C5FBF" w14:textId="77777777" w:rsidR="00D32276" w:rsidRDefault="00D32276" w:rsidP="0066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6099" w14:textId="77777777" w:rsidR="006B71DE" w:rsidRDefault="00D32276">
    <w:pPr>
      <w:pBdr>
        <w:top w:val="nil"/>
        <w:left w:val="nil"/>
        <w:bottom w:val="nil"/>
        <w:right w:val="nil"/>
        <w:between w:val="nil"/>
      </w:pBdr>
      <w:tabs>
        <w:tab w:val="center" w:pos="4419"/>
        <w:tab w:val="right" w:pos="8838"/>
      </w:tabs>
      <w:rPr>
        <w:color w:val="000000"/>
      </w:rPr>
    </w:pPr>
    <w:r>
      <w:rPr>
        <w:color w:val="000000"/>
      </w:rPr>
      <w:pict w14:anchorId="1B1A7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7513" w14:textId="77777777" w:rsidR="006B71DE" w:rsidRDefault="006B71DE">
    <w:pPr>
      <w:widowControl w:val="0"/>
      <w:pBdr>
        <w:top w:val="nil"/>
        <w:left w:val="nil"/>
        <w:bottom w:val="nil"/>
        <w:right w:val="nil"/>
        <w:between w:val="nil"/>
      </w:pBdr>
      <w:spacing w:line="276" w:lineRule="auto"/>
      <w:rPr>
        <w:rFonts w:ascii="Palatino Linotype" w:eastAsia="Palatino Linotype" w:hAnsi="Palatino Linotype" w:cs="Palatino Linotype"/>
      </w:rPr>
    </w:pPr>
  </w:p>
  <w:tbl>
    <w:tblPr>
      <w:tblW w:w="9214" w:type="dxa"/>
      <w:tblLayout w:type="fixed"/>
      <w:tblLook w:val="0400" w:firstRow="0" w:lastRow="0" w:firstColumn="0" w:lastColumn="0" w:noHBand="0" w:noVBand="1"/>
    </w:tblPr>
    <w:tblGrid>
      <w:gridCol w:w="2268"/>
      <w:gridCol w:w="6946"/>
    </w:tblGrid>
    <w:tr w:rsidR="006B71DE" w14:paraId="2611C618" w14:textId="77777777">
      <w:trPr>
        <w:trHeight w:val="1435"/>
      </w:trPr>
      <w:tc>
        <w:tcPr>
          <w:tcW w:w="2268" w:type="dxa"/>
          <w:shd w:val="clear" w:color="auto" w:fill="auto"/>
        </w:tcPr>
        <w:p w14:paraId="06361E51" w14:textId="77777777" w:rsidR="006B71DE" w:rsidRDefault="006B71DE">
          <w:pPr>
            <w:tabs>
              <w:tab w:val="right" w:pos="4273"/>
            </w:tabs>
            <w:rPr>
              <w:rFonts w:ascii="Garamond" w:eastAsia="Garamond" w:hAnsi="Garamond" w:cs="Garamond"/>
              <w:sz w:val="16"/>
              <w:szCs w:val="16"/>
            </w:rPr>
          </w:pPr>
        </w:p>
      </w:tc>
      <w:tc>
        <w:tcPr>
          <w:tcW w:w="6946" w:type="dxa"/>
          <w:shd w:val="clear" w:color="auto" w:fill="auto"/>
        </w:tcPr>
        <w:p w14:paraId="6535C22F" w14:textId="77777777" w:rsidR="006B71DE" w:rsidRDefault="006B71DE"/>
        <w:tbl>
          <w:tblPr>
            <w:tblW w:w="6662" w:type="dxa"/>
            <w:tblInd w:w="40" w:type="dxa"/>
            <w:tblLayout w:type="fixed"/>
            <w:tblLook w:val="0400" w:firstRow="0" w:lastRow="0" w:firstColumn="0" w:lastColumn="0" w:noHBand="0" w:noVBand="1"/>
          </w:tblPr>
          <w:tblGrid>
            <w:gridCol w:w="2551"/>
            <w:gridCol w:w="4111"/>
          </w:tblGrid>
          <w:tr w:rsidR="006B71DE" w14:paraId="7AB8EA57" w14:textId="77777777">
            <w:trPr>
              <w:trHeight w:val="150"/>
            </w:trPr>
            <w:tc>
              <w:tcPr>
                <w:tcW w:w="2551" w:type="dxa"/>
                <w:shd w:val="clear" w:color="auto" w:fill="auto"/>
              </w:tcPr>
              <w:p w14:paraId="5A676279" w14:textId="77777777" w:rsidR="006B71DE" w:rsidRDefault="006B71D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4B399293" w14:textId="77777777" w:rsidR="006B71DE" w:rsidRDefault="006B71DE">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01263/INFOEM/IP/RR/2024</w:t>
                </w:r>
              </w:p>
            </w:tc>
          </w:tr>
          <w:tr w:rsidR="006B71DE" w14:paraId="581E411E" w14:textId="77777777">
            <w:trPr>
              <w:trHeight w:val="295"/>
            </w:trPr>
            <w:tc>
              <w:tcPr>
                <w:tcW w:w="2551" w:type="dxa"/>
                <w:shd w:val="clear" w:color="auto" w:fill="auto"/>
              </w:tcPr>
              <w:p w14:paraId="2302FCC0" w14:textId="77777777" w:rsidR="006B71DE" w:rsidRDefault="006B71D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44A71004" w14:textId="77777777" w:rsidR="006B71DE" w:rsidRPr="006655FF" w:rsidRDefault="006B71DE">
                <w:pPr>
                  <w:tabs>
                    <w:tab w:val="left" w:pos="2834"/>
                    <w:tab w:val="right" w:pos="8838"/>
                  </w:tabs>
                  <w:ind w:left="-108" w:right="-102"/>
                  <w:jc w:val="both"/>
                  <w:rPr>
                    <w:rFonts w:ascii="Palatino Linotype" w:eastAsia="Palatino Linotype" w:hAnsi="Palatino Linotype" w:cs="Palatino Linotype"/>
                    <w:sz w:val="22"/>
                    <w:szCs w:val="22"/>
                  </w:rPr>
                </w:pPr>
                <w:r w:rsidRPr="006655FF">
                  <w:rPr>
                    <w:rFonts w:ascii="Palatino Linotype" w:eastAsia="Palatino Linotype" w:hAnsi="Palatino Linotype" w:cs="Palatino Linotype"/>
                    <w:bCs/>
                    <w:sz w:val="22"/>
                    <w:szCs w:val="22"/>
                  </w:rPr>
                  <w:t>Ayuntamiento de Texcoco</w:t>
                </w:r>
              </w:p>
            </w:tc>
          </w:tr>
          <w:tr w:rsidR="006B71DE" w14:paraId="14C4063B" w14:textId="77777777">
            <w:trPr>
              <w:trHeight w:val="295"/>
            </w:trPr>
            <w:tc>
              <w:tcPr>
                <w:tcW w:w="2551" w:type="dxa"/>
                <w:shd w:val="clear" w:color="auto" w:fill="auto"/>
              </w:tcPr>
              <w:p w14:paraId="1BB509AC" w14:textId="77777777" w:rsidR="006B71DE" w:rsidRDefault="006B71D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0B40C2EF" w14:textId="77777777" w:rsidR="006B71DE" w:rsidRDefault="006B71DE">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E830E2F" w14:textId="77777777" w:rsidR="006B71DE" w:rsidRDefault="006B71DE">
                <w:pPr>
                  <w:tabs>
                    <w:tab w:val="right" w:pos="8838"/>
                  </w:tabs>
                  <w:ind w:left="-108" w:right="171"/>
                  <w:jc w:val="both"/>
                  <w:rPr>
                    <w:rFonts w:ascii="Palatino Linotype" w:eastAsia="Palatino Linotype" w:hAnsi="Palatino Linotype" w:cs="Palatino Linotype"/>
                    <w:b/>
                    <w:sz w:val="22"/>
                    <w:szCs w:val="22"/>
                  </w:rPr>
                </w:pPr>
              </w:p>
            </w:tc>
          </w:tr>
        </w:tbl>
        <w:p w14:paraId="3F2FC127" w14:textId="77777777" w:rsidR="006B71DE" w:rsidRDefault="006B71DE">
          <w:pPr>
            <w:tabs>
              <w:tab w:val="right" w:pos="8838"/>
            </w:tabs>
            <w:ind w:left="-28"/>
            <w:jc w:val="both"/>
            <w:rPr>
              <w:rFonts w:ascii="Arial" w:eastAsia="Arial" w:hAnsi="Arial" w:cs="Arial"/>
              <w:b/>
              <w:sz w:val="22"/>
              <w:szCs w:val="22"/>
            </w:rPr>
          </w:pPr>
        </w:p>
      </w:tc>
    </w:tr>
  </w:tbl>
  <w:p w14:paraId="12E940CB" w14:textId="77777777" w:rsidR="006B71DE" w:rsidRDefault="00D3227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10BE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8D0F" w14:textId="77777777" w:rsidR="006B71DE" w:rsidRDefault="006B71DE">
    <w:pPr>
      <w:widowControl w:val="0"/>
      <w:pBdr>
        <w:top w:val="nil"/>
        <w:left w:val="nil"/>
        <w:bottom w:val="nil"/>
        <w:right w:val="nil"/>
        <w:between w:val="nil"/>
      </w:pBdr>
      <w:spacing w:line="276" w:lineRule="auto"/>
      <w:rPr>
        <w:color w:val="000000"/>
      </w:rPr>
    </w:pPr>
  </w:p>
  <w:tbl>
    <w:tblPr>
      <w:tblW w:w="9072" w:type="dxa"/>
      <w:tblLayout w:type="fixed"/>
      <w:tblLook w:val="0400" w:firstRow="0" w:lastRow="0" w:firstColumn="0" w:lastColumn="0" w:noHBand="0" w:noVBand="1"/>
    </w:tblPr>
    <w:tblGrid>
      <w:gridCol w:w="2268"/>
      <w:gridCol w:w="6804"/>
    </w:tblGrid>
    <w:tr w:rsidR="006B71DE" w14:paraId="787E3C4E" w14:textId="77777777">
      <w:trPr>
        <w:trHeight w:val="1435"/>
      </w:trPr>
      <w:tc>
        <w:tcPr>
          <w:tcW w:w="2268" w:type="dxa"/>
          <w:shd w:val="clear" w:color="auto" w:fill="auto"/>
        </w:tcPr>
        <w:p w14:paraId="66FE64B8" w14:textId="77777777" w:rsidR="006B71DE" w:rsidRDefault="006B71DE">
          <w:pPr>
            <w:tabs>
              <w:tab w:val="right" w:pos="4273"/>
            </w:tabs>
            <w:rPr>
              <w:rFonts w:ascii="Garamond" w:eastAsia="Garamond" w:hAnsi="Garamond" w:cs="Garamond"/>
              <w:sz w:val="22"/>
              <w:szCs w:val="22"/>
            </w:rPr>
          </w:pPr>
        </w:p>
      </w:tc>
      <w:tc>
        <w:tcPr>
          <w:tcW w:w="6804" w:type="dxa"/>
          <w:shd w:val="clear" w:color="auto" w:fill="auto"/>
        </w:tcPr>
        <w:p w14:paraId="486AD2BE" w14:textId="77777777" w:rsidR="006B71DE" w:rsidRDefault="006B71DE">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6B71DE" w14:paraId="45E037E3" w14:textId="77777777">
            <w:trPr>
              <w:trHeight w:val="144"/>
            </w:trPr>
            <w:tc>
              <w:tcPr>
                <w:tcW w:w="2444" w:type="dxa"/>
                <w:shd w:val="clear" w:color="auto" w:fill="auto"/>
              </w:tcPr>
              <w:p w14:paraId="45238C14" w14:textId="77777777" w:rsidR="006B71DE" w:rsidRDefault="006B71DE">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FC1B8EC" w14:textId="77777777" w:rsidR="006B71DE" w:rsidRDefault="006B71DE">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01263/INFOEM/IP/RR/2024</w:t>
                </w:r>
              </w:p>
            </w:tc>
          </w:tr>
          <w:tr w:rsidR="006B71DE" w14:paraId="56885873" w14:textId="77777777">
            <w:trPr>
              <w:trHeight w:val="144"/>
            </w:trPr>
            <w:tc>
              <w:tcPr>
                <w:tcW w:w="2444" w:type="dxa"/>
                <w:shd w:val="clear" w:color="auto" w:fill="auto"/>
              </w:tcPr>
              <w:p w14:paraId="45CCC692" w14:textId="77777777" w:rsidR="006B71DE" w:rsidRDefault="006B71D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5BEAB756" w14:textId="73E364B7" w:rsidR="006B71DE" w:rsidRPr="006655FF" w:rsidRDefault="0096745F">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 xml:space="preserve">XXX </w:t>
                </w:r>
                <w:proofErr w:type="spellStart"/>
                <w:r>
                  <w:rPr>
                    <w:rFonts w:ascii="Palatino Linotype" w:eastAsia="Palatino Linotype" w:hAnsi="Palatino Linotype" w:cs="Palatino Linotype"/>
                    <w:bCs/>
                    <w:sz w:val="22"/>
                    <w:szCs w:val="22"/>
                  </w:rPr>
                  <w:t>XXX</w:t>
                </w:r>
                <w:proofErr w:type="spellEnd"/>
              </w:p>
            </w:tc>
          </w:tr>
          <w:tr w:rsidR="006B71DE" w14:paraId="38BD139B" w14:textId="77777777">
            <w:trPr>
              <w:trHeight w:val="283"/>
            </w:trPr>
            <w:tc>
              <w:tcPr>
                <w:tcW w:w="2444" w:type="dxa"/>
                <w:shd w:val="clear" w:color="auto" w:fill="auto"/>
              </w:tcPr>
              <w:p w14:paraId="47B6176F" w14:textId="77777777" w:rsidR="006B71DE" w:rsidRDefault="006B71D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2FADC721" w14:textId="77777777" w:rsidR="006B71DE" w:rsidRPr="006655FF" w:rsidRDefault="006B71DE">
                <w:pPr>
                  <w:tabs>
                    <w:tab w:val="left" w:pos="2834"/>
                    <w:tab w:val="right" w:pos="8838"/>
                  </w:tabs>
                  <w:ind w:left="-74" w:right="-105"/>
                  <w:jc w:val="both"/>
                  <w:rPr>
                    <w:rFonts w:ascii="Palatino Linotype" w:eastAsia="Palatino Linotype" w:hAnsi="Palatino Linotype" w:cs="Palatino Linotype"/>
                    <w:sz w:val="22"/>
                    <w:szCs w:val="22"/>
                  </w:rPr>
                </w:pPr>
                <w:r w:rsidRPr="006655FF">
                  <w:rPr>
                    <w:rFonts w:ascii="Palatino Linotype" w:eastAsia="Palatino Linotype" w:hAnsi="Palatino Linotype" w:cs="Palatino Linotype"/>
                    <w:bCs/>
                    <w:sz w:val="22"/>
                    <w:szCs w:val="22"/>
                  </w:rPr>
                  <w:t>Ayuntamiento de Texcoco</w:t>
                </w:r>
              </w:p>
            </w:tc>
          </w:tr>
          <w:tr w:rsidR="006B71DE" w14:paraId="0E5F10EA" w14:textId="77777777">
            <w:trPr>
              <w:trHeight w:val="283"/>
            </w:trPr>
            <w:tc>
              <w:tcPr>
                <w:tcW w:w="2444" w:type="dxa"/>
                <w:shd w:val="clear" w:color="auto" w:fill="auto"/>
              </w:tcPr>
              <w:p w14:paraId="48A5FA40" w14:textId="77777777" w:rsidR="006B71DE" w:rsidRDefault="006B71D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227E3408" w14:textId="77777777" w:rsidR="006B71DE" w:rsidRDefault="006B71DE">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E9ED505" w14:textId="77777777" w:rsidR="006B71DE" w:rsidRDefault="006B71DE">
                <w:pPr>
                  <w:tabs>
                    <w:tab w:val="right" w:pos="8838"/>
                  </w:tabs>
                  <w:ind w:left="-74" w:right="-105"/>
                  <w:jc w:val="both"/>
                  <w:rPr>
                    <w:rFonts w:ascii="Palatino Linotype" w:eastAsia="Palatino Linotype" w:hAnsi="Palatino Linotype" w:cs="Palatino Linotype"/>
                    <w:b/>
                    <w:sz w:val="22"/>
                    <w:szCs w:val="22"/>
                  </w:rPr>
                </w:pPr>
              </w:p>
            </w:tc>
          </w:tr>
        </w:tbl>
        <w:p w14:paraId="70188A4A" w14:textId="77777777" w:rsidR="006B71DE" w:rsidRDefault="006B71DE">
          <w:pPr>
            <w:tabs>
              <w:tab w:val="right" w:pos="8838"/>
            </w:tabs>
            <w:ind w:left="-28"/>
            <w:jc w:val="both"/>
            <w:rPr>
              <w:rFonts w:ascii="Arial" w:eastAsia="Arial" w:hAnsi="Arial" w:cs="Arial"/>
              <w:b/>
              <w:sz w:val="22"/>
              <w:szCs w:val="22"/>
            </w:rPr>
          </w:pPr>
        </w:p>
      </w:tc>
    </w:tr>
  </w:tbl>
  <w:p w14:paraId="1DDC6D41" w14:textId="77777777" w:rsidR="006B71DE" w:rsidRDefault="00D32276">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1D1D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14A5"/>
    <w:multiLevelType w:val="hybridMultilevel"/>
    <w:tmpl w:val="5ECE8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63BD5"/>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786964"/>
    <w:multiLevelType w:val="multilevel"/>
    <w:tmpl w:val="E2AA333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DB03EB"/>
    <w:multiLevelType w:val="multilevel"/>
    <w:tmpl w:val="F44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106BF"/>
    <w:multiLevelType w:val="hybridMultilevel"/>
    <w:tmpl w:val="5A8E8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CFA7578"/>
    <w:multiLevelType w:val="multilevel"/>
    <w:tmpl w:val="9DD69A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4EB3D0B"/>
    <w:multiLevelType w:val="multilevel"/>
    <w:tmpl w:val="395E49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71503030">
    <w:abstractNumId w:val="1"/>
  </w:num>
  <w:num w:numId="2" w16cid:durableId="1327711812">
    <w:abstractNumId w:val="7"/>
  </w:num>
  <w:num w:numId="3" w16cid:durableId="1287811304">
    <w:abstractNumId w:val="2"/>
  </w:num>
  <w:num w:numId="4" w16cid:durableId="1840348044">
    <w:abstractNumId w:val="8"/>
  </w:num>
  <w:num w:numId="5" w16cid:durableId="1463768718">
    <w:abstractNumId w:val="0"/>
  </w:num>
  <w:num w:numId="6" w16cid:durableId="189414344">
    <w:abstractNumId w:val="5"/>
  </w:num>
  <w:num w:numId="7" w16cid:durableId="2071341989">
    <w:abstractNumId w:val="4"/>
  </w:num>
  <w:num w:numId="8" w16cid:durableId="108858622">
    <w:abstractNumId w:val="6"/>
  </w:num>
  <w:num w:numId="9" w16cid:durableId="78041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FF"/>
    <w:rsid w:val="00191539"/>
    <w:rsid w:val="00230C40"/>
    <w:rsid w:val="00510BD2"/>
    <w:rsid w:val="005C18A9"/>
    <w:rsid w:val="005C6358"/>
    <w:rsid w:val="005E0F13"/>
    <w:rsid w:val="005F264F"/>
    <w:rsid w:val="00604859"/>
    <w:rsid w:val="006655FF"/>
    <w:rsid w:val="006B71DE"/>
    <w:rsid w:val="0072011E"/>
    <w:rsid w:val="008303CF"/>
    <w:rsid w:val="008B3692"/>
    <w:rsid w:val="008E7D47"/>
    <w:rsid w:val="00941BB1"/>
    <w:rsid w:val="0096745F"/>
    <w:rsid w:val="00D2125E"/>
    <w:rsid w:val="00D32276"/>
    <w:rsid w:val="00E0417A"/>
    <w:rsid w:val="00E93801"/>
    <w:rsid w:val="00EC6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DD10"/>
  <w15:chartTrackingRefBased/>
  <w15:docId w15:val="{675598E6-4229-4DFA-AB88-FBE298EC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F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655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55FF"/>
    <w:rPr>
      <w:rFonts w:asciiTheme="majorHAnsi" w:eastAsiaTheme="majorEastAsia" w:hAnsiTheme="majorHAnsi" w:cstheme="majorBidi"/>
      <w:color w:val="2E74B5" w:themeColor="accent1" w:themeShade="BF"/>
      <w:sz w:val="32"/>
      <w:szCs w:val="32"/>
      <w:lang w:eastAsia="es-MX"/>
    </w:rPr>
  </w:style>
  <w:style w:type="paragraph" w:styleId="Piedepgina">
    <w:name w:val="footer"/>
    <w:basedOn w:val="Normal"/>
    <w:link w:val="PiedepginaCar"/>
    <w:uiPriority w:val="99"/>
    <w:unhideWhenUsed/>
    <w:rsid w:val="006655FF"/>
    <w:pPr>
      <w:tabs>
        <w:tab w:val="center" w:pos="4419"/>
        <w:tab w:val="right" w:pos="8838"/>
      </w:tabs>
    </w:pPr>
  </w:style>
  <w:style w:type="character" w:customStyle="1" w:styleId="PiedepginaCar">
    <w:name w:val="Pie de página Car"/>
    <w:basedOn w:val="Fuentedeprrafopredeter"/>
    <w:link w:val="Piedepgina"/>
    <w:uiPriority w:val="99"/>
    <w:rsid w:val="006655F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55FF"/>
    <w:pPr>
      <w:ind w:left="720"/>
      <w:contextualSpacing/>
    </w:pPr>
  </w:style>
  <w:style w:type="character" w:styleId="Hipervnculo">
    <w:name w:val="Hyperlink"/>
    <w:basedOn w:val="Fuentedeprrafopredeter"/>
    <w:uiPriority w:val="99"/>
    <w:unhideWhenUsed/>
    <w:rsid w:val="00510BD2"/>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03CF"/>
    <w:rPr>
      <w:rFonts w:ascii="Times New Roman" w:eastAsia="Times New Roman" w:hAnsi="Times New Roman" w:cs="Times New Roman"/>
      <w:sz w:val="24"/>
      <w:szCs w:val="24"/>
      <w:lang w:eastAsia="es-MX"/>
    </w:rPr>
  </w:style>
  <w:style w:type="table" w:styleId="Tablaconcuadrcula6concolores">
    <w:name w:val="Grid Table 6 Colorful"/>
    <w:basedOn w:val="Tablanormal"/>
    <w:uiPriority w:val="51"/>
    <w:rsid w:val="008303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9232">
      <w:bodyDiv w:val="1"/>
      <w:marLeft w:val="0"/>
      <w:marRight w:val="0"/>
      <w:marTop w:val="0"/>
      <w:marBottom w:val="0"/>
      <w:divBdr>
        <w:top w:val="none" w:sz="0" w:space="0" w:color="auto"/>
        <w:left w:val="none" w:sz="0" w:space="0" w:color="auto"/>
        <w:bottom w:val="none" w:sz="0" w:space="0" w:color="auto"/>
        <w:right w:val="none" w:sz="0" w:space="0" w:color="auto"/>
      </w:divBdr>
    </w:div>
    <w:div w:id="439254674">
      <w:bodyDiv w:val="1"/>
      <w:marLeft w:val="0"/>
      <w:marRight w:val="0"/>
      <w:marTop w:val="0"/>
      <w:marBottom w:val="0"/>
      <w:divBdr>
        <w:top w:val="none" w:sz="0" w:space="0" w:color="auto"/>
        <w:left w:val="none" w:sz="0" w:space="0" w:color="auto"/>
        <w:bottom w:val="none" w:sz="0" w:space="0" w:color="auto"/>
        <w:right w:val="none" w:sz="0" w:space="0" w:color="auto"/>
      </w:divBdr>
    </w:div>
    <w:div w:id="1046028802">
      <w:bodyDiv w:val="1"/>
      <w:marLeft w:val="0"/>
      <w:marRight w:val="0"/>
      <w:marTop w:val="0"/>
      <w:marBottom w:val="0"/>
      <w:divBdr>
        <w:top w:val="none" w:sz="0" w:space="0" w:color="auto"/>
        <w:left w:val="none" w:sz="0" w:space="0" w:color="auto"/>
        <w:bottom w:val="none" w:sz="0" w:space="0" w:color="auto"/>
        <w:right w:val="none" w:sz="0" w:space="0" w:color="auto"/>
      </w:divBdr>
    </w:div>
    <w:div w:id="17673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32966.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cocoedomex.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044679.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035770.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5055-9B1D-4A71-8BBA-C91A2295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6177</Words>
  <Characters>33974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5</cp:revision>
  <dcterms:created xsi:type="dcterms:W3CDTF">2024-09-17T18:28:00Z</dcterms:created>
  <dcterms:modified xsi:type="dcterms:W3CDTF">2024-10-02T18:16:00Z</dcterms:modified>
</cp:coreProperties>
</file>