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0B06" w14:textId="77777777" w:rsidR="0053592A" w:rsidRPr="005D58F0" w:rsidRDefault="00263B8E" w:rsidP="005D58F0">
      <w:pPr>
        <w:spacing w:line="360" w:lineRule="auto"/>
        <w:jc w:val="both"/>
        <w:rPr>
          <w:rFonts w:ascii="Palatino Linotype" w:eastAsia="Palatino Linotype" w:hAnsi="Palatino Linotype" w:cs="Palatino Linotype"/>
        </w:rPr>
      </w:pPr>
      <w:bookmarkStart w:id="0" w:name="_GoBack"/>
      <w:bookmarkEnd w:id="0"/>
      <w:r w:rsidRPr="005D58F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Zinacantepec, Estado de México, del ocho de febrero de dos mil veinticuatro. </w:t>
      </w:r>
    </w:p>
    <w:p w14:paraId="0F9DD14E" w14:textId="77777777" w:rsidR="0053592A" w:rsidRPr="005D58F0" w:rsidRDefault="0053592A" w:rsidP="005D58F0">
      <w:pPr>
        <w:spacing w:line="360" w:lineRule="auto"/>
        <w:jc w:val="both"/>
        <w:rPr>
          <w:rFonts w:ascii="Palatino Linotype" w:eastAsia="Palatino Linotype" w:hAnsi="Palatino Linotype" w:cs="Palatino Linotype"/>
          <w:b/>
          <w:sz w:val="22"/>
          <w:szCs w:val="22"/>
        </w:rPr>
      </w:pPr>
    </w:p>
    <w:p w14:paraId="34735502" w14:textId="77777777" w:rsidR="0053592A" w:rsidRPr="005D58F0" w:rsidRDefault="00263B8E" w:rsidP="005D58F0">
      <w:pPr>
        <w:spacing w:line="360" w:lineRule="auto"/>
        <w:jc w:val="both"/>
        <w:rPr>
          <w:rFonts w:ascii="Palatino Linotype" w:eastAsia="Palatino Linotype" w:hAnsi="Palatino Linotype" w:cs="Palatino Linotype"/>
        </w:rPr>
      </w:pPr>
      <w:bookmarkStart w:id="1" w:name="_heading=h.gjdgxs" w:colFirst="0" w:colLast="0"/>
      <w:bookmarkEnd w:id="1"/>
      <w:r w:rsidRPr="005D58F0">
        <w:rPr>
          <w:rFonts w:ascii="Palatino Linotype" w:eastAsia="Palatino Linotype" w:hAnsi="Palatino Linotype" w:cs="Palatino Linotype"/>
          <w:b/>
          <w:sz w:val="28"/>
          <w:szCs w:val="28"/>
        </w:rPr>
        <w:t>VISTO</w:t>
      </w:r>
      <w:r w:rsidRPr="005D58F0">
        <w:rPr>
          <w:rFonts w:ascii="Palatino Linotype" w:eastAsia="Palatino Linotype" w:hAnsi="Palatino Linotype" w:cs="Palatino Linotype"/>
        </w:rPr>
        <w:t xml:space="preserve"> el expediente formado con motivo de los Recursos de Revisión </w:t>
      </w:r>
      <w:r w:rsidRPr="005D58F0">
        <w:rPr>
          <w:rFonts w:ascii="Palatino Linotype" w:eastAsia="Palatino Linotype" w:hAnsi="Palatino Linotype" w:cs="Palatino Linotype"/>
          <w:b/>
          <w:sz w:val="22"/>
          <w:szCs w:val="22"/>
        </w:rPr>
        <w:t xml:space="preserve">767/INFOEM/IP/RR/2023, 769/INFOEM/IP/RR/2023 y 773/INFOEM/IP/RR/2023 </w:t>
      </w:r>
      <w:r w:rsidRPr="005D58F0">
        <w:rPr>
          <w:rFonts w:ascii="Palatino Linotype" w:eastAsia="Palatino Linotype" w:hAnsi="Palatino Linotype" w:cs="Palatino Linotype"/>
          <w:b/>
        </w:rPr>
        <w:t>acumulados</w:t>
      </w:r>
      <w:r w:rsidRPr="005D58F0">
        <w:rPr>
          <w:rFonts w:ascii="Palatino Linotype" w:eastAsia="Palatino Linotype" w:hAnsi="Palatino Linotype" w:cs="Palatino Linotype"/>
        </w:rPr>
        <w:t xml:space="preserve"> promovidos por una persona de forma anónima,</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rPr>
        <w:t xml:space="preserve">a quien en lo sucesivo se le denominará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en contra de las respuestas del Ayuntamiento de Zinacantepec, en lo subsecuente, </w:t>
      </w:r>
      <w:r w:rsidRPr="005D58F0">
        <w:rPr>
          <w:rFonts w:ascii="Palatino Linotype" w:eastAsia="Palatino Linotype" w:hAnsi="Palatino Linotype" w:cs="Palatino Linotype"/>
          <w:b/>
        </w:rPr>
        <w:t xml:space="preserve">EL SUJETO OBLIGADO; </w:t>
      </w:r>
      <w:r w:rsidRPr="005D58F0">
        <w:rPr>
          <w:rFonts w:ascii="Palatino Linotype" w:eastAsia="Palatino Linotype" w:hAnsi="Palatino Linotype" w:cs="Palatino Linotype"/>
        </w:rPr>
        <w:t>se procede a dictar la presente resolución con base en los siguientes:</w:t>
      </w:r>
    </w:p>
    <w:p w14:paraId="479105FE" w14:textId="77777777" w:rsidR="0053592A" w:rsidRPr="005D58F0" w:rsidRDefault="0053592A" w:rsidP="005D58F0">
      <w:pPr>
        <w:spacing w:line="360" w:lineRule="auto"/>
        <w:jc w:val="both"/>
        <w:rPr>
          <w:rFonts w:ascii="Palatino Linotype" w:eastAsia="Palatino Linotype" w:hAnsi="Palatino Linotype" w:cs="Palatino Linotype"/>
        </w:rPr>
      </w:pPr>
    </w:p>
    <w:p w14:paraId="219FBA11" w14:textId="77777777" w:rsidR="0053592A" w:rsidRPr="005D58F0" w:rsidRDefault="00263B8E" w:rsidP="005D58F0">
      <w:pPr>
        <w:spacing w:line="360" w:lineRule="auto"/>
        <w:jc w:val="center"/>
        <w:rPr>
          <w:rFonts w:ascii="Palatino Linotype" w:eastAsia="Palatino Linotype" w:hAnsi="Palatino Linotype" w:cs="Palatino Linotype"/>
          <w:b/>
          <w:sz w:val="28"/>
          <w:szCs w:val="28"/>
        </w:rPr>
      </w:pPr>
      <w:r w:rsidRPr="005D58F0">
        <w:rPr>
          <w:rFonts w:ascii="Palatino Linotype" w:eastAsia="Palatino Linotype" w:hAnsi="Palatino Linotype" w:cs="Palatino Linotype"/>
          <w:b/>
          <w:sz w:val="28"/>
          <w:szCs w:val="28"/>
        </w:rPr>
        <w:t>ANTECEDENTES</w:t>
      </w:r>
    </w:p>
    <w:p w14:paraId="07B1DB05" w14:textId="77777777" w:rsidR="0053592A" w:rsidRPr="005D58F0" w:rsidRDefault="0053592A" w:rsidP="005D58F0">
      <w:pPr>
        <w:spacing w:line="360" w:lineRule="auto"/>
        <w:jc w:val="center"/>
        <w:rPr>
          <w:rFonts w:ascii="Palatino Linotype" w:eastAsia="Palatino Linotype" w:hAnsi="Palatino Linotype" w:cs="Palatino Linotype"/>
          <w:b/>
          <w:sz w:val="28"/>
          <w:szCs w:val="28"/>
        </w:rPr>
      </w:pPr>
    </w:p>
    <w:p w14:paraId="4D2C152C" w14:textId="77777777" w:rsidR="0053592A" w:rsidRPr="005D58F0" w:rsidRDefault="00263B8E" w:rsidP="005D58F0">
      <w:pPr>
        <w:spacing w:line="360" w:lineRule="auto"/>
        <w:jc w:val="both"/>
        <w:rPr>
          <w:rFonts w:ascii="Palatino Linotype" w:eastAsia="Palatino Linotype" w:hAnsi="Palatino Linotype" w:cs="Palatino Linotype"/>
          <w:b/>
          <w:sz w:val="28"/>
          <w:szCs w:val="28"/>
        </w:rPr>
      </w:pPr>
      <w:bookmarkStart w:id="2" w:name="_heading=h.30j0zll" w:colFirst="0" w:colLast="0"/>
      <w:bookmarkEnd w:id="2"/>
      <w:r w:rsidRPr="005D58F0">
        <w:rPr>
          <w:rFonts w:ascii="Palatino Linotype" w:eastAsia="Palatino Linotype" w:hAnsi="Palatino Linotype" w:cs="Palatino Linotype"/>
          <w:b/>
          <w:sz w:val="28"/>
          <w:szCs w:val="28"/>
        </w:rPr>
        <w:t>I.</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b/>
          <w:sz w:val="28"/>
          <w:szCs w:val="28"/>
        </w:rPr>
        <w:t>De las Solicitudes de Información</w:t>
      </w:r>
    </w:p>
    <w:p w14:paraId="2F352854"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1. Presentación.</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presentó el nueve de enero de dos mil veintitrés</w:t>
      </w:r>
      <w:r w:rsidRPr="005D58F0">
        <w:rPr>
          <w:rFonts w:ascii="Palatino Linotype" w:eastAsia="Palatino Linotype" w:hAnsi="Palatino Linotype" w:cs="Palatino Linotype"/>
          <w:vertAlign w:val="superscript"/>
        </w:rPr>
        <w:footnoteReference w:id="1"/>
      </w:r>
      <w:r w:rsidRPr="005D58F0">
        <w:rPr>
          <w:rFonts w:ascii="Palatino Linotype" w:eastAsia="Palatino Linotype" w:hAnsi="Palatino Linotype" w:cs="Palatino Linotype"/>
        </w:rPr>
        <w:t xml:space="preserve"> ante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a través del Sistema de Acceso a la Información Mexiquense, en lo subsecuente </w:t>
      </w:r>
      <w:r w:rsidRPr="005D58F0">
        <w:rPr>
          <w:rFonts w:ascii="Palatino Linotype" w:eastAsia="Palatino Linotype" w:hAnsi="Palatino Linotype" w:cs="Palatino Linotype"/>
          <w:b/>
        </w:rPr>
        <w:t>EL SAIMEX</w:t>
      </w:r>
      <w:r w:rsidRPr="005D58F0">
        <w:rPr>
          <w:rFonts w:ascii="Palatino Linotype" w:eastAsia="Palatino Linotype" w:hAnsi="Palatino Linotype" w:cs="Palatino Linotype"/>
        </w:rPr>
        <w:t>, las Solicitudes de Acceso a la Información Pública</w:t>
      </w:r>
      <w:r w:rsidRPr="005D58F0">
        <w:rPr>
          <w:rFonts w:ascii="Palatino Linotype" w:eastAsia="Palatino Linotype" w:hAnsi="Palatino Linotype" w:cs="Palatino Linotype"/>
          <w:b/>
          <w:sz w:val="28"/>
          <w:szCs w:val="28"/>
          <w:vertAlign w:val="superscript"/>
        </w:rPr>
        <w:footnoteReference w:id="2"/>
      </w:r>
      <w:r w:rsidRPr="005D58F0">
        <w:rPr>
          <w:rFonts w:ascii="Palatino Linotype" w:eastAsia="Palatino Linotype" w:hAnsi="Palatino Linotype" w:cs="Palatino Linotype"/>
        </w:rPr>
        <w:t xml:space="preserve"> con los folios siguientes:</w:t>
      </w:r>
    </w:p>
    <w:p w14:paraId="2558F536" w14:textId="77777777" w:rsidR="0053592A" w:rsidRPr="005D58F0" w:rsidRDefault="0053592A" w:rsidP="005D58F0">
      <w:pPr>
        <w:spacing w:line="360" w:lineRule="auto"/>
        <w:jc w:val="both"/>
        <w:rPr>
          <w:rFonts w:ascii="Palatino Linotype" w:eastAsia="Palatino Linotype" w:hAnsi="Palatino Linotype" w:cs="Palatino Linotype"/>
        </w:rPr>
      </w:pPr>
    </w:p>
    <w:tbl>
      <w:tblPr>
        <w:tblStyle w:val="a"/>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635"/>
        <w:gridCol w:w="5386"/>
      </w:tblGrid>
      <w:tr w:rsidR="005D58F0" w:rsidRPr="005D58F0" w14:paraId="1460587F" w14:textId="77777777">
        <w:trPr>
          <w:tblHeader/>
          <w:jc w:val="center"/>
        </w:trPr>
        <w:tc>
          <w:tcPr>
            <w:tcW w:w="479" w:type="dxa"/>
            <w:shd w:val="clear" w:color="auto" w:fill="auto"/>
            <w:vAlign w:val="center"/>
          </w:tcPr>
          <w:p w14:paraId="60C3D229" w14:textId="77777777" w:rsidR="0053592A" w:rsidRPr="005D58F0" w:rsidRDefault="00263B8E" w:rsidP="005D58F0">
            <w:pPr>
              <w:jc w:val="center"/>
              <w:rPr>
                <w:rFonts w:ascii="Palatino Linotype" w:eastAsia="Palatino Linotype" w:hAnsi="Palatino Linotype" w:cs="Palatino Linotype"/>
                <w:b/>
                <w:sz w:val="16"/>
                <w:szCs w:val="16"/>
              </w:rPr>
            </w:pPr>
            <w:bookmarkStart w:id="3" w:name="_heading=h.ck4h1jecfd32" w:colFirst="0" w:colLast="0"/>
            <w:bookmarkEnd w:id="3"/>
            <w:r w:rsidRPr="005D58F0">
              <w:rPr>
                <w:rFonts w:ascii="Palatino Linotype" w:eastAsia="Palatino Linotype" w:hAnsi="Palatino Linotype" w:cs="Palatino Linotype"/>
                <w:b/>
                <w:sz w:val="16"/>
                <w:szCs w:val="16"/>
              </w:rPr>
              <w:lastRenderedPageBreak/>
              <w:t>No.</w:t>
            </w:r>
          </w:p>
        </w:tc>
        <w:tc>
          <w:tcPr>
            <w:tcW w:w="2635" w:type="dxa"/>
            <w:shd w:val="clear" w:color="auto" w:fill="auto"/>
            <w:vAlign w:val="center"/>
          </w:tcPr>
          <w:p w14:paraId="53625BEA"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Solicitud</w:t>
            </w:r>
            <w:r w:rsidRPr="005D58F0">
              <w:rPr>
                <w:rFonts w:ascii="Palatino Linotype" w:eastAsia="Palatino Linotype" w:hAnsi="Palatino Linotype" w:cs="Palatino Linotype"/>
                <w:b/>
                <w:vertAlign w:val="superscript"/>
              </w:rPr>
              <w:footnoteReference w:id="3"/>
            </w:r>
            <w:r w:rsidRPr="005D58F0">
              <w:rPr>
                <w:rFonts w:ascii="Palatino Linotype" w:eastAsia="Palatino Linotype" w:hAnsi="Palatino Linotype" w:cs="Palatino Linotype"/>
                <w:b/>
                <w:sz w:val="20"/>
                <w:szCs w:val="20"/>
              </w:rPr>
              <w:t>/</w:t>
            </w:r>
            <w:r w:rsidRPr="005D58F0">
              <w:rPr>
                <w:rFonts w:ascii="Palatino Linotype" w:eastAsia="Palatino Linotype" w:hAnsi="Palatino Linotype" w:cs="Palatino Linotype"/>
                <w:sz w:val="20"/>
                <w:szCs w:val="20"/>
              </w:rPr>
              <w:t>Recurso</w:t>
            </w:r>
          </w:p>
        </w:tc>
        <w:tc>
          <w:tcPr>
            <w:tcW w:w="5386" w:type="dxa"/>
            <w:shd w:val="clear" w:color="auto" w:fill="auto"/>
            <w:vAlign w:val="center"/>
          </w:tcPr>
          <w:p w14:paraId="7F6D04DC" w14:textId="77777777" w:rsidR="0053592A" w:rsidRPr="005D58F0" w:rsidRDefault="00263B8E" w:rsidP="005D58F0">
            <w:pPr>
              <w:spacing w:line="220" w:lineRule="auto"/>
              <w:jc w:val="center"/>
              <w:rPr>
                <w:rFonts w:ascii="Palatino Linotype" w:eastAsia="Palatino Linotype" w:hAnsi="Palatino Linotype" w:cs="Palatino Linotype"/>
                <w:b/>
                <w:sz w:val="19"/>
                <w:szCs w:val="19"/>
              </w:rPr>
            </w:pPr>
            <w:r w:rsidRPr="005D58F0">
              <w:rPr>
                <w:rFonts w:ascii="Palatino Linotype" w:eastAsia="Palatino Linotype" w:hAnsi="Palatino Linotype" w:cs="Palatino Linotype"/>
                <w:b/>
                <w:sz w:val="19"/>
                <w:szCs w:val="19"/>
              </w:rPr>
              <w:t>Solicitud</w:t>
            </w:r>
          </w:p>
        </w:tc>
      </w:tr>
      <w:tr w:rsidR="005D58F0" w:rsidRPr="005D58F0" w14:paraId="5D3D5A6C" w14:textId="77777777">
        <w:trPr>
          <w:jc w:val="center"/>
        </w:trPr>
        <w:tc>
          <w:tcPr>
            <w:tcW w:w="479" w:type="dxa"/>
            <w:shd w:val="clear" w:color="auto" w:fill="auto"/>
            <w:vAlign w:val="center"/>
          </w:tcPr>
          <w:p w14:paraId="4F2FBB41"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1</w:t>
            </w:r>
          </w:p>
        </w:tc>
        <w:tc>
          <w:tcPr>
            <w:tcW w:w="2635" w:type="dxa"/>
            <w:shd w:val="clear" w:color="auto" w:fill="auto"/>
            <w:vAlign w:val="center"/>
          </w:tcPr>
          <w:p w14:paraId="752F9283" w14:textId="77777777" w:rsidR="0053592A" w:rsidRPr="005D58F0" w:rsidRDefault="00263B8E" w:rsidP="005D58F0">
            <w:pPr>
              <w:jc w:val="center"/>
              <w:rPr>
                <w:rFonts w:ascii="Palatino Linotype" w:eastAsia="Palatino Linotype" w:hAnsi="Palatino Linotype" w:cs="Palatino Linotype"/>
                <w:sz w:val="16"/>
                <w:szCs w:val="16"/>
                <w:lang w:val="en-US"/>
              </w:rPr>
            </w:pPr>
            <w:r w:rsidRPr="005D58F0">
              <w:rPr>
                <w:rFonts w:ascii="Palatino Linotype" w:eastAsia="Palatino Linotype" w:hAnsi="Palatino Linotype" w:cs="Palatino Linotype"/>
                <w:b/>
                <w:sz w:val="20"/>
                <w:szCs w:val="20"/>
                <w:lang w:val="en-US"/>
              </w:rPr>
              <w:t xml:space="preserve">00014/ZINACANT/IP/2023 </w:t>
            </w:r>
            <w:r w:rsidRPr="005D58F0">
              <w:rPr>
                <w:rFonts w:ascii="Palatino Linotype" w:eastAsia="Palatino Linotype" w:hAnsi="Palatino Linotype" w:cs="Palatino Linotype"/>
                <w:sz w:val="16"/>
                <w:szCs w:val="16"/>
                <w:lang w:val="en-US"/>
              </w:rPr>
              <w:t>767/INFOEM/IP/RR/2023</w:t>
            </w:r>
          </w:p>
        </w:tc>
        <w:tc>
          <w:tcPr>
            <w:tcW w:w="5386" w:type="dxa"/>
            <w:shd w:val="clear" w:color="auto" w:fill="auto"/>
          </w:tcPr>
          <w:p w14:paraId="3D14ACFE" w14:textId="77777777" w:rsidR="0053592A" w:rsidRPr="005D58F0" w:rsidRDefault="00263B8E" w:rsidP="005D58F0">
            <w:pPr>
              <w:spacing w:line="220" w:lineRule="auto"/>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“SOLICITO LAS LISTAS DE ASISTENCIA DE LOS SERVIDORES PÚBLICOS QUE PARTICIPARON EN LA CARAVANA NAVIDEÑA, ASÍ COMO EL COSTO DE LOS DISFRACES Y VESTIMENTA NAVIDEÑA QUE PORTARON” (SIC)</w:t>
            </w:r>
          </w:p>
        </w:tc>
      </w:tr>
      <w:tr w:rsidR="005D58F0" w:rsidRPr="005D58F0" w14:paraId="6C960472" w14:textId="77777777">
        <w:trPr>
          <w:jc w:val="center"/>
        </w:trPr>
        <w:tc>
          <w:tcPr>
            <w:tcW w:w="479" w:type="dxa"/>
            <w:shd w:val="clear" w:color="auto" w:fill="auto"/>
            <w:vAlign w:val="center"/>
          </w:tcPr>
          <w:p w14:paraId="15C2CC62"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2</w:t>
            </w:r>
          </w:p>
        </w:tc>
        <w:tc>
          <w:tcPr>
            <w:tcW w:w="2635" w:type="dxa"/>
            <w:shd w:val="clear" w:color="auto" w:fill="auto"/>
            <w:vAlign w:val="center"/>
          </w:tcPr>
          <w:p w14:paraId="6D279BB3" w14:textId="77777777" w:rsidR="0053592A" w:rsidRPr="005D58F0" w:rsidRDefault="00263B8E" w:rsidP="005D58F0">
            <w:pPr>
              <w:jc w:val="center"/>
              <w:rPr>
                <w:rFonts w:ascii="Palatino Linotype" w:eastAsia="Palatino Linotype" w:hAnsi="Palatino Linotype" w:cs="Palatino Linotype"/>
                <w:b/>
                <w:sz w:val="16"/>
                <w:szCs w:val="16"/>
                <w:lang w:val="en-US"/>
              </w:rPr>
            </w:pPr>
            <w:r w:rsidRPr="005D58F0">
              <w:rPr>
                <w:rFonts w:ascii="Palatino Linotype" w:eastAsia="Palatino Linotype" w:hAnsi="Palatino Linotype" w:cs="Palatino Linotype"/>
                <w:b/>
                <w:sz w:val="20"/>
                <w:szCs w:val="20"/>
                <w:lang w:val="en-US"/>
              </w:rPr>
              <w:t>00041/ZINACANT/IP/2023</w:t>
            </w:r>
          </w:p>
          <w:p w14:paraId="238D0289" w14:textId="77777777" w:rsidR="0053592A" w:rsidRPr="005D58F0" w:rsidRDefault="00263B8E" w:rsidP="005D58F0">
            <w:pPr>
              <w:jc w:val="center"/>
              <w:rPr>
                <w:rFonts w:ascii="Palatino Linotype" w:eastAsia="Palatino Linotype" w:hAnsi="Palatino Linotype" w:cs="Palatino Linotype"/>
                <w:sz w:val="16"/>
                <w:szCs w:val="16"/>
                <w:lang w:val="en-US"/>
              </w:rPr>
            </w:pPr>
            <w:r w:rsidRPr="005D58F0">
              <w:rPr>
                <w:rFonts w:ascii="Palatino Linotype" w:eastAsia="Palatino Linotype" w:hAnsi="Palatino Linotype" w:cs="Palatino Linotype"/>
                <w:sz w:val="16"/>
                <w:szCs w:val="16"/>
                <w:lang w:val="en-US"/>
              </w:rPr>
              <w:t>769/INFOEM/IP/RR/2023</w:t>
            </w:r>
          </w:p>
        </w:tc>
        <w:tc>
          <w:tcPr>
            <w:tcW w:w="5386" w:type="dxa"/>
            <w:shd w:val="clear" w:color="auto" w:fill="auto"/>
          </w:tcPr>
          <w:p w14:paraId="73A719CF" w14:textId="77777777" w:rsidR="0053592A" w:rsidRPr="005D58F0" w:rsidRDefault="00263B8E" w:rsidP="005D58F0">
            <w:pPr>
              <w:spacing w:line="220" w:lineRule="auto"/>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“SOLICITO TODAS LAS LISTAS DE ASISTENCIA A LA ALBERCA MUNICIPAL DEL AÑO 2022, ASÍ COMO LAS FACTURAS DE PAGO DE MANTENIMIENTO Y GAS” (SIC)</w:t>
            </w:r>
          </w:p>
        </w:tc>
      </w:tr>
      <w:tr w:rsidR="0053592A" w:rsidRPr="005D58F0" w14:paraId="6C3B75B6" w14:textId="77777777">
        <w:trPr>
          <w:jc w:val="center"/>
        </w:trPr>
        <w:tc>
          <w:tcPr>
            <w:tcW w:w="479" w:type="dxa"/>
            <w:shd w:val="clear" w:color="auto" w:fill="auto"/>
            <w:vAlign w:val="center"/>
          </w:tcPr>
          <w:p w14:paraId="52357922"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3</w:t>
            </w:r>
          </w:p>
        </w:tc>
        <w:tc>
          <w:tcPr>
            <w:tcW w:w="2635" w:type="dxa"/>
            <w:shd w:val="clear" w:color="auto" w:fill="auto"/>
            <w:vAlign w:val="center"/>
          </w:tcPr>
          <w:p w14:paraId="6874E098" w14:textId="77777777" w:rsidR="0053592A" w:rsidRPr="005D58F0" w:rsidRDefault="00263B8E" w:rsidP="005D58F0">
            <w:pPr>
              <w:jc w:val="center"/>
              <w:rPr>
                <w:rFonts w:ascii="Palatino Linotype" w:eastAsia="Palatino Linotype" w:hAnsi="Palatino Linotype" w:cs="Palatino Linotype"/>
                <w:b/>
                <w:sz w:val="16"/>
                <w:szCs w:val="16"/>
                <w:lang w:val="en-US"/>
              </w:rPr>
            </w:pPr>
            <w:r w:rsidRPr="005D58F0">
              <w:rPr>
                <w:rFonts w:ascii="Palatino Linotype" w:eastAsia="Palatino Linotype" w:hAnsi="Palatino Linotype" w:cs="Palatino Linotype"/>
                <w:b/>
                <w:sz w:val="20"/>
                <w:szCs w:val="20"/>
                <w:lang w:val="en-US"/>
              </w:rPr>
              <w:t>00043/ZINACANT/IP/2023</w:t>
            </w:r>
          </w:p>
          <w:p w14:paraId="66D91FDA" w14:textId="77777777" w:rsidR="0053592A" w:rsidRPr="005D58F0" w:rsidRDefault="00263B8E" w:rsidP="005D58F0">
            <w:pPr>
              <w:jc w:val="center"/>
              <w:rPr>
                <w:rFonts w:ascii="Palatino Linotype" w:eastAsia="Palatino Linotype" w:hAnsi="Palatino Linotype" w:cs="Palatino Linotype"/>
                <w:sz w:val="16"/>
                <w:szCs w:val="16"/>
                <w:lang w:val="en-US"/>
              </w:rPr>
            </w:pPr>
            <w:r w:rsidRPr="005D58F0">
              <w:rPr>
                <w:rFonts w:ascii="Palatino Linotype" w:eastAsia="Palatino Linotype" w:hAnsi="Palatino Linotype" w:cs="Palatino Linotype"/>
                <w:sz w:val="16"/>
                <w:szCs w:val="16"/>
                <w:lang w:val="en-US"/>
              </w:rPr>
              <w:t>773/INFOEM/IP/RR/2023</w:t>
            </w:r>
          </w:p>
        </w:tc>
        <w:tc>
          <w:tcPr>
            <w:tcW w:w="5386" w:type="dxa"/>
            <w:shd w:val="clear" w:color="auto" w:fill="auto"/>
          </w:tcPr>
          <w:p w14:paraId="32A7D8F8" w14:textId="77777777" w:rsidR="0053592A" w:rsidRPr="005D58F0" w:rsidRDefault="00263B8E" w:rsidP="005D58F0">
            <w:pPr>
              <w:spacing w:line="220" w:lineRule="auto"/>
              <w:jc w:val="both"/>
              <w:rPr>
                <w:rFonts w:ascii="Palatino Linotype" w:eastAsia="Palatino Linotype" w:hAnsi="Palatino Linotype" w:cs="Palatino Linotype"/>
                <w:i/>
                <w:sz w:val="22"/>
                <w:szCs w:val="22"/>
              </w:rPr>
            </w:pPr>
            <w:bookmarkStart w:id="4" w:name="_heading=h.1fob9te" w:colFirst="0" w:colLast="0"/>
            <w:bookmarkEnd w:id="4"/>
            <w:r w:rsidRPr="005D58F0">
              <w:rPr>
                <w:rFonts w:ascii="Palatino Linotype" w:eastAsia="Palatino Linotype" w:hAnsi="Palatino Linotype" w:cs="Palatino Linotype"/>
                <w:i/>
                <w:sz w:val="22"/>
                <w:szCs w:val="22"/>
              </w:rPr>
              <w:t>“SOLICITO LAS LISTAS DE ASISTENCIA DE TODAS LAS DIRECCIONES DEL 1 DE ENERO AL 31 DE DICIEMBRE DE 2022” (SIC)</w:t>
            </w:r>
          </w:p>
        </w:tc>
      </w:tr>
    </w:tbl>
    <w:p w14:paraId="401FBC3B" w14:textId="77777777" w:rsidR="0053592A" w:rsidRPr="005D58F0" w:rsidRDefault="0053592A" w:rsidP="005D58F0">
      <w:pPr>
        <w:ind w:right="899"/>
        <w:jc w:val="both"/>
        <w:rPr>
          <w:rFonts w:ascii="Palatino Linotype" w:eastAsia="Palatino Linotype" w:hAnsi="Palatino Linotype" w:cs="Palatino Linotype"/>
          <w:sz w:val="22"/>
          <w:szCs w:val="22"/>
        </w:rPr>
      </w:pPr>
    </w:p>
    <w:p w14:paraId="1C84F9AE" w14:textId="77777777" w:rsidR="0053592A" w:rsidRPr="005D58F0" w:rsidRDefault="0053592A" w:rsidP="005D58F0">
      <w:pPr>
        <w:ind w:right="899"/>
        <w:jc w:val="both"/>
        <w:rPr>
          <w:rFonts w:ascii="Palatino Linotype" w:eastAsia="Palatino Linotype" w:hAnsi="Palatino Linotype" w:cs="Palatino Linotype"/>
          <w:sz w:val="22"/>
          <w:szCs w:val="22"/>
        </w:rPr>
      </w:pPr>
    </w:p>
    <w:p w14:paraId="346B3E4F" w14:textId="77777777" w:rsidR="0053592A" w:rsidRPr="005D58F0" w:rsidRDefault="00263B8E" w:rsidP="005D58F0">
      <w:pPr>
        <w:widowControl w:val="0"/>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t xml:space="preserve">MODALIDAD DE ENTREGA: </w:t>
      </w:r>
      <w:r w:rsidRPr="005D58F0">
        <w:rPr>
          <w:rFonts w:ascii="Palatino Linotype" w:eastAsia="Palatino Linotype" w:hAnsi="Palatino Linotype" w:cs="Palatino Linotype"/>
        </w:rPr>
        <w:t xml:space="preserve">Vía </w:t>
      </w:r>
      <w:r w:rsidRPr="005D58F0">
        <w:rPr>
          <w:rFonts w:ascii="Palatino Linotype" w:eastAsia="Palatino Linotype" w:hAnsi="Palatino Linotype" w:cs="Palatino Linotype"/>
          <w:b/>
        </w:rPr>
        <w:t xml:space="preserve">SAIMEX </w:t>
      </w:r>
    </w:p>
    <w:p w14:paraId="11423C16" w14:textId="77777777" w:rsidR="0053592A" w:rsidRPr="005D58F0" w:rsidRDefault="0053592A" w:rsidP="005D58F0">
      <w:pPr>
        <w:widowControl w:val="0"/>
        <w:spacing w:line="360" w:lineRule="auto"/>
        <w:jc w:val="both"/>
        <w:rPr>
          <w:rFonts w:ascii="Palatino Linotype" w:eastAsia="Palatino Linotype" w:hAnsi="Palatino Linotype" w:cs="Palatino Linotype"/>
          <w:b/>
        </w:rPr>
      </w:pPr>
    </w:p>
    <w:p w14:paraId="3507D43C"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 xml:space="preserve">2. Aclaración. </w:t>
      </w:r>
      <w:r w:rsidRPr="005D58F0">
        <w:rPr>
          <w:rFonts w:ascii="Palatino Linotype" w:eastAsia="Palatino Linotype" w:hAnsi="Palatino Linotype" w:cs="Palatino Linotype"/>
        </w:rPr>
        <w:t xml:space="preserve">El dieciséis de enero el sujeto obligado requirió a la solicitante en cada una de las solicitudes, en los términos siguientes: </w:t>
      </w:r>
    </w:p>
    <w:p w14:paraId="0865DD23" w14:textId="77777777" w:rsidR="0053592A" w:rsidRPr="005D58F0" w:rsidRDefault="00263B8E" w:rsidP="005D58F0">
      <w:pPr>
        <w:widowControl w:val="0"/>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 Este Sujeto Obligado requiere ampliar los datos de su solicitud a efecto de asegurar la continuidad del proceso de acceso a la información, por lo que se le solicita la aclaración de su solicitud, especificando correctamente los elementos requeridos, no omito mencionar que su aclaración deberá ir encaminada en lo solicitado previamente, dado que en caso de que no fuera así, esta Unidad de Transparencia procederá a dar incompetencia por inconsistencias en su petición; Lo anterior se requiere para que esta Unidad de Transparencia cuente con los elementos necesarios que permitan realizar una búsqueda exhaustiva en los archivos municipales.</w:t>
      </w:r>
    </w:p>
    <w:p w14:paraId="46E14B4D" w14:textId="77777777" w:rsidR="0053592A" w:rsidRPr="005D58F0" w:rsidRDefault="0053592A" w:rsidP="005D58F0">
      <w:pPr>
        <w:widowControl w:val="0"/>
        <w:ind w:left="851" w:right="899"/>
        <w:jc w:val="both"/>
        <w:rPr>
          <w:rFonts w:ascii="Palatino Linotype" w:eastAsia="Palatino Linotype" w:hAnsi="Palatino Linotype" w:cs="Palatino Linotype"/>
          <w:i/>
          <w:sz w:val="22"/>
          <w:szCs w:val="22"/>
        </w:rPr>
      </w:pPr>
    </w:p>
    <w:p w14:paraId="4C129CAB"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En respuesta, ese mismo día, la solicitante aclaró en cada una de las solicitudes:</w:t>
      </w:r>
    </w:p>
    <w:p w14:paraId="011121D8" w14:textId="77777777" w:rsidR="0053592A" w:rsidRPr="005D58F0" w:rsidRDefault="00263B8E" w:rsidP="005D58F0">
      <w:pPr>
        <w:widowControl w:val="0"/>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“LA SOLICITUD ES MUY CLARA, OJALA ENTIENDA EL PSEUDO TITULAR DE TRANSPARENCIA QUE CON METER ACLARACIONES, NO DEBEN DEJAR DE RESPONDER LAS SOLICITUDES, ESPEREMOS YA LE IMPONGAN UNA MULTA POR SER OMISOS EN LAS RESPUESTAS.”</w:t>
      </w:r>
    </w:p>
    <w:p w14:paraId="44BB3909"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lastRenderedPageBreak/>
        <w:t>3.</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 xml:space="preserve">Turnos de requerimientos DEL SUJETO OBLIGADO. </w:t>
      </w:r>
      <w:r w:rsidRPr="005D58F0">
        <w:rPr>
          <w:rFonts w:ascii="Palatino Linotype" w:eastAsia="Palatino Linotype" w:hAnsi="Palatino Linotype" w:cs="Palatino Linotype"/>
        </w:rPr>
        <w:t>El diecisiete de enero de dos mil veintitrés, el Titular de la Unidad de Transparencia turnó las solicitudes de información a los servidores públicos habilitados que estimó competentes, en términos del artículo 162 de la Ley de Transparencia y Acceso a la Información Pública del Estado de México y Municipios</w:t>
      </w:r>
      <w:r w:rsidRPr="005D58F0">
        <w:rPr>
          <w:rFonts w:ascii="Palatino Linotype" w:eastAsia="Palatino Linotype" w:hAnsi="Palatino Linotype" w:cs="Palatino Linotype"/>
          <w:vertAlign w:val="superscript"/>
        </w:rPr>
        <w:footnoteReference w:id="4"/>
      </w:r>
      <w:r w:rsidRPr="005D58F0">
        <w:rPr>
          <w:rFonts w:ascii="Palatino Linotype" w:eastAsia="Palatino Linotype" w:hAnsi="Palatino Linotype" w:cs="Palatino Linotype"/>
        </w:rPr>
        <w:t>.</w:t>
      </w:r>
    </w:p>
    <w:p w14:paraId="28133077" w14:textId="77777777" w:rsidR="005D58F0" w:rsidRDefault="005D58F0" w:rsidP="005D58F0">
      <w:pPr>
        <w:widowControl w:val="0"/>
        <w:spacing w:line="360" w:lineRule="auto"/>
        <w:jc w:val="both"/>
        <w:rPr>
          <w:rFonts w:ascii="Palatino Linotype" w:eastAsia="Palatino Linotype" w:hAnsi="Palatino Linotype" w:cs="Palatino Linotype"/>
          <w:b/>
        </w:rPr>
      </w:pPr>
    </w:p>
    <w:p w14:paraId="44853D6D"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 xml:space="preserve">4. Respuestas. </w:t>
      </w:r>
      <w:r w:rsidRPr="005D58F0">
        <w:rPr>
          <w:rFonts w:ascii="Palatino Linotype" w:eastAsia="Palatino Linotype" w:hAnsi="Palatino Linotype" w:cs="Palatino Linotype"/>
        </w:rPr>
        <w:t xml:space="preserve">El siete de febrero de esa misma anualidad,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dio respuesta a las solicitudes de información de la forma siguiente: </w:t>
      </w:r>
    </w:p>
    <w:p w14:paraId="4692500B"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tbl>
      <w:tblPr>
        <w:tblStyle w:val="a0"/>
        <w:tblW w:w="92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1501"/>
        <w:gridCol w:w="7234"/>
        <w:gridCol w:w="10"/>
      </w:tblGrid>
      <w:tr w:rsidR="005D58F0" w:rsidRPr="005D58F0" w14:paraId="7F0838AD" w14:textId="77777777">
        <w:trPr>
          <w:tblHeader/>
          <w:jc w:val="center"/>
        </w:trPr>
        <w:tc>
          <w:tcPr>
            <w:tcW w:w="479" w:type="dxa"/>
            <w:shd w:val="clear" w:color="auto" w:fill="D9D9D9"/>
            <w:vAlign w:val="center"/>
          </w:tcPr>
          <w:p w14:paraId="7615A0D7" w14:textId="77777777" w:rsidR="0053592A" w:rsidRPr="005D58F0" w:rsidRDefault="00263B8E" w:rsidP="005D58F0">
            <w:pPr>
              <w:jc w:val="center"/>
              <w:rPr>
                <w:rFonts w:ascii="Palatino Linotype" w:eastAsia="Palatino Linotype" w:hAnsi="Palatino Linotype" w:cs="Palatino Linotype"/>
                <w:b/>
                <w:sz w:val="16"/>
                <w:szCs w:val="16"/>
              </w:rPr>
            </w:pPr>
            <w:bookmarkStart w:id="5" w:name="_heading=h.3znysh7" w:colFirst="0" w:colLast="0"/>
            <w:bookmarkEnd w:id="5"/>
            <w:r w:rsidRPr="005D58F0">
              <w:rPr>
                <w:rFonts w:ascii="Palatino Linotype" w:eastAsia="Palatino Linotype" w:hAnsi="Palatino Linotype" w:cs="Palatino Linotype"/>
                <w:b/>
                <w:sz w:val="16"/>
                <w:szCs w:val="16"/>
              </w:rPr>
              <w:t>No.</w:t>
            </w:r>
          </w:p>
        </w:tc>
        <w:tc>
          <w:tcPr>
            <w:tcW w:w="1501" w:type="dxa"/>
            <w:shd w:val="clear" w:color="auto" w:fill="D9D9D9"/>
            <w:vAlign w:val="center"/>
          </w:tcPr>
          <w:p w14:paraId="36C8590F" w14:textId="77777777" w:rsidR="0053592A" w:rsidRPr="005D58F0" w:rsidRDefault="00263B8E" w:rsidP="005D58F0">
            <w:pPr>
              <w:jc w:val="center"/>
              <w:rPr>
                <w:rFonts w:ascii="Palatino Linotype" w:eastAsia="Palatino Linotype" w:hAnsi="Palatino Linotype" w:cs="Palatino Linotype"/>
                <w:b/>
                <w:sz w:val="22"/>
                <w:szCs w:val="22"/>
              </w:rPr>
            </w:pPr>
            <w:r w:rsidRPr="005D58F0">
              <w:rPr>
                <w:rFonts w:ascii="Palatino Linotype" w:eastAsia="Palatino Linotype" w:hAnsi="Palatino Linotype" w:cs="Palatino Linotype"/>
                <w:b/>
                <w:sz w:val="22"/>
                <w:szCs w:val="22"/>
              </w:rPr>
              <w:t>Solicitud /Recurso</w:t>
            </w:r>
          </w:p>
        </w:tc>
        <w:tc>
          <w:tcPr>
            <w:tcW w:w="7244" w:type="dxa"/>
            <w:gridSpan w:val="2"/>
            <w:shd w:val="clear" w:color="auto" w:fill="D9D9D9"/>
            <w:vAlign w:val="center"/>
          </w:tcPr>
          <w:p w14:paraId="3F0D5F27" w14:textId="77777777" w:rsidR="0053592A" w:rsidRPr="005D58F0" w:rsidRDefault="00263B8E" w:rsidP="005D58F0">
            <w:pPr>
              <w:jc w:val="center"/>
              <w:rPr>
                <w:rFonts w:ascii="Palatino Linotype" w:eastAsia="Palatino Linotype" w:hAnsi="Palatino Linotype" w:cs="Palatino Linotype"/>
                <w:b/>
                <w:sz w:val="22"/>
                <w:szCs w:val="22"/>
              </w:rPr>
            </w:pPr>
            <w:r w:rsidRPr="005D58F0">
              <w:rPr>
                <w:rFonts w:ascii="Palatino Linotype" w:eastAsia="Palatino Linotype" w:hAnsi="Palatino Linotype" w:cs="Palatino Linotype"/>
                <w:b/>
                <w:sz w:val="22"/>
                <w:szCs w:val="22"/>
              </w:rPr>
              <w:t>Resumen de respuesta</w:t>
            </w:r>
            <w:r w:rsidRPr="005D58F0">
              <w:rPr>
                <w:rFonts w:ascii="Palatino Linotype" w:eastAsia="Palatino Linotype" w:hAnsi="Palatino Linotype" w:cs="Palatino Linotype"/>
                <w:b/>
                <w:sz w:val="22"/>
                <w:szCs w:val="22"/>
                <w:vertAlign w:val="superscript"/>
              </w:rPr>
              <w:footnoteReference w:id="5"/>
            </w:r>
          </w:p>
        </w:tc>
      </w:tr>
      <w:tr w:rsidR="005D58F0" w:rsidRPr="005D58F0" w14:paraId="79A1C494" w14:textId="77777777">
        <w:trPr>
          <w:jc w:val="center"/>
        </w:trPr>
        <w:tc>
          <w:tcPr>
            <w:tcW w:w="479" w:type="dxa"/>
            <w:shd w:val="clear" w:color="auto" w:fill="D9D9D9"/>
            <w:vAlign w:val="center"/>
          </w:tcPr>
          <w:p w14:paraId="7973390F"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1</w:t>
            </w:r>
          </w:p>
        </w:tc>
        <w:tc>
          <w:tcPr>
            <w:tcW w:w="1501" w:type="dxa"/>
          </w:tcPr>
          <w:p w14:paraId="5460EA29" w14:textId="77777777" w:rsidR="0053592A" w:rsidRPr="005D58F0" w:rsidRDefault="00263B8E" w:rsidP="005D58F0">
            <w:pPr>
              <w:rPr>
                <w:rFonts w:ascii="Palatino Linotype" w:eastAsia="Palatino Linotype" w:hAnsi="Palatino Linotype" w:cs="Palatino Linotype"/>
                <w:sz w:val="22"/>
                <w:szCs w:val="22"/>
              </w:rPr>
            </w:pPr>
            <w:r w:rsidRPr="005D58F0">
              <w:rPr>
                <w:rFonts w:ascii="Palatino Linotype" w:eastAsia="Palatino Linotype" w:hAnsi="Palatino Linotype" w:cs="Palatino Linotype"/>
                <w:b/>
                <w:sz w:val="22"/>
                <w:szCs w:val="22"/>
              </w:rPr>
              <w:t>00014/</w:t>
            </w:r>
            <w:r w:rsidRPr="005D58F0">
              <w:rPr>
                <w:rFonts w:ascii="Palatino Linotype" w:eastAsia="Palatino Linotype" w:hAnsi="Palatino Linotype" w:cs="Palatino Linotype"/>
                <w:sz w:val="22"/>
                <w:szCs w:val="22"/>
              </w:rPr>
              <w:t>767</w:t>
            </w:r>
          </w:p>
          <w:p w14:paraId="25040E86" w14:textId="77777777" w:rsidR="0053592A" w:rsidRPr="005D58F0" w:rsidRDefault="0053592A" w:rsidP="005D58F0">
            <w:pPr>
              <w:rPr>
                <w:rFonts w:ascii="Palatino Linotype" w:eastAsia="Palatino Linotype" w:hAnsi="Palatino Linotype" w:cs="Palatino Linotype"/>
                <w:sz w:val="22"/>
                <w:szCs w:val="22"/>
              </w:rPr>
            </w:pPr>
          </w:p>
        </w:tc>
        <w:tc>
          <w:tcPr>
            <w:tcW w:w="7244" w:type="dxa"/>
            <w:gridSpan w:val="2"/>
          </w:tcPr>
          <w:p w14:paraId="27ADE62D" w14:textId="77777777" w:rsidR="0053592A" w:rsidRPr="005D58F0" w:rsidRDefault="00263B8E" w:rsidP="005D58F0">
            <w:pPr>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le comento que no se generó lista de asistencia, ya que el evento realizado fue después del horario laboral además de que cada servidor público se hizo cargo de su vestimenta.”</w:t>
            </w:r>
          </w:p>
          <w:p w14:paraId="5564085D" w14:textId="77777777" w:rsidR="0053592A" w:rsidRPr="005D58F0" w:rsidRDefault="0053592A" w:rsidP="005D58F0">
            <w:pPr>
              <w:rPr>
                <w:rFonts w:ascii="Palatino Linotype" w:eastAsia="Palatino Linotype" w:hAnsi="Palatino Linotype" w:cs="Palatino Linotype"/>
                <w:i/>
                <w:sz w:val="22"/>
                <w:szCs w:val="22"/>
              </w:rPr>
            </w:pPr>
          </w:p>
        </w:tc>
      </w:tr>
      <w:tr w:rsidR="005D58F0" w:rsidRPr="005D58F0" w14:paraId="20E847FC" w14:textId="77777777">
        <w:trPr>
          <w:jc w:val="center"/>
        </w:trPr>
        <w:tc>
          <w:tcPr>
            <w:tcW w:w="479" w:type="dxa"/>
            <w:shd w:val="clear" w:color="auto" w:fill="D9D9D9"/>
            <w:vAlign w:val="center"/>
          </w:tcPr>
          <w:p w14:paraId="4DFF5814"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2</w:t>
            </w:r>
          </w:p>
        </w:tc>
        <w:tc>
          <w:tcPr>
            <w:tcW w:w="1501" w:type="dxa"/>
          </w:tcPr>
          <w:p w14:paraId="57E2C9E9" w14:textId="77777777" w:rsidR="0053592A" w:rsidRPr="005D58F0" w:rsidRDefault="00263B8E" w:rsidP="005D58F0">
            <w:pPr>
              <w:rPr>
                <w:rFonts w:ascii="Palatino Linotype" w:eastAsia="Palatino Linotype" w:hAnsi="Palatino Linotype" w:cs="Palatino Linotype"/>
                <w:sz w:val="22"/>
                <w:szCs w:val="22"/>
              </w:rPr>
            </w:pPr>
            <w:r w:rsidRPr="005D58F0">
              <w:rPr>
                <w:rFonts w:ascii="Palatino Linotype" w:eastAsia="Palatino Linotype" w:hAnsi="Palatino Linotype" w:cs="Palatino Linotype"/>
                <w:b/>
                <w:sz w:val="22"/>
                <w:szCs w:val="22"/>
              </w:rPr>
              <w:t>00041/</w:t>
            </w:r>
            <w:r w:rsidRPr="005D58F0">
              <w:rPr>
                <w:rFonts w:ascii="Palatino Linotype" w:eastAsia="Palatino Linotype" w:hAnsi="Palatino Linotype" w:cs="Palatino Linotype"/>
                <w:sz w:val="22"/>
                <w:szCs w:val="22"/>
              </w:rPr>
              <w:t>769</w:t>
            </w:r>
          </w:p>
          <w:p w14:paraId="3268D6E6" w14:textId="77777777" w:rsidR="0053592A" w:rsidRPr="005D58F0" w:rsidRDefault="0053592A" w:rsidP="005D58F0">
            <w:pPr>
              <w:rPr>
                <w:rFonts w:ascii="Palatino Linotype" w:eastAsia="Palatino Linotype" w:hAnsi="Palatino Linotype" w:cs="Palatino Linotype"/>
                <w:b/>
                <w:sz w:val="22"/>
                <w:szCs w:val="22"/>
              </w:rPr>
            </w:pPr>
          </w:p>
        </w:tc>
        <w:tc>
          <w:tcPr>
            <w:tcW w:w="7244" w:type="dxa"/>
            <w:gridSpan w:val="2"/>
          </w:tcPr>
          <w:p w14:paraId="7B08F491" w14:textId="77777777" w:rsidR="0053592A" w:rsidRPr="005D58F0" w:rsidRDefault="00263B8E" w:rsidP="005D58F0">
            <w:pPr>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le comento que el instituto Municipal de Cultura Física y Deporte de Zinacantepec no genera listas de asistencia de la alberca municipal.</w:t>
            </w:r>
          </w:p>
          <w:p w14:paraId="219B55AA" w14:textId="77777777" w:rsidR="0053592A" w:rsidRPr="005D58F0" w:rsidRDefault="00263B8E" w:rsidP="005D58F0">
            <w:pPr>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El instituto Municipal de Cultura Física y Deporte de Zinacantepec durante el ejercicio fiscal 2022 la alberca del Centro Acuático “Valor Deportivo” Zinacantepec, efectuó un gasto total de gas y mantenimiento como muestra en la siguiente tabla: …”</w:t>
            </w:r>
          </w:p>
          <w:p w14:paraId="5F321F51" w14:textId="77777777" w:rsidR="0053592A" w:rsidRPr="005D58F0" w:rsidRDefault="0053592A" w:rsidP="005D58F0">
            <w:pPr>
              <w:jc w:val="both"/>
              <w:rPr>
                <w:rFonts w:ascii="Palatino Linotype" w:eastAsia="Palatino Linotype" w:hAnsi="Palatino Linotype" w:cs="Palatino Linotype"/>
                <w:i/>
                <w:sz w:val="22"/>
                <w:szCs w:val="22"/>
              </w:rPr>
            </w:pPr>
          </w:p>
        </w:tc>
      </w:tr>
      <w:tr w:rsidR="005D58F0" w:rsidRPr="005D58F0" w14:paraId="76EE4F51" w14:textId="77777777">
        <w:trPr>
          <w:gridAfter w:val="1"/>
          <w:wAfter w:w="10" w:type="dxa"/>
          <w:trHeight w:val="525"/>
          <w:jc w:val="center"/>
        </w:trPr>
        <w:tc>
          <w:tcPr>
            <w:tcW w:w="479" w:type="dxa"/>
            <w:shd w:val="clear" w:color="auto" w:fill="D9D9D9"/>
            <w:vAlign w:val="center"/>
          </w:tcPr>
          <w:p w14:paraId="0A1E550F"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3</w:t>
            </w:r>
          </w:p>
        </w:tc>
        <w:tc>
          <w:tcPr>
            <w:tcW w:w="1501" w:type="dxa"/>
          </w:tcPr>
          <w:p w14:paraId="48B1D101" w14:textId="77777777" w:rsidR="0053592A" w:rsidRPr="005D58F0" w:rsidRDefault="00263B8E" w:rsidP="005D58F0">
            <w:pPr>
              <w:rPr>
                <w:rFonts w:ascii="Palatino Linotype" w:eastAsia="Palatino Linotype" w:hAnsi="Palatino Linotype" w:cs="Palatino Linotype"/>
                <w:b/>
                <w:sz w:val="22"/>
                <w:szCs w:val="22"/>
              </w:rPr>
            </w:pPr>
            <w:r w:rsidRPr="005D58F0">
              <w:rPr>
                <w:rFonts w:ascii="Palatino Linotype" w:eastAsia="Palatino Linotype" w:hAnsi="Palatino Linotype" w:cs="Palatino Linotype"/>
                <w:b/>
                <w:sz w:val="22"/>
                <w:szCs w:val="22"/>
              </w:rPr>
              <w:t>00043/</w:t>
            </w:r>
            <w:r w:rsidRPr="005D58F0">
              <w:rPr>
                <w:rFonts w:ascii="Palatino Linotype" w:eastAsia="Palatino Linotype" w:hAnsi="Palatino Linotype" w:cs="Palatino Linotype"/>
                <w:sz w:val="22"/>
                <w:szCs w:val="22"/>
              </w:rPr>
              <w:t>773</w:t>
            </w:r>
          </w:p>
        </w:tc>
        <w:tc>
          <w:tcPr>
            <w:tcW w:w="7234" w:type="dxa"/>
          </w:tcPr>
          <w:p w14:paraId="68ABE1D0" w14:textId="77777777" w:rsidR="0053592A" w:rsidRPr="005D58F0" w:rsidRDefault="00263B8E" w:rsidP="005D58F0">
            <w:pPr>
              <w:pBdr>
                <w:top w:val="nil"/>
                <w:left w:val="nil"/>
                <w:bottom w:val="nil"/>
                <w:right w:val="nil"/>
                <w:between w:val="nil"/>
              </w:pBdr>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le hago de su conocimiento que en cuanto a las listas de asistencia, los mandos medios y directores no se les generan listas de asistencia, toda vez que son personal de confianza.”</w:t>
            </w:r>
          </w:p>
          <w:p w14:paraId="2502C939" w14:textId="77777777" w:rsidR="0053592A" w:rsidRPr="005D58F0" w:rsidRDefault="0053592A" w:rsidP="005D58F0">
            <w:pPr>
              <w:pBdr>
                <w:top w:val="nil"/>
                <w:left w:val="nil"/>
                <w:bottom w:val="nil"/>
                <w:right w:val="nil"/>
                <w:between w:val="nil"/>
              </w:pBdr>
              <w:jc w:val="both"/>
              <w:rPr>
                <w:rFonts w:ascii="Palatino Linotype" w:eastAsia="Palatino Linotype" w:hAnsi="Palatino Linotype" w:cs="Palatino Linotype"/>
                <w:i/>
                <w:sz w:val="22"/>
                <w:szCs w:val="22"/>
              </w:rPr>
            </w:pPr>
          </w:p>
        </w:tc>
      </w:tr>
    </w:tbl>
    <w:p w14:paraId="2F65DECC" w14:textId="77777777" w:rsidR="0053592A" w:rsidRDefault="0053592A" w:rsidP="005D58F0">
      <w:pPr>
        <w:spacing w:line="360" w:lineRule="auto"/>
        <w:jc w:val="both"/>
        <w:rPr>
          <w:rFonts w:ascii="Palatino Linotype" w:eastAsia="Palatino Linotype" w:hAnsi="Palatino Linotype" w:cs="Palatino Linotype"/>
        </w:rPr>
      </w:pPr>
    </w:p>
    <w:p w14:paraId="0336FB08" w14:textId="77777777" w:rsidR="005D58F0" w:rsidRPr="005D58F0" w:rsidRDefault="005D58F0" w:rsidP="005D58F0">
      <w:pPr>
        <w:spacing w:line="360" w:lineRule="auto"/>
        <w:jc w:val="both"/>
        <w:rPr>
          <w:rFonts w:ascii="Palatino Linotype" w:eastAsia="Palatino Linotype" w:hAnsi="Palatino Linotype" w:cs="Palatino Linotype"/>
        </w:rPr>
      </w:pPr>
    </w:p>
    <w:p w14:paraId="72210210"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sz w:val="28"/>
          <w:szCs w:val="28"/>
        </w:rPr>
        <w:lastRenderedPageBreak/>
        <w:t>II. De los Recursos de Revisión</w:t>
      </w:r>
      <w:r w:rsidRPr="005D58F0">
        <w:rPr>
          <w:rFonts w:ascii="Palatino Linotype" w:eastAsia="Palatino Linotype" w:hAnsi="Palatino Linotype" w:cs="Palatino Linotype"/>
          <w:b/>
        </w:rPr>
        <w:t>.</w:t>
      </w:r>
    </w:p>
    <w:p w14:paraId="7759045D" w14:textId="77777777" w:rsidR="0053592A" w:rsidRPr="005D58F0" w:rsidRDefault="00263B8E" w:rsidP="005D58F0">
      <w:pPr>
        <w:widowControl w:val="0"/>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t xml:space="preserve">1. Interposición. </w:t>
      </w:r>
    </w:p>
    <w:p w14:paraId="2D095AFF"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Inconforme por las respuestas, el once de febrero de dos mil veintitrés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interpuso los Recursos de Revisión, registrados en </w:t>
      </w:r>
      <w:r w:rsidRPr="005D58F0">
        <w:rPr>
          <w:rFonts w:ascii="Palatino Linotype" w:eastAsia="Palatino Linotype" w:hAnsi="Palatino Linotype" w:cs="Palatino Linotype"/>
          <w:b/>
        </w:rPr>
        <w:t>EL SAIMEX</w:t>
      </w:r>
      <w:r w:rsidRPr="005D58F0">
        <w:rPr>
          <w:rFonts w:ascii="Palatino Linotype" w:eastAsia="Palatino Linotype" w:hAnsi="Palatino Linotype" w:cs="Palatino Linotype"/>
        </w:rPr>
        <w:t xml:space="preserve"> bajo los números de expedientes,</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rPr>
        <w:t xml:space="preserve">con los actos impugnados y motivos de agravio siguientes: </w:t>
      </w:r>
    </w:p>
    <w:p w14:paraId="5AF4C22D"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tbl>
      <w:tblPr>
        <w:tblStyle w:val="a1"/>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5675"/>
      </w:tblGrid>
      <w:tr w:rsidR="005D58F0" w:rsidRPr="005D58F0" w14:paraId="3E25ACB2" w14:textId="77777777">
        <w:trPr>
          <w:trHeight w:val="436"/>
          <w:tblHeader/>
          <w:jc w:val="center"/>
        </w:trPr>
        <w:tc>
          <w:tcPr>
            <w:tcW w:w="562" w:type="dxa"/>
            <w:shd w:val="clear" w:color="auto" w:fill="D9D9D9"/>
            <w:vAlign w:val="center"/>
          </w:tcPr>
          <w:p w14:paraId="7ACA1482" w14:textId="77777777" w:rsidR="0053592A" w:rsidRPr="005D58F0" w:rsidRDefault="00263B8E" w:rsidP="005D58F0">
            <w:pPr>
              <w:jc w:val="center"/>
              <w:rPr>
                <w:rFonts w:ascii="Palatino Linotype" w:eastAsia="Palatino Linotype" w:hAnsi="Palatino Linotype" w:cs="Palatino Linotype"/>
                <w:b/>
                <w:sz w:val="20"/>
                <w:szCs w:val="20"/>
              </w:rPr>
            </w:pPr>
            <w:bookmarkStart w:id="6" w:name="_heading=h.2et92p0" w:colFirst="0" w:colLast="0"/>
            <w:bookmarkEnd w:id="6"/>
            <w:r w:rsidRPr="005D58F0">
              <w:rPr>
                <w:rFonts w:ascii="Palatino Linotype" w:eastAsia="Palatino Linotype" w:hAnsi="Palatino Linotype" w:cs="Palatino Linotype"/>
                <w:b/>
                <w:sz w:val="20"/>
                <w:szCs w:val="20"/>
              </w:rPr>
              <w:t>No.</w:t>
            </w:r>
          </w:p>
        </w:tc>
        <w:tc>
          <w:tcPr>
            <w:tcW w:w="2694" w:type="dxa"/>
            <w:shd w:val="clear" w:color="auto" w:fill="D9D9D9"/>
            <w:vAlign w:val="center"/>
          </w:tcPr>
          <w:p w14:paraId="3581A91A"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Recurso de Revisión</w:t>
            </w:r>
          </w:p>
        </w:tc>
        <w:tc>
          <w:tcPr>
            <w:tcW w:w="5675" w:type="dxa"/>
            <w:shd w:val="clear" w:color="auto" w:fill="D9D9D9"/>
            <w:vAlign w:val="center"/>
          </w:tcPr>
          <w:p w14:paraId="4A41173F"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Actos impugnados y motivos de agravio</w:t>
            </w:r>
          </w:p>
        </w:tc>
      </w:tr>
      <w:tr w:rsidR="005D58F0" w:rsidRPr="005D58F0" w14:paraId="3F8A48FD" w14:textId="77777777">
        <w:trPr>
          <w:jc w:val="center"/>
        </w:trPr>
        <w:tc>
          <w:tcPr>
            <w:tcW w:w="562" w:type="dxa"/>
            <w:shd w:val="clear" w:color="auto" w:fill="D9D9D9"/>
            <w:vAlign w:val="center"/>
          </w:tcPr>
          <w:p w14:paraId="465EF637" w14:textId="77777777" w:rsidR="0053592A" w:rsidRPr="005D58F0" w:rsidRDefault="0053592A" w:rsidP="005D58F0">
            <w:pPr>
              <w:jc w:val="center"/>
              <w:rPr>
                <w:rFonts w:ascii="Palatino Linotype" w:eastAsia="Palatino Linotype" w:hAnsi="Palatino Linotype" w:cs="Palatino Linotype"/>
                <w:b/>
                <w:sz w:val="20"/>
                <w:szCs w:val="20"/>
              </w:rPr>
            </w:pPr>
          </w:p>
          <w:p w14:paraId="441875BF"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1</w:t>
            </w:r>
          </w:p>
        </w:tc>
        <w:tc>
          <w:tcPr>
            <w:tcW w:w="2694" w:type="dxa"/>
          </w:tcPr>
          <w:p w14:paraId="7969EB16" w14:textId="77777777" w:rsidR="0053592A" w:rsidRPr="005D58F0" w:rsidRDefault="00263B8E" w:rsidP="005D58F0">
            <w:pPr>
              <w:rPr>
                <w:rFonts w:ascii="Palatino Linotype" w:eastAsia="Palatino Linotype" w:hAnsi="Palatino Linotype" w:cs="Palatino Linotype"/>
                <w:sz w:val="20"/>
                <w:szCs w:val="20"/>
              </w:rPr>
            </w:pPr>
            <w:r w:rsidRPr="005D58F0">
              <w:rPr>
                <w:rFonts w:ascii="Palatino Linotype" w:eastAsia="Palatino Linotype" w:hAnsi="Palatino Linotype" w:cs="Palatino Linotype"/>
                <w:b/>
                <w:sz w:val="20"/>
                <w:szCs w:val="20"/>
              </w:rPr>
              <w:t>767/INFOEM/IP/RR/2023</w:t>
            </w:r>
            <w:r w:rsidRPr="005D58F0">
              <w:rPr>
                <w:rFonts w:ascii="Palatino Linotype" w:eastAsia="Palatino Linotype" w:hAnsi="Palatino Linotype" w:cs="Palatino Linotype"/>
                <w:sz w:val="20"/>
                <w:szCs w:val="20"/>
              </w:rPr>
              <w:t xml:space="preserve"> (00014)</w:t>
            </w:r>
          </w:p>
          <w:p w14:paraId="6F6CAEDD" w14:textId="77777777" w:rsidR="0053592A" w:rsidRPr="005D58F0" w:rsidRDefault="0053592A" w:rsidP="005D58F0">
            <w:pPr>
              <w:rPr>
                <w:rFonts w:ascii="Palatino Linotype" w:eastAsia="Palatino Linotype" w:hAnsi="Palatino Linotype" w:cs="Palatino Linotype"/>
                <w:sz w:val="20"/>
                <w:szCs w:val="20"/>
              </w:rPr>
            </w:pPr>
          </w:p>
        </w:tc>
        <w:tc>
          <w:tcPr>
            <w:tcW w:w="5675" w:type="dxa"/>
          </w:tcPr>
          <w:p w14:paraId="377D4880"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“ACTO IMPUGNADO: NO ENTREGA INFORMACIÓN”</w:t>
            </w:r>
          </w:p>
          <w:p w14:paraId="5C5325D9" w14:textId="77777777" w:rsidR="0053592A" w:rsidRPr="005D58F0" w:rsidRDefault="0053592A" w:rsidP="005D58F0">
            <w:pPr>
              <w:jc w:val="both"/>
              <w:rPr>
                <w:rFonts w:ascii="Palatino Linotype" w:eastAsia="Palatino Linotype" w:hAnsi="Palatino Linotype" w:cs="Palatino Linotype"/>
                <w:i/>
                <w:sz w:val="20"/>
                <w:szCs w:val="20"/>
              </w:rPr>
            </w:pPr>
          </w:p>
          <w:p w14:paraId="7CDFDD61"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 xml:space="preserve">“RAZONES O MOTIVOS DE LA INCONFORMIDAD: </w:t>
            </w:r>
          </w:p>
          <w:p w14:paraId="333CD37E"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NO ENTREGA INFORMACIÓN</w:t>
            </w:r>
          </w:p>
        </w:tc>
      </w:tr>
      <w:tr w:rsidR="005D58F0" w:rsidRPr="005D58F0" w14:paraId="25BA601E" w14:textId="77777777">
        <w:trPr>
          <w:jc w:val="center"/>
        </w:trPr>
        <w:tc>
          <w:tcPr>
            <w:tcW w:w="562" w:type="dxa"/>
            <w:shd w:val="clear" w:color="auto" w:fill="D9D9D9"/>
            <w:vAlign w:val="center"/>
          </w:tcPr>
          <w:p w14:paraId="371EDEF0"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2</w:t>
            </w:r>
          </w:p>
        </w:tc>
        <w:tc>
          <w:tcPr>
            <w:tcW w:w="2694" w:type="dxa"/>
          </w:tcPr>
          <w:p w14:paraId="365B6C8A" w14:textId="77777777" w:rsidR="0053592A" w:rsidRPr="005D58F0" w:rsidRDefault="00263B8E" w:rsidP="005D58F0">
            <w:pP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769/INFOEM/IP/RR/2023</w:t>
            </w:r>
          </w:p>
          <w:p w14:paraId="6C5FAB51" w14:textId="77777777" w:rsidR="0053592A" w:rsidRPr="005D58F0" w:rsidRDefault="00263B8E" w:rsidP="005D58F0">
            <w:pPr>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(00041)</w:t>
            </w:r>
          </w:p>
          <w:p w14:paraId="2D3C43AE" w14:textId="77777777" w:rsidR="0053592A" w:rsidRPr="005D58F0" w:rsidRDefault="0053592A" w:rsidP="005D58F0">
            <w:pPr>
              <w:rPr>
                <w:rFonts w:ascii="Palatino Linotype" w:eastAsia="Palatino Linotype" w:hAnsi="Palatino Linotype" w:cs="Palatino Linotype"/>
                <w:sz w:val="20"/>
                <w:szCs w:val="20"/>
              </w:rPr>
            </w:pPr>
          </w:p>
        </w:tc>
        <w:tc>
          <w:tcPr>
            <w:tcW w:w="5675" w:type="dxa"/>
          </w:tcPr>
          <w:p w14:paraId="7BFD2A6C"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“ACTO IMPUGNADO: NO ENTREGA INFORMACIÓN”</w:t>
            </w:r>
          </w:p>
          <w:p w14:paraId="3A5164A0" w14:textId="77777777" w:rsidR="0053592A" w:rsidRPr="005D58F0" w:rsidRDefault="0053592A" w:rsidP="005D58F0">
            <w:pPr>
              <w:jc w:val="both"/>
              <w:rPr>
                <w:rFonts w:ascii="Palatino Linotype" w:eastAsia="Palatino Linotype" w:hAnsi="Palatino Linotype" w:cs="Palatino Linotype"/>
                <w:i/>
                <w:sz w:val="20"/>
                <w:szCs w:val="20"/>
              </w:rPr>
            </w:pPr>
          </w:p>
          <w:p w14:paraId="5F8E1D79" w14:textId="77777777" w:rsidR="0053592A" w:rsidRPr="005D58F0" w:rsidRDefault="00263B8E" w:rsidP="005D58F0">
            <w:pPr>
              <w:jc w:val="both"/>
              <w:rPr>
                <w:sz w:val="20"/>
                <w:szCs w:val="20"/>
              </w:rPr>
            </w:pPr>
            <w:r w:rsidRPr="005D58F0">
              <w:rPr>
                <w:rFonts w:ascii="Palatino Linotype" w:eastAsia="Palatino Linotype" w:hAnsi="Palatino Linotype" w:cs="Palatino Linotype"/>
                <w:i/>
                <w:sz w:val="20"/>
                <w:szCs w:val="20"/>
              </w:rPr>
              <w:t>“RAZONES O MOTIVOS DE LA INCONFORMIDAD:</w:t>
            </w:r>
            <w:r w:rsidRPr="005D58F0">
              <w:rPr>
                <w:sz w:val="20"/>
                <w:szCs w:val="20"/>
              </w:rPr>
              <w:t xml:space="preserve"> </w:t>
            </w:r>
          </w:p>
          <w:p w14:paraId="6A0D9281"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NO ENTREGA INFORMACIÓN”</w:t>
            </w:r>
          </w:p>
        </w:tc>
      </w:tr>
      <w:tr w:rsidR="005D58F0" w:rsidRPr="005D58F0" w14:paraId="604E9692" w14:textId="77777777">
        <w:trPr>
          <w:jc w:val="center"/>
        </w:trPr>
        <w:tc>
          <w:tcPr>
            <w:tcW w:w="562" w:type="dxa"/>
            <w:shd w:val="clear" w:color="auto" w:fill="D9D9D9"/>
            <w:vAlign w:val="center"/>
          </w:tcPr>
          <w:p w14:paraId="7A061F09"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3</w:t>
            </w:r>
          </w:p>
        </w:tc>
        <w:tc>
          <w:tcPr>
            <w:tcW w:w="2694" w:type="dxa"/>
          </w:tcPr>
          <w:p w14:paraId="57E188B1" w14:textId="77777777" w:rsidR="0053592A" w:rsidRPr="005D58F0" w:rsidRDefault="00263B8E" w:rsidP="005D58F0">
            <w:pPr>
              <w:rPr>
                <w:rFonts w:ascii="Palatino Linotype" w:eastAsia="Palatino Linotype" w:hAnsi="Palatino Linotype" w:cs="Palatino Linotype"/>
                <w:sz w:val="20"/>
                <w:szCs w:val="20"/>
              </w:rPr>
            </w:pPr>
            <w:r w:rsidRPr="005D58F0">
              <w:rPr>
                <w:rFonts w:ascii="Palatino Linotype" w:eastAsia="Palatino Linotype" w:hAnsi="Palatino Linotype" w:cs="Palatino Linotype"/>
                <w:b/>
                <w:sz w:val="20"/>
                <w:szCs w:val="20"/>
              </w:rPr>
              <w:t>773/INFOEM/IP/RR/2023</w:t>
            </w:r>
            <w:r w:rsidRPr="005D58F0">
              <w:rPr>
                <w:rFonts w:ascii="Palatino Linotype" w:eastAsia="Palatino Linotype" w:hAnsi="Palatino Linotype" w:cs="Palatino Linotype"/>
                <w:sz w:val="20"/>
                <w:szCs w:val="20"/>
              </w:rPr>
              <w:t xml:space="preserve"> (00043)</w:t>
            </w:r>
          </w:p>
          <w:p w14:paraId="0245C1DA" w14:textId="77777777" w:rsidR="0053592A" w:rsidRPr="005D58F0" w:rsidRDefault="0053592A" w:rsidP="005D58F0">
            <w:pPr>
              <w:rPr>
                <w:rFonts w:ascii="Palatino Linotype" w:eastAsia="Palatino Linotype" w:hAnsi="Palatino Linotype" w:cs="Palatino Linotype"/>
                <w:sz w:val="20"/>
                <w:szCs w:val="20"/>
              </w:rPr>
            </w:pPr>
          </w:p>
        </w:tc>
        <w:tc>
          <w:tcPr>
            <w:tcW w:w="5675" w:type="dxa"/>
          </w:tcPr>
          <w:p w14:paraId="492A699D"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“ACTO IMPUGNADO: NO ENTREGA INFORMACIÓN”</w:t>
            </w:r>
          </w:p>
          <w:p w14:paraId="7B228653" w14:textId="77777777" w:rsidR="0053592A" w:rsidRPr="005D58F0" w:rsidRDefault="0053592A" w:rsidP="005D58F0">
            <w:pPr>
              <w:jc w:val="both"/>
              <w:rPr>
                <w:rFonts w:ascii="Palatino Linotype" w:eastAsia="Palatino Linotype" w:hAnsi="Palatino Linotype" w:cs="Palatino Linotype"/>
                <w:i/>
                <w:sz w:val="20"/>
                <w:szCs w:val="20"/>
              </w:rPr>
            </w:pPr>
          </w:p>
          <w:p w14:paraId="76880A45" w14:textId="77777777" w:rsidR="0053592A" w:rsidRPr="005D58F0" w:rsidRDefault="00263B8E" w:rsidP="005D58F0">
            <w:pPr>
              <w:jc w:val="both"/>
              <w:rPr>
                <w:sz w:val="20"/>
                <w:szCs w:val="20"/>
              </w:rPr>
            </w:pPr>
            <w:r w:rsidRPr="005D58F0">
              <w:rPr>
                <w:rFonts w:ascii="Palatino Linotype" w:eastAsia="Palatino Linotype" w:hAnsi="Palatino Linotype" w:cs="Palatino Linotype"/>
                <w:i/>
                <w:sz w:val="20"/>
                <w:szCs w:val="20"/>
              </w:rPr>
              <w:t>“RAZONES O MOTIVOS DE LA INCONFORMIDAD:</w:t>
            </w:r>
            <w:r w:rsidRPr="005D58F0">
              <w:rPr>
                <w:sz w:val="20"/>
                <w:szCs w:val="20"/>
              </w:rPr>
              <w:t xml:space="preserve"> </w:t>
            </w:r>
          </w:p>
          <w:p w14:paraId="5BFEFD77" w14:textId="77777777" w:rsidR="0053592A" w:rsidRPr="005D58F0" w:rsidRDefault="00263B8E" w:rsidP="005D58F0">
            <w:pPr>
              <w:jc w:val="both"/>
              <w:rPr>
                <w:rFonts w:ascii="Palatino Linotype" w:eastAsia="Palatino Linotype" w:hAnsi="Palatino Linotype" w:cs="Palatino Linotype"/>
                <w:i/>
                <w:sz w:val="20"/>
                <w:szCs w:val="20"/>
              </w:rPr>
            </w:pPr>
            <w:r w:rsidRPr="005D58F0">
              <w:rPr>
                <w:rFonts w:ascii="Palatino Linotype" w:eastAsia="Palatino Linotype" w:hAnsi="Palatino Linotype" w:cs="Palatino Linotype"/>
                <w:i/>
                <w:sz w:val="20"/>
                <w:szCs w:val="20"/>
              </w:rPr>
              <w:t>NO ENTREGA INFORMACIÓN”</w:t>
            </w:r>
          </w:p>
        </w:tc>
      </w:tr>
    </w:tbl>
    <w:p w14:paraId="41F33ECC" w14:textId="77777777" w:rsidR="0053592A" w:rsidRPr="005D58F0" w:rsidRDefault="0053592A" w:rsidP="005D58F0">
      <w:pPr>
        <w:spacing w:line="360" w:lineRule="auto"/>
        <w:jc w:val="both"/>
        <w:rPr>
          <w:rFonts w:ascii="Palatino Linotype" w:eastAsia="Palatino Linotype" w:hAnsi="Palatino Linotype" w:cs="Palatino Linotype"/>
          <w:b/>
        </w:rPr>
      </w:pPr>
    </w:p>
    <w:p w14:paraId="2BBCF732"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 xml:space="preserve">2. Del turno de los Recursos de Revisión. </w:t>
      </w:r>
      <w:r w:rsidRPr="005D58F0">
        <w:rPr>
          <w:rFonts w:ascii="Palatino Linotype" w:eastAsia="Palatino Linotype" w:hAnsi="Palatino Linotype" w:cs="Palatino Linotype"/>
        </w:rPr>
        <w:t>El mismo día en que fueron interpuestos, los recursos se enviaron electrónicamente a este Instituto de Transparencia; y con fundamento en el artículo 185, fracción I de la Ley de Transparencia local, fueron turnados a los Comisionados de este Instituto, a efecto de decretar la admisión o desechamiento de los mismos, conforme a lo siguiente:</w:t>
      </w:r>
    </w:p>
    <w:p w14:paraId="0B63FFE6" w14:textId="77777777" w:rsidR="0053592A" w:rsidRPr="005D58F0" w:rsidRDefault="0053592A" w:rsidP="005D58F0">
      <w:pPr>
        <w:spacing w:line="360" w:lineRule="auto"/>
        <w:jc w:val="both"/>
        <w:rPr>
          <w:rFonts w:ascii="Palatino Linotype" w:eastAsia="Palatino Linotype" w:hAnsi="Palatino Linotype" w:cs="Palatino Linotype"/>
          <w:sz w:val="18"/>
        </w:rPr>
      </w:pPr>
    </w:p>
    <w:tbl>
      <w:tblPr>
        <w:tblStyle w:val="a2"/>
        <w:tblW w:w="5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
        <w:gridCol w:w="1436"/>
        <w:gridCol w:w="3402"/>
      </w:tblGrid>
      <w:tr w:rsidR="005D58F0" w:rsidRPr="005D58F0" w14:paraId="0F16B26C" w14:textId="77777777">
        <w:trPr>
          <w:trHeight w:val="454"/>
          <w:jc w:val="center"/>
        </w:trPr>
        <w:tc>
          <w:tcPr>
            <w:tcW w:w="544" w:type="dxa"/>
            <w:shd w:val="clear" w:color="auto" w:fill="D9D9D9"/>
            <w:vAlign w:val="center"/>
          </w:tcPr>
          <w:p w14:paraId="165CE004" w14:textId="77777777" w:rsidR="0053592A" w:rsidRPr="005D58F0" w:rsidRDefault="00263B8E" w:rsidP="005D58F0">
            <w:pPr>
              <w:jc w:val="center"/>
              <w:rPr>
                <w:rFonts w:ascii="Palatino Linotype" w:eastAsia="Palatino Linotype" w:hAnsi="Palatino Linotype" w:cs="Palatino Linotype"/>
                <w:b/>
                <w:sz w:val="16"/>
                <w:szCs w:val="16"/>
              </w:rPr>
            </w:pPr>
            <w:bookmarkStart w:id="7" w:name="_heading=h.tyjcwt" w:colFirst="0" w:colLast="0"/>
            <w:bookmarkEnd w:id="7"/>
            <w:r w:rsidRPr="005D58F0">
              <w:rPr>
                <w:rFonts w:ascii="Palatino Linotype" w:eastAsia="Palatino Linotype" w:hAnsi="Palatino Linotype" w:cs="Palatino Linotype"/>
                <w:b/>
                <w:sz w:val="16"/>
                <w:szCs w:val="16"/>
              </w:rPr>
              <w:t>No.</w:t>
            </w:r>
          </w:p>
        </w:tc>
        <w:tc>
          <w:tcPr>
            <w:tcW w:w="1436" w:type="dxa"/>
            <w:shd w:val="clear" w:color="auto" w:fill="D9D9D9"/>
            <w:vAlign w:val="center"/>
          </w:tcPr>
          <w:p w14:paraId="040ABB8B" w14:textId="77777777" w:rsidR="0053592A" w:rsidRPr="005D58F0" w:rsidRDefault="00263B8E" w:rsidP="005D58F0">
            <w:pPr>
              <w:jc w:val="center"/>
              <w:rPr>
                <w:rFonts w:ascii="Palatino Linotype" w:eastAsia="Palatino Linotype" w:hAnsi="Palatino Linotype" w:cs="Palatino Linotype"/>
                <w:b/>
                <w:sz w:val="18"/>
                <w:szCs w:val="18"/>
              </w:rPr>
            </w:pPr>
            <w:r w:rsidRPr="005D58F0">
              <w:rPr>
                <w:rFonts w:ascii="Palatino Linotype" w:eastAsia="Palatino Linotype" w:hAnsi="Palatino Linotype" w:cs="Palatino Linotype"/>
                <w:b/>
                <w:sz w:val="18"/>
                <w:szCs w:val="18"/>
              </w:rPr>
              <w:t>Recurso</w:t>
            </w:r>
          </w:p>
        </w:tc>
        <w:tc>
          <w:tcPr>
            <w:tcW w:w="3402" w:type="dxa"/>
            <w:shd w:val="clear" w:color="auto" w:fill="D9D9D9"/>
            <w:vAlign w:val="center"/>
          </w:tcPr>
          <w:p w14:paraId="2AC97EEA" w14:textId="77777777" w:rsidR="0053592A" w:rsidRPr="005D58F0" w:rsidRDefault="00263B8E" w:rsidP="005D58F0">
            <w:pPr>
              <w:jc w:val="center"/>
              <w:rPr>
                <w:rFonts w:ascii="Palatino Linotype" w:eastAsia="Palatino Linotype" w:hAnsi="Palatino Linotype" w:cs="Palatino Linotype"/>
                <w:b/>
                <w:sz w:val="18"/>
                <w:szCs w:val="18"/>
              </w:rPr>
            </w:pPr>
            <w:r w:rsidRPr="005D58F0">
              <w:rPr>
                <w:rFonts w:ascii="Palatino Linotype" w:eastAsia="Palatino Linotype" w:hAnsi="Palatino Linotype" w:cs="Palatino Linotype"/>
                <w:b/>
                <w:sz w:val="18"/>
                <w:szCs w:val="18"/>
              </w:rPr>
              <w:t>Comisionado ponente</w:t>
            </w:r>
          </w:p>
        </w:tc>
      </w:tr>
      <w:tr w:rsidR="005D58F0" w:rsidRPr="005D58F0" w14:paraId="7DD96958" w14:textId="77777777">
        <w:trPr>
          <w:trHeight w:val="397"/>
          <w:jc w:val="center"/>
        </w:trPr>
        <w:tc>
          <w:tcPr>
            <w:tcW w:w="544" w:type="dxa"/>
            <w:shd w:val="clear" w:color="auto" w:fill="D9D9D9"/>
          </w:tcPr>
          <w:p w14:paraId="74C7A3C9"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1</w:t>
            </w:r>
          </w:p>
        </w:tc>
        <w:tc>
          <w:tcPr>
            <w:tcW w:w="1436" w:type="dxa"/>
          </w:tcPr>
          <w:p w14:paraId="29E34BF5"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767</w:t>
            </w:r>
            <w:r w:rsidRPr="005D58F0">
              <w:rPr>
                <w:rFonts w:ascii="Palatino Linotype" w:eastAsia="Palatino Linotype" w:hAnsi="Palatino Linotype" w:cs="Palatino Linotype"/>
                <w:sz w:val="20"/>
                <w:szCs w:val="20"/>
              </w:rPr>
              <w:t xml:space="preserve"> (00014)</w:t>
            </w:r>
          </w:p>
        </w:tc>
        <w:tc>
          <w:tcPr>
            <w:tcW w:w="3402" w:type="dxa"/>
          </w:tcPr>
          <w:p w14:paraId="0FE5CC40" w14:textId="77777777" w:rsidR="0053592A" w:rsidRPr="005D58F0" w:rsidRDefault="00263B8E" w:rsidP="005D58F0">
            <w:pPr>
              <w:jc w:val="both"/>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Sharon Cristina Morales Martínez</w:t>
            </w:r>
          </w:p>
        </w:tc>
      </w:tr>
      <w:tr w:rsidR="005D58F0" w:rsidRPr="005D58F0" w14:paraId="51A9DE5B" w14:textId="77777777">
        <w:trPr>
          <w:trHeight w:val="397"/>
          <w:jc w:val="center"/>
        </w:trPr>
        <w:tc>
          <w:tcPr>
            <w:tcW w:w="544" w:type="dxa"/>
            <w:shd w:val="clear" w:color="auto" w:fill="D9D9D9"/>
          </w:tcPr>
          <w:p w14:paraId="18AB5AB8"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2</w:t>
            </w:r>
          </w:p>
        </w:tc>
        <w:tc>
          <w:tcPr>
            <w:tcW w:w="1436" w:type="dxa"/>
          </w:tcPr>
          <w:p w14:paraId="00C4012A"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 xml:space="preserve">769 </w:t>
            </w:r>
            <w:r w:rsidRPr="005D58F0">
              <w:rPr>
                <w:rFonts w:ascii="Palatino Linotype" w:eastAsia="Palatino Linotype" w:hAnsi="Palatino Linotype" w:cs="Palatino Linotype"/>
                <w:sz w:val="20"/>
                <w:szCs w:val="20"/>
              </w:rPr>
              <w:t>(00041)</w:t>
            </w:r>
          </w:p>
        </w:tc>
        <w:tc>
          <w:tcPr>
            <w:tcW w:w="3402" w:type="dxa"/>
          </w:tcPr>
          <w:p w14:paraId="7A6D6432" w14:textId="77777777" w:rsidR="0053592A" w:rsidRPr="005D58F0" w:rsidRDefault="00263B8E" w:rsidP="005D58F0">
            <w:pPr>
              <w:jc w:val="both"/>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Guadalupe Ramírez Peña</w:t>
            </w:r>
          </w:p>
        </w:tc>
      </w:tr>
      <w:tr w:rsidR="005D58F0" w:rsidRPr="005D58F0" w14:paraId="0E1809E9" w14:textId="77777777">
        <w:trPr>
          <w:trHeight w:val="397"/>
          <w:jc w:val="center"/>
        </w:trPr>
        <w:tc>
          <w:tcPr>
            <w:tcW w:w="544" w:type="dxa"/>
            <w:shd w:val="clear" w:color="auto" w:fill="D9D9D9"/>
          </w:tcPr>
          <w:p w14:paraId="7CC428BD"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3</w:t>
            </w:r>
          </w:p>
        </w:tc>
        <w:tc>
          <w:tcPr>
            <w:tcW w:w="1436" w:type="dxa"/>
          </w:tcPr>
          <w:p w14:paraId="0C5BD925"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773</w:t>
            </w:r>
            <w:r w:rsidRPr="005D58F0">
              <w:rPr>
                <w:rFonts w:ascii="Palatino Linotype" w:eastAsia="Palatino Linotype" w:hAnsi="Palatino Linotype" w:cs="Palatino Linotype"/>
                <w:sz w:val="20"/>
                <w:szCs w:val="20"/>
              </w:rPr>
              <w:t xml:space="preserve"> (00043)</w:t>
            </w:r>
          </w:p>
        </w:tc>
        <w:tc>
          <w:tcPr>
            <w:tcW w:w="3402" w:type="dxa"/>
          </w:tcPr>
          <w:p w14:paraId="3AA604EF" w14:textId="77777777" w:rsidR="0053592A" w:rsidRPr="005D58F0" w:rsidRDefault="00263B8E" w:rsidP="005D58F0">
            <w:pPr>
              <w:jc w:val="both"/>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María Del Rosario Mejía Ayala</w:t>
            </w:r>
          </w:p>
        </w:tc>
      </w:tr>
    </w:tbl>
    <w:p w14:paraId="2125DCC2" w14:textId="77777777" w:rsidR="0053592A" w:rsidRPr="005D58F0" w:rsidRDefault="00263B8E" w:rsidP="005D58F0">
      <w:pPr>
        <w:tabs>
          <w:tab w:val="center" w:pos="4252"/>
          <w:tab w:val="right" w:pos="8504"/>
        </w:tabs>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lastRenderedPageBreak/>
        <w:t xml:space="preserve">3. Admisiones de los Recursos de Revisión. </w:t>
      </w:r>
    </w:p>
    <w:p w14:paraId="4492B446" w14:textId="77777777" w:rsidR="0053592A" w:rsidRPr="005D58F0" w:rsidRDefault="00263B8E" w:rsidP="005D58F0">
      <w:pPr>
        <w:tabs>
          <w:tab w:val="center" w:pos="4252"/>
          <w:tab w:val="right" w:pos="850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diversos días se acordó la admisión a trámite de los Recursos de Revisión que nos ocupan, así como la integración de los expedientes respectivos, mismos que se pusieron a disposición de las partes, para que en un plazo máximo de siete días hábiles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manifestara lo que a su derecho conviniera; así como para que </w:t>
      </w:r>
      <w:r w:rsidRPr="005D58F0">
        <w:rPr>
          <w:rFonts w:ascii="Palatino Linotype" w:eastAsia="Palatino Linotype" w:hAnsi="Palatino Linotype" w:cs="Palatino Linotype"/>
          <w:b/>
        </w:rPr>
        <w:t xml:space="preserve">EL SUJETO OBLIGADO </w:t>
      </w:r>
      <w:r w:rsidRPr="005D58F0">
        <w:rPr>
          <w:rFonts w:ascii="Palatino Linotype" w:eastAsia="Palatino Linotype" w:hAnsi="Palatino Linotype" w:cs="Palatino Linotype"/>
        </w:rPr>
        <w:t>rindiera los Informes Justificados correspondientes; lo anterior, conforme a lo dispuesto por el artículo 185 de la Ley de Transparencia local, en los siguientes términos:</w:t>
      </w:r>
    </w:p>
    <w:p w14:paraId="4B1ACB4E" w14:textId="77777777" w:rsidR="0053592A" w:rsidRPr="005D58F0" w:rsidRDefault="0053592A" w:rsidP="005D58F0">
      <w:pPr>
        <w:tabs>
          <w:tab w:val="center" w:pos="4252"/>
          <w:tab w:val="right" w:pos="8504"/>
        </w:tabs>
        <w:spacing w:line="360" w:lineRule="auto"/>
        <w:jc w:val="both"/>
        <w:rPr>
          <w:rFonts w:ascii="Palatino Linotype" w:eastAsia="Palatino Linotype" w:hAnsi="Palatino Linotype" w:cs="Palatino Linotype"/>
        </w:rPr>
      </w:pPr>
    </w:p>
    <w:tbl>
      <w:tblPr>
        <w:tblStyle w:val="a3"/>
        <w:tblW w:w="3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
        <w:gridCol w:w="1578"/>
        <w:gridCol w:w="1842"/>
      </w:tblGrid>
      <w:tr w:rsidR="005D58F0" w:rsidRPr="005D58F0" w14:paraId="4013FDFF" w14:textId="77777777">
        <w:trPr>
          <w:trHeight w:val="454"/>
          <w:tblHeader/>
          <w:jc w:val="center"/>
        </w:trPr>
        <w:tc>
          <w:tcPr>
            <w:tcW w:w="544" w:type="dxa"/>
            <w:shd w:val="clear" w:color="auto" w:fill="D9D9D9"/>
          </w:tcPr>
          <w:p w14:paraId="5DF63C10" w14:textId="77777777" w:rsidR="0053592A" w:rsidRPr="005D58F0" w:rsidRDefault="00263B8E" w:rsidP="005D58F0">
            <w:pPr>
              <w:ind w:left="-12"/>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No.</w:t>
            </w:r>
          </w:p>
        </w:tc>
        <w:tc>
          <w:tcPr>
            <w:tcW w:w="1578" w:type="dxa"/>
            <w:shd w:val="clear" w:color="auto" w:fill="D9D9D9"/>
          </w:tcPr>
          <w:p w14:paraId="4A6B0BA7"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Recurso</w:t>
            </w:r>
          </w:p>
        </w:tc>
        <w:tc>
          <w:tcPr>
            <w:tcW w:w="1842" w:type="dxa"/>
            <w:shd w:val="clear" w:color="auto" w:fill="D9D9D9"/>
          </w:tcPr>
          <w:p w14:paraId="07AAD758" w14:textId="77777777" w:rsidR="0053592A" w:rsidRPr="005D58F0" w:rsidRDefault="00263B8E" w:rsidP="005D58F0">
            <w:pPr>
              <w:jc w:val="center"/>
              <w:rPr>
                <w:rFonts w:ascii="Palatino Linotype" w:eastAsia="Palatino Linotype" w:hAnsi="Palatino Linotype" w:cs="Palatino Linotype"/>
                <w:b/>
                <w:sz w:val="19"/>
                <w:szCs w:val="19"/>
              </w:rPr>
            </w:pPr>
            <w:r w:rsidRPr="005D58F0">
              <w:rPr>
                <w:rFonts w:ascii="Palatino Linotype" w:eastAsia="Palatino Linotype" w:hAnsi="Palatino Linotype" w:cs="Palatino Linotype"/>
                <w:b/>
                <w:sz w:val="19"/>
                <w:szCs w:val="19"/>
              </w:rPr>
              <w:t>Fecha de admisión</w:t>
            </w:r>
          </w:p>
        </w:tc>
      </w:tr>
      <w:tr w:rsidR="005D58F0" w:rsidRPr="005D58F0" w14:paraId="0B81DB8F" w14:textId="77777777">
        <w:trPr>
          <w:trHeight w:val="454"/>
          <w:jc w:val="center"/>
        </w:trPr>
        <w:tc>
          <w:tcPr>
            <w:tcW w:w="544" w:type="dxa"/>
            <w:shd w:val="clear" w:color="auto" w:fill="D9D9D9"/>
          </w:tcPr>
          <w:p w14:paraId="5A03EDDC"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1</w:t>
            </w:r>
          </w:p>
        </w:tc>
        <w:tc>
          <w:tcPr>
            <w:tcW w:w="1578" w:type="dxa"/>
          </w:tcPr>
          <w:p w14:paraId="63C90309"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767</w:t>
            </w:r>
            <w:r w:rsidRPr="005D58F0">
              <w:rPr>
                <w:rFonts w:ascii="Palatino Linotype" w:eastAsia="Palatino Linotype" w:hAnsi="Palatino Linotype" w:cs="Palatino Linotype"/>
                <w:sz w:val="20"/>
                <w:szCs w:val="20"/>
              </w:rPr>
              <w:t xml:space="preserve"> </w:t>
            </w:r>
            <w:r w:rsidRPr="005D58F0">
              <w:rPr>
                <w:rFonts w:ascii="Palatino Linotype" w:eastAsia="Palatino Linotype" w:hAnsi="Palatino Linotype" w:cs="Palatino Linotype"/>
                <w:sz w:val="16"/>
                <w:szCs w:val="16"/>
              </w:rPr>
              <w:t>(00014)</w:t>
            </w:r>
          </w:p>
        </w:tc>
        <w:tc>
          <w:tcPr>
            <w:tcW w:w="1842" w:type="dxa"/>
          </w:tcPr>
          <w:p w14:paraId="3186629C" w14:textId="77777777" w:rsidR="0053592A" w:rsidRPr="005D58F0" w:rsidRDefault="00263B8E" w:rsidP="005D58F0">
            <w:pPr>
              <w:jc w:val="center"/>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14-02-2023</w:t>
            </w:r>
          </w:p>
        </w:tc>
      </w:tr>
      <w:tr w:rsidR="005D58F0" w:rsidRPr="005D58F0" w14:paraId="4AC29755" w14:textId="77777777">
        <w:trPr>
          <w:trHeight w:val="454"/>
          <w:jc w:val="center"/>
        </w:trPr>
        <w:tc>
          <w:tcPr>
            <w:tcW w:w="544" w:type="dxa"/>
            <w:shd w:val="clear" w:color="auto" w:fill="D9D9D9"/>
          </w:tcPr>
          <w:p w14:paraId="0FD0AB1C"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2</w:t>
            </w:r>
          </w:p>
        </w:tc>
        <w:tc>
          <w:tcPr>
            <w:tcW w:w="1578" w:type="dxa"/>
          </w:tcPr>
          <w:p w14:paraId="53410073"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 xml:space="preserve">769 </w:t>
            </w:r>
            <w:r w:rsidRPr="005D58F0">
              <w:rPr>
                <w:rFonts w:ascii="Palatino Linotype" w:eastAsia="Palatino Linotype" w:hAnsi="Palatino Linotype" w:cs="Palatino Linotype"/>
                <w:sz w:val="16"/>
                <w:szCs w:val="16"/>
              </w:rPr>
              <w:t>(00041)</w:t>
            </w:r>
          </w:p>
        </w:tc>
        <w:tc>
          <w:tcPr>
            <w:tcW w:w="1842" w:type="dxa"/>
          </w:tcPr>
          <w:p w14:paraId="7FBB2D37" w14:textId="77777777" w:rsidR="0053592A" w:rsidRPr="005D58F0" w:rsidRDefault="00263B8E" w:rsidP="005D58F0">
            <w:pPr>
              <w:jc w:val="center"/>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16-02-2023</w:t>
            </w:r>
          </w:p>
        </w:tc>
      </w:tr>
      <w:tr w:rsidR="005D58F0" w:rsidRPr="005D58F0" w14:paraId="69F3A402" w14:textId="77777777">
        <w:trPr>
          <w:trHeight w:val="454"/>
          <w:jc w:val="center"/>
        </w:trPr>
        <w:tc>
          <w:tcPr>
            <w:tcW w:w="544" w:type="dxa"/>
            <w:shd w:val="clear" w:color="auto" w:fill="D9D9D9"/>
          </w:tcPr>
          <w:p w14:paraId="26347790"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t>3</w:t>
            </w:r>
          </w:p>
        </w:tc>
        <w:tc>
          <w:tcPr>
            <w:tcW w:w="1578" w:type="dxa"/>
          </w:tcPr>
          <w:p w14:paraId="45DBA76E"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773</w:t>
            </w:r>
            <w:r w:rsidRPr="005D58F0">
              <w:rPr>
                <w:rFonts w:ascii="Palatino Linotype" w:eastAsia="Palatino Linotype" w:hAnsi="Palatino Linotype" w:cs="Palatino Linotype"/>
                <w:sz w:val="20"/>
                <w:szCs w:val="20"/>
              </w:rPr>
              <w:t xml:space="preserve"> </w:t>
            </w:r>
            <w:r w:rsidRPr="005D58F0">
              <w:rPr>
                <w:rFonts w:ascii="Palatino Linotype" w:eastAsia="Palatino Linotype" w:hAnsi="Palatino Linotype" w:cs="Palatino Linotype"/>
                <w:sz w:val="16"/>
                <w:szCs w:val="16"/>
              </w:rPr>
              <w:t>(00043)</w:t>
            </w:r>
          </w:p>
        </w:tc>
        <w:tc>
          <w:tcPr>
            <w:tcW w:w="1842" w:type="dxa"/>
          </w:tcPr>
          <w:p w14:paraId="16B2F1D1" w14:textId="77777777" w:rsidR="0053592A" w:rsidRPr="005D58F0" w:rsidRDefault="00263B8E" w:rsidP="005D58F0">
            <w:pPr>
              <w:jc w:val="center"/>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16-02-2023</w:t>
            </w:r>
          </w:p>
        </w:tc>
      </w:tr>
    </w:tbl>
    <w:p w14:paraId="42E7CCB3" w14:textId="77777777" w:rsidR="0053592A" w:rsidRPr="005D58F0" w:rsidRDefault="0053592A" w:rsidP="005D58F0">
      <w:pPr>
        <w:widowControl w:val="0"/>
        <w:tabs>
          <w:tab w:val="left" w:pos="0"/>
        </w:tabs>
        <w:spacing w:line="360" w:lineRule="auto"/>
        <w:jc w:val="both"/>
        <w:rPr>
          <w:rFonts w:ascii="Palatino Linotype" w:eastAsia="Palatino Linotype" w:hAnsi="Palatino Linotype" w:cs="Palatino Linotype"/>
          <w:b/>
        </w:rPr>
        <w:sectPr w:rsidR="0053592A" w:rsidRPr="005D58F0" w:rsidSect="00C32132">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567" w:footer="1009" w:gutter="0"/>
          <w:pgNumType w:start="1"/>
          <w:cols w:space="720"/>
          <w:titlePg/>
        </w:sectPr>
      </w:pPr>
    </w:p>
    <w:p w14:paraId="51A4BF0D" w14:textId="77777777" w:rsidR="0053592A" w:rsidRPr="005D58F0" w:rsidRDefault="00263B8E" w:rsidP="005D58F0">
      <w:pPr>
        <w:widowControl w:val="0"/>
        <w:tabs>
          <w:tab w:val="left" w:pos="0"/>
        </w:tabs>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lastRenderedPageBreak/>
        <w:t xml:space="preserve">4. Manifestaciones e Informes Justificados.  </w:t>
      </w:r>
    </w:p>
    <w:p w14:paraId="38422F43" w14:textId="77777777" w:rsidR="0053592A" w:rsidRPr="005D58F0" w:rsidRDefault="00263B8E" w:rsidP="005D58F0">
      <w:pPr>
        <w:widowControl w:val="0"/>
        <w:tabs>
          <w:tab w:val="left" w:pos="0"/>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Conforme a lo dispuesto en el artículo 185 de la Ley de Transparencia local, dentro del término legalmente concedido a</w:t>
      </w:r>
      <w:r w:rsidRPr="005D58F0">
        <w:rPr>
          <w:rFonts w:ascii="Palatino Linotype" w:eastAsia="Palatino Linotype" w:hAnsi="Palatino Linotype" w:cs="Palatino Linotype"/>
          <w:b/>
        </w:rPr>
        <w:t xml:space="preserve"> LA RECURRENTE</w:t>
      </w:r>
      <w:r w:rsidRPr="005D58F0">
        <w:rPr>
          <w:rFonts w:ascii="Palatino Linotype" w:eastAsia="Palatino Linotype" w:hAnsi="Palatino Linotype" w:cs="Palatino Linotype"/>
        </w:rPr>
        <w:t xml:space="preserve">, se advierte que no realizó manifestación alguna. </w:t>
      </w:r>
    </w:p>
    <w:p w14:paraId="5E1BF980" w14:textId="77777777" w:rsidR="0053592A" w:rsidRPr="005D58F0" w:rsidRDefault="0053592A" w:rsidP="005D58F0">
      <w:pPr>
        <w:widowControl w:val="0"/>
        <w:tabs>
          <w:tab w:val="left" w:pos="0"/>
        </w:tabs>
        <w:spacing w:line="360" w:lineRule="auto"/>
        <w:jc w:val="both"/>
        <w:rPr>
          <w:rFonts w:ascii="Palatino Linotype" w:eastAsia="Palatino Linotype" w:hAnsi="Palatino Linotype" w:cs="Palatino Linotype"/>
        </w:rPr>
      </w:pPr>
    </w:p>
    <w:p w14:paraId="723F8D5F" w14:textId="77777777" w:rsidR="0053592A" w:rsidRPr="005D58F0" w:rsidRDefault="00263B8E" w:rsidP="005D58F0">
      <w:pPr>
        <w:widowControl w:val="0"/>
        <w:tabs>
          <w:tab w:val="left" w:pos="0"/>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Por su parte </w:t>
      </w:r>
      <w:r w:rsidRPr="005D58F0">
        <w:rPr>
          <w:rFonts w:ascii="Palatino Linotype" w:eastAsia="Palatino Linotype" w:hAnsi="Palatino Linotype" w:cs="Palatino Linotype"/>
          <w:b/>
        </w:rPr>
        <w:t xml:space="preserve">EL SUJETO OBLIGADO </w:t>
      </w:r>
      <w:r w:rsidRPr="005D58F0">
        <w:rPr>
          <w:rFonts w:ascii="Palatino Linotype" w:eastAsia="Palatino Linotype" w:hAnsi="Palatino Linotype" w:cs="Palatino Linotype"/>
        </w:rPr>
        <w:t>rindió sus Informes Justificados, los cuales fueron puestos a disposición del particular para que en el término de tres días hábiles realizara las manifestaciones que así le conviniera, conforme a lo siguiente:</w:t>
      </w:r>
    </w:p>
    <w:p w14:paraId="0B1F689B" w14:textId="77777777" w:rsidR="0053592A" w:rsidRPr="005D58F0" w:rsidRDefault="0053592A" w:rsidP="005D58F0">
      <w:pPr>
        <w:widowControl w:val="0"/>
        <w:tabs>
          <w:tab w:val="left" w:pos="0"/>
        </w:tabs>
        <w:spacing w:line="360" w:lineRule="auto"/>
        <w:jc w:val="both"/>
        <w:rPr>
          <w:rFonts w:ascii="Palatino Linotype" w:eastAsia="Palatino Linotype" w:hAnsi="Palatino Linotype" w:cs="Palatino Linotype"/>
        </w:rPr>
      </w:pPr>
    </w:p>
    <w:tbl>
      <w:tblPr>
        <w:tblStyle w:val="a4"/>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101"/>
      </w:tblGrid>
      <w:tr w:rsidR="005D58F0" w:rsidRPr="005D58F0" w14:paraId="0FCCD087" w14:textId="77777777">
        <w:trPr>
          <w:tblHeader/>
          <w:jc w:val="center"/>
        </w:trPr>
        <w:tc>
          <w:tcPr>
            <w:tcW w:w="562" w:type="dxa"/>
            <w:shd w:val="clear" w:color="auto" w:fill="D9D9D9"/>
            <w:vAlign w:val="center"/>
          </w:tcPr>
          <w:p w14:paraId="4EFCB5C9" w14:textId="77777777" w:rsidR="0053592A" w:rsidRPr="005D58F0" w:rsidRDefault="00263B8E" w:rsidP="005D58F0">
            <w:pPr>
              <w:jc w:val="center"/>
              <w:rPr>
                <w:rFonts w:ascii="Palatino Linotype" w:eastAsia="Palatino Linotype" w:hAnsi="Palatino Linotype" w:cs="Palatino Linotype"/>
                <w:b/>
                <w:sz w:val="16"/>
                <w:szCs w:val="16"/>
              </w:rPr>
            </w:pPr>
            <w:r w:rsidRPr="005D58F0">
              <w:rPr>
                <w:rFonts w:ascii="Palatino Linotype" w:eastAsia="Palatino Linotype" w:hAnsi="Palatino Linotype" w:cs="Palatino Linotype"/>
                <w:b/>
                <w:sz w:val="16"/>
                <w:szCs w:val="16"/>
              </w:rPr>
              <w:lastRenderedPageBreak/>
              <w:t>No.</w:t>
            </w:r>
          </w:p>
        </w:tc>
        <w:tc>
          <w:tcPr>
            <w:tcW w:w="1134" w:type="dxa"/>
            <w:shd w:val="clear" w:color="auto" w:fill="D9D9D9"/>
            <w:vAlign w:val="center"/>
          </w:tcPr>
          <w:p w14:paraId="4FD6B1B1"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Recurso</w:t>
            </w:r>
          </w:p>
        </w:tc>
        <w:tc>
          <w:tcPr>
            <w:tcW w:w="6101" w:type="dxa"/>
            <w:shd w:val="clear" w:color="auto" w:fill="D9D9D9"/>
          </w:tcPr>
          <w:p w14:paraId="7A6BACB0"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Informe Justificado, El SUJETO OBLIGADO acompañó:</w:t>
            </w:r>
          </w:p>
        </w:tc>
      </w:tr>
      <w:tr w:rsidR="005D58F0" w:rsidRPr="005D58F0" w14:paraId="66441DE4" w14:textId="77777777">
        <w:trPr>
          <w:jc w:val="center"/>
        </w:trPr>
        <w:tc>
          <w:tcPr>
            <w:tcW w:w="562" w:type="dxa"/>
            <w:shd w:val="clear" w:color="auto" w:fill="D9D9D9"/>
          </w:tcPr>
          <w:p w14:paraId="3F6896CC"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1</w:t>
            </w:r>
          </w:p>
        </w:tc>
        <w:tc>
          <w:tcPr>
            <w:tcW w:w="1134" w:type="dxa"/>
            <w:vAlign w:val="center"/>
          </w:tcPr>
          <w:p w14:paraId="2A6DDC17"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767</w:t>
            </w:r>
          </w:p>
        </w:tc>
        <w:tc>
          <w:tcPr>
            <w:tcW w:w="6101" w:type="dxa"/>
          </w:tcPr>
          <w:p w14:paraId="53A118E0" w14:textId="77777777" w:rsidR="0053592A" w:rsidRPr="005D58F0" w:rsidRDefault="00263B8E" w:rsidP="005D58F0">
            <w:pPr>
              <w:jc w:val="both"/>
              <w:rPr>
                <w:rFonts w:ascii="Palatino Linotype" w:eastAsia="Palatino Linotype" w:hAnsi="Palatino Linotype" w:cs="Palatino Linotype"/>
                <w:sz w:val="18"/>
                <w:szCs w:val="18"/>
              </w:rPr>
            </w:pPr>
            <w:r w:rsidRPr="005D58F0">
              <w:rPr>
                <w:rFonts w:ascii="Palatino Linotype" w:eastAsia="Palatino Linotype" w:hAnsi="Palatino Linotype" w:cs="Palatino Linotype"/>
                <w:sz w:val="18"/>
                <w:szCs w:val="18"/>
              </w:rPr>
              <w:t>ACUERDO CT/EXT/0002/2023 por el que informa que aprobó un formato de ampliación de plazo para dar atención a las solicitudes interpuestas.</w:t>
            </w:r>
          </w:p>
        </w:tc>
      </w:tr>
      <w:tr w:rsidR="005D58F0" w:rsidRPr="005D58F0" w14:paraId="5BE47466" w14:textId="77777777">
        <w:trPr>
          <w:jc w:val="center"/>
        </w:trPr>
        <w:tc>
          <w:tcPr>
            <w:tcW w:w="562" w:type="dxa"/>
            <w:shd w:val="clear" w:color="auto" w:fill="D9D9D9"/>
          </w:tcPr>
          <w:p w14:paraId="5E3BAFD5"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2</w:t>
            </w:r>
          </w:p>
        </w:tc>
        <w:tc>
          <w:tcPr>
            <w:tcW w:w="1134" w:type="dxa"/>
            <w:vAlign w:val="center"/>
          </w:tcPr>
          <w:p w14:paraId="32D56FD2"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769</w:t>
            </w:r>
          </w:p>
        </w:tc>
        <w:tc>
          <w:tcPr>
            <w:tcW w:w="6101" w:type="dxa"/>
          </w:tcPr>
          <w:p w14:paraId="412FA547" w14:textId="77777777" w:rsidR="0053592A" w:rsidRPr="005D58F0" w:rsidRDefault="00263B8E" w:rsidP="005D58F0">
            <w:pPr>
              <w:jc w:val="both"/>
              <w:rPr>
                <w:rFonts w:ascii="Palatino Linotype" w:eastAsia="Palatino Linotype" w:hAnsi="Palatino Linotype" w:cs="Palatino Linotype"/>
                <w:sz w:val="18"/>
                <w:szCs w:val="18"/>
              </w:rPr>
            </w:pPr>
            <w:r w:rsidRPr="005D58F0">
              <w:rPr>
                <w:rFonts w:ascii="Palatino Linotype" w:eastAsia="Palatino Linotype" w:hAnsi="Palatino Linotype" w:cs="Palatino Linotype"/>
                <w:sz w:val="18"/>
                <w:szCs w:val="18"/>
              </w:rPr>
              <w:t xml:space="preserve">Ratifica su respuesta </w:t>
            </w:r>
            <w:r w:rsidRPr="005D58F0">
              <w:rPr>
                <w:rFonts w:ascii="Palatino Linotype" w:eastAsia="Palatino Linotype" w:hAnsi="Palatino Linotype" w:cs="Palatino Linotype"/>
                <w:i/>
                <w:sz w:val="18"/>
                <w:szCs w:val="18"/>
              </w:rPr>
              <w:t xml:space="preserve">“… informa que para poder ocupar las albercas del Instituto Municipal de Cultura Física y Deporte de Zinacantepec (IMCUFIDEZ), los interesados no registran asistencia para ocupar dichas instalaciones es decir no se generan listas de asistencia, en ese sentido por lo que respeta a las listas de asistencia del año 2022 este Sujeto Obligado no se encuentra en posibilidad de hacer entrega de la información específica que demanda el particular.” </w:t>
            </w:r>
            <w:r w:rsidRPr="005D58F0">
              <w:rPr>
                <w:rFonts w:ascii="Palatino Linotype" w:eastAsia="Palatino Linotype" w:hAnsi="Palatino Linotype" w:cs="Palatino Linotype"/>
                <w:sz w:val="18"/>
                <w:szCs w:val="18"/>
              </w:rPr>
              <w:t>Y acompaña cuadro con costos de mantenimiento y de gas.</w:t>
            </w:r>
          </w:p>
        </w:tc>
      </w:tr>
      <w:tr w:rsidR="005D58F0" w:rsidRPr="005D58F0" w14:paraId="4BF38FC8" w14:textId="77777777">
        <w:trPr>
          <w:jc w:val="center"/>
        </w:trPr>
        <w:tc>
          <w:tcPr>
            <w:tcW w:w="562" w:type="dxa"/>
            <w:shd w:val="clear" w:color="auto" w:fill="D9D9D9"/>
          </w:tcPr>
          <w:p w14:paraId="66526490" w14:textId="77777777" w:rsidR="0053592A" w:rsidRPr="005D58F0" w:rsidRDefault="00263B8E" w:rsidP="005D58F0">
            <w:pPr>
              <w:jc w:val="center"/>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3</w:t>
            </w:r>
          </w:p>
        </w:tc>
        <w:tc>
          <w:tcPr>
            <w:tcW w:w="1134" w:type="dxa"/>
            <w:vAlign w:val="center"/>
          </w:tcPr>
          <w:p w14:paraId="01E8DDA8" w14:textId="77777777" w:rsidR="0053592A" w:rsidRPr="005D58F0" w:rsidRDefault="00263B8E" w:rsidP="005D58F0">
            <w:pPr>
              <w:jc w:val="center"/>
              <w:rPr>
                <w:rFonts w:ascii="Palatino Linotype" w:eastAsia="Palatino Linotype" w:hAnsi="Palatino Linotype" w:cs="Palatino Linotype"/>
                <w:b/>
                <w:sz w:val="20"/>
                <w:szCs w:val="20"/>
              </w:rPr>
            </w:pPr>
            <w:r w:rsidRPr="005D58F0">
              <w:rPr>
                <w:rFonts w:ascii="Palatino Linotype" w:eastAsia="Palatino Linotype" w:hAnsi="Palatino Linotype" w:cs="Palatino Linotype"/>
                <w:b/>
                <w:sz w:val="20"/>
                <w:szCs w:val="20"/>
              </w:rPr>
              <w:t>773</w:t>
            </w:r>
          </w:p>
        </w:tc>
        <w:tc>
          <w:tcPr>
            <w:tcW w:w="6101" w:type="dxa"/>
          </w:tcPr>
          <w:p w14:paraId="5D8C1460" w14:textId="77777777" w:rsidR="0053592A" w:rsidRPr="005D58F0" w:rsidRDefault="00263B8E" w:rsidP="005D58F0">
            <w:pPr>
              <w:jc w:val="both"/>
              <w:rPr>
                <w:rFonts w:ascii="Palatino Linotype" w:eastAsia="Palatino Linotype" w:hAnsi="Palatino Linotype" w:cs="Palatino Linotype"/>
                <w:sz w:val="18"/>
                <w:szCs w:val="18"/>
              </w:rPr>
            </w:pPr>
            <w:r w:rsidRPr="005D58F0">
              <w:rPr>
                <w:rFonts w:ascii="Palatino Linotype" w:eastAsia="Palatino Linotype" w:hAnsi="Palatino Linotype" w:cs="Palatino Linotype"/>
                <w:sz w:val="18"/>
                <w:szCs w:val="18"/>
              </w:rPr>
              <w:t>ACUERDO CT/EXT/0002/2023 por el que informa que aprobó un formato de ampliación de plazo para dar atención a las solicitudes interpuestas.</w:t>
            </w:r>
          </w:p>
          <w:p w14:paraId="61F6965E" w14:textId="77777777" w:rsidR="0053592A" w:rsidRPr="005D58F0" w:rsidRDefault="00263B8E" w:rsidP="005D58F0">
            <w:pPr>
              <w:jc w:val="both"/>
              <w:rPr>
                <w:rFonts w:ascii="Palatino Linotype" w:eastAsia="Palatino Linotype" w:hAnsi="Palatino Linotype" w:cs="Palatino Linotype"/>
                <w:sz w:val="18"/>
                <w:szCs w:val="18"/>
              </w:rPr>
            </w:pPr>
            <w:r w:rsidRPr="005D58F0">
              <w:rPr>
                <w:rFonts w:ascii="Palatino Linotype" w:eastAsia="Palatino Linotype" w:hAnsi="Palatino Linotype" w:cs="Palatino Linotype"/>
                <w:sz w:val="18"/>
                <w:szCs w:val="18"/>
              </w:rPr>
              <w:t>Ratifica su respuesta señalando que en cuanto a las listas de asistencia, le informo que los mandos medios y directores no se les generan listas de asistencia, por ser personal de confianza.</w:t>
            </w:r>
          </w:p>
        </w:tc>
      </w:tr>
    </w:tbl>
    <w:p w14:paraId="59DFBA41" w14:textId="77777777" w:rsidR="0053592A" w:rsidRPr="005D58F0" w:rsidRDefault="0053592A" w:rsidP="005D58F0">
      <w:pPr>
        <w:widowControl w:val="0"/>
        <w:tabs>
          <w:tab w:val="left" w:pos="0"/>
        </w:tabs>
        <w:spacing w:line="360" w:lineRule="auto"/>
        <w:jc w:val="both"/>
        <w:rPr>
          <w:rFonts w:ascii="Palatino Linotype" w:eastAsia="Palatino Linotype" w:hAnsi="Palatino Linotype" w:cs="Palatino Linotype"/>
          <w:b/>
          <w:sz w:val="28"/>
          <w:szCs w:val="28"/>
        </w:rPr>
      </w:pPr>
    </w:p>
    <w:p w14:paraId="76F93E34" w14:textId="77777777" w:rsidR="0053592A" w:rsidRPr="005D58F0" w:rsidRDefault="00263B8E" w:rsidP="005D58F0">
      <w:pPr>
        <w:widowControl w:val="0"/>
        <w:tabs>
          <w:tab w:val="left" w:pos="0"/>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 xml:space="preserve">5. </w:t>
      </w:r>
      <w:r w:rsidRPr="005D58F0">
        <w:rPr>
          <w:rFonts w:ascii="Palatino Linotype" w:eastAsia="Palatino Linotype" w:hAnsi="Palatino Linotype" w:cs="Palatino Linotype"/>
          <w:b/>
        </w:rPr>
        <w:t xml:space="preserve">Acumulación. </w:t>
      </w:r>
      <w:r w:rsidRPr="005D58F0">
        <w:rPr>
          <w:rFonts w:ascii="Palatino Linotype" w:eastAsia="Palatino Linotype" w:hAnsi="Palatino Linotype" w:cs="Palatino Linotype"/>
        </w:rPr>
        <w:t xml:space="preserve">Por economía procesal y con la finalidad de evitar resoluciones contradictorias, en la </w:t>
      </w:r>
      <w:r w:rsidRPr="005D58F0">
        <w:rPr>
          <w:rFonts w:ascii="Palatino Linotype" w:eastAsia="Palatino Linotype" w:hAnsi="Palatino Linotype" w:cs="Palatino Linotype"/>
          <w:b/>
        </w:rPr>
        <w:t>séptima sesión</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 xml:space="preserve">ordinaria del Pleno de este Instituto de fecha veintidós de febrero, </w:t>
      </w:r>
      <w:r w:rsidRPr="005D58F0">
        <w:rPr>
          <w:rFonts w:ascii="Palatino Linotype" w:eastAsia="Palatino Linotype" w:hAnsi="Palatino Linotype" w:cs="Palatino Linotype"/>
        </w:rPr>
        <w:t xml:space="preserve">se acumularon los recursos </w:t>
      </w:r>
      <w:r w:rsidRPr="005D58F0">
        <w:rPr>
          <w:rFonts w:ascii="Palatino Linotype" w:eastAsia="Palatino Linotype" w:hAnsi="Palatino Linotype" w:cs="Palatino Linotype"/>
          <w:b/>
        </w:rPr>
        <w:t xml:space="preserve">769 y 773 al 767 </w:t>
      </w:r>
      <w:r w:rsidRPr="005D58F0">
        <w:rPr>
          <w:rFonts w:ascii="Palatino Linotype" w:eastAsia="Palatino Linotype" w:hAnsi="Palatino Linotype" w:cs="Palatino Linotype"/>
        </w:rPr>
        <w:t>por ser este último, el más antiguo,</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rPr>
        <w:t xml:space="preserve">quedando la elaboración del proyecto de resolución a cargo de la Comisionada Sharon Cristina Morales Martínez. </w:t>
      </w:r>
    </w:p>
    <w:p w14:paraId="52D454FD" w14:textId="77777777" w:rsidR="0053592A" w:rsidRPr="005D58F0" w:rsidRDefault="0053592A" w:rsidP="005D58F0">
      <w:pPr>
        <w:widowControl w:val="0"/>
        <w:tabs>
          <w:tab w:val="left" w:pos="0"/>
        </w:tabs>
        <w:spacing w:line="360" w:lineRule="auto"/>
        <w:jc w:val="both"/>
        <w:rPr>
          <w:rFonts w:ascii="Palatino Linotype" w:eastAsia="Palatino Linotype" w:hAnsi="Palatino Linotype" w:cs="Palatino Linotype"/>
        </w:rPr>
      </w:pPr>
    </w:p>
    <w:p w14:paraId="36CD50B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 xml:space="preserve">6. Ampliación del Recurso de Revisión. </w:t>
      </w:r>
      <w:r w:rsidRPr="005D58F0">
        <w:rPr>
          <w:rFonts w:ascii="Palatino Linotype" w:eastAsia="Palatino Linotype" w:hAnsi="Palatino Linotype" w:cs="Palatino Linotype"/>
        </w:rPr>
        <w:t xml:space="preserve">El </w:t>
      </w:r>
      <w:r w:rsidRPr="005D58F0">
        <w:rPr>
          <w:rFonts w:ascii="Palatino Linotype" w:eastAsia="Palatino Linotype" w:hAnsi="Palatino Linotype" w:cs="Palatino Linotype"/>
          <w:b/>
        </w:rPr>
        <w:t>diecinueve de abril de dos mil veintitrés</w:t>
      </w:r>
      <w:r w:rsidRPr="005D58F0">
        <w:rPr>
          <w:rFonts w:ascii="Palatino Linotype" w:eastAsia="Palatino Linotype" w:hAnsi="Palatino Linotype" w:cs="Palatino Linotype"/>
        </w:rPr>
        <w:t xml:space="preserve"> se notificó el acuerdo de ampliación de plazo para resolver el presente Recurso de Revisión y sus acumulados, previsto en el artículo 181, tercer párrafo de la Ley de Transparencia local.</w:t>
      </w:r>
    </w:p>
    <w:p w14:paraId="7D9F52E6" w14:textId="77777777" w:rsidR="0053592A" w:rsidRPr="005D58F0" w:rsidRDefault="0053592A" w:rsidP="005D58F0">
      <w:pPr>
        <w:spacing w:line="360" w:lineRule="auto"/>
        <w:jc w:val="both"/>
        <w:rPr>
          <w:rFonts w:ascii="Palatino Linotype" w:eastAsia="Palatino Linotype" w:hAnsi="Palatino Linotype" w:cs="Palatino Linotype"/>
        </w:rPr>
      </w:pPr>
    </w:p>
    <w:p w14:paraId="643C458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Este organismo garante no pasa por alto justificar, que la dilación en la resolución del presente asunto encuentra justificación en el alto número de recursos de revisión recibidos a partir del año dos mil veintidós, circunstancia atípica que ha rebasado las </w:t>
      </w:r>
      <w:r w:rsidRPr="005D58F0">
        <w:rPr>
          <w:rFonts w:ascii="Palatino Linotype" w:eastAsia="Palatino Linotype" w:hAnsi="Palatino Linotype" w:cs="Palatino Linotype"/>
        </w:rPr>
        <w:lastRenderedPageBreak/>
        <w:t>capacidades técnicas y humanas del personal encargado de la proyección de las resoluciones a dichos medios de impugnación.</w:t>
      </w:r>
    </w:p>
    <w:p w14:paraId="77433AC1" w14:textId="77777777" w:rsidR="0053592A" w:rsidRPr="005D58F0" w:rsidRDefault="0053592A" w:rsidP="005D58F0">
      <w:pPr>
        <w:spacing w:line="360" w:lineRule="auto"/>
        <w:jc w:val="both"/>
        <w:rPr>
          <w:rFonts w:ascii="Palatino Linotype" w:eastAsia="Palatino Linotype" w:hAnsi="Palatino Linotype" w:cs="Palatino Linotype"/>
        </w:rPr>
      </w:pPr>
    </w:p>
    <w:p w14:paraId="6931F69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CCE286B" w14:textId="77777777" w:rsidR="0053592A" w:rsidRPr="005D58F0" w:rsidRDefault="0053592A" w:rsidP="005D58F0">
      <w:pPr>
        <w:spacing w:line="360" w:lineRule="auto"/>
        <w:jc w:val="both"/>
        <w:rPr>
          <w:rFonts w:ascii="Palatino Linotype" w:eastAsia="Palatino Linotype" w:hAnsi="Palatino Linotype" w:cs="Palatino Linotype"/>
        </w:rPr>
      </w:pPr>
    </w:p>
    <w:p w14:paraId="4BF16CBC"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7E5364D" w14:textId="77777777" w:rsidR="0053592A" w:rsidRPr="005D58F0" w:rsidRDefault="0053592A" w:rsidP="005D58F0">
      <w:pPr>
        <w:spacing w:line="360" w:lineRule="auto"/>
        <w:jc w:val="both"/>
        <w:rPr>
          <w:rFonts w:ascii="Palatino Linotype" w:eastAsia="Palatino Linotype" w:hAnsi="Palatino Linotype" w:cs="Palatino Linotype"/>
        </w:rPr>
      </w:pPr>
    </w:p>
    <w:p w14:paraId="7F60DED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50F6A1" w14:textId="77777777" w:rsidR="0053592A" w:rsidRPr="005D58F0" w:rsidRDefault="0053592A" w:rsidP="005D58F0">
      <w:pPr>
        <w:spacing w:line="360" w:lineRule="auto"/>
        <w:jc w:val="both"/>
        <w:rPr>
          <w:rFonts w:ascii="Palatino Linotype" w:eastAsia="Palatino Linotype" w:hAnsi="Palatino Linotype" w:cs="Palatino Linotype"/>
        </w:rPr>
      </w:pPr>
    </w:p>
    <w:p w14:paraId="37125E53"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56B955D7" w14:textId="77777777" w:rsidR="0053592A" w:rsidRPr="005D58F0" w:rsidRDefault="00263B8E" w:rsidP="005D58F0">
      <w:pPr>
        <w:numPr>
          <w:ilvl w:val="0"/>
          <w:numId w:val="5"/>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1F1F0215" w14:textId="77777777" w:rsidR="0053592A" w:rsidRPr="005D58F0" w:rsidRDefault="00263B8E" w:rsidP="005D58F0">
      <w:pPr>
        <w:numPr>
          <w:ilvl w:val="0"/>
          <w:numId w:val="5"/>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Actividad Procesal del interesado: Acciones u omisiones del interesado.</w:t>
      </w:r>
    </w:p>
    <w:p w14:paraId="039FA577" w14:textId="77777777" w:rsidR="0053592A" w:rsidRPr="005D58F0" w:rsidRDefault="00263B8E" w:rsidP="005D58F0">
      <w:pPr>
        <w:numPr>
          <w:ilvl w:val="0"/>
          <w:numId w:val="5"/>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Conducta de la Autoridad: Las Acciones u omisiones realizadas en el procedimiento. Así como si la autoridad actuó con la debida diligencia.</w:t>
      </w:r>
    </w:p>
    <w:p w14:paraId="1E9B84CC" w14:textId="77777777" w:rsidR="0053592A" w:rsidRPr="005D58F0" w:rsidRDefault="00263B8E" w:rsidP="005D58F0">
      <w:pPr>
        <w:spacing w:line="360" w:lineRule="auto"/>
        <w:ind w:left="927" w:hanging="360"/>
        <w:jc w:val="both"/>
        <w:rPr>
          <w:rFonts w:ascii="Palatino Linotype" w:eastAsia="Palatino Linotype" w:hAnsi="Palatino Linotype" w:cs="Palatino Linotype"/>
        </w:rPr>
      </w:pPr>
      <w:r w:rsidRPr="005D58F0">
        <w:rPr>
          <w:rFonts w:ascii="Palatino Linotype" w:eastAsia="Palatino Linotype" w:hAnsi="Palatino Linotype" w:cs="Palatino Linotype"/>
        </w:rPr>
        <w:t>d) La afectación generada en la situación jurídica de la persona involucrada en el proceso: Violación a sus derechos humanos.</w:t>
      </w:r>
    </w:p>
    <w:p w14:paraId="4F425349" w14:textId="77777777" w:rsidR="0053592A" w:rsidRPr="005D58F0" w:rsidRDefault="0053592A" w:rsidP="005D58F0">
      <w:pPr>
        <w:spacing w:line="360" w:lineRule="auto"/>
        <w:jc w:val="both"/>
        <w:rPr>
          <w:rFonts w:ascii="Palatino Linotype" w:eastAsia="Palatino Linotype" w:hAnsi="Palatino Linotype" w:cs="Palatino Linotype"/>
        </w:rPr>
      </w:pPr>
    </w:p>
    <w:p w14:paraId="3E81F4CE"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w:t>
      </w:r>
      <w:r w:rsidRPr="005D58F0">
        <w:rPr>
          <w:rFonts w:ascii="Palatino Linotype" w:eastAsia="Palatino Linotype" w:hAnsi="Palatino Linotype" w:cs="Palatino Linotype"/>
          <w:b/>
        </w:rPr>
        <w:t>P</w:t>
      </w:r>
      <w:proofErr w:type="gramStart"/>
      <w:r w:rsidRPr="005D58F0">
        <w:rPr>
          <w:rFonts w:ascii="Palatino Linotype" w:eastAsia="Palatino Linotype" w:hAnsi="Palatino Linotype" w:cs="Palatino Linotype"/>
          <w:b/>
        </w:rPr>
        <w:t>./</w:t>
      </w:r>
      <w:proofErr w:type="gramEnd"/>
      <w:r w:rsidRPr="005D58F0">
        <w:rPr>
          <w:rFonts w:ascii="Palatino Linotype" w:eastAsia="Palatino Linotype" w:hAnsi="Palatino Linotype" w:cs="Palatino Linotype"/>
          <w:b/>
        </w:rPr>
        <w:t>J. 32/92</w:t>
      </w:r>
      <w:r w:rsidRPr="005D58F0">
        <w:rPr>
          <w:rFonts w:ascii="Palatino Linotype" w:eastAsia="Palatino Linotype" w:hAnsi="Palatino Linotype" w:cs="Palatino Linotype"/>
        </w:rPr>
        <w:t xml:space="preserve"> emitida por el Pleno de la Suprema Corte de Justicia de la Nación de rubro </w:t>
      </w: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TÉRMINOS PROCESALES. PARA DETERMINAR SI UN FUNCIONARIO JUDICIAL ACTUÓ INDEBIDAMENTE POR NO RESPETARLOS SE DEBE ATENDER AL PRESUPUESTO QUE CONSIDERÓ EL LEGISLADOR AL FIJARLOS Y LAS CARACTERÍSTICAS DEL CASO.</w:t>
      </w: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rPr>
        <w:t>, visible en la Gaceta del Seminario Judicial de la Federación con el registro digital 205635.</w:t>
      </w:r>
    </w:p>
    <w:p w14:paraId="1A996226" w14:textId="77777777" w:rsidR="0053592A" w:rsidRPr="005D58F0" w:rsidRDefault="0053592A" w:rsidP="005D58F0">
      <w:pPr>
        <w:spacing w:line="360" w:lineRule="auto"/>
        <w:jc w:val="both"/>
        <w:rPr>
          <w:rFonts w:ascii="Palatino Linotype" w:eastAsia="Palatino Linotype" w:hAnsi="Palatino Linotype" w:cs="Palatino Linotype"/>
        </w:rPr>
      </w:pPr>
    </w:p>
    <w:p w14:paraId="09570115" w14:textId="77777777" w:rsidR="0053592A"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5D58F0">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49256A" w14:textId="77777777" w:rsidR="005D58F0" w:rsidRPr="005D58F0" w:rsidRDefault="005D58F0" w:rsidP="005D58F0">
      <w:pPr>
        <w:spacing w:line="360" w:lineRule="auto"/>
        <w:jc w:val="both"/>
        <w:rPr>
          <w:rFonts w:ascii="Palatino Linotype" w:eastAsia="Palatino Linotype" w:hAnsi="Palatino Linotype" w:cs="Palatino Linotype"/>
        </w:rPr>
      </w:pPr>
    </w:p>
    <w:p w14:paraId="69D13BB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AED11C9" w14:textId="77777777" w:rsidR="0053592A" w:rsidRPr="005D58F0" w:rsidRDefault="0053592A" w:rsidP="005D58F0">
      <w:pPr>
        <w:spacing w:line="360" w:lineRule="auto"/>
        <w:jc w:val="both"/>
        <w:rPr>
          <w:rFonts w:ascii="Palatino Linotype" w:eastAsia="Palatino Linotype" w:hAnsi="Palatino Linotype" w:cs="Palatino Linotype"/>
        </w:rPr>
      </w:pPr>
    </w:p>
    <w:p w14:paraId="13CFFCE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D24E156" w14:textId="77777777" w:rsidR="0053592A" w:rsidRPr="005D58F0" w:rsidRDefault="0053592A" w:rsidP="005D58F0">
      <w:pPr>
        <w:spacing w:line="360" w:lineRule="auto"/>
        <w:jc w:val="both"/>
        <w:rPr>
          <w:rFonts w:ascii="Palatino Linotype" w:eastAsia="Palatino Linotype" w:hAnsi="Palatino Linotype" w:cs="Palatino Linotype"/>
        </w:rPr>
      </w:pPr>
    </w:p>
    <w:p w14:paraId="7AE5706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PLAZO RAZONABLE PARA RESOLVER. DIMENSIÓN Y EFECTOS DE ESTE CONCEPTO CUANDO SE ADUCE EXCESIVA CARGA DE TRABAJO</w:t>
      </w: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rPr>
        <w:t xml:space="preserve"> consultable en el Seminario Judicial de la Federación y su gaceta, con el registro digital 2002351. </w:t>
      </w: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sz w:val="22"/>
          <w:szCs w:val="22"/>
        </w:rPr>
        <w:t>,</w:t>
      </w:r>
      <w:r w:rsidRPr="005D58F0">
        <w:rPr>
          <w:rFonts w:ascii="Palatino Linotype" w:eastAsia="Palatino Linotype" w:hAnsi="Palatino Linotype" w:cs="Palatino Linotype"/>
        </w:rPr>
        <w:t xml:space="preserve"> visible en el Seminario Judicial de la Federación y su gaceta, con el registro digital 2002350, y</w:t>
      </w:r>
    </w:p>
    <w:p w14:paraId="4F1679FC" w14:textId="77777777" w:rsidR="0053592A" w:rsidRDefault="0053592A" w:rsidP="005D58F0">
      <w:pPr>
        <w:spacing w:line="360" w:lineRule="auto"/>
        <w:jc w:val="both"/>
        <w:rPr>
          <w:rFonts w:ascii="Palatino Linotype" w:eastAsia="Palatino Linotype" w:hAnsi="Palatino Linotype" w:cs="Palatino Linotype"/>
        </w:rPr>
      </w:pPr>
    </w:p>
    <w:p w14:paraId="642D4699" w14:textId="77777777" w:rsidR="005D58F0" w:rsidRDefault="005D58F0" w:rsidP="005D58F0">
      <w:pPr>
        <w:spacing w:line="360" w:lineRule="auto"/>
        <w:jc w:val="both"/>
        <w:rPr>
          <w:rFonts w:ascii="Palatino Linotype" w:eastAsia="Palatino Linotype" w:hAnsi="Palatino Linotype" w:cs="Palatino Linotype"/>
        </w:rPr>
      </w:pPr>
    </w:p>
    <w:p w14:paraId="37FA4C80" w14:textId="77777777" w:rsidR="005D58F0" w:rsidRPr="005D58F0" w:rsidRDefault="005D58F0" w:rsidP="005D58F0">
      <w:pPr>
        <w:spacing w:line="360" w:lineRule="auto"/>
        <w:jc w:val="both"/>
        <w:rPr>
          <w:rFonts w:ascii="Palatino Linotype" w:eastAsia="Palatino Linotype" w:hAnsi="Palatino Linotype" w:cs="Palatino Linotype"/>
        </w:rPr>
      </w:pPr>
    </w:p>
    <w:p w14:paraId="2C528C8B"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lastRenderedPageBreak/>
        <w:t xml:space="preserve">7. Cierre de Instrucción. </w:t>
      </w:r>
    </w:p>
    <w:p w14:paraId="75E67BB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Por lo que, una vez analizado el estado procesal que guardaba el expediente, el </w:t>
      </w:r>
      <w:r w:rsidRPr="005D58F0">
        <w:rPr>
          <w:rFonts w:ascii="Palatino Linotype" w:eastAsia="Palatino Linotype" w:hAnsi="Palatino Linotype" w:cs="Palatino Linotype"/>
          <w:b/>
        </w:rPr>
        <w:t>siete de febrero de dos mil veinticuatro</w:t>
      </w:r>
      <w:r w:rsidRPr="005D58F0">
        <w:rPr>
          <w:rFonts w:ascii="Palatino Linotype" w:eastAsia="Palatino Linotype" w:hAnsi="Palatino Linotype" w:cs="Palatino Linotype"/>
        </w:rPr>
        <w:t xml:space="preserve">, la </w:t>
      </w:r>
      <w:r w:rsidRPr="005D58F0">
        <w:rPr>
          <w:rFonts w:ascii="Palatino Linotype" w:eastAsia="Palatino Linotype" w:hAnsi="Palatino Linotype" w:cs="Palatino Linotype"/>
          <w:b/>
        </w:rPr>
        <w:t xml:space="preserve">Comisionada Sharon Christina Morales Martínez </w:t>
      </w:r>
      <w:r w:rsidRPr="005D58F0">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local.</w:t>
      </w:r>
    </w:p>
    <w:p w14:paraId="26255022" w14:textId="77777777" w:rsidR="0053592A" w:rsidRPr="005D58F0" w:rsidRDefault="0053592A" w:rsidP="005D58F0">
      <w:pPr>
        <w:spacing w:line="360" w:lineRule="auto"/>
        <w:jc w:val="both"/>
        <w:rPr>
          <w:rFonts w:ascii="Palatino Linotype" w:eastAsia="Palatino Linotype" w:hAnsi="Palatino Linotype" w:cs="Palatino Linotype"/>
        </w:rPr>
      </w:pPr>
    </w:p>
    <w:p w14:paraId="007FFFCC" w14:textId="77777777" w:rsidR="0053592A" w:rsidRDefault="0053592A" w:rsidP="005D58F0">
      <w:pPr>
        <w:spacing w:line="360" w:lineRule="auto"/>
        <w:jc w:val="both"/>
        <w:rPr>
          <w:rFonts w:ascii="Palatino Linotype" w:eastAsia="Palatino Linotype" w:hAnsi="Palatino Linotype" w:cs="Palatino Linotype"/>
        </w:rPr>
      </w:pPr>
    </w:p>
    <w:p w14:paraId="18559A14" w14:textId="77777777" w:rsidR="005D58F0" w:rsidRPr="005D58F0" w:rsidRDefault="005D58F0" w:rsidP="005D58F0">
      <w:pPr>
        <w:spacing w:line="360" w:lineRule="auto"/>
        <w:jc w:val="both"/>
        <w:rPr>
          <w:rFonts w:ascii="Palatino Linotype" w:eastAsia="Palatino Linotype" w:hAnsi="Palatino Linotype" w:cs="Palatino Linotype"/>
        </w:rPr>
      </w:pPr>
    </w:p>
    <w:p w14:paraId="4984E79C" w14:textId="77777777" w:rsidR="0053592A" w:rsidRPr="005D58F0" w:rsidRDefault="00263B8E" w:rsidP="005D58F0">
      <w:pPr>
        <w:jc w:val="center"/>
        <w:rPr>
          <w:rFonts w:ascii="Palatino Linotype" w:eastAsia="Palatino Linotype" w:hAnsi="Palatino Linotype" w:cs="Palatino Linotype"/>
          <w:b/>
          <w:sz w:val="28"/>
          <w:szCs w:val="28"/>
        </w:rPr>
      </w:pPr>
      <w:r w:rsidRPr="005D58F0">
        <w:rPr>
          <w:rFonts w:ascii="Palatino Linotype" w:eastAsia="Palatino Linotype" w:hAnsi="Palatino Linotype" w:cs="Palatino Linotype"/>
          <w:b/>
          <w:sz w:val="28"/>
          <w:szCs w:val="28"/>
        </w:rPr>
        <w:t>CONSIDERANDOS</w:t>
      </w:r>
    </w:p>
    <w:p w14:paraId="0AB635DA" w14:textId="77777777" w:rsidR="0053592A" w:rsidRPr="005D58F0" w:rsidRDefault="0053592A" w:rsidP="005D58F0">
      <w:pPr>
        <w:jc w:val="center"/>
        <w:rPr>
          <w:rFonts w:ascii="Palatino Linotype" w:eastAsia="Palatino Linotype" w:hAnsi="Palatino Linotype" w:cs="Palatino Linotype"/>
          <w:b/>
          <w:sz w:val="28"/>
          <w:szCs w:val="28"/>
        </w:rPr>
      </w:pPr>
    </w:p>
    <w:p w14:paraId="0B3C9389" w14:textId="77777777" w:rsidR="0053592A" w:rsidRPr="005D58F0" w:rsidRDefault="00263B8E" w:rsidP="005D58F0">
      <w:pPr>
        <w:widowControl w:val="0"/>
        <w:tabs>
          <w:tab w:val="left" w:pos="1701"/>
        </w:tabs>
        <w:spacing w:line="360" w:lineRule="auto"/>
        <w:jc w:val="both"/>
        <w:rPr>
          <w:rFonts w:ascii="Palatino Linotype" w:eastAsia="Palatino Linotype" w:hAnsi="Palatino Linotype" w:cs="Palatino Linotype"/>
          <w:b/>
        </w:rPr>
      </w:pPr>
      <w:bookmarkStart w:id="8" w:name="_heading=h.3dy6vkm" w:colFirst="0" w:colLast="0"/>
      <w:bookmarkEnd w:id="8"/>
      <w:r w:rsidRPr="005D58F0">
        <w:rPr>
          <w:rFonts w:ascii="Palatino Linotype" w:eastAsia="Palatino Linotype" w:hAnsi="Palatino Linotype" w:cs="Palatino Linotype"/>
          <w:b/>
          <w:sz w:val="26"/>
          <w:szCs w:val="26"/>
        </w:rPr>
        <w:t>PRIMERO.</w:t>
      </w:r>
      <w:r w:rsidRPr="005D58F0">
        <w:rPr>
          <w:rFonts w:ascii="Palatino Linotype" w:eastAsia="Palatino Linotype" w:hAnsi="Palatino Linotype" w:cs="Palatino Linotype"/>
          <w:b/>
        </w:rPr>
        <w:t xml:space="preserve"> Competencia</w:t>
      </w:r>
      <w:r w:rsidRPr="005D58F0">
        <w:rPr>
          <w:rFonts w:ascii="Palatino Linotype" w:eastAsia="Palatino Linotype" w:hAnsi="Palatino Linotype" w:cs="Palatino Linotype"/>
        </w:rPr>
        <w:t>.</w:t>
      </w:r>
      <w:r w:rsidRPr="005D58F0">
        <w:rPr>
          <w:rFonts w:ascii="Palatino Linotype" w:eastAsia="Palatino Linotype" w:hAnsi="Palatino Linotype" w:cs="Palatino Linotype"/>
          <w:b/>
        </w:rPr>
        <w:t xml:space="preserve"> </w:t>
      </w:r>
    </w:p>
    <w:p w14:paraId="2DF4B01C" w14:textId="77777777" w:rsidR="0053592A" w:rsidRPr="005D58F0" w:rsidRDefault="00263B8E" w:rsidP="005D58F0">
      <w:pPr>
        <w:widowControl w:val="0"/>
        <w:tabs>
          <w:tab w:val="left" w:pos="1701"/>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y acumulados,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1F14E4A3" w14:textId="77777777" w:rsidR="0053592A" w:rsidRDefault="0053592A" w:rsidP="005D58F0">
      <w:pPr>
        <w:widowControl w:val="0"/>
        <w:tabs>
          <w:tab w:val="left" w:pos="1701"/>
        </w:tabs>
        <w:spacing w:line="360" w:lineRule="auto"/>
        <w:jc w:val="both"/>
        <w:rPr>
          <w:rFonts w:ascii="Palatino Linotype" w:eastAsia="Palatino Linotype" w:hAnsi="Palatino Linotype" w:cs="Palatino Linotype"/>
        </w:rPr>
      </w:pPr>
    </w:p>
    <w:p w14:paraId="2704A0FF" w14:textId="77777777" w:rsidR="005D58F0" w:rsidRPr="005D58F0" w:rsidRDefault="005D58F0" w:rsidP="005D58F0">
      <w:pPr>
        <w:widowControl w:val="0"/>
        <w:tabs>
          <w:tab w:val="left" w:pos="1701"/>
        </w:tabs>
        <w:spacing w:line="360" w:lineRule="auto"/>
        <w:jc w:val="both"/>
        <w:rPr>
          <w:rFonts w:ascii="Palatino Linotype" w:eastAsia="Palatino Linotype" w:hAnsi="Palatino Linotype" w:cs="Palatino Linotype"/>
        </w:rPr>
      </w:pPr>
    </w:p>
    <w:p w14:paraId="7F93F91C" w14:textId="77777777" w:rsidR="0053592A" w:rsidRPr="005D58F0" w:rsidRDefault="00263B8E" w:rsidP="005D58F0">
      <w:pPr>
        <w:tabs>
          <w:tab w:val="center" w:pos="4252"/>
          <w:tab w:val="right" w:pos="8504"/>
        </w:tabs>
        <w:spacing w:line="360" w:lineRule="auto"/>
        <w:ind w:left="-57"/>
        <w:jc w:val="both"/>
        <w:rPr>
          <w:rFonts w:ascii="Palatino Linotype" w:eastAsia="Palatino Linotype" w:hAnsi="Palatino Linotype" w:cs="Palatino Linotype"/>
        </w:rPr>
      </w:pPr>
      <w:r w:rsidRPr="005D58F0">
        <w:rPr>
          <w:rFonts w:ascii="Palatino Linotype" w:eastAsia="Palatino Linotype" w:hAnsi="Palatino Linotype" w:cs="Palatino Linotype"/>
          <w:b/>
          <w:sz w:val="26"/>
          <w:szCs w:val="26"/>
        </w:rPr>
        <w:lastRenderedPageBreak/>
        <w:t>SEGUNDO.</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De la Acumulación de los Recursos.</w:t>
      </w:r>
      <w:r w:rsidRPr="005D58F0">
        <w:rPr>
          <w:rFonts w:ascii="Palatino Linotype" w:eastAsia="Palatino Linotype" w:hAnsi="Palatino Linotype" w:cs="Palatino Linotype"/>
        </w:rPr>
        <w:t xml:space="preserve"> </w:t>
      </w:r>
    </w:p>
    <w:p w14:paraId="6AC89457" w14:textId="77777777" w:rsidR="0053592A" w:rsidRPr="005D58F0" w:rsidRDefault="00263B8E" w:rsidP="005D58F0">
      <w:pPr>
        <w:tabs>
          <w:tab w:val="center" w:pos="4252"/>
          <w:tab w:val="right" w:pos="8504"/>
        </w:tabs>
        <w:spacing w:line="360" w:lineRule="auto"/>
        <w:ind w:left="-57"/>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De las constancias que obran en los expedientes acumulados, se advierte que los Recursos de Revisión </w:t>
      </w:r>
      <w:r w:rsidRPr="005D58F0">
        <w:rPr>
          <w:rFonts w:ascii="Palatino Linotype" w:eastAsia="Palatino Linotype" w:hAnsi="Palatino Linotype" w:cs="Palatino Linotype"/>
          <w:b/>
        </w:rPr>
        <w:t xml:space="preserve">767, 769 y 773 </w:t>
      </w:r>
      <w:r w:rsidRPr="005D58F0">
        <w:rPr>
          <w:rFonts w:ascii="Palatino Linotype" w:eastAsia="Palatino Linotype" w:hAnsi="Palatino Linotype" w:cs="Palatino Linotype"/>
        </w:rPr>
        <w:t xml:space="preserve">fueron presentados por la misma </w:t>
      </w:r>
      <w:r w:rsidRPr="005D58F0">
        <w:rPr>
          <w:rFonts w:ascii="Palatino Linotype" w:eastAsia="Palatino Linotype" w:hAnsi="Palatino Linotype" w:cs="Palatino Linotype"/>
          <w:b/>
        </w:rPr>
        <w:t>RECURRENTE</w:t>
      </w:r>
      <w:r w:rsidRPr="005D58F0">
        <w:rPr>
          <w:rFonts w:ascii="Palatino Linotype" w:eastAsia="Palatino Linotype" w:hAnsi="Palatino Linotype" w:cs="Palatino Linotype"/>
        </w:rPr>
        <w:t xml:space="preserve"> respecto de los actos u omisiones del mismo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local en vigor, que a la letra señalan:</w:t>
      </w:r>
    </w:p>
    <w:p w14:paraId="2BEFC079" w14:textId="77777777" w:rsidR="0053592A" w:rsidRPr="005D58F0" w:rsidRDefault="0053592A" w:rsidP="005D58F0">
      <w:pPr>
        <w:tabs>
          <w:tab w:val="center" w:pos="4252"/>
          <w:tab w:val="right" w:pos="8504"/>
        </w:tabs>
        <w:spacing w:line="360" w:lineRule="auto"/>
        <w:ind w:left="-57"/>
        <w:jc w:val="both"/>
        <w:rPr>
          <w:rFonts w:ascii="Palatino Linotype" w:eastAsia="Palatino Linotype" w:hAnsi="Palatino Linotype" w:cs="Palatino Linotype"/>
        </w:rPr>
      </w:pPr>
    </w:p>
    <w:p w14:paraId="27B7A6F8" w14:textId="77777777" w:rsidR="0053592A" w:rsidRPr="005D58F0" w:rsidRDefault="00263B8E" w:rsidP="005D58F0">
      <w:pPr>
        <w:tabs>
          <w:tab w:val="left" w:pos="851"/>
          <w:tab w:val="left" w:pos="8222"/>
        </w:tabs>
        <w:ind w:left="851" w:right="899"/>
        <w:jc w:val="center"/>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Código de Procedimientos Administrativos del Estado de México</w:t>
      </w:r>
    </w:p>
    <w:p w14:paraId="4B8D36BC" w14:textId="77777777" w:rsidR="0053592A" w:rsidRPr="005D58F0" w:rsidRDefault="0053592A" w:rsidP="005D58F0">
      <w:pPr>
        <w:tabs>
          <w:tab w:val="left" w:pos="851"/>
          <w:tab w:val="left" w:pos="8222"/>
        </w:tabs>
        <w:ind w:left="851" w:right="899"/>
        <w:jc w:val="center"/>
        <w:rPr>
          <w:rFonts w:ascii="Palatino Linotype" w:eastAsia="Palatino Linotype" w:hAnsi="Palatino Linotype" w:cs="Palatino Linotype"/>
          <w:b/>
          <w:i/>
          <w:sz w:val="22"/>
          <w:szCs w:val="22"/>
        </w:rPr>
      </w:pPr>
    </w:p>
    <w:p w14:paraId="03799E72" w14:textId="77777777" w:rsidR="0053592A" w:rsidRPr="005D58F0" w:rsidRDefault="00263B8E" w:rsidP="005D58F0">
      <w:pPr>
        <w:tabs>
          <w:tab w:val="left" w:pos="851"/>
          <w:tab w:val="left" w:pos="8222"/>
        </w:tabs>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18</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 xml:space="preserve">La autoridad administrativa o el Tribunal </w:t>
      </w:r>
      <w:r w:rsidRPr="005D58F0">
        <w:rPr>
          <w:rFonts w:ascii="Palatino Linotype" w:eastAsia="Palatino Linotype" w:hAnsi="Palatino Linotype" w:cs="Palatino Linotype"/>
          <w:b/>
          <w:i/>
          <w:sz w:val="22"/>
          <w:szCs w:val="22"/>
          <w:u w:val="single"/>
        </w:rPr>
        <w:t>acordarán la acumulación de los expedientes</w:t>
      </w:r>
      <w:r w:rsidRPr="005D58F0">
        <w:rPr>
          <w:rFonts w:ascii="Palatino Linotype" w:eastAsia="Palatino Linotype" w:hAnsi="Palatino Linotype" w:cs="Palatino Linotype"/>
          <w:b/>
          <w:i/>
          <w:sz w:val="22"/>
          <w:szCs w:val="22"/>
        </w:rPr>
        <w:t xml:space="preserve"> del procedimiento y proceso administrativo que ante ellos se sigan, de oficio</w:t>
      </w:r>
      <w:r w:rsidRPr="005D58F0">
        <w:rPr>
          <w:rFonts w:ascii="Palatino Linotype" w:eastAsia="Palatino Linotype" w:hAnsi="Palatino Linotype" w:cs="Palatino Linotype"/>
          <w:i/>
          <w:sz w:val="22"/>
          <w:szCs w:val="22"/>
        </w:rPr>
        <w:t xml:space="preserve"> o a petición de parte, </w:t>
      </w:r>
      <w:r w:rsidRPr="005D58F0">
        <w:rPr>
          <w:rFonts w:ascii="Palatino Linotype" w:eastAsia="Palatino Linotype" w:hAnsi="Palatino Linotype" w:cs="Palatino Linotype"/>
          <w:b/>
          <w:i/>
          <w:sz w:val="22"/>
          <w:szCs w:val="22"/>
          <w:u w:val="single"/>
        </w:rPr>
        <w:t>cuando las partes</w:t>
      </w:r>
      <w:r w:rsidRPr="005D58F0">
        <w:rPr>
          <w:rFonts w:ascii="Palatino Linotype" w:eastAsia="Palatino Linotype" w:hAnsi="Palatino Linotype" w:cs="Palatino Linotype"/>
          <w:i/>
          <w:sz w:val="22"/>
          <w:szCs w:val="22"/>
        </w:rPr>
        <w:t xml:space="preserve"> o los actos administrativos </w:t>
      </w:r>
      <w:r w:rsidRPr="005D58F0">
        <w:rPr>
          <w:rFonts w:ascii="Palatino Linotype" w:eastAsia="Palatino Linotype" w:hAnsi="Palatino Linotype" w:cs="Palatino Linotype"/>
          <w:b/>
          <w:i/>
          <w:sz w:val="22"/>
          <w:szCs w:val="22"/>
          <w:u w:val="single"/>
        </w:rPr>
        <w:t>sean iguales</w:t>
      </w:r>
      <w:r w:rsidRPr="005D58F0">
        <w:rPr>
          <w:rFonts w:ascii="Palatino Linotype" w:eastAsia="Palatino Linotype" w:hAnsi="Palatino Linotype" w:cs="Palatino Linotype"/>
          <w:i/>
          <w:sz w:val="22"/>
          <w:szCs w:val="22"/>
        </w:rPr>
        <w:t xml:space="preserve">, se trate de actos conexos o </w:t>
      </w:r>
      <w:r w:rsidRPr="005D58F0">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sidRPr="005D58F0">
        <w:rPr>
          <w:rFonts w:ascii="Palatino Linotype" w:eastAsia="Palatino Linotype" w:hAnsi="Palatino Linotype" w:cs="Palatino Linotype"/>
          <w:i/>
          <w:sz w:val="22"/>
          <w:szCs w:val="22"/>
        </w:rPr>
        <w:t>. La misma regla se aplicará, en lo conducente, para la separación de los expedientes.”</w:t>
      </w:r>
    </w:p>
    <w:p w14:paraId="6BC02E37" w14:textId="77777777" w:rsidR="0053592A" w:rsidRPr="005D58F0" w:rsidRDefault="0053592A" w:rsidP="005D58F0">
      <w:pPr>
        <w:tabs>
          <w:tab w:val="left" w:pos="851"/>
          <w:tab w:val="left" w:pos="8222"/>
        </w:tabs>
        <w:ind w:left="851" w:right="899"/>
        <w:jc w:val="both"/>
        <w:rPr>
          <w:rFonts w:ascii="Palatino Linotype" w:eastAsia="Palatino Linotype" w:hAnsi="Palatino Linotype" w:cs="Palatino Linotype"/>
          <w:i/>
          <w:sz w:val="22"/>
          <w:szCs w:val="22"/>
        </w:rPr>
      </w:pPr>
    </w:p>
    <w:p w14:paraId="46B9D3AA" w14:textId="77777777" w:rsidR="0053592A" w:rsidRPr="005D58F0" w:rsidRDefault="00263B8E" w:rsidP="005D58F0">
      <w:pPr>
        <w:tabs>
          <w:tab w:val="left" w:pos="851"/>
          <w:tab w:val="left" w:pos="8222"/>
        </w:tabs>
        <w:ind w:left="851" w:right="899"/>
        <w:jc w:val="center"/>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Ley de Transparencia y Acceso a la Información Pública del Estado de México y Municipios</w:t>
      </w:r>
    </w:p>
    <w:p w14:paraId="61F9F8F2" w14:textId="77777777" w:rsidR="0053592A" w:rsidRPr="005D58F0" w:rsidRDefault="0053592A" w:rsidP="005D58F0">
      <w:pPr>
        <w:tabs>
          <w:tab w:val="left" w:pos="851"/>
          <w:tab w:val="left" w:pos="8222"/>
        </w:tabs>
        <w:ind w:left="851" w:right="899"/>
        <w:jc w:val="center"/>
        <w:rPr>
          <w:rFonts w:ascii="Palatino Linotype" w:eastAsia="Palatino Linotype" w:hAnsi="Palatino Linotype" w:cs="Palatino Linotype"/>
          <w:b/>
          <w:i/>
          <w:sz w:val="22"/>
          <w:szCs w:val="22"/>
        </w:rPr>
      </w:pPr>
    </w:p>
    <w:p w14:paraId="4DD05419" w14:textId="77777777" w:rsidR="0053592A" w:rsidRPr="005D58F0" w:rsidRDefault="00263B8E" w:rsidP="005D58F0">
      <w:pPr>
        <w:tabs>
          <w:tab w:val="left" w:pos="851"/>
          <w:tab w:val="left" w:pos="8222"/>
        </w:tabs>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 xml:space="preserve">Artículo 195. </w:t>
      </w:r>
      <w:r w:rsidRPr="005D58F0">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4C372A68" w14:textId="77777777" w:rsidR="0053592A" w:rsidRPr="005D58F0" w:rsidRDefault="00263B8E" w:rsidP="005D58F0">
      <w:pPr>
        <w:tabs>
          <w:tab w:val="left" w:pos="851"/>
          <w:tab w:val="left" w:pos="8222"/>
        </w:tabs>
        <w:ind w:left="851" w:right="899"/>
        <w:jc w:val="both"/>
        <w:rPr>
          <w:rFonts w:ascii="Palatino Linotype" w:eastAsia="Palatino Linotype" w:hAnsi="Palatino Linotype" w:cs="Palatino Linotype"/>
          <w:sz w:val="22"/>
          <w:szCs w:val="22"/>
        </w:rPr>
      </w:pPr>
      <w:r w:rsidRPr="005D58F0">
        <w:rPr>
          <w:rFonts w:ascii="Palatino Linotype" w:eastAsia="Palatino Linotype" w:hAnsi="Palatino Linotype" w:cs="Palatino Linotype"/>
          <w:sz w:val="22"/>
          <w:szCs w:val="22"/>
        </w:rPr>
        <w:t>(Énfasis añadido)</w:t>
      </w:r>
    </w:p>
    <w:p w14:paraId="7B62C420" w14:textId="77777777" w:rsidR="0053592A" w:rsidRPr="005D58F0" w:rsidRDefault="0053592A" w:rsidP="005D58F0">
      <w:pPr>
        <w:jc w:val="both"/>
        <w:rPr>
          <w:rFonts w:ascii="Palatino Linotype" w:eastAsia="Palatino Linotype" w:hAnsi="Palatino Linotype" w:cs="Palatino Linotype"/>
          <w:b/>
        </w:rPr>
      </w:pPr>
    </w:p>
    <w:p w14:paraId="170AF27E" w14:textId="77777777" w:rsidR="0053592A" w:rsidRPr="005D58F0" w:rsidRDefault="00263B8E" w:rsidP="005D58F0">
      <w:pPr>
        <w:tabs>
          <w:tab w:val="center" w:pos="4252"/>
          <w:tab w:val="right" w:pos="850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De lo dispuesto en los numerales citados en el párrafo que antecede, dicha acumulación procede cuando:</w:t>
      </w:r>
    </w:p>
    <w:p w14:paraId="1A0590C9" w14:textId="77777777" w:rsidR="0053592A" w:rsidRPr="005D58F0" w:rsidRDefault="00263B8E" w:rsidP="005D58F0">
      <w:pPr>
        <w:numPr>
          <w:ilvl w:val="0"/>
          <w:numId w:val="6"/>
        </w:numPr>
        <w:tabs>
          <w:tab w:val="center" w:pos="4252"/>
          <w:tab w:val="right" w:pos="850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El solicitante y la información referida sean las mismas;</w:t>
      </w:r>
    </w:p>
    <w:p w14:paraId="62902DA8" w14:textId="77777777" w:rsidR="0053592A" w:rsidRPr="005D58F0" w:rsidRDefault="00263B8E" w:rsidP="005D58F0">
      <w:pPr>
        <w:numPr>
          <w:ilvl w:val="0"/>
          <w:numId w:val="6"/>
        </w:numPr>
        <w:tabs>
          <w:tab w:val="center" w:pos="4252"/>
          <w:tab w:val="right" w:pos="850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Las partes o los actos impugnados sean iguales;</w:t>
      </w:r>
    </w:p>
    <w:p w14:paraId="5034808A" w14:textId="77777777" w:rsidR="0053592A" w:rsidRPr="005D58F0" w:rsidRDefault="00263B8E" w:rsidP="005D58F0">
      <w:pPr>
        <w:numPr>
          <w:ilvl w:val="0"/>
          <w:numId w:val="6"/>
        </w:numPr>
        <w:tabs>
          <w:tab w:val="center" w:pos="4252"/>
          <w:tab w:val="right" w:pos="850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Cuando se trate del mismo solicitante, el mismo Sujeto Obligado; y</w:t>
      </w:r>
    </w:p>
    <w:p w14:paraId="0934074D" w14:textId="77777777" w:rsidR="0053592A" w:rsidRPr="005D58F0" w:rsidRDefault="00263B8E" w:rsidP="005D58F0">
      <w:pPr>
        <w:numPr>
          <w:ilvl w:val="0"/>
          <w:numId w:val="6"/>
        </w:numPr>
        <w:tabs>
          <w:tab w:val="center" w:pos="4252"/>
          <w:tab w:val="right" w:pos="8504"/>
        </w:tabs>
        <w:spacing w:line="360" w:lineRule="auto"/>
        <w:ind w:left="357"/>
        <w:jc w:val="both"/>
        <w:rPr>
          <w:rFonts w:ascii="Palatino Linotype" w:eastAsia="Palatino Linotype" w:hAnsi="Palatino Linotype" w:cs="Palatino Linotype"/>
        </w:rPr>
      </w:pPr>
      <w:r w:rsidRPr="005D58F0">
        <w:rPr>
          <w:rFonts w:ascii="Palatino Linotype" w:eastAsia="Palatino Linotype" w:hAnsi="Palatino Linotype" w:cs="Palatino Linotype"/>
        </w:rPr>
        <w:t>Aun tratándose de solicitudes diversas, resulte conveniente la resolución unificada de los asuntos</w:t>
      </w:r>
      <w:r w:rsidRPr="005D58F0">
        <w:rPr>
          <w:rFonts w:ascii="Palatino Linotype" w:eastAsia="Palatino Linotype" w:hAnsi="Palatino Linotype" w:cs="Palatino Linotype"/>
          <w:i/>
        </w:rPr>
        <w:t>.</w:t>
      </w:r>
    </w:p>
    <w:p w14:paraId="2C08CE4B"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68DEEB5C"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De tal suerte que, como se mencionó anteriormente, los Recursos de Revisión que nos ocupan fueron interpuestos por la misma </w:t>
      </w:r>
      <w:r w:rsidRPr="005D58F0">
        <w:rPr>
          <w:rFonts w:ascii="Palatino Linotype" w:eastAsia="Palatino Linotype" w:hAnsi="Palatino Linotype" w:cs="Palatino Linotype"/>
          <w:b/>
        </w:rPr>
        <w:t>RECURRENTE,</w:t>
      </w:r>
      <w:r w:rsidRPr="005D58F0">
        <w:rPr>
          <w:rFonts w:ascii="Palatino Linotype" w:eastAsia="Palatino Linotype" w:hAnsi="Palatino Linotype" w:cs="Palatino Linotype"/>
        </w:rPr>
        <w:t xml:space="preserve"> ante el mismo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por lo que, resulta conveniente la resolución conjunta por economía procesal y con el fin de no emitir resoluciones contradictorias entre sí, en caso de resolverlos en forma separada por Ponentes diferentes.</w:t>
      </w:r>
    </w:p>
    <w:p w14:paraId="4AF819A3" w14:textId="77777777" w:rsidR="0053592A" w:rsidRPr="005D58F0" w:rsidRDefault="0053592A" w:rsidP="005D58F0">
      <w:pPr>
        <w:widowControl w:val="0"/>
        <w:tabs>
          <w:tab w:val="left" w:pos="1701"/>
        </w:tabs>
        <w:spacing w:line="360" w:lineRule="auto"/>
        <w:jc w:val="both"/>
        <w:rPr>
          <w:rFonts w:ascii="Palatino Linotype" w:eastAsia="Palatino Linotype" w:hAnsi="Palatino Linotype" w:cs="Palatino Linotype"/>
        </w:rPr>
      </w:pPr>
    </w:p>
    <w:p w14:paraId="2AFC6DAA"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sz w:val="26"/>
          <w:szCs w:val="26"/>
        </w:rPr>
        <w:t>TERCERO.</w:t>
      </w:r>
      <w:r w:rsidRPr="005D58F0">
        <w:rPr>
          <w:rFonts w:ascii="Palatino Linotype" w:eastAsia="Palatino Linotype" w:hAnsi="Palatino Linotype" w:cs="Palatino Linotype"/>
          <w:b/>
        </w:rPr>
        <w:t xml:space="preserve"> Requisitos de procedencia. </w:t>
      </w:r>
    </w:p>
    <w:p w14:paraId="3107D85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Los Recursos </w:t>
      </w:r>
      <w:r w:rsidRPr="005D58F0">
        <w:rPr>
          <w:rFonts w:ascii="Palatino Linotype" w:eastAsia="Palatino Linotype" w:hAnsi="Palatino Linotype" w:cs="Palatino Linotype"/>
          <w:b/>
        </w:rPr>
        <w:t xml:space="preserve">767, 769 y 773 </w:t>
      </w:r>
      <w:r w:rsidRPr="005D58F0">
        <w:rPr>
          <w:rFonts w:ascii="Palatino Linotype" w:eastAsia="Palatino Linotype" w:hAnsi="Palatino Linotype" w:cs="Palatino Linotype"/>
        </w:rPr>
        <w:t xml:space="preserve">reúnen los requisitos establecidos en el artículo 180 de la ley de la materia, conforme a lo siguiente:  </w:t>
      </w:r>
    </w:p>
    <w:p w14:paraId="15045E2D" w14:textId="77777777" w:rsidR="0053592A" w:rsidRPr="005D58F0" w:rsidRDefault="0053592A" w:rsidP="005D58F0">
      <w:pPr>
        <w:spacing w:line="360" w:lineRule="auto"/>
        <w:jc w:val="both"/>
        <w:rPr>
          <w:rFonts w:ascii="Palatino Linotype" w:eastAsia="Palatino Linotype" w:hAnsi="Palatino Linotype" w:cs="Palatino Linotype"/>
          <w:b/>
        </w:rPr>
      </w:pPr>
    </w:p>
    <w:p w14:paraId="639D9786"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t xml:space="preserve">a) Forma. </w:t>
      </w:r>
      <w:r w:rsidRPr="005D58F0">
        <w:rPr>
          <w:rFonts w:ascii="Palatino Linotype" w:eastAsia="Palatino Linotype" w:hAnsi="Palatino Linotype" w:cs="Palatino Linotype"/>
        </w:rPr>
        <w:t xml:space="preserve">Los Recursos de Revisión en estudio fueron presentados vía SAIMEX, constando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de la solicitud, el número de folio de respuesta de la solicitud de acceso, la fecha en que fue notificada la respuesta al solicitante, el acto recurrido y los motivos de inconformidad.</w:t>
      </w:r>
    </w:p>
    <w:p w14:paraId="2FCACBD8" w14:textId="77777777" w:rsidR="0053592A" w:rsidRPr="005D58F0" w:rsidRDefault="0053592A" w:rsidP="005D58F0">
      <w:pPr>
        <w:spacing w:line="360" w:lineRule="auto"/>
        <w:jc w:val="both"/>
        <w:rPr>
          <w:rFonts w:ascii="Palatino Linotype" w:eastAsia="Palatino Linotype" w:hAnsi="Palatino Linotype" w:cs="Palatino Linotype"/>
          <w:b/>
        </w:rPr>
      </w:pPr>
    </w:p>
    <w:p w14:paraId="11FAE0FB"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 xml:space="preserve">b) Interés. </w:t>
      </w:r>
      <w:r w:rsidRPr="005D58F0">
        <w:rPr>
          <w:rFonts w:ascii="Palatino Linotype" w:eastAsia="Palatino Linotype" w:hAnsi="Palatino Linotype" w:cs="Palatino Linotype"/>
        </w:rPr>
        <w:t xml:space="preserve">Los Recursos fueron interpuestos por parte legítima, en atención a que se presentaron por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quien es la misma persona que formuló las solicitudes de acceso a la información pública al </w:t>
      </w:r>
      <w:r w:rsidRPr="005D58F0">
        <w:rPr>
          <w:rFonts w:ascii="Palatino Linotype" w:eastAsia="Palatino Linotype" w:hAnsi="Palatino Linotype" w:cs="Palatino Linotype"/>
          <w:b/>
        </w:rPr>
        <w:t xml:space="preserve">SUJETO OBLIGADO, </w:t>
      </w:r>
      <w:r w:rsidRPr="005D58F0">
        <w:rPr>
          <w:rFonts w:ascii="Palatino Linotype" w:eastAsia="Palatino Linotype" w:hAnsi="Palatino Linotype" w:cs="Palatino Linotype"/>
        </w:rPr>
        <w:t xml:space="preserve">pues para ello, </w:t>
      </w:r>
      <w:r w:rsidRPr="005D58F0">
        <w:rPr>
          <w:rFonts w:ascii="Palatino Linotype" w:eastAsia="Palatino Linotype" w:hAnsi="Palatino Linotype" w:cs="Palatino Linotype"/>
        </w:rPr>
        <w:lastRenderedPageBreak/>
        <w:t xml:space="preserve">es necesario que el particular ingrese al </w:t>
      </w:r>
      <w:r w:rsidRPr="005D58F0">
        <w:rPr>
          <w:rFonts w:ascii="Palatino Linotype" w:eastAsia="Palatino Linotype" w:hAnsi="Palatino Linotype" w:cs="Palatino Linotype"/>
          <w:b/>
        </w:rPr>
        <w:t xml:space="preserve">SAIMEX </w:t>
      </w:r>
      <w:r w:rsidRPr="005D58F0">
        <w:rPr>
          <w:rFonts w:ascii="Palatino Linotype" w:eastAsia="Palatino Linotype" w:hAnsi="Palatino Linotype" w:cs="Palatino Linotype"/>
        </w:rPr>
        <w:t>mediante la utilización de su clave de usuario y contraseña.</w:t>
      </w:r>
    </w:p>
    <w:p w14:paraId="6095C9E9" w14:textId="77777777" w:rsidR="0053592A" w:rsidRPr="005D58F0" w:rsidRDefault="0053592A" w:rsidP="005D58F0">
      <w:pPr>
        <w:spacing w:line="360" w:lineRule="auto"/>
        <w:jc w:val="both"/>
        <w:rPr>
          <w:rFonts w:ascii="Palatino Linotype" w:eastAsia="Palatino Linotype" w:hAnsi="Palatino Linotype" w:cs="Palatino Linotype"/>
        </w:rPr>
      </w:pPr>
    </w:p>
    <w:p w14:paraId="6D6FC97B"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c)</w:t>
      </w:r>
      <w:r w:rsidRPr="005D58F0">
        <w:rPr>
          <w:rFonts w:ascii="Palatino Linotype" w:eastAsia="Palatino Linotype" w:hAnsi="Palatino Linotype" w:cs="Palatino Linotype"/>
          <w:b/>
        </w:rPr>
        <w:t xml:space="preserve"> Nombre de La Recurrente.  </w:t>
      </w:r>
      <w:r w:rsidRPr="005D58F0">
        <w:rPr>
          <w:rFonts w:ascii="Palatino Linotype" w:eastAsia="Palatino Linotype" w:hAnsi="Palatino Linotype" w:cs="Palatino Linotype"/>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74916BB7"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09DE4B63" w14:textId="77777777" w:rsidR="0053592A" w:rsidRPr="005D58F0" w:rsidRDefault="00263B8E" w:rsidP="005D58F0">
      <w:pPr>
        <w:tabs>
          <w:tab w:val="left" w:pos="851"/>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 xml:space="preserve">“Artículo 180. </w:t>
      </w:r>
      <w:r w:rsidRPr="005D58F0">
        <w:rPr>
          <w:rFonts w:ascii="Palatino Linotype" w:eastAsia="Palatino Linotype" w:hAnsi="Palatino Linotype" w:cs="Palatino Linotype"/>
          <w:i/>
          <w:sz w:val="22"/>
          <w:szCs w:val="22"/>
        </w:rPr>
        <w:t>El Recurso de Revisión contendrá:</w:t>
      </w:r>
      <w:r w:rsidRPr="005D58F0">
        <w:rPr>
          <w:rFonts w:ascii="Palatino Linotype" w:eastAsia="Palatino Linotype" w:hAnsi="Palatino Linotype" w:cs="Palatino Linotype"/>
          <w:b/>
          <w:i/>
          <w:sz w:val="22"/>
          <w:szCs w:val="22"/>
        </w:rPr>
        <w:t xml:space="preserve"> </w:t>
      </w:r>
    </w:p>
    <w:p w14:paraId="2FFECAD7" w14:textId="77777777" w:rsidR="0053592A" w:rsidRPr="005D58F0" w:rsidRDefault="00263B8E" w:rsidP="005D58F0">
      <w:pPr>
        <w:tabs>
          <w:tab w:val="left" w:pos="851"/>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w:t>
      </w:r>
    </w:p>
    <w:p w14:paraId="5CB86495" w14:textId="77777777" w:rsidR="0053592A" w:rsidRPr="005D58F0" w:rsidRDefault="00263B8E" w:rsidP="005D58F0">
      <w:pPr>
        <w:tabs>
          <w:tab w:val="left" w:pos="851"/>
        </w:tabs>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II. El nombre del solicitante que recurre </w:t>
      </w:r>
      <w:r w:rsidRPr="005D58F0">
        <w:rPr>
          <w:rFonts w:ascii="Palatino Linotype" w:eastAsia="Palatino Linotype" w:hAnsi="Palatino Linotype" w:cs="Palatino Linotype"/>
          <w:i/>
          <w:sz w:val="22"/>
          <w:szCs w:val="22"/>
        </w:rPr>
        <w:t>o de su representante y, en su caso</w:t>
      </w:r>
      <w:proofErr w:type="gramStart"/>
      <w:r w:rsidRPr="005D58F0">
        <w:rPr>
          <w:rFonts w:ascii="Palatino Linotype" w:eastAsia="Palatino Linotype" w:hAnsi="Palatino Linotype" w:cs="Palatino Linotype"/>
          <w:i/>
          <w:sz w:val="22"/>
          <w:szCs w:val="22"/>
        </w:rPr>
        <w:t>, …</w:t>
      </w:r>
      <w:proofErr w:type="gramEnd"/>
    </w:p>
    <w:p w14:paraId="28F79719" w14:textId="77777777" w:rsidR="0053592A" w:rsidRPr="005D58F0" w:rsidRDefault="00263B8E" w:rsidP="005D58F0">
      <w:pPr>
        <w:tabs>
          <w:tab w:val="left" w:pos="851"/>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5D58F0">
        <w:rPr>
          <w:rFonts w:ascii="Palatino Linotype" w:eastAsia="Palatino Linotype" w:hAnsi="Palatino Linotype" w:cs="Palatino Linotype"/>
          <w:i/>
          <w:sz w:val="22"/>
          <w:szCs w:val="22"/>
        </w:rPr>
        <w:t>, IV, VII y VIII.</w:t>
      </w:r>
      <w:r w:rsidRPr="005D58F0">
        <w:rPr>
          <w:rFonts w:ascii="Palatino Linotype" w:eastAsia="Palatino Linotype" w:hAnsi="Palatino Linotype" w:cs="Palatino Linotype"/>
          <w:b/>
          <w:i/>
          <w:sz w:val="22"/>
          <w:szCs w:val="22"/>
        </w:rPr>
        <w:t>”</w:t>
      </w:r>
    </w:p>
    <w:p w14:paraId="3D6C744C" w14:textId="77777777" w:rsidR="0053592A" w:rsidRPr="005D58F0" w:rsidRDefault="00263B8E" w:rsidP="005D58F0">
      <w:pPr>
        <w:tabs>
          <w:tab w:val="left" w:pos="851"/>
        </w:tabs>
        <w:ind w:left="851" w:right="901"/>
        <w:jc w:val="right"/>
        <w:rPr>
          <w:rFonts w:ascii="Palatino Linotype" w:eastAsia="Palatino Linotype" w:hAnsi="Palatino Linotype" w:cs="Palatino Linotype"/>
          <w:i/>
          <w:sz w:val="16"/>
          <w:szCs w:val="16"/>
        </w:rPr>
      </w:pPr>
      <w:r w:rsidRPr="005D58F0">
        <w:rPr>
          <w:rFonts w:ascii="Palatino Linotype" w:eastAsia="Palatino Linotype" w:hAnsi="Palatino Linotype" w:cs="Palatino Linotype"/>
          <w:i/>
          <w:sz w:val="16"/>
          <w:szCs w:val="16"/>
        </w:rPr>
        <w:t>(Énfasis añadido)</w:t>
      </w:r>
    </w:p>
    <w:p w14:paraId="04B655C3" w14:textId="77777777" w:rsidR="0053592A" w:rsidRPr="005D58F0" w:rsidRDefault="0053592A" w:rsidP="005D58F0">
      <w:pPr>
        <w:tabs>
          <w:tab w:val="left" w:pos="851"/>
        </w:tabs>
        <w:ind w:right="901"/>
        <w:jc w:val="both"/>
        <w:rPr>
          <w:rFonts w:ascii="Palatino Linotype" w:eastAsia="Palatino Linotype" w:hAnsi="Palatino Linotype" w:cs="Palatino Linotype"/>
          <w:i/>
          <w:sz w:val="22"/>
          <w:szCs w:val="22"/>
        </w:rPr>
      </w:pPr>
    </w:p>
    <w:p w14:paraId="6204DE9F"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Es así que, derivado que el Recurso de Revisión materia del presente asunto, se interpuso de manera electrónica, no es necesario que contenga determinados requisitos, entre ellos, el nombre</w:t>
      </w:r>
      <w:r w:rsidRPr="005D58F0">
        <w:rPr>
          <w:rFonts w:ascii="Palatino Linotype" w:eastAsia="Palatino Linotype" w:hAnsi="Palatino Linotype" w:cs="Palatino Linotype"/>
          <w:b/>
        </w:rPr>
        <w:t>;</w:t>
      </w:r>
      <w:r w:rsidRPr="005D58F0">
        <w:rPr>
          <w:rFonts w:ascii="Palatino Linotype" w:eastAsia="Palatino Linotype" w:hAnsi="Palatino Linotype" w:cs="Palatino Linotype"/>
        </w:rPr>
        <w:t xml:space="preserve"> por lo que, en el presente caso, al haber sido presentado el Recurso de Revisión vía </w:t>
      </w:r>
      <w:r w:rsidRPr="005D58F0">
        <w:rPr>
          <w:rFonts w:ascii="Palatino Linotype" w:eastAsia="Palatino Linotype" w:hAnsi="Palatino Linotype" w:cs="Palatino Linotype"/>
          <w:b/>
        </w:rPr>
        <w:t>SAIMEX</w:t>
      </w:r>
      <w:r w:rsidRPr="005D58F0">
        <w:rPr>
          <w:rFonts w:ascii="Palatino Linotype" w:eastAsia="Palatino Linotype" w:hAnsi="Palatino Linotype" w:cs="Palatino Linotype"/>
        </w:rPr>
        <w:t>, dicho requisito resulta innecesario.</w:t>
      </w:r>
    </w:p>
    <w:p w14:paraId="6FDD7039" w14:textId="77777777" w:rsidR="0053592A" w:rsidRPr="005D58F0" w:rsidRDefault="0053592A" w:rsidP="005D58F0">
      <w:pPr>
        <w:spacing w:line="360" w:lineRule="auto"/>
        <w:jc w:val="both"/>
        <w:rPr>
          <w:rFonts w:ascii="Palatino Linotype" w:eastAsia="Palatino Linotype" w:hAnsi="Palatino Linotype" w:cs="Palatino Linotype"/>
        </w:rPr>
      </w:pPr>
    </w:p>
    <w:p w14:paraId="1D271B3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5D58F0">
        <w:rPr>
          <w:rFonts w:ascii="Palatino Linotype" w:eastAsia="Palatino Linotype" w:hAnsi="Palatino Linotype" w:cs="Palatino Linotype"/>
          <w:b/>
          <w:u w:val="single"/>
        </w:rPr>
        <w:t>el nombre no es un requisito indispensable —</w:t>
      </w:r>
      <w:r w:rsidRPr="005D58F0">
        <w:rPr>
          <w:rFonts w:ascii="Palatino Linotype" w:eastAsia="Palatino Linotype" w:hAnsi="Palatino Linotype" w:cs="Palatino Linotype"/>
          <w:b/>
          <w:i/>
          <w:u w:val="single"/>
        </w:rPr>
        <w:t>sine qua non—</w:t>
      </w:r>
      <w:r w:rsidRPr="005D58F0">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w:t>
      </w:r>
      <w:r w:rsidRPr="005D58F0">
        <w:rPr>
          <w:rFonts w:ascii="Palatino Linotype" w:eastAsia="Palatino Linotype" w:hAnsi="Palatino Linotype" w:cs="Palatino Linotype"/>
        </w:rPr>
        <w:lastRenderedPageBreak/>
        <w:t>posibilidad de que las solicitudes de información sean anónimas, al utilizar un nombre incompleto o, inclusive un seudónimo.</w:t>
      </w:r>
    </w:p>
    <w:p w14:paraId="004BE507" w14:textId="77777777" w:rsidR="0053592A" w:rsidRPr="005D58F0" w:rsidRDefault="0053592A" w:rsidP="005D58F0">
      <w:pPr>
        <w:spacing w:line="360" w:lineRule="auto"/>
        <w:jc w:val="both"/>
        <w:rPr>
          <w:rFonts w:ascii="Palatino Linotype" w:eastAsia="Palatino Linotype" w:hAnsi="Palatino Linotype" w:cs="Palatino Linotype"/>
        </w:rPr>
      </w:pPr>
    </w:p>
    <w:p w14:paraId="7A9DDB10" w14:textId="77777777" w:rsidR="0053592A" w:rsidRPr="005D58F0" w:rsidRDefault="00263B8E" w:rsidP="005D58F0">
      <w:pPr>
        <w:spacing w:line="360" w:lineRule="auto"/>
        <w:jc w:val="both"/>
        <w:rPr>
          <w:rFonts w:ascii="Palatino Linotype" w:eastAsia="Palatino Linotype" w:hAnsi="Palatino Linotype" w:cs="Palatino Linotype"/>
          <w:sz w:val="22"/>
          <w:szCs w:val="22"/>
        </w:rPr>
      </w:pPr>
      <w:r w:rsidRPr="005D58F0">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14E9E463" w14:textId="77777777" w:rsidR="0053592A" w:rsidRPr="005D58F0" w:rsidRDefault="0053592A" w:rsidP="005D58F0">
      <w:pPr>
        <w:tabs>
          <w:tab w:val="left" w:pos="851"/>
        </w:tabs>
        <w:ind w:left="851" w:right="901"/>
        <w:jc w:val="both"/>
        <w:rPr>
          <w:rFonts w:ascii="Palatino Linotype" w:eastAsia="Palatino Linotype" w:hAnsi="Palatino Linotype" w:cs="Palatino Linotype"/>
          <w:sz w:val="22"/>
          <w:szCs w:val="22"/>
        </w:rPr>
      </w:pPr>
    </w:p>
    <w:p w14:paraId="6BEB574B"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Asimismo, se estima que el requisito relativo al nombre de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no constituye un presupuesto indispensable de procedibilidad de los recursos de revisión, en términos de los artículos 25 de la Convención Americana de Derechos Humanos,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 es la misma persona que realizó la solicitud de Acceso a la Información Pública que ahora se impugna.</w:t>
      </w:r>
    </w:p>
    <w:p w14:paraId="3E80D454" w14:textId="77777777" w:rsidR="0053592A" w:rsidRPr="005D58F0" w:rsidRDefault="0053592A" w:rsidP="005D58F0">
      <w:pPr>
        <w:tabs>
          <w:tab w:val="left" w:pos="851"/>
        </w:tabs>
        <w:ind w:left="851" w:right="901"/>
        <w:jc w:val="both"/>
        <w:rPr>
          <w:rFonts w:ascii="Palatino Linotype" w:eastAsia="Palatino Linotype" w:hAnsi="Palatino Linotype" w:cs="Palatino Linotype"/>
          <w:sz w:val="22"/>
          <w:szCs w:val="22"/>
        </w:rPr>
      </w:pPr>
    </w:p>
    <w:p w14:paraId="6F5E6C8F"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Es así que, para el estudio de la materia sobre la versa el presente Recurso de Revisión, resulta intrascendente conocer el nombre de la persona que lo hubiere promovido, en </w:t>
      </w:r>
      <w:r w:rsidRPr="005D58F0">
        <w:rPr>
          <w:rFonts w:ascii="Palatino Linotype" w:eastAsia="Palatino Linotype" w:hAnsi="Palatino Linotype" w:cs="Palatino Linotype"/>
        </w:rPr>
        <w:lastRenderedPageBreak/>
        <w:t xml:space="preserve">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1477A62F" w14:textId="77777777" w:rsidR="0053592A" w:rsidRPr="005D58F0" w:rsidRDefault="0053592A" w:rsidP="005D58F0">
      <w:pPr>
        <w:spacing w:line="360" w:lineRule="auto"/>
        <w:jc w:val="both"/>
        <w:rPr>
          <w:rFonts w:ascii="Palatino Linotype" w:eastAsia="Palatino Linotype" w:hAnsi="Palatino Linotype" w:cs="Palatino Linotype"/>
        </w:rPr>
      </w:pPr>
    </w:p>
    <w:p w14:paraId="4D2F12D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sz w:val="26"/>
          <w:szCs w:val="26"/>
        </w:rPr>
        <w:t>CUARTO.</w:t>
      </w:r>
      <w:r w:rsidRPr="005D58F0">
        <w:rPr>
          <w:rFonts w:ascii="Palatino Linotype" w:eastAsia="Palatino Linotype" w:hAnsi="Palatino Linotype" w:cs="Palatino Linotype"/>
          <w:b/>
        </w:rPr>
        <w:t xml:space="preserve"> Oportunidad</w:t>
      </w:r>
      <w:r w:rsidRPr="005D58F0">
        <w:rPr>
          <w:rFonts w:ascii="Palatino Linotype" w:eastAsia="Palatino Linotype" w:hAnsi="Palatino Linotype" w:cs="Palatino Linotype"/>
        </w:rPr>
        <w:t xml:space="preserve">. </w:t>
      </w:r>
    </w:p>
    <w:p w14:paraId="21F2C40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Los Recursos de Revisión fueron interpuestos dentro del plazo de quince días hábiles, contados a partir del día siguiente aquel que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tuvo conocimiento de la respuesta impugnada; tal y como, lo prevé el artículo 178 de la Ley de Transparencia local.</w:t>
      </w:r>
      <w:r w:rsidRPr="005D58F0">
        <w:rPr>
          <w:rFonts w:ascii="Palatino Linotype" w:eastAsia="Palatino Linotype" w:hAnsi="Palatino Linotype" w:cs="Palatino Linotype"/>
          <w:vertAlign w:val="superscript"/>
        </w:rPr>
        <w:footnoteReference w:id="6"/>
      </w:r>
      <w:r w:rsidRPr="005D58F0">
        <w:rPr>
          <w:rFonts w:ascii="Palatino Linotype" w:eastAsia="Palatino Linotype" w:hAnsi="Palatino Linotype" w:cs="Palatino Linotype"/>
        </w:rPr>
        <w:t xml:space="preserve"> </w:t>
      </w:r>
    </w:p>
    <w:p w14:paraId="79573F65" w14:textId="77777777" w:rsidR="0053592A" w:rsidRPr="005D58F0" w:rsidRDefault="0053592A" w:rsidP="005D58F0">
      <w:pPr>
        <w:spacing w:line="360" w:lineRule="auto"/>
        <w:rPr>
          <w:rFonts w:ascii="Palatino Linotype" w:eastAsia="Palatino Linotype" w:hAnsi="Palatino Linotype" w:cs="Palatino Linotype"/>
        </w:rPr>
      </w:pPr>
    </w:p>
    <w:p w14:paraId="2327F363" w14:textId="77777777" w:rsidR="0053592A" w:rsidRPr="005D58F0" w:rsidRDefault="00263B8E" w:rsidP="005D58F0">
      <w:pPr>
        <w:tabs>
          <w:tab w:val="center" w:pos="4536"/>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b/>
        </w:rPr>
        <w:tab/>
      </w:r>
      <w:r w:rsidRPr="005D58F0">
        <w:rPr>
          <w:rFonts w:ascii="Palatino Linotype" w:eastAsia="Palatino Linotype" w:hAnsi="Palatino Linotype" w:cs="Palatino Linotype"/>
        </w:rPr>
        <w:t xml:space="preserve">En efecto, atendiendo a la fecha de notificación de las respuestas a las solicitudes de información pública, al plazo de quince días hábiles que el artículo 178 de la ley de la materia otorga a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para presentar el recurso de revisión, y la fecha de presentación</w:t>
      </w:r>
      <w:r w:rsidRPr="005D58F0">
        <w:rPr>
          <w:rFonts w:ascii="Palatino Linotype" w:eastAsia="Palatino Linotype" w:hAnsi="Palatino Linotype" w:cs="Palatino Linotype"/>
          <w:b/>
          <w:vertAlign w:val="superscript"/>
        </w:rPr>
        <w:footnoteReference w:id="7"/>
      </w:r>
      <w:r w:rsidRPr="005D58F0">
        <w:rPr>
          <w:rFonts w:ascii="Palatino Linotype" w:eastAsia="Palatino Linotype" w:hAnsi="Palatino Linotype" w:cs="Palatino Linotype"/>
        </w:rPr>
        <w:t xml:space="preserve">, se advierte que las respuestas fueron entregadas el siete de febrero </w:t>
      </w:r>
      <w:r w:rsidRPr="005D58F0">
        <w:rPr>
          <w:rFonts w:ascii="Palatino Linotype" w:eastAsia="Palatino Linotype" w:hAnsi="Palatino Linotype" w:cs="Palatino Linotype"/>
        </w:rPr>
        <w:lastRenderedPageBreak/>
        <w:t xml:space="preserve">de dos mil veintitrés, por lo que el plazo para impugnar aconteció del ocho al veintiocho de febrero de esa misma anualidad, por lo que si los recursos fueron presentados el once de febrero, es evidente que su presentación fue oportuna. </w:t>
      </w:r>
    </w:p>
    <w:p w14:paraId="4EB0F3CE" w14:textId="77777777" w:rsidR="0053592A" w:rsidRPr="005D58F0" w:rsidRDefault="00263B8E" w:rsidP="005D58F0">
      <w:pPr>
        <w:tabs>
          <w:tab w:val="left" w:pos="3615"/>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b/>
      </w:r>
    </w:p>
    <w:p w14:paraId="758613AE" w14:textId="77777777" w:rsidR="0053592A" w:rsidRPr="005D58F0" w:rsidRDefault="00263B8E" w:rsidP="005D58F0">
      <w:pPr>
        <w:spacing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b/>
          <w:sz w:val="26"/>
          <w:szCs w:val="26"/>
        </w:rPr>
        <w:t xml:space="preserve">QUINTO. </w:t>
      </w:r>
      <w:r w:rsidRPr="005D58F0">
        <w:rPr>
          <w:rFonts w:ascii="Palatino Linotype" w:eastAsia="Palatino Linotype" w:hAnsi="Palatino Linotype" w:cs="Palatino Linotype"/>
          <w:b/>
        </w:rPr>
        <w:t>Análisis de procedencia.</w:t>
      </w:r>
    </w:p>
    <w:p w14:paraId="33ADDEF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 efecto de determinar la procedencia del estudio de la acción intentada por la solicitante, se procede a revisar la solicitud, la respuesta, los actos impugnados y las razones de inconformidad planteadas por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expuestos en los antecedentes de la presente resolución,</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rPr>
        <w:t>advirtiéndose que se actualizan las hipótesis de procedibilidad previstas en las fracciones I y V, del artículo 179 de la Ley de la materia, el cual a la letra dice:</w:t>
      </w:r>
    </w:p>
    <w:p w14:paraId="30507597" w14:textId="77777777" w:rsidR="0053592A" w:rsidRPr="005D58F0" w:rsidRDefault="0053592A" w:rsidP="005D58F0">
      <w:pPr>
        <w:spacing w:line="360" w:lineRule="auto"/>
        <w:jc w:val="both"/>
        <w:rPr>
          <w:rFonts w:ascii="Palatino Linotype" w:eastAsia="Palatino Linotype" w:hAnsi="Palatino Linotype" w:cs="Palatino Linotype"/>
        </w:rPr>
      </w:pPr>
    </w:p>
    <w:p w14:paraId="19BBE7FE" w14:textId="77777777" w:rsidR="0053592A" w:rsidRPr="005D58F0" w:rsidRDefault="00263B8E" w:rsidP="005D58F0">
      <w:pPr>
        <w:tabs>
          <w:tab w:val="left" w:pos="8222"/>
        </w:tabs>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179.</w:t>
      </w:r>
      <w:r w:rsidRPr="005D58F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8BFAF59" w14:textId="77777777" w:rsidR="0053592A" w:rsidRPr="005D58F0" w:rsidRDefault="0053592A" w:rsidP="005D58F0">
      <w:pPr>
        <w:tabs>
          <w:tab w:val="left" w:pos="8222"/>
        </w:tabs>
        <w:ind w:left="851" w:right="901"/>
        <w:jc w:val="both"/>
        <w:rPr>
          <w:rFonts w:ascii="Palatino Linotype" w:eastAsia="Palatino Linotype" w:hAnsi="Palatino Linotype" w:cs="Palatino Linotype"/>
          <w:i/>
          <w:sz w:val="22"/>
          <w:szCs w:val="22"/>
        </w:rPr>
      </w:pPr>
    </w:p>
    <w:p w14:paraId="4CB6CC63" w14:textId="77777777" w:rsidR="0053592A" w:rsidRPr="005D58F0" w:rsidRDefault="00263B8E" w:rsidP="005D58F0">
      <w:pPr>
        <w:tabs>
          <w:tab w:val="left" w:pos="8222"/>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I. La negativa a la información solicitada;</w:t>
      </w:r>
    </w:p>
    <w:p w14:paraId="1BCBD0C0" w14:textId="77777777" w:rsidR="0053592A" w:rsidRPr="005D58F0" w:rsidRDefault="00263B8E" w:rsidP="005D58F0">
      <w:pPr>
        <w:tabs>
          <w:tab w:val="left" w:pos="8222"/>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w:t>
      </w:r>
    </w:p>
    <w:p w14:paraId="751426F8" w14:textId="77777777" w:rsidR="0053592A" w:rsidRPr="005D58F0" w:rsidRDefault="00263B8E" w:rsidP="005D58F0">
      <w:pPr>
        <w:tabs>
          <w:tab w:val="left" w:pos="8222"/>
        </w:tabs>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V. La entrega de información incompleta;</w:t>
      </w:r>
    </w:p>
    <w:p w14:paraId="2127F467" w14:textId="77777777" w:rsidR="0053592A" w:rsidRPr="005D58F0" w:rsidRDefault="00263B8E" w:rsidP="005D58F0">
      <w:pPr>
        <w:tabs>
          <w:tab w:val="left" w:pos="8222"/>
        </w:tabs>
        <w:ind w:left="851" w:right="901"/>
        <w:rPr>
          <w:rFonts w:ascii="Palatino Linotype" w:eastAsia="Palatino Linotype" w:hAnsi="Palatino Linotype" w:cs="Palatino Linotype"/>
        </w:rPr>
      </w:pPr>
      <w:r w:rsidRPr="005D58F0">
        <w:rPr>
          <w:rFonts w:ascii="Palatino Linotype" w:eastAsia="Palatino Linotype" w:hAnsi="Palatino Linotype" w:cs="Palatino Linotype"/>
          <w:b/>
          <w:i/>
          <w:sz w:val="22"/>
          <w:szCs w:val="22"/>
        </w:rPr>
        <w:t xml:space="preserve"> …</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i/>
          <w:sz w:val="16"/>
          <w:szCs w:val="16"/>
        </w:rPr>
        <w:t>(Énfasis añadido)</w:t>
      </w:r>
    </w:p>
    <w:p w14:paraId="14D7D416" w14:textId="77777777" w:rsidR="0053592A" w:rsidRPr="005D58F0" w:rsidRDefault="0053592A" w:rsidP="005D58F0">
      <w:pPr>
        <w:spacing w:line="360" w:lineRule="auto"/>
        <w:jc w:val="both"/>
        <w:rPr>
          <w:rFonts w:ascii="Palatino Linotype" w:eastAsia="Palatino Linotype" w:hAnsi="Palatino Linotype" w:cs="Palatino Linotype"/>
        </w:rPr>
      </w:pPr>
    </w:p>
    <w:p w14:paraId="36EFFA1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Atendiendo a lo anterior y al no identificarse causa alguna que impida el estudio de los motivos de inconformidad planteados, se procede al análisis respectivo.</w:t>
      </w:r>
    </w:p>
    <w:p w14:paraId="2F5A946F" w14:textId="77777777" w:rsidR="0053592A" w:rsidRPr="005D58F0" w:rsidRDefault="0053592A" w:rsidP="005D58F0">
      <w:pPr>
        <w:spacing w:line="360" w:lineRule="auto"/>
        <w:jc w:val="both"/>
        <w:rPr>
          <w:rFonts w:ascii="Palatino Linotype" w:eastAsia="Palatino Linotype" w:hAnsi="Palatino Linotype" w:cs="Palatino Linotype"/>
        </w:rPr>
      </w:pPr>
    </w:p>
    <w:p w14:paraId="40FD29C3" w14:textId="77777777"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rPr>
        <w:t>Respecto de las causales de improcedencia.</w:t>
      </w:r>
    </w:p>
    <w:p w14:paraId="4B37E399"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 xml:space="preserve">El estudio de las causas de improcedencia que se hagan valer por las partes o que se advierta de oficio por este órgano </w:t>
      </w:r>
      <w:proofErr w:type="spellStart"/>
      <w:r w:rsidRPr="005D58F0">
        <w:rPr>
          <w:rFonts w:ascii="Palatino Linotype" w:eastAsia="Palatino Linotype" w:hAnsi="Palatino Linotype" w:cs="Palatino Linotype"/>
        </w:rPr>
        <w:t>resolutor</w:t>
      </w:r>
      <w:proofErr w:type="spellEnd"/>
      <w:r w:rsidRPr="005D58F0">
        <w:rPr>
          <w:rFonts w:ascii="Palatino Linotype" w:eastAsia="Palatino Linotype" w:hAnsi="Palatino Linotype" w:cs="Palatino Linotype"/>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w:t>
      </w:r>
    </w:p>
    <w:p w14:paraId="3A23428B"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75BC9FC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Así las cosas, del análisis a los expedientes electrónicos, no se actualiza ninguna causa de improcedencia de las referidas en el artículo 191 de la Ley de Transparencia local, ni mucho menos se hizo valer causa de improcedencia alguna por las partes, encontrándose actualizados todos los presupuestos procesales para atender el fondo del asunto, en los términos del considerando posterior.</w:t>
      </w:r>
    </w:p>
    <w:p w14:paraId="604B0BA8" w14:textId="77777777" w:rsidR="0053592A" w:rsidRPr="005D58F0" w:rsidRDefault="0053592A" w:rsidP="005D58F0">
      <w:pPr>
        <w:spacing w:line="360" w:lineRule="auto"/>
        <w:jc w:val="both"/>
        <w:rPr>
          <w:rFonts w:ascii="Palatino Linotype" w:eastAsia="Palatino Linotype" w:hAnsi="Palatino Linotype" w:cs="Palatino Linotype"/>
        </w:rPr>
      </w:pPr>
    </w:p>
    <w:p w14:paraId="3A0B0EDD"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Atendiendo a lo anterior y al no identificarse causa alguna que impida el estudio de los motivos de inconformidad planteados, se procede al análisis respectivo.</w:t>
      </w:r>
    </w:p>
    <w:p w14:paraId="5545FE2A" w14:textId="77777777" w:rsidR="0053592A" w:rsidRPr="005D58F0" w:rsidRDefault="0053592A" w:rsidP="005D58F0">
      <w:pPr>
        <w:spacing w:line="360" w:lineRule="auto"/>
        <w:jc w:val="both"/>
        <w:rPr>
          <w:rFonts w:ascii="Palatino Linotype" w:eastAsia="Palatino Linotype" w:hAnsi="Palatino Linotype" w:cs="Palatino Linotype"/>
        </w:rPr>
      </w:pPr>
    </w:p>
    <w:p w14:paraId="79346ED7" w14:textId="77777777" w:rsidR="0053592A" w:rsidRPr="005D58F0" w:rsidRDefault="00263B8E" w:rsidP="005D58F0">
      <w:pPr>
        <w:spacing w:line="360" w:lineRule="auto"/>
        <w:jc w:val="both"/>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 xml:space="preserve">SEXTO. </w:t>
      </w:r>
      <w:r w:rsidRPr="005D58F0">
        <w:rPr>
          <w:rFonts w:ascii="Palatino Linotype" w:eastAsia="Palatino Linotype" w:hAnsi="Palatino Linotype" w:cs="Palatino Linotype"/>
          <w:b/>
        </w:rPr>
        <w:t>Estudio y resolución del asunto.</w:t>
      </w:r>
      <w:r w:rsidRPr="005D58F0">
        <w:rPr>
          <w:rFonts w:ascii="Palatino Linotype" w:eastAsia="Palatino Linotype" w:hAnsi="Palatino Linotype" w:cs="Palatino Linotype"/>
          <w:b/>
          <w:sz w:val="26"/>
          <w:szCs w:val="26"/>
        </w:rPr>
        <w:t xml:space="preserve"> </w:t>
      </w:r>
    </w:p>
    <w:p w14:paraId="6B8D2949"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b/>
        </w:rPr>
        <w:t>Marco Normativo General.</w:t>
      </w:r>
    </w:p>
    <w:p w14:paraId="2175C70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Con la finalidad de dictar un fallo conforme a derecho, este Órgano Garante realizará un análisis del contenido íntegro de las actuaciones que obran en el expediente electrónico formado en </w:t>
      </w:r>
      <w:r w:rsidRPr="005D58F0">
        <w:rPr>
          <w:rFonts w:ascii="Palatino Linotype" w:eastAsia="Palatino Linotype" w:hAnsi="Palatino Linotype" w:cs="Palatino Linotype"/>
          <w:b/>
        </w:rPr>
        <w:t>EL SAIMEX</w:t>
      </w:r>
      <w:r w:rsidRPr="005D58F0">
        <w:rPr>
          <w:rFonts w:ascii="Palatino Linotype" w:eastAsia="Palatino Linotype" w:hAnsi="Palatino Linotype" w:cs="Palatino Linotype"/>
        </w:rPr>
        <w:t xml:space="preserve">,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w:t>
      </w:r>
      <w:r w:rsidRPr="005D58F0">
        <w:rPr>
          <w:rFonts w:ascii="Palatino Linotype" w:eastAsia="Palatino Linotype" w:hAnsi="Palatino Linotype" w:cs="Palatino Linotype"/>
        </w:rPr>
        <w:lastRenderedPageBreak/>
        <w:t>en la materia; así como, en los Tratados Internacionales en los que el Estado Mexicano sea parte.</w:t>
      </w:r>
    </w:p>
    <w:p w14:paraId="3E61854D" w14:textId="77777777" w:rsidR="0053592A" w:rsidRPr="005D58F0" w:rsidRDefault="0053592A" w:rsidP="005D58F0">
      <w:pPr>
        <w:spacing w:line="360" w:lineRule="auto"/>
        <w:jc w:val="both"/>
        <w:rPr>
          <w:rFonts w:ascii="Palatino Linotype" w:eastAsia="Palatino Linotype" w:hAnsi="Palatino Linotype" w:cs="Palatino Linotype"/>
        </w:rPr>
      </w:pPr>
    </w:p>
    <w:p w14:paraId="3E43BD6E" w14:textId="77777777" w:rsidR="0053592A" w:rsidRPr="005D58F0" w:rsidRDefault="00263B8E" w:rsidP="005D58F0">
      <w:pPr>
        <w:tabs>
          <w:tab w:val="left" w:pos="2422"/>
        </w:tabs>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b/>
        </w:rPr>
        <w:t>El derecho de acceso a la Información Pública</w:t>
      </w:r>
      <w:r w:rsidRPr="005D58F0">
        <w:rPr>
          <w:rFonts w:ascii="Palatino Linotype" w:eastAsia="Palatino Linotype" w:hAnsi="Palatino Linotype" w:cs="Palatino Linotype"/>
        </w:rPr>
        <w:t xml:space="preserve"> se encuentra sustentado en el artículo 6°, Apartado A de la Constitución Política de los Estados Unidos Mexicanos, el cual señala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47C6F25D" w14:textId="77777777" w:rsidR="0053592A" w:rsidRPr="005D58F0" w:rsidRDefault="0053592A" w:rsidP="005D58F0">
      <w:pPr>
        <w:tabs>
          <w:tab w:val="left" w:pos="2422"/>
        </w:tabs>
        <w:spacing w:line="360" w:lineRule="auto"/>
        <w:ind w:right="51"/>
        <w:jc w:val="both"/>
        <w:rPr>
          <w:rFonts w:ascii="Palatino Linotype" w:eastAsia="Palatino Linotype" w:hAnsi="Palatino Linotype" w:cs="Palatino Linotype"/>
        </w:rPr>
      </w:pPr>
    </w:p>
    <w:p w14:paraId="364CA59D"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De igual manera, el artículo 5º de la Constitución Política del Estado Libre y Soberano de México, establece que el derecho a la información será garantizado por el Estado. La ley establecerá las previsiones que permitan asegurar la protección, el respeto y la difusión de este derecho. </w:t>
      </w:r>
    </w:p>
    <w:p w14:paraId="357A4AFB" w14:textId="77777777" w:rsidR="0053592A" w:rsidRPr="005D58F0" w:rsidRDefault="0053592A" w:rsidP="005D58F0">
      <w:pPr>
        <w:spacing w:line="360" w:lineRule="auto"/>
        <w:jc w:val="both"/>
        <w:rPr>
          <w:rFonts w:ascii="Palatino Linotype" w:eastAsia="Palatino Linotype" w:hAnsi="Palatino Linotype" w:cs="Palatino Linotype"/>
        </w:rPr>
      </w:pPr>
    </w:p>
    <w:p w14:paraId="2F9B5BF2" w14:textId="77777777" w:rsidR="0053592A" w:rsidRPr="005D58F0" w:rsidRDefault="00263B8E" w:rsidP="005D58F0">
      <w:pPr>
        <w:spacing w:line="360" w:lineRule="auto"/>
        <w:jc w:val="both"/>
        <w:rPr>
          <w:rFonts w:ascii="Palatino Linotype" w:eastAsia="Palatino Linotype" w:hAnsi="Palatino Linotype" w:cs="Palatino Linotype"/>
          <w:b/>
          <w:i/>
        </w:rPr>
      </w:pPr>
      <w:r w:rsidRPr="005D58F0">
        <w:rPr>
          <w:rFonts w:ascii="Palatino Linotype" w:eastAsia="Palatino Linotype" w:hAnsi="Palatino Linotype" w:cs="Palatino Linotype"/>
        </w:rPr>
        <w:t>Por su parte, la Ley de Transparencia local prevé en su artículo 23, que los sujetos obligados deberán transparentar y permitir el acceso a su información y proteger los datos personales que obren en su poder, encontrándose entre otros, “</w:t>
      </w:r>
      <w:r w:rsidRPr="005D58F0">
        <w:rPr>
          <w:rFonts w:ascii="Palatino Linotype" w:eastAsia="Palatino Linotype" w:hAnsi="Palatino Linotype" w:cs="Palatino Linotype"/>
          <w:b/>
          <w:i/>
        </w:rPr>
        <w:t>Los ayuntamientos, dependencias, organismos, órganos y entidades de la administración municipal”.</w:t>
      </w:r>
    </w:p>
    <w:p w14:paraId="762327CE" w14:textId="77777777" w:rsidR="0053592A" w:rsidRPr="005D58F0" w:rsidRDefault="0053592A" w:rsidP="005D58F0">
      <w:pPr>
        <w:spacing w:line="360" w:lineRule="auto"/>
        <w:jc w:val="both"/>
        <w:rPr>
          <w:rFonts w:ascii="Palatino Linotype" w:eastAsia="Palatino Linotype" w:hAnsi="Palatino Linotype" w:cs="Palatino Linotype"/>
          <w:b/>
          <w:sz w:val="22"/>
          <w:szCs w:val="22"/>
        </w:rPr>
      </w:pPr>
    </w:p>
    <w:p w14:paraId="3DBB0252" w14:textId="77777777" w:rsidR="0053592A" w:rsidRPr="005D58F0" w:rsidRDefault="00263B8E" w:rsidP="005D58F0">
      <w:pPr>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De los preceptos legales citados se establece que los Ayuntamientos se encuentran obligados a documentar y transparentar su actuar, así como a permitir el acceso a la información que generen, posean o administren; de ahí que la Ley de la materia delimite perfectamente los alcances de las obligaciones que corresponden a los Ayuntamientos. En ese tenor es necesario referir el contenido del artículo 115, fracciones I, II y IV de la Constitución Política de los Estados Unidos Mexicanos.</w:t>
      </w:r>
    </w:p>
    <w:p w14:paraId="4A54E0A0" w14:textId="77777777" w:rsidR="0053592A" w:rsidRPr="005D58F0" w:rsidRDefault="0053592A" w:rsidP="005D58F0">
      <w:pPr>
        <w:spacing w:line="360" w:lineRule="auto"/>
        <w:ind w:right="51"/>
        <w:jc w:val="both"/>
        <w:rPr>
          <w:rFonts w:ascii="Palatino Linotype" w:eastAsia="Palatino Linotype" w:hAnsi="Palatino Linotype" w:cs="Palatino Linotype"/>
        </w:rPr>
      </w:pPr>
    </w:p>
    <w:p w14:paraId="353A35FD" w14:textId="77777777" w:rsidR="0053592A" w:rsidRPr="005D58F0" w:rsidRDefault="00263B8E" w:rsidP="005D58F0">
      <w:pPr>
        <w:tabs>
          <w:tab w:val="left" w:pos="709"/>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otro lado, resulta importante el contenido de los artículos 4 y 12 de la Ley de Transparencia local</w:t>
      </w:r>
      <w:r w:rsidRPr="005D58F0">
        <w:rPr>
          <w:rFonts w:ascii="Palatino Linotype" w:eastAsia="Palatino Linotype" w:hAnsi="Palatino Linotype" w:cs="Palatino Linotype"/>
          <w:vertAlign w:val="superscript"/>
        </w:rPr>
        <w:footnoteReference w:id="8"/>
      </w:r>
      <w:r w:rsidRPr="005D58F0">
        <w:rPr>
          <w:rFonts w:ascii="Palatino Linotype" w:eastAsia="Palatino Linotype" w:hAnsi="Palatino Linotype" w:cs="Palatino Linotype"/>
        </w:rPr>
        <w:t>, los cuales, en esencia refieren que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1535F8EA" w14:textId="77777777" w:rsidR="0053592A" w:rsidRPr="005D58F0" w:rsidRDefault="0053592A" w:rsidP="005D58F0">
      <w:pPr>
        <w:spacing w:line="360" w:lineRule="auto"/>
        <w:jc w:val="both"/>
        <w:rPr>
          <w:rFonts w:ascii="Palatino Linotype" w:eastAsia="Palatino Linotype" w:hAnsi="Palatino Linotype" w:cs="Palatino Linotype"/>
        </w:rPr>
      </w:pPr>
    </w:p>
    <w:p w14:paraId="529ADFDB"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Queda de manifiesto entonces que, </w:t>
      </w:r>
      <w:r w:rsidRPr="005D58F0">
        <w:rPr>
          <w:rFonts w:ascii="Palatino Linotype" w:eastAsia="Palatino Linotype" w:hAnsi="Palatino Linotype" w:cs="Palatino Linotype"/>
          <w:b/>
        </w:rPr>
        <w:t xml:space="preserve">se considera información pública al conjunto de datos que posee cualquier autoridad, obtenidos en virtud del ejercicio de sus </w:t>
      </w:r>
      <w:r w:rsidRPr="005D58F0">
        <w:rPr>
          <w:rFonts w:ascii="Palatino Linotype" w:eastAsia="Palatino Linotype" w:hAnsi="Palatino Linotype" w:cs="Palatino Linotype"/>
          <w:b/>
        </w:rPr>
        <w:lastRenderedPageBreak/>
        <w:t>funciones de derecho público,</w:t>
      </w:r>
      <w:r w:rsidRPr="005D58F0">
        <w:t xml:space="preserve"> c</w:t>
      </w:r>
      <w:r w:rsidRPr="005D58F0">
        <w:rPr>
          <w:rFonts w:ascii="Palatino Linotype" w:eastAsia="Palatino Linotype" w:hAnsi="Palatino Linotype" w:cs="Palatino Linotype"/>
        </w:rPr>
        <w:t>riterio que ha sostenido la Suprema Corte de Justicia de la Nación</w:t>
      </w:r>
      <w:r w:rsidRPr="005D58F0">
        <w:rPr>
          <w:rFonts w:ascii="Palatino Linotype" w:eastAsia="Palatino Linotype" w:hAnsi="Palatino Linotype" w:cs="Palatino Linotype"/>
          <w:vertAlign w:val="superscript"/>
        </w:rPr>
        <w:footnoteReference w:id="9"/>
      </w:r>
      <w:r w:rsidRPr="005D58F0">
        <w:rPr>
          <w:rFonts w:ascii="Palatino Linotype" w:eastAsia="Palatino Linotype" w:hAnsi="Palatino Linotype" w:cs="Palatino Linotype"/>
        </w:rPr>
        <w:t>.</w:t>
      </w:r>
    </w:p>
    <w:p w14:paraId="1A8AACE7" w14:textId="77777777" w:rsidR="0053592A" w:rsidRPr="005D58F0" w:rsidRDefault="0053592A" w:rsidP="005D58F0">
      <w:pPr>
        <w:spacing w:line="360" w:lineRule="auto"/>
        <w:jc w:val="both"/>
        <w:rPr>
          <w:rFonts w:ascii="Palatino Linotype" w:eastAsia="Palatino Linotype" w:hAnsi="Palatino Linotype" w:cs="Palatino Linotype"/>
        </w:rPr>
      </w:pPr>
    </w:p>
    <w:p w14:paraId="5517D35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0E128326" w14:textId="77777777" w:rsidR="0053592A" w:rsidRPr="005D58F0" w:rsidRDefault="0053592A" w:rsidP="005D58F0">
      <w:pPr>
        <w:spacing w:line="360" w:lineRule="auto"/>
        <w:jc w:val="both"/>
        <w:rPr>
          <w:rFonts w:ascii="Palatino Linotype" w:eastAsia="Palatino Linotype" w:hAnsi="Palatino Linotype" w:cs="Palatino Linotype"/>
        </w:rPr>
      </w:pPr>
    </w:p>
    <w:p w14:paraId="773E0F8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5D58F0">
        <w:rPr>
          <w:rFonts w:ascii="Palatino Linotype" w:eastAsia="Palatino Linotype" w:hAnsi="Palatino Linotype" w:cs="Palatino Linotype"/>
        </w:rPr>
        <w:lastRenderedPageBreak/>
        <w:t>visual, electrónico, informático u holográfico, de conformidad con el artículo 3, fracción XI</w:t>
      </w:r>
      <w:r w:rsidRPr="005D58F0">
        <w:rPr>
          <w:rFonts w:ascii="Palatino Linotype" w:eastAsia="Palatino Linotype" w:hAnsi="Palatino Linotype" w:cs="Palatino Linotype"/>
          <w:vertAlign w:val="superscript"/>
        </w:rPr>
        <w:footnoteReference w:id="10"/>
      </w:r>
      <w:r w:rsidRPr="005D58F0">
        <w:rPr>
          <w:rFonts w:ascii="Palatino Linotype" w:eastAsia="Palatino Linotype" w:hAnsi="Palatino Linotype" w:cs="Palatino Linotype"/>
        </w:rPr>
        <w:t xml:space="preserve"> de la Ley de Transparencia local. </w:t>
      </w:r>
    </w:p>
    <w:p w14:paraId="22E6E698" w14:textId="77777777" w:rsidR="0053592A" w:rsidRPr="005D58F0" w:rsidRDefault="0053592A" w:rsidP="005D58F0">
      <w:pPr>
        <w:spacing w:line="360" w:lineRule="auto"/>
        <w:jc w:val="both"/>
        <w:rPr>
          <w:rFonts w:ascii="Palatino Linotype" w:eastAsia="Palatino Linotype" w:hAnsi="Palatino Linotype" w:cs="Palatino Linotype"/>
        </w:rPr>
      </w:pPr>
    </w:p>
    <w:p w14:paraId="0F291762"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de la Ley de Transparencia local.</w:t>
      </w:r>
    </w:p>
    <w:p w14:paraId="3672CCFD" w14:textId="77777777" w:rsidR="0053592A" w:rsidRPr="005D58F0" w:rsidRDefault="00263B8E" w:rsidP="005D58F0">
      <w:pPr>
        <w:spacing w:line="360" w:lineRule="auto"/>
        <w:jc w:val="both"/>
        <w:rPr>
          <w:rFonts w:ascii="Palatino Linotype" w:eastAsia="Palatino Linotype" w:hAnsi="Palatino Linotype" w:cs="Palatino Linotype"/>
          <w:sz w:val="22"/>
          <w:szCs w:val="22"/>
        </w:rPr>
      </w:pPr>
      <w:r w:rsidRPr="005D58F0">
        <w:rPr>
          <w:rFonts w:ascii="Palatino Linotype" w:eastAsia="Palatino Linotype" w:hAnsi="Palatino Linotype" w:cs="Palatino Linotype"/>
        </w:rPr>
        <w:t>En el caso que nos ocupa, es aplicable el criterio de interpretación en el orden administrativo número 0002-11</w:t>
      </w:r>
      <w:r w:rsidRPr="005D58F0">
        <w:rPr>
          <w:rFonts w:ascii="Palatino Linotype" w:eastAsia="Palatino Linotype" w:hAnsi="Palatino Linotype" w:cs="Palatino Linotype"/>
          <w:vertAlign w:val="superscript"/>
        </w:rPr>
        <w:footnoteReference w:id="11"/>
      </w:r>
      <w:r w:rsidRPr="005D58F0">
        <w:rPr>
          <w:rFonts w:ascii="Palatino Linotype" w:eastAsia="Palatino Linotype" w:hAnsi="Palatino Linotype" w:cs="Palatino Linotype"/>
        </w:rPr>
        <w:t>, cuyo rubro y texto dispone:</w:t>
      </w:r>
    </w:p>
    <w:p w14:paraId="6D2EDD33" w14:textId="77777777" w:rsidR="0053592A" w:rsidRPr="005D58F0" w:rsidRDefault="0053592A" w:rsidP="005D58F0">
      <w:pPr>
        <w:ind w:left="851" w:right="1134"/>
        <w:jc w:val="center"/>
        <w:rPr>
          <w:rFonts w:ascii="Palatino Linotype" w:eastAsia="Palatino Linotype" w:hAnsi="Palatino Linotype" w:cs="Palatino Linotype"/>
          <w:sz w:val="22"/>
          <w:szCs w:val="22"/>
        </w:rPr>
      </w:pPr>
    </w:p>
    <w:p w14:paraId="39E8DED2" w14:textId="77777777" w:rsidR="0053592A" w:rsidRPr="005D58F0" w:rsidRDefault="00263B8E" w:rsidP="005D58F0">
      <w:pPr>
        <w:ind w:left="851" w:right="1134"/>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0"/>
          <w:szCs w:val="20"/>
        </w:rPr>
        <w:t>INFORMACIÓN PÚBLICA, CONCEPTO DE, EN MATERIA DE TRANSPARENCIA. INTERPRETACIÓN SISTEMÁTICA DE LOS ARTÍCULOS 2°, FRACCIÓN V, XV, Y XVI, 3°, 4°, 11 Y 41.</w:t>
      </w:r>
      <w:r w:rsidRPr="005D58F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B8EA58" w14:textId="77777777" w:rsidR="0053592A" w:rsidRPr="005D58F0" w:rsidRDefault="00263B8E" w:rsidP="005D58F0">
      <w:pPr>
        <w:ind w:left="851" w:right="1134"/>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202F376" w14:textId="77777777" w:rsidR="0053592A" w:rsidRPr="005D58F0" w:rsidRDefault="00263B8E" w:rsidP="005D58F0">
      <w:pPr>
        <w:ind w:left="851" w:right="1134"/>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6429FE8" w14:textId="77777777" w:rsidR="0053592A" w:rsidRPr="005D58F0" w:rsidRDefault="00263B8E" w:rsidP="005D58F0">
      <w:pPr>
        <w:ind w:left="851" w:right="1134"/>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4FD36F0" w14:textId="77777777" w:rsidR="0053592A" w:rsidRPr="005D58F0" w:rsidRDefault="00263B8E" w:rsidP="005D58F0">
      <w:pPr>
        <w:ind w:left="851" w:right="1134"/>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lastRenderedPageBreak/>
        <w:t>3) Que se trate de información registrada en cualquier soporte documental, que en ejercicio de las atribuciones conferidas, se encuentre en posesión de los Sujetos Obligados.</w:t>
      </w:r>
    </w:p>
    <w:p w14:paraId="51315CBE" w14:textId="77777777" w:rsidR="0053592A" w:rsidRPr="005D58F0" w:rsidRDefault="00263B8E" w:rsidP="005D58F0">
      <w:pPr>
        <w:ind w:left="851" w:right="1134"/>
        <w:jc w:val="right"/>
        <w:rPr>
          <w:rFonts w:ascii="Palatino Linotype" w:eastAsia="Palatino Linotype" w:hAnsi="Palatino Linotype" w:cs="Palatino Linotype"/>
          <w:sz w:val="16"/>
          <w:szCs w:val="16"/>
        </w:rPr>
      </w:pPr>
      <w:r w:rsidRPr="005D58F0">
        <w:rPr>
          <w:rFonts w:ascii="Palatino Linotype" w:eastAsia="Palatino Linotype" w:hAnsi="Palatino Linotype" w:cs="Palatino Linotype"/>
          <w:sz w:val="16"/>
          <w:szCs w:val="16"/>
        </w:rPr>
        <w:t>(Énfasis añadido)</w:t>
      </w:r>
    </w:p>
    <w:p w14:paraId="6DBFD0C5"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72B8F70C"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Con base a lo anterior, podemos afirmar que las autoridades locales se encuentran constreñidas a la observancia de que, toda la información que generen, administren o posean en su calidad de los Sujetos Obligados, debe ser considerada un bien de dominio público y accesible a cualquier persona; como es de amplio conocimiento, el derecho imperante en materia de transparencia se rige por el </w:t>
      </w:r>
      <w:r w:rsidRPr="005D58F0">
        <w:rPr>
          <w:rFonts w:ascii="Palatino Linotype" w:eastAsia="Palatino Linotype" w:hAnsi="Palatino Linotype" w:cs="Palatino Linotype"/>
          <w:b/>
        </w:rPr>
        <w:t>principio de máxima publicidad</w:t>
      </w:r>
      <w:r w:rsidRPr="005D58F0">
        <w:rPr>
          <w:rFonts w:ascii="Palatino Linotype" w:eastAsia="Palatino Linotype" w:hAnsi="Palatino Linotype" w:cs="Palatino Linotype"/>
        </w:rPr>
        <w:t xml:space="preserve">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 </w:t>
      </w:r>
    </w:p>
    <w:p w14:paraId="3CEA6D56"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08715E54"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Atendiendo a los preceptos legales a los cuales se hizo referencia, se concluye que, el</w:t>
      </w:r>
      <w:r w:rsidRPr="005D58F0">
        <w:rPr>
          <w:rFonts w:ascii="Palatino Linotype" w:eastAsia="Palatino Linotype" w:hAnsi="Palatino Linotype" w:cs="Palatino Linotype"/>
          <w:u w:val="single"/>
        </w:rPr>
        <w:t xml:space="preserve"> Ayuntamiento de Zinacantepec</w:t>
      </w:r>
      <w:r w:rsidRPr="005D58F0">
        <w:rPr>
          <w:rFonts w:ascii="Palatino Linotype" w:eastAsia="Palatino Linotype" w:hAnsi="Palatino Linotype" w:cs="Palatino Linotype"/>
        </w:rPr>
        <w:t>, se encuentra dentro de los supuestos de obligatoriedad a transparentar y garantizar el Acceso a la Información Pública.</w:t>
      </w:r>
    </w:p>
    <w:p w14:paraId="003C6714"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284B2456" w14:textId="77777777" w:rsidR="0053592A" w:rsidRPr="005D58F0" w:rsidRDefault="00263B8E" w:rsidP="005D58F0">
      <w:pPr>
        <w:spacing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rPr>
        <w:t xml:space="preserve">Fijado el marco constitucional y legal, procederemos al análisis del </w:t>
      </w:r>
      <w:r w:rsidRPr="005D58F0">
        <w:rPr>
          <w:rFonts w:ascii="Palatino Linotype" w:eastAsia="Palatino Linotype" w:hAnsi="Palatino Linotype" w:cs="Palatino Linotype"/>
          <w:b/>
        </w:rPr>
        <w:t>caso en concreto.</w:t>
      </w:r>
    </w:p>
    <w:p w14:paraId="65BDC850"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3CBAA1D2"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b/>
        </w:rPr>
        <w:t>Metodología.</w:t>
      </w:r>
      <w:r w:rsidRPr="005D58F0">
        <w:rPr>
          <w:rFonts w:ascii="Palatino Linotype" w:eastAsia="Palatino Linotype" w:hAnsi="Palatino Linotype" w:cs="Palatino Linotype"/>
        </w:rPr>
        <w:t xml:space="preserve"> A efecto de determinar si con la información entregada por </w:t>
      </w:r>
      <w:r w:rsidRPr="005D58F0">
        <w:rPr>
          <w:rFonts w:ascii="Palatino Linotype" w:eastAsia="Palatino Linotype" w:hAnsi="Palatino Linotype" w:cs="Palatino Linotype"/>
          <w:b/>
        </w:rPr>
        <w:t xml:space="preserve">EL SUJETO OBLIGADO </w:t>
      </w:r>
      <w:r w:rsidRPr="005D58F0">
        <w:rPr>
          <w:rFonts w:ascii="Palatino Linotype" w:eastAsia="Palatino Linotype" w:hAnsi="Palatino Linotype" w:cs="Palatino Linotype"/>
        </w:rPr>
        <w:t>en respuesta a las</w:t>
      </w:r>
      <w:r w:rsidRPr="005D58F0">
        <w:rPr>
          <w:rFonts w:ascii="Palatino Linotype" w:eastAsia="Palatino Linotype" w:hAnsi="Palatino Linotype" w:cs="Palatino Linotype"/>
          <w:b/>
        </w:rPr>
        <w:t xml:space="preserve"> </w:t>
      </w:r>
      <w:r w:rsidRPr="005D58F0">
        <w:rPr>
          <w:rFonts w:ascii="Palatino Linotype" w:eastAsia="Palatino Linotype" w:hAnsi="Palatino Linotype" w:cs="Palatino Linotype"/>
        </w:rPr>
        <w:t>solicitudes se colmó el ejercicio del Derecho de Acceso a la Información o si por el contrario fue trasgredido dicho derecho, se estudiará cada recurso en orden consecutivo.</w:t>
      </w:r>
    </w:p>
    <w:p w14:paraId="5EDEB953" w14:textId="77777777" w:rsidR="0053592A" w:rsidRPr="005D58F0" w:rsidRDefault="0053592A" w:rsidP="005D58F0">
      <w:pPr>
        <w:spacing w:line="360" w:lineRule="auto"/>
        <w:ind w:right="49"/>
        <w:jc w:val="both"/>
        <w:rPr>
          <w:rFonts w:ascii="Palatino Linotype" w:eastAsia="Palatino Linotype" w:hAnsi="Palatino Linotype" w:cs="Palatino Linotype"/>
        </w:rPr>
      </w:pPr>
    </w:p>
    <w:p w14:paraId="21787C4C" w14:textId="77777777" w:rsidR="0053592A" w:rsidRPr="005D58F0" w:rsidRDefault="00263B8E"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b/>
        </w:rPr>
        <w:t>1. RECURSO 767.</w:t>
      </w:r>
    </w:p>
    <w:p w14:paraId="26452C9A"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 xml:space="preserve">¿Qué solicitó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b/>
          <w:sz w:val="26"/>
          <w:szCs w:val="26"/>
        </w:rPr>
        <w:t>?</w:t>
      </w:r>
    </w:p>
    <w:p w14:paraId="46CCE43D" w14:textId="77777777" w:rsidR="0053592A" w:rsidRPr="005D58F0" w:rsidRDefault="00263B8E" w:rsidP="005D58F0">
      <w:pP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LISTAS DE ASISTENCIA DE LOS SERVIDORES PÚBLICOS QUE PARTICIPARON EN LA CARAVANA NAVIDEÑA, ASÍ COMO EL COSTO DE LOS DISFRACES Y VESTIMENTA NAVIDEÑA QUE PORTARON.</w:t>
      </w:r>
    </w:p>
    <w:p w14:paraId="3D5CDF43" w14:textId="77777777" w:rsidR="0053592A" w:rsidRPr="005D58F0" w:rsidRDefault="0053592A" w:rsidP="005D58F0">
      <w:pPr>
        <w:tabs>
          <w:tab w:val="left" w:pos="2422"/>
        </w:tabs>
        <w:spacing w:line="360" w:lineRule="auto"/>
        <w:ind w:right="49"/>
        <w:rPr>
          <w:rFonts w:ascii="Palatino Linotype" w:eastAsia="Palatino Linotype" w:hAnsi="Palatino Linotype" w:cs="Palatino Linotype"/>
          <w:b/>
        </w:rPr>
      </w:pPr>
    </w:p>
    <w:p w14:paraId="2EEDE4C8" w14:textId="77777777" w:rsidR="0053592A" w:rsidRPr="005D58F0" w:rsidRDefault="00263B8E" w:rsidP="005D58F0">
      <w:pPr>
        <w:tabs>
          <w:tab w:val="left" w:pos="2422"/>
        </w:tabs>
        <w:spacing w:line="360" w:lineRule="auto"/>
        <w:ind w:right="49"/>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¿Qué le respondió EL SUJETO OBLIGADO?</w:t>
      </w:r>
    </w:p>
    <w:p w14:paraId="776EA585" w14:textId="77777777" w:rsidR="0053592A" w:rsidRPr="005D58F0" w:rsidRDefault="00263B8E" w:rsidP="005D58F0">
      <w:pP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No se generó lista de asistencia, ya que el evento realizado fue después del horario laboral además de que cada servidor público se hizo cargo de su vestimenta.</w:t>
      </w:r>
    </w:p>
    <w:p w14:paraId="6AD0C97D" w14:textId="77777777" w:rsidR="0053592A" w:rsidRPr="005D58F0" w:rsidRDefault="0053592A" w:rsidP="005D58F0">
      <w:pPr>
        <w:tabs>
          <w:tab w:val="left" w:pos="2422"/>
        </w:tabs>
        <w:ind w:left="851" w:right="49"/>
        <w:jc w:val="center"/>
      </w:pPr>
    </w:p>
    <w:p w14:paraId="66CEA915" w14:textId="77777777" w:rsidR="0053592A" w:rsidRPr="005D58F0" w:rsidRDefault="0053592A" w:rsidP="005D58F0">
      <w:pPr>
        <w:tabs>
          <w:tab w:val="left" w:pos="2422"/>
        </w:tabs>
        <w:ind w:left="851" w:right="49"/>
        <w:jc w:val="center"/>
        <w:rPr>
          <w:rFonts w:ascii="Palatino Linotype" w:eastAsia="Palatino Linotype" w:hAnsi="Palatino Linotype" w:cs="Palatino Linotype"/>
          <w:sz w:val="23"/>
          <w:szCs w:val="23"/>
        </w:rPr>
      </w:pPr>
    </w:p>
    <w:p w14:paraId="21398164"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Inconforme,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interpuso el presente recurso aduciendo que no le fue entregada la información. </w:t>
      </w:r>
    </w:p>
    <w:p w14:paraId="3625AF59" w14:textId="77777777" w:rsidR="0053592A" w:rsidRPr="005D58F0" w:rsidRDefault="0053592A" w:rsidP="005D58F0">
      <w:pPr>
        <w:tabs>
          <w:tab w:val="left" w:pos="2422"/>
        </w:tabs>
        <w:spacing w:line="360" w:lineRule="auto"/>
        <w:ind w:right="49"/>
        <w:jc w:val="both"/>
        <w:rPr>
          <w:rFonts w:ascii="Palatino Linotype" w:eastAsia="Palatino Linotype" w:hAnsi="Palatino Linotype" w:cs="Palatino Linotype"/>
        </w:rPr>
      </w:pPr>
    </w:p>
    <w:p w14:paraId="5EC4B0E3"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Es importante mencionar que se obvia el estudio de la fuente obligacional que constriñe al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a pronunciarse y contar con lo solicitado por el particular, toda vez que éste no se encuentra desconociendo los hechos, sin embargo, refiere que no se generó lista y no erogó gasto alguno por concepto de disfraces y vestimentas —según la Dirección de Cultura y Turismo—.</w:t>
      </w:r>
    </w:p>
    <w:p w14:paraId="3AC2E036"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Cabe señalar que conforme al Reglamento Orgánico Municipal de Zinacantepec 2022, la Dirección de Cultura y Turismo es:</w:t>
      </w:r>
    </w:p>
    <w:p w14:paraId="61205919" w14:textId="77777777" w:rsidR="0053592A" w:rsidRPr="005D58F0" w:rsidRDefault="0053592A" w:rsidP="005D58F0">
      <w:pPr>
        <w:tabs>
          <w:tab w:val="left" w:pos="7938"/>
        </w:tabs>
        <w:ind w:left="851" w:right="899"/>
        <w:jc w:val="both"/>
        <w:rPr>
          <w:rFonts w:ascii="Palatino Linotype" w:eastAsia="Palatino Linotype" w:hAnsi="Palatino Linotype" w:cs="Palatino Linotype"/>
          <w:b/>
          <w:i/>
        </w:rPr>
      </w:pPr>
    </w:p>
    <w:p w14:paraId="3106F9FC" w14:textId="77777777" w:rsidR="0053592A" w:rsidRPr="005D58F0" w:rsidRDefault="00263B8E" w:rsidP="005D58F0">
      <w:pPr>
        <w:tabs>
          <w:tab w:val="left" w:pos="7938"/>
        </w:tabs>
        <w:ind w:left="851" w:right="899"/>
        <w:jc w:val="both"/>
        <w:rPr>
          <w:i/>
        </w:rPr>
      </w:pPr>
      <w:r w:rsidRPr="005D58F0">
        <w:rPr>
          <w:b/>
          <w:i/>
        </w:rPr>
        <w:t>Artículo 81.</w:t>
      </w:r>
      <w:r w:rsidRPr="005D58F0">
        <w:rPr>
          <w:i/>
        </w:rPr>
        <w:t xml:space="preserve"> La Dirección de Cultura y Turismo es Unidad Administrativa encargada del fomento de actividades tendientes a proteger, acrecentar, difundir y promover la cultura y el turismo en el Municipio, conforme al marco jurídico Federal y Estatal aplicable. </w:t>
      </w:r>
    </w:p>
    <w:p w14:paraId="73B11395" w14:textId="77777777" w:rsidR="0053592A" w:rsidRPr="005D58F0" w:rsidRDefault="0053592A" w:rsidP="005D58F0">
      <w:pPr>
        <w:tabs>
          <w:tab w:val="left" w:pos="7938"/>
        </w:tabs>
        <w:ind w:left="851" w:right="899"/>
        <w:jc w:val="both"/>
        <w:rPr>
          <w:i/>
        </w:rPr>
      </w:pPr>
    </w:p>
    <w:p w14:paraId="6B492F91" w14:textId="77777777" w:rsidR="0053592A" w:rsidRPr="005D58F0" w:rsidRDefault="00263B8E" w:rsidP="005D58F0">
      <w:pPr>
        <w:tabs>
          <w:tab w:val="left" w:pos="7938"/>
        </w:tabs>
        <w:ind w:left="851" w:right="899"/>
        <w:jc w:val="both"/>
        <w:rPr>
          <w:rFonts w:ascii="Palatino Linotype" w:eastAsia="Palatino Linotype" w:hAnsi="Palatino Linotype" w:cs="Palatino Linotype"/>
          <w:b/>
          <w:i/>
        </w:rPr>
      </w:pPr>
      <w:r w:rsidRPr="005D58F0">
        <w:rPr>
          <w:b/>
          <w:i/>
        </w:rPr>
        <w:lastRenderedPageBreak/>
        <w:t>Artículo 82.</w:t>
      </w:r>
      <w:r w:rsidRPr="005D58F0">
        <w:rPr>
          <w:i/>
        </w:rPr>
        <w:t xml:space="preserve"> Además de las previstas en las disposiciones normativas y administrativas en la materia, la Dirección de Desarrollo de Cultura y Turismo tiene las siguientes funciones y atribuciones:</w:t>
      </w:r>
    </w:p>
    <w:p w14:paraId="71B2B201" w14:textId="77777777" w:rsidR="0053592A" w:rsidRPr="005D58F0" w:rsidRDefault="00263B8E" w:rsidP="005D58F0">
      <w:pPr>
        <w:tabs>
          <w:tab w:val="left" w:pos="7938"/>
        </w:tabs>
        <w:ind w:left="851" w:right="899"/>
        <w:jc w:val="both"/>
        <w:rPr>
          <w:i/>
        </w:rPr>
      </w:pPr>
      <w:r w:rsidRPr="005D58F0">
        <w:rPr>
          <w:i/>
        </w:rPr>
        <w:t xml:space="preserve">V. Desarrollar proyectos culturales, turísticos y artesanales en beneficio de los habitantes del municipio. </w:t>
      </w:r>
    </w:p>
    <w:p w14:paraId="6F63B297" w14:textId="77777777" w:rsidR="0053592A" w:rsidRPr="005D58F0" w:rsidRDefault="00263B8E" w:rsidP="005D58F0">
      <w:pPr>
        <w:tabs>
          <w:tab w:val="left" w:pos="7938"/>
        </w:tabs>
        <w:ind w:left="851" w:right="899"/>
        <w:jc w:val="both"/>
        <w:rPr>
          <w:i/>
        </w:rPr>
      </w:pPr>
      <w:r w:rsidRPr="005D58F0">
        <w:rPr>
          <w:i/>
        </w:rPr>
        <w:t xml:space="preserve">VI. Llevar a cabo intercambios de difusión turística y cultural con los tres niveles de gobierno, así como a nivel internacional; </w:t>
      </w:r>
    </w:p>
    <w:p w14:paraId="5EC75027" w14:textId="77777777" w:rsidR="0053592A" w:rsidRPr="005D58F0" w:rsidRDefault="00263B8E" w:rsidP="005D58F0">
      <w:pPr>
        <w:tabs>
          <w:tab w:val="left" w:pos="7938"/>
        </w:tabs>
        <w:ind w:left="851" w:right="899"/>
        <w:jc w:val="both"/>
        <w:rPr>
          <w:i/>
        </w:rPr>
      </w:pPr>
      <w:r w:rsidRPr="005D58F0">
        <w:rPr>
          <w:i/>
        </w:rPr>
        <w:t xml:space="preserve">VIII. Fomentar la cultura y el turismo social entre los estudiantes, familias y otros sectores de la población a fin de que conozcan más sobre los paisajes naturales, museos y lugares históricos del municipio; </w:t>
      </w:r>
    </w:p>
    <w:p w14:paraId="1F5AC767" w14:textId="77777777" w:rsidR="0053592A" w:rsidRPr="005D58F0" w:rsidRDefault="00263B8E" w:rsidP="005D58F0">
      <w:pPr>
        <w:tabs>
          <w:tab w:val="left" w:pos="7938"/>
        </w:tabs>
        <w:ind w:left="851" w:right="899"/>
        <w:jc w:val="both"/>
        <w:rPr>
          <w:i/>
        </w:rPr>
      </w:pPr>
      <w:r w:rsidRPr="005D58F0">
        <w:rPr>
          <w:i/>
        </w:rPr>
        <w:t>IX. Colaborar en la celebración de convenios tanto con entidades públicas como privadas a fin de promover que en el municipio se lleven a cabo diversas ferias, exposiciones y foros que promuevan la cultura y el turismo;</w:t>
      </w:r>
    </w:p>
    <w:p w14:paraId="78A08F15" w14:textId="77777777" w:rsidR="0053592A" w:rsidRPr="005D58F0" w:rsidRDefault="00263B8E" w:rsidP="005D58F0">
      <w:pPr>
        <w:tabs>
          <w:tab w:val="left" w:pos="7938"/>
        </w:tabs>
        <w:ind w:left="851" w:right="899"/>
        <w:jc w:val="both"/>
        <w:rPr>
          <w:i/>
        </w:rPr>
      </w:pPr>
      <w:r w:rsidRPr="005D58F0">
        <w:rPr>
          <w:i/>
        </w:rPr>
        <w:t xml:space="preserve">XI. Integrar, coordinar, promover, elaborar, difundir y distribuir la información, propaganda y publicidad en materia cultura y turismo, apoyándose en las diversas áreas de la Administración Municipal; </w:t>
      </w:r>
    </w:p>
    <w:p w14:paraId="429E2292" w14:textId="77777777" w:rsidR="0053592A" w:rsidRPr="005D58F0" w:rsidRDefault="00263B8E" w:rsidP="005D58F0">
      <w:pPr>
        <w:tabs>
          <w:tab w:val="left" w:pos="7938"/>
        </w:tabs>
        <w:ind w:left="851" w:right="899"/>
        <w:jc w:val="both"/>
        <w:rPr>
          <w:i/>
        </w:rPr>
      </w:pPr>
      <w:r w:rsidRPr="005D58F0">
        <w:rPr>
          <w:i/>
        </w:rPr>
        <w:t xml:space="preserve">XIV. Promover el rescate y preservación de las tradiciones y costumbres del Municipio que constituyan un atractivo turístico apoyando las iniciativas tendientes a su conservación; </w:t>
      </w:r>
    </w:p>
    <w:p w14:paraId="47A12450" w14:textId="77777777" w:rsidR="0053592A" w:rsidRPr="005D58F0" w:rsidRDefault="00263B8E" w:rsidP="005D58F0">
      <w:pPr>
        <w:tabs>
          <w:tab w:val="left" w:pos="7938"/>
        </w:tabs>
        <w:ind w:left="851" w:right="899"/>
        <w:jc w:val="both"/>
        <w:rPr>
          <w:rFonts w:ascii="Palatino Linotype" w:eastAsia="Palatino Linotype" w:hAnsi="Palatino Linotype" w:cs="Palatino Linotype"/>
          <w:b/>
          <w:i/>
        </w:rPr>
      </w:pPr>
      <w:r w:rsidRPr="005D58F0">
        <w:rPr>
          <w:i/>
        </w:rPr>
        <w:t>XVIII. Las demás que señalan las leyes, reglamentos y disposiciones jurídicas aplicables, o las que señale el Presidente Municipal.</w:t>
      </w:r>
    </w:p>
    <w:p w14:paraId="0BFAF2C6"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35404403"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Del artículo transcrito se advierte que el área del ayuntamiento relacionada con la conservación de tradiciones es quien se pronunció respecto de la información solicitada.</w:t>
      </w:r>
    </w:p>
    <w:p w14:paraId="7D7DF5C3"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644A2F67" w14:textId="77777777" w:rsidR="0053592A" w:rsidRPr="005D58F0" w:rsidRDefault="00263B8E" w:rsidP="005D58F0">
      <w:pPr>
        <w:tabs>
          <w:tab w:val="left" w:pos="7938"/>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orden de ideas, este Organismo Garante advierte que nos encontramos en presencia de un hecho negativo, por lo que, no resulta aplicable el artículo 19 de la Ley de la materia que nos constriñe a la emisión de un acuerdo de inexistencia, robustece lo anterior, lo siguiente: </w:t>
      </w:r>
    </w:p>
    <w:p w14:paraId="0D095C1C" w14:textId="77777777" w:rsidR="0053592A" w:rsidRPr="005D58F0" w:rsidRDefault="0053592A" w:rsidP="005D58F0">
      <w:pPr>
        <w:spacing w:line="276" w:lineRule="auto"/>
        <w:ind w:left="567" w:right="616"/>
        <w:jc w:val="both"/>
        <w:rPr>
          <w:rFonts w:ascii="Palatino Linotype" w:eastAsia="Palatino Linotype" w:hAnsi="Palatino Linotype" w:cs="Palatino Linotype"/>
          <w:b/>
          <w:i/>
          <w:sz w:val="22"/>
          <w:szCs w:val="22"/>
        </w:rPr>
      </w:pPr>
    </w:p>
    <w:p w14:paraId="3B1F61E8" w14:textId="77777777" w:rsidR="0053592A" w:rsidRPr="005D58F0" w:rsidRDefault="00263B8E" w:rsidP="005D58F0">
      <w:pPr>
        <w:spacing w:line="276" w:lineRule="auto"/>
        <w:ind w:left="567" w:right="616"/>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HECHOS NEGATIVOS, NO SON SUSCEPTIBLES DE DEMOSTRACIÓN. </w:t>
      </w:r>
      <w:r w:rsidRPr="005D58F0">
        <w:rPr>
          <w:rFonts w:ascii="Palatino Linotype" w:eastAsia="Palatino Linotype" w:hAnsi="Palatino Linotype" w:cs="Palatino Linotype"/>
          <w:i/>
          <w:sz w:val="22"/>
          <w:szCs w:val="22"/>
        </w:rPr>
        <w:t xml:space="preserve">Tratándose de un hecho negativo, el Juez no tiene por qué invocar prueba alguna de la que </w:t>
      </w:r>
      <w:r w:rsidRPr="005D58F0">
        <w:rPr>
          <w:rFonts w:ascii="Palatino Linotype" w:eastAsia="Palatino Linotype" w:hAnsi="Palatino Linotype" w:cs="Palatino Linotype"/>
          <w:i/>
          <w:sz w:val="22"/>
          <w:szCs w:val="22"/>
        </w:rPr>
        <w:lastRenderedPageBreak/>
        <w:t>se desprenda, ya que es bien sabido que esta clase de hechos no son susceptibles de demostración.</w:t>
      </w:r>
      <w:r w:rsidRPr="005D58F0">
        <w:rPr>
          <w:rFonts w:ascii="Palatino Linotype" w:eastAsia="Palatino Linotype" w:hAnsi="Palatino Linotype" w:cs="Palatino Linotype"/>
          <w:i/>
          <w:sz w:val="22"/>
          <w:szCs w:val="22"/>
          <w:vertAlign w:val="superscript"/>
        </w:rPr>
        <w:footnoteReference w:id="12"/>
      </w:r>
    </w:p>
    <w:p w14:paraId="3DFBE2EA" w14:textId="77777777" w:rsidR="0053592A" w:rsidRPr="005D58F0" w:rsidRDefault="0053592A" w:rsidP="005D58F0">
      <w:pPr>
        <w:spacing w:line="360" w:lineRule="auto"/>
        <w:ind w:left="567" w:right="616"/>
        <w:jc w:val="both"/>
        <w:rPr>
          <w:rFonts w:ascii="Palatino Linotype" w:eastAsia="Palatino Linotype" w:hAnsi="Palatino Linotype" w:cs="Palatino Linotype"/>
        </w:rPr>
      </w:pPr>
    </w:p>
    <w:p w14:paraId="033CF87D" w14:textId="77777777" w:rsidR="0053592A" w:rsidRPr="005D58F0" w:rsidRDefault="00263B8E" w:rsidP="005D58F0">
      <w:pPr>
        <w:spacing w:line="360" w:lineRule="auto"/>
        <w:jc w:val="both"/>
        <w:rPr>
          <w:rFonts w:ascii="Palatino Linotype" w:eastAsia="Palatino Linotype" w:hAnsi="Palatino Linotype" w:cs="Palatino Linotype"/>
          <w:sz w:val="22"/>
          <w:szCs w:val="22"/>
        </w:rPr>
      </w:pPr>
      <w:r w:rsidRPr="005D58F0">
        <w:rPr>
          <w:rFonts w:ascii="Palatino Linotype" w:eastAsia="Palatino Linotype" w:hAnsi="Palatino Linotype" w:cs="Palatino Linotype"/>
        </w:rPr>
        <w:t xml:space="preserve">De lo que se desprende que es materialmente imposible realizar la entrega de alguna documental que no ha generado y, por ende, que no obra en los archivos del Sujeto Obligado. </w:t>
      </w:r>
    </w:p>
    <w:p w14:paraId="55157FD7" w14:textId="77777777" w:rsidR="0053592A" w:rsidRPr="005D58F0" w:rsidRDefault="0053592A" w:rsidP="005D58F0">
      <w:pPr>
        <w:spacing w:line="360" w:lineRule="auto"/>
        <w:jc w:val="both"/>
        <w:rPr>
          <w:rFonts w:ascii="Palatino Linotype" w:eastAsia="Palatino Linotype" w:hAnsi="Palatino Linotype" w:cs="Palatino Linotype"/>
          <w:sz w:val="22"/>
          <w:szCs w:val="22"/>
        </w:rPr>
      </w:pPr>
    </w:p>
    <w:p w14:paraId="34D6504C"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Aunado a ello, es necesario señalar que este Órgano Garante no se encuentra facultado para manifestarse sobre la veracidad de la información proporcionada por parte de los sujetos obligados, conforme a lo establecido en el Criterio 31/10 emitido por el Instituto Nacional de Transparencia, Acceso a la Información Pública y Protección de Datos Personales INAI (anteriormente IFAI) que se procede a citar a continuación:</w:t>
      </w:r>
    </w:p>
    <w:p w14:paraId="1CD34163" w14:textId="77777777" w:rsidR="0053592A" w:rsidRPr="005D58F0" w:rsidRDefault="0053592A" w:rsidP="005D58F0">
      <w:pPr>
        <w:tabs>
          <w:tab w:val="left" w:pos="426"/>
        </w:tabs>
        <w:spacing w:line="360" w:lineRule="auto"/>
        <w:jc w:val="both"/>
        <w:rPr>
          <w:rFonts w:ascii="Palatino Linotype" w:eastAsia="Palatino Linotype" w:hAnsi="Palatino Linotype" w:cs="Palatino Linotype"/>
          <w:sz w:val="22"/>
          <w:szCs w:val="22"/>
        </w:rPr>
      </w:pPr>
    </w:p>
    <w:p w14:paraId="6F803B45" w14:textId="77777777" w:rsidR="0053592A" w:rsidRPr="005D58F0" w:rsidRDefault="00263B8E" w:rsidP="005D58F0">
      <w:pPr>
        <w:tabs>
          <w:tab w:val="left" w:pos="8222"/>
        </w:tabs>
        <w:spacing w:line="276" w:lineRule="auto"/>
        <w:ind w:left="567" w:right="567"/>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D58F0">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56EAAC6" w14:textId="77777777" w:rsidR="0053592A" w:rsidRPr="005D58F0" w:rsidRDefault="0053592A" w:rsidP="005D58F0">
      <w:pPr>
        <w:tabs>
          <w:tab w:val="left" w:pos="8222"/>
        </w:tabs>
        <w:spacing w:line="276" w:lineRule="auto"/>
        <w:ind w:left="567" w:right="567"/>
        <w:jc w:val="both"/>
        <w:rPr>
          <w:rFonts w:ascii="Palatino Linotype" w:eastAsia="Palatino Linotype" w:hAnsi="Palatino Linotype" w:cs="Palatino Linotype"/>
          <w:i/>
          <w:sz w:val="22"/>
          <w:szCs w:val="22"/>
        </w:rPr>
      </w:pPr>
    </w:p>
    <w:p w14:paraId="219A2634" w14:textId="77777777" w:rsidR="0053592A" w:rsidRPr="005D58F0" w:rsidRDefault="00263B8E" w:rsidP="005D58F0">
      <w:pPr>
        <w:tabs>
          <w:tab w:val="left" w:pos="3544"/>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 xml:space="preserve">Es así, que este Organismo Garante carece de facultades para dudar de la veracidad de la información que 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puso a disposición de la parte </w:t>
      </w:r>
      <w:r w:rsidRPr="005D58F0">
        <w:rPr>
          <w:rFonts w:ascii="Palatino Linotype" w:eastAsia="Palatino Linotype" w:hAnsi="Palatino Linotype" w:cs="Palatino Linotype"/>
          <w:b/>
        </w:rPr>
        <w:t>RECURRENTE.</w:t>
      </w:r>
      <w:r w:rsidRPr="005D58F0">
        <w:rPr>
          <w:rFonts w:ascii="Palatino Linotype" w:eastAsia="Palatino Linotype" w:hAnsi="Palatino Linotype" w:cs="Palatino Linotype"/>
        </w:rPr>
        <w:t xml:space="preserve"> </w:t>
      </w:r>
    </w:p>
    <w:p w14:paraId="31B85C2D" w14:textId="77777777" w:rsidR="0053592A" w:rsidRPr="005D58F0" w:rsidRDefault="0053592A" w:rsidP="005D58F0">
      <w:pPr>
        <w:tabs>
          <w:tab w:val="left" w:pos="7938"/>
        </w:tabs>
        <w:spacing w:line="360" w:lineRule="auto"/>
        <w:jc w:val="both"/>
        <w:rPr>
          <w:rFonts w:ascii="Palatino Linotype" w:eastAsia="Palatino Linotype" w:hAnsi="Palatino Linotype" w:cs="Palatino Linotype"/>
        </w:rPr>
      </w:pPr>
    </w:p>
    <w:p w14:paraId="08B50889" w14:textId="77777777" w:rsidR="0053592A" w:rsidRPr="005D58F0" w:rsidRDefault="00263B8E" w:rsidP="005D58F0">
      <w:pPr>
        <w:tabs>
          <w:tab w:val="left" w:pos="7938"/>
        </w:tabs>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rPr>
        <w:t>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la unidad de trasparencia solicitó a la Dirección de Cultura y Turismo la información al respecto, por lo que el requerimiento se tiene por atendido.</w:t>
      </w:r>
      <w:r w:rsidRPr="005D58F0">
        <w:rPr>
          <w:rFonts w:ascii="Palatino Linotype" w:eastAsia="Palatino Linotype" w:hAnsi="Palatino Linotype" w:cs="Palatino Linotype"/>
          <w:b/>
        </w:rPr>
        <w:t xml:space="preserve"> </w:t>
      </w:r>
    </w:p>
    <w:p w14:paraId="24152F9C" w14:textId="77777777" w:rsidR="0053592A" w:rsidRPr="005D58F0" w:rsidRDefault="0053592A" w:rsidP="005D58F0">
      <w:pPr>
        <w:tabs>
          <w:tab w:val="left" w:pos="7938"/>
        </w:tabs>
        <w:spacing w:line="360" w:lineRule="auto"/>
        <w:jc w:val="both"/>
        <w:rPr>
          <w:rFonts w:ascii="Palatino Linotype" w:eastAsia="Palatino Linotype" w:hAnsi="Palatino Linotype" w:cs="Palatino Linotype"/>
          <w:b/>
        </w:rPr>
      </w:pPr>
    </w:p>
    <w:p w14:paraId="5BD0443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Ahora bien, este Instituto realizó una búsqueda en la cuenta oficial del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de la red social de Facebook, y se localizó que el día dieciséis de diciembre de dos mil veintidós, se inició la Caravana Navideña a las 18:00 horas:</w:t>
      </w:r>
    </w:p>
    <w:p w14:paraId="328B08E9" w14:textId="77777777" w:rsidR="003408C9" w:rsidRPr="005D58F0" w:rsidRDefault="003408C9" w:rsidP="005D58F0">
      <w:pPr>
        <w:spacing w:line="360" w:lineRule="auto"/>
        <w:jc w:val="both"/>
        <w:rPr>
          <w:rFonts w:ascii="Palatino Linotype" w:eastAsia="Palatino Linotype" w:hAnsi="Palatino Linotype" w:cs="Palatino Linotype"/>
        </w:rPr>
      </w:pPr>
    </w:p>
    <w:p w14:paraId="5FD5FC4C" w14:textId="77777777" w:rsidR="0053592A" w:rsidRPr="005D58F0" w:rsidRDefault="00263B8E" w:rsidP="005D58F0">
      <w:pPr>
        <w:spacing w:line="360" w:lineRule="auto"/>
        <w:jc w:val="center"/>
        <w:rPr>
          <w:rFonts w:ascii="Palatino Linotype" w:eastAsia="Palatino Linotype" w:hAnsi="Palatino Linotype" w:cs="Palatino Linotype"/>
        </w:rPr>
      </w:pPr>
      <w:r w:rsidRPr="005D58F0">
        <w:rPr>
          <w:noProof/>
        </w:rPr>
        <w:drawing>
          <wp:inline distT="0" distB="0" distL="0" distR="0" wp14:anchorId="3EE56FC7" wp14:editId="02FE04D5">
            <wp:extent cx="2852896" cy="1793814"/>
            <wp:effectExtent l="0" t="0" r="0" b="0"/>
            <wp:docPr id="1856464791" name="image3.png" descr="Interfaz de usuario gráfica, Aplicación, Word&#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 Word&#10;&#10;Descripción generada automáticamente"/>
                    <pic:cNvPicPr preferRelativeResize="0"/>
                  </pic:nvPicPr>
                  <pic:blipFill>
                    <a:blip r:embed="rId14"/>
                    <a:srcRect l="55669" t="22869" r="25831" b="45363"/>
                    <a:stretch>
                      <a:fillRect/>
                    </a:stretch>
                  </pic:blipFill>
                  <pic:spPr>
                    <a:xfrm>
                      <a:off x="0" y="0"/>
                      <a:ext cx="2852896" cy="1793814"/>
                    </a:xfrm>
                    <a:prstGeom prst="rect">
                      <a:avLst/>
                    </a:prstGeom>
                    <a:ln/>
                  </pic:spPr>
                </pic:pic>
              </a:graphicData>
            </a:graphic>
          </wp:inline>
        </w:drawing>
      </w:r>
    </w:p>
    <w:p w14:paraId="1AE1A54B" w14:textId="77777777" w:rsidR="003408C9" w:rsidRPr="005D58F0" w:rsidRDefault="003408C9" w:rsidP="005D58F0">
      <w:pPr>
        <w:spacing w:line="360" w:lineRule="auto"/>
        <w:jc w:val="center"/>
        <w:rPr>
          <w:rFonts w:ascii="Palatino Linotype" w:eastAsia="Palatino Linotype" w:hAnsi="Palatino Linotype" w:cs="Palatino Linotype"/>
        </w:rPr>
      </w:pPr>
    </w:p>
    <w:p w14:paraId="2F3CD54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 xml:space="preserve">En ese entendido, se determina procedente </w:t>
      </w:r>
      <w:r w:rsidRPr="005D58F0">
        <w:rPr>
          <w:rFonts w:ascii="Palatino Linotype" w:eastAsia="Palatino Linotype" w:hAnsi="Palatino Linotype" w:cs="Palatino Linotype"/>
          <w:b/>
        </w:rPr>
        <w:t xml:space="preserve">CONFIRMAR </w:t>
      </w:r>
      <w:r w:rsidRPr="005D58F0">
        <w:rPr>
          <w:rFonts w:ascii="Palatino Linotype" w:eastAsia="Palatino Linotype" w:hAnsi="Palatino Linotype" w:cs="Palatino Linotype"/>
        </w:rPr>
        <w:t xml:space="preserve">la respuesta emitida por el Sujeto Obligado en el Recurso 767, en términos de la fracción II del artículo 186 de la Ley de Transparencia y Acceso a la Información Pública del Estado de México y Municipios. </w:t>
      </w:r>
    </w:p>
    <w:p w14:paraId="4BCF3E04"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688AF9E4" w14:textId="77777777" w:rsidR="0053592A" w:rsidRPr="005D58F0" w:rsidRDefault="00263B8E" w:rsidP="005D58F0">
      <w:pPr>
        <w:tabs>
          <w:tab w:val="left" w:pos="709"/>
        </w:tabs>
        <w:spacing w:after="160"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b/>
        </w:rPr>
        <w:t>2. RECURSO 769.</w:t>
      </w:r>
    </w:p>
    <w:p w14:paraId="36A182E2"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 xml:space="preserve">¿Qué solicitó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b/>
          <w:sz w:val="26"/>
          <w:szCs w:val="26"/>
        </w:rPr>
        <w:t>?</w:t>
      </w:r>
    </w:p>
    <w:p w14:paraId="6D26F6E2" w14:textId="77777777" w:rsidR="0053592A" w:rsidRPr="005D58F0" w:rsidRDefault="00263B8E" w:rsidP="005D58F0">
      <w:pP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LISTAS DE ASISTENCIA DE LA ALBERCA MUNICIPAL DEL AÑO 2022, ASÍ COMO LAS FACTURAS DE PAGO DE MANTENIMIENTO Y GAS.</w:t>
      </w:r>
    </w:p>
    <w:p w14:paraId="0ADA33B1" w14:textId="77777777" w:rsidR="0053592A" w:rsidRPr="005D58F0" w:rsidRDefault="0053592A" w:rsidP="005D58F0">
      <w:pPr>
        <w:tabs>
          <w:tab w:val="left" w:pos="2422"/>
        </w:tabs>
        <w:spacing w:line="360" w:lineRule="auto"/>
        <w:ind w:right="49"/>
        <w:rPr>
          <w:rFonts w:ascii="Palatino Linotype" w:eastAsia="Palatino Linotype" w:hAnsi="Palatino Linotype" w:cs="Palatino Linotype"/>
          <w:b/>
        </w:rPr>
      </w:pPr>
    </w:p>
    <w:p w14:paraId="6FFDBCE1" w14:textId="77777777" w:rsidR="0053592A" w:rsidRPr="005D58F0" w:rsidRDefault="00263B8E" w:rsidP="005D58F0">
      <w:pPr>
        <w:tabs>
          <w:tab w:val="left" w:pos="2422"/>
        </w:tabs>
        <w:spacing w:line="360" w:lineRule="auto"/>
        <w:ind w:right="49"/>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¿Qué le respondió EL SUJETO OBLIGADO?</w:t>
      </w:r>
    </w:p>
    <w:p w14:paraId="7443EAB0" w14:textId="77777777" w:rsidR="0053592A" w:rsidRPr="005D58F0" w:rsidRDefault="00263B8E" w:rsidP="005D58F0">
      <w:pPr>
        <w:numPr>
          <w:ilvl w:val="0"/>
          <w:numId w:val="1"/>
        </w:numPr>
        <w:pBdr>
          <w:top w:val="nil"/>
          <w:left w:val="nil"/>
          <w:bottom w:val="nil"/>
          <w:right w:val="nil"/>
          <w:between w:val="nil"/>
        </w:pBd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El Instituto Municipal de Cultura Física y Deporte de Zinacantepec no genera listas de asistencia de la alberca municipal.</w:t>
      </w:r>
    </w:p>
    <w:p w14:paraId="6C8F51F4" w14:textId="77777777" w:rsidR="0053592A" w:rsidRPr="005D58F0" w:rsidRDefault="00263B8E" w:rsidP="005D58F0">
      <w:pPr>
        <w:numPr>
          <w:ilvl w:val="0"/>
          <w:numId w:val="1"/>
        </w:numPr>
        <w:pBdr>
          <w:top w:val="nil"/>
          <w:left w:val="nil"/>
          <w:bottom w:val="nil"/>
          <w:right w:val="nil"/>
          <w:between w:val="nil"/>
        </w:pBd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Durante el ejercicio fiscal 2022 la alberca del Centro Acuático “Valor Deportivo” Zinacantepec, efectuó un gasto total de gas y mantenimiento como muestra en la siguiente tabla:</w:t>
      </w:r>
    </w:p>
    <w:p w14:paraId="5147ECC2" w14:textId="77777777" w:rsidR="0053592A" w:rsidRPr="005D58F0" w:rsidRDefault="0053592A" w:rsidP="005D58F0">
      <w:pPr>
        <w:tabs>
          <w:tab w:val="left" w:pos="2422"/>
        </w:tabs>
        <w:ind w:right="49"/>
        <w:jc w:val="both"/>
        <w:rPr>
          <w:rFonts w:ascii="Palatino Linotype" w:eastAsia="Palatino Linotype" w:hAnsi="Palatino Linotype" w:cs="Palatino Linotype"/>
          <w:sz w:val="23"/>
          <w:szCs w:val="23"/>
        </w:rPr>
      </w:pPr>
    </w:p>
    <w:tbl>
      <w:tblPr>
        <w:tblStyle w:val="a5"/>
        <w:tblW w:w="8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5245"/>
        <w:gridCol w:w="1559"/>
      </w:tblGrid>
      <w:tr w:rsidR="005D58F0" w:rsidRPr="005D58F0" w14:paraId="7648F41C" w14:textId="77777777">
        <w:trPr>
          <w:trHeight w:val="106"/>
          <w:jc w:val="center"/>
        </w:trPr>
        <w:tc>
          <w:tcPr>
            <w:tcW w:w="1216" w:type="dxa"/>
          </w:tcPr>
          <w:p w14:paraId="4F52B6B4" w14:textId="77777777" w:rsidR="0053592A" w:rsidRPr="005D58F0" w:rsidRDefault="00263B8E" w:rsidP="005D58F0">
            <w:pPr>
              <w:jc w:val="center"/>
              <w:rPr>
                <w:rFonts w:ascii="Century Gothic" w:eastAsia="Century Gothic" w:hAnsi="Century Gothic" w:cs="Century Gothic"/>
                <w:b/>
                <w:sz w:val="22"/>
                <w:szCs w:val="22"/>
              </w:rPr>
            </w:pPr>
            <w:r w:rsidRPr="005D58F0">
              <w:rPr>
                <w:rFonts w:ascii="Century Gothic" w:eastAsia="Century Gothic" w:hAnsi="Century Gothic" w:cs="Century Gothic"/>
                <w:b/>
                <w:sz w:val="22"/>
                <w:szCs w:val="22"/>
              </w:rPr>
              <w:t>PARTIDA</w:t>
            </w:r>
          </w:p>
        </w:tc>
        <w:tc>
          <w:tcPr>
            <w:tcW w:w="5245" w:type="dxa"/>
          </w:tcPr>
          <w:p w14:paraId="3337E445" w14:textId="77777777" w:rsidR="0053592A" w:rsidRPr="005D58F0" w:rsidRDefault="00263B8E" w:rsidP="005D58F0">
            <w:pPr>
              <w:jc w:val="center"/>
              <w:rPr>
                <w:rFonts w:ascii="Century Gothic" w:eastAsia="Century Gothic" w:hAnsi="Century Gothic" w:cs="Century Gothic"/>
                <w:b/>
                <w:sz w:val="21"/>
                <w:szCs w:val="21"/>
              </w:rPr>
            </w:pPr>
            <w:r w:rsidRPr="005D58F0">
              <w:rPr>
                <w:rFonts w:ascii="Century Gothic" w:eastAsia="Century Gothic" w:hAnsi="Century Gothic" w:cs="Century Gothic"/>
                <w:b/>
                <w:sz w:val="21"/>
                <w:szCs w:val="21"/>
              </w:rPr>
              <w:t>CONCEPTO</w:t>
            </w:r>
          </w:p>
        </w:tc>
        <w:tc>
          <w:tcPr>
            <w:tcW w:w="1559" w:type="dxa"/>
          </w:tcPr>
          <w:p w14:paraId="023CEC7C" w14:textId="77777777" w:rsidR="0053592A" w:rsidRPr="005D58F0" w:rsidRDefault="00263B8E" w:rsidP="005D58F0">
            <w:pPr>
              <w:jc w:val="center"/>
              <w:rPr>
                <w:rFonts w:ascii="Century Gothic" w:eastAsia="Century Gothic" w:hAnsi="Century Gothic" w:cs="Century Gothic"/>
                <w:b/>
                <w:sz w:val="21"/>
                <w:szCs w:val="21"/>
              </w:rPr>
            </w:pPr>
            <w:r w:rsidRPr="005D58F0">
              <w:rPr>
                <w:rFonts w:ascii="Century Gothic" w:eastAsia="Century Gothic" w:hAnsi="Century Gothic" w:cs="Century Gothic"/>
                <w:b/>
                <w:sz w:val="21"/>
                <w:szCs w:val="21"/>
              </w:rPr>
              <w:t>GAS</w:t>
            </w:r>
          </w:p>
        </w:tc>
      </w:tr>
      <w:tr w:rsidR="005D58F0" w:rsidRPr="005D58F0" w14:paraId="095BA8B9" w14:textId="77777777">
        <w:trPr>
          <w:trHeight w:val="106"/>
          <w:jc w:val="center"/>
        </w:trPr>
        <w:tc>
          <w:tcPr>
            <w:tcW w:w="1216" w:type="dxa"/>
          </w:tcPr>
          <w:p w14:paraId="67C9D6AD" w14:textId="77777777" w:rsidR="0053592A" w:rsidRPr="005D58F0" w:rsidRDefault="00263B8E" w:rsidP="005D58F0">
            <w:pPr>
              <w:jc w:val="center"/>
              <w:rPr>
                <w:rFonts w:ascii="Century Gothic" w:eastAsia="Century Gothic" w:hAnsi="Century Gothic" w:cs="Century Gothic"/>
                <w:sz w:val="22"/>
                <w:szCs w:val="22"/>
              </w:rPr>
            </w:pPr>
            <w:r w:rsidRPr="005D58F0">
              <w:rPr>
                <w:rFonts w:ascii="Century Gothic" w:eastAsia="Century Gothic" w:hAnsi="Century Gothic" w:cs="Century Gothic"/>
                <w:sz w:val="22"/>
                <w:szCs w:val="22"/>
              </w:rPr>
              <w:t>3121</w:t>
            </w:r>
          </w:p>
        </w:tc>
        <w:tc>
          <w:tcPr>
            <w:tcW w:w="5245" w:type="dxa"/>
          </w:tcPr>
          <w:p w14:paraId="453D8908" w14:textId="77777777" w:rsidR="0053592A" w:rsidRPr="005D58F0" w:rsidRDefault="00263B8E" w:rsidP="005D58F0">
            <w:pPr>
              <w:jc w:val="center"/>
              <w:rPr>
                <w:rFonts w:ascii="Century Gothic" w:eastAsia="Century Gothic" w:hAnsi="Century Gothic" w:cs="Century Gothic"/>
                <w:sz w:val="21"/>
                <w:szCs w:val="21"/>
              </w:rPr>
            </w:pPr>
            <w:r w:rsidRPr="005D58F0">
              <w:rPr>
                <w:rFonts w:ascii="Century Gothic" w:eastAsia="Century Gothic" w:hAnsi="Century Gothic" w:cs="Century Gothic"/>
                <w:sz w:val="21"/>
                <w:szCs w:val="21"/>
              </w:rPr>
              <w:t>GAS</w:t>
            </w:r>
          </w:p>
        </w:tc>
        <w:tc>
          <w:tcPr>
            <w:tcW w:w="1559" w:type="dxa"/>
          </w:tcPr>
          <w:p w14:paraId="64BEDE1B" w14:textId="77777777" w:rsidR="0053592A" w:rsidRPr="005D58F0" w:rsidRDefault="00263B8E" w:rsidP="005D58F0">
            <w:pPr>
              <w:jc w:val="center"/>
              <w:rPr>
                <w:rFonts w:ascii="Century Gothic" w:eastAsia="Century Gothic" w:hAnsi="Century Gothic" w:cs="Century Gothic"/>
                <w:sz w:val="21"/>
                <w:szCs w:val="21"/>
              </w:rPr>
            </w:pPr>
            <w:r w:rsidRPr="005D58F0">
              <w:rPr>
                <w:rFonts w:ascii="Century Gothic" w:eastAsia="Century Gothic" w:hAnsi="Century Gothic" w:cs="Century Gothic"/>
                <w:sz w:val="21"/>
                <w:szCs w:val="21"/>
              </w:rPr>
              <w:t>$460,885.68</w:t>
            </w:r>
          </w:p>
        </w:tc>
      </w:tr>
      <w:tr w:rsidR="0053592A" w:rsidRPr="005D58F0" w14:paraId="7CC78663" w14:textId="77777777">
        <w:trPr>
          <w:trHeight w:val="357"/>
          <w:jc w:val="center"/>
        </w:trPr>
        <w:tc>
          <w:tcPr>
            <w:tcW w:w="1216" w:type="dxa"/>
          </w:tcPr>
          <w:p w14:paraId="1C647ECD" w14:textId="77777777" w:rsidR="0053592A" w:rsidRPr="005D58F0" w:rsidRDefault="00263B8E" w:rsidP="005D58F0">
            <w:pPr>
              <w:jc w:val="center"/>
              <w:rPr>
                <w:rFonts w:ascii="Century Gothic" w:eastAsia="Century Gothic" w:hAnsi="Century Gothic" w:cs="Century Gothic"/>
                <w:sz w:val="22"/>
                <w:szCs w:val="22"/>
              </w:rPr>
            </w:pPr>
            <w:r w:rsidRPr="005D58F0">
              <w:rPr>
                <w:rFonts w:ascii="Century Gothic" w:eastAsia="Century Gothic" w:hAnsi="Century Gothic" w:cs="Century Gothic"/>
                <w:sz w:val="22"/>
                <w:szCs w:val="22"/>
              </w:rPr>
              <w:t>3571</w:t>
            </w:r>
          </w:p>
        </w:tc>
        <w:tc>
          <w:tcPr>
            <w:tcW w:w="5245" w:type="dxa"/>
          </w:tcPr>
          <w:p w14:paraId="56613DC9" w14:textId="77777777" w:rsidR="0053592A" w:rsidRPr="005D58F0" w:rsidRDefault="00263B8E" w:rsidP="005D58F0">
            <w:pPr>
              <w:jc w:val="center"/>
              <w:rPr>
                <w:rFonts w:ascii="Century Gothic" w:eastAsia="Century Gothic" w:hAnsi="Century Gothic" w:cs="Century Gothic"/>
                <w:sz w:val="21"/>
                <w:szCs w:val="21"/>
              </w:rPr>
            </w:pPr>
            <w:r w:rsidRPr="005D58F0">
              <w:rPr>
                <w:rFonts w:ascii="Century Gothic" w:eastAsia="Century Gothic" w:hAnsi="Century Gothic" w:cs="Century Gothic"/>
                <w:sz w:val="21"/>
                <w:szCs w:val="21"/>
              </w:rPr>
              <w:t>INSTALACIÓN, REPARACIÓN Y MANTENIMIENTO DE MAQUINARIA, OTROS EQUIPOS Y HERRAMIENTAS</w:t>
            </w:r>
          </w:p>
        </w:tc>
        <w:tc>
          <w:tcPr>
            <w:tcW w:w="1559" w:type="dxa"/>
          </w:tcPr>
          <w:p w14:paraId="6B8C3483" w14:textId="77777777" w:rsidR="0053592A" w:rsidRPr="005D58F0" w:rsidRDefault="00263B8E" w:rsidP="005D58F0">
            <w:pPr>
              <w:jc w:val="center"/>
              <w:rPr>
                <w:rFonts w:ascii="Century Gothic" w:eastAsia="Century Gothic" w:hAnsi="Century Gothic" w:cs="Century Gothic"/>
                <w:sz w:val="21"/>
                <w:szCs w:val="21"/>
              </w:rPr>
            </w:pPr>
            <w:r w:rsidRPr="005D58F0">
              <w:rPr>
                <w:rFonts w:ascii="Century Gothic" w:eastAsia="Century Gothic" w:hAnsi="Century Gothic" w:cs="Century Gothic"/>
                <w:sz w:val="21"/>
                <w:szCs w:val="21"/>
              </w:rPr>
              <w:t>$473,628.00</w:t>
            </w:r>
          </w:p>
        </w:tc>
      </w:tr>
    </w:tbl>
    <w:p w14:paraId="0D7B8D76" w14:textId="77777777" w:rsidR="0053592A" w:rsidRPr="005D58F0" w:rsidRDefault="0053592A" w:rsidP="005D58F0">
      <w:pPr>
        <w:tabs>
          <w:tab w:val="left" w:pos="2422"/>
        </w:tabs>
        <w:spacing w:line="360" w:lineRule="auto"/>
        <w:ind w:left="851" w:right="51"/>
        <w:jc w:val="center"/>
        <w:rPr>
          <w:rFonts w:ascii="Palatino Linotype" w:eastAsia="Palatino Linotype" w:hAnsi="Palatino Linotype" w:cs="Palatino Linotype"/>
          <w:sz w:val="23"/>
          <w:szCs w:val="23"/>
        </w:rPr>
      </w:pPr>
    </w:p>
    <w:p w14:paraId="57EEA755" w14:textId="77777777" w:rsidR="0053592A" w:rsidRPr="005D58F0" w:rsidRDefault="00263B8E" w:rsidP="005D58F0">
      <w:pPr>
        <w:tabs>
          <w:tab w:val="left" w:pos="2422"/>
        </w:tabs>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Inconforme,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interpuso el presente recurso aduciendo que no le fue entregada la información. </w:t>
      </w:r>
    </w:p>
    <w:p w14:paraId="79963BF2" w14:textId="77777777" w:rsidR="0053592A" w:rsidRPr="005D58F0" w:rsidRDefault="0053592A" w:rsidP="005D58F0">
      <w:pPr>
        <w:tabs>
          <w:tab w:val="left" w:pos="709"/>
        </w:tabs>
        <w:spacing w:line="360" w:lineRule="auto"/>
        <w:ind w:right="51"/>
        <w:jc w:val="both"/>
        <w:rPr>
          <w:rFonts w:ascii="Palatino Linotype" w:eastAsia="Palatino Linotype" w:hAnsi="Palatino Linotype" w:cs="Palatino Linotype"/>
          <w:b/>
        </w:rPr>
      </w:pPr>
    </w:p>
    <w:p w14:paraId="1386AB7A" w14:textId="77777777" w:rsidR="0053592A" w:rsidRPr="005D58F0" w:rsidRDefault="00263B8E" w:rsidP="005D58F0">
      <w:pPr>
        <w:tabs>
          <w:tab w:val="left" w:pos="709"/>
        </w:tabs>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rPr>
        <w:t>Mediante informe justificado el</w:t>
      </w:r>
      <w:r w:rsidRPr="005D58F0">
        <w:rPr>
          <w:rFonts w:ascii="Palatino Linotype" w:eastAsia="Palatino Linotype" w:hAnsi="Palatino Linotype" w:cs="Palatino Linotype"/>
          <w:b/>
        </w:rPr>
        <w:t xml:space="preserve"> SUJETO OBLIGADO</w:t>
      </w:r>
      <w:r w:rsidRPr="005D58F0">
        <w:rPr>
          <w:rFonts w:ascii="Palatino Linotype" w:eastAsia="Palatino Linotype" w:hAnsi="Palatino Linotype" w:cs="Palatino Linotype"/>
        </w:rPr>
        <w:t xml:space="preserve"> ratificó su respuesta remitiendo la respuesta del Director del Instituto Municipal de Cultura Física y Deporte en los términos señalados. </w:t>
      </w:r>
    </w:p>
    <w:p w14:paraId="306D24D6" w14:textId="77777777" w:rsidR="0053592A" w:rsidRPr="005D58F0" w:rsidRDefault="0053592A" w:rsidP="005D58F0">
      <w:pPr>
        <w:tabs>
          <w:tab w:val="left" w:pos="709"/>
        </w:tabs>
        <w:spacing w:line="360" w:lineRule="auto"/>
        <w:ind w:right="51"/>
        <w:jc w:val="both"/>
        <w:rPr>
          <w:rFonts w:ascii="Palatino Linotype" w:eastAsia="Palatino Linotype" w:hAnsi="Palatino Linotype" w:cs="Palatino Linotype"/>
        </w:rPr>
      </w:pPr>
    </w:p>
    <w:p w14:paraId="662B0473" w14:textId="77777777" w:rsidR="0053592A" w:rsidRPr="005D58F0" w:rsidRDefault="00263B8E" w:rsidP="005D58F0">
      <w:pPr>
        <w:tabs>
          <w:tab w:val="left" w:pos="709"/>
        </w:tabs>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Respecto del </w:t>
      </w:r>
      <w:r w:rsidRPr="005D58F0">
        <w:rPr>
          <w:rFonts w:ascii="Palatino Linotype" w:eastAsia="Palatino Linotype" w:hAnsi="Palatino Linotype" w:cs="Palatino Linotype"/>
          <w:b/>
        </w:rPr>
        <w:t>primer requerimiento</w:t>
      </w:r>
      <w:r w:rsidRPr="005D58F0">
        <w:rPr>
          <w:rFonts w:ascii="Palatino Linotype" w:eastAsia="Palatino Linotype" w:hAnsi="Palatino Linotype" w:cs="Palatino Linotype"/>
        </w:rPr>
        <w:t>, se advierte que nos encontramos ante un hecho negativo, motivo por el cual, no resulta aplicable el artículo 19 de la Ley de la materia que nos constriñe a la emisión de un acuerdo de inexistencia, toda vez que existe pronunciamiento del Director del Instituto Municipal de Cultura Física y Deporte,</w:t>
      </w:r>
      <w:r w:rsidRPr="005D58F0">
        <w:t xml:space="preserve"> </w:t>
      </w:r>
      <w:r w:rsidRPr="005D58F0">
        <w:rPr>
          <w:rFonts w:ascii="Palatino Linotype" w:eastAsia="Palatino Linotype" w:hAnsi="Palatino Linotype" w:cs="Palatino Linotype"/>
        </w:rPr>
        <w:t>por lo que, en obvio de repeticiones innecesarios, se tiene por reproducido el estudio previo del hecho negativo, como si a la letra se insertara.</w:t>
      </w:r>
    </w:p>
    <w:p w14:paraId="1B56A066" w14:textId="77777777" w:rsidR="0053592A" w:rsidRPr="005D58F0" w:rsidRDefault="0053592A" w:rsidP="005D58F0">
      <w:pPr>
        <w:tabs>
          <w:tab w:val="left" w:pos="709"/>
        </w:tabs>
        <w:spacing w:line="360" w:lineRule="auto"/>
        <w:ind w:right="49"/>
        <w:jc w:val="both"/>
        <w:rPr>
          <w:rFonts w:ascii="Palatino Linotype" w:eastAsia="Palatino Linotype" w:hAnsi="Palatino Linotype" w:cs="Palatino Linotype"/>
        </w:rPr>
      </w:pPr>
    </w:p>
    <w:p w14:paraId="65541CC1" w14:textId="4F78D0BB" w:rsidR="0053592A" w:rsidRPr="005D58F0" w:rsidRDefault="003408C9" w:rsidP="005D58F0">
      <w:pPr>
        <w:spacing w:line="360" w:lineRule="auto"/>
        <w:ind w:right="18"/>
        <w:jc w:val="both"/>
        <w:rPr>
          <w:rFonts w:ascii="Palatino Linotype" w:eastAsia="Palatino Linotype" w:hAnsi="Palatino Linotype" w:cs="Palatino Linotype"/>
        </w:rPr>
      </w:pPr>
      <w:r w:rsidRPr="005D58F0">
        <w:rPr>
          <w:rFonts w:ascii="Palatino Linotype" w:eastAsia="Palatino Linotype" w:hAnsi="Palatino Linotype" w:cs="Palatino Linotype"/>
        </w:rPr>
        <w:t>Máxime</w:t>
      </w:r>
      <w:r w:rsidR="00263B8E" w:rsidRPr="005D58F0">
        <w:rPr>
          <w:rFonts w:ascii="Palatino Linotype" w:eastAsia="Palatino Linotype" w:hAnsi="Palatino Linotype" w:cs="Palatino Linotype"/>
        </w:rPr>
        <w:t xml:space="preserve"> que, al haber existido un pronunciamiento por parte del </w:t>
      </w:r>
      <w:r w:rsidR="00263B8E" w:rsidRPr="005D58F0">
        <w:rPr>
          <w:rFonts w:ascii="Palatino Linotype" w:eastAsia="Palatino Linotype" w:hAnsi="Palatino Linotype" w:cs="Palatino Linotype"/>
          <w:b/>
        </w:rPr>
        <w:t>SUJETO OBLIGADO</w:t>
      </w:r>
      <w:r w:rsidR="00263B8E" w:rsidRPr="005D58F0">
        <w:rPr>
          <w:rFonts w:ascii="Palatino Linotype" w:eastAsia="Palatino Linotype" w:hAnsi="Palatino Linotype" w:cs="Palatino Linotype"/>
        </w:rPr>
        <w:t xml:space="preserve"> respecto de la materia de solicitud, en el que brinda información puntual sobre cada requerimiento planteados por la parte hoy recurrente, este Organismo Garante no está facultado para manifestarse sobre la veracidad de lo expresado por parte de éste, pues no existe precepto legal alguno en la Ley de la materia que lo faculte para ello. </w:t>
      </w:r>
    </w:p>
    <w:p w14:paraId="66DFFEB0" w14:textId="77777777" w:rsidR="0053592A" w:rsidRPr="005D58F0" w:rsidRDefault="0053592A" w:rsidP="005D58F0">
      <w:pPr>
        <w:spacing w:line="360" w:lineRule="auto"/>
        <w:ind w:right="18"/>
        <w:jc w:val="both"/>
        <w:rPr>
          <w:rFonts w:ascii="Palatino Linotype" w:eastAsia="Palatino Linotype" w:hAnsi="Palatino Linotype" w:cs="Palatino Linotype"/>
        </w:rPr>
      </w:pPr>
    </w:p>
    <w:p w14:paraId="3A3A9954"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Lo anterior se sustenta con lo plasmado en el criterio orientador INAI 31-10 de rubro </w:t>
      </w:r>
      <w:r w:rsidRPr="005D58F0">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w:t>
      </w:r>
      <w:r w:rsidRPr="005D58F0">
        <w:rPr>
          <w:rFonts w:ascii="Palatino Linotype" w:eastAsia="Palatino Linotype" w:hAnsi="Palatino Linotype" w:cs="Palatino Linotype"/>
          <w:sz w:val="22"/>
          <w:szCs w:val="22"/>
        </w:rPr>
        <w:t xml:space="preserve">, citado anteriormente, </w:t>
      </w:r>
      <w:r w:rsidRPr="005D58F0">
        <w:rPr>
          <w:rFonts w:ascii="Palatino Linotype" w:eastAsia="Palatino Linotype" w:hAnsi="Palatino Linotype" w:cs="Palatino Linotype"/>
        </w:rPr>
        <w:t xml:space="preserve">por lo que el primer requerimiento </w:t>
      </w:r>
      <w:r w:rsidRPr="005D58F0">
        <w:rPr>
          <w:rFonts w:ascii="Palatino Linotype" w:eastAsia="Palatino Linotype" w:hAnsi="Palatino Linotype" w:cs="Palatino Linotype"/>
          <w:b/>
        </w:rPr>
        <w:t>se tiene por atendido</w:t>
      </w:r>
      <w:r w:rsidRPr="005D58F0">
        <w:rPr>
          <w:rFonts w:ascii="Palatino Linotype" w:eastAsia="Palatino Linotype" w:hAnsi="Palatino Linotype" w:cs="Palatino Linotype"/>
        </w:rPr>
        <w:t>.</w:t>
      </w:r>
    </w:p>
    <w:p w14:paraId="7518FADD" w14:textId="77777777" w:rsidR="0053592A" w:rsidRPr="005D58F0" w:rsidRDefault="0053592A" w:rsidP="005D58F0">
      <w:pPr>
        <w:tabs>
          <w:tab w:val="left" w:pos="709"/>
        </w:tabs>
        <w:spacing w:line="360" w:lineRule="auto"/>
        <w:ind w:right="49"/>
        <w:jc w:val="both"/>
        <w:rPr>
          <w:rFonts w:ascii="Palatino Linotype" w:eastAsia="Palatino Linotype" w:hAnsi="Palatino Linotype" w:cs="Palatino Linotype"/>
        </w:rPr>
      </w:pPr>
    </w:p>
    <w:p w14:paraId="5A5CD7D6" w14:textId="77777777" w:rsidR="0053592A" w:rsidRPr="005D58F0" w:rsidRDefault="00263B8E" w:rsidP="005D58F0">
      <w:pPr>
        <w:tabs>
          <w:tab w:val="left" w:pos="709"/>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Ahora bien, respecto del </w:t>
      </w:r>
      <w:r w:rsidRPr="005D58F0">
        <w:rPr>
          <w:rFonts w:ascii="Palatino Linotype" w:eastAsia="Palatino Linotype" w:hAnsi="Palatino Linotype" w:cs="Palatino Linotype"/>
          <w:b/>
        </w:rPr>
        <w:t>segundo requerimiento</w:t>
      </w:r>
      <w:r w:rsidRPr="005D58F0">
        <w:rPr>
          <w:rFonts w:ascii="Palatino Linotype" w:eastAsia="Palatino Linotype" w:hAnsi="Palatino Linotype" w:cs="Palatino Linotype"/>
        </w:rPr>
        <w:t xml:space="preserve">, se advierte que el mismo Director informa que, durante el ejercicio fiscal 2022 la alberca del Centro Acuático “Valor Deportivo” Zinacantepec por concepto de gas, se gastó la cantidad de $460,885.68 (cuatrocientos sesenta mil ochocientos ochenta y cinco pesos 68/100 M.N.) y por </w:t>
      </w:r>
      <w:r w:rsidRPr="005D58F0">
        <w:rPr>
          <w:rFonts w:ascii="Palatino Linotype" w:eastAsia="Palatino Linotype" w:hAnsi="Palatino Linotype" w:cs="Palatino Linotype"/>
        </w:rPr>
        <w:lastRenderedPageBreak/>
        <w:t>concepto de instalación, reparación y mantenimiento de maquinaria, otros equipos y herramientas, la cantidad de $473,628.00 (cuatrocientos setenta y tres mil seiscientos veintiocho pesos 00/100 M.N.).</w:t>
      </w:r>
    </w:p>
    <w:p w14:paraId="36D107C8" w14:textId="77777777" w:rsidR="0053592A" w:rsidRPr="005D58F0" w:rsidRDefault="0053592A" w:rsidP="005D58F0">
      <w:pPr>
        <w:tabs>
          <w:tab w:val="left" w:pos="709"/>
        </w:tabs>
        <w:spacing w:line="360" w:lineRule="auto"/>
        <w:ind w:right="49"/>
        <w:jc w:val="both"/>
        <w:rPr>
          <w:rFonts w:ascii="Palatino Linotype" w:eastAsia="Palatino Linotype" w:hAnsi="Palatino Linotype" w:cs="Palatino Linotype"/>
        </w:rPr>
      </w:pPr>
    </w:p>
    <w:p w14:paraId="0C2451BC" w14:textId="77777777" w:rsidR="0053592A" w:rsidRPr="005D58F0" w:rsidRDefault="00263B8E" w:rsidP="005D58F0">
      <w:pPr>
        <w:tabs>
          <w:tab w:val="left" w:pos="709"/>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Pesé a lo anterior, se advierte que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solicita las facturas de pago, no solo conocer lo erogado en gas y mantenimiento. </w:t>
      </w:r>
    </w:p>
    <w:p w14:paraId="6860571C" w14:textId="77777777" w:rsidR="0053592A" w:rsidRPr="005D58F0" w:rsidRDefault="0053592A" w:rsidP="005D58F0">
      <w:pPr>
        <w:tabs>
          <w:tab w:val="left" w:pos="709"/>
        </w:tabs>
        <w:spacing w:line="360" w:lineRule="auto"/>
        <w:ind w:right="49"/>
        <w:jc w:val="both"/>
        <w:rPr>
          <w:rFonts w:ascii="Palatino Linotype" w:eastAsia="Palatino Linotype" w:hAnsi="Palatino Linotype" w:cs="Palatino Linotype"/>
        </w:rPr>
      </w:pPr>
    </w:p>
    <w:p w14:paraId="52FAC7C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Primeramente se observa que, la información requerida, </w:t>
      </w:r>
      <w:r w:rsidRPr="005D58F0">
        <w:rPr>
          <w:rFonts w:ascii="Palatino Linotype" w:eastAsia="Palatino Linotype" w:hAnsi="Palatino Linotype" w:cs="Palatino Linotype"/>
          <w:b/>
        </w:rPr>
        <w:t>invariablemente implica el uso y destino de recursos públicos</w:t>
      </w:r>
      <w:r w:rsidRPr="005D58F0">
        <w:rPr>
          <w:rFonts w:ascii="Palatino Linotype" w:eastAsia="Palatino Linotype" w:hAnsi="Palatino Linotype" w:cs="Palatino Linotype"/>
        </w:rPr>
        <w:t xml:space="preserve">; por ello, de conformidad con el artículo 24, fracción XVIII de la Ley de Transparencia y Acceso a la Información Pública del Estado de México y Municipios,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tiene la obligación de hacer pública toda aquella información relativa a los montos y las personas a quienes entreguen, por cualquier motivo, recursos públicos; así como, los informes que dichas personas les entreguen sobre el uso y destino de dichos recursos</w:t>
      </w:r>
      <w:r w:rsidRPr="005D58F0">
        <w:rPr>
          <w:rFonts w:ascii="Palatino Linotype" w:eastAsia="Palatino Linotype" w:hAnsi="Palatino Linotype" w:cs="Palatino Linotype"/>
          <w:vertAlign w:val="superscript"/>
        </w:rPr>
        <w:footnoteReference w:id="13"/>
      </w:r>
      <w:r w:rsidRPr="005D58F0">
        <w:rPr>
          <w:rFonts w:ascii="Palatino Linotype" w:eastAsia="Palatino Linotype" w:hAnsi="Palatino Linotype" w:cs="Palatino Linotype"/>
        </w:rPr>
        <w:t>.</w:t>
      </w:r>
    </w:p>
    <w:p w14:paraId="79CE173E" w14:textId="77777777" w:rsidR="0053592A" w:rsidRPr="005D58F0" w:rsidRDefault="0053592A" w:rsidP="005D58F0">
      <w:pPr>
        <w:spacing w:line="360" w:lineRule="auto"/>
        <w:jc w:val="both"/>
        <w:rPr>
          <w:rFonts w:ascii="Palatino Linotype" w:eastAsia="Palatino Linotype" w:hAnsi="Palatino Linotype" w:cs="Palatino Linotype"/>
        </w:rPr>
      </w:pPr>
    </w:p>
    <w:p w14:paraId="725EA772"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En esa tesitura, es de reiterar que lo que el particular requiere son las</w:t>
      </w:r>
      <w:r w:rsidRPr="005D58F0">
        <w:rPr>
          <w:rFonts w:ascii="Palatino Linotype" w:eastAsia="Palatino Linotype" w:hAnsi="Palatino Linotype" w:cs="Palatino Linotype"/>
          <w:b/>
          <w:i/>
        </w:rPr>
        <w:t xml:space="preserve"> facturas, </w:t>
      </w:r>
      <w:r w:rsidRPr="005D58F0">
        <w:rPr>
          <w:rFonts w:ascii="Palatino Linotype" w:eastAsia="Palatino Linotype" w:hAnsi="Palatino Linotype" w:cs="Palatino Linotype"/>
        </w:rPr>
        <w:t>es decir,</w:t>
      </w:r>
      <w:r w:rsidRPr="005D58F0">
        <w:rPr>
          <w:rFonts w:ascii="Palatino Linotype" w:eastAsia="Palatino Linotype" w:hAnsi="Palatino Linotype" w:cs="Palatino Linotype"/>
          <w:b/>
          <w:i/>
        </w:rPr>
        <w:t xml:space="preserve"> los comprobantes que amparan las erogaciones</w:t>
      </w:r>
      <w:r w:rsidRPr="005D58F0">
        <w:rPr>
          <w:rFonts w:ascii="Palatino Linotype" w:eastAsia="Palatino Linotype" w:hAnsi="Palatino Linotype" w:cs="Palatino Linotype"/>
        </w:rPr>
        <w:t xml:space="preserve"> que se realizan con erario público, medios idóneos de evidencia del gasto realizado con recursos públicos y que éstos </w:t>
      </w:r>
      <w:r w:rsidRPr="005D58F0">
        <w:rPr>
          <w:rFonts w:ascii="Palatino Linotype" w:eastAsia="Palatino Linotype" w:hAnsi="Palatino Linotype" w:cs="Palatino Linotype"/>
        </w:rPr>
        <w:lastRenderedPageBreak/>
        <w:t>deben ser generados al momento en que se efectúa el gasto correspondiente, lo que permite transparentar el actuar público.</w:t>
      </w:r>
    </w:p>
    <w:p w14:paraId="344ABF6B" w14:textId="77777777" w:rsidR="0053592A" w:rsidRPr="005D58F0" w:rsidRDefault="0053592A" w:rsidP="005D58F0">
      <w:pPr>
        <w:spacing w:line="360" w:lineRule="auto"/>
        <w:jc w:val="both"/>
        <w:rPr>
          <w:rFonts w:ascii="Palatino Linotype" w:eastAsia="Palatino Linotype" w:hAnsi="Palatino Linotype" w:cs="Palatino Linotype"/>
        </w:rPr>
      </w:pPr>
    </w:p>
    <w:p w14:paraId="329E4137"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Al respecto, conviene precisar que en el cumplimiento de los principios que rigen la función pública, la Constitución Política del Estado Libre y Soberano de México en su artículo 129 señala que los recursos económicos del Estado, de los Municipios y demás dependencias, se administrarán con eficiencia, eficacia y honradez, para cumplir con los objetivos y programas a los que estén destinados. </w:t>
      </w:r>
    </w:p>
    <w:p w14:paraId="7C38B08C" w14:textId="77777777" w:rsidR="0053592A" w:rsidRPr="005D58F0" w:rsidRDefault="0053592A" w:rsidP="005D58F0">
      <w:pPr>
        <w:widowControl w:val="0"/>
        <w:tabs>
          <w:tab w:val="left" w:pos="1701"/>
          <w:tab w:val="left" w:pos="1843"/>
        </w:tabs>
        <w:spacing w:line="360" w:lineRule="auto"/>
        <w:ind w:right="899"/>
        <w:jc w:val="both"/>
        <w:rPr>
          <w:rFonts w:ascii="Palatino Linotype" w:eastAsia="Palatino Linotype" w:hAnsi="Palatino Linotype" w:cs="Palatino Linotype"/>
          <w:i/>
        </w:rPr>
      </w:pPr>
    </w:p>
    <w:p w14:paraId="25D9D55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atención a lo anteriormente referido, se puede concluir que, dada la naturaleza de la información peticionada, ésta podría obrar en los archivos de la </w:t>
      </w:r>
      <w:r w:rsidRPr="005D58F0">
        <w:rPr>
          <w:rFonts w:ascii="Palatino Linotype" w:eastAsia="Palatino Linotype" w:hAnsi="Palatino Linotype" w:cs="Palatino Linotype"/>
          <w:b/>
        </w:rPr>
        <w:t>Tesorería Municipal</w:t>
      </w:r>
      <w:r w:rsidR="00E57A65" w:rsidRPr="005D58F0">
        <w:rPr>
          <w:rFonts w:ascii="Palatino Linotype" w:eastAsia="Palatino Linotype" w:hAnsi="Palatino Linotype" w:cs="Palatino Linotype"/>
          <w:b/>
        </w:rPr>
        <w:t xml:space="preserve"> o en la Dirección de Administración o inclusive en el propio</w:t>
      </w:r>
      <w:r w:rsidR="00E57A65" w:rsidRPr="005D58F0">
        <w:t xml:space="preserve"> </w:t>
      </w:r>
      <w:r w:rsidR="00E57A65" w:rsidRPr="005D58F0">
        <w:rPr>
          <w:rFonts w:ascii="Palatino Linotype" w:eastAsia="Palatino Linotype" w:hAnsi="Palatino Linotype" w:cs="Palatino Linotype"/>
          <w:b/>
        </w:rPr>
        <w:t>Instituto Municipal de Cultura Física y Deporte</w:t>
      </w:r>
      <w:r w:rsidRPr="005D58F0">
        <w:rPr>
          <w:rFonts w:ascii="Palatino Linotype" w:eastAsia="Palatino Linotype" w:hAnsi="Palatino Linotype" w:cs="Palatino Linotype"/>
        </w:rPr>
        <w:t>, conforme a lo establecido en el Reglamento Orgánico Municipal 2022 de Zinacantepec, que señala:</w:t>
      </w:r>
    </w:p>
    <w:p w14:paraId="1377716C" w14:textId="77777777" w:rsidR="003408C9" w:rsidRPr="005D58F0" w:rsidRDefault="003408C9" w:rsidP="005D58F0">
      <w:pPr>
        <w:spacing w:line="360" w:lineRule="auto"/>
        <w:jc w:val="both"/>
        <w:rPr>
          <w:rFonts w:ascii="Palatino Linotype" w:eastAsia="Palatino Linotype" w:hAnsi="Palatino Linotype" w:cs="Palatino Linotype"/>
        </w:rPr>
      </w:pPr>
    </w:p>
    <w:p w14:paraId="30D9FC11"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46.</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La Tesorería Municipal</w:t>
      </w:r>
      <w:r w:rsidRPr="005D58F0">
        <w:rPr>
          <w:rFonts w:ascii="Palatino Linotype" w:eastAsia="Palatino Linotype" w:hAnsi="Palatino Linotype" w:cs="Palatino Linotype"/>
          <w:i/>
          <w:sz w:val="22"/>
          <w:szCs w:val="22"/>
        </w:rPr>
        <w:t xml:space="preserve">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 </w:t>
      </w:r>
    </w:p>
    <w:p w14:paraId="35A7D804"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0316E201"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Artículo 47. </w:t>
      </w:r>
      <w:r w:rsidRPr="005D58F0">
        <w:rPr>
          <w:rFonts w:ascii="Palatino Linotype" w:eastAsia="Palatino Linotype" w:hAnsi="Palatino Linotype" w:cs="Palatino Linotype"/>
          <w:i/>
          <w:sz w:val="22"/>
          <w:szCs w:val="22"/>
        </w:rPr>
        <w:t>Además de las previstas en las disposiciones normativas y administrativas en la materia, la Tesorería Municipal tiene las siguientes funciones y atribuciones:</w:t>
      </w:r>
    </w:p>
    <w:p w14:paraId="1FE8FDF5"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48635F52"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XXII. Autorizar la suficiencia presupuestal para la adquisición de bienes y servicios</w:t>
      </w:r>
      <w:r w:rsidRPr="005D58F0">
        <w:rPr>
          <w:rFonts w:ascii="Palatino Linotype" w:eastAsia="Palatino Linotype" w:hAnsi="Palatino Linotype" w:cs="Palatino Linotype"/>
          <w:i/>
          <w:sz w:val="22"/>
          <w:szCs w:val="22"/>
        </w:rPr>
        <w:t xml:space="preserve"> requeridos por las áreas, de conformidad con su presupuesto autorizado </w:t>
      </w:r>
      <w:r w:rsidRPr="005D58F0">
        <w:rPr>
          <w:rFonts w:ascii="Palatino Linotype" w:eastAsia="Palatino Linotype" w:hAnsi="Palatino Linotype" w:cs="Palatino Linotype"/>
          <w:i/>
          <w:sz w:val="22"/>
          <w:szCs w:val="22"/>
        </w:rPr>
        <w:lastRenderedPageBreak/>
        <w:t>para cada ejercicio, vigilando que se ajuste a la liquidez del Municipio, con los principios de austeridad, disciplina y transparencia;</w:t>
      </w:r>
    </w:p>
    <w:p w14:paraId="274CA9ED"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431FBA78"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XXXI.</w:t>
      </w:r>
      <w:r w:rsidRPr="005D58F0">
        <w:rPr>
          <w:rFonts w:ascii="Palatino Linotype" w:eastAsia="Palatino Linotype" w:hAnsi="Palatino Linotype" w:cs="Palatino Linotype"/>
          <w:i/>
          <w:sz w:val="22"/>
          <w:szCs w:val="22"/>
        </w:rPr>
        <w:t xml:space="preserve"> Elaborar los estados financieros, informes trimestrales, cuenta pública y demás informes financieros que le soliciten las autoridades competentes, recabando las firmas necesarias;</w:t>
      </w:r>
    </w:p>
    <w:p w14:paraId="33417179" w14:textId="77777777" w:rsidR="00E57A65" w:rsidRPr="005D58F0" w:rsidRDefault="00E57A65" w:rsidP="005D58F0">
      <w:pPr>
        <w:ind w:left="851" w:right="899"/>
        <w:jc w:val="both"/>
        <w:rPr>
          <w:rFonts w:ascii="Palatino Linotype" w:eastAsia="Palatino Linotype" w:hAnsi="Palatino Linotype" w:cs="Palatino Linotype"/>
          <w:i/>
          <w:sz w:val="22"/>
          <w:szCs w:val="22"/>
        </w:rPr>
      </w:pPr>
    </w:p>
    <w:p w14:paraId="70AB0DAA"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52. La Dirección de Administración</w:t>
      </w:r>
      <w:r w:rsidRPr="005D58F0">
        <w:rPr>
          <w:rFonts w:ascii="Palatino Linotype" w:eastAsia="Palatino Linotype" w:hAnsi="Palatino Linotype" w:cs="Palatino Linotype"/>
          <w:i/>
          <w:sz w:val="22"/>
          <w:szCs w:val="22"/>
        </w:rPr>
        <w:t xml:space="preserve">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6D38235F" w14:textId="77777777" w:rsidR="00E57A65" w:rsidRPr="005D58F0" w:rsidRDefault="00E57A65" w:rsidP="005D58F0">
      <w:pPr>
        <w:ind w:left="851" w:right="899"/>
        <w:jc w:val="both"/>
        <w:rPr>
          <w:rFonts w:ascii="Palatino Linotype" w:eastAsia="Palatino Linotype" w:hAnsi="Palatino Linotype" w:cs="Palatino Linotype"/>
          <w:i/>
          <w:sz w:val="22"/>
          <w:szCs w:val="22"/>
        </w:rPr>
      </w:pPr>
    </w:p>
    <w:p w14:paraId="1DB1F404"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53.</w:t>
      </w:r>
      <w:r w:rsidRPr="005D58F0">
        <w:rPr>
          <w:rFonts w:ascii="Palatino Linotype" w:eastAsia="Palatino Linotype" w:hAnsi="Palatino Linotype" w:cs="Palatino Linotype"/>
          <w:i/>
          <w:sz w:val="22"/>
          <w:szCs w:val="22"/>
        </w:rPr>
        <w:t xml:space="preserve"> Además de las previstas en las disposiciones normativas y administrativas en la materia, la </w:t>
      </w:r>
      <w:r w:rsidRPr="005D58F0">
        <w:rPr>
          <w:rFonts w:ascii="Palatino Linotype" w:eastAsia="Palatino Linotype" w:hAnsi="Palatino Linotype" w:cs="Palatino Linotype"/>
          <w:b/>
          <w:i/>
          <w:sz w:val="22"/>
          <w:szCs w:val="22"/>
        </w:rPr>
        <w:t>Dirección de Administración</w:t>
      </w:r>
      <w:r w:rsidRPr="005D58F0">
        <w:rPr>
          <w:rFonts w:ascii="Palatino Linotype" w:eastAsia="Palatino Linotype" w:hAnsi="Palatino Linotype" w:cs="Palatino Linotype"/>
          <w:i/>
          <w:sz w:val="22"/>
          <w:szCs w:val="22"/>
        </w:rPr>
        <w:t xml:space="preserve"> tiene las siguientes funciones y atribuciones:</w:t>
      </w:r>
    </w:p>
    <w:p w14:paraId="4EEB04B6"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292089FE"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VII. Proveer de insumos, bienes y servicios generales que requieran las distintas áreas que conforman la Administración Pública Municipal, para su buen funcionamiento; </w:t>
      </w:r>
    </w:p>
    <w:p w14:paraId="605AA0E0"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VIII. Diseñar políticas para el mantenimiento de los bienes muebles e inmuebles de las diferentes áreas de la Administración Pública Municipal;</w:t>
      </w:r>
    </w:p>
    <w:p w14:paraId="0FDA95C8" w14:textId="77777777" w:rsidR="00E57A65" w:rsidRPr="005D58F0" w:rsidRDefault="00E57A65" w:rsidP="005D58F0">
      <w:pPr>
        <w:ind w:left="851" w:right="899"/>
        <w:jc w:val="both"/>
        <w:rPr>
          <w:rFonts w:ascii="Palatino Linotype" w:eastAsia="Palatino Linotype" w:hAnsi="Palatino Linotype" w:cs="Palatino Linotype"/>
          <w:i/>
          <w:sz w:val="22"/>
          <w:szCs w:val="22"/>
        </w:rPr>
      </w:pPr>
    </w:p>
    <w:p w14:paraId="4FB0DC6B"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XII. Llevar a cabo las adquisiciones de bienes, arrendamiento de bienes muebles y la contratación de servicios que requieran las distintas áreas, ajustándose en su caso las disposiciones legales de la materia;</w:t>
      </w:r>
    </w:p>
    <w:p w14:paraId="4F04C8A4" w14:textId="77777777" w:rsidR="00E57A65" w:rsidRPr="005D58F0" w:rsidRDefault="00E57A65" w:rsidP="005D58F0">
      <w:pPr>
        <w:ind w:left="851" w:right="899"/>
        <w:jc w:val="both"/>
        <w:rPr>
          <w:rFonts w:ascii="Palatino Linotype" w:eastAsia="Palatino Linotype" w:hAnsi="Palatino Linotype" w:cs="Palatino Linotype"/>
          <w:i/>
          <w:sz w:val="22"/>
          <w:szCs w:val="22"/>
        </w:rPr>
      </w:pPr>
    </w:p>
    <w:p w14:paraId="05921845"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106.</w:t>
      </w:r>
      <w:r w:rsidRPr="005D58F0">
        <w:rPr>
          <w:rFonts w:ascii="Palatino Linotype" w:eastAsia="Palatino Linotype" w:hAnsi="Palatino Linotype" w:cs="Palatino Linotype"/>
          <w:i/>
          <w:sz w:val="22"/>
          <w:szCs w:val="22"/>
        </w:rPr>
        <w:t xml:space="preserve"> El Instituto será el organismo descentralizado ejecutor de políticas de cultura física y deporte integral e incluyente para beneficio de la población. </w:t>
      </w:r>
    </w:p>
    <w:p w14:paraId="50B9B6A1" w14:textId="77777777" w:rsidR="00E57A65" w:rsidRPr="005D58F0" w:rsidRDefault="00E57A65" w:rsidP="005D58F0">
      <w:pPr>
        <w:ind w:left="851" w:right="899"/>
        <w:jc w:val="both"/>
        <w:rPr>
          <w:rFonts w:ascii="Palatino Linotype" w:eastAsia="Palatino Linotype" w:hAnsi="Palatino Linotype" w:cs="Palatino Linotype"/>
          <w:i/>
          <w:sz w:val="22"/>
          <w:szCs w:val="22"/>
        </w:rPr>
      </w:pPr>
    </w:p>
    <w:p w14:paraId="7FA014BA" w14:textId="77777777" w:rsidR="00E57A65" w:rsidRPr="005D58F0" w:rsidRDefault="00E57A65"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107.</w:t>
      </w:r>
      <w:r w:rsidRPr="005D58F0">
        <w:rPr>
          <w:rFonts w:ascii="Palatino Linotype" w:eastAsia="Palatino Linotype" w:hAnsi="Palatino Linotype" w:cs="Palatino Linotype"/>
          <w:i/>
          <w:sz w:val="22"/>
          <w:szCs w:val="22"/>
        </w:rPr>
        <w:t xml:space="preserve"> Para la correcta prestación de los trámites y servicios de proporcionados por el Instituto Municipal de Cultura Física y Deporte, este Organismo </w:t>
      </w:r>
      <w:r w:rsidRPr="005D58F0">
        <w:rPr>
          <w:rFonts w:ascii="Palatino Linotype" w:eastAsia="Palatino Linotype" w:hAnsi="Palatino Linotype" w:cs="Palatino Linotype"/>
          <w:b/>
          <w:i/>
          <w:sz w:val="22"/>
          <w:szCs w:val="22"/>
        </w:rPr>
        <w:t>emitirá su propio marco normativo y administrativo.</w:t>
      </w:r>
    </w:p>
    <w:p w14:paraId="3B482665" w14:textId="77777777" w:rsidR="0053592A" w:rsidRPr="005D58F0" w:rsidRDefault="0053592A" w:rsidP="005D58F0">
      <w:pPr>
        <w:spacing w:line="360" w:lineRule="auto"/>
        <w:jc w:val="both"/>
        <w:rPr>
          <w:rFonts w:ascii="Palatino Linotype" w:eastAsia="Palatino Linotype" w:hAnsi="Palatino Linotype" w:cs="Palatino Linotype"/>
        </w:rPr>
      </w:pPr>
    </w:p>
    <w:p w14:paraId="59F5D039"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Bajo ese razonamiento, se considera que se debe realizar nuevamente una búsqueda exhaustiva y razonable de la información solicitada.</w:t>
      </w:r>
    </w:p>
    <w:p w14:paraId="46420B40" w14:textId="77777777" w:rsidR="0053592A" w:rsidRPr="005D58F0" w:rsidRDefault="0053592A" w:rsidP="005D58F0">
      <w:pPr>
        <w:spacing w:line="360" w:lineRule="auto"/>
        <w:jc w:val="both"/>
        <w:rPr>
          <w:rFonts w:ascii="Palatino Linotype" w:eastAsia="Palatino Linotype" w:hAnsi="Palatino Linotype" w:cs="Palatino Linotype"/>
        </w:rPr>
      </w:pPr>
    </w:p>
    <w:p w14:paraId="6EB66958" w14:textId="77777777" w:rsidR="0053592A" w:rsidRPr="005D58F0" w:rsidRDefault="00263B8E" w:rsidP="005D58F0">
      <w:pPr>
        <w:widowControl w:val="0"/>
        <w:tabs>
          <w:tab w:val="left" w:pos="1276"/>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66F43FAA" w14:textId="77777777" w:rsidR="0053592A" w:rsidRPr="005D58F0" w:rsidRDefault="0053592A" w:rsidP="005D58F0">
      <w:pPr>
        <w:widowControl w:val="0"/>
        <w:tabs>
          <w:tab w:val="left" w:pos="1276"/>
        </w:tabs>
        <w:spacing w:line="360" w:lineRule="auto"/>
        <w:jc w:val="both"/>
        <w:rPr>
          <w:rFonts w:ascii="Palatino Linotype" w:eastAsia="Palatino Linotype" w:hAnsi="Palatino Linotype" w:cs="Palatino Linotype"/>
        </w:rPr>
      </w:pPr>
    </w:p>
    <w:p w14:paraId="433B4FC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las</w:t>
      </w:r>
      <w:r w:rsidRPr="005D58F0">
        <w:rPr>
          <w:rFonts w:ascii="Calibri" w:eastAsia="Calibri" w:hAnsi="Calibri" w:cs="Calibri"/>
          <w:sz w:val="22"/>
          <w:szCs w:val="22"/>
        </w:rPr>
        <w:t xml:space="preserve"> </w:t>
      </w:r>
      <w:r w:rsidRPr="005D58F0">
        <w:rPr>
          <w:rFonts w:ascii="Palatino Linotype" w:eastAsia="Palatino Linotype" w:hAnsi="Palatino Linotype" w:cs="Palatino Linotype"/>
        </w:rPr>
        <w:t>gestiones necesarias para dar atención a las solicitudes de acceso a la información y así como consecuencia, siendo el caso entregar a los particulares lo pretendido.</w:t>
      </w:r>
    </w:p>
    <w:p w14:paraId="557031CD" w14:textId="77777777" w:rsidR="0053592A" w:rsidRPr="005D58F0" w:rsidRDefault="0053592A" w:rsidP="005D58F0">
      <w:pPr>
        <w:spacing w:line="360" w:lineRule="auto"/>
        <w:jc w:val="both"/>
        <w:rPr>
          <w:rFonts w:ascii="Palatino Linotype" w:eastAsia="Palatino Linotype" w:hAnsi="Palatino Linotype" w:cs="Palatino Linotype"/>
        </w:rPr>
      </w:pPr>
    </w:p>
    <w:p w14:paraId="4C335B44"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En lo que concierne al diverso artículo 54 de la Ley de Transparencia Local, establece que cuando alguna de las áreas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94118B7" w14:textId="77777777" w:rsidR="0053592A" w:rsidRPr="005D58F0" w:rsidRDefault="0053592A" w:rsidP="005D58F0">
      <w:pPr>
        <w:spacing w:line="360" w:lineRule="auto"/>
        <w:jc w:val="both"/>
        <w:rPr>
          <w:rFonts w:ascii="Palatino Linotype" w:eastAsia="Palatino Linotype" w:hAnsi="Palatino Linotype" w:cs="Palatino Linotype"/>
        </w:rPr>
      </w:pPr>
    </w:p>
    <w:p w14:paraId="015E1C9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Volviendo al tema de las facturas o medios de pago, es imperante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127BAD37" w14:textId="77777777" w:rsidR="0053592A" w:rsidRPr="005D58F0" w:rsidRDefault="0053592A" w:rsidP="005D58F0">
      <w:pPr>
        <w:ind w:left="851" w:right="901"/>
        <w:jc w:val="both"/>
        <w:rPr>
          <w:rFonts w:ascii="Palatino Linotype" w:eastAsia="Palatino Linotype" w:hAnsi="Palatino Linotype" w:cs="Palatino Linotype"/>
          <w:b/>
          <w:i/>
          <w:sz w:val="22"/>
          <w:szCs w:val="22"/>
        </w:rPr>
      </w:pPr>
    </w:p>
    <w:p w14:paraId="2DB0E116" w14:textId="77777777" w:rsidR="0053592A" w:rsidRPr="005D58F0" w:rsidRDefault="00263B8E" w:rsidP="005D58F0">
      <w:pPr>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lastRenderedPageBreak/>
        <w:t>“Artículo 342.-</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 xml:space="preserve">El registro contable del efecto patrimonial y presupuestal de las operaciones financieras, se realizará conforme al sistema y a las disposiciones que se aprueben en materia </w:t>
      </w:r>
      <w:r w:rsidRPr="005D58F0">
        <w:rPr>
          <w:rFonts w:ascii="Palatino Linotype" w:eastAsia="Palatino Linotype" w:hAnsi="Palatino Linotype" w:cs="Palatino Linotype"/>
          <w:i/>
          <w:sz w:val="22"/>
          <w:szCs w:val="22"/>
        </w:rPr>
        <w:t>de planeación,</w:t>
      </w:r>
      <w:r w:rsidRPr="005D58F0">
        <w:rPr>
          <w:rFonts w:ascii="Palatino Linotype" w:eastAsia="Palatino Linotype" w:hAnsi="Palatino Linotype" w:cs="Palatino Linotype"/>
          <w:b/>
          <w:i/>
          <w:sz w:val="22"/>
          <w:szCs w:val="22"/>
        </w:rPr>
        <w:t xml:space="preserve"> programación, presupuestación</w:t>
      </w:r>
      <w:r w:rsidRPr="005D58F0">
        <w:rPr>
          <w:rFonts w:ascii="Palatino Linotype" w:eastAsia="Palatino Linotype" w:hAnsi="Palatino Linotype" w:cs="Palatino Linotype"/>
          <w:i/>
          <w:sz w:val="22"/>
          <w:szCs w:val="22"/>
        </w:rPr>
        <w:t xml:space="preserve">, evaluación y </w:t>
      </w:r>
      <w:r w:rsidRPr="005D58F0">
        <w:rPr>
          <w:rFonts w:ascii="Palatino Linotype" w:eastAsia="Palatino Linotype" w:hAnsi="Palatino Linotype" w:cs="Palatino Linotype"/>
          <w:b/>
          <w:i/>
          <w:sz w:val="22"/>
          <w:szCs w:val="22"/>
        </w:rPr>
        <w:t>contabilidad gubernamental.</w:t>
      </w:r>
      <w:r w:rsidRPr="005D58F0">
        <w:rPr>
          <w:rFonts w:ascii="Palatino Linotype" w:eastAsia="Palatino Linotype" w:hAnsi="Palatino Linotype" w:cs="Palatino Linotype"/>
          <w:i/>
          <w:sz w:val="22"/>
          <w:szCs w:val="22"/>
        </w:rPr>
        <w:t xml:space="preserve"> </w:t>
      </w:r>
    </w:p>
    <w:p w14:paraId="75B7E09E" w14:textId="77777777" w:rsidR="0053592A" w:rsidRPr="005D58F0" w:rsidRDefault="00263B8E" w:rsidP="005D58F0">
      <w:pPr>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w:t>
      </w:r>
    </w:p>
    <w:p w14:paraId="2A310ADE"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343.-</w:t>
      </w:r>
      <w:r w:rsidRPr="005D58F0">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67AB373" w14:textId="77777777" w:rsidR="0053592A" w:rsidRPr="005D58F0" w:rsidRDefault="00263B8E" w:rsidP="005D58F0">
      <w:pPr>
        <w:ind w:left="851" w:right="901"/>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1C432396"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5D58F0">
        <w:rPr>
          <w:rFonts w:ascii="Palatino Linotype" w:eastAsia="Palatino Linotype" w:hAnsi="Palatino Linotype" w:cs="Palatino Linotype"/>
          <w:i/>
          <w:sz w:val="22"/>
          <w:szCs w:val="22"/>
        </w:rPr>
        <w:t xml:space="preserve">en el caso de los Municipios se hará por la Tesorería. </w:t>
      </w:r>
    </w:p>
    <w:p w14:paraId="56B8FF0B"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Derogado. </w:t>
      </w:r>
    </w:p>
    <w:p w14:paraId="121D22C3" w14:textId="77777777" w:rsidR="0053592A" w:rsidRPr="005D58F0" w:rsidRDefault="00263B8E" w:rsidP="005D58F0">
      <w:pPr>
        <w:ind w:left="851" w:right="85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5D58F0">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02CB5D8C"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4ED07B02"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345.-</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5D58F0">
        <w:rPr>
          <w:rFonts w:ascii="Palatino Linotype" w:eastAsia="Palatino Linotype" w:hAnsi="Palatino Linotype" w:cs="Palatino Linotype"/>
          <w:i/>
          <w:sz w:val="22"/>
          <w:szCs w:val="22"/>
        </w:rPr>
        <w:t xml:space="preserve">, la remitirán en un plazo que no excederá de seis meses al Archivo Contable Gubernamental. </w:t>
      </w:r>
      <w:r w:rsidRPr="005D58F0">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5D58F0">
        <w:rPr>
          <w:rFonts w:ascii="Palatino Linotype" w:eastAsia="Palatino Linotype" w:hAnsi="Palatino Linotype" w:cs="Palatino Linotype"/>
          <w:i/>
          <w:sz w:val="22"/>
          <w:szCs w:val="22"/>
        </w:rPr>
        <w:t xml:space="preserve">. </w:t>
      </w:r>
    </w:p>
    <w:p w14:paraId="2F0BC995"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p>
    <w:p w14:paraId="7241190A" w14:textId="77777777" w:rsidR="0053592A" w:rsidRPr="005D58F0" w:rsidRDefault="00263B8E" w:rsidP="005D58F0">
      <w:pPr>
        <w:ind w:left="851" w:right="901"/>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(Énfasis añadido)</w:t>
      </w:r>
    </w:p>
    <w:p w14:paraId="466A9283" w14:textId="77777777" w:rsidR="0053592A" w:rsidRPr="005D58F0" w:rsidRDefault="0053592A" w:rsidP="005D58F0">
      <w:pPr>
        <w:ind w:left="851" w:right="901"/>
        <w:jc w:val="both"/>
        <w:rPr>
          <w:rFonts w:ascii="Palatino Linotype" w:eastAsia="Palatino Linotype" w:hAnsi="Palatino Linotype" w:cs="Palatino Linotype"/>
          <w:i/>
          <w:sz w:val="22"/>
          <w:szCs w:val="22"/>
        </w:rPr>
      </w:pPr>
    </w:p>
    <w:p w14:paraId="01838B6D"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Realizando una interpretación sistemática de los artículos transcritos, se desprende, que el registro contable se realizará conforme al sistema y a las disposiciones que se aprueben en materia de planeación, programación, presupuestación, evaluación y contabilidad gubernamental.</w:t>
      </w:r>
    </w:p>
    <w:p w14:paraId="2E88944A" w14:textId="77777777" w:rsidR="0053592A" w:rsidRPr="005D58F0" w:rsidRDefault="0053592A" w:rsidP="005D58F0">
      <w:pPr>
        <w:spacing w:line="360" w:lineRule="auto"/>
        <w:jc w:val="both"/>
        <w:rPr>
          <w:rFonts w:ascii="Palatino Linotype" w:eastAsia="Palatino Linotype" w:hAnsi="Palatino Linotype" w:cs="Palatino Linotype"/>
        </w:rPr>
      </w:pPr>
    </w:p>
    <w:p w14:paraId="48AD9D7F"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77FE279" w14:textId="77777777" w:rsidR="0053592A" w:rsidRPr="005D58F0" w:rsidRDefault="0053592A" w:rsidP="005D58F0">
      <w:pPr>
        <w:ind w:left="851" w:right="850"/>
        <w:jc w:val="both"/>
        <w:rPr>
          <w:rFonts w:ascii="Palatino Linotype" w:eastAsia="Palatino Linotype" w:hAnsi="Palatino Linotype" w:cs="Palatino Linotype"/>
          <w:b/>
          <w:i/>
          <w:sz w:val="22"/>
          <w:szCs w:val="22"/>
        </w:rPr>
      </w:pPr>
    </w:p>
    <w:p w14:paraId="10200923" w14:textId="77777777" w:rsidR="0053592A" w:rsidRPr="005D58F0" w:rsidRDefault="00263B8E" w:rsidP="005D58F0">
      <w:pPr>
        <w:ind w:left="851" w:right="850"/>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 xml:space="preserve">“REGISTRO CONTABLE </w:t>
      </w:r>
    </w:p>
    <w:p w14:paraId="380B3AA3" w14:textId="77777777" w:rsidR="0053592A" w:rsidRPr="005D58F0" w:rsidRDefault="00263B8E" w:rsidP="005D58F0">
      <w:pPr>
        <w:ind w:left="851" w:right="85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Asiento que se realiza en los libros de contabilidad de las actividades relacionadas con el ingreso y egresos de un ente económico.”</w:t>
      </w:r>
    </w:p>
    <w:p w14:paraId="21D55E87" w14:textId="77777777" w:rsidR="0053592A" w:rsidRPr="005D58F0" w:rsidRDefault="0053592A" w:rsidP="005D58F0">
      <w:pPr>
        <w:ind w:left="851" w:right="850"/>
        <w:jc w:val="both"/>
        <w:rPr>
          <w:rFonts w:ascii="Palatino Linotype" w:eastAsia="Palatino Linotype" w:hAnsi="Palatino Linotype" w:cs="Palatino Linotype"/>
          <w:i/>
          <w:sz w:val="22"/>
          <w:szCs w:val="22"/>
        </w:rPr>
      </w:pPr>
    </w:p>
    <w:p w14:paraId="11981652" w14:textId="77777777" w:rsidR="0053592A" w:rsidRPr="005D58F0" w:rsidRDefault="00263B8E" w:rsidP="005D58F0">
      <w:pPr>
        <w:ind w:left="851" w:right="850"/>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“REGISTRO PRESUPUESTARIO</w:t>
      </w:r>
    </w:p>
    <w:p w14:paraId="129D00E3" w14:textId="77777777" w:rsidR="0053592A" w:rsidRPr="005D58F0" w:rsidRDefault="00263B8E" w:rsidP="005D58F0">
      <w:pPr>
        <w:ind w:left="851" w:right="85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w:t>
      </w:r>
    </w:p>
    <w:p w14:paraId="2C37C7AD" w14:textId="77777777" w:rsidR="0053592A" w:rsidRPr="005D58F0" w:rsidRDefault="0053592A" w:rsidP="005D58F0">
      <w:pPr>
        <w:spacing w:line="360" w:lineRule="auto"/>
        <w:jc w:val="both"/>
        <w:rPr>
          <w:rFonts w:ascii="Palatino Linotype" w:eastAsia="Palatino Linotype" w:hAnsi="Palatino Linotype" w:cs="Palatino Linotype"/>
        </w:rPr>
      </w:pPr>
    </w:p>
    <w:p w14:paraId="72F40F1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Cabe destacar que todo registro contable y presupuestal deberá estar soportado con los documentos comprobatorios originales, los que deberán permanecer en custodia y conservación de la unidad administrativa correspondiente y a disposición del Órgano Superior de Fiscalización del Estado de México (OSFEM), por un término de cinco años contados a partir del ejercicio presupuestal siguiente al que corresponda.</w:t>
      </w:r>
    </w:p>
    <w:p w14:paraId="17F2C323" w14:textId="77777777" w:rsidR="0053592A" w:rsidRPr="005D58F0" w:rsidRDefault="0053592A" w:rsidP="005D58F0">
      <w:pPr>
        <w:spacing w:line="360" w:lineRule="auto"/>
        <w:jc w:val="both"/>
        <w:rPr>
          <w:rFonts w:ascii="Palatino Linotype" w:eastAsia="Palatino Linotype" w:hAnsi="Palatino Linotype" w:cs="Palatino Linotype"/>
        </w:rPr>
      </w:pPr>
    </w:p>
    <w:p w14:paraId="5734E5F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Atento a lo anterior, es de referir que, en términos del penúltimo párrafo del artículo 23 de la Ley de Transparencia y Acceso a la Información Pública del Estado de México y Municipios, es deber de los Sujetos Obligados hacer pública toda la información relativa a los montos y personas a quienes se entreguen recursos públicos. </w:t>
      </w:r>
    </w:p>
    <w:p w14:paraId="2366FCD0" w14:textId="77777777" w:rsidR="0053592A" w:rsidRPr="005D58F0" w:rsidRDefault="0053592A" w:rsidP="005D58F0">
      <w:pPr>
        <w:spacing w:line="360" w:lineRule="auto"/>
        <w:jc w:val="both"/>
        <w:rPr>
          <w:rFonts w:ascii="Palatino Linotype" w:eastAsia="Palatino Linotype" w:hAnsi="Palatino Linotype" w:cs="Palatino Linotype"/>
        </w:rPr>
      </w:pPr>
    </w:p>
    <w:p w14:paraId="40FD875D"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Aunado a lo anterior, este Instituto advirtió que de conformidad con lo dispuesto por los artículos 29 y 29-A del Código Fiscal de la Federación; así como, por la Resolución Miscelánea Fiscal vigente y en atención a la información publicada por el Servicio de Administración Tributaria (SAT), ubicable en la liga electrónica: </w:t>
      </w:r>
      <w:hyperlink r:id="rId15">
        <w:r w:rsidRPr="005D58F0">
          <w:rPr>
            <w:rFonts w:ascii="Palatino Linotype" w:eastAsia="Palatino Linotype" w:hAnsi="Palatino Linotype" w:cs="Palatino Linotype"/>
          </w:rPr>
          <w:t>http://omawww.sat.gob.mx/factura/Paginas/solicita_requisitos.htm</w:t>
        </w:r>
      </w:hyperlink>
      <w:r w:rsidRPr="005D58F0">
        <w:rPr>
          <w:rFonts w:ascii="Palatino Linotype" w:eastAsia="Palatino Linotype" w:hAnsi="Palatino Linotype" w:cs="Palatino Linotype"/>
        </w:rPr>
        <w:t>, las facturas deben reunir los siguientes requisitos:</w:t>
      </w:r>
    </w:p>
    <w:p w14:paraId="593EBF6B" w14:textId="77777777" w:rsidR="0053592A" w:rsidRPr="005D58F0" w:rsidRDefault="0053592A" w:rsidP="005D58F0">
      <w:pPr>
        <w:jc w:val="both"/>
        <w:rPr>
          <w:rFonts w:ascii="Palatino Linotype" w:eastAsia="Palatino Linotype" w:hAnsi="Palatino Linotype" w:cs="Palatino Linotype"/>
        </w:rPr>
      </w:pPr>
    </w:p>
    <w:tbl>
      <w:tblPr>
        <w:tblStyle w:val="a6"/>
        <w:tblW w:w="8275" w:type="dxa"/>
        <w:tblInd w:w="846" w:type="dxa"/>
        <w:tblLayout w:type="fixed"/>
        <w:tblLook w:val="0400" w:firstRow="0" w:lastRow="0" w:firstColumn="0" w:lastColumn="0" w:noHBand="0" w:noVBand="1"/>
      </w:tblPr>
      <w:tblGrid>
        <w:gridCol w:w="425"/>
        <w:gridCol w:w="7850"/>
      </w:tblGrid>
      <w:tr w:rsidR="005D58F0" w:rsidRPr="005D58F0" w14:paraId="4507B958" w14:textId="77777777">
        <w:tc>
          <w:tcPr>
            <w:tcW w:w="425" w:type="dxa"/>
            <w:tcMar>
              <w:top w:w="0" w:type="dxa"/>
              <w:left w:w="0" w:type="dxa"/>
              <w:bottom w:w="0" w:type="dxa"/>
              <w:right w:w="0" w:type="dxa"/>
            </w:tcMar>
          </w:tcPr>
          <w:p w14:paraId="57425465"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26AC8F71"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Clave del Registro Federal de Contribuyentes de quien los expida.</w:t>
            </w:r>
          </w:p>
        </w:tc>
      </w:tr>
      <w:tr w:rsidR="005D58F0" w:rsidRPr="005D58F0" w14:paraId="56E76028" w14:textId="77777777">
        <w:tc>
          <w:tcPr>
            <w:tcW w:w="425" w:type="dxa"/>
            <w:tcMar>
              <w:top w:w="0" w:type="dxa"/>
              <w:left w:w="0" w:type="dxa"/>
              <w:bottom w:w="0" w:type="dxa"/>
              <w:right w:w="0" w:type="dxa"/>
            </w:tcMar>
          </w:tcPr>
          <w:p w14:paraId="545E2FE5"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3C60569C"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Régimen Fiscal en que tributen conforme a la Ley del ISR.</w:t>
            </w:r>
          </w:p>
        </w:tc>
      </w:tr>
      <w:tr w:rsidR="005D58F0" w:rsidRPr="005D58F0" w14:paraId="26F01C43" w14:textId="77777777">
        <w:tc>
          <w:tcPr>
            <w:tcW w:w="425" w:type="dxa"/>
            <w:tcMar>
              <w:top w:w="0" w:type="dxa"/>
              <w:left w:w="0" w:type="dxa"/>
              <w:bottom w:w="0" w:type="dxa"/>
              <w:right w:w="0" w:type="dxa"/>
            </w:tcMar>
          </w:tcPr>
          <w:p w14:paraId="0560D54C"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6EE37443"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Sí se tiene más de un local o establecimiento, se deberá señalar el domicilio del local o establecimiento en el que se expidan las Facturas.</w:t>
            </w:r>
          </w:p>
        </w:tc>
      </w:tr>
      <w:tr w:rsidR="005D58F0" w:rsidRPr="005D58F0" w14:paraId="6755B4BB" w14:textId="77777777">
        <w:tc>
          <w:tcPr>
            <w:tcW w:w="425" w:type="dxa"/>
            <w:tcMar>
              <w:top w:w="0" w:type="dxa"/>
              <w:left w:w="0" w:type="dxa"/>
              <w:bottom w:w="0" w:type="dxa"/>
              <w:right w:w="0" w:type="dxa"/>
            </w:tcMar>
          </w:tcPr>
          <w:p w14:paraId="6478FBCC"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1060A990"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Contener el número de folio asignado por el SAT y el sello digital del SAT.</w:t>
            </w:r>
          </w:p>
        </w:tc>
      </w:tr>
      <w:tr w:rsidR="005D58F0" w:rsidRPr="005D58F0" w14:paraId="09EEA10B" w14:textId="77777777">
        <w:tc>
          <w:tcPr>
            <w:tcW w:w="425" w:type="dxa"/>
            <w:tcMar>
              <w:top w:w="0" w:type="dxa"/>
              <w:left w:w="0" w:type="dxa"/>
              <w:bottom w:w="0" w:type="dxa"/>
              <w:right w:w="0" w:type="dxa"/>
            </w:tcMar>
          </w:tcPr>
          <w:p w14:paraId="5E034558"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3E8831E3"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Sello digital del contribuyente que lo expide.</w:t>
            </w:r>
          </w:p>
        </w:tc>
      </w:tr>
      <w:tr w:rsidR="005D58F0" w:rsidRPr="005D58F0" w14:paraId="131E9859" w14:textId="77777777">
        <w:tc>
          <w:tcPr>
            <w:tcW w:w="425" w:type="dxa"/>
            <w:tcMar>
              <w:top w:w="0" w:type="dxa"/>
              <w:left w:w="0" w:type="dxa"/>
              <w:bottom w:w="0" w:type="dxa"/>
              <w:right w:w="0" w:type="dxa"/>
            </w:tcMar>
          </w:tcPr>
          <w:p w14:paraId="22A4D2BA"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2834F819"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Lugar y fecha de expedición.</w:t>
            </w:r>
          </w:p>
        </w:tc>
      </w:tr>
      <w:tr w:rsidR="005D58F0" w:rsidRPr="005D58F0" w14:paraId="58BC4DB3" w14:textId="77777777">
        <w:tc>
          <w:tcPr>
            <w:tcW w:w="425" w:type="dxa"/>
            <w:tcMar>
              <w:top w:w="0" w:type="dxa"/>
              <w:left w:w="0" w:type="dxa"/>
              <w:bottom w:w="0" w:type="dxa"/>
              <w:right w:w="0" w:type="dxa"/>
            </w:tcMar>
          </w:tcPr>
          <w:p w14:paraId="17C749D4"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lastRenderedPageBreak/>
              <w:t>•</w:t>
            </w:r>
          </w:p>
        </w:tc>
        <w:tc>
          <w:tcPr>
            <w:tcW w:w="7850" w:type="dxa"/>
            <w:tcMar>
              <w:top w:w="0" w:type="dxa"/>
              <w:left w:w="0" w:type="dxa"/>
              <w:bottom w:w="0" w:type="dxa"/>
              <w:right w:w="0" w:type="dxa"/>
            </w:tcMar>
          </w:tcPr>
          <w:p w14:paraId="53680608"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Clave del Registro Federal de Contribuyentes de la persona a favor de quien se expida.</w:t>
            </w:r>
          </w:p>
        </w:tc>
      </w:tr>
      <w:tr w:rsidR="005D58F0" w:rsidRPr="005D58F0" w14:paraId="4197DCA1" w14:textId="77777777">
        <w:tc>
          <w:tcPr>
            <w:tcW w:w="425" w:type="dxa"/>
            <w:tcMar>
              <w:top w:w="0" w:type="dxa"/>
              <w:left w:w="0" w:type="dxa"/>
              <w:bottom w:w="0" w:type="dxa"/>
              <w:right w:w="0" w:type="dxa"/>
            </w:tcMar>
          </w:tcPr>
          <w:p w14:paraId="4AFDC257"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0415562E"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Cantidad, unidad de medida y clase de los bienes, mercancías o descripción del servicio o del uso o goce que amparen.</w:t>
            </w:r>
          </w:p>
        </w:tc>
      </w:tr>
      <w:tr w:rsidR="005D58F0" w:rsidRPr="005D58F0" w14:paraId="22ACDC0D" w14:textId="77777777">
        <w:tc>
          <w:tcPr>
            <w:tcW w:w="425" w:type="dxa"/>
            <w:tcMar>
              <w:top w:w="0" w:type="dxa"/>
              <w:left w:w="0" w:type="dxa"/>
              <w:bottom w:w="0" w:type="dxa"/>
              <w:right w:w="0" w:type="dxa"/>
            </w:tcMar>
          </w:tcPr>
          <w:p w14:paraId="79F7F5FC"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38A4BB29"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Valor unitario consignado en número.</w:t>
            </w:r>
          </w:p>
        </w:tc>
      </w:tr>
      <w:tr w:rsidR="005D58F0" w:rsidRPr="005D58F0" w14:paraId="54E2D06B" w14:textId="77777777">
        <w:tc>
          <w:tcPr>
            <w:tcW w:w="425" w:type="dxa"/>
            <w:tcMar>
              <w:top w:w="0" w:type="dxa"/>
              <w:left w:w="0" w:type="dxa"/>
              <w:bottom w:w="0" w:type="dxa"/>
              <w:right w:w="0" w:type="dxa"/>
            </w:tcMar>
          </w:tcPr>
          <w:p w14:paraId="5C82B57D"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1D79634A"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Importe total señalado en número o en letra.</w:t>
            </w:r>
          </w:p>
        </w:tc>
      </w:tr>
      <w:tr w:rsidR="005D58F0" w:rsidRPr="005D58F0" w14:paraId="6B69DB27" w14:textId="77777777">
        <w:tc>
          <w:tcPr>
            <w:tcW w:w="425" w:type="dxa"/>
            <w:tcMar>
              <w:top w:w="0" w:type="dxa"/>
              <w:left w:w="0" w:type="dxa"/>
              <w:bottom w:w="0" w:type="dxa"/>
              <w:right w:w="0" w:type="dxa"/>
            </w:tcMar>
          </w:tcPr>
          <w:p w14:paraId="1C627E1A"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098C6E23"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Señalamiento expreso cuando la prestación se pague en una sola exhibición o en parcialidades.</w:t>
            </w:r>
          </w:p>
        </w:tc>
      </w:tr>
      <w:tr w:rsidR="005D58F0" w:rsidRPr="005D58F0" w14:paraId="1B298947" w14:textId="77777777">
        <w:tc>
          <w:tcPr>
            <w:tcW w:w="425" w:type="dxa"/>
            <w:tcMar>
              <w:top w:w="0" w:type="dxa"/>
              <w:left w:w="0" w:type="dxa"/>
              <w:bottom w:w="0" w:type="dxa"/>
              <w:right w:w="0" w:type="dxa"/>
            </w:tcMar>
          </w:tcPr>
          <w:p w14:paraId="570947F9" w14:textId="77777777" w:rsidR="0053592A" w:rsidRPr="005D58F0" w:rsidRDefault="00263B8E" w:rsidP="005D58F0">
            <w:pPr>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1A1B0F60"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Cuando proceda, se indicará el monto de los impuestos trasladados, desglosados por tasa de impuesto y, en su caso, el monto de los impuestos retenidos.</w:t>
            </w:r>
          </w:p>
        </w:tc>
      </w:tr>
      <w:tr w:rsidR="005D58F0" w:rsidRPr="005D58F0" w14:paraId="3B2CEA28" w14:textId="77777777">
        <w:tc>
          <w:tcPr>
            <w:tcW w:w="425" w:type="dxa"/>
            <w:tcMar>
              <w:top w:w="0" w:type="dxa"/>
              <w:left w:w="0" w:type="dxa"/>
              <w:bottom w:w="0" w:type="dxa"/>
              <w:right w:w="0" w:type="dxa"/>
            </w:tcMar>
          </w:tcPr>
          <w:p w14:paraId="2384338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21B86CA6" w14:textId="4B759888"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Forma en que se realizó el pago (efectivo, transferencia electrónica de fondos, cheque nominativo o tarjeta de débito, de crédito, de servicio o </w:t>
            </w:r>
            <w:r w:rsidR="003408C9" w:rsidRPr="005D58F0">
              <w:rPr>
                <w:rFonts w:ascii="Palatino Linotype" w:eastAsia="Palatino Linotype" w:hAnsi="Palatino Linotype" w:cs="Palatino Linotype"/>
              </w:rPr>
              <w:t>el</w:t>
            </w:r>
            <w:r w:rsidRPr="005D58F0">
              <w:rPr>
                <w:rFonts w:ascii="Palatino Linotype" w:eastAsia="Palatino Linotype" w:hAnsi="Palatino Linotype" w:cs="Palatino Linotype"/>
              </w:rPr>
              <w:t xml:space="preserve"> denominad</w:t>
            </w:r>
            <w:r w:rsidR="003408C9" w:rsidRPr="005D58F0">
              <w:rPr>
                <w:rFonts w:ascii="Palatino Linotype" w:eastAsia="Palatino Linotype" w:hAnsi="Palatino Linotype" w:cs="Palatino Linotype"/>
              </w:rPr>
              <w:t>o</w:t>
            </w:r>
            <w:r w:rsidRPr="005D58F0">
              <w:rPr>
                <w:rFonts w:ascii="Palatino Linotype" w:eastAsia="Palatino Linotype" w:hAnsi="Palatino Linotype" w:cs="Palatino Linotype"/>
              </w:rPr>
              <w:t xml:space="preserve"> monedero electrónico que autorice el Servicio de Administración Tributaria).</w:t>
            </w:r>
          </w:p>
        </w:tc>
      </w:tr>
      <w:tr w:rsidR="005D58F0" w:rsidRPr="005D58F0" w14:paraId="2B27D1E2" w14:textId="77777777">
        <w:tc>
          <w:tcPr>
            <w:tcW w:w="425" w:type="dxa"/>
            <w:tcMar>
              <w:top w:w="0" w:type="dxa"/>
              <w:left w:w="0" w:type="dxa"/>
              <w:bottom w:w="0" w:type="dxa"/>
              <w:right w:w="0" w:type="dxa"/>
            </w:tcMar>
          </w:tcPr>
          <w:p w14:paraId="451FCFC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rPr>
              <w:t>•</w:t>
            </w:r>
          </w:p>
        </w:tc>
        <w:tc>
          <w:tcPr>
            <w:tcW w:w="7850" w:type="dxa"/>
            <w:tcMar>
              <w:top w:w="0" w:type="dxa"/>
              <w:left w:w="0" w:type="dxa"/>
              <w:bottom w:w="0" w:type="dxa"/>
              <w:right w:w="0" w:type="dxa"/>
            </w:tcMar>
          </w:tcPr>
          <w:p w14:paraId="7073F26A"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Número y fecha del documento aduanero, tratándose de ventas de primera mano de mercancías de importación.</w:t>
            </w:r>
          </w:p>
        </w:tc>
      </w:tr>
      <w:tr w:rsidR="005D58F0" w:rsidRPr="005D58F0" w14:paraId="482FB0AD" w14:textId="77777777">
        <w:tc>
          <w:tcPr>
            <w:tcW w:w="8275" w:type="dxa"/>
            <w:gridSpan w:val="2"/>
            <w:tcMar>
              <w:top w:w="0" w:type="dxa"/>
              <w:left w:w="0" w:type="dxa"/>
              <w:bottom w:w="0" w:type="dxa"/>
              <w:right w:w="0" w:type="dxa"/>
            </w:tcMar>
          </w:tcPr>
          <w:p w14:paraId="31AB8ADE" w14:textId="77777777" w:rsidR="0053592A" w:rsidRPr="005D58F0" w:rsidRDefault="0053592A" w:rsidP="005D58F0">
            <w:pPr>
              <w:ind w:right="901"/>
              <w:jc w:val="both"/>
              <w:rPr>
                <w:rFonts w:ascii="Palatino Linotype" w:eastAsia="Palatino Linotype" w:hAnsi="Palatino Linotype" w:cs="Palatino Linotype"/>
              </w:rPr>
            </w:pPr>
          </w:p>
          <w:p w14:paraId="1CFB303B"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Además, debe contener los siguientes datos:</w:t>
            </w:r>
          </w:p>
          <w:p w14:paraId="6B760925" w14:textId="77777777" w:rsidR="0053592A" w:rsidRPr="005D58F0" w:rsidRDefault="0053592A" w:rsidP="005D58F0">
            <w:pPr>
              <w:ind w:right="901"/>
              <w:jc w:val="both"/>
              <w:rPr>
                <w:rFonts w:ascii="Palatino Linotype" w:eastAsia="Palatino Linotype" w:hAnsi="Palatino Linotype" w:cs="Palatino Linotype"/>
              </w:rPr>
            </w:pPr>
          </w:p>
          <w:p w14:paraId="2A49B5BF"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a)     Fecha y hora de certificación.</w:t>
            </w:r>
          </w:p>
          <w:p w14:paraId="68CE2A0A"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b)    Número de serie del certificado digital del SAT con el que se realizó el sellado</w:t>
            </w:r>
          </w:p>
        </w:tc>
      </w:tr>
      <w:tr w:rsidR="005D58F0" w:rsidRPr="005D58F0" w14:paraId="6D1C02EF" w14:textId="77777777">
        <w:tc>
          <w:tcPr>
            <w:tcW w:w="8275" w:type="dxa"/>
            <w:gridSpan w:val="2"/>
            <w:tcMar>
              <w:top w:w="0" w:type="dxa"/>
              <w:left w:w="0" w:type="dxa"/>
              <w:bottom w:w="0" w:type="dxa"/>
              <w:right w:w="0" w:type="dxa"/>
            </w:tcMar>
          </w:tcPr>
          <w:p w14:paraId="6899BE07"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La representación impresa además debe contener los requisitos contenidos en la Resolución Miscelánea Fiscal vigente:</w:t>
            </w:r>
          </w:p>
        </w:tc>
      </w:tr>
      <w:tr w:rsidR="0053592A" w:rsidRPr="005D58F0" w14:paraId="288D83AE" w14:textId="77777777">
        <w:tc>
          <w:tcPr>
            <w:tcW w:w="8275" w:type="dxa"/>
            <w:gridSpan w:val="2"/>
            <w:tcMar>
              <w:top w:w="0" w:type="dxa"/>
              <w:left w:w="0" w:type="dxa"/>
              <w:bottom w:w="0" w:type="dxa"/>
              <w:right w:w="0" w:type="dxa"/>
            </w:tcMar>
          </w:tcPr>
          <w:p w14:paraId="66A97658"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a)    Código de barras generado conforme al rubro I.D del Anexo 20 o el número de folio fiscal del comprobante.</w:t>
            </w:r>
          </w:p>
          <w:p w14:paraId="0E2E00FD"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b)    Número de serie del CSD del emisor y del SAT.</w:t>
            </w:r>
          </w:p>
          <w:p w14:paraId="15E8966C"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c)     La leyenda “Este documento es una representación impresa de un CFDI”.</w:t>
            </w:r>
          </w:p>
          <w:p w14:paraId="16DF5CAB"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d)    Fecha y hora de emisión y de certificación de la Factura en adición a lo señalado en el artículo 29-A, fracción III del CFF.</w:t>
            </w:r>
          </w:p>
          <w:p w14:paraId="11F2BEC7" w14:textId="77777777" w:rsidR="0053592A" w:rsidRPr="005D58F0" w:rsidRDefault="00263B8E" w:rsidP="005D58F0">
            <w:pPr>
              <w:ind w:right="901"/>
              <w:jc w:val="both"/>
              <w:rPr>
                <w:rFonts w:ascii="Palatino Linotype" w:eastAsia="Palatino Linotype" w:hAnsi="Palatino Linotype" w:cs="Palatino Linotype"/>
              </w:rPr>
            </w:pPr>
            <w:r w:rsidRPr="005D58F0">
              <w:rPr>
                <w:rFonts w:ascii="Palatino Linotype" w:eastAsia="Palatino Linotype" w:hAnsi="Palatino Linotype" w:cs="Palatino Linotype"/>
              </w:rPr>
              <w:t>e)    Cadena original del complemento de certificación digital del SAT.</w:t>
            </w:r>
          </w:p>
        </w:tc>
      </w:tr>
    </w:tbl>
    <w:p w14:paraId="58016434" w14:textId="77777777" w:rsidR="0053592A" w:rsidRPr="005D58F0" w:rsidRDefault="0053592A" w:rsidP="005D58F0">
      <w:pPr>
        <w:spacing w:line="360" w:lineRule="auto"/>
        <w:jc w:val="both"/>
        <w:rPr>
          <w:rFonts w:ascii="Palatino Linotype" w:eastAsia="Palatino Linotype" w:hAnsi="Palatino Linotype" w:cs="Palatino Linotype"/>
        </w:rPr>
      </w:pPr>
    </w:p>
    <w:p w14:paraId="486E0F5C"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 xml:space="preserve">En esa misma tesitura, la Ley General de Contabilidad Gubernamental establece que cada ente público debe establecer un </w:t>
      </w:r>
      <w:r w:rsidRPr="005D58F0">
        <w:rPr>
          <w:rFonts w:ascii="Palatino Linotype" w:eastAsia="Palatino Linotype" w:hAnsi="Palatino Linotype" w:cs="Palatino Linotype"/>
          <w:b/>
        </w:rPr>
        <w:t>Sistema de Contabilidad Gubernamental</w:t>
      </w:r>
      <w:r w:rsidRPr="005D58F0">
        <w:rPr>
          <w:rFonts w:ascii="Palatino Linotype" w:eastAsia="Palatino Linotype" w:hAnsi="Palatino Linotype" w:cs="Palatino Linotype"/>
        </w:rPr>
        <w:t xml:space="preserve">, el cual de conformidad con los artículos 16 y 19, fracción II, debe facilitar el reconocimiento de las operaciones de ingresos, gastos, activos, pasivos y patrimoniales de los entes públicos, para lo cual, el artículo 18, establece que 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 </w:t>
      </w:r>
    </w:p>
    <w:p w14:paraId="4150088D" w14:textId="77777777" w:rsidR="0053592A" w:rsidRPr="005D58F0" w:rsidRDefault="0053592A" w:rsidP="005D58F0">
      <w:pPr>
        <w:spacing w:line="360" w:lineRule="auto"/>
        <w:jc w:val="both"/>
        <w:rPr>
          <w:rFonts w:ascii="Palatino Linotype" w:eastAsia="Palatino Linotype" w:hAnsi="Palatino Linotype" w:cs="Palatino Linotype"/>
        </w:rPr>
      </w:pPr>
    </w:p>
    <w:p w14:paraId="3664D1A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Baja este contexto, la Ley General de Contabilidad Gubernamental, establece que el Sistema de Contabilidad Gubernamental, permite la expresión fiable de las transacciones en los estados financieros y considerar las mejores prácticas contables nacionales e internacionales en apoyo a las tareas de planeación financiera, control de recursos, análisis y fiscalización a través del </w:t>
      </w:r>
      <w:r w:rsidRPr="005D58F0">
        <w:rPr>
          <w:rFonts w:ascii="Palatino Linotype" w:eastAsia="Palatino Linotype" w:hAnsi="Palatino Linotype" w:cs="Palatino Linotype"/>
          <w:b/>
        </w:rPr>
        <w:t>Registro Contable de las Operaciones</w:t>
      </w:r>
      <w:r w:rsidRPr="005D58F0">
        <w:rPr>
          <w:rFonts w:ascii="Palatino Linotype" w:eastAsia="Palatino Linotype" w:hAnsi="Palatino Linotype" w:cs="Palatino Linotype"/>
        </w:rPr>
        <w:t>.</w:t>
      </w:r>
    </w:p>
    <w:p w14:paraId="54CCCC7D" w14:textId="77777777" w:rsidR="0053592A" w:rsidRPr="005D58F0" w:rsidRDefault="0053592A" w:rsidP="005D58F0">
      <w:pPr>
        <w:spacing w:line="360" w:lineRule="auto"/>
        <w:jc w:val="both"/>
        <w:rPr>
          <w:rFonts w:ascii="Palatino Linotype" w:eastAsia="Palatino Linotype" w:hAnsi="Palatino Linotype" w:cs="Palatino Linotype"/>
        </w:rPr>
      </w:pPr>
    </w:p>
    <w:p w14:paraId="4FCDADCD"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Este Registro Contable de las Operaciones, de conformidad con los artículos 34, 35, 41 y 42 de la multicitada Ley General de Contabilidad Gubernamental, deberá hacerse conforme a lo siguiente:</w:t>
      </w:r>
    </w:p>
    <w:p w14:paraId="20917BE0" w14:textId="77777777" w:rsidR="0053592A" w:rsidRPr="005D58F0" w:rsidRDefault="0053592A" w:rsidP="005D58F0">
      <w:pPr>
        <w:spacing w:line="360" w:lineRule="auto"/>
        <w:jc w:val="both"/>
        <w:rPr>
          <w:rFonts w:ascii="Palatino Linotype" w:eastAsia="Palatino Linotype" w:hAnsi="Palatino Linotype" w:cs="Palatino Linotype"/>
        </w:rPr>
      </w:pPr>
    </w:p>
    <w:p w14:paraId="0849F128" w14:textId="77777777" w:rsidR="0053592A" w:rsidRPr="005D58F0" w:rsidRDefault="00263B8E" w:rsidP="005D58F0">
      <w:pPr>
        <w:numPr>
          <w:ilvl w:val="0"/>
          <w:numId w:val="2"/>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Los registros contables de los entes públicos se llevarán con base acumulativa. La contabilización de las transacciones de gasto se hará conforme a la fecha de </w:t>
      </w:r>
      <w:r w:rsidRPr="005D58F0">
        <w:rPr>
          <w:rFonts w:ascii="Palatino Linotype" w:eastAsia="Palatino Linotype" w:hAnsi="Palatino Linotype" w:cs="Palatino Linotype"/>
        </w:rPr>
        <w:lastRenderedPageBreak/>
        <w:t>su realización, independientemente de la de su pago, y la del ingreso se registrará cuando exista jurídicamente el derecho de cobro.</w:t>
      </w:r>
    </w:p>
    <w:p w14:paraId="17B54887" w14:textId="77777777" w:rsidR="0053592A" w:rsidRPr="005D58F0" w:rsidRDefault="00263B8E" w:rsidP="005D58F0">
      <w:pPr>
        <w:numPr>
          <w:ilvl w:val="0"/>
          <w:numId w:val="2"/>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Los entes públicos deberán mantener un registro histórico detallado de las operaciones realizadas como resultado de su gestión financiera, en los libros diario, mayor, e inventarios y balances.</w:t>
      </w:r>
    </w:p>
    <w:p w14:paraId="20AC10FA" w14:textId="77777777" w:rsidR="0053592A" w:rsidRPr="005D58F0" w:rsidRDefault="00263B8E" w:rsidP="005D58F0">
      <w:pPr>
        <w:numPr>
          <w:ilvl w:val="0"/>
          <w:numId w:val="2"/>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La contabilización de las operaciones presupuestarias y contables deberá respaldarse con la documentación original que compruebe y justifique los registros que se efectúen.</w:t>
      </w:r>
    </w:p>
    <w:p w14:paraId="04140790" w14:textId="77777777" w:rsidR="0053592A" w:rsidRPr="005D58F0" w:rsidRDefault="00263B8E" w:rsidP="005D58F0">
      <w:pPr>
        <w:numPr>
          <w:ilvl w:val="0"/>
          <w:numId w:val="2"/>
        </w:num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Para el registro único de las operaciones presupuestarias y contables, los entes públicos dispondrán de clasificadores presupuestarios, listas de cuentas y catálogos de bienes o instrumentos similares que permitan su interrelación automática.</w:t>
      </w:r>
    </w:p>
    <w:p w14:paraId="0F72D065" w14:textId="77777777" w:rsidR="0053592A" w:rsidRPr="005D58F0" w:rsidRDefault="0053592A" w:rsidP="005D58F0">
      <w:pPr>
        <w:spacing w:line="360" w:lineRule="auto"/>
        <w:jc w:val="both"/>
        <w:rPr>
          <w:rFonts w:ascii="Palatino Linotype" w:eastAsia="Palatino Linotype" w:hAnsi="Palatino Linotype" w:cs="Palatino Linotype"/>
        </w:rPr>
      </w:pPr>
    </w:p>
    <w:p w14:paraId="42B1653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Con base en lo anterior, uno de los Principales Elementos del Sistema de Contabilidad Gubernamental, de acuerdo con el Consejo Nacional de Armonización Contable, se encuentran los Clasificadores Presupuestarios, de entre los cuales se encuentra el</w:t>
      </w:r>
      <w:r w:rsidRPr="005D58F0">
        <w:rPr>
          <w:rFonts w:ascii="Palatino Linotype" w:eastAsia="Palatino Linotype" w:hAnsi="Palatino Linotype" w:cs="Palatino Linotype"/>
          <w:b/>
        </w:rPr>
        <w:t xml:space="preserve"> Clasificador por Objeto del Gasto, </w:t>
      </w:r>
      <w:r w:rsidRPr="005D58F0">
        <w:rPr>
          <w:rFonts w:ascii="Palatino Linotype" w:eastAsia="Palatino Linotype" w:hAnsi="Palatino Linotype" w:cs="Palatino Linotype"/>
        </w:rPr>
        <w:t xml:space="preserve">el cual de acuerdo con el Consejo (consultado en: </w:t>
      </w:r>
      <w:hyperlink r:id="rId16">
        <w:r w:rsidRPr="005D58F0">
          <w:rPr>
            <w:rFonts w:ascii="Palatino Linotype" w:eastAsia="Palatino Linotype" w:hAnsi="Palatino Linotype" w:cs="Palatino Linotype"/>
          </w:rPr>
          <w:t>https://www.conac.gob.mx/work/models/CONAC/normatividad/NOR_01_02_006.pdf</w:t>
        </w:r>
      </w:hyperlink>
      <w:r w:rsidRPr="005D58F0">
        <w:rPr>
          <w:rFonts w:ascii="Palatino Linotype" w:eastAsia="Palatino Linotype" w:hAnsi="Palatino Linotype" w:cs="Palatino Linotype"/>
        </w:rPr>
        <w:t xml:space="preserve">, el veintiocho de marzo de dos mil veintitrés) cuyo propósito principal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w:t>
      </w:r>
      <w:r w:rsidRPr="005D58F0">
        <w:rPr>
          <w:rFonts w:ascii="Palatino Linotype" w:eastAsia="Palatino Linotype" w:hAnsi="Palatino Linotype" w:cs="Palatino Linotype"/>
        </w:rPr>
        <w:lastRenderedPageBreak/>
        <w:t>servicios públicos y en la realización de transferencias, en el marco del Presupuesto de Egresos.</w:t>
      </w:r>
    </w:p>
    <w:p w14:paraId="2A83F2FA"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230D230F"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Además, es oportuno precisar que como se ha expuesto en párrafos anteriores, el registro de operaciones contables deberá respaldarse con la documentación original que compruebe y justifique los registros, como lo puede ser la erogación de acuerdo a las partidas presupuestales expuestas anteriormente. De este modo, sobre el respaldo de la documentación generada resulta necesario traer a colación, la Resolución Miscelánea Fiscal para el 2022, establece que la factura es lo mismo, que un </w:t>
      </w:r>
      <w:r w:rsidRPr="005D58F0">
        <w:rPr>
          <w:rFonts w:ascii="Palatino Linotype" w:eastAsia="Palatino Linotype" w:hAnsi="Palatino Linotype" w:cs="Palatino Linotype"/>
          <w:b/>
        </w:rPr>
        <w:t>Comprobante Fiscal Digital por Internet</w:t>
      </w:r>
      <w:r w:rsidRPr="005D58F0">
        <w:rPr>
          <w:rFonts w:ascii="Palatino Linotype" w:eastAsia="Palatino Linotype" w:hAnsi="Palatino Linotype" w:cs="Palatino Linotype"/>
        </w:rPr>
        <w: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4A06BFCE"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7FF91501"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orden de ideas, los Lineamientos para la Integración y Entrega del Informe Trimestral Municipal, dos mil veintidós, entre los formatos que maneja en el </w:t>
      </w:r>
      <w:r w:rsidRPr="005D58F0">
        <w:rPr>
          <w:rFonts w:ascii="Palatino Linotype" w:eastAsia="Palatino Linotype" w:hAnsi="Palatino Linotype" w:cs="Palatino Linotype"/>
          <w:b/>
        </w:rPr>
        <w:t>Módulo 1</w:t>
      </w:r>
      <w:r w:rsidRPr="005D58F0">
        <w:rPr>
          <w:rFonts w:ascii="Palatino Linotype" w:eastAsia="Palatino Linotype" w:hAnsi="Palatino Linotype" w:cs="Palatino Linotype"/>
        </w:rPr>
        <w:t>, se advierte que se encuentran Póliza de Egresos y Póliza Cheque, con los documentos comprobatorios, mismos que serán entregados al Órgano Superior de Fiscalización del Estado de México.</w:t>
      </w:r>
    </w:p>
    <w:p w14:paraId="11A7B908" w14:textId="77777777" w:rsidR="0053592A" w:rsidRPr="005D58F0" w:rsidRDefault="0053592A" w:rsidP="005D58F0">
      <w:pPr>
        <w:widowControl w:val="0"/>
        <w:spacing w:line="360" w:lineRule="auto"/>
        <w:jc w:val="both"/>
        <w:rPr>
          <w:rFonts w:ascii="Palatino Linotype" w:eastAsia="Palatino Linotype" w:hAnsi="Palatino Linotype" w:cs="Palatino Linotype"/>
          <w:b/>
        </w:rPr>
      </w:pPr>
    </w:p>
    <w:p w14:paraId="6A723082" w14:textId="77777777" w:rsidR="0053592A" w:rsidRPr="005D58F0" w:rsidRDefault="00263B8E"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Además, en el apartado de </w:t>
      </w:r>
      <w:r w:rsidRPr="005D58F0">
        <w:rPr>
          <w:rFonts w:ascii="Palatino Linotype" w:eastAsia="Palatino Linotype" w:hAnsi="Palatino Linotype" w:cs="Palatino Linotype"/>
          <w:b/>
        </w:rPr>
        <w:t xml:space="preserve">“Aspectos a tomar en cuenta para la integración de las Pólizas contables y documentación comprobatoria”, </w:t>
      </w:r>
      <w:r w:rsidRPr="005D58F0">
        <w:rPr>
          <w:rFonts w:ascii="Palatino Linotype" w:eastAsia="Palatino Linotype" w:hAnsi="Palatino Linotype" w:cs="Palatino Linotype"/>
        </w:rPr>
        <w:t xml:space="preserve">se precisa que dichos documentos deberán contener las imágenes de la documentación comprobatoria y justificativa de los egresos y de las respectivas pólizas, los cuales incluyen los </w:t>
      </w:r>
      <w:r w:rsidRPr="005D58F0">
        <w:rPr>
          <w:rFonts w:ascii="Palatino Linotype" w:eastAsia="Palatino Linotype" w:hAnsi="Palatino Linotype" w:cs="Palatino Linotype"/>
        </w:rPr>
        <w:lastRenderedPageBreak/>
        <w:t xml:space="preserve">Comprobantes Fiscales Digitales por Internet o facturas y los costos generados por la adquisición de productos o servicios. </w:t>
      </w:r>
    </w:p>
    <w:p w14:paraId="39BBEBCE" w14:textId="77777777" w:rsidR="0053592A" w:rsidRPr="005D58F0" w:rsidRDefault="0053592A" w:rsidP="005D58F0">
      <w:pPr>
        <w:widowControl w:val="0"/>
        <w:spacing w:line="360" w:lineRule="auto"/>
        <w:jc w:val="both"/>
        <w:rPr>
          <w:rFonts w:ascii="Palatino Linotype" w:eastAsia="Palatino Linotype" w:hAnsi="Palatino Linotype" w:cs="Palatino Linotype"/>
        </w:rPr>
      </w:pPr>
    </w:p>
    <w:p w14:paraId="79520BFC"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5BA2ADB1" w14:textId="77777777" w:rsidR="0053592A" w:rsidRPr="005D58F0" w:rsidRDefault="0053592A" w:rsidP="005D58F0">
      <w:pPr>
        <w:spacing w:line="360" w:lineRule="auto"/>
        <w:jc w:val="both"/>
        <w:rPr>
          <w:rFonts w:ascii="Palatino Linotype" w:eastAsia="Palatino Linotype" w:hAnsi="Palatino Linotype" w:cs="Palatino Linotype"/>
        </w:rPr>
      </w:pPr>
    </w:p>
    <w:p w14:paraId="0AEE55E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462BA16" w14:textId="77777777" w:rsidR="0053592A" w:rsidRPr="005D58F0" w:rsidRDefault="0053592A" w:rsidP="005D58F0">
      <w:pPr>
        <w:spacing w:line="360" w:lineRule="auto"/>
        <w:jc w:val="both"/>
        <w:rPr>
          <w:rFonts w:ascii="Palatino Linotype" w:eastAsia="Palatino Linotype" w:hAnsi="Palatino Linotype" w:cs="Palatino Linotype"/>
        </w:rPr>
      </w:pPr>
    </w:p>
    <w:p w14:paraId="0A89D42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Correlativo a lo anterior, es preciso referir una definición de </w:t>
      </w:r>
      <w:r w:rsidRPr="005D58F0">
        <w:rPr>
          <w:rFonts w:ascii="Palatino Linotype" w:eastAsia="Palatino Linotype" w:hAnsi="Palatino Linotype" w:cs="Palatino Linotype"/>
          <w:i/>
        </w:rPr>
        <w:t>póliza contable</w:t>
      </w:r>
      <w:r w:rsidRPr="005D58F0">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649CC73D" w14:textId="77777777" w:rsidR="0053592A" w:rsidRPr="005D58F0" w:rsidRDefault="0053592A" w:rsidP="005D58F0">
      <w:pPr>
        <w:spacing w:line="360" w:lineRule="auto"/>
        <w:jc w:val="both"/>
        <w:rPr>
          <w:rFonts w:ascii="Palatino Linotype" w:eastAsia="Palatino Linotype" w:hAnsi="Palatino Linotype" w:cs="Palatino Linotype"/>
        </w:rPr>
      </w:pPr>
    </w:p>
    <w:p w14:paraId="6D945EA7" w14:textId="77777777" w:rsidR="0053592A" w:rsidRPr="005D58F0" w:rsidRDefault="00263B8E" w:rsidP="005D58F0">
      <w:pPr>
        <w:spacing w:after="120"/>
        <w:ind w:left="851" w:right="899"/>
        <w:jc w:val="both"/>
        <w:rPr>
          <w:rFonts w:ascii="Palatino Linotype" w:eastAsia="Palatino Linotype" w:hAnsi="Palatino Linotype" w:cs="Palatino Linotype"/>
          <w:b/>
          <w:i/>
        </w:rPr>
      </w:pPr>
      <w:r w:rsidRPr="005D58F0">
        <w:rPr>
          <w:rFonts w:ascii="Palatino Linotype" w:eastAsia="Palatino Linotype" w:hAnsi="Palatino Linotype" w:cs="Palatino Linotype"/>
          <w:i/>
        </w:rPr>
        <w:t>“</w:t>
      </w:r>
      <w:r w:rsidRPr="005D58F0">
        <w:rPr>
          <w:rFonts w:ascii="Palatino Linotype" w:eastAsia="Palatino Linotype" w:hAnsi="Palatino Linotype" w:cs="Palatino Linotype"/>
          <w:b/>
          <w:i/>
        </w:rPr>
        <w:t>PÓLIZA CONTABLE</w:t>
      </w:r>
    </w:p>
    <w:p w14:paraId="7000114B" w14:textId="77777777" w:rsidR="0053592A" w:rsidRPr="005D58F0" w:rsidRDefault="00263B8E" w:rsidP="005D58F0">
      <w:pPr>
        <w:spacing w:before="120" w:after="120"/>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w:t>
      </w:r>
      <w:proofErr w:type="gramStart"/>
      <w:r w:rsidRPr="005D58F0">
        <w:rPr>
          <w:rFonts w:ascii="Palatino Linotype" w:eastAsia="Palatino Linotype" w:hAnsi="Palatino Linotype" w:cs="Palatino Linotype"/>
          <w:i/>
        </w:rPr>
        <w:t>sic</w:t>
      </w:r>
      <w:proofErr w:type="gramEnd"/>
      <w:r w:rsidRPr="005D58F0">
        <w:rPr>
          <w:rFonts w:ascii="Palatino Linotype" w:eastAsia="Palatino Linotype" w:hAnsi="Palatino Linotype" w:cs="Palatino Linotype"/>
          <w:i/>
        </w:rPr>
        <w:t>)</w:t>
      </w:r>
    </w:p>
    <w:p w14:paraId="4DA4685A" w14:textId="77777777" w:rsidR="0053592A" w:rsidRPr="005D58F0" w:rsidRDefault="0053592A" w:rsidP="005D58F0">
      <w:pPr>
        <w:spacing w:before="120" w:after="120"/>
        <w:ind w:left="851" w:right="899"/>
        <w:jc w:val="both"/>
        <w:rPr>
          <w:rFonts w:ascii="Palatino Linotype" w:eastAsia="Palatino Linotype" w:hAnsi="Palatino Linotype" w:cs="Palatino Linotype"/>
          <w:i/>
        </w:rPr>
      </w:pPr>
    </w:p>
    <w:p w14:paraId="37441325" w14:textId="77777777" w:rsidR="0053592A" w:rsidRPr="005D58F0" w:rsidRDefault="00263B8E" w:rsidP="005D58F0">
      <w:pPr>
        <w:spacing w:before="120"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Así, se advierte que la </w:t>
      </w:r>
      <w:r w:rsidRPr="005D58F0">
        <w:rPr>
          <w:rFonts w:ascii="Palatino Linotype" w:eastAsia="Palatino Linotype" w:hAnsi="Palatino Linotype" w:cs="Palatino Linotype"/>
          <w:i/>
        </w:rPr>
        <w:t>póliza contable</w:t>
      </w:r>
      <w:r w:rsidRPr="005D58F0">
        <w:rPr>
          <w:rFonts w:ascii="Palatino Linotype" w:eastAsia="Palatino Linotype" w:hAnsi="Palatino Linotype" w:cs="Palatino Linotype"/>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499F5319" w14:textId="77777777" w:rsidR="0053592A" w:rsidRPr="005D58F0" w:rsidRDefault="0053592A" w:rsidP="005D58F0">
      <w:pPr>
        <w:spacing w:before="120" w:line="360" w:lineRule="auto"/>
        <w:jc w:val="both"/>
        <w:rPr>
          <w:rFonts w:ascii="Palatino Linotype" w:eastAsia="Palatino Linotype" w:hAnsi="Palatino Linotype" w:cs="Palatino Linotype"/>
        </w:rPr>
      </w:pPr>
    </w:p>
    <w:p w14:paraId="0043CC10"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5D58F0">
        <w:rPr>
          <w:rFonts w:ascii="Palatino Linotype" w:eastAsia="Palatino Linotype" w:hAnsi="Palatino Linotype" w:cs="Palatino Linotype"/>
          <w:i/>
        </w:rPr>
        <w:t>pólizas de egresos</w:t>
      </w:r>
      <w:r w:rsidRPr="005D58F0">
        <w:rPr>
          <w:rFonts w:ascii="Palatino Linotype" w:eastAsia="Palatino Linotype" w:hAnsi="Palatino Linotype" w:cs="Palatino Linotype"/>
        </w:rPr>
        <w:t xml:space="preserve">, son aquellas en las cuales se anotan diariamente las operaciones que representan gastos, es decir, salidas de dinero para </w:t>
      </w:r>
      <w:r w:rsidRPr="005D58F0">
        <w:rPr>
          <w:rFonts w:ascii="Palatino Linotype" w:eastAsia="Palatino Linotype" w:hAnsi="Palatino Linotype" w:cs="Palatino Linotype"/>
          <w:b/>
        </w:rPr>
        <w:t>EL</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las que, además, deben encontrarse acompañadas de las documentales que sirven de soporte de dicho movimiento. </w:t>
      </w:r>
    </w:p>
    <w:p w14:paraId="43F83D75" w14:textId="77777777" w:rsidR="0053592A" w:rsidRPr="005D58F0" w:rsidRDefault="0053592A" w:rsidP="005D58F0">
      <w:pPr>
        <w:spacing w:line="360" w:lineRule="auto"/>
        <w:jc w:val="both"/>
        <w:rPr>
          <w:rFonts w:ascii="Palatino Linotype" w:eastAsia="Palatino Linotype" w:hAnsi="Palatino Linotype" w:cs="Palatino Linotype"/>
        </w:rPr>
      </w:pPr>
    </w:p>
    <w:p w14:paraId="255A7B76" w14:textId="77777777" w:rsidR="0053592A" w:rsidRPr="005D58F0" w:rsidRDefault="00263B8E" w:rsidP="005D58F0">
      <w:pPr>
        <w:spacing w:line="360" w:lineRule="auto"/>
        <w:ind w:right="50"/>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De este modo,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debe tener registro de la expedición de las pólizas de egresos;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1B3F2A72" w14:textId="77777777" w:rsidR="0053592A" w:rsidRPr="005D58F0" w:rsidRDefault="0053592A" w:rsidP="005D58F0">
      <w:pPr>
        <w:spacing w:line="360" w:lineRule="auto"/>
        <w:ind w:right="50"/>
        <w:jc w:val="both"/>
        <w:rPr>
          <w:rFonts w:ascii="Palatino Linotype" w:eastAsia="Palatino Linotype" w:hAnsi="Palatino Linotype" w:cs="Palatino Linotype"/>
        </w:rPr>
      </w:pPr>
    </w:p>
    <w:p w14:paraId="614C2351" w14:textId="77777777" w:rsidR="0053592A" w:rsidRPr="005D58F0" w:rsidRDefault="00263B8E" w:rsidP="005D58F0">
      <w:pPr>
        <w:spacing w:line="360" w:lineRule="auto"/>
        <w:ind w:right="50"/>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40F3B457" w14:textId="77777777" w:rsidR="0053592A" w:rsidRPr="005D58F0" w:rsidRDefault="0053592A" w:rsidP="005D58F0">
      <w:pPr>
        <w:ind w:right="50"/>
        <w:jc w:val="both"/>
        <w:rPr>
          <w:rFonts w:ascii="Palatino Linotype" w:eastAsia="Palatino Linotype" w:hAnsi="Palatino Linotype" w:cs="Palatino Linotype"/>
        </w:rPr>
      </w:pPr>
    </w:p>
    <w:p w14:paraId="605A463E" w14:textId="77777777" w:rsidR="0053592A" w:rsidRPr="005D58F0" w:rsidRDefault="00263B8E" w:rsidP="005D58F0">
      <w:pPr>
        <w:ind w:left="851" w:right="901"/>
        <w:jc w:val="both"/>
        <w:rPr>
          <w:rFonts w:ascii="Palatino Linotype" w:eastAsia="Palatino Linotype" w:hAnsi="Palatino Linotype" w:cs="Palatino Linotype"/>
          <w:b/>
          <w:i/>
        </w:rPr>
      </w:pPr>
      <w:r w:rsidRPr="005D58F0">
        <w:rPr>
          <w:rFonts w:ascii="Palatino Linotype" w:eastAsia="Palatino Linotype" w:hAnsi="Palatino Linotype" w:cs="Palatino Linotype"/>
          <w:b/>
          <w:i/>
        </w:rPr>
        <w:t>“Artículo 23…</w:t>
      </w:r>
    </w:p>
    <w:p w14:paraId="0245B429" w14:textId="77777777" w:rsidR="0053592A" w:rsidRPr="005D58F0" w:rsidRDefault="0053592A" w:rsidP="005D58F0">
      <w:pPr>
        <w:ind w:left="851" w:right="901"/>
        <w:jc w:val="both"/>
        <w:rPr>
          <w:rFonts w:ascii="Palatino Linotype" w:eastAsia="Palatino Linotype" w:hAnsi="Palatino Linotype" w:cs="Palatino Linotype"/>
          <w:i/>
        </w:rPr>
      </w:pPr>
    </w:p>
    <w:p w14:paraId="471D3122" w14:textId="77777777" w:rsidR="0053592A" w:rsidRPr="005D58F0" w:rsidRDefault="00263B8E" w:rsidP="005D58F0">
      <w:pPr>
        <w:ind w:left="851" w:right="901"/>
        <w:jc w:val="both"/>
        <w:rPr>
          <w:rFonts w:ascii="Palatino Linotype" w:eastAsia="Palatino Linotype" w:hAnsi="Palatino Linotype" w:cs="Palatino Linotype"/>
          <w:i/>
        </w:rPr>
      </w:pPr>
      <w:r w:rsidRPr="005D58F0">
        <w:rPr>
          <w:rFonts w:ascii="Palatino Linotype" w:eastAsia="Palatino Linotype" w:hAnsi="Palatino Linotype" w:cs="Palatino Linotype"/>
          <w:i/>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5F2AD96" w14:textId="77777777" w:rsidR="0053592A" w:rsidRPr="005D58F0" w:rsidRDefault="00263B8E" w:rsidP="005D58F0">
      <w:pPr>
        <w:ind w:left="851" w:right="850"/>
        <w:jc w:val="both"/>
        <w:rPr>
          <w:rFonts w:ascii="Palatino Linotype" w:eastAsia="Palatino Linotype" w:hAnsi="Palatino Linotype" w:cs="Palatino Linotype"/>
          <w:i/>
        </w:rPr>
      </w:pPr>
      <w:r w:rsidRPr="005D58F0">
        <w:rPr>
          <w:rFonts w:ascii="Palatino Linotype" w:eastAsia="Palatino Linotype" w:hAnsi="Palatino Linotype" w:cs="Palatino Linotype"/>
          <w:i/>
        </w:rPr>
        <w:t xml:space="preserve"> (…)”</w:t>
      </w:r>
    </w:p>
    <w:p w14:paraId="09FA21DF" w14:textId="77777777" w:rsidR="0053592A" w:rsidRPr="005D58F0" w:rsidRDefault="0053592A" w:rsidP="005D58F0">
      <w:pPr>
        <w:spacing w:line="360" w:lineRule="auto"/>
        <w:ind w:left="851" w:right="850"/>
        <w:jc w:val="both"/>
        <w:rPr>
          <w:rFonts w:ascii="Palatino Linotype" w:eastAsia="Palatino Linotype" w:hAnsi="Palatino Linotype" w:cs="Palatino Linotype"/>
          <w:i/>
        </w:rPr>
      </w:pPr>
    </w:p>
    <w:p w14:paraId="5BF21B5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esta tesitura, se concluye que todos los datos en que consten gastos efectuados por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es información pública; por ende, los pagos realizados mediante pólizas de egresos son públicas y susceptibles de ser entregados si son solicitados en ejercicio del derecho de acceso a la información pública. </w:t>
      </w:r>
    </w:p>
    <w:p w14:paraId="720F9C57" w14:textId="77777777" w:rsidR="0053592A" w:rsidRPr="005D58F0" w:rsidRDefault="0053592A" w:rsidP="005D58F0">
      <w:pPr>
        <w:spacing w:line="360" w:lineRule="auto"/>
        <w:jc w:val="both"/>
        <w:rPr>
          <w:rFonts w:ascii="Palatino Linotype" w:eastAsia="Palatino Linotype" w:hAnsi="Palatino Linotype" w:cs="Palatino Linotype"/>
        </w:rPr>
      </w:pPr>
    </w:p>
    <w:p w14:paraId="5BED973C"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Como ya se mencionó anteriormente </w:t>
      </w:r>
      <w:r w:rsidRPr="005D58F0">
        <w:rPr>
          <w:rFonts w:ascii="Palatino Linotype" w:eastAsia="Palatino Linotype" w:hAnsi="Palatino Linotype" w:cs="Palatino Linotype"/>
          <w:b/>
        </w:rPr>
        <w:t xml:space="preserve">EL SUJETO OBLIGADO </w:t>
      </w:r>
      <w:r w:rsidRPr="005D58F0">
        <w:rPr>
          <w:rFonts w:ascii="Palatino Linotype" w:eastAsia="Palatino Linotype" w:hAnsi="Palatino Linotype" w:cs="Palatino Linotype"/>
        </w:rPr>
        <w:t>tiene la obligatoriedad de registrar contablemente el efecto patrimonial y presupuestal de las operaciones financieras que realizan, en el momento en que ocurran.</w:t>
      </w:r>
    </w:p>
    <w:p w14:paraId="08DE8213" w14:textId="77777777" w:rsidR="0053592A" w:rsidRPr="005D58F0" w:rsidRDefault="0053592A" w:rsidP="005D58F0">
      <w:pPr>
        <w:spacing w:line="360" w:lineRule="auto"/>
        <w:ind w:right="51"/>
        <w:jc w:val="both"/>
        <w:rPr>
          <w:rFonts w:ascii="Palatino Linotype" w:eastAsia="Palatino Linotype" w:hAnsi="Palatino Linotype" w:cs="Palatino Linotype"/>
        </w:rPr>
      </w:pPr>
    </w:p>
    <w:p w14:paraId="5B30C8C6" w14:textId="77777777" w:rsidR="0053592A" w:rsidRPr="005D58F0" w:rsidRDefault="00263B8E" w:rsidP="005D58F0">
      <w:pPr>
        <w:widowControl w:val="0"/>
        <w:spacing w:line="360" w:lineRule="auto"/>
        <w:jc w:val="both"/>
        <w:rPr>
          <w:rFonts w:ascii="Palatino Linotype" w:eastAsia="Palatino Linotype" w:hAnsi="Palatino Linotype" w:cs="Palatino Linotype"/>
        </w:rPr>
      </w:pPr>
      <w:bookmarkStart w:id="9" w:name="_heading=h.1t3h5sf" w:colFirst="0" w:colLast="0"/>
      <w:bookmarkEnd w:id="9"/>
      <w:r w:rsidRPr="005D58F0">
        <w:rPr>
          <w:rFonts w:ascii="Palatino Linotype" w:eastAsia="Palatino Linotype" w:hAnsi="Palatino Linotype" w:cs="Palatino Linotype"/>
        </w:rPr>
        <w:t xml:space="preserve">Por lo hasta aquí expuesto, de manera fundada y motivada, se </w:t>
      </w:r>
      <w:r w:rsidRPr="005D58F0">
        <w:rPr>
          <w:rFonts w:ascii="Palatino Linotype" w:eastAsia="Palatino Linotype" w:hAnsi="Palatino Linotype" w:cs="Palatino Linotype"/>
          <w:b/>
        </w:rPr>
        <w:t xml:space="preserve">ordena previa búsqueda exhaustiva, </w:t>
      </w:r>
      <w:r w:rsidRPr="005D58F0">
        <w:rPr>
          <w:rFonts w:ascii="Palatino Linotype" w:eastAsia="Palatino Linotype" w:hAnsi="Palatino Linotype" w:cs="Palatino Linotype"/>
        </w:rPr>
        <w:t>la entrega del documento o documentos en versión pública donde conste lo siguiente:</w:t>
      </w:r>
    </w:p>
    <w:p w14:paraId="799344C5" w14:textId="77777777" w:rsidR="0053592A" w:rsidRPr="005D58F0" w:rsidRDefault="0053592A" w:rsidP="005D58F0">
      <w:pPr>
        <w:widowControl w:val="0"/>
        <w:spacing w:line="360" w:lineRule="auto"/>
        <w:jc w:val="both"/>
        <w:rPr>
          <w:rFonts w:ascii="Palatino Linotype" w:eastAsia="Palatino Linotype" w:hAnsi="Palatino Linotype" w:cs="Palatino Linotype"/>
          <w:b/>
        </w:rPr>
      </w:pPr>
    </w:p>
    <w:p w14:paraId="21C2288A" w14:textId="77777777" w:rsidR="0053592A" w:rsidRPr="005D58F0" w:rsidRDefault="00263B8E" w:rsidP="005D58F0">
      <w:pPr>
        <w:tabs>
          <w:tab w:val="left" w:pos="709"/>
        </w:tabs>
        <w:spacing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b/>
        </w:rPr>
        <w:t>a)</w:t>
      </w:r>
      <w:r w:rsidRPr="005D58F0">
        <w:rPr>
          <w:rFonts w:ascii="Palatino Linotype" w:eastAsia="Palatino Linotype" w:hAnsi="Palatino Linotype" w:cs="Palatino Linotype"/>
          <w:b/>
        </w:rPr>
        <w:tab/>
        <w:t>Facturas que den cuenta de los gastos erogados durante el año 2022 por conceptos de gas y mantenimiento</w:t>
      </w:r>
      <w:r w:rsidRPr="005D58F0">
        <w:rPr>
          <w:b/>
        </w:rPr>
        <w:t xml:space="preserve"> de la </w:t>
      </w:r>
      <w:r w:rsidRPr="005D58F0">
        <w:rPr>
          <w:rFonts w:ascii="Palatino Linotype" w:eastAsia="Palatino Linotype" w:hAnsi="Palatino Linotype" w:cs="Palatino Linotype"/>
          <w:b/>
        </w:rPr>
        <w:t>alberca municipal.</w:t>
      </w:r>
    </w:p>
    <w:p w14:paraId="043ED746" w14:textId="77777777" w:rsidR="0053592A" w:rsidRPr="005D58F0" w:rsidRDefault="0053592A" w:rsidP="005D58F0">
      <w:pPr>
        <w:tabs>
          <w:tab w:val="left" w:pos="709"/>
        </w:tabs>
        <w:spacing w:line="360" w:lineRule="auto"/>
        <w:ind w:right="49"/>
        <w:jc w:val="both"/>
        <w:rPr>
          <w:rFonts w:ascii="Palatino Linotype" w:eastAsia="Palatino Linotype" w:hAnsi="Palatino Linotype" w:cs="Palatino Linotype"/>
        </w:rPr>
      </w:pPr>
    </w:p>
    <w:p w14:paraId="79D55BF0" w14:textId="77777777" w:rsidR="0053592A" w:rsidRPr="005D58F0" w:rsidRDefault="00263B8E" w:rsidP="005D58F0">
      <w:pPr>
        <w:tabs>
          <w:tab w:val="left" w:pos="709"/>
        </w:tabs>
        <w:spacing w:after="160" w:line="360" w:lineRule="auto"/>
        <w:ind w:right="49"/>
        <w:jc w:val="both"/>
        <w:rPr>
          <w:rFonts w:ascii="Palatino Linotype" w:eastAsia="Palatino Linotype" w:hAnsi="Palatino Linotype" w:cs="Palatino Linotype"/>
          <w:b/>
        </w:rPr>
      </w:pPr>
      <w:r w:rsidRPr="005D58F0">
        <w:rPr>
          <w:rFonts w:ascii="Palatino Linotype" w:eastAsia="Palatino Linotype" w:hAnsi="Palatino Linotype" w:cs="Palatino Linotype"/>
          <w:b/>
        </w:rPr>
        <w:t>3. RECURSO 773.</w:t>
      </w:r>
    </w:p>
    <w:p w14:paraId="0934F948"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 xml:space="preserve">¿Qué solicitó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b/>
          <w:sz w:val="26"/>
          <w:szCs w:val="26"/>
        </w:rPr>
        <w:t>?</w:t>
      </w:r>
    </w:p>
    <w:p w14:paraId="504BF2A2" w14:textId="77777777" w:rsidR="0053592A" w:rsidRPr="005D58F0" w:rsidRDefault="00263B8E" w:rsidP="005D58F0">
      <w:pPr>
        <w:tabs>
          <w:tab w:val="left" w:pos="2422"/>
        </w:tabs>
        <w:ind w:left="851" w:right="49"/>
        <w:jc w:val="both"/>
        <w:rPr>
          <w:rFonts w:ascii="Palatino Linotype" w:eastAsia="Palatino Linotype" w:hAnsi="Palatino Linotype" w:cs="Palatino Linotype"/>
          <w:sz w:val="23"/>
          <w:szCs w:val="23"/>
        </w:rPr>
      </w:pPr>
      <w:r w:rsidRPr="005D58F0">
        <w:rPr>
          <w:rFonts w:ascii="Palatino Linotype" w:eastAsia="Palatino Linotype" w:hAnsi="Palatino Linotype" w:cs="Palatino Linotype"/>
          <w:sz w:val="23"/>
          <w:szCs w:val="23"/>
        </w:rPr>
        <w:t>LISTAS DE ASISTENCIA DE TODAS LAS DIRECCIONES DEL 1 DE ENERO AL 31 DE DICIEMBRE DE 2022.</w:t>
      </w:r>
    </w:p>
    <w:p w14:paraId="0CA80287" w14:textId="77777777" w:rsidR="0053592A" w:rsidRPr="005D58F0" w:rsidRDefault="0053592A" w:rsidP="005D58F0">
      <w:pPr>
        <w:tabs>
          <w:tab w:val="left" w:pos="2422"/>
        </w:tabs>
        <w:spacing w:line="360" w:lineRule="auto"/>
        <w:ind w:right="49"/>
        <w:rPr>
          <w:rFonts w:ascii="Palatino Linotype" w:eastAsia="Palatino Linotype" w:hAnsi="Palatino Linotype" w:cs="Palatino Linotype"/>
          <w:b/>
        </w:rPr>
      </w:pPr>
    </w:p>
    <w:p w14:paraId="2475A812" w14:textId="77777777" w:rsidR="0053592A" w:rsidRPr="005D58F0" w:rsidRDefault="00263B8E" w:rsidP="005D58F0">
      <w:pPr>
        <w:tabs>
          <w:tab w:val="left" w:pos="2422"/>
        </w:tabs>
        <w:spacing w:line="360" w:lineRule="auto"/>
        <w:ind w:right="49"/>
        <w:rPr>
          <w:rFonts w:ascii="Palatino Linotype" w:eastAsia="Palatino Linotype" w:hAnsi="Palatino Linotype" w:cs="Palatino Linotype"/>
          <w:b/>
          <w:sz w:val="26"/>
          <w:szCs w:val="26"/>
        </w:rPr>
      </w:pPr>
      <w:r w:rsidRPr="005D58F0">
        <w:rPr>
          <w:rFonts w:ascii="Palatino Linotype" w:eastAsia="Palatino Linotype" w:hAnsi="Palatino Linotype" w:cs="Palatino Linotype"/>
          <w:b/>
          <w:sz w:val="26"/>
          <w:szCs w:val="26"/>
        </w:rPr>
        <w:t>¿Qué le respondió EL SUJETO OBLIGADO?</w:t>
      </w:r>
    </w:p>
    <w:p w14:paraId="50BD88C3" w14:textId="77777777" w:rsidR="0053592A" w:rsidRPr="005D58F0" w:rsidRDefault="00263B8E" w:rsidP="005D58F0">
      <w:pPr>
        <w:tabs>
          <w:tab w:val="left" w:pos="2422"/>
        </w:tabs>
        <w:ind w:left="851" w:right="49"/>
        <w:jc w:val="both"/>
        <w:rPr>
          <w:rFonts w:ascii="Palatino Linotype" w:eastAsia="Palatino Linotype" w:hAnsi="Palatino Linotype" w:cs="Palatino Linotype"/>
          <w:sz w:val="23"/>
          <w:szCs w:val="23"/>
        </w:rPr>
      </w:pPr>
      <w:bookmarkStart w:id="10" w:name="_heading=h.4d34og8" w:colFirst="0" w:colLast="0"/>
      <w:bookmarkEnd w:id="10"/>
      <w:r w:rsidRPr="005D58F0">
        <w:rPr>
          <w:rFonts w:ascii="Palatino Linotype" w:eastAsia="Palatino Linotype" w:hAnsi="Palatino Linotype" w:cs="Palatino Linotype"/>
          <w:sz w:val="23"/>
          <w:szCs w:val="23"/>
        </w:rPr>
        <w:t>En cuanto a las listas de asistencia, los mandos medios y directores no se les generan listas de asistencia, toda vez que son personal de confianza.</w:t>
      </w:r>
    </w:p>
    <w:p w14:paraId="123492F5" w14:textId="77777777" w:rsidR="0053592A" w:rsidRPr="005D58F0" w:rsidRDefault="0053592A" w:rsidP="005D58F0">
      <w:pPr>
        <w:tabs>
          <w:tab w:val="left" w:pos="2422"/>
        </w:tabs>
        <w:ind w:right="49"/>
        <w:jc w:val="both"/>
        <w:rPr>
          <w:rFonts w:ascii="Palatino Linotype" w:eastAsia="Palatino Linotype" w:hAnsi="Palatino Linotype" w:cs="Palatino Linotype"/>
          <w:sz w:val="23"/>
          <w:szCs w:val="23"/>
        </w:rPr>
      </w:pPr>
    </w:p>
    <w:p w14:paraId="05F68CFC" w14:textId="77777777" w:rsidR="0053592A" w:rsidRPr="005D58F0" w:rsidRDefault="0053592A" w:rsidP="005D58F0">
      <w:pPr>
        <w:tabs>
          <w:tab w:val="left" w:pos="2422"/>
        </w:tabs>
        <w:ind w:right="49"/>
        <w:jc w:val="both"/>
        <w:rPr>
          <w:rFonts w:ascii="Palatino Linotype" w:eastAsia="Palatino Linotype" w:hAnsi="Palatino Linotype" w:cs="Palatino Linotype"/>
          <w:sz w:val="23"/>
          <w:szCs w:val="23"/>
        </w:rPr>
      </w:pPr>
    </w:p>
    <w:p w14:paraId="5E8B5A10" w14:textId="77777777" w:rsidR="0053592A" w:rsidRPr="005D58F0" w:rsidRDefault="00263B8E" w:rsidP="005D58F0">
      <w:pPr>
        <w:tabs>
          <w:tab w:val="left" w:pos="2422"/>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Inconforme,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interpuso el presente recurso aduciendo que no le fue entregada la información. </w:t>
      </w:r>
    </w:p>
    <w:p w14:paraId="230B12B2" w14:textId="77777777" w:rsidR="0053592A" w:rsidRPr="005D58F0" w:rsidRDefault="0053592A" w:rsidP="005D58F0">
      <w:pPr>
        <w:tabs>
          <w:tab w:val="left" w:pos="2422"/>
        </w:tabs>
        <w:spacing w:line="360" w:lineRule="auto"/>
        <w:ind w:right="49"/>
        <w:jc w:val="both"/>
        <w:rPr>
          <w:rFonts w:ascii="Palatino Linotype" w:eastAsia="Palatino Linotype" w:hAnsi="Palatino Linotype" w:cs="Palatino Linotype"/>
        </w:rPr>
      </w:pPr>
    </w:p>
    <w:p w14:paraId="7AD90C4E"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Mediante informe justificado el</w:t>
      </w:r>
      <w:r w:rsidRPr="005D58F0">
        <w:rPr>
          <w:rFonts w:ascii="Palatino Linotype" w:eastAsia="Palatino Linotype" w:hAnsi="Palatino Linotype" w:cs="Palatino Linotype"/>
          <w:b/>
        </w:rPr>
        <w:t xml:space="preserve"> SUJETO OBLIGADO</w:t>
      </w:r>
      <w:r w:rsidRPr="005D58F0">
        <w:rPr>
          <w:rFonts w:ascii="Palatino Linotype" w:eastAsia="Palatino Linotype" w:hAnsi="Palatino Linotype" w:cs="Palatino Linotype"/>
        </w:rPr>
        <w:t xml:space="preserve"> ratificó su respuesta remitiendo la respuesta de la Directora de Administración, quien refiere que, los mandos medios y directores no se les generan listas de asistencia, toda vez que son personal de confianza.</w:t>
      </w:r>
    </w:p>
    <w:p w14:paraId="73B9FDC6" w14:textId="77777777" w:rsidR="0053592A" w:rsidRPr="005D58F0" w:rsidRDefault="0053592A" w:rsidP="005D58F0">
      <w:pPr>
        <w:spacing w:line="360" w:lineRule="auto"/>
        <w:jc w:val="both"/>
        <w:rPr>
          <w:rFonts w:ascii="Palatino Linotype" w:eastAsia="Palatino Linotype" w:hAnsi="Palatino Linotype" w:cs="Palatino Linotype"/>
        </w:rPr>
      </w:pPr>
    </w:p>
    <w:p w14:paraId="4149956F"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Es conveniente señalar que los solicitantes de información no son expertos o especialistas en la materia; por lo que, es deber de los Sujetos Obligados orientarlos o requerirlos para que indiquen otros elementos que complementen, corrijan o amplíen los datos proporcionados o bien, precisen la información.</w:t>
      </w:r>
    </w:p>
    <w:p w14:paraId="3EF68A95" w14:textId="77777777" w:rsidR="0053592A" w:rsidRPr="005D58F0" w:rsidRDefault="0053592A" w:rsidP="005D58F0">
      <w:pPr>
        <w:spacing w:line="360" w:lineRule="auto"/>
        <w:jc w:val="both"/>
        <w:rPr>
          <w:rFonts w:ascii="Palatino Linotype" w:eastAsia="Palatino Linotype" w:hAnsi="Palatino Linotype" w:cs="Palatino Linotype"/>
        </w:rPr>
      </w:pPr>
    </w:p>
    <w:p w14:paraId="132F4601" w14:textId="5F93713E"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Bajo ese contexto, es importante señalar que, en el caso,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fue requerida para que aclarara su solicitud, sin embargo, refirió que la misma es </w:t>
      </w:r>
      <w:r w:rsidR="003408C9" w:rsidRPr="005D58F0">
        <w:rPr>
          <w:rFonts w:ascii="Palatino Linotype" w:eastAsia="Palatino Linotype" w:hAnsi="Palatino Linotype" w:cs="Palatino Linotype"/>
        </w:rPr>
        <w:t>específica</w:t>
      </w:r>
      <w:r w:rsidRPr="005D58F0">
        <w:rPr>
          <w:rFonts w:ascii="Palatino Linotype" w:eastAsia="Palatino Linotype" w:hAnsi="Palatino Linotype" w:cs="Palatino Linotype"/>
        </w:rPr>
        <w:t xml:space="preserve">. </w:t>
      </w:r>
    </w:p>
    <w:p w14:paraId="179D5FF8" w14:textId="77777777" w:rsidR="0053592A" w:rsidRPr="005D58F0" w:rsidRDefault="0053592A" w:rsidP="005D58F0">
      <w:pPr>
        <w:spacing w:line="360" w:lineRule="auto"/>
        <w:jc w:val="both"/>
        <w:rPr>
          <w:rFonts w:ascii="Palatino Linotype" w:eastAsia="Palatino Linotype" w:hAnsi="Palatino Linotype" w:cs="Palatino Linotype"/>
        </w:rPr>
      </w:pPr>
    </w:p>
    <w:p w14:paraId="0B776B23"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Ahora bien, se advierte que el particular requirió las listas de asistencia de todas las direcciones; este Órgano Garante en el ámbito de sus atribuciones establecidas en los </w:t>
      </w:r>
      <w:r w:rsidRPr="005D58F0">
        <w:rPr>
          <w:rFonts w:ascii="Palatino Linotype" w:eastAsia="Palatino Linotype" w:hAnsi="Palatino Linotype" w:cs="Palatino Linotype"/>
        </w:rPr>
        <w:lastRenderedPageBreak/>
        <w:t>artículos 13 y 181 de la Ley de Transparencia y Acceso a la Información Pública del Estado de México y Municipios, suple la deficiencia presentada en la solicitud de información, precisando para ello, que se refiere a todo el personal de todas las direcciones.</w:t>
      </w:r>
    </w:p>
    <w:p w14:paraId="7F55E079" w14:textId="77777777" w:rsidR="0053592A" w:rsidRPr="005D58F0" w:rsidRDefault="0053592A" w:rsidP="005D58F0">
      <w:pPr>
        <w:spacing w:line="360" w:lineRule="auto"/>
        <w:jc w:val="both"/>
        <w:rPr>
          <w:rFonts w:ascii="Palatino Linotype" w:eastAsia="Palatino Linotype" w:hAnsi="Palatino Linotype" w:cs="Palatino Linotype"/>
        </w:rPr>
      </w:pPr>
    </w:p>
    <w:p w14:paraId="1C917C18"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Es decir, que no solo se solicitan listas de directores, sino de todo el personal adscrito a las direcciones del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w:t>
      </w:r>
    </w:p>
    <w:p w14:paraId="14525B32" w14:textId="77777777" w:rsidR="0053592A" w:rsidRPr="005D58F0" w:rsidRDefault="0053592A" w:rsidP="005D58F0">
      <w:pPr>
        <w:spacing w:line="360" w:lineRule="auto"/>
        <w:jc w:val="both"/>
        <w:rPr>
          <w:rFonts w:ascii="Palatino Linotype" w:eastAsia="Palatino Linotype" w:hAnsi="Palatino Linotype" w:cs="Palatino Linotype"/>
        </w:rPr>
      </w:pPr>
    </w:p>
    <w:p w14:paraId="368142AA"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Así, de conformidad con lo establecido en el Reglamento Orgánico Municipal el Ayuntamiento de Zinacantepec, tiene 14 direcciones, siendo las siguientes:</w:t>
      </w:r>
    </w:p>
    <w:p w14:paraId="17E741C3" w14:textId="77777777"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b/>
          <w:i/>
        </w:rPr>
        <w:t>Artículo 22.</w:t>
      </w:r>
      <w:r w:rsidRPr="005D58F0">
        <w:rPr>
          <w:rFonts w:ascii="Palatino Linotype" w:eastAsia="Palatino Linotype" w:hAnsi="Palatino Linotype" w:cs="Palatino Linotype"/>
          <w:i/>
        </w:rPr>
        <w:t xml:space="preserve"> El Presidente Municipal desempeñará sus funciones y atribuciones, a través de las Unidades Administrativas, los Organismos Descentralizados, así como el Organismo Autónomo y Desconcentrado, de la Administración Pública Municipal que considere pertinente, las cuales estarán a su mando, y se enuncian a continuación: </w:t>
      </w:r>
    </w:p>
    <w:p w14:paraId="1DD28CB1" w14:textId="77777777"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I. Unidades Administrativas Centralizadas:</w:t>
      </w:r>
    </w:p>
    <w:p w14:paraId="316C1447" w14:textId="77777777"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w:t>
      </w:r>
    </w:p>
    <w:p w14:paraId="1A52C78E" w14:textId="56D4BB48"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13</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Administración.</w:t>
      </w:r>
    </w:p>
    <w:p w14:paraId="74BE4B4E" w14:textId="2F3CFFD2"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14</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Obras Públicas.</w:t>
      </w:r>
    </w:p>
    <w:p w14:paraId="435BDC6F" w14:textId="7A85C854"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15</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Desarrollo Metropolitano y Movilidad.</w:t>
      </w:r>
    </w:p>
    <w:p w14:paraId="362453C9" w14:textId="1BDB6BFC"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16</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Desarrollo Territorial y Urbano.</w:t>
      </w:r>
    </w:p>
    <w:p w14:paraId="2AAF081C" w14:textId="097C4DB7"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17</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Desarrollo Económico.</w:t>
      </w:r>
    </w:p>
    <w:p w14:paraId="17D6D598" w14:textId="79B0D1D2"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18</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Desarrollo Social.</w:t>
      </w:r>
    </w:p>
    <w:p w14:paraId="27CCDD45" w14:textId="6C535DA9"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19</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Seguridad Pública y Tránsito.</w:t>
      </w:r>
    </w:p>
    <w:p w14:paraId="79516A9E" w14:textId="187D7420"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20</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Servicios Públicos.</w:t>
      </w:r>
    </w:p>
    <w:p w14:paraId="43742556" w14:textId="7DF2D085"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21</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Medio Ambiente.</w:t>
      </w:r>
    </w:p>
    <w:p w14:paraId="59C92A7C" w14:textId="50F32C19"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22</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Cultura y Turismo.</w:t>
      </w:r>
    </w:p>
    <w:p w14:paraId="156FB383" w14:textId="251B48D3"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23</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Educación.</w:t>
      </w:r>
    </w:p>
    <w:p w14:paraId="7946619B" w14:textId="6A671E06"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24</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Gobernación.</w:t>
      </w:r>
    </w:p>
    <w:p w14:paraId="1C1B8048" w14:textId="3ECA43F0"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25</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de la Mujer.</w:t>
      </w:r>
    </w:p>
    <w:p w14:paraId="6614FF21" w14:textId="7A186143" w:rsidR="0053592A" w:rsidRPr="005D58F0" w:rsidRDefault="00263B8E" w:rsidP="005D58F0">
      <w:pP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26</w:t>
      </w:r>
      <w:r w:rsidR="003408C9" w:rsidRPr="005D58F0">
        <w:rPr>
          <w:rFonts w:ascii="Palatino Linotype" w:eastAsia="Palatino Linotype" w:hAnsi="Palatino Linotype" w:cs="Palatino Linotype"/>
          <w:i/>
        </w:rPr>
        <w:t>. Dirección</w:t>
      </w:r>
      <w:r w:rsidRPr="005D58F0">
        <w:rPr>
          <w:rFonts w:ascii="Palatino Linotype" w:eastAsia="Palatino Linotype" w:hAnsi="Palatino Linotype" w:cs="Palatino Linotype"/>
          <w:i/>
        </w:rPr>
        <w:t xml:space="preserve"> Jurídica.</w:t>
      </w:r>
    </w:p>
    <w:p w14:paraId="4E8C7EF0" w14:textId="77777777" w:rsidR="0053592A" w:rsidRPr="005D58F0" w:rsidRDefault="0053592A" w:rsidP="005D58F0">
      <w:pPr>
        <w:spacing w:line="360" w:lineRule="auto"/>
        <w:jc w:val="both"/>
        <w:rPr>
          <w:rFonts w:ascii="Palatino Linotype" w:eastAsia="Palatino Linotype" w:hAnsi="Palatino Linotype" w:cs="Palatino Linotype"/>
        </w:rPr>
      </w:pPr>
    </w:p>
    <w:p w14:paraId="7EEE90E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sentido,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pretende conocer las listas de asistencia del personal adscrito a las Direcciones de Administración, Obras Públicas, Desarrollo Metropolitano y Movilidad, Desarrollo Territorial y Urbano, Desarrollo Económico, Desarrollo Social, Seguridad Pública y de Tránsito, Servicios Públicos, Medio Ambiente, Cultura y Turismo, Educación, Gobernación, de la Mujer y Jurídico; así como de los servidores públicos que integran la Unidad de Transparencia, el Instituto Municipal de Cultura Física y Deporte de Zinacantepec y Presidencia.</w:t>
      </w:r>
    </w:p>
    <w:p w14:paraId="213903D2" w14:textId="77777777" w:rsidR="0053592A" w:rsidRPr="005D58F0" w:rsidRDefault="0053592A" w:rsidP="005D58F0">
      <w:pPr>
        <w:spacing w:line="360" w:lineRule="auto"/>
        <w:jc w:val="both"/>
        <w:rPr>
          <w:rFonts w:ascii="Palatino Linotype" w:eastAsia="Palatino Linotype" w:hAnsi="Palatino Linotype" w:cs="Palatino Linotype"/>
        </w:rPr>
      </w:pPr>
    </w:p>
    <w:p w14:paraId="2354615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Respecto de las listas de asistencia, la Ley del Trabajo de los Servidores Públicos del Estado y Municipios señala que: </w:t>
      </w:r>
    </w:p>
    <w:p w14:paraId="7726F61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59.</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i/>
          <w:sz w:val="22"/>
          <w:szCs w:val="22"/>
          <w:u w:val="single"/>
        </w:rPr>
        <w:t>Jornada de trabajo es el tiempo durante el cual el servidor público está a disposición de la institución pública para prestar sus servicios</w:t>
      </w:r>
      <w:r w:rsidRPr="005D58F0">
        <w:rPr>
          <w:rFonts w:ascii="Palatino Linotype" w:eastAsia="Palatino Linotype" w:hAnsi="Palatino Linotype" w:cs="Palatino Linotype"/>
          <w:i/>
          <w:sz w:val="22"/>
          <w:szCs w:val="22"/>
        </w:rPr>
        <w:t xml:space="preserve">. El horario de trabajo será determinado conforme a las necesidades del servicio de la institución pública o dependencia, de acuerdo a lo estipulado en las condiciones generales de trabajo, sin que exceda los máximos legales. </w:t>
      </w:r>
    </w:p>
    <w:p w14:paraId="2CBC7028"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54277C3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ARTÍCULO 60. </w:t>
      </w:r>
      <w:r w:rsidRPr="005D58F0">
        <w:rPr>
          <w:rFonts w:ascii="Palatino Linotype" w:eastAsia="Palatino Linotype" w:hAnsi="Palatino Linotype" w:cs="Palatino Linotype"/>
          <w:i/>
          <w:sz w:val="22"/>
          <w:szCs w:val="22"/>
        </w:rPr>
        <w:t xml:space="preserve">La jornada de trabajo puede ser diurna, nocturna o mixta, conforme a lo siguiente: </w:t>
      </w:r>
    </w:p>
    <w:p w14:paraId="09D5CB23"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I. Diurna, la comprendida entre las seis y las veinte horas; </w:t>
      </w:r>
    </w:p>
    <w:p w14:paraId="69DEC02D"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II. Nocturna, la comprendida entre las veinte y las seis horas; y </w:t>
      </w:r>
    </w:p>
    <w:p w14:paraId="217F5C9C"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III. Mixta, la que comprenda períodos de tiempo de las jornadas diurna y nocturna, siempre que el período nocturno sea menor de tres horas y media, pues en caso contrario, se considerará como jornada nocturna.</w:t>
      </w:r>
    </w:p>
    <w:p w14:paraId="2E10937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88.</w:t>
      </w:r>
      <w:r w:rsidRPr="005D58F0">
        <w:rPr>
          <w:rFonts w:ascii="Palatino Linotype" w:eastAsia="Palatino Linotype" w:hAnsi="Palatino Linotype" w:cs="Palatino Linotype"/>
          <w:i/>
          <w:sz w:val="22"/>
          <w:szCs w:val="22"/>
        </w:rPr>
        <w:t xml:space="preserve"> Son obligaciones de los servidores públicos:</w:t>
      </w:r>
    </w:p>
    <w:p w14:paraId="4CF6A21C"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2CB5F081"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III</w:t>
      </w:r>
      <w:r w:rsidRPr="005D58F0">
        <w:rPr>
          <w:rFonts w:ascii="Palatino Linotype" w:eastAsia="Palatino Linotype" w:hAnsi="Palatino Linotype" w:cs="Palatino Linotype"/>
          <w:i/>
          <w:sz w:val="22"/>
          <w:szCs w:val="22"/>
        </w:rPr>
        <w:t>.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5AD840A8"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353544EC"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lastRenderedPageBreak/>
        <w:t>ARTÍCULO 220 K.-</w:t>
      </w:r>
      <w:r w:rsidRPr="005D58F0">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57A1EE0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7A3613CE"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III</w:t>
      </w:r>
      <w:r w:rsidRPr="005D58F0">
        <w:rPr>
          <w:rFonts w:ascii="Palatino Linotype" w:eastAsia="Palatino Linotype" w:hAnsi="Palatino Linotype" w:cs="Palatino Linotype"/>
          <w:i/>
          <w:sz w:val="22"/>
          <w:szCs w:val="22"/>
        </w:rPr>
        <w:t>. Controles de asistencia o la información magnética o electrónica de asistencia de los servidores públicos;</w:t>
      </w:r>
    </w:p>
    <w:p w14:paraId="07A2B0B0"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0761045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De los artículos adscritos se advierte que:</w:t>
      </w:r>
    </w:p>
    <w:p w14:paraId="2FEF49A1" w14:textId="77777777" w:rsidR="0053592A" w:rsidRPr="005D58F0" w:rsidRDefault="00263B8E" w:rsidP="005D58F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Debe haber un horario de trabajo, el cual, será determinado conforme a las necesidades del servicio,</w:t>
      </w:r>
      <w:r w:rsidRPr="005D58F0">
        <w:t xml:space="preserve"> ello, </w:t>
      </w:r>
      <w:r w:rsidRPr="005D58F0">
        <w:rPr>
          <w:rFonts w:ascii="Palatino Linotype" w:eastAsia="Palatino Linotype" w:hAnsi="Palatino Linotype" w:cs="Palatino Linotype"/>
        </w:rPr>
        <w:t xml:space="preserve">atendiendo a las funciones y actividades de la propia institución. </w:t>
      </w:r>
    </w:p>
    <w:p w14:paraId="09E873CB" w14:textId="77777777" w:rsidR="0053592A" w:rsidRPr="005D58F0" w:rsidRDefault="00263B8E" w:rsidP="005D58F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Que es una obligación de los servidores públicos asistir a sus labores y, obligación de los sujetos obligados conservar los controles de asistencia.</w:t>
      </w:r>
    </w:p>
    <w:p w14:paraId="35AEDF1B" w14:textId="77777777" w:rsidR="0053592A" w:rsidRPr="005D58F0" w:rsidRDefault="0053592A" w:rsidP="005D58F0">
      <w:pPr>
        <w:spacing w:line="360" w:lineRule="auto"/>
        <w:jc w:val="both"/>
        <w:rPr>
          <w:rFonts w:ascii="Palatino Linotype" w:eastAsia="Palatino Linotype" w:hAnsi="Palatino Linotype" w:cs="Palatino Linotype"/>
        </w:rPr>
      </w:pPr>
    </w:p>
    <w:p w14:paraId="10B1D6AB"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consecuencia, se logra acreditar la existencia de atribuciones a cargo del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para generar, administrar y poseer el soporte documental en que obren los controles de asistencia de los servidores públicos de sus Direcciones.</w:t>
      </w:r>
    </w:p>
    <w:p w14:paraId="11851905" w14:textId="77777777" w:rsidR="0053592A" w:rsidRPr="005D58F0" w:rsidRDefault="0053592A" w:rsidP="005D58F0">
      <w:pPr>
        <w:spacing w:line="360" w:lineRule="auto"/>
        <w:jc w:val="both"/>
        <w:rPr>
          <w:rFonts w:ascii="Palatino Linotype" w:eastAsia="Palatino Linotype" w:hAnsi="Palatino Linotype" w:cs="Palatino Linotype"/>
        </w:rPr>
      </w:pPr>
    </w:p>
    <w:p w14:paraId="3A1D7F74"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Ahora bien, es importante señalar que quien dio respuesta fue la Dirección de Administración, la cual, se considera es la competente para responder, ello, en términos del Reglamento Orgánico Municipal de Zinacantepec 2022:</w:t>
      </w:r>
    </w:p>
    <w:p w14:paraId="18AF462E" w14:textId="77777777" w:rsidR="0053592A" w:rsidRPr="005D58F0" w:rsidRDefault="0053592A" w:rsidP="005D58F0">
      <w:pPr>
        <w:spacing w:line="360" w:lineRule="auto"/>
        <w:jc w:val="both"/>
        <w:rPr>
          <w:rFonts w:ascii="Palatino Linotype" w:eastAsia="Palatino Linotype" w:hAnsi="Palatino Linotype" w:cs="Palatino Linotype"/>
          <w:sz w:val="22"/>
          <w:szCs w:val="22"/>
        </w:rPr>
      </w:pPr>
    </w:p>
    <w:p w14:paraId="17241FAA"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52.</w:t>
      </w:r>
      <w:r w:rsidRPr="005D58F0">
        <w:rPr>
          <w:rFonts w:ascii="Palatino Linotype" w:eastAsia="Palatino Linotype" w:hAnsi="Palatino Linotype" w:cs="Palatino Linotype"/>
          <w:i/>
          <w:sz w:val="22"/>
          <w:szCs w:val="22"/>
        </w:rPr>
        <w:t xml:space="preserve">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5FDF8523"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1D037B64"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53.</w:t>
      </w:r>
      <w:r w:rsidRPr="005D58F0">
        <w:rPr>
          <w:rFonts w:ascii="Palatino Linotype" w:eastAsia="Palatino Linotype" w:hAnsi="Palatino Linotype" w:cs="Palatino Linotype"/>
          <w:i/>
          <w:sz w:val="22"/>
          <w:szCs w:val="22"/>
        </w:rPr>
        <w:t xml:space="preserve"> Además de las previstas en las disposiciones normativas y administrativas en la materia, la Dirección de Administración tiene las siguientes funciones y atribuciones:</w:t>
      </w:r>
    </w:p>
    <w:p w14:paraId="29A15F7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lastRenderedPageBreak/>
        <w:t>…</w:t>
      </w:r>
    </w:p>
    <w:p w14:paraId="2ED8B558"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VI. </w:t>
      </w:r>
      <w:r w:rsidRPr="005D58F0">
        <w:rPr>
          <w:rFonts w:ascii="Palatino Linotype" w:eastAsia="Palatino Linotype" w:hAnsi="Palatino Linotype" w:cs="Palatino Linotype"/>
          <w:i/>
          <w:sz w:val="22"/>
          <w:szCs w:val="22"/>
        </w:rPr>
        <w:t>Desarrollar un registro para el control de asistencias, nombramientos, remociones, renuncias, licencias, cambios de adscripción, promociones, incapacidades, vacaciones, días no laborables, y demás días de inconsistencia en los Servidores Públicos Municipales;</w:t>
      </w:r>
    </w:p>
    <w:p w14:paraId="4AB1CBA2" w14:textId="77777777" w:rsidR="0053592A" w:rsidRPr="005D58F0" w:rsidRDefault="00263B8E" w:rsidP="005D58F0">
      <w:pPr>
        <w:ind w:left="851" w:right="899"/>
        <w:jc w:val="both"/>
        <w:rPr>
          <w:i/>
        </w:rPr>
      </w:pPr>
      <w:r w:rsidRPr="005D58F0">
        <w:rPr>
          <w:i/>
        </w:rPr>
        <w:t>…</w:t>
      </w:r>
    </w:p>
    <w:p w14:paraId="21DDD773" w14:textId="77777777" w:rsidR="0053592A" w:rsidRPr="005D58F0" w:rsidRDefault="0053592A" w:rsidP="005D58F0">
      <w:pPr>
        <w:spacing w:line="360" w:lineRule="auto"/>
        <w:jc w:val="both"/>
        <w:rPr>
          <w:rFonts w:ascii="Palatino Linotype" w:eastAsia="Palatino Linotype" w:hAnsi="Palatino Linotype" w:cs="Palatino Linotype"/>
        </w:rPr>
      </w:pPr>
    </w:p>
    <w:p w14:paraId="569F2933"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sentido, observamos que efectivamente se pronunció el área competente señalando que: los mandos medios y directores no se les generan listas de asistencia, toda vez que son personal de confianza. </w:t>
      </w:r>
    </w:p>
    <w:p w14:paraId="32FC5BE0" w14:textId="77777777" w:rsidR="0053592A" w:rsidRPr="005D58F0" w:rsidRDefault="0053592A" w:rsidP="005D58F0">
      <w:pPr>
        <w:spacing w:line="360" w:lineRule="auto"/>
        <w:jc w:val="both"/>
        <w:rPr>
          <w:rFonts w:ascii="Palatino Linotype" w:eastAsia="Palatino Linotype" w:hAnsi="Palatino Linotype" w:cs="Palatino Linotype"/>
        </w:rPr>
      </w:pPr>
    </w:p>
    <w:p w14:paraId="165D6BC1" w14:textId="41F5217F"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Al respecto, cabe señalar que la Ley del Trabajo de los Servidores Públicos del Estado y Municipios </w:t>
      </w:r>
      <w:proofErr w:type="gramStart"/>
      <w:r w:rsidR="003408C9" w:rsidRPr="005D58F0">
        <w:rPr>
          <w:rFonts w:ascii="Palatino Linotype" w:eastAsia="Palatino Linotype" w:hAnsi="Palatino Linotype" w:cs="Palatino Linotype"/>
        </w:rPr>
        <w:t>refiere</w:t>
      </w:r>
      <w:proofErr w:type="gramEnd"/>
      <w:r w:rsidRPr="005D58F0">
        <w:rPr>
          <w:rFonts w:ascii="Palatino Linotype" w:eastAsia="Palatino Linotype" w:hAnsi="Palatino Linotype" w:cs="Palatino Linotype"/>
        </w:rPr>
        <w:t>:</w:t>
      </w:r>
    </w:p>
    <w:p w14:paraId="18FB9A9D" w14:textId="77777777" w:rsidR="0053592A" w:rsidRPr="005D58F0" w:rsidRDefault="0053592A" w:rsidP="005D58F0">
      <w:pPr>
        <w:spacing w:line="360" w:lineRule="auto"/>
        <w:jc w:val="both"/>
        <w:rPr>
          <w:rFonts w:ascii="Palatino Linotype" w:eastAsia="Palatino Linotype" w:hAnsi="Palatino Linotype" w:cs="Palatino Linotype"/>
        </w:rPr>
      </w:pPr>
    </w:p>
    <w:p w14:paraId="0767482A"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8.</w:t>
      </w:r>
      <w:r w:rsidRPr="005D58F0">
        <w:rPr>
          <w:rFonts w:ascii="Palatino Linotype" w:eastAsia="Palatino Linotype" w:hAnsi="Palatino Linotype" w:cs="Palatino Linotype"/>
          <w:i/>
          <w:sz w:val="22"/>
          <w:szCs w:val="22"/>
        </w:rPr>
        <w:t xml:space="preserve"> Se entiende por servidores públicos de confianza: </w:t>
      </w:r>
    </w:p>
    <w:p w14:paraId="20481F8B"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09EED863"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2AF00CFB"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562EC9CE"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II. Aquéllos que tengan esa calidad en razón de la naturaleza de las funciones que desempeñen y no de la designación que se dé al puesto. </w:t>
      </w:r>
    </w:p>
    <w:p w14:paraId="5C00CEC2"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2608CA09"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Son funciones de confianza: las de dirección,…</w:t>
      </w:r>
    </w:p>
    <w:p w14:paraId="3A3B81C7"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17EE8636"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10.-</w:t>
      </w:r>
      <w:r w:rsidRPr="005D58F0">
        <w:rPr>
          <w:rFonts w:ascii="Palatino Linotype" w:eastAsia="Palatino Linotype" w:hAnsi="Palatino Linotype" w:cs="Palatino Linotype"/>
          <w:i/>
          <w:sz w:val="22"/>
          <w:szCs w:val="22"/>
        </w:rPr>
        <w:t xml:space="preserve"> Los servidores públicos de confianza únicamente quedan comprendidos en el presente ordenamiento en lo que hace a las medidas de protección al salario y los beneficios de la seguridad social que otorgue el Estado.</w:t>
      </w:r>
    </w:p>
    <w:p w14:paraId="349F9411"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690030D5" w14:textId="77777777" w:rsidR="0053592A" w:rsidRPr="005D58F0" w:rsidRDefault="0053592A" w:rsidP="005D58F0">
      <w:pPr>
        <w:ind w:left="851" w:right="899"/>
        <w:jc w:val="both"/>
        <w:rPr>
          <w:rFonts w:ascii="Palatino Linotype" w:eastAsia="Palatino Linotype" w:hAnsi="Palatino Linotype" w:cs="Palatino Linotype"/>
          <w:i/>
          <w:sz w:val="22"/>
          <w:szCs w:val="22"/>
        </w:rPr>
      </w:pPr>
    </w:p>
    <w:p w14:paraId="475E415B"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221.</w:t>
      </w:r>
      <w:r w:rsidRPr="005D58F0">
        <w:rPr>
          <w:rFonts w:ascii="Palatino Linotype" w:eastAsia="Palatino Linotype" w:hAnsi="Palatino Linotype" w:cs="Palatino Linotype"/>
          <w:i/>
          <w:sz w:val="22"/>
          <w:szCs w:val="22"/>
        </w:rPr>
        <w:t xml:space="preserve">- El Tribunal o la Sala eximirán de la carga de la prueba al servidor público, cuando por otros medios esté en posibilidad de llegar al conocimiento de los hechos, salvo lo relativo al reclamo de tiempo extraordinario. (…) En todo caso, </w:t>
      </w:r>
      <w:r w:rsidRPr="005D58F0">
        <w:rPr>
          <w:rFonts w:ascii="Palatino Linotype" w:eastAsia="Palatino Linotype" w:hAnsi="Palatino Linotype" w:cs="Palatino Linotype"/>
          <w:i/>
          <w:sz w:val="22"/>
          <w:szCs w:val="22"/>
        </w:rPr>
        <w:lastRenderedPageBreak/>
        <w:t>corresponderá a las instituciones públicas o dependencias probar su dicho cuando exista controversia sobre:</w:t>
      </w:r>
    </w:p>
    <w:p w14:paraId="05FE2212"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016DB022" w14:textId="77777777" w:rsidR="0053592A" w:rsidRPr="005D58F0" w:rsidRDefault="00263B8E"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i/>
          <w:sz w:val="22"/>
          <w:szCs w:val="22"/>
        </w:rPr>
        <w:t xml:space="preserve">VIII. Duración de la Jornada de trabajo, </w:t>
      </w:r>
      <w:r w:rsidRPr="005D58F0">
        <w:rPr>
          <w:rFonts w:ascii="Palatino Linotype" w:eastAsia="Palatino Linotype" w:hAnsi="Palatino Linotype" w:cs="Palatino Linotype"/>
          <w:b/>
          <w:i/>
          <w:sz w:val="22"/>
          <w:szCs w:val="22"/>
        </w:rPr>
        <w:t>salvo se trate de servidores públicos de confianza;</w:t>
      </w:r>
    </w:p>
    <w:p w14:paraId="680AC68A" w14:textId="77777777" w:rsidR="0053592A" w:rsidRPr="005D58F0" w:rsidRDefault="00263B8E"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006F9333" w14:textId="77777777" w:rsidR="0053592A" w:rsidRPr="005D58F0" w:rsidRDefault="0053592A" w:rsidP="005D58F0">
      <w:pPr>
        <w:spacing w:line="360" w:lineRule="auto"/>
        <w:jc w:val="both"/>
        <w:rPr>
          <w:rFonts w:ascii="Palatino Linotype" w:eastAsia="Palatino Linotype" w:hAnsi="Palatino Linotype" w:cs="Palatino Linotype"/>
        </w:rPr>
      </w:pPr>
    </w:p>
    <w:p w14:paraId="3995C982" w14:textId="42555057" w:rsidR="005C5028"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rPr>
        <w:t xml:space="preserve">De los artículos trascritos obtenemos que los denominados trabajadores de confianza dentro de los cuales se encuentran los mandos medios y superiores pueden no estar sujetos a una jornada de trabajo fija </w:t>
      </w:r>
      <w:r w:rsidR="001B2FBA" w:rsidRPr="005D58F0">
        <w:rPr>
          <w:rFonts w:ascii="Palatino Linotype" w:eastAsia="Palatino Linotype" w:hAnsi="Palatino Linotype" w:cs="Palatino Linotype"/>
        </w:rPr>
        <w:t>y,</w:t>
      </w:r>
      <w:r w:rsidRPr="005D58F0">
        <w:rPr>
          <w:rFonts w:ascii="Palatino Linotype" w:eastAsia="Palatino Linotype" w:hAnsi="Palatino Linotype" w:cs="Palatino Linotype"/>
        </w:rPr>
        <w:t xml:space="preserve"> por ende, no contar con listas de asistencia, como lo sostiene el área competente del </w:t>
      </w:r>
      <w:r w:rsidRPr="005D58F0">
        <w:rPr>
          <w:rFonts w:ascii="Palatino Linotype" w:eastAsia="Palatino Linotype" w:hAnsi="Palatino Linotype" w:cs="Palatino Linotype"/>
          <w:b/>
        </w:rPr>
        <w:t>SUJETO OBLIGADO.</w:t>
      </w:r>
    </w:p>
    <w:p w14:paraId="17FECD01" w14:textId="77777777" w:rsidR="00E70EF2" w:rsidRPr="005D58F0" w:rsidRDefault="00E70EF2" w:rsidP="005D58F0">
      <w:pPr>
        <w:spacing w:line="360" w:lineRule="auto"/>
        <w:jc w:val="both"/>
        <w:rPr>
          <w:rFonts w:ascii="Palatino Linotype" w:eastAsia="Palatino Linotype" w:hAnsi="Palatino Linotype" w:cs="Palatino Linotype"/>
          <w:b/>
        </w:rPr>
      </w:pPr>
    </w:p>
    <w:p w14:paraId="42A323AB" w14:textId="5FE9F5D9" w:rsidR="00E70EF2" w:rsidRPr="005D58F0" w:rsidRDefault="001B2FBA"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Sin embargo</w:t>
      </w:r>
      <w:r w:rsidR="00E70EF2" w:rsidRPr="005D58F0">
        <w:rPr>
          <w:rFonts w:ascii="Palatino Linotype" w:eastAsia="Palatino Linotype" w:hAnsi="Palatino Linotype" w:cs="Palatino Linotype"/>
          <w:bCs/>
        </w:rPr>
        <w:t xml:space="preserve">, el Manual General de Organización de la Administración Pública Municipal de Zinacantepec 2019-2021, en el numeral 1.6 correspondiente a la Dirección de Administración, dispone que entre sus funciones se encuentra “desarrollar un sistema para el registro y </w:t>
      </w:r>
      <w:r w:rsidR="00E70EF2" w:rsidRPr="005D58F0">
        <w:rPr>
          <w:rFonts w:ascii="Palatino Linotype" w:eastAsia="Palatino Linotype" w:hAnsi="Palatino Linotype" w:cs="Palatino Linotype"/>
          <w:b/>
        </w:rPr>
        <w:t>control de asistencias</w:t>
      </w:r>
      <w:r w:rsidR="00E70EF2" w:rsidRPr="005D58F0">
        <w:rPr>
          <w:rFonts w:ascii="Palatino Linotype" w:eastAsia="Palatino Linotype" w:hAnsi="Palatino Linotype" w:cs="Palatino Linotype"/>
          <w:bCs/>
        </w:rPr>
        <w:t>, nombramientos, remociones, renuncias, licencias, cambios de adscripción, promociones, incapacidades, vacaciones, días no laborables, y demás días de inconsistencias en los servidores públicos municipales”.</w:t>
      </w:r>
      <w:r w:rsidR="00E70EF2" w:rsidRPr="005D58F0">
        <w:rPr>
          <w:rFonts w:ascii="Palatino Linotype" w:hAnsi="Palatino Linotype"/>
        </w:rPr>
        <w:t xml:space="preserve"> </w:t>
      </w:r>
      <w:r w:rsidRPr="005D58F0">
        <w:rPr>
          <w:rFonts w:ascii="Palatino Linotype" w:hAnsi="Palatino Linotype"/>
        </w:rPr>
        <w:t>Así se advierte que no hay distinción alguna, p</w:t>
      </w:r>
      <w:r w:rsidR="00E70EF2" w:rsidRPr="005D58F0">
        <w:rPr>
          <w:rFonts w:ascii="Palatino Linotype" w:eastAsia="Palatino Linotype" w:hAnsi="Palatino Linotype" w:cs="Palatino Linotype"/>
          <w:bCs/>
        </w:rPr>
        <w:t xml:space="preserve">or lo que, en caso de que </w:t>
      </w:r>
      <w:r w:rsidRPr="005D58F0">
        <w:rPr>
          <w:rFonts w:ascii="Palatino Linotype" w:eastAsia="Palatino Linotype" w:hAnsi="Palatino Linotype" w:cs="Palatino Linotype"/>
          <w:bCs/>
        </w:rPr>
        <w:t>haya</w:t>
      </w:r>
      <w:r w:rsidR="00E70EF2" w:rsidRPr="005D58F0">
        <w:rPr>
          <w:rFonts w:ascii="Palatino Linotype" w:eastAsia="Palatino Linotype" w:hAnsi="Palatino Linotype" w:cs="Palatino Linotype"/>
          <w:bCs/>
        </w:rPr>
        <w:t xml:space="preserve"> personal que est</w:t>
      </w:r>
      <w:r w:rsidRPr="005D58F0">
        <w:rPr>
          <w:rFonts w:ascii="Palatino Linotype" w:eastAsia="Palatino Linotype" w:hAnsi="Palatino Linotype" w:cs="Palatino Linotype"/>
          <w:bCs/>
        </w:rPr>
        <w:t>é</w:t>
      </w:r>
      <w:r w:rsidR="00E70EF2" w:rsidRPr="005D58F0">
        <w:rPr>
          <w:rFonts w:ascii="Palatino Linotype" w:eastAsia="Palatino Linotype" w:hAnsi="Palatino Linotype" w:cs="Palatino Linotype"/>
          <w:bCs/>
        </w:rPr>
        <w:t xml:space="preserve"> exceptuado de realizar tal registro, el </w:t>
      </w:r>
      <w:r w:rsidR="00E70EF2" w:rsidRPr="005D58F0">
        <w:rPr>
          <w:rFonts w:ascii="Palatino Linotype" w:eastAsia="Palatino Linotype" w:hAnsi="Palatino Linotype" w:cs="Palatino Linotype"/>
          <w:b/>
        </w:rPr>
        <w:t>SUJETO OBLIGADO</w:t>
      </w:r>
      <w:r w:rsidR="00E70EF2" w:rsidRPr="005D58F0">
        <w:rPr>
          <w:rFonts w:ascii="Palatino Linotype" w:eastAsia="Palatino Linotype" w:hAnsi="Palatino Linotype" w:cs="Palatino Linotype"/>
          <w:bCs/>
        </w:rPr>
        <w:t xml:space="preserve"> deberá de hacerlo del conocimiento de</w:t>
      </w:r>
      <w:r w:rsidRPr="005D58F0">
        <w:rPr>
          <w:rFonts w:ascii="Palatino Linotype" w:eastAsia="Palatino Linotype" w:hAnsi="Palatino Linotype" w:cs="Palatino Linotype"/>
          <w:bCs/>
        </w:rPr>
        <w:t xml:space="preserve"> a </w:t>
      </w:r>
      <w:r w:rsidRPr="005D58F0">
        <w:rPr>
          <w:rFonts w:ascii="Palatino Linotype" w:eastAsia="Palatino Linotype" w:hAnsi="Palatino Linotype" w:cs="Palatino Linotype"/>
          <w:b/>
        </w:rPr>
        <w:t>LA</w:t>
      </w:r>
      <w:r w:rsidR="00E70EF2" w:rsidRPr="005D58F0">
        <w:rPr>
          <w:rFonts w:ascii="Palatino Linotype" w:eastAsia="Palatino Linotype" w:hAnsi="Palatino Linotype" w:cs="Palatino Linotype"/>
          <w:bCs/>
        </w:rPr>
        <w:t xml:space="preserve"> </w:t>
      </w:r>
      <w:r w:rsidR="00E70EF2" w:rsidRPr="005D58F0">
        <w:rPr>
          <w:rFonts w:ascii="Palatino Linotype" w:eastAsia="Palatino Linotype" w:hAnsi="Palatino Linotype" w:cs="Palatino Linotype"/>
          <w:b/>
        </w:rPr>
        <w:t>RECURRENTE</w:t>
      </w:r>
      <w:r w:rsidR="00E70EF2" w:rsidRPr="005D58F0">
        <w:rPr>
          <w:rFonts w:ascii="Palatino Linotype" w:eastAsia="Palatino Linotype" w:hAnsi="Palatino Linotype" w:cs="Palatino Linotype"/>
          <w:bCs/>
        </w:rPr>
        <w:t>.</w:t>
      </w:r>
    </w:p>
    <w:p w14:paraId="01F3D7D0" w14:textId="77777777" w:rsidR="005C5028" w:rsidRPr="005D58F0" w:rsidRDefault="005C5028" w:rsidP="005D58F0">
      <w:pPr>
        <w:spacing w:line="360" w:lineRule="auto"/>
        <w:jc w:val="both"/>
        <w:rPr>
          <w:rFonts w:ascii="Palatino Linotype" w:eastAsia="Palatino Linotype" w:hAnsi="Palatino Linotype" w:cs="Palatino Linotype"/>
          <w:b/>
        </w:rPr>
      </w:pPr>
    </w:p>
    <w:p w14:paraId="581ADB13" w14:textId="3076D3AE" w:rsidR="00E70EF2"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rPr>
        <w:t xml:space="preserve">En consecuencia, se tiene al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realizando pronunciamiento respecto de los mandos medios y superiores de las Direcciones del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xml:space="preserve">, por lo que </w:t>
      </w:r>
      <w:r w:rsidRPr="005D58F0">
        <w:rPr>
          <w:rFonts w:ascii="Palatino Linotype" w:eastAsia="Palatino Linotype" w:hAnsi="Palatino Linotype" w:cs="Palatino Linotype"/>
          <w:b/>
        </w:rPr>
        <w:t>se modifica la respuesta</w:t>
      </w:r>
      <w:r w:rsidRPr="005D58F0">
        <w:rPr>
          <w:rFonts w:ascii="Palatino Linotype" w:eastAsia="Palatino Linotype" w:hAnsi="Palatino Linotype" w:cs="Palatino Linotype"/>
        </w:rPr>
        <w:t xml:space="preserve"> otorgada y </w:t>
      </w:r>
      <w:r w:rsidRPr="005D58F0">
        <w:rPr>
          <w:rFonts w:ascii="Palatino Linotype" w:eastAsia="Palatino Linotype" w:hAnsi="Palatino Linotype" w:cs="Palatino Linotype"/>
          <w:b/>
        </w:rPr>
        <w:t>se ordena</w:t>
      </w:r>
      <w:r w:rsidRPr="005D58F0">
        <w:rPr>
          <w:rFonts w:ascii="Palatino Linotype" w:eastAsia="Palatino Linotype" w:hAnsi="Palatino Linotype" w:cs="Palatino Linotype"/>
        </w:rPr>
        <w:t xml:space="preserve">, previa búsqueda exhaustiva, </w:t>
      </w:r>
      <w:r w:rsidRPr="005D58F0">
        <w:rPr>
          <w:rFonts w:ascii="Palatino Linotype" w:eastAsia="Palatino Linotype" w:hAnsi="Palatino Linotype" w:cs="Palatino Linotype"/>
          <w:b/>
        </w:rPr>
        <w:t>entregue de ser procedente en versión pública la</w:t>
      </w:r>
      <w:r w:rsidR="001B2FBA" w:rsidRPr="005D58F0">
        <w:rPr>
          <w:rFonts w:ascii="Palatino Linotype" w:eastAsia="Palatino Linotype" w:hAnsi="Palatino Linotype" w:cs="Palatino Linotype"/>
          <w:b/>
        </w:rPr>
        <w:t>s</w:t>
      </w:r>
      <w:r w:rsidRPr="005D58F0">
        <w:rPr>
          <w:rFonts w:ascii="Palatino Linotype" w:eastAsia="Palatino Linotype" w:hAnsi="Palatino Linotype" w:cs="Palatino Linotype"/>
          <w:b/>
        </w:rPr>
        <w:t xml:space="preserve"> lista</w:t>
      </w:r>
      <w:r w:rsidR="001B2FBA" w:rsidRPr="005D58F0">
        <w:rPr>
          <w:rFonts w:ascii="Palatino Linotype" w:eastAsia="Palatino Linotype" w:hAnsi="Palatino Linotype" w:cs="Palatino Linotype"/>
          <w:b/>
        </w:rPr>
        <w:t>s</w:t>
      </w:r>
      <w:r w:rsidRPr="005D58F0">
        <w:rPr>
          <w:rFonts w:ascii="Palatino Linotype" w:eastAsia="Palatino Linotype" w:hAnsi="Palatino Linotype" w:cs="Palatino Linotype"/>
          <w:b/>
        </w:rPr>
        <w:t xml:space="preserve"> de </w:t>
      </w:r>
      <w:r w:rsidRPr="005D58F0">
        <w:rPr>
          <w:rFonts w:ascii="Palatino Linotype" w:eastAsia="Palatino Linotype" w:hAnsi="Palatino Linotype" w:cs="Palatino Linotype"/>
          <w:b/>
        </w:rPr>
        <w:lastRenderedPageBreak/>
        <w:t>asistencia de todo el personal adscrito a todas las direcciones del SUJETO OBLIGADO que no se encuentren en las categorías de mandos medios y superiores del 1 de enero al 31 de diciembre de 2022</w:t>
      </w:r>
      <w:r w:rsidR="00E70EF2" w:rsidRPr="005D58F0">
        <w:rPr>
          <w:rFonts w:ascii="Palatino Linotype" w:eastAsia="Palatino Linotype" w:hAnsi="Palatino Linotype" w:cs="Palatino Linotype"/>
          <w:b/>
        </w:rPr>
        <w:t>, o en su caso, el documento donde conste que estén exceptuados de registrar su asistencia.</w:t>
      </w:r>
    </w:p>
    <w:p w14:paraId="7B10CCE3" w14:textId="77777777" w:rsidR="001B2FBA" w:rsidRPr="005D58F0" w:rsidRDefault="001B2FBA" w:rsidP="005D58F0">
      <w:pPr>
        <w:spacing w:line="360" w:lineRule="auto"/>
        <w:jc w:val="both"/>
        <w:rPr>
          <w:rFonts w:ascii="Palatino Linotype" w:eastAsia="Palatino Linotype" w:hAnsi="Palatino Linotype" w:cs="Palatino Linotype"/>
          <w:b/>
        </w:rPr>
      </w:pPr>
    </w:p>
    <w:p w14:paraId="316CF6C4" w14:textId="51460586" w:rsidR="0053592A" w:rsidRPr="005D58F0" w:rsidRDefault="00E70EF2"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Así como el documento que autorice la excepción del registro de asistencia de los mandos medios y superiores adscritos a todas las direcciones del 1 de enero al 31 de diciembre de 2022.</w:t>
      </w:r>
    </w:p>
    <w:p w14:paraId="3C4385A9" w14:textId="77777777" w:rsidR="0053592A" w:rsidRPr="005D58F0" w:rsidRDefault="0053592A" w:rsidP="005D58F0">
      <w:pPr>
        <w:spacing w:line="360" w:lineRule="auto"/>
        <w:ind w:right="18"/>
        <w:jc w:val="both"/>
        <w:rPr>
          <w:rFonts w:ascii="Palatino Linotype" w:eastAsia="Palatino Linotype" w:hAnsi="Palatino Linotype" w:cs="Palatino Linotype"/>
        </w:rPr>
      </w:pPr>
    </w:p>
    <w:p w14:paraId="056B70AD" w14:textId="77777777" w:rsidR="0053592A" w:rsidRPr="005D58F0" w:rsidRDefault="00263B8E" w:rsidP="005D58F0">
      <w:pPr>
        <w:spacing w:line="360" w:lineRule="auto"/>
        <w:ind w:right="18"/>
        <w:jc w:val="both"/>
        <w:rPr>
          <w:rFonts w:ascii="Palatino Linotype" w:eastAsia="Palatino Linotype" w:hAnsi="Palatino Linotype" w:cs="Palatino Linotype"/>
        </w:rPr>
      </w:pPr>
      <w:r w:rsidRPr="005D58F0">
        <w:rPr>
          <w:rFonts w:ascii="Palatino Linotype" w:eastAsia="Palatino Linotype" w:hAnsi="Palatino Linotype" w:cs="Palatino Linotype"/>
        </w:rPr>
        <w:t>Cabe señalar que para la emisión de la versión pública y el Acuerdo de Clasificación respectivo, se deberán observar las directrices señaladas previamente.</w:t>
      </w:r>
    </w:p>
    <w:p w14:paraId="05CE4CE1" w14:textId="77777777" w:rsidR="0053592A" w:rsidRPr="005D58F0" w:rsidRDefault="0053592A" w:rsidP="005D58F0">
      <w:pPr>
        <w:spacing w:line="360" w:lineRule="auto"/>
        <w:ind w:right="18"/>
        <w:jc w:val="both"/>
        <w:rPr>
          <w:rFonts w:ascii="Palatino Linotype" w:eastAsia="Palatino Linotype" w:hAnsi="Palatino Linotype" w:cs="Palatino Linotype"/>
        </w:rPr>
      </w:pPr>
    </w:p>
    <w:p w14:paraId="566817C6"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Por otra parte, de actualizarse el supuesto en el que derivado de la búsqueda exhaustiva y razonable en las áreas competentes, no se localice documento alguno en el que se advierta el origen de lo requerido en la solicitud de información, lo procedente sería emitir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7264DE12"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19.</w:t>
      </w:r>
      <w:r w:rsidRPr="005D58F0">
        <w:rPr>
          <w:rFonts w:ascii="Palatino Linotype" w:eastAsia="Palatino Linotype" w:hAnsi="Palatino Linotype" w:cs="Palatino Linotype"/>
          <w:i/>
          <w:sz w:val="22"/>
          <w:szCs w:val="22"/>
        </w:rPr>
        <w:t xml:space="preserve"> (…)</w:t>
      </w:r>
    </w:p>
    <w:p w14:paraId="22A83BE5"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5D58F0">
        <w:rPr>
          <w:rFonts w:ascii="Palatino Linotype" w:eastAsia="Palatino Linotype" w:hAnsi="Palatino Linotype" w:cs="Palatino Linotype"/>
          <w:i/>
          <w:sz w:val="22"/>
          <w:szCs w:val="22"/>
        </w:rPr>
        <w:t>, debidamente fundado y motivado, en el que detalle las razones del por qué no obra en sus archivos.”</w:t>
      </w:r>
    </w:p>
    <w:p w14:paraId="2B0E94A3"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49.</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Los Comités de Transparencia</w:t>
      </w:r>
      <w:r w:rsidRPr="005D58F0">
        <w:rPr>
          <w:rFonts w:ascii="Palatino Linotype" w:eastAsia="Palatino Linotype" w:hAnsi="Palatino Linotype" w:cs="Palatino Linotype"/>
          <w:i/>
          <w:sz w:val="22"/>
          <w:szCs w:val="22"/>
        </w:rPr>
        <w:t xml:space="preserve"> tendrán las siguientes </w:t>
      </w:r>
      <w:r w:rsidRPr="005D58F0">
        <w:rPr>
          <w:rFonts w:ascii="Palatino Linotype" w:eastAsia="Palatino Linotype" w:hAnsi="Palatino Linotype" w:cs="Palatino Linotype"/>
          <w:b/>
          <w:i/>
          <w:sz w:val="22"/>
          <w:szCs w:val="22"/>
        </w:rPr>
        <w:t>atribuciones</w:t>
      </w:r>
      <w:r w:rsidRPr="005D58F0">
        <w:rPr>
          <w:rFonts w:ascii="Palatino Linotype" w:eastAsia="Palatino Linotype" w:hAnsi="Palatino Linotype" w:cs="Palatino Linotype"/>
          <w:i/>
          <w:sz w:val="22"/>
          <w:szCs w:val="22"/>
        </w:rPr>
        <w:t>:</w:t>
      </w:r>
    </w:p>
    <w:p w14:paraId="6968FFE3"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lastRenderedPageBreak/>
        <w:t>II.</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Confirmar, modificar o revocar las determinaciones que en materia de</w:t>
      </w:r>
      <w:r w:rsidRPr="005D58F0">
        <w:rPr>
          <w:rFonts w:ascii="Palatino Linotype" w:eastAsia="Palatino Linotype" w:hAnsi="Palatino Linotype" w:cs="Palatino Linotype"/>
          <w:i/>
          <w:sz w:val="22"/>
          <w:szCs w:val="22"/>
        </w:rPr>
        <w:t xml:space="preserve"> ampliación del plazo de respuesta, clasificación de la información y </w:t>
      </w:r>
      <w:r w:rsidRPr="005D58F0">
        <w:rPr>
          <w:rFonts w:ascii="Palatino Linotype" w:eastAsia="Palatino Linotype" w:hAnsi="Palatino Linotype" w:cs="Palatino Linotype"/>
          <w:b/>
          <w:i/>
          <w:sz w:val="22"/>
          <w:szCs w:val="22"/>
        </w:rPr>
        <w:t>declaración de inexistencia</w:t>
      </w:r>
      <w:r w:rsidRPr="005D58F0">
        <w:rPr>
          <w:rFonts w:ascii="Palatino Linotype" w:eastAsia="Palatino Linotype" w:hAnsi="Palatino Linotype" w:cs="Palatino Linotype"/>
          <w:i/>
          <w:sz w:val="22"/>
          <w:szCs w:val="22"/>
        </w:rPr>
        <w:t xml:space="preserve"> o de incompetencia realicen los titulares de las áreas de los sujetos obligados;</w:t>
      </w:r>
    </w:p>
    <w:p w14:paraId="7C2D9D06"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XIII</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Dictaminar las declaratorias de inexistencia de la información</w:t>
      </w:r>
      <w:r w:rsidRPr="005D58F0">
        <w:rPr>
          <w:rFonts w:ascii="Palatino Linotype" w:eastAsia="Palatino Linotype" w:hAnsi="Palatino Linotype" w:cs="Palatino Linotype"/>
          <w:i/>
          <w:sz w:val="22"/>
          <w:szCs w:val="22"/>
        </w:rPr>
        <w:t xml:space="preserve"> que les remitan las unidades administrativas y resolver en consecuencia…”</w:t>
      </w:r>
    </w:p>
    <w:p w14:paraId="7CEDEF27"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169</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Cuando la información no se encuentre en los archivos del sujeto obligado, el Comité de Transparencia</w:t>
      </w:r>
      <w:r w:rsidRPr="005D58F0">
        <w:rPr>
          <w:rFonts w:ascii="Palatino Linotype" w:eastAsia="Palatino Linotype" w:hAnsi="Palatino Linotype" w:cs="Palatino Linotype"/>
          <w:i/>
          <w:sz w:val="22"/>
          <w:szCs w:val="22"/>
        </w:rPr>
        <w:t xml:space="preserve">: </w:t>
      </w:r>
    </w:p>
    <w:p w14:paraId="4EFCB4A9"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w:t>
      </w:r>
      <w:r w:rsidRPr="005D58F0">
        <w:rPr>
          <w:rFonts w:ascii="Palatino Linotype" w:eastAsia="Palatino Linotype" w:hAnsi="Palatino Linotype" w:cs="Palatino Linotype"/>
          <w:i/>
          <w:sz w:val="22"/>
          <w:szCs w:val="22"/>
        </w:rPr>
        <w:t xml:space="preserve"> Analizará el caso y tomará las medidas necesarias para localizar la información; </w:t>
      </w:r>
    </w:p>
    <w:p w14:paraId="4FAB9D39"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II</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Expedirá una resolución que confirme la inexistencia del documento</w:t>
      </w:r>
      <w:r w:rsidRPr="005D58F0">
        <w:rPr>
          <w:rFonts w:ascii="Palatino Linotype" w:eastAsia="Palatino Linotype" w:hAnsi="Palatino Linotype" w:cs="Palatino Linotype"/>
          <w:i/>
          <w:sz w:val="22"/>
          <w:szCs w:val="22"/>
        </w:rPr>
        <w:t xml:space="preserve">; </w:t>
      </w:r>
    </w:p>
    <w:p w14:paraId="05BB67C8"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III.</w:t>
      </w:r>
      <w:r w:rsidRPr="005D58F0">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01890F7E"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IV.</w:t>
      </w:r>
      <w:r w:rsidRPr="005D58F0">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02241238"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3CDB9FB9"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508B5615" w14:textId="77777777" w:rsidR="0053592A" w:rsidRPr="005D58F0" w:rsidRDefault="00263B8E" w:rsidP="005D58F0">
      <w:pPr>
        <w:spacing w:before="120" w:after="120"/>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Artículo 170.</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que permitan al solicitante tener la certeza de que se utilizó un criterio de búsqueda exhaustivo</w:t>
      </w:r>
      <w:r w:rsidRPr="005D58F0">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7B05B903" w14:textId="77777777" w:rsidR="004612BE" w:rsidRPr="005D58F0" w:rsidRDefault="004612BE" w:rsidP="005D58F0">
      <w:pPr>
        <w:spacing w:before="120" w:after="120"/>
        <w:ind w:left="851" w:right="902"/>
        <w:jc w:val="both"/>
        <w:rPr>
          <w:rFonts w:ascii="Palatino Linotype" w:eastAsia="Palatino Linotype" w:hAnsi="Palatino Linotype" w:cs="Palatino Linotype"/>
          <w:i/>
          <w:sz w:val="22"/>
          <w:szCs w:val="22"/>
        </w:rPr>
      </w:pPr>
    </w:p>
    <w:p w14:paraId="0C723501"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Dicho de otro modo, deberá procederse a la emisión de una resolución que confirme la inexistencia de la información solicitada por parte del Comité de Transparencia del </w:t>
      </w:r>
      <w:r w:rsidRPr="005D58F0">
        <w:rPr>
          <w:rFonts w:ascii="Palatino Linotype" w:eastAsia="Palatino Linotype" w:hAnsi="Palatino Linotype" w:cs="Palatino Linotype"/>
          <w:b/>
        </w:rPr>
        <w:lastRenderedPageBreak/>
        <w:t>Sujeto Obligado</w:t>
      </w:r>
      <w:r w:rsidRPr="005D58F0">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5D58F0">
        <w:rPr>
          <w:rFonts w:ascii="Palatino Linotype" w:eastAsia="Palatino Linotype" w:hAnsi="Palatino Linotype" w:cs="Palatino Linotype"/>
          <w:b/>
        </w:rPr>
        <w:t>RECURRENTE</w:t>
      </w:r>
      <w:r w:rsidRPr="005D58F0">
        <w:rPr>
          <w:rFonts w:ascii="Palatino Linotype" w:eastAsia="Palatino Linotype" w:hAnsi="Palatino Linotype" w:cs="Palatino Linotype"/>
        </w:rPr>
        <w:t xml:space="preserve"> y comprobar la inexistencia de la información.</w:t>
      </w:r>
    </w:p>
    <w:p w14:paraId="146824E2" w14:textId="77777777" w:rsidR="0053592A" w:rsidRPr="005D58F0" w:rsidRDefault="0053592A" w:rsidP="005D58F0">
      <w:pPr>
        <w:spacing w:line="360" w:lineRule="auto"/>
        <w:jc w:val="both"/>
        <w:rPr>
          <w:rFonts w:ascii="Palatino Linotype" w:eastAsia="Palatino Linotype" w:hAnsi="Palatino Linotype" w:cs="Palatino Linotype"/>
        </w:rPr>
      </w:pPr>
    </w:p>
    <w:p w14:paraId="7A5BAA72" w14:textId="77777777" w:rsidR="0053592A" w:rsidRPr="005D58F0" w:rsidRDefault="00263B8E" w:rsidP="005D58F0">
      <w:pPr>
        <w:spacing w:line="360" w:lineRule="auto"/>
        <w:ind w:right="18"/>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Finalmente, respecto del formato de ampliación de plazo para dar atención a las solicitudes interpuestas que acompañó el </w:t>
      </w:r>
      <w:r w:rsidRPr="005D58F0">
        <w:rPr>
          <w:rFonts w:ascii="Palatino Linotype" w:eastAsia="Palatino Linotype" w:hAnsi="Palatino Linotype" w:cs="Palatino Linotype"/>
          <w:b/>
        </w:rPr>
        <w:t>SUJETO OBLIGADO</w:t>
      </w:r>
      <w:r w:rsidRPr="005D58F0">
        <w:rPr>
          <w:rFonts w:ascii="Palatino Linotype" w:eastAsia="Palatino Linotype" w:hAnsi="Palatino Linotype" w:cs="Palatino Linotype"/>
        </w:rPr>
        <w:t>, se reserva pronunciamiento alguno por no ser el momento procesal oportuno para su presentación.</w:t>
      </w:r>
    </w:p>
    <w:p w14:paraId="75527747" w14:textId="77777777" w:rsidR="005C5028" w:rsidRPr="005D58F0" w:rsidRDefault="005C5028" w:rsidP="005D58F0">
      <w:pPr>
        <w:spacing w:line="360" w:lineRule="auto"/>
        <w:ind w:right="18"/>
        <w:jc w:val="both"/>
        <w:rPr>
          <w:rFonts w:ascii="Palatino Linotype" w:eastAsia="Palatino Linotype" w:hAnsi="Palatino Linotype" w:cs="Palatino Linotype"/>
        </w:rPr>
      </w:pPr>
    </w:p>
    <w:p w14:paraId="3811625D" w14:textId="0DF76C65" w:rsidR="00487EC2" w:rsidRPr="005D58F0" w:rsidRDefault="005C5028"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En ese sentido, se ordena al Sujeto Obligado que haga entrega al recurrente</w:t>
      </w:r>
      <w:r w:rsidR="00487EC2" w:rsidRPr="005D58F0">
        <w:rPr>
          <w:rFonts w:ascii="Palatino Linotype" w:eastAsia="Palatino Linotype" w:hAnsi="Palatino Linotype" w:cs="Palatino Linotype"/>
          <w:bCs/>
        </w:rPr>
        <w:t>:</w:t>
      </w:r>
      <w:r w:rsidRPr="005D58F0">
        <w:rPr>
          <w:rFonts w:ascii="Palatino Linotype" w:eastAsia="Palatino Linotype" w:hAnsi="Palatino Linotype" w:cs="Palatino Linotype"/>
          <w:bCs/>
        </w:rPr>
        <w:t xml:space="preserve"> </w:t>
      </w:r>
    </w:p>
    <w:p w14:paraId="65D330A1" w14:textId="29FF0938" w:rsidR="00487EC2" w:rsidRPr="005D58F0" w:rsidRDefault="00487EC2"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a.</w:t>
      </w:r>
      <w:r w:rsidRPr="005D58F0">
        <w:rPr>
          <w:rFonts w:ascii="Palatino Linotype" w:eastAsia="Palatino Linotype" w:hAnsi="Palatino Linotype" w:cs="Palatino Linotype"/>
          <w:bCs/>
        </w:rPr>
        <w:tab/>
        <w:t>Facturas que den cuenta de los gastos erogados durante el año 2022 por conceptos de gas y mantenimiento de la alberca municipal.</w:t>
      </w:r>
    </w:p>
    <w:p w14:paraId="71FD8F90" w14:textId="77777777" w:rsidR="00487EC2" w:rsidRPr="005D58F0" w:rsidRDefault="00487EC2"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b.</w:t>
      </w:r>
      <w:r w:rsidRPr="005D58F0">
        <w:rPr>
          <w:rFonts w:ascii="Palatino Linotype" w:eastAsia="Palatino Linotype" w:hAnsi="Palatino Linotype" w:cs="Palatino Linotype"/>
          <w:bCs/>
        </w:rPr>
        <w:tab/>
        <w:t>Listas de asistencia de todo el personal adscrito a todas las direcciones del 1 de enero al 31 de diciembre de 2022, que no se encuentren en las categorías de mandos medios y superiores, o en su caso, en documento donde conste que estén exceptuados de registrar su asistencia.</w:t>
      </w:r>
    </w:p>
    <w:p w14:paraId="6EC19FF6" w14:textId="277989EA" w:rsidR="005C5028" w:rsidRPr="005D58F0" w:rsidRDefault="00487EC2" w:rsidP="005D58F0">
      <w:pPr>
        <w:spacing w:line="360" w:lineRule="auto"/>
        <w:jc w:val="both"/>
        <w:rPr>
          <w:rFonts w:ascii="Palatino Linotype" w:eastAsia="Palatino Linotype" w:hAnsi="Palatino Linotype" w:cs="Palatino Linotype"/>
          <w:bCs/>
        </w:rPr>
      </w:pPr>
      <w:r w:rsidRPr="005D58F0">
        <w:rPr>
          <w:rFonts w:ascii="Palatino Linotype" w:eastAsia="Palatino Linotype" w:hAnsi="Palatino Linotype" w:cs="Palatino Linotype"/>
          <w:bCs/>
        </w:rPr>
        <w:t>c.</w:t>
      </w:r>
      <w:r w:rsidRPr="005D58F0">
        <w:rPr>
          <w:rFonts w:ascii="Palatino Linotype" w:eastAsia="Palatino Linotype" w:hAnsi="Palatino Linotype" w:cs="Palatino Linotype"/>
          <w:bCs/>
        </w:rPr>
        <w:tab/>
        <w:t>El documento que autorice la excepción del registro de asistencia de los mandos medios y superiores adscritos a todas las direcciones del 1 de enero al 31 de diciembre de 2022.</w:t>
      </w:r>
    </w:p>
    <w:p w14:paraId="152295B5" w14:textId="77777777" w:rsidR="005C5028" w:rsidRPr="005D58F0" w:rsidRDefault="005C5028" w:rsidP="005D58F0">
      <w:pPr>
        <w:tabs>
          <w:tab w:val="left" w:pos="709"/>
        </w:tabs>
        <w:spacing w:line="360" w:lineRule="auto"/>
        <w:ind w:right="49"/>
        <w:jc w:val="both"/>
        <w:rPr>
          <w:rFonts w:ascii="Palatino Linotype" w:eastAsia="Palatino Linotype" w:hAnsi="Palatino Linotype" w:cs="Palatino Linotype"/>
        </w:rPr>
      </w:pPr>
    </w:p>
    <w:p w14:paraId="6AD6059C" w14:textId="77777777" w:rsidR="005C5028" w:rsidRPr="005D58F0" w:rsidRDefault="005C5028" w:rsidP="005D58F0">
      <w:pPr>
        <w:widowControl w:val="0"/>
        <w:spacing w:line="360" w:lineRule="auto"/>
        <w:jc w:val="both"/>
        <w:rPr>
          <w:rFonts w:ascii="Palatino Linotype" w:eastAsia="Palatino Linotype" w:hAnsi="Palatino Linotype" w:cs="Palatino Linotype"/>
          <w:b/>
          <w:bCs/>
        </w:rPr>
      </w:pPr>
      <w:r w:rsidRPr="005D58F0">
        <w:rPr>
          <w:rFonts w:ascii="Palatino Linotype" w:eastAsia="Palatino Linotype" w:hAnsi="Palatino Linotype" w:cs="Palatino Linotype"/>
          <w:b/>
          <w:bCs/>
        </w:rPr>
        <w:t>Versión Pública</w:t>
      </w:r>
    </w:p>
    <w:p w14:paraId="2FA22F1A" w14:textId="77777777" w:rsidR="005C5028" w:rsidRPr="005D58F0" w:rsidRDefault="005C5028"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este contexto, el hecho de que la información pública solicitada contenga datos </w:t>
      </w:r>
      <w:r w:rsidRPr="005D58F0">
        <w:rPr>
          <w:rFonts w:ascii="Palatino Linotype" w:eastAsia="Palatino Linotype" w:hAnsi="Palatino Linotype" w:cs="Palatino Linotype"/>
        </w:rPr>
        <w:lastRenderedPageBreak/>
        <w:t xml:space="preserve">personales susceptibles de ser protegidos mediante su correcta </w:t>
      </w:r>
      <w:r w:rsidRPr="005D58F0">
        <w:rPr>
          <w:rFonts w:ascii="Palatino Linotype" w:eastAsia="Palatino Linotype" w:hAnsi="Palatino Linotype" w:cs="Palatino Linotype"/>
          <w:b/>
        </w:rPr>
        <w:t>versión pública</w:t>
      </w:r>
      <w:r w:rsidRPr="005D58F0">
        <w:rPr>
          <w:rFonts w:ascii="Palatino Linotype" w:eastAsia="Palatino Linotype" w:hAnsi="Palatino Linotype" w:cs="Palatino Linotype"/>
        </w:rPr>
        <w:t>, ello no implica que esta circunstancia opere en automático, sino que es necesario que el Comité de Transparencia del</w:t>
      </w:r>
      <w:r w:rsidRPr="005D58F0">
        <w:rPr>
          <w:rFonts w:ascii="Palatino Linotype" w:eastAsia="Palatino Linotype" w:hAnsi="Palatino Linotype" w:cs="Palatino Linotype"/>
          <w:b/>
        </w:rPr>
        <w:t xml:space="preserve"> SUJETO OBLIGADO </w:t>
      </w:r>
      <w:r w:rsidRPr="005D58F0">
        <w:rPr>
          <w:rFonts w:ascii="Palatino Linotype" w:eastAsia="Palatino Linotype" w:hAnsi="Palatino Linotype" w:cs="Palatino Linotype"/>
        </w:rPr>
        <w:t>emita el Acuerdo de Clasificación correspondiente.</w:t>
      </w:r>
    </w:p>
    <w:p w14:paraId="7BF5D4FA" w14:textId="77777777" w:rsidR="005C5028" w:rsidRPr="005D58F0" w:rsidRDefault="005C5028" w:rsidP="005D58F0">
      <w:pPr>
        <w:widowControl w:val="0"/>
        <w:spacing w:line="360" w:lineRule="auto"/>
        <w:jc w:val="both"/>
        <w:rPr>
          <w:rFonts w:ascii="Palatino Linotype" w:eastAsia="Palatino Linotype" w:hAnsi="Palatino Linotype" w:cs="Palatino Linotype"/>
        </w:rPr>
      </w:pPr>
    </w:p>
    <w:p w14:paraId="20F8878A" w14:textId="77777777" w:rsidR="005C5028" w:rsidRPr="005D58F0" w:rsidRDefault="005C5028"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ese sentido, este Órgano Garante no pierde de vista que la información solicitada, </w:t>
      </w:r>
      <w:r w:rsidRPr="005D58F0">
        <w:rPr>
          <w:rFonts w:ascii="Palatino Linotype" w:eastAsia="Palatino Linotype" w:hAnsi="Palatino Linotype" w:cs="Palatino Linotype"/>
          <w:b/>
        </w:rPr>
        <w:t xml:space="preserve">pudiera contener a su vez datos personales susceptibles de considerarse información confidencial </w:t>
      </w:r>
      <w:r w:rsidRPr="005D58F0">
        <w:rPr>
          <w:rFonts w:ascii="Palatino Linotype" w:eastAsia="Palatino Linotype" w:hAnsi="Palatino Linotype" w:cs="Palatino Linotype"/>
        </w:rPr>
        <w:t>como lo son: números de cuenta y CLABE interbancaria del proveedor.</w:t>
      </w:r>
    </w:p>
    <w:p w14:paraId="79747167" w14:textId="77777777" w:rsidR="005C5028" w:rsidRPr="005D58F0" w:rsidRDefault="005C5028" w:rsidP="005D58F0">
      <w:pPr>
        <w:widowControl w:val="0"/>
        <w:spacing w:line="360" w:lineRule="auto"/>
        <w:jc w:val="both"/>
        <w:rPr>
          <w:rFonts w:ascii="Palatino Linotype" w:eastAsia="Palatino Linotype" w:hAnsi="Palatino Linotype" w:cs="Palatino Linotype"/>
        </w:rPr>
      </w:pPr>
    </w:p>
    <w:p w14:paraId="032F6612" w14:textId="77777777" w:rsidR="005C5028" w:rsidRPr="005D58F0" w:rsidRDefault="005C5028"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Por cuanto hace a las cuentas bancarias y CLABE interbancarias es de precisar que dicha información es información confidencial únicamente; por lo que, concierne a los particulares, y no así del </w:t>
      </w:r>
      <w:r w:rsidRPr="005D58F0">
        <w:rPr>
          <w:rFonts w:ascii="Palatino Linotype" w:eastAsia="Palatino Linotype" w:hAnsi="Palatino Linotype" w:cs="Palatino Linotype"/>
          <w:b/>
        </w:rPr>
        <w:t xml:space="preserve">SUJETO OBLIGADO, </w:t>
      </w:r>
      <w:r w:rsidRPr="005D58F0">
        <w:rPr>
          <w:rFonts w:ascii="Palatino Linotype" w:eastAsia="Palatino Linotype" w:hAnsi="Palatino Linotype" w:cs="Palatino Linotype"/>
        </w:rPr>
        <w:t>toda vez que su publicidad abona a la transparencia y a la rendición de cuentas.</w:t>
      </w:r>
    </w:p>
    <w:p w14:paraId="4C6B7883" w14:textId="77777777" w:rsidR="005C5028" w:rsidRPr="005D58F0" w:rsidRDefault="005C5028" w:rsidP="005D58F0">
      <w:pPr>
        <w:widowControl w:val="0"/>
        <w:spacing w:line="360" w:lineRule="auto"/>
        <w:jc w:val="both"/>
        <w:rPr>
          <w:rFonts w:ascii="Palatino Linotype" w:eastAsia="Palatino Linotype" w:hAnsi="Palatino Linotype" w:cs="Palatino Linotype"/>
        </w:rPr>
      </w:pPr>
    </w:p>
    <w:p w14:paraId="51FB075E" w14:textId="77777777" w:rsidR="005C5028" w:rsidRPr="005D58F0" w:rsidRDefault="005C5028"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En este sentido, es importante precisar que de acuerdo al </w:t>
      </w:r>
      <w:r w:rsidRPr="005D58F0">
        <w:rPr>
          <w:rFonts w:ascii="Palatino Linotype" w:eastAsia="Palatino Linotype" w:hAnsi="Palatino Linotype" w:cs="Palatino Linotype"/>
          <w:b/>
        </w:rPr>
        <w:t>criterio 11/17</w:t>
      </w:r>
      <w:r w:rsidRPr="005D58F0">
        <w:rPr>
          <w:rFonts w:ascii="Palatino Linotype" w:eastAsia="Palatino Linotype" w:hAnsi="Palatino Linotype" w:cs="Palatino Linotype"/>
        </w:rPr>
        <w:t xml:space="preserve"> emitido por el INAI, las cuentas bancarias y/o CLABE interbancaria de los Sujetos Obligados es información de carácter público. </w:t>
      </w:r>
    </w:p>
    <w:p w14:paraId="26568076" w14:textId="77777777" w:rsidR="005C5028" w:rsidRPr="005D58F0" w:rsidRDefault="005C5028" w:rsidP="005D58F0">
      <w:pPr>
        <w:spacing w:line="360" w:lineRule="auto"/>
        <w:jc w:val="both"/>
        <w:rPr>
          <w:rFonts w:ascii="Palatino Linotype" w:eastAsia="Palatino Linotype" w:hAnsi="Palatino Linotype" w:cs="Palatino Linotype"/>
        </w:rPr>
      </w:pPr>
    </w:p>
    <w:p w14:paraId="5F8AE424" w14:textId="77777777" w:rsidR="005C5028" w:rsidRPr="005D58F0" w:rsidRDefault="005C5028" w:rsidP="005D58F0">
      <w:pPr>
        <w:tabs>
          <w:tab w:val="left" w:pos="8222"/>
        </w:tabs>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sz w:val="22"/>
          <w:szCs w:val="22"/>
        </w:rPr>
        <w:t>“</w:t>
      </w:r>
      <w:r w:rsidRPr="005D58F0">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5D58F0">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6E5F1889" w14:textId="77777777" w:rsidR="005C5028" w:rsidRPr="005D58F0" w:rsidRDefault="005C5028" w:rsidP="005D58F0">
      <w:pPr>
        <w:tabs>
          <w:tab w:val="left" w:pos="8222"/>
        </w:tabs>
        <w:ind w:left="851" w:right="902"/>
        <w:jc w:val="both"/>
        <w:rPr>
          <w:rFonts w:ascii="Palatino Linotype" w:eastAsia="Palatino Linotype" w:hAnsi="Palatino Linotype" w:cs="Palatino Linotype"/>
          <w:i/>
          <w:sz w:val="22"/>
          <w:szCs w:val="22"/>
        </w:rPr>
      </w:pPr>
    </w:p>
    <w:p w14:paraId="513D2958" w14:textId="77777777" w:rsidR="005C5028" w:rsidRPr="005D58F0" w:rsidRDefault="005C5028"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Caso contrario a los particulares, como lo refiere el </w:t>
      </w:r>
      <w:r w:rsidRPr="005D58F0">
        <w:rPr>
          <w:rFonts w:ascii="Palatino Linotype" w:eastAsia="Palatino Linotype" w:hAnsi="Palatino Linotype" w:cs="Palatino Linotype"/>
          <w:b/>
        </w:rPr>
        <w:t>criterio 10/17</w:t>
      </w:r>
      <w:r w:rsidRPr="005D58F0">
        <w:rPr>
          <w:rFonts w:ascii="Palatino Linotype" w:eastAsia="Palatino Linotype" w:hAnsi="Palatino Linotype" w:cs="Palatino Linotype"/>
        </w:rPr>
        <w:t xml:space="preserve"> emitido por el INAI, que es del tenor literal siguiente:</w:t>
      </w:r>
    </w:p>
    <w:p w14:paraId="3267EC43" w14:textId="77777777" w:rsidR="005C5028" w:rsidRPr="005D58F0" w:rsidRDefault="005C5028" w:rsidP="005D58F0">
      <w:pPr>
        <w:ind w:left="851" w:right="902"/>
        <w:jc w:val="both"/>
        <w:rPr>
          <w:rFonts w:ascii="Palatino Linotype" w:eastAsia="Palatino Linotype" w:hAnsi="Palatino Linotype" w:cs="Palatino Linotype"/>
          <w:b/>
          <w:i/>
          <w:sz w:val="22"/>
          <w:szCs w:val="22"/>
        </w:rPr>
      </w:pPr>
    </w:p>
    <w:p w14:paraId="57DF9144" w14:textId="77777777" w:rsidR="005C5028" w:rsidRPr="005D58F0" w:rsidRDefault="005C5028" w:rsidP="005D58F0">
      <w:pPr>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Cuentas bancarias y/o CLABE interbancaria de personas físicas y morales privadas. El número de cuenta bancaria y/o CLABE interbancaria de particulares es información confidencial</w:t>
      </w:r>
      <w:r w:rsidRPr="005D58F0">
        <w:rPr>
          <w:rFonts w:ascii="Palatino Linotype" w:eastAsia="Palatino Linotype" w:hAnsi="Palatino Linotype" w:cs="Palatino Linotype"/>
          <w:i/>
          <w:sz w:val="22"/>
          <w:szCs w:val="22"/>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36D4D01F" w14:textId="77777777" w:rsidR="005C5028" w:rsidRPr="005D58F0" w:rsidRDefault="005C5028" w:rsidP="005D58F0">
      <w:pPr>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Resoluciones:  </w:t>
      </w:r>
    </w:p>
    <w:p w14:paraId="1D40F6C0" w14:textId="77777777" w:rsidR="005C5028" w:rsidRPr="005D58F0" w:rsidRDefault="005C5028" w:rsidP="005D58F0">
      <w:pPr>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RRA 1276/16 Grupo Aeroportuario de la Ciudad de México. S.A. de C.V. 01 de noviembre de 2016. Por unanimidad. Comisionada Ponente Areli Cano Guadiana.</w:t>
      </w:r>
    </w:p>
    <w:p w14:paraId="6046F425" w14:textId="77777777" w:rsidR="005C5028" w:rsidRPr="005D58F0" w:rsidRDefault="005C5028" w:rsidP="005D58F0">
      <w:pPr>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RRA 3527/16 Servicio de Administración Tributaria. 07 de diciembre de 2016. Por unanimidad. Comisionada Ponente Ximena Puente de la Mora.  </w:t>
      </w:r>
      <w:r w:rsidRPr="005D58F0">
        <w:rPr>
          <w:rFonts w:ascii="Palatino Linotype" w:eastAsia="Palatino Linotype" w:hAnsi="Palatino Linotype" w:cs="Palatino Linotype"/>
          <w:i/>
          <w:sz w:val="22"/>
          <w:szCs w:val="22"/>
        </w:rPr>
        <w:t xml:space="preserve"> </w:t>
      </w:r>
    </w:p>
    <w:p w14:paraId="1D112BD3" w14:textId="77777777" w:rsidR="005C5028" w:rsidRPr="005D58F0" w:rsidRDefault="005C5028" w:rsidP="005D58F0">
      <w:pPr>
        <w:ind w:left="851"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RRA 4404/16 Partido del Trabajo. 01 de febrero de 2017. Por unanimidad. Comisionado Ponente Francisco Acuña Llamas.</w:t>
      </w:r>
    </w:p>
    <w:p w14:paraId="36CB0536" w14:textId="77777777" w:rsidR="005C5028" w:rsidRPr="005D58F0" w:rsidRDefault="005C5028" w:rsidP="005D58F0">
      <w:pPr>
        <w:spacing w:line="360" w:lineRule="auto"/>
        <w:jc w:val="both"/>
        <w:rPr>
          <w:rFonts w:ascii="Palatino Linotype" w:eastAsia="Palatino Linotype" w:hAnsi="Palatino Linotype" w:cs="Palatino Linotype"/>
        </w:rPr>
      </w:pPr>
    </w:p>
    <w:p w14:paraId="2593AE01" w14:textId="77777777" w:rsidR="005C5028" w:rsidRPr="005D58F0" w:rsidRDefault="005C5028" w:rsidP="005D58F0">
      <w:pPr>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Ahora bien, por cuanto hace a las </w:t>
      </w:r>
      <w:r w:rsidRPr="005D58F0">
        <w:rPr>
          <w:rFonts w:ascii="Palatino Linotype" w:eastAsia="Palatino Linotype" w:hAnsi="Palatino Linotype" w:cs="Palatino Linotype"/>
          <w:b/>
        </w:rPr>
        <w:t>Cadenas Originales y Sellos Digitales del Servicio de Administración Tributaria</w:t>
      </w:r>
      <w:r w:rsidRPr="005D58F0">
        <w:rPr>
          <w:rFonts w:ascii="Palatino Linotype" w:eastAsia="Palatino Linotype" w:hAnsi="Palatino Linotype" w:cs="Palatino Linotype"/>
        </w:rPr>
        <w:t>,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2D87177C" w14:textId="77777777" w:rsidR="005C5028" w:rsidRPr="005D58F0" w:rsidRDefault="005C5028" w:rsidP="005D58F0">
      <w:pPr>
        <w:ind w:left="850" w:right="902"/>
        <w:jc w:val="both"/>
        <w:rPr>
          <w:rFonts w:ascii="Palatino Linotype" w:eastAsia="Palatino Linotype" w:hAnsi="Palatino Linotype" w:cs="Palatino Linotype"/>
          <w:sz w:val="22"/>
          <w:szCs w:val="22"/>
        </w:rPr>
      </w:pPr>
    </w:p>
    <w:p w14:paraId="329CAF96"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sz w:val="22"/>
          <w:szCs w:val="22"/>
        </w:rPr>
        <w:t>“</w:t>
      </w:r>
      <w:r w:rsidRPr="005D58F0">
        <w:rPr>
          <w:rFonts w:ascii="Palatino Linotype" w:eastAsia="Palatino Linotype" w:hAnsi="Palatino Linotype" w:cs="Palatino Linotype"/>
          <w:b/>
          <w:sz w:val="22"/>
          <w:szCs w:val="22"/>
        </w:rPr>
        <w:t>Artículo 17-G</w:t>
      </w:r>
      <w:r w:rsidRPr="005D58F0">
        <w:rPr>
          <w:rFonts w:ascii="Palatino Linotype" w:eastAsia="Palatino Linotype" w:hAnsi="Palatino Linotype" w:cs="Palatino Linotype"/>
          <w:i/>
          <w:sz w:val="22"/>
          <w:szCs w:val="22"/>
        </w:rPr>
        <w:t xml:space="preserve">.- Los certificados que emita el Servicio de Administración Tributaria para ser considerados válidos deberán contener los datos siguientes: </w:t>
      </w:r>
    </w:p>
    <w:p w14:paraId="4008E888"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lastRenderedPageBreak/>
        <w:t>I.</w:t>
      </w:r>
      <w:r w:rsidRPr="005D58F0">
        <w:rPr>
          <w:rFonts w:ascii="Palatino Linotype" w:eastAsia="Palatino Linotype" w:hAnsi="Palatino Linotype" w:cs="Palatino Linotype"/>
          <w:i/>
          <w:sz w:val="22"/>
          <w:szCs w:val="22"/>
        </w:rPr>
        <w:tab/>
      </w:r>
      <w:r w:rsidRPr="005D58F0">
        <w:rPr>
          <w:rFonts w:ascii="Palatino Linotype" w:eastAsia="Palatino Linotype" w:hAnsi="Palatino Linotype" w:cs="Palatino Linotype"/>
          <w:b/>
          <w:i/>
          <w:sz w:val="22"/>
          <w:szCs w:val="22"/>
        </w:rPr>
        <w:t>La mención de que se expiden como tales</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Tratándose de certificados de sellos digitales, se deberán especificar las limitantes que tengan para su uso</w:t>
      </w:r>
      <w:r w:rsidRPr="005D58F0">
        <w:rPr>
          <w:rFonts w:ascii="Palatino Linotype" w:eastAsia="Palatino Linotype" w:hAnsi="Palatino Linotype" w:cs="Palatino Linotype"/>
          <w:i/>
          <w:sz w:val="22"/>
          <w:szCs w:val="22"/>
        </w:rPr>
        <w:t>.</w:t>
      </w:r>
    </w:p>
    <w:p w14:paraId="30CD777C"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Artículo 29. </w:t>
      </w:r>
      <w:r w:rsidRPr="005D58F0">
        <w:rPr>
          <w:rFonts w:ascii="Palatino Linotype" w:eastAsia="Palatino Linotype" w:hAnsi="Palatino Linotype" w:cs="Palatino Linotype"/>
          <w:i/>
          <w:sz w:val="22"/>
          <w:szCs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56D8DDD"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Los contribuyentes a que se refiere el párrafo anterior deberán cumplir con las obligaciones siguientes:</w:t>
      </w:r>
    </w:p>
    <w:p w14:paraId="66E82B81"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73D9D3FE"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II.</w:t>
      </w:r>
      <w:r w:rsidRPr="005D58F0">
        <w:rPr>
          <w:rFonts w:ascii="Palatino Linotype" w:eastAsia="Palatino Linotype" w:hAnsi="Palatino Linotype" w:cs="Palatino Linotype"/>
          <w:i/>
          <w:sz w:val="22"/>
          <w:szCs w:val="22"/>
        </w:rPr>
        <w:tab/>
      </w:r>
      <w:r w:rsidRPr="005D58F0">
        <w:rPr>
          <w:rFonts w:ascii="Palatino Linotype" w:eastAsia="Palatino Linotype" w:hAnsi="Palatino Linotype" w:cs="Palatino Linotype"/>
          <w:b/>
          <w:i/>
          <w:sz w:val="22"/>
          <w:szCs w:val="22"/>
        </w:rPr>
        <w:t>Tramitar ante el Servicio de Administración Tributaria el certificado para el uso de los sellos digitales</w:t>
      </w:r>
      <w:r w:rsidRPr="005D58F0">
        <w:rPr>
          <w:rFonts w:ascii="Palatino Linotype" w:eastAsia="Palatino Linotype" w:hAnsi="Palatino Linotype" w:cs="Palatino Linotype"/>
          <w:i/>
          <w:sz w:val="22"/>
          <w:szCs w:val="22"/>
        </w:rPr>
        <w:t>.</w:t>
      </w:r>
    </w:p>
    <w:p w14:paraId="06A6B934"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Los contribuyentes podrán optar por el uso de uno o más certificados de sellos digitales que se utilizarán exclusivamente para la expedición de los comprobantes fiscales mediante documentos digitales. </w:t>
      </w:r>
      <w:r w:rsidRPr="005D58F0">
        <w:rPr>
          <w:rFonts w:ascii="Palatino Linotype" w:eastAsia="Palatino Linotype" w:hAnsi="Palatino Linotype" w:cs="Palatino Linotype"/>
          <w:b/>
          <w:i/>
          <w:sz w:val="22"/>
          <w:szCs w:val="22"/>
        </w:rPr>
        <w:t>El sello digital permitirá acreditar la autoría de los comprobantes fiscales digitales</w:t>
      </w:r>
      <w:r w:rsidRPr="005D58F0">
        <w:rPr>
          <w:rFonts w:ascii="Palatino Linotype" w:eastAsia="Palatino Linotype" w:hAnsi="Palatino Linotype" w:cs="Palatino Linotype"/>
          <w:i/>
          <w:sz w:val="22"/>
          <w:szCs w:val="22"/>
        </w:rPr>
        <w:t xml:space="preserve"> por Internet que expidan las personas físicas y morales, el cual queda sujeto a la regulación aplicable al uso de la firma electrónica avanzada.</w:t>
      </w:r>
    </w:p>
    <w:p w14:paraId="451BB22B" w14:textId="77777777" w:rsidR="005C5028" w:rsidRPr="005D58F0" w:rsidRDefault="005C5028" w:rsidP="005D58F0">
      <w:pPr>
        <w:ind w:left="850" w:right="902" w:firstLine="14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528EF0E4"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IV.</w:t>
      </w:r>
      <w:r w:rsidRPr="005D58F0">
        <w:rPr>
          <w:rFonts w:ascii="Palatino Linotype" w:eastAsia="Palatino Linotype" w:hAnsi="Palatino Linotype" w:cs="Palatino Linotype"/>
          <w:b/>
          <w:i/>
          <w:sz w:val="22"/>
          <w:szCs w:val="22"/>
        </w:rPr>
        <w:tab/>
        <w:t>Remitir al Servicio de Administración Tributaria, antes de su expedición, el comprobante fiscal digital por Internet respectivo</w:t>
      </w:r>
      <w:r w:rsidRPr="005D58F0">
        <w:rPr>
          <w:rFonts w:ascii="Palatino Linotype" w:eastAsia="Palatino Linotype" w:hAnsi="Palatino Linotype" w:cs="Palatino Linotype"/>
          <w:i/>
          <w:sz w:val="22"/>
          <w:szCs w:val="22"/>
        </w:rPr>
        <w:t xml:space="preserve"> a través de los mecanismos digitales que para tal efecto determine dicho órgano desconcentrado mediante reglas de carácter general, </w:t>
      </w:r>
      <w:r w:rsidRPr="005D58F0">
        <w:rPr>
          <w:rFonts w:ascii="Palatino Linotype" w:eastAsia="Palatino Linotype" w:hAnsi="Palatino Linotype" w:cs="Palatino Linotype"/>
          <w:b/>
          <w:i/>
          <w:sz w:val="22"/>
          <w:szCs w:val="22"/>
        </w:rPr>
        <w:t>con el objeto de que éste proceda a</w:t>
      </w:r>
      <w:r w:rsidRPr="005D58F0">
        <w:rPr>
          <w:rFonts w:ascii="Palatino Linotype" w:eastAsia="Palatino Linotype" w:hAnsi="Palatino Linotype" w:cs="Palatino Linotype"/>
          <w:i/>
          <w:sz w:val="22"/>
          <w:szCs w:val="22"/>
        </w:rPr>
        <w:t>:</w:t>
      </w:r>
    </w:p>
    <w:p w14:paraId="50BC296D"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a)</w:t>
      </w:r>
      <w:r w:rsidRPr="005D58F0">
        <w:rPr>
          <w:rFonts w:ascii="Palatino Linotype" w:eastAsia="Palatino Linotype" w:hAnsi="Palatino Linotype" w:cs="Palatino Linotype"/>
          <w:i/>
          <w:sz w:val="22"/>
          <w:szCs w:val="22"/>
        </w:rPr>
        <w:tab/>
        <w:t>Validar el cumplimiento de los requisitos establecidos en el artículo 29-A de este Código.</w:t>
      </w:r>
    </w:p>
    <w:p w14:paraId="5D8E2931"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b)</w:t>
      </w:r>
      <w:r w:rsidRPr="005D58F0">
        <w:rPr>
          <w:rFonts w:ascii="Palatino Linotype" w:eastAsia="Palatino Linotype" w:hAnsi="Palatino Linotype" w:cs="Palatino Linotype"/>
          <w:i/>
          <w:sz w:val="22"/>
          <w:szCs w:val="22"/>
        </w:rPr>
        <w:tab/>
        <w:t xml:space="preserve">Asignar el </w:t>
      </w:r>
      <w:r w:rsidRPr="005D58F0">
        <w:rPr>
          <w:rFonts w:ascii="Palatino Linotype" w:eastAsia="Palatino Linotype" w:hAnsi="Palatino Linotype" w:cs="Palatino Linotype"/>
          <w:b/>
          <w:i/>
          <w:sz w:val="22"/>
          <w:szCs w:val="22"/>
        </w:rPr>
        <w:t>folio del comprobante fiscal digital</w:t>
      </w:r>
      <w:r w:rsidRPr="005D58F0">
        <w:rPr>
          <w:rFonts w:ascii="Palatino Linotype" w:eastAsia="Palatino Linotype" w:hAnsi="Palatino Linotype" w:cs="Palatino Linotype"/>
          <w:i/>
          <w:sz w:val="22"/>
          <w:szCs w:val="22"/>
        </w:rPr>
        <w:t>.</w:t>
      </w:r>
    </w:p>
    <w:p w14:paraId="31CF1A8A"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c)</w:t>
      </w:r>
      <w:r w:rsidRPr="005D58F0">
        <w:rPr>
          <w:rFonts w:ascii="Palatino Linotype" w:eastAsia="Palatino Linotype" w:hAnsi="Palatino Linotype" w:cs="Palatino Linotype"/>
          <w:b/>
          <w:i/>
          <w:sz w:val="22"/>
          <w:szCs w:val="22"/>
        </w:rPr>
        <w:tab/>
        <w:t>Incorporar el sello digital del Servicio de Administración Tributaria</w:t>
      </w:r>
      <w:r w:rsidRPr="005D58F0">
        <w:rPr>
          <w:rFonts w:ascii="Palatino Linotype" w:eastAsia="Palatino Linotype" w:hAnsi="Palatino Linotype" w:cs="Palatino Linotype"/>
          <w:i/>
          <w:sz w:val="22"/>
          <w:szCs w:val="22"/>
        </w:rPr>
        <w:t>.</w:t>
      </w:r>
    </w:p>
    <w:p w14:paraId="7139DC86"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El Servicio de Administración Tributaria podrá autorizar a proveedores de </w:t>
      </w:r>
      <w:r w:rsidRPr="005D58F0">
        <w:rPr>
          <w:rFonts w:ascii="Palatino Linotype" w:eastAsia="Palatino Linotype" w:hAnsi="Palatino Linotype" w:cs="Palatino Linotype"/>
          <w:b/>
          <w:i/>
          <w:sz w:val="22"/>
          <w:szCs w:val="22"/>
        </w:rPr>
        <w:t>certificación de comprobantes fiscales digitales por Internet para que efectúen la validación, asignación de folio e incorporación del sello a que se refiere esta fracción.</w:t>
      </w:r>
    </w:p>
    <w:p w14:paraId="53CDE9F4"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1D95176D"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lastRenderedPageBreak/>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7BB065A5"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Para los efectos del segundo párrafo de esta fracción, el Servicio de Administración Tributaria podrá proporcionar la información necesaria a los proveedores autorizados de certificación de comprobantes fiscales digitales por Internet.</w:t>
      </w:r>
    </w:p>
    <w:p w14:paraId="39385BDC"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Artículo 31</w:t>
      </w:r>
      <w:r w:rsidRPr="005D58F0">
        <w:rPr>
          <w:rFonts w:ascii="Palatino Linotype" w:eastAsia="Palatino Linotype" w:hAnsi="Palatino Linotype" w:cs="Palatino Linotype"/>
          <w:i/>
          <w:sz w:val="22"/>
          <w:szCs w:val="22"/>
        </w:rPr>
        <w:t>.</w:t>
      </w:r>
    </w:p>
    <w:p w14:paraId="4228D692" w14:textId="77777777" w:rsidR="005C5028" w:rsidRPr="005D58F0" w:rsidRDefault="005C5028" w:rsidP="005D58F0">
      <w:pPr>
        <w:ind w:left="850" w:right="902" w:firstLine="14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33BC7C1A" w14:textId="77777777" w:rsidR="005C5028" w:rsidRPr="005D58F0" w:rsidRDefault="005C5028" w:rsidP="005D58F0">
      <w:pPr>
        <w:ind w:left="850" w:right="902"/>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60F1BBD9" w14:textId="77777777" w:rsidR="005C5028" w:rsidRPr="005D58F0" w:rsidRDefault="005C5028" w:rsidP="005D58F0">
      <w:pPr>
        <w:ind w:left="850" w:right="902"/>
        <w:jc w:val="both"/>
        <w:rPr>
          <w:rFonts w:ascii="Palatino Linotype" w:eastAsia="Palatino Linotype" w:hAnsi="Palatino Linotype" w:cs="Palatino Linotype"/>
          <w:sz w:val="22"/>
          <w:szCs w:val="22"/>
        </w:rPr>
      </w:pPr>
      <w:r w:rsidRPr="005D58F0">
        <w:rPr>
          <w:rFonts w:ascii="Palatino Linotype" w:eastAsia="Palatino Linotype" w:hAnsi="Palatino Linotype" w:cs="Palatino Linotype"/>
          <w:sz w:val="22"/>
          <w:szCs w:val="22"/>
        </w:rPr>
        <w:t>(Énfasis añadido)</w:t>
      </w:r>
    </w:p>
    <w:p w14:paraId="34C05BD5" w14:textId="77777777" w:rsidR="005C5028" w:rsidRPr="005D58F0" w:rsidRDefault="005C5028" w:rsidP="005D58F0">
      <w:pPr>
        <w:ind w:left="851" w:right="902"/>
        <w:jc w:val="both"/>
        <w:rPr>
          <w:rFonts w:ascii="Palatino Linotype" w:eastAsia="Palatino Linotype" w:hAnsi="Palatino Linotype" w:cs="Palatino Linotype"/>
          <w:sz w:val="22"/>
          <w:szCs w:val="22"/>
        </w:rPr>
      </w:pPr>
    </w:p>
    <w:p w14:paraId="528FD8B6" w14:textId="77777777" w:rsidR="005C5028" w:rsidRPr="005D58F0" w:rsidRDefault="005C5028"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el cual corresponde a información pública, pues no revela ningún dato de índole personal, como es el caso de la edad y el sexo de la persona.</w:t>
      </w:r>
    </w:p>
    <w:p w14:paraId="7379B241" w14:textId="77777777" w:rsidR="005C5028" w:rsidRPr="005D58F0" w:rsidRDefault="005C5028" w:rsidP="005D58F0">
      <w:pPr>
        <w:widowControl w:val="0"/>
        <w:spacing w:line="360" w:lineRule="auto"/>
        <w:jc w:val="both"/>
        <w:rPr>
          <w:rFonts w:ascii="Palatino Linotype" w:eastAsia="Palatino Linotype" w:hAnsi="Palatino Linotype" w:cs="Palatino Linotype"/>
        </w:rPr>
      </w:pPr>
    </w:p>
    <w:p w14:paraId="1EB85649" w14:textId="77777777" w:rsidR="005C5028" w:rsidRPr="005D58F0" w:rsidRDefault="005C5028" w:rsidP="005D58F0">
      <w:pPr>
        <w:widowControl w:val="0"/>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Aunado a lo anterior, es conveniente traer a contexto lo siguiente:</w:t>
      </w:r>
    </w:p>
    <w:p w14:paraId="20D2ECF0" w14:textId="77777777" w:rsidR="005C5028" w:rsidRPr="005D58F0" w:rsidRDefault="005C5028" w:rsidP="005D58F0">
      <w:pPr>
        <w:ind w:right="709"/>
        <w:rPr>
          <w:rFonts w:ascii="Palatino Linotype" w:eastAsia="Palatino Linotype" w:hAnsi="Palatino Linotype" w:cs="Palatino Linotype"/>
          <w:b/>
          <w:i/>
          <w:sz w:val="22"/>
          <w:szCs w:val="22"/>
        </w:rPr>
      </w:pPr>
    </w:p>
    <w:p w14:paraId="56D8726D" w14:textId="77777777" w:rsidR="005C5028" w:rsidRPr="005D58F0" w:rsidRDefault="005C5028" w:rsidP="005D58F0">
      <w:pPr>
        <w:ind w:left="851" w:right="70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lastRenderedPageBreak/>
        <w:t>Código Fiscal de la Federación</w:t>
      </w:r>
    </w:p>
    <w:p w14:paraId="48AAA520"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 xml:space="preserve">Artículo 33.- </w:t>
      </w:r>
      <w:r w:rsidRPr="005D58F0">
        <w:rPr>
          <w:rFonts w:ascii="Palatino Linotype" w:eastAsia="Palatino Linotype" w:hAnsi="Palatino Linotype" w:cs="Palatino Linotype"/>
          <w:i/>
          <w:sz w:val="22"/>
          <w:szCs w:val="22"/>
        </w:rPr>
        <w:t>Las autoridades fiscales para el mejor cumplimiento de sus facultades, estarán a lo siguiente:</w:t>
      </w:r>
    </w:p>
    <w:p w14:paraId="558D9B2F"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I.- Proporcionarán asistencia gratuita a los contribuyentes y para ello procurarán:</w:t>
      </w:r>
    </w:p>
    <w:p w14:paraId="34873CC1"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43329A6B"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g)</w:t>
      </w:r>
      <w:r w:rsidRPr="005D58F0">
        <w:rPr>
          <w:rFonts w:ascii="Palatino Linotype" w:eastAsia="Palatino Linotype" w:hAnsi="Palatino Linotype" w:cs="Palatino Linotype"/>
          <w:b/>
          <w:i/>
          <w:sz w:val="22"/>
          <w:szCs w:val="22"/>
        </w:rPr>
        <w:tab/>
        <w:t>Publicar anualmente las resoluciones dictadas por las autoridades fiscales que establezcan disposiciones de carácter general agrupándolas de manera que faciliten su conocimiento por parte de los contribuyentes</w:t>
      </w:r>
      <w:r w:rsidRPr="005D58F0">
        <w:rPr>
          <w:rFonts w:ascii="Palatino Linotype" w:eastAsia="Palatino Linotype" w:hAnsi="Palatino Linotype" w:cs="Palatino Linotype"/>
          <w:i/>
          <w:sz w:val="22"/>
          <w:szCs w:val="22"/>
        </w:rPr>
        <w:t xml:space="preserve">; </w:t>
      </w:r>
      <w:r w:rsidRPr="005D58F0">
        <w:rPr>
          <w:rFonts w:ascii="Palatino Linotype" w:eastAsia="Palatino Linotype" w:hAnsi="Palatino Linotype" w:cs="Palatino Linotype"/>
          <w:b/>
          <w:i/>
          <w:sz w:val="22"/>
          <w:szCs w:val="22"/>
        </w:rPr>
        <w:t>se podrán publicar aisladamente aquellas disposiciones cuyos efectos se limitan a periodos inferiores a un año</w:t>
      </w:r>
      <w:r w:rsidRPr="005D58F0">
        <w:rPr>
          <w:rFonts w:ascii="Palatino Linotype" w:eastAsia="Palatino Linotype" w:hAnsi="Palatino Linotype" w:cs="Palatino Linotype"/>
          <w:i/>
          <w:sz w:val="22"/>
          <w:szCs w:val="22"/>
        </w:rPr>
        <w:t>. Las resoluciones que se emitan conforme a este inciso y que se refieran a sujeto, objeto, base, tasa o tarifa, no generarán obligaciones o cargas adicionales a las establecidas en las propias leyes fiscales.</w:t>
      </w:r>
    </w:p>
    <w:p w14:paraId="075AE0B4" w14:textId="77777777" w:rsidR="005C5028" w:rsidRPr="005D58F0" w:rsidRDefault="005C5028" w:rsidP="005D58F0">
      <w:pPr>
        <w:ind w:left="851" w:right="899"/>
        <w:jc w:val="center"/>
        <w:rPr>
          <w:rFonts w:ascii="Palatino Linotype" w:eastAsia="Palatino Linotype" w:hAnsi="Palatino Linotype" w:cs="Palatino Linotype"/>
          <w:b/>
          <w:i/>
          <w:sz w:val="22"/>
          <w:szCs w:val="22"/>
        </w:rPr>
      </w:pPr>
    </w:p>
    <w:p w14:paraId="446B0719"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Resolución Miscelánea Fiscal 2018</w:t>
      </w:r>
    </w:p>
    <w:p w14:paraId="58FC1C47"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i/>
          <w:sz w:val="22"/>
          <w:szCs w:val="22"/>
        </w:rPr>
        <w:t>“</w:t>
      </w:r>
      <w:r w:rsidRPr="005D58F0">
        <w:rPr>
          <w:rFonts w:ascii="Palatino Linotype" w:eastAsia="Palatino Linotype" w:hAnsi="Palatino Linotype" w:cs="Palatino Linotype"/>
          <w:b/>
          <w:i/>
          <w:sz w:val="22"/>
          <w:szCs w:val="22"/>
        </w:rPr>
        <w:t>Generación del CFDI</w:t>
      </w:r>
    </w:p>
    <w:p w14:paraId="5AD5B399"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2.7.1.2.</w:t>
      </w:r>
      <w:r w:rsidRPr="005D58F0">
        <w:rPr>
          <w:rFonts w:ascii="Palatino Linotype" w:eastAsia="Palatino Linotype" w:hAnsi="Palatino Linotype" w:cs="Palatino Linotype"/>
          <w:b/>
          <w:i/>
          <w:sz w:val="22"/>
          <w:szCs w:val="22"/>
        </w:rPr>
        <w:tab/>
        <w:t>Para los efectos del artículo 29, primer y segundo párrafos del CFF, los CFDI que generen los contribuyentes</w:t>
      </w:r>
      <w:r w:rsidRPr="005D58F0">
        <w:rPr>
          <w:rFonts w:ascii="Palatino Linotype" w:eastAsia="Palatino Linotype" w:hAnsi="Palatino Linotype" w:cs="Palatino Linotype"/>
          <w:i/>
          <w:sz w:val="22"/>
          <w:szCs w:val="22"/>
        </w:rPr>
        <w:t xml:space="preserve"> y que posteriormente envíen a un proveedor de certificación de CFDI, </w:t>
      </w:r>
      <w:r w:rsidRPr="005D58F0">
        <w:rPr>
          <w:rFonts w:ascii="Palatino Linotype" w:eastAsia="Palatino Linotype" w:hAnsi="Palatino Linotype" w:cs="Palatino Linotype"/>
          <w:b/>
          <w:i/>
          <w:sz w:val="22"/>
          <w:szCs w:val="22"/>
        </w:rPr>
        <w:t>para su validación, asignación del folio e incorporación del sello digital del SAT otorgado para dicho efecto (certificación), deberán cumplir con las especificaciones técnicas previstas en los rubros</w:t>
      </w:r>
      <w:r w:rsidRPr="005D58F0">
        <w:rPr>
          <w:rFonts w:ascii="Palatino Linotype" w:eastAsia="Palatino Linotype" w:hAnsi="Palatino Linotype" w:cs="Palatino Linotype"/>
          <w:i/>
          <w:sz w:val="22"/>
          <w:szCs w:val="22"/>
        </w:rPr>
        <w:t xml:space="preserve"> I.A “Estándar de comprobante fiscal digital por Internet” y </w:t>
      </w:r>
      <w:r w:rsidRPr="005D58F0">
        <w:rPr>
          <w:rFonts w:ascii="Palatino Linotype" w:eastAsia="Palatino Linotype" w:hAnsi="Palatino Linotype" w:cs="Palatino Linotype"/>
          <w:b/>
          <w:i/>
          <w:sz w:val="22"/>
          <w:szCs w:val="22"/>
        </w:rPr>
        <w:t>I.B “Generación de sellos digitales para comprobantes fiscales digitales por Internet” del Anexo 20</w:t>
      </w:r>
      <w:r w:rsidRPr="005D58F0">
        <w:rPr>
          <w:rFonts w:ascii="Palatino Linotype" w:eastAsia="Palatino Linotype" w:hAnsi="Palatino Linotype" w:cs="Palatino Linotype"/>
          <w:i/>
          <w:sz w:val="22"/>
          <w:szCs w:val="22"/>
        </w:rPr>
        <w:t>. …”</w:t>
      </w:r>
    </w:p>
    <w:p w14:paraId="5357CC52" w14:textId="77777777" w:rsidR="005C5028" w:rsidRPr="005D58F0" w:rsidRDefault="005C5028" w:rsidP="005D58F0">
      <w:pPr>
        <w:ind w:left="851" w:right="899"/>
        <w:jc w:val="center"/>
        <w:rPr>
          <w:rFonts w:ascii="Palatino Linotype" w:eastAsia="Palatino Linotype" w:hAnsi="Palatino Linotype" w:cs="Palatino Linotype"/>
          <w:b/>
          <w:i/>
          <w:sz w:val="22"/>
          <w:szCs w:val="22"/>
        </w:rPr>
      </w:pPr>
    </w:p>
    <w:p w14:paraId="6A465A86"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Anexo 20 de la Segunda Resolución de modificaciones a la Resolución Miscelánea Fiscal para 2017</w:t>
      </w:r>
    </w:p>
    <w:p w14:paraId="280BC6BC"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I. Del Comprobante fiscal digital por Internet:</w:t>
      </w:r>
    </w:p>
    <w:p w14:paraId="66D3DE08"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68F9BA89"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B. Generación de sellos digitales para comprobantes fiscales digitales por Internet.</w:t>
      </w:r>
    </w:p>
    <w:p w14:paraId="4F760D9C"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Elementos utilizados en la generación de Sellos Digitales:</w:t>
      </w:r>
    </w:p>
    <w:p w14:paraId="7EF4EC77" w14:textId="77777777" w:rsidR="005C5028" w:rsidRPr="005D58F0" w:rsidRDefault="005C5028" w:rsidP="005D58F0">
      <w:pPr>
        <w:numPr>
          <w:ilvl w:val="0"/>
          <w:numId w:val="3"/>
        </w:numPr>
        <w:spacing w:line="259" w:lineRule="auto"/>
        <w:ind w:left="851" w:right="899" w:firstLine="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 xml:space="preserve">Cadena Original </w:t>
      </w:r>
      <w:r w:rsidRPr="005D58F0">
        <w:rPr>
          <w:rFonts w:ascii="Palatino Linotype" w:eastAsia="Palatino Linotype" w:hAnsi="Palatino Linotype" w:cs="Palatino Linotype"/>
          <w:i/>
          <w:sz w:val="22"/>
          <w:szCs w:val="22"/>
        </w:rPr>
        <w:t>del elemento a sellar.</w:t>
      </w:r>
    </w:p>
    <w:p w14:paraId="1520866C" w14:textId="77777777" w:rsidR="005C5028" w:rsidRPr="005D58F0" w:rsidRDefault="005C5028" w:rsidP="005D58F0">
      <w:pPr>
        <w:numPr>
          <w:ilvl w:val="0"/>
          <w:numId w:val="3"/>
        </w:numPr>
        <w:spacing w:line="259" w:lineRule="auto"/>
        <w:ind w:left="851" w:right="899" w:firstLine="0"/>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 xml:space="preserve">Certificado de Sello Digital </w:t>
      </w:r>
      <w:r w:rsidRPr="005D58F0">
        <w:rPr>
          <w:rFonts w:ascii="Palatino Linotype" w:eastAsia="Palatino Linotype" w:hAnsi="Palatino Linotype" w:cs="Palatino Linotype"/>
          <w:i/>
          <w:sz w:val="22"/>
          <w:szCs w:val="22"/>
        </w:rPr>
        <w:t>y su correspondiente clave privada</w:t>
      </w:r>
      <w:r w:rsidRPr="005D58F0">
        <w:rPr>
          <w:rFonts w:ascii="Palatino Linotype" w:eastAsia="Palatino Linotype" w:hAnsi="Palatino Linotype" w:cs="Palatino Linotype"/>
          <w:b/>
          <w:i/>
          <w:sz w:val="22"/>
          <w:szCs w:val="22"/>
        </w:rPr>
        <w:t>.</w:t>
      </w:r>
    </w:p>
    <w:p w14:paraId="1BD19402" w14:textId="77777777" w:rsidR="005C5028" w:rsidRPr="005D58F0" w:rsidRDefault="005C5028" w:rsidP="005D58F0">
      <w:pPr>
        <w:numPr>
          <w:ilvl w:val="0"/>
          <w:numId w:val="3"/>
        </w:numPr>
        <w:spacing w:line="259" w:lineRule="auto"/>
        <w:ind w:left="851" w:right="899" w:firstLine="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Algoritmos de criptografía de clave pública para firma electrónica avanzada.</w:t>
      </w:r>
    </w:p>
    <w:p w14:paraId="5227E219" w14:textId="77777777" w:rsidR="005C5028" w:rsidRPr="005D58F0" w:rsidRDefault="005C5028" w:rsidP="005D58F0">
      <w:pPr>
        <w:numPr>
          <w:ilvl w:val="0"/>
          <w:numId w:val="3"/>
        </w:numPr>
        <w:spacing w:line="259" w:lineRule="auto"/>
        <w:ind w:left="851" w:right="899" w:firstLine="0"/>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Especificaciones de conversión de la firma electrónica avanzada a Base 64.</w:t>
      </w:r>
    </w:p>
    <w:p w14:paraId="5F19BCF6"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i/>
          <w:sz w:val="22"/>
          <w:szCs w:val="22"/>
        </w:rPr>
        <w:t>[…]</w:t>
      </w:r>
    </w:p>
    <w:p w14:paraId="79730813"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Cadena Original</w:t>
      </w:r>
    </w:p>
    <w:p w14:paraId="4D09B185"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 xml:space="preserve">Se entiende como cadena original, a la secuencia de datos formada con la información contenida dentro del comprobante fiscal digital por Internet, </w:t>
      </w:r>
      <w:r w:rsidRPr="005D58F0">
        <w:rPr>
          <w:rFonts w:ascii="Palatino Linotype" w:eastAsia="Palatino Linotype" w:hAnsi="Palatino Linotype" w:cs="Palatino Linotype"/>
          <w:b/>
          <w:i/>
          <w:sz w:val="22"/>
          <w:szCs w:val="22"/>
        </w:rPr>
        <w:lastRenderedPageBreak/>
        <w:t>establecida en el Rubro I.A. de este anexo, construida aplicando las siguientes reglas.</w:t>
      </w:r>
    </w:p>
    <w:p w14:paraId="07EC1575"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Reglas Generales:</w:t>
      </w:r>
    </w:p>
    <w:p w14:paraId="06FFF0B1"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1. Ninguno de los atributos que conforman al comprobante fiscal digital por Internet debe contener el carácter | (pleca) debido a que éste es utilizado como carácter de control en la formación de la cadena original.</w:t>
      </w:r>
    </w:p>
    <w:p w14:paraId="23C158D8"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2. El inicio de la cadena original se encuentra marcado mediante una secuencia de caracteres || (doble pleca).</w:t>
      </w:r>
    </w:p>
    <w:p w14:paraId="4B7A2631"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3. Se expresa únicamente la información del dato sin expresar el atributo al que hace referencia. Esto es, si el valor de un campo es "A" y el nombre del campo es "Concepto", sólo se expresa |A| y nunca |Concepto A|.</w:t>
      </w:r>
    </w:p>
    <w:p w14:paraId="281809D5"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4. Cada dato individual se debe separar de su dato subsiguiente, en caso de existir, mediante un carácter | (pleca sencilla).</w:t>
      </w:r>
    </w:p>
    <w:p w14:paraId="3D3DF6AA"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5. Los espacios en blanco que se presenten dentro de la cadena original son tratados de la siguiente manera:</w:t>
      </w:r>
    </w:p>
    <w:p w14:paraId="0D2C99C6"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a. Se deben reemplazar todos los tabuladores, retornos de carro y saltos de línea por el carácter espacio (ASCII 32).</w:t>
      </w:r>
    </w:p>
    <w:p w14:paraId="0313F562"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b. Acto seguido se elimina cualquier espacio al principio y al final de cada separador | (pleca).</w:t>
      </w:r>
    </w:p>
    <w:p w14:paraId="2FB969C6"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c. Finalmente, toda secuencia de caracteres en blanco se sustituye por un único carácter espacio (ASCII 32).</w:t>
      </w:r>
    </w:p>
    <w:p w14:paraId="771B9B1C"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6. Los datos opcionales no expresados, no aparecen en la cadena original y no tienen delimitador alguno.</w:t>
      </w:r>
    </w:p>
    <w:p w14:paraId="791A6B44"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7. El final de la cadena original se expresa mediante una cadena de caracteres || (doble pleca).</w:t>
      </w:r>
    </w:p>
    <w:p w14:paraId="059217B4"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8. Toda la cadena original se expresa en el formato de codificación UTF-8.</w:t>
      </w:r>
    </w:p>
    <w:p w14:paraId="50A3FB94"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9. El nodo o nodos adicionales &lt;Complemento Concepto&gt; se integran a la cadena original como se indica en la secuencia de formación en su numeral 10, respetando la secuencia de formación y número de orden del Complemento Concepto.</w:t>
      </w:r>
    </w:p>
    <w:p w14:paraId="3DF73688"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10. El nodo o nodos adicionales &lt;Complemento&gt; se integra al final de la cadena original respetando la secuencia de formación para cada complemento y número de orden del Complemento.</w:t>
      </w:r>
    </w:p>
    <w:p w14:paraId="4FF3CA1C"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11. El nodo </w:t>
      </w:r>
      <w:r w:rsidRPr="005D58F0">
        <w:rPr>
          <w:rFonts w:ascii="Palatino Linotype" w:eastAsia="Palatino Linotype" w:hAnsi="Palatino Linotype" w:cs="Palatino Linotype"/>
          <w:b/>
          <w:i/>
          <w:sz w:val="22"/>
          <w:szCs w:val="22"/>
        </w:rPr>
        <w:t>Timbre Fiscal Digital del SAT</w:t>
      </w:r>
      <w:r w:rsidRPr="005D58F0">
        <w:rPr>
          <w:rFonts w:ascii="Palatino Linotype" w:eastAsia="Palatino Linotype" w:hAnsi="Palatino Linotype" w:cs="Palatino Linotype"/>
          <w:i/>
          <w:sz w:val="22"/>
          <w:szCs w:val="22"/>
        </w:rPr>
        <w:t xml:space="preserve"> se integra posterior a la validación realizada por un proveedor autorizado por el SAT que </w:t>
      </w:r>
      <w:r w:rsidRPr="005D58F0">
        <w:rPr>
          <w:rFonts w:ascii="Palatino Linotype" w:eastAsia="Palatino Linotype" w:hAnsi="Palatino Linotype" w:cs="Palatino Linotype"/>
          <w:b/>
          <w:i/>
          <w:sz w:val="22"/>
          <w:szCs w:val="22"/>
        </w:rPr>
        <w:t>forma parte de la Certificación Digital del SAT</w:t>
      </w:r>
      <w:r w:rsidRPr="005D58F0">
        <w:rPr>
          <w:rFonts w:ascii="Palatino Linotype" w:eastAsia="Palatino Linotype" w:hAnsi="Palatino Linotype" w:cs="Palatino Linotype"/>
          <w:i/>
          <w:sz w:val="22"/>
          <w:szCs w:val="22"/>
        </w:rPr>
        <w:t xml:space="preserve">. Dicho nodo no se integra a la formación de la cadena original del CFDI, las reglas de conformación de la cadena original del nodo se describen en el Rubro III.B. </w:t>
      </w:r>
      <w:proofErr w:type="gramStart"/>
      <w:r w:rsidRPr="005D58F0">
        <w:rPr>
          <w:rFonts w:ascii="Palatino Linotype" w:eastAsia="Palatino Linotype" w:hAnsi="Palatino Linotype" w:cs="Palatino Linotype"/>
          <w:i/>
          <w:sz w:val="22"/>
          <w:szCs w:val="22"/>
        </w:rPr>
        <w:t>del</w:t>
      </w:r>
      <w:proofErr w:type="gramEnd"/>
      <w:r w:rsidRPr="005D58F0">
        <w:rPr>
          <w:rFonts w:ascii="Palatino Linotype" w:eastAsia="Palatino Linotype" w:hAnsi="Palatino Linotype" w:cs="Palatino Linotype"/>
          <w:i/>
          <w:sz w:val="22"/>
          <w:szCs w:val="22"/>
        </w:rPr>
        <w:t xml:space="preserve"> presente anexo.</w:t>
      </w:r>
    </w:p>
    <w:p w14:paraId="569D71AE"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711F146C"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Generación del Sello Digital</w:t>
      </w:r>
    </w:p>
    <w:p w14:paraId="505F68DF"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lastRenderedPageBreak/>
        <w:t>Para toda cadena original a ser sellada digitalmente, la secuencia de algoritmos a aplicar es la siguiente</w:t>
      </w:r>
      <w:r w:rsidRPr="005D58F0">
        <w:rPr>
          <w:rFonts w:ascii="Palatino Linotype" w:eastAsia="Palatino Linotype" w:hAnsi="Palatino Linotype" w:cs="Palatino Linotype"/>
          <w:i/>
          <w:sz w:val="22"/>
          <w:szCs w:val="22"/>
        </w:rPr>
        <w:t>:</w:t>
      </w:r>
    </w:p>
    <w:p w14:paraId="774713BE"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7CCD4CF7"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E. Secuencia de formación para generar la cadena original para comprobantes fiscales digitales por Internet</w:t>
      </w:r>
    </w:p>
    <w:p w14:paraId="6B0EA420" w14:textId="77777777" w:rsidR="005C5028" w:rsidRPr="005D58F0" w:rsidRDefault="005C5028" w:rsidP="005D58F0">
      <w:pPr>
        <w:ind w:left="851" w:right="899"/>
        <w:jc w:val="both"/>
        <w:rPr>
          <w:rFonts w:ascii="Palatino Linotype" w:eastAsia="Palatino Linotype" w:hAnsi="Palatino Linotype" w:cs="Palatino Linotype"/>
          <w:b/>
          <w:i/>
          <w:sz w:val="22"/>
          <w:szCs w:val="22"/>
        </w:rPr>
      </w:pPr>
      <w:r w:rsidRPr="005D58F0">
        <w:rPr>
          <w:rFonts w:ascii="Palatino Linotype" w:eastAsia="Palatino Linotype" w:hAnsi="Palatino Linotype" w:cs="Palatino Linotype"/>
          <w:b/>
          <w:i/>
          <w:sz w:val="22"/>
          <w:szCs w:val="22"/>
        </w:rPr>
        <w:t>Secuencia de Formación:</w:t>
      </w:r>
    </w:p>
    <w:p w14:paraId="2BBB5E55"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b/>
          <w:i/>
          <w:sz w:val="22"/>
          <w:szCs w:val="22"/>
        </w:rPr>
        <w:t>La secuencia de formación siempre se registra en el orden que se expresa a continuación</w:t>
      </w:r>
      <w:r w:rsidRPr="005D58F0">
        <w:rPr>
          <w:rFonts w:ascii="Palatino Linotype" w:eastAsia="Palatino Linotype" w:hAnsi="Palatino Linotype" w:cs="Palatino Linotype"/>
          <w:i/>
          <w:sz w:val="22"/>
          <w:szCs w:val="22"/>
        </w:rPr>
        <w:t>,</w:t>
      </w:r>
    </w:p>
    <w:p w14:paraId="4E1E9C59"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w:t>
      </w:r>
    </w:p>
    <w:p w14:paraId="0760E863"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3. Información del nodo Emisor</w:t>
      </w:r>
    </w:p>
    <w:p w14:paraId="2BBFE094"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a. </w:t>
      </w:r>
      <w:proofErr w:type="spellStart"/>
      <w:r w:rsidRPr="005D58F0">
        <w:rPr>
          <w:rFonts w:ascii="Palatino Linotype" w:eastAsia="Palatino Linotype" w:hAnsi="Palatino Linotype" w:cs="Palatino Linotype"/>
          <w:i/>
          <w:sz w:val="22"/>
          <w:szCs w:val="22"/>
        </w:rPr>
        <w:t>Rfc</w:t>
      </w:r>
      <w:proofErr w:type="spellEnd"/>
    </w:p>
    <w:p w14:paraId="7B175398"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b. Nombre</w:t>
      </w:r>
    </w:p>
    <w:p w14:paraId="48EEF983"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c. </w:t>
      </w:r>
      <w:proofErr w:type="spellStart"/>
      <w:r w:rsidRPr="005D58F0">
        <w:rPr>
          <w:rFonts w:ascii="Palatino Linotype" w:eastAsia="Palatino Linotype" w:hAnsi="Palatino Linotype" w:cs="Palatino Linotype"/>
          <w:i/>
          <w:sz w:val="22"/>
          <w:szCs w:val="22"/>
        </w:rPr>
        <w:t>RegimenFiscal</w:t>
      </w:r>
      <w:proofErr w:type="spellEnd"/>
    </w:p>
    <w:p w14:paraId="12E6E3D8"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4. Información del nodo Receptor</w:t>
      </w:r>
    </w:p>
    <w:p w14:paraId="3EBF935C"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a. </w:t>
      </w:r>
      <w:proofErr w:type="spellStart"/>
      <w:r w:rsidRPr="005D58F0">
        <w:rPr>
          <w:rFonts w:ascii="Palatino Linotype" w:eastAsia="Palatino Linotype" w:hAnsi="Palatino Linotype" w:cs="Palatino Linotype"/>
          <w:i/>
          <w:sz w:val="22"/>
          <w:szCs w:val="22"/>
        </w:rPr>
        <w:t>Rfc</w:t>
      </w:r>
      <w:proofErr w:type="spellEnd"/>
    </w:p>
    <w:p w14:paraId="56850B9C"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b. Nombre</w:t>
      </w:r>
    </w:p>
    <w:p w14:paraId="491B3BAF"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c. Residencia Fiscal</w:t>
      </w:r>
    </w:p>
    <w:p w14:paraId="34CD8483"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d. </w:t>
      </w:r>
      <w:proofErr w:type="spellStart"/>
      <w:r w:rsidRPr="005D58F0">
        <w:rPr>
          <w:rFonts w:ascii="Palatino Linotype" w:eastAsia="Palatino Linotype" w:hAnsi="Palatino Linotype" w:cs="Palatino Linotype"/>
          <w:i/>
          <w:sz w:val="22"/>
          <w:szCs w:val="22"/>
        </w:rPr>
        <w:t>NumRegIdTrib</w:t>
      </w:r>
      <w:proofErr w:type="spellEnd"/>
    </w:p>
    <w:p w14:paraId="4B616A8F" w14:textId="77777777" w:rsidR="005C5028" w:rsidRPr="005D58F0" w:rsidRDefault="005C5028" w:rsidP="005D58F0">
      <w:pPr>
        <w:ind w:left="851" w:right="899"/>
        <w:jc w:val="both"/>
        <w:rPr>
          <w:rFonts w:ascii="Palatino Linotype" w:eastAsia="Palatino Linotype" w:hAnsi="Palatino Linotype" w:cs="Palatino Linotype"/>
          <w:i/>
          <w:sz w:val="22"/>
          <w:szCs w:val="22"/>
        </w:rPr>
      </w:pPr>
      <w:r w:rsidRPr="005D58F0">
        <w:rPr>
          <w:rFonts w:ascii="Palatino Linotype" w:eastAsia="Palatino Linotype" w:hAnsi="Palatino Linotype" w:cs="Palatino Linotype"/>
          <w:i/>
          <w:sz w:val="22"/>
          <w:szCs w:val="22"/>
        </w:rPr>
        <w:t xml:space="preserve">e. </w:t>
      </w:r>
      <w:proofErr w:type="spellStart"/>
      <w:r w:rsidRPr="005D58F0">
        <w:rPr>
          <w:rFonts w:ascii="Palatino Linotype" w:eastAsia="Palatino Linotype" w:hAnsi="Palatino Linotype" w:cs="Palatino Linotype"/>
          <w:i/>
          <w:sz w:val="22"/>
          <w:szCs w:val="22"/>
        </w:rPr>
        <w:t>UsoCFDI</w:t>
      </w:r>
      <w:proofErr w:type="spellEnd"/>
      <w:r w:rsidRPr="005D58F0">
        <w:rPr>
          <w:rFonts w:ascii="Palatino Linotype" w:eastAsia="Palatino Linotype" w:hAnsi="Palatino Linotype" w:cs="Palatino Linotype"/>
          <w:i/>
          <w:sz w:val="22"/>
          <w:szCs w:val="22"/>
        </w:rPr>
        <w:t>”</w:t>
      </w:r>
    </w:p>
    <w:p w14:paraId="7341C909" w14:textId="77777777" w:rsidR="005C5028" w:rsidRPr="005D58F0" w:rsidRDefault="005C5028" w:rsidP="005D58F0">
      <w:pPr>
        <w:spacing w:line="360" w:lineRule="auto"/>
        <w:ind w:right="-93"/>
        <w:jc w:val="both"/>
        <w:rPr>
          <w:rFonts w:ascii="Palatino Linotype" w:eastAsia="Palatino Linotype" w:hAnsi="Palatino Linotype" w:cs="Palatino Linotype"/>
        </w:rPr>
      </w:pPr>
    </w:p>
    <w:p w14:paraId="249EDA85" w14:textId="5877282B" w:rsidR="005C5028" w:rsidRPr="005D58F0" w:rsidRDefault="005C5028"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Como consecuencia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deberá testar los datos referidos con antelación, sin pasar inadvertido que la clasificación respectiva tiene que cumplirse mediante las formalidades que la ley impone.</w:t>
      </w:r>
    </w:p>
    <w:p w14:paraId="16337234" w14:textId="77777777" w:rsidR="00124312" w:rsidRPr="005D58F0" w:rsidRDefault="00124312" w:rsidP="005D58F0">
      <w:pPr>
        <w:spacing w:line="360" w:lineRule="auto"/>
        <w:jc w:val="both"/>
        <w:rPr>
          <w:rFonts w:ascii="Palatino Linotype" w:eastAsia="Palatino Linotype" w:hAnsi="Palatino Linotype" w:cs="Palatino Linotype"/>
        </w:rPr>
      </w:pPr>
    </w:p>
    <w:p w14:paraId="7D31E8EB" w14:textId="77777777" w:rsidR="005C5028" w:rsidRPr="005D58F0" w:rsidRDefault="005C5028"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Así, para el caso de que el o los documentos de los cuales se ordena su entrega, contienen datos personales susceptibles de ser testados, deberán ser entregados en </w:t>
      </w:r>
      <w:r w:rsidRPr="005D58F0">
        <w:rPr>
          <w:rFonts w:ascii="Palatino Linotype" w:eastAsia="Palatino Linotype" w:hAnsi="Palatino Linotype" w:cs="Palatino Linotype"/>
          <w:b/>
        </w:rPr>
        <w:t>versión pública</w:t>
      </w:r>
      <w:r w:rsidRPr="005D58F0">
        <w:rPr>
          <w:rFonts w:ascii="Palatino Linotype" w:eastAsia="Palatino Linotype" w:hAnsi="Palatino Linotype" w:cs="Palatino Linotype"/>
        </w:rPr>
        <w:t>; pues, el derecho de acceso a la información pública</w:t>
      </w:r>
      <w:r w:rsidRPr="005D58F0">
        <w:rPr>
          <w:rFonts w:ascii="Calibri" w:eastAsia="Calibri" w:hAnsi="Calibri" w:cs="Calibri"/>
          <w:sz w:val="22"/>
          <w:szCs w:val="22"/>
        </w:rPr>
        <w:t xml:space="preserve"> </w:t>
      </w:r>
      <w:r w:rsidRPr="005D58F0">
        <w:rPr>
          <w:rFonts w:ascii="Palatino Linotype" w:eastAsia="Palatino Linotype" w:hAnsi="Palatino Linotype" w:cs="Palatino Linotype"/>
        </w:rPr>
        <w:t xml:space="preserve">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w:t>
      </w:r>
      <w:r w:rsidRPr="005D58F0">
        <w:rPr>
          <w:rFonts w:ascii="Palatino Linotype" w:eastAsia="Palatino Linotype" w:hAnsi="Palatino Linotype" w:cs="Palatino Linotype"/>
        </w:rPr>
        <w:lastRenderedPageBreak/>
        <w:t>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EC17FF2" w14:textId="77777777" w:rsidR="005C5028" w:rsidRPr="005D58F0" w:rsidRDefault="005C5028" w:rsidP="005D58F0">
      <w:pPr>
        <w:spacing w:line="360" w:lineRule="auto"/>
        <w:jc w:val="both"/>
        <w:rPr>
          <w:rFonts w:ascii="Palatino Linotype" w:eastAsia="Palatino Linotype" w:hAnsi="Palatino Linotype" w:cs="Palatino Linotype"/>
        </w:rPr>
      </w:pPr>
    </w:p>
    <w:p w14:paraId="29A6C808" w14:textId="50D33C80" w:rsidR="0053592A" w:rsidRPr="005D58F0" w:rsidRDefault="005C5028" w:rsidP="005D58F0">
      <w:pPr>
        <w:spacing w:line="360" w:lineRule="auto"/>
        <w:ind w:right="-91"/>
        <w:jc w:val="both"/>
        <w:rPr>
          <w:rFonts w:ascii="Palatino Linotype" w:eastAsia="Palatino Linotype" w:hAnsi="Palatino Linotype" w:cs="Palatino Linotype"/>
        </w:rPr>
      </w:pPr>
      <w:r w:rsidRPr="005D58F0">
        <w:rPr>
          <w:rFonts w:ascii="Palatino Linotype" w:eastAsia="Palatino Linotype" w:hAnsi="Palatino Linotype" w:cs="Palatino Linotype"/>
        </w:rPr>
        <w:t xml:space="preserve">Consecuentemente, se destaca que la versión pública que elabore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xml:space="preserve"> debe cumplir con las formalidades exigidas en la Ley, por lo que para tal efecto emitirá el </w:t>
      </w:r>
      <w:r w:rsidRPr="005D58F0">
        <w:rPr>
          <w:rFonts w:ascii="Palatino Linotype" w:eastAsia="Palatino Linotype" w:hAnsi="Palatino Linotype" w:cs="Palatino Linotype"/>
          <w:b/>
        </w:rPr>
        <w:t>Acuerdo del Comité de Transparencia</w:t>
      </w:r>
      <w:r w:rsidRPr="005D58F0">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7B35581" w14:textId="77777777" w:rsidR="005C5028" w:rsidRPr="005D58F0" w:rsidRDefault="005C5028" w:rsidP="005D58F0">
      <w:pPr>
        <w:spacing w:line="360" w:lineRule="auto"/>
        <w:ind w:right="-91"/>
        <w:jc w:val="both"/>
        <w:rPr>
          <w:rFonts w:ascii="Palatino Linotype" w:eastAsia="Palatino Linotype" w:hAnsi="Palatino Linotype" w:cs="Palatino Linotype"/>
        </w:rPr>
      </w:pPr>
    </w:p>
    <w:p w14:paraId="7E54B50B" w14:textId="77777777" w:rsidR="0053592A" w:rsidRPr="005D58F0" w:rsidRDefault="00263B8E" w:rsidP="005D58F0">
      <w:pPr>
        <w:tabs>
          <w:tab w:val="left" w:pos="709"/>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rPr>
        <w:t>Por lo que, con fundamento en lo previsto en los artículos 5, párrafos trigésimos segundo, trigésimo tercero y trigésimo cuarto, fracciones IV y V de la Constitución Política del Estado Libre y Soberano de México; 2, fracción II, 29, 36, fracciones I y II, 176, 178, 179, 181, 185 fracción I, 186 y 188 de la Ley de Transparencia local, este Pleno:</w:t>
      </w:r>
    </w:p>
    <w:p w14:paraId="63E613DF" w14:textId="77777777" w:rsidR="008E5261" w:rsidRPr="005D58F0" w:rsidRDefault="008E5261" w:rsidP="005D58F0">
      <w:pPr>
        <w:tabs>
          <w:tab w:val="left" w:pos="709"/>
        </w:tabs>
        <w:spacing w:line="360" w:lineRule="auto"/>
        <w:ind w:right="49"/>
        <w:jc w:val="both"/>
        <w:rPr>
          <w:rFonts w:ascii="Palatino Linotype" w:eastAsia="Palatino Linotype" w:hAnsi="Palatino Linotype" w:cs="Palatino Linotype"/>
        </w:rPr>
      </w:pPr>
    </w:p>
    <w:p w14:paraId="5E62218D" w14:textId="77777777" w:rsidR="0053592A" w:rsidRPr="005D58F0" w:rsidRDefault="00263B8E" w:rsidP="005D58F0">
      <w:pPr>
        <w:jc w:val="center"/>
        <w:rPr>
          <w:rFonts w:ascii="Palatino Linotype" w:eastAsia="Palatino Linotype" w:hAnsi="Palatino Linotype" w:cs="Palatino Linotype"/>
          <w:b/>
          <w:sz w:val="28"/>
          <w:szCs w:val="28"/>
        </w:rPr>
      </w:pPr>
      <w:r w:rsidRPr="005D58F0">
        <w:rPr>
          <w:rFonts w:ascii="Palatino Linotype" w:eastAsia="Palatino Linotype" w:hAnsi="Palatino Linotype" w:cs="Palatino Linotype"/>
          <w:b/>
          <w:sz w:val="28"/>
          <w:szCs w:val="28"/>
        </w:rPr>
        <w:lastRenderedPageBreak/>
        <w:t>R E S U E L V E</w:t>
      </w:r>
    </w:p>
    <w:p w14:paraId="75ADFBE1" w14:textId="77777777" w:rsidR="0053592A" w:rsidRPr="005D58F0" w:rsidRDefault="0053592A" w:rsidP="005D58F0">
      <w:pPr>
        <w:spacing w:line="360" w:lineRule="auto"/>
        <w:ind w:right="49"/>
        <w:jc w:val="both"/>
        <w:rPr>
          <w:rFonts w:ascii="Palatino Linotype" w:eastAsia="Palatino Linotype" w:hAnsi="Palatino Linotype" w:cs="Palatino Linotype"/>
          <w:b/>
        </w:rPr>
      </w:pPr>
    </w:p>
    <w:p w14:paraId="2EA4E8E4" w14:textId="2F1BFE9D" w:rsidR="0053592A" w:rsidRPr="005D58F0" w:rsidRDefault="00263B8E" w:rsidP="005D58F0">
      <w:pPr>
        <w:widowControl w:val="0"/>
        <w:tabs>
          <w:tab w:val="left" w:pos="1701"/>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PRIMERO</w:t>
      </w:r>
      <w:r w:rsidRPr="005D58F0">
        <w:rPr>
          <w:rFonts w:ascii="Palatino Linotype" w:eastAsia="Palatino Linotype" w:hAnsi="Palatino Linotype" w:cs="Palatino Linotype"/>
          <w:b/>
        </w:rPr>
        <w:t>.</w:t>
      </w:r>
      <w:r w:rsidRPr="005D58F0">
        <w:rPr>
          <w:rFonts w:ascii="Palatino Linotype" w:eastAsia="Palatino Linotype" w:hAnsi="Palatino Linotype" w:cs="Palatino Linotype"/>
        </w:rPr>
        <w:t xml:space="preserve"> Resultan infundadas las manifestaciones hechas valer por </w:t>
      </w:r>
      <w:r w:rsidRPr="005D58F0">
        <w:rPr>
          <w:rFonts w:ascii="Palatino Linotype" w:eastAsia="Palatino Linotype" w:hAnsi="Palatino Linotype" w:cs="Palatino Linotype"/>
          <w:b/>
        </w:rPr>
        <w:t>LA</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RECURRENTE</w:t>
      </w:r>
      <w:r w:rsidRPr="005D58F0">
        <w:rPr>
          <w:rFonts w:ascii="Palatino Linotype" w:eastAsia="Palatino Linotype" w:hAnsi="Palatino Linotype" w:cs="Palatino Linotype"/>
        </w:rPr>
        <w:t xml:space="preserve"> en el Recursos de Revisión </w:t>
      </w:r>
      <w:bookmarkStart w:id="11" w:name="_Hlk158146167"/>
      <w:r w:rsidRPr="005D58F0">
        <w:rPr>
          <w:rFonts w:ascii="Palatino Linotype" w:eastAsia="Palatino Linotype" w:hAnsi="Palatino Linotype" w:cs="Palatino Linotype"/>
          <w:b/>
        </w:rPr>
        <w:t>00767/INFOEM/IP/RR/2023</w:t>
      </w:r>
      <w:r w:rsidRPr="005D58F0">
        <w:rPr>
          <w:rFonts w:ascii="Palatino Linotype" w:eastAsia="Palatino Linotype" w:hAnsi="Palatino Linotype" w:cs="Palatino Linotype"/>
        </w:rPr>
        <w:t xml:space="preserve"> </w:t>
      </w:r>
      <w:bookmarkEnd w:id="11"/>
      <w:r w:rsidRPr="005D58F0">
        <w:rPr>
          <w:rFonts w:ascii="Palatino Linotype" w:eastAsia="Palatino Linotype" w:hAnsi="Palatino Linotype" w:cs="Palatino Linotype"/>
        </w:rPr>
        <w:t xml:space="preserve">en términos del considerando </w:t>
      </w:r>
      <w:r w:rsidR="008E5261" w:rsidRPr="005D58F0">
        <w:rPr>
          <w:rFonts w:ascii="Palatino Linotype" w:eastAsia="Palatino Linotype" w:hAnsi="Palatino Linotype" w:cs="Palatino Linotype"/>
          <w:b/>
        </w:rPr>
        <w:t xml:space="preserve">SEXTO </w:t>
      </w:r>
      <w:r w:rsidRPr="005D58F0">
        <w:rPr>
          <w:rFonts w:ascii="Palatino Linotype" w:eastAsia="Palatino Linotype" w:hAnsi="Palatino Linotype" w:cs="Palatino Linotype"/>
        </w:rPr>
        <w:t xml:space="preserve">por lo que se </w:t>
      </w:r>
      <w:r w:rsidRPr="005D58F0">
        <w:rPr>
          <w:rFonts w:ascii="Palatino Linotype" w:eastAsia="Palatino Linotype" w:hAnsi="Palatino Linotype" w:cs="Palatino Linotype"/>
          <w:b/>
        </w:rPr>
        <w:t>CONFIRMA</w:t>
      </w:r>
      <w:r w:rsidRPr="005D58F0">
        <w:rPr>
          <w:rFonts w:ascii="Palatino Linotype" w:eastAsia="Palatino Linotype" w:hAnsi="Palatino Linotype" w:cs="Palatino Linotype"/>
        </w:rPr>
        <w:t xml:space="preserve"> la respuesta emitida por el </w:t>
      </w:r>
      <w:r w:rsidRPr="005D58F0">
        <w:rPr>
          <w:rFonts w:ascii="Palatino Linotype" w:eastAsia="Palatino Linotype" w:hAnsi="Palatino Linotype" w:cs="Palatino Linotype"/>
          <w:b/>
        </w:rPr>
        <w:t xml:space="preserve">SUJETO OBLIGADO </w:t>
      </w:r>
      <w:r w:rsidRPr="005D58F0">
        <w:rPr>
          <w:rFonts w:ascii="Palatino Linotype" w:eastAsia="Palatino Linotype" w:hAnsi="Palatino Linotype" w:cs="Palatino Linotype"/>
        </w:rPr>
        <w:t>en ese recurso.</w:t>
      </w:r>
    </w:p>
    <w:p w14:paraId="078739F0" w14:textId="77777777" w:rsidR="0053592A" w:rsidRPr="005D58F0" w:rsidRDefault="0053592A" w:rsidP="005D58F0">
      <w:pPr>
        <w:widowControl w:val="0"/>
        <w:tabs>
          <w:tab w:val="left" w:pos="1701"/>
        </w:tabs>
        <w:spacing w:line="360" w:lineRule="auto"/>
        <w:jc w:val="both"/>
        <w:rPr>
          <w:rFonts w:ascii="Palatino Linotype" w:eastAsia="Palatino Linotype" w:hAnsi="Palatino Linotype" w:cs="Palatino Linotype"/>
        </w:rPr>
      </w:pPr>
    </w:p>
    <w:p w14:paraId="69C66E1F" w14:textId="32519DEB" w:rsidR="0053592A" w:rsidRPr="005D58F0" w:rsidRDefault="00263B8E" w:rsidP="005D58F0">
      <w:pPr>
        <w:spacing w:line="360" w:lineRule="auto"/>
        <w:jc w:val="both"/>
        <w:rPr>
          <w:rFonts w:ascii="Palatino Linotype" w:eastAsia="Palatino Linotype" w:hAnsi="Palatino Linotype" w:cs="Palatino Linotype"/>
          <w:b/>
        </w:rPr>
      </w:pPr>
      <w:r w:rsidRPr="005D58F0">
        <w:rPr>
          <w:rFonts w:ascii="Palatino Linotype" w:eastAsia="Palatino Linotype" w:hAnsi="Palatino Linotype" w:cs="Palatino Linotype"/>
          <w:b/>
          <w:sz w:val="28"/>
          <w:szCs w:val="28"/>
        </w:rPr>
        <w:t>SEGUNDO</w:t>
      </w:r>
      <w:r w:rsidRPr="005D58F0">
        <w:rPr>
          <w:rFonts w:ascii="Palatino Linotype" w:eastAsia="Palatino Linotype" w:hAnsi="Palatino Linotype" w:cs="Palatino Linotype"/>
          <w:b/>
        </w:rPr>
        <w:t>.</w:t>
      </w:r>
      <w:r w:rsidRPr="005D58F0">
        <w:rPr>
          <w:rFonts w:ascii="Palatino Linotype" w:eastAsia="Palatino Linotype" w:hAnsi="Palatino Linotype" w:cs="Palatino Linotype"/>
        </w:rPr>
        <w:t xml:space="preserve"> </w:t>
      </w:r>
      <w:r w:rsidR="00057DF8" w:rsidRPr="005D58F0">
        <w:rPr>
          <w:rFonts w:ascii="Palatino Linotype" w:eastAsia="Palatino Linotype" w:hAnsi="Palatino Linotype" w:cs="Palatino Linotype"/>
        </w:rPr>
        <w:t xml:space="preserve">Resultan </w:t>
      </w:r>
      <w:r w:rsidR="00057DF8" w:rsidRPr="005D58F0">
        <w:rPr>
          <w:rFonts w:ascii="Palatino Linotype" w:eastAsia="Palatino Linotype" w:hAnsi="Palatino Linotype" w:cs="Palatino Linotype"/>
          <w:b/>
        </w:rPr>
        <w:t>fundados</w:t>
      </w:r>
      <w:r w:rsidR="00057DF8" w:rsidRPr="005D58F0">
        <w:rPr>
          <w:rFonts w:ascii="Palatino Linotype" w:eastAsia="Palatino Linotype" w:hAnsi="Palatino Linotype" w:cs="Palatino Linotype"/>
        </w:rPr>
        <w:t xml:space="preserve"> los motivos de inconformidad que generaron los Recursos de Revisión </w:t>
      </w:r>
      <w:r w:rsidR="00057DF8" w:rsidRPr="005D58F0">
        <w:rPr>
          <w:rFonts w:ascii="Palatino Linotype" w:eastAsia="Palatino Linotype" w:hAnsi="Palatino Linotype" w:cs="Palatino Linotype"/>
          <w:b/>
        </w:rPr>
        <w:t>00773/INFOEM/IP/RR/2023</w:t>
      </w:r>
      <w:r w:rsidR="00057DF8" w:rsidRPr="005D58F0">
        <w:rPr>
          <w:rFonts w:ascii="Palatino Linotype" w:eastAsia="Palatino Linotype" w:hAnsi="Palatino Linotype" w:cs="Palatino Linotype"/>
        </w:rPr>
        <w:t xml:space="preserve"> y </w:t>
      </w:r>
      <w:r w:rsidR="00057DF8" w:rsidRPr="005D58F0">
        <w:rPr>
          <w:rFonts w:ascii="Palatino Linotype" w:eastAsia="Palatino Linotype" w:hAnsi="Palatino Linotype" w:cs="Palatino Linotype"/>
          <w:b/>
        </w:rPr>
        <w:t xml:space="preserve">00769/INFOEM/IP/RR/2023, </w:t>
      </w:r>
      <w:r w:rsidR="00057DF8" w:rsidRPr="005D58F0">
        <w:rPr>
          <w:rFonts w:ascii="Palatino Linotype" w:eastAsia="Palatino Linotype" w:hAnsi="Palatino Linotype" w:cs="Palatino Linotype"/>
        </w:rPr>
        <w:t>por lo que s</w:t>
      </w:r>
      <w:r w:rsidRPr="005D58F0">
        <w:rPr>
          <w:rFonts w:ascii="Palatino Linotype" w:eastAsia="Palatino Linotype" w:hAnsi="Palatino Linotype" w:cs="Palatino Linotype"/>
        </w:rPr>
        <w:t xml:space="preserve">e </w:t>
      </w:r>
      <w:r w:rsidRPr="005D58F0">
        <w:rPr>
          <w:rFonts w:ascii="Palatino Linotype" w:eastAsia="Palatino Linotype" w:hAnsi="Palatino Linotype" w:cs="Palatino Linotype"/>
          <w:b/>
        </w:rPr>
        <w:t xml:space="preserve">MODIFICAN </w:t>
      </w:r>
      <w:r w:rsidRPr="005D58F0">
        <w:rPr>
          <w:rFonts w:ascii="Palatino Linotype" w:eastAsia="Palatino Linotype" w:hAnsi="Palatino Linotype" w:cs="Palatino Linotype"/>
        </w:rPr>
        <w:t xml:space="preserve">las respuestas proporcionadas por </w:t>
      </w:r>
      <w:r w:rsidRPr="005D58F0">
        <w:rPr>
          <w:rFonts w:ascii="Palatino Linotype" w:eastAsia="Palatino Linotype" w:hAnsi="Palatino Linotype" w:cs="Palatino Linotype"/>
          <w:b/>
        </w:rPr>
        <w:t>EL SUJETO OBLIGADO</w:t>
      </w:r>
      <w:r w:rsidRPr="005D58F0">
        <w:rPr>
          <w:rFonts w:ascii="Palatino Linotype" w:eastAsia="Palatino Linotype" w:hAnsi="Palatino Linotype" w:cs="Palatino Linotype"/>
        </w:rPr>
        <w:t>, en términos del considerando</w:t>
      </w:r>
      <w:r w:rsidRPr="005D58F0">
        <w:rPr>
          <w:rFonts w:ascii="Palatino Linotype" w:eastAsia="Palatino Linotype" w:hAnsi="Palatino Linotype" w:cs="Palatino Linotype"/>
          <w:b/>
        </w:rPr>
        <w:t xml:space="preserve"> </w:t>
      </w:r>
      <w:r w:rsidR="008E5261" w:rsidRPr="005D58F0">
        <w:rPr>
          <w:rFonts w:ascii="Palatino Linotype" w:eastAsia="Palatino Linotype" w:hAnsi="Palatino Linotype" w:cs="Palatino Linotype"/>
          <w:b/>
        </w:rPr>
        <w:t>SEXTO</w:t>
      </w:r>
      <w:r w:rsidRPr="005D58F0">
        <w:rPr>
          <w:rFonts w:ascii="Palatino Linotype" w:eastAsia="Palatino Linotype" w:hAnsi="Palatino Linotype" w:cs="Palatino Linotype"/>
        </w:rPr>
        <w:t xml:space="preserve"> y se </w:t>
      </w:r>
      <w:r w:rsidRPr="005D58F0">
        <w:rPr>
          <w:rFonts w:ascii="Palatino Linotype" w:eastAsia="Palatino Linotype" w:hAnsi="Palatino Linotype" w:cs="Palatino Linotype"/>
          <w:b/>
        </w:rPr>
        <w:t>ORDENA</w:t>
      </w:r>
      <w:r w:rsidRPr="005D58F0">
        <w:rPr>
          <w:rFonts w:ascii="Palatino Linotype" w:eastAsia="Palatino Linotype" w:hAnsi="Palatino Linotype" w:cs="Palatino Linotype"/>
        </w:rPr>
        <w:t xml:space="preserve"> </w:t>
      </w:r>
      <w:r w:rsidR="00057DF8" w:rsidRPr="005D58F0">
        <w:rPr>
          <w:rFonts w:ascii="Palatino Linotype" w:eastAsia="Palatino Linotype" w:hAnsi="Palatino Linotype" w:cs="Palatino Linotype"/>
        </w:rPr>
        <w:t>haga</w:t>
      </w:r>
      <w:r w:rsidRPr="005D58F0">
        <w:rPr>
          <w:rFonts w:ascii="Palatino Linotype" w:eastAsia="Palatino Linotype" w:hAnsi="Palatino Linotype" w:cs="Palatino Linotype"/>
        </w:rPr>
        <w:t xml:space="preserve"> entrega a </w:t>
      </w:r>
      <w:r w:rsidRPr="005D58F0">
        <w:rPr>
          <w:rFonts w:ascii="Palatino Linotype" w:eastAsia="Palatino Linotype" w:hAnsi="Palatino Linotype" w:cs="Palatino Linotype"/>
          <w:b/>
        </w:rPr>
        <w:t xml:space="preserve">LA RECURRENTE, </w:t>
      </w:r>
      <w:r w:rsidRPr="005D58F0">
        <w:rPr>
          <w:rFonts w:ascii="Palatino Linotype" w:eastAsia="Palatino Linotype" w:hAnsi="Palatino Linotype" w:cs="Palatino Linotype"/>
        </w:rPr>
        <w:t xml:space="preserve">a través del </w:t>
      </w:r>
      <w:r w:rsidRPr="005D58F0">
        <w:rPr>
          <w:rFonts w:ascii="Palatino Linotype" w:eastAsia="Palatino Linotype" w:hAnsi="Palatino Linotype" w:cs="Palatino Linotype"/>
          <w:b/>
        </w:rPr>
        <w:t xml:space="preserve">SAIMEX </w:t>
      </w:r>
      <w:r w:rsidRPr="005D58F0">
        <w:rPr>
          <w:rFonts w:ascii="Palatino Linotype" w:eastAsia="Palatino Linotype" w:hAnsi="Palatino Linotype" w:cs="Palatino Linotype"/>
        </w:rPr>
        <w:t xml:space="preserve">de ser procedente en </w:t>
      </w:r>
      <w:r w:rsidRPr="005D58F0">
        <w:rPr>
          <w:rFonts w:ascii="Palatino Linotype" w:eastAsia="Palatino Linotype" w:hAnsi="Palatino Linotype" w:cs="Palatino Linotype"/>
          <w:b/>
        </w:rPr>
        <w:t>versión pública</w:t>
      </w:r>
      <w:r w:rsidRPr="005D58F0">
        <w:rPr>
          <w:rFonts w:ascii="Palatino Linotype" w:eastAsia="Palatino Linotype" w:hAnsi="Palatino Linotype" w:cs="Palatino Linotype"/>
        </w:rPr>
        <w:t xml:space="preserve"> los documentos donde conste lo siguiente</w:t>
      </w:r>
      <w:r w:rsidRPr="005D58F0">
        <w:rPr>
          <w:rFonts w:ascii="Palatino Linotype" w:eastAsia="Palatino Linotype" w:hAnsi="Palatino Linotype" w:cs="Palatino Linotype"/>
          <w:b/>
        </w:rPr>
        <w:t>:</w:t>
      </w:r>
    </w:p>
    <w:p w14:paraId="7C7B9577" w14:textId="77777777" w:rsidR="0053592A" w:rsidRPr="005D58F0" w:rsidRDefault="0053592A" w:rsidP="005D58F0">
      <w:pPr>
        <w:spacing w:line="360" w:lineRule="auto"/>
        <w:jc w:val="both"/>
        <w:rPr>
          <w:rFonts w:ascii="Palatino Linotype" w:eastAsia="Palatino Linotype" w:hAnsi="Palatino Linotype" w:cs="Palatino Linotype"/>
          <w:b/>
          <w:sz w:val="20"/>
        </w:rPr>
      </w:pPr>
    </w:p>
    <w:p w14:paraId="2C220040" w14:textId="77777777" w:rsidR="0053592A" w:rsidRPr="005D58F0" w:rsidRDefault="00263B8E" w:rsidP="005D58F0">
      <w:pPr>
        <w:numPr>
          <w:ilvl w:val="1"/>
          <w:numId w:val="5"/>
        </w:numPr>
        <w:pBdr>
          <w:top w:val="nil"/>
          <w:left w:val="nil"/>
          <w:bottom w:val="nil"/>
          <w:right w:val="nil"/>
          <w:between w:val="nil"/>
        </w:pBdr>
        <w:ind w:left="1276" w:right="899"/>
        <w:jc w:val="both"/>
        <w:rPr>
          <w:rFonts w:ascii="Palatino Linotype" w:eastAsia="Palatino Linotype" w:hAnsi="Palatino Linotype" w:cs="Palatino Linotype"/>
          <w:i/>
        </w:rPr>
      </w:pPr>
      <w:bookmarkStart w:id="12" w:name="_Hlk158195593"/>
      <w:r w:rsidRPr="005D58F0">
        <w:rPr>
          <w:rFonts w:ascii="Palatino Linotype" w:eastAsia="Palatino Linotype" w:hAnsi="Palatino Linotype" w:cs="Palatino Linotype"/>
          <w:i/>
        </w:rPr>
        <w:t>Facturas que den cuenta de los gastos erogados durante el año 2022 por conceptos de gas y mantenimiento</w:t>
      </w:r>
      <w:r w:rsidRPr="005D58F0">
        <w:t xml:space="preserve"> </w:t>
      </w:r>
      <w:r w:rsidRPr="005D58F0">
        <w:rPr>
          <w:rFonts w:ascii="Palatino Linotype" w:eastAsia="Palatino Linotype" w:hAnsi="Palatino Linotype" w:cs="Palatino Linotype"/>
          <w:i/>
        </w:rPr>
        <w:t>de la alberca municipal.</w:t>
      </w:r>
    </w:p>
    <w:p w14:paraId="0185232C" w14:textId="0CBD0A01" w:rsidR="004612BE" w:rsidRPr="005D58F0" w:rsidRDefault="00263B8E" w:rsidP="005D58F0">
      <w:pPr>
        <w:numPr>
          <w:ilvl w:val="1"/>
          <w:numId w:val="5"/>
        </w:numPr>
        <w:pBdr>
          <w:top w:val="nil"/>
          <w:left w:val="nil"/>
          <w:bottom w:val="nil"/>
          <w:right w:val="nil"/>
          <w:between w:val="nil"/>
        </w:pBdr>
        <w:ind w:left="1276"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Listas de asistencia de todo el personal adscrito a todas las direcciones del 1 de enero al 31 de diciembre de 2022, que no se encuentren en las categorías de mandos medios y superiores</w:t>
      </w:r>
      <w:r w:rsidR="00487EC2" w:rsidRPr="005D58F0">
        <w:rPr>
          <w:rFonts w:ascii="Palatino Linotype" w:eastAsia="Palatino Linotype" w:hAnsi="Palatino Linotype" w:cs="Palatino Linotype"/>
          <w:i/>
        </w:rPr>
        <w:t>, o en su caso, e</w:t>
      </w:r>
      <w:r w:rsidR="008E5261" w:rsidRPr="005D58F0">
        <w:rPr>
          <w:rFonts w:ascii="Palatino Linotype" w:eastAsia="Palatino Linotype" w:hAnsi="Palatino Linotype" w:cs="Palatino Linotype"/>
          <w:i/>
        </w:rPr>
        <w:t>l</w:t>
      </w:r>
      <w:r w:rsidR="00487EC2" w:rsidRPr="005D58F0">
        <w:rPr>
          <w:rFonts w:ascii="Palatino Linotype" w:eastAsia="Palatino Linotype" w:hAnsi="Palatino Linotype" w:cs="Palatino Linotype"/>
          <w:i/>
        </w:rPr>
        <w:t xml:space="preserve"> documento donde conste que estén exceptuados de registrar su asistencia.</w:t>
      </w:r>
    </w:p>
    <w:p w14:paraId="1974A21D" w14:textId="614D185C" w:rsidR="0053592A" w:rsidRPr="005D58F0" w:rsidRDefault="004612BE" w:rsidP="005D58F0">
      <w:pPr>
        <w:numPr>
          <w:ilvl w:val="1"/>
          <w:numId w:val="5"/>
        </w:numPr>
        <w:pBdr>
          <w:top w:val="nil"/>
          <w:left w:val="nil"/>
          <w:bottom w:val="nil"/>
          <w:right w:val="nil"/>
          <w:between w:val="nil"/>
        </w:pBdr>
        <w:ind w:left="1276" w:right="899"/>
        <w:jc w:val="both"/>
        <w:rPr>
          <w:rFonts w:ascii="Palatino Linotype" w:eastAsia="Palatino Linotype" w:hAnsi="Palatino Linotype" w:cs="Palatino Linotype"/>
          <w:i/>
        </w:rPr>
      </w:pPr>
      <w:r w:rsidRPr="005D58F0">
        <w:rPr>
          <w:rFonts w:ascii="Palatino Linotype" w:hAnsi="Palatino Linotype" w:cs="Palatino Linotype"/>
          <w:i/>
        </w:rPr>
        <w:t xml:space="preserve">El documento que autorice </w:t>
      </w:r>
      <w:bookmarkStart w:id="13" w:name="_Hlk158147405"/>
      <w:r w:rsidRPr="005D58F0">
        <w:rPr>
          <w:rFonts w:ascii="Palatino Linotype" w:hAnsi="Palatino Linotype" w:cs="Palatino Linotype"/>
          <w:i/>
        </w:rPr>
        <w:t>la excepción del registro de asistencia</w:t>
      </w:r>
      <w:bookmarkEnd w:id="13"/>
      <w:r w:rsidRPr="005D58F0">
        <w:rPr>
          <w:rFonts w:ascii="Palatino Linotype" w:hAnsi="Palatino Linotype" w:cs="Palatino Linotype"/>
          <w:i/>
        </w:rPr>
        <w:t xml:space="preserve"> de los mandos medios y superiores</w:t>
      </w:r>
      <w:r w:rsidR="00487EC2" w:rsidRPr="005D58F0">
        <w:t xml:space="preserve"> </w:t>
      </w:r>
      <w:r w:rsidR="00487EC2" w:rsidRPr="005D58F0">
        <w:rPr>
          <w:rFonts w:ascii="Palatino Linotype" w:hAnsi="Palatino Linotype" w:cs="Palatino Linotype"/>
          <w:i/>
        </w:rPr>
        <w:t>adscritos a todas las direcciones del 1 de enero al 31 de diciembre de 2022.</w:t>
      </w:r>
    </w:p>
    <w:bookmarkEnd w:id="12"/>
    <w:p w14:paraId="68575264" w14:textId="77777777" w:rsidR="004612BE" w:rsidRPr="005D58F0" w:rsidRDefault="004612BE" w:rsidP="005D58F0">
      <w:pPr>
        <w:pBdr>
          <w:top w:val="nil"/>
          <w:left w:val="nil"/>
          <w:bottom w:val="nil"/>
          <w:right w:val="nil"/>
          <w:between w:val="nil"/>
        </w:pBdr>
        <w:ind w:left="1276" w:right="899"/>
        <w:jc w:val="both"/>
        <w:rPr>
          <w:rFonts w:ascii="Palatino Linotype" w:eastAsia="Palatino Linotype" w:hAnsi="Palatino Linotype" w:cs="Palatino Linotype"/>
          <w:i/>
        </w:rPr>
      </w:pPr>
    </w:p>
    <w:p w14:paraId="2A7BFE11" w14:textId="77777777" w:rsidR="0053592A" w:rsidRPr="005D58F0" w:rsidRDefault="00263B8E" w:rsidP="005D58F0">
      <w:pPr>
        <w:pBdr>
          <w:top w:val="nil"/>
          <w:left w:val="nil"/>
          <w:bottom w:val="nil"/>
          <w:right w:val="nil"/>
          <w:between w:val="nil"/>
        </w:pBd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t xml:space="preserve">Debiendo notificar a </w:t>
      </w:r>
      <w:r w:rsidRPr="005D58F0">
        <w:rPr>
          <w:rFonts w:ascii="Palatino Linotype" w:eastAsia="Palatino Linotype" w:hAnsi="Palatino Linotype" w:cs="Palatino Linotype"/>
          <w:b/>
          <w:i/>
        </w:rPr>
        <w:t>LA RECURRENTE</w:t>
      </w:r>
      <w:r w:rsidRPr="005D58F0">
        <w:rPr>
          <w:rFonts w:ascii="Palatino Linotype" w:eastAsia="Palatino Linotype" w:hAnsi="Palatino Linotype" w:cs="Palatino Linotype"/>
          <w:i/>
        </w:rPr>
        <w:t xml:space="preserve"> el Acuerdo de Clasificación de la información que emita en su caso el Comité de Transparencia con motivo de la versión pública.</w:t>
      </w:r>
    </w:p>
    <w:p w14:paraId="71CE893F" w14:textId="77777777" w:rsidR="0053592A" w:rsidRPr="005D58F0" w:rsidRDefault="0053592A" w:rsidP="005D58F0">
      <w:pPr>
        <w:pBdr>
          <w:top w:val="nil"/>
          <w:left w:val="nil"/>
          <w:bottom w:val="nil"/>
          <w:right w:val="nil"/>
          <w:between w:val="nil"/>
        </w:pBdr>
        <w:ind w:left="851" w:right="899"/>
        <w:jc w:val="both"/>
        <w:rPr>
          <w:rFonts w:ascii="Palatino Linotype" w:eastAsia="Palatino Linotype" w:hAnsi="Palatino Linotype" w:cs="Palatino Linotype"/>
          <w:i/>
        </w:rPr>
      </w:pPr>
    </w:p>
    <w:p w14:paraId="1B742322" w14:textId="71E70238" w:rsidR="0053592A" w:rsidRPr="005D58F0" w:rsidRDefault="00263B8E" w:rsidP="005D58F0">
      <w:pPr>
        <w:pBdr>
          <w:top w:val="nil"/>
          <w:left w:val="nil"/>
          <w:bottom w:val="nil"/>
          <w:right w:val="nil"/>
          <w:between w:val="nil"/>
        </w:pBdr>
        <w:ind w:left="851" w:right="899"/>
        <w:jc w:val="both"/>
        <w:rPr>
          <w:rFonts w:ascii="Palatino Linotype" w:eastAsia="Palatino Linotype" w:hAnsi="Palatino Linotype" w:cs="Palatino Linotype"/>
          <w:i/>
        </w:rPr>
      </w:pPr>
      <w:r w:rsidRPr="005D58F0">
        <w:rPr>
          <w:rFonts w:ascii="Palatino Linotype" w:eastAsia="Palatino Linotype" w:hAnsi="Palatino Linotype" w:cs="Palatino Linotype"/>
          <w:i/>
        </w:rPr>
        <w:lastRenderedPageBreak/>
        <w:t xml:space="preserve">Para el caso de que la información ordenada en el </w:t>
      </w:r>
      <w:r w:rsidRPr="005D58F0">
        <w:rPr>
          <w:rFonts w:ascii="Palatino Linotype" w:eastAsia="Palatino Linotype" w:hAnsi="Palatino Linotype" w:cs="Palatino Linotype"/>
          <w:b/>
          <w:i/>
        </w:rPr>
        <w:t>inciso b</w:t>
      </w:r>
      <w:r w:rsidR="0077478E" w:rsidRPr="005D58F0">
        <w:rPr>
          <w:rFonts w:ascii="Palatino Linotype" w:eastAsia="Palatino Linotype" w:hAnsi="Palatino Linotype" w:cs="Palatino Linotype"/>
          <w:b/>
          <w:bCs/>
          <w:i/>
        </w:rPr>
        <w:t>)</w:t>
      </w:r>
      <w:r w:rsidR="00487EC2" w:rsidRPr="005D58F0">
        <w:rPr>
          <w:rFonts w:ascii="Palatino Linotype" w:eastAsia="Palatino Linotype" w:hAnsi="Palatino Linotype" w:cs="Palatino Linotype"/>
          <w:i/>
        </w:rPr>
        <w:t xml:space="preserve"> y </w:t>
      </w:r>
      <w:r w:rsidR="00487EC2" w:rsidRPr="005D58F0">
        <w:rPr>
          <w:rFonts w:ascii="Palatino Linotype" w:eastAsia="Palatino Linotype" w:hAnsi="Palatino Linotype" w:cs="Palatino Linotype"/>
          <w:b/>
          <w:bCs/>
          <w:i/>
        </w:rPr>
        <w:t>c)</w:t>
      </w:r>
      <w:r w:rsidRPr="005D58F0">
        <w:rPr>
          <w:rFonts w:ascii="Palatino Linotype" w:eastAsia="Palatino Linotype" w:hAnsi="Palatino Linotype" w:cs="Palatino Linotype"/>
          <w:i/>
        </w:rPr>
        <w:t xml:space="preserve"> no obre en sus archivos, </w:t>
      </w:r>
      <w:r w:rsidRPr="005D58F0">
        <w:rPr>
          <w:rFonts w:ascii="Palatino Linotype" w:eastAsia="Palatino Linotype" w:hAnsi="Palatino Linotype" w:cs="Palatino Linotype"/>
          <w:b/>
          <w:i/>
        </w:rPr>
        <w:t>EL SUJETO OBLIGADO</w:t>
      </w:r>
      <w:r w:rsidRPr="005D58F0">
        <w:rPr>
          <w:rFonts w:ascii="Palatino Linotype" w:eastAsia="Palatino Linotype" w:hAnsi="Palatino Linotype" w:cs="Palatino Linotype"/>
          <w:i/>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5174A2E5" w14:textId="77777777" w:rsidR="00057DF8" w:rsidRPr="005D58F0" w:rsidRDefault="00057DF8" w:rsidP="005D58F0">
      <w:pPr>
        <w:pBdr>
          <w:top w:val="nil"/>
          <w:left w:val="nil"/>
          <w:bottom w:val="nil"/>
          <w:right w:val="nil"/>
          <w:between w:val="nil"/>
        </w:pBdr>
        <w:ind w:left="851" w:right="899"/>
        <w:jc w:val="both"/>
        <w:rPr>
          <w:rFonts w:ascii="Palatino Linotype" w:eastAsia="Palatino Linotype" w:hAnsi="Palatino Linotype" w:cs="Palatino Linotype"/>
          <w:i/>
          <w:sz w:val="16"/>
        </w:rPr>
      </w:pPr>
    </w:p>
    <w:p w14:paraId="3BFB8087" w14:textId="77777777" w:rsidR="0053592A" w:rsidRPr="005D58F0" w:rsidRDefault="00263B8E" w:rsidP="005D58F0">
      <w:pPr>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TERCERO</w:t>
      </w:r>
      <w:r w:rsidRPr="005D58F0">
        <w:rPr>
          <w:rFonts w:ascii="Palatino Linotype" w:eastAsia="Palatino Linotype" w:hAnsi="Palatino Linotype" w:cs="Palatino Linotype"/>
          <w:b/>
        </w:rPr>
        <w:t xml:space="preserve">. Notifíquese </w:t>
      </w:r>
      <w:r w:rsidRPr="005D58F0">
        <w:rPr>
          <w:rFonts w:ascii="Palatino Linotype" w:eastAsia="Palatino Linotype" w:hAnsi="Palatino Linotype" w:cs="Palatino Linotype"/>
        </w:rPr>
        <w:t xml:space="preserve">la presente resolución al Titular de la Unidad de Transparencia </w:t>
      </w:r>
      <w:r w:rsidRPr="005D58F0">
        <w:rPr>
          <w:rFonts w:ascii="Palatino Linotype" w:eastAsia="Palatino Linotype" w:hAnsi="Palatino Linotype" w:cs="Palatino Linotype"/>
          <w:b/>
        </w:rPr>
        <w:t>DEL SUJETO OBLIGADO</w:t>
      </w:r>
      <w:r w:rsidRPr="005D58F0">
        <w:rPr>
          <w:rFonts w:ascii="Palatino Linotype" w:eastAsia="Palatino Linotype" w:hAnsi="Palatino Linotype" w:cs="Palatino Linotype"/>
        </w:rPr>
        <w:t>, para que conforme al artículo 186 último párrafo, 189 segundo párrafo y 194 de la Ley de Transparencia local;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local.</w:t>
      </w:r>
    </w:p>
    <w:p w14:paraId="3A7E92C9" w14:textId="77777777" w:rsidR="0053592A" w:rsidRPr="005D58F0" w:rsidRDefault="0053592A" w:rsidP="005D58F0">
      <w:pPr>
        <w:tabs>
          <w:tab w:val="left" w:pos="709"/>
        </w:tabs>
        <w:spacing w:line="360" w:lineRule="auto"/>
        <w:ind w:right="51"/>
        <w:jc w:val="both"/>
        <w:rPr>
          <w:rFonts w:ascii="Palatino Linotype" w:eastAsia="Palatino Linotype" w:hAnsi="Palatino Linotype" w:cs="Palatino Linotype"/>
          <w:b/>
          <w:sz w:val="16"/>
        </w:rPr>
      </w:pPr>
    </w:p>
    <w:p w14:paraId="24D1F766" w14:textId="77777777" w:rsidR="0053592A" w:rsidRPr="005D58F0" w:rsidRDefault="00263B8E" w:rsidP="005D58F0">
      <w:pPr>
        <w:tabs>
          <w:tab w:val="left" w:pos="709"/>
        </w:tabs>
        <w:spacing w:line="360" w:lineRule="auto"/>
        <w:ind w:right="51"/>
        <w:jc w:val="both"/>
        <w:rPr>
          <w:rFonts w:ascii="Palatino Linotype" w:eastAsia="Palatino Linotype" w:hAnsi="Palatino Linotype" w:cs="Palatino Linotype"/>
          <w:b/>
        </w:rPr>
      </w:pPr>
      <w:r w:rsidRPr="005D58F0">
        <w:rPr>
          <w:rFonts w:ascii="Palatino Linotype" w:eastAsia="Palatino Linotype" w:hAnsi="Palatino Linotype" w:cs="Palatino Linotype"/>
          <w:b/>
          <w:sz w:val="28"/>
          <w:szCs w:val="28"/>
        </w:rPr>
        <w:t>CUARTO</w:t>
      </w:r>
      <w:r w:rsidRPr="005D58F0">
        <w:rPr>
          <w:rFonts w:ascii="Palatino Linotype" w:eastAsia="Palatino Linotype" w:hAnsi="Palatino Linotype" w:cs="Palatino Linotype"/>
          <w:b/>
        </w:rPr>
        <w:t>.</w:t>
      </w:r>
      <w:r w:rsidRPr="005D58F0">
        <w:rPr>
          <w:rFonts w:ascii="Palatino Linotype" w:eastAsia="Palatino Linotype" w:hAnsi="Palatino Linotype" w:cs="Palatino Linotype"/>
        </w:rPr>
        <w:t xml:space="preserve"> </w:t>
      </w:r>
      <w:r w:rsidRPr="005D58F0">
        <w:rPr>
          <w:rFonts w:ascii="Palatino Linotype" w:eastAsia="Palatino Linotype" w:hAnsi="Palatino Linotype" w:cs="Palatino Linotype"/>
          <w:b/>
        </w:rPr>
        <w:t>Notifíquese</w:t>
      </w:r>
      <w:r w:rsidRPr="005D58F0">
        <w:rPr>
          <w:rFonts w:ascii="Palatino Linotype" w:eastAsia="Palatino Linotype" w:hAnsi="Palatino Linotype" w:cs="Palatino Linotype"/>
        </w:rPr>
        <w:t xml:space="preserve"> a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xml:space="preserve"> la presente resolución vía Sistema de Acceso a la Información Mexiquense </w:t>
      </w:r>
      <w:r w:rsidRPr="005D58F0">
        <w:rPr>
          <w:rFonts w:ascii="Palatino Linotype" w:eastAsia="Palatino Linotype" w:hAnsi="Palatino Linotype" w:cs="Palatino Linotype"/>
          <w:b/>
        </w:rPr>
        <w:t>SAIMEX</w:t>
      </w:r>
      <w:r w:rsidRPr="005D58F0">
        <w:rPr>
          <w:rFonts w:ascii="Palatino Linotype" w:eastAsia="Palatino Linotype" w:hAnsi="Palatino Linotype" w:cs="Palatino Linotype"/>
        </w:rPr>
        <w:t>.</w:t>
      </w:r>
    </w:p>
    <w:p w14:paraId="260CB762" w14:textId="77777777" w:rsidR="0053592A" w:rsidRPr="005D58F0" w:rsidRDefault="0053592A" w:rsidP="005D58F0">
      <w:pPr>
        <w:widowControl w:val="0"/>
        <w:spacing w:line="360" w:lineRule="auto"/>
        <w:jc w:val="both"/>
        <w:rPr>
          <w:rFonts w:ascii="Palatino Linotype" w:eastAsia="Palatino Linotype" w:hAnsi="Palatino Linotype" w:cs="Palatino Linotype"/>
          <w:sz w:val="16"/>
        </w:rPr>
      </w:pPr>
    </w:p>
    <w:p w14:paraId="50E3EE56" w14:textId="77777777" w:rsidR="0053592A" w:rsidRPr="005D58F0" w:rsidRDefault="00263B8E" w:rsidP="005D58F0">
      <w:pPr>
        <w:tabs>
          <w:tab w:val="left" w:pos="709"/>
        </w:tabs>
        <w:spacing w:line="360" w:lineRule="auto"/>
        <w:ind w:right="51"/>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QUINTO</w:t>
      </w:r>
      <w:r w:rsidRPr="005D58F0">
        <w:rPr>
          <w:rFonts w:ascii="Palatino Linotype" w:eastAsia="Palatino Linotype" w:hAnsi="Palatino Linotype" w:cs="Palatino Linotype"/>
          <w:b/>
        </w:rPr>
        <w:t>.</w:t>
      </w:r>
      <w:r w:rsidRPr="005D58F0">
        <w:rPr>
          <w:rFonts w:ascii="Palatino Linotype" w:eastAsia="Palatino Linotype" w:hAnsi="Palatino Linotype" w:cs="Palatino Linotype"/>
        </w:rPr>
        <w:t xml:space="preserve"> Hágase del conocimiento a </w:t>
      </w:r>
      <w:r w:rsidRPr="005D58F0">
        <w:rPr>
          <w:rFonts w:ascii="Palatino Linotype" w:eastAsia="Palatino Linotype" w:hAnsi="Palatino Linotype" w:cs="Palatino Linotype"/>
          <w:b/>
        </w:rPr>
        <w:t>LA RECURRENTE</w:t>
      </w:r>
      <w:r w:rsidRPr="005D58F0">
        <w:rPr>
          <w:rFonts w:ascii="Palatino Linotype" w:eastAsia="Palatino Linotype" w:hAnsi="Palatino Linotype" w:cs="Palatino Linotype"/>
        </w:rPr>
        <w:t>, que de conformidad con lo establecido en el artículo 196 de la Ley de Transparencia local, podrá impugnarla vía Juicio de Amparo en los términos de las leyes aplicables.</w:t>
      </w:r>
    </w:p>
    <w:p w14:paraId="533B3ADF" w14:textId="77777777" w:rsidR="00C12D92" w:rsidRPr="005D58F0" w:rsidRDefault="00C12D92" w:rsidP="005D58F0">
      <w:pPr>
        <w:tabs>
          <w:tab w:val="left" w:pos="709"/>
        </w:tabs>
        <w:spacing w:line="360" w:lineRule="auto"/>
        <w:ind w:right="51"/>
        <w:jc w:val="both"/>
        <w:rPr>
          <w:rFonts w:ascii="Palatino Linotype" w:eastAsia="Palatino Linotype" w:hAnsi="Palatino Linotype" w:cs="Palatino Linotype"/>
          <w:sz w:val="22"/>
        </w:rPr>
      </w:pPr>
    </w:p>
    <w:p w14:paraId="224E70DA" w14:textId="77777777" w:rsidR="00C12D92" w:rsidRPr="005D58F0" w:rsidRDefault="00C12D92" w:rsidP="005D58F0">
      <w:pPr>
        <w:widowControl w:val="0"/>
        <w:tabs>
          <w:tab w:val="left" w:pos="1701"/>
        </w:tabs>
        <w:spacing w:line="360" w:lineRule="auto"/>
        <w:ind w:right="49"/>
        <w:jc w:val="both"/>
        <w:rPr>
          <w:rFonts w:ascii="Palatino Linotype" w:eastAsia="Palatino Linotype" w:hAnsi="Palatino Linotype" w:cs="Palatino Linotype"/>
        </w:rPr>
      </w:pPr>
      <w:r w:rsidRPr="005D58F0">
        <w:rPr>
          <w:rFonts w:ascii="Palatino Linotype" w:eastAsia="Palatino Linotype" w:hAnsi="Palatino Linotype" w:cs="Palatino Linotype"/>
          <w:b/>
          <w:sz w:val="28"/>
          <w:szCs w:val="28"/>
        </w:rPr>
        <w:t>SEXTO.</w:t>
      </w:r>
      <w:r w:rsidRPr="005D58F0">
        <w:rPr>
          <w:rFonts w:ascii="Palatino Linotype" w:eastAsia="Palatino Linotype" w:hAnsi="Palatino Linotype" w:cs="Palatino Linotype"/>
        </w:rPr>
        <w:t xml:space="preserve"> </w:t>
      </w:r>
      <w:r w:rsidRPr="005D58F0">
        <w:rPr>
          <w:rFonts w:ascii="Palatino Linotype" w:hAnsi="Palatino Linotype"/>
          <w:szCs w:val="17"/>
          <w:lang w:eastAsia="es-ES_tradnl"/>
        </w:rPr>
        <w:t xml:space="preserve">De conformidad con el artículo 198 de la Ley de Transparencia y Acceso a la Información Pública del Estado de México y Municipios, de considerarlo procedente, </w:t>
      </w:r>
      <w:r w:rsidRPr="005D58F0">
        <w:rPr>
          <w:rFonts w:ascii="Palatino Linotype" w:hAnsi="Palatino Linotype"/>
          <w:b/>
          <w:szCs w:val="17"/>
          <w:lang w:eastAsia="es-ES_tradnl"/>
        </w:rPr>
        <w:t>EL SUJETO OBLIGADO</w:t>
      </w:r>
      <w:r w:rsidRPr="005D58F0">
        <w:rPr>
          <w:rFonts w:ascii="Palatino Linotype" w:hAnsi="Palatino Linotype"/>
          <w:szCs w:val="17"/>
          <w:lang w:eastAsia="es-ES_tradnl"/>
        </w:rPr>
        <w:t xml:space="preserve"> de manera fundada y motivada, podrá solicitar una ampliación de plazo para el cumplimiento de la presente resolución.</w:t>
      </w:r>
    </w:p>
    <w:p w14:paraId="238D381A" w14:textId="0EF5B4F0" w:rsidR="0053592A" w:rsidRPr="005D58F0" w:rsidRDefault="00263B8E" w:rsidP="005D58F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5D58F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81BF8">
        <w:rPr>
          <w:rFonts w:ascii="Palatino Linotype" w:eastAsia="Palatino Linotype" w:hAnsi="Palatino Linotype" w:cs="Palatino Linotype"/>
        </w:rPr>
        <w:t xml:space="preserve"> EMITIENDO VOTO PARTICULAR</w:t>
      </w:r>
      <w:r w:rsidRPr="005D58F0">
        <w:rPr>
          <w:rFonts w:ascii="Palatino Linotype" w:eastAsia="Palatino Linotype" w:hAnsi="Palatino Linotype" w:cs="Palatino Linotype"/>
        </w:rPr>
        <w:t xml:space="preserve">; EN LA CUARTA SESIÓN ORDINARIA CELEBRADA EL OCHO DE FEBRERO DE DOS MIL VEINTICUATRO, ANTE EL SECRETARIO TÉCNICO DEL PLENO, ALEXIS TAPIA RAMÍREZ. </w:t>
      </w:r>
    </w:p>
    <w:p w14:paraId="5B7ED9B7" w14:textId="45AB393F" w:rsidR="005D58F0" w:rsidRDefault="00263B8E" w:rsidP="005D58F0">
      <w:pPr>
        <w:spacing w:line="360" w:lineRule="auto"/>
        <w:jc w:val="both"/>
        <w:rPr>
          <w:rFonts w:ascii="Palatino Linotype" w:eastAsia="Palatino Linotype" w:hAnsi="Palatino Linotype" w:cs="Palatino Linotype"/>
          <w:sz w:val="20"/>
          <w:szCs w:val="20"/>
        </w:rPr>
      </w:pPr>
      <w:r w:rsidRPr="005D58F0">
        <w:rPr>
          <w:rFonts w:ascii="Palatino Linotype" w:eastAsia="Palatino Linotype" w:hAnsi="Palatino Linotype" w:cs="Palatino Linotype"/>
          <w:sz w:val="20"/>
          <w:szCs w:val="20"/>
        </w:rPr>
        <w:t>SCMM/AGZ/DEMF/ESS</w:t>
      </w:r>
    </w:p>
    <w:p w14:paraId="54C00F4F" w14:textId="77777777" w:rsidR="005D58F0" w:rsidRDefault="005D58F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br w:type="page"/>
      </w:r>
    </w:p>
    <w:p w14:paraId="7C1B7D84" w14:textId="77777777" w:rsidR="0053592A" w:rsidRPr="005D58F0" w:rsidRDefault="0053592A" w:rsidP="005D58F0">
      <w:pPr>
        <w:spacing w:line="360" w:lineRule="auto"/>
        <w:jc w:val="both"/>
        <w:rPr>
          <w:rFonts w:ascii="Palatino Linotype" w:eastAsia="Palatino Linotype" w:hAnsi="Palatino Linotype" w:cs="Palatino Linotype"/>
          <w:sz w:val="20"/>
          <w:szCs w:val="20"/>
        </w:rPr>
      </w:pPr>
    </w:p>
    <w:p w14:paraId="2C732583" w14:textId="77777777" w:rsidR="0053592A" w:rsidRPr="005D58F0" w:rsidRDefault="0053592A" w:rsidP="005D58F0">
      <w:pPr>
        <w:spacing w:line="360" w:lineRule="auto"/>
        <w:jc w:val="both"/>
        <w:rPr>
          <w:rFonts w:ascii="Palatino Linotype" w:eastAsia="Palatino Linotype" w:hAnsi="Palatino Linotype" w:cs="Palatino Linotype"/>
          <w:sz w:val="20"/>
          <w:szCs w:val="20"/>
        </w:rPr>
      </w:pPr>
    </w:p>
    <w:p w14:paraId="5872D8DF" w14:textId="77777777" w:rsidR="0053592A" w:rsidRPr="005D58F0" w:rsidRDefault="0053592A" w:rsidP="005D58F0">
      <w:pPr>
        <w:rPr>
          <w:rFonts w:ascii="Palatino Linotype" w:eastAsia="Palatino Linotype" w:hAnsi="Palatino Linotype" w:cs="Palatino Linotype"/>
        </w:rPr>
      </w:pPr>
    </w:p>
    <w:p w14:paraId="48F6CB63" w14:textId="77777777" w:rsidR="0053592A" w:rsidRPr="005D58F0" w:rsidRDefault="0053592A" w:rsidP="005D58F0">
      <w:pPr>
        <w:spacing w:line="360" w:lineRule="auto"/>
        <w:jc w:val="both"/>
        <w:rPr>
          <w:rFonts w:ascii="Palatino Linotype" w:eastAsia="Palatino Linotype" w:hAnsi="Palatino Linotype" w:cs="Palatino Linotype"/>
        </w:rPr>
      </w:pPr>
    </w:p>
    <w:sectPr w:rsidR="0053592A" w:rsidRPr="005D58F0">
      <w:type w:val="continuous"/>
      <w:pgSz w:w="12240" w:h="15840"/>
      <w:pgMar w:top="1418" w:right="1418" w:bottom="1418" w:left="1701" w:header="567"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1B3C5" w14:textId="77777777" w:rsidR="001A4ECC" w:rsidRDefault="001A4ECC">
      <w:r>
        <w:separator/>
      </w:r>
    </w:p>
  </w:endnote>
  <w:endnote w:type="continuationSeparator" w:id="0">
    <w:p w14:paraId="50F2383E" w14:textId="77777777" w:rsidR="001A4ECC" w:rsidRDefault="001A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9C5B" w14:textId="77777777" w:rsidR="00263B8E" w:rsidRDefault="00263B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A13FA">
      <w:rPr>
        <w:rFonts w:ascii="Palatino Linotype" w:eastAsia="Palatino Linotype" w:hAnsi="Palatino Linotype" w:cs="Palatino Linotype"/>
        <w:noProof/>
        <w:color w:val="000000"/>
        <w:sz w:val="22"/>
        <w:szCs w:val="22"/>
      </w:rPr>
      <w:t>58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A13FA">
      <w:rPr>
        <w:rFonts w:ascii="Palatino Linotype" w:eastAsia="Palatino Linotype" w:hAnsi="Palatino Linotype" w:cs="Palatino Linotype"/>
        <w:noProof/>
        <w:color w:val="000000"/>
        <w:sz w:val="22"/>
        <w:szCs w:val="22"/>
      </w:rPr>
      <w:t>63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9E46" w14:textId="77777777" w:rsidR="00263B8E" w:rsidRDefault="00263B8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A13F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A13FA">
      <w:rPr>
        <w:rFonts w:ascii="Palatino Linotype" w:eastAsia="Palatino Linotype" w:hAnsi="Palatino Linotype" w:cs="Palatino Linotype"/>
        <w:noProof/>
        <w:color w:val="000000"/>
        <w:sz w:val="22"/>
        <w:szCs w:val="22"/>
      </w:rPr>
      <w:t>63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7F20" w14:textId="77777777" w:rsidR="001A4ECC" w:rsidRDefault="001A4ECC">
      <w:r>
        <w:separator/>
      </w:r>
    </w:p>
  </w:footnote>
  <w:footnote w:type="continuationSeparator" w:id="0">
    <w:p w14:paraId="73FF7F95" w14:textId="77777777" w:rsidR="001A4ECC" w:rsidRDefault="001A4ECC">
      <w:r>
        <w:continuationSeparator/>
      </w:r>
    </w:p>
  </w:footnote>
  <w:footnote w:id="1">
    <w:p w14:paraId="5707BB6D"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Se aclara que la presentación aconteció el día uno de enero de dos mil veintitrés, sin </w:t>
      </w:r>
      <w:r w:rsidRPr="00246F94">
        <w:rPr>
          <w:rFonts w:ascii="Palatino Linotype" w:eastAsia="Palatino Linotype" w:hAnsi="Palatino Linotype" w:cs="Palatino Linotype"/>
          <w:sz w:val="18"/>
          <w:szCs w:val="18"/>
        </w:rPr>
        <w:t>embargo</w:t>
      </w:r>
      <w:r w:rsidRPr="00246F94">
        <w:rPr>
          <w:rFonts w:ascii="Palatino Linotype" w:eastAsia="Palatino Linotype" w:hAnsi="Palatino Linotype" w:cs="Palatino Linotype"/>
          <w:color w:val="000000"/>
          <w:sz w:val="18"/>
          <w:szCs w:val="18"/>
        </w:rPr>
        <w:t>, al ser día inhábil en términos del calendario oficial, se tiene como fecha de presentación el primer día hábil siguiente.</w:t>
      </w:r>
    </w:p>
  </w:footnote>
  <w:footnote w:id="2">
    <w:p w14:paraId="5EAE2C99"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Es importante señalar que, al encontrarse los expedientes formados con motivo de la presentación de las solicitudes enunciadas de forma electrónica en el SAIMEX, todas las constancias que integran los expedientes aludidos que en este acto se resuelven obran en el sistema de referencia.  </w:t>
      </w:r>
    </w:p>
  </w:footnote>
  <w:footnote w:id="3">
    <w:p w14:paraId="5AF1C7EA"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En adelante, las claves alfanuméricas de las solicitudes se abreviarán bajo los numerales 000014, 00041 y 00043 respectivamente.</w:t>
      </w:r>
    </w:p>
  </w:footnote>
  <w:footnote w:id="4">
    <w:p w14:paraId="088F5026"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En adelante, Ley de Transparencia local.</w:t>
      </w:r>
    </w:p>
  </w:footnote>
  <w:footnote w:id="5">
    <w:p w14:paraId="7D028A1B"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Documentales de las cuales se omite su reproducción por ser del conocimiento de las partes, mismas que serán analizadas en el considerando correspondiente.</w:t>
      </w:r>
    </w:p>
  </w:footnote>
  <w:footnote w:id="6">
    <w:p w14:paraId="657938E0"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w:t>
      </w:r>
      <w:r w:rsidRPr="00246F94">
        <w:rPr>
          <w:rFonts w:ascii="Palatino Linotype" w:eastAsia="Palatino Linotype" w:hAnsi="Palatino Linotype" w:cs="Palatino Linotype"/>
          <w:b/>
          <w:color w:val="000000"/>
          <w:sz w:val="18"/>
          <w:szCs w:val="18"/>
        </w:rPr>
        <w:t>Artículo 178.</w:t>
      </w:r>
      <w:r w:rsidRPr="00246F94">
        <w:rPr>
          <w:rFonts w:ascii="Palatino Linotype" w:eastAsia="Palatino Linotype" w:hAnsi="Palatino Linotype" w:cs="Palatino Linotype"/>
          <w:color w:val="000000"/>
          <w:sz w:val="18"/>
          <w:szCs w:val="18"/>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687C802"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eastAsia="Palatino Linotype" w:hAnsi="Palatino Linotype" w:cs="Palatino Linotype"/>
          <w:color w:val="000000"/>
          <w:sz w:val="18"/>
          <w:szCs w:val="18"/>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210DE60"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eastAsia="Palatino Linotype" w:hAnsi="Palatino Linotype" w:cs="Palatino Linotype"/>
          <w:color w:val="000000"/>
          <w:sz w:val="18"/>
          <w:szCs w:val="18"/>
        </w:rPr>
        <w:t>En el caso de que se interponga ante la Unidad de Transparencia, ésta deberá remitir el Recurso de Revisión al Instituto a más tardar al día siguiente de haberlo recibido.”</w:t>
      </w:r>
    </w:p>
  </w:footnote>
  <w:footnote w:id="7">
    <w:p w14:paraId="6C2FE735"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Sin contemplar en los cómputos los días sábados y domingos, considerados como días inhábiles, en términos del artículo 3, fracción X de la Ley de Transparencia local; así como, el lunes veintiuno de noviembre de dos mil veintidós, por ser día inhábil por suspensión de labores, en términos del Calendario Oficial en Materia de Transparencia, Acceso a la Información Pública y Protección de Datos Personales del Estado de México y Municipios, así como de labores del Instituto para el año dos mil veintidós y enero dos mil veintitrés.</w:t>
      </w:r>
    </w:p>
  </w:footnote>
  <w:footnote w:id="8">
    <w:p w14:paraId="04C5D066"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33D87B26"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eastAsia="Palatino Linotype" w:hAnsi="Palatino Linotype" w:cs="Palatino Linotype"/>
          <w:color w:val="000000"/>
          <w:sz w:val="18"/>
          <w:szCs w:val="18"/>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2F92D16"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eastAsia="Palatino Linotype" w:hAnsi="Palatino Linotype" w:cs="Palatino Linotype"/>
          <w:color w:val="000000"/>
          <w:sz w:val="18"/>
          <w:szCs w:val="18"/>
        </w:rPr>
        <w:t>Los sujetos obligados deben poner en práctica, políticas y programas de acceso a la información que se apeguen a criterios de publicidad, veracidad, oportunidad, precisión y suficiencia en beneficio de los solicitantes.”</w:t>
      </w:r>
    </w:p>
  </w:footnote>
  <w:footnote w:id="9">
    <w:p w14:paraId="7C435505"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Tesis 2a. LXXXVIII/2010, sustentada por la Segunda Sala, publicada en el Semanario Judicial de la Federación y su Gaceta, Novena Época, tomo XXXII, agosto de 2010, página 463. “</w:t>
      </w:r>
      <w:r w:rsidRPr="00246F94">
        <w:rPr>
          <w:rFonts w:ascii="Palatino Linotype" w:eastAsia="Palatino Linotype" w:hAnsi="Palatino Linotype" w:cs="Palatino Linotype"/>
          <w:color w:val="000000"/>
          <w:sz w:val="16"/>
          <w:szCs w:val="16"/>
        </w:rPr>
        <w:t>INFORMACIÓN PÚBLICA. ES AQUELLA QUE SE ENCUENTRA EN POSESIÓN DE CUALQUIER AUTORIDAD, ENTIDAD, ÓRGANO Y ORGANISMO FEDERAL, ESTATAL Y MUNICIPAL, SIEMPRE QUE SE HAYA OBTENIDO POR CAUSA DEL EJERCICIO DE FUNCIONES DE DERECHO PÚBLICO.</w:t>
      </w:r>
      <w:r w:rsidRPr="00246F94">
        <w:rPr>
          <w:rFonts w:ascii="Palatino Linotype" w:eastAsia="Palatino Linotype" w:hAnsi="Palatino Linotype" w:cs="Palatino Linotype"/>
          <w:color w:val="000000"/>
          <w:sz w:val="18"/>
          <w:szCs w:val="18"/>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10">
    <w:p w14:paraId="3E218B37"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“Artículo 3. Para los efectos de la presente Ley se entenderá por:</w:t>
      </w:r>
    </w:p>
    <w:p w14:paraId="27E69420"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eastAsia="Palatino Linotype" w:hAnsi="Palatino Linotype" w:cs="Palatino Linotype"/>
          <w:color w:val="000000"/>
          <w:sz w:val="18"/>
          <w:szCs w:val="18"/>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1">
    <w:p w14:paraId="53CD4C9E" w14:textId="77777777" w:rsidR="00263B8E" w:rsidRPr="00246F94" w:rsidRDefault="00263B8E">
      <w:pPr>
        <w:pBdr>
          <w:top w:val="nil"/>
          <w:left w:val="nil"/>
          <w:bottom w:val="nil"/>
          <w:right w:val="nil"/>
          <w:between w:val="nil"/>
        </w:pBdr>
        <w:jc w:val="both"/>
        <w:rPr>
          <w:rFonts w:ascii="Palatino Linotype" w:eastAsia="Palatino Linotype" w:hAnsi="Palatino Linotype" w:cs="Palatino Linotype"/>
          <w:color w:val="000000"/>
          <w:sz w:val="18"/>
          <w:szCs w:val="18"/>
        </w:rPr>
      </w:pPr>
      <w:r w:rsidRPr="00246F94">
        <w:rPr>
          <w:rFonts w:ascii="Palatino Linotype" w:hAnsi="Palatino Linotype"/>
          <w:vertAlign w:val="superscript"/>
        </w:rPr>
        <w:footnoteRef/>
      </w:r>
      <w:r w:rsidRPr="00246F94">
        <w:rPr>
          <w:rFonts w:ascii="Palatino Linotype" w:eastAsia="Palatino Linotype" w:hAnsi="Palatino Linotype" w:cs="Palatino Linotype"/>
          <w:color w:val="000000"/>
          <w:sz w:val="18"/>
          <w:szCs w:val="18"/>
        </w:rPr>
        <w:t xml:space="preserve">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w:t>
      </w:r>
    </w:p>
  </w:footnote>
  <w:footnote w:id="12">
    <w:p w14:paraId="06011DB2" w14:textId="77777777" w:rsidR="00263B8E" w:rsidRPr="00246F94" w:rsidRDefault="00263B8E">
      <w:pPr>
        <w:pBdr>
          <w:top w:val="nil"/>
          <w:left w:val="nil"/>
          <w:bottom w:val="nil"/>
          <w:right w:val="nil"/>
          <w:between w:val="nil"/>
        </w:pBdr>
        <w:rPr>
          <w:rFonts w:ascii="Palatino Linotype" w:eastAsia="Calibri" w:hAnsi="Palatino Linotype" w:cs="Calibri"/>
          <w:color w:val="000000"/>
          <w:sz w:val="20"/>
          <w:szCs w:val="20"/>
        </w:rPr>
      </w:pPr>
      <w:r w:rsidRPr="00246F94">
        <w:rPr>
          <w:rFonts w:ascii="Palatino Linotype" w:hAnsi="Palatino Linotype"/>
          <w:vertAlign w:val="superscript"/>
        </w:rPr>
        <w:footnoteRef/>
      </w:r>
      <w:r w:rsidRPr="00246F94">
        <w:rPr>
          <w:rFonts w:ascii="Palatino Linotype" w:eastAsia="Calibri" w:hAnsi="Palatino Linotype" w:cs="Calibri"/>
          <w:color w:val="000000"/>
          <w:sz w:val="20"/>
          <w:szCs w:val="20"/>
        </w:rPr>
        <w:t xml:space="preserve"> Tesis con número de registro 267287 de la sexta época, de la Segunda Sala, publicado en el Semanario Judicial de la Federación, Volumen LII, Tercera Parte, página 101.</w:t>
      </w:r>
    </w:p>
  </w:footnote>
  <w:footnote w:id="13">
    <w:p w14:paraId="73DCF666" w14:textId="77777777" w:rsidR="00263B8E" w:rsidRPr="00246F94" w:rsidRDefault="00263B8E">
      <w:pPr>
        <w:jc w:val="both"/>
        <w:rPr>
          <w:rFonts w:ascii="Palatino Linotype" w:eastAsia="Palatino Linotype" w:hAnsi="Palatino Linotype" w:cs="Palatino Linotype"/>
          <w:i/>
          <w:sz w:val="18"/>
          <w:szCs w:val="18"/>
        </w:rPr>
      </w:pPr>
      <w:r w:rsidRPr="00246F94">
        <w:rPr>
          <w:rFonts w:ascii="Palatino Linotype" w:hAnsi="Palatino Linotype"/>
          <w:vertAlign w:val="superscript"/>
        </w:rPr>
        <w:footnoteRef/>
      </w:r>
      <w:r w:rsidRPr="00246F94">
        <w:rPr>
          <w:rFonts w:ascii="Palatino Linotype" w:hAnsi="Palatino Linotype"/>
          <w:sz w:val="18"/>
          <w:szCs w:val="18"/>
        </w:rPr>
        <w:t xml:space="preserve"> </w:t>
      </w:r>
      <w:r w:rsidRPr="00246F94">
        <w:rPr>
          <w:rFonts w:ascii="Palatino Linotype" w:eastAsia="Palatino Linotype" w:hAnsi="Palatino Linotype" w:cs="Palatino Linotype"/>
          <w:i/>
          <w:sz w:val="18"/>
          <w:szCs w:val="18"/>
        </w:rPr>
        <w:t>“</w:t>
      </w:r>
      <w:r w:rsidRPr="00246F94">
        <w:rPr>
          <w:rFonts w:ascii="Palatino Linotype" w:eastAsia="Palatino Linotype" w:hAnsi="Palatino Linotype" w:cs="Palatino Linotype"/>
          <w:b/>
          <w:i/>
          <w:sz w:val="18"/>
          <w:szCs w:val="18"/>
        </w:rPr>
        <w:t>Artículo 24.</w:t>
      </w:r>
      <w:r w:rsidRPr="00246F94">
        <w:rPr>
          <w:rFonts w:ascii="Palatino Linotype" w:eastAsia="Palatino Linotype" w:hAnsi="Palatino Linotype" w:cs="Palatino Linotype"/>
          <w:i/>
          <w:sz w:val="18"/>
          <w:szCs w:val="18"/>
        </w:rPr>
        <w:t xml:space="preserve"> Para el cumplimiento de los objetivos de esta Ley, los sujetos obligados deberán cumplir con las siguientes obligaciones, según corresponda, de acuerdo a su naturaleza:</w:t>
      </w:r>
    </w:p>
    <w:p w14:paraId="7EE5A4DB" w14:textId="77777777" w:rsidR="00263B8E" w:rsidRPr="00246F94" w:rsidRDefault="00263B8E">
      <w:pPr>
        <w:jc w:val="both"/>
        <w:rPr>
          <w:rFonts w:ascii="Palatino Linotype" w:eastAsia="Palatino Linotype" w:hAnsi="Palatino Linotype" w:cs="Palatino Linotype"/>
          <w:i/>
          <w:sz w:val="18"/>
          <w:szCs w:val="18"/>
        </w:rPr>
      </w:pPr>
      <w:r w:rsidRPr="00246F94">
        <w:rPr>
          <w:rFonts w:ascii="Palatino Linotype" w:eastAsia="Palatino Linotype" w:hAnsi="Palatino Linotype" w:cs="Palatino Linotype"/>
          <w:i/>
          <w:sz w:val="18"/>
          <w:szCs w:val="18"/>
        </w:rPr>
        <w:t>(…)</w:t>
      </w:r>
    </w:p>
    <w:p w14:paraId="4AF264DD" w14:textId="77777777" w:rsidR="00263B8E" w:rsidRPr="00246F94" w:rsidRDefault="00263B8E">
      <w:pPr>
        <w:jc w:val="both"/>
        <w:rPr>
          <w:rFonts w:ascii="Palatino Linotype" w:eastAsia="Palatino Linotype" w:hAnsi="Palatino Linotype" w:cs="Palatino Linotype"/>
          <w:b/>
          <w:i/>
          <w:sz w:val="18"/>
          <w:szCs w:val="18"/>
        </w:rPr>
      </w:pPr>
      <w:r w:rsidRPr="00246F94">
        <w:rPr>
          <w:rFonts w:ascii="Palatino Linotype" w:eastAsia="Palatino Linotype" w:hAnsi="Palatino Linotype" w:cs="Palatino Linotype"/>
          <w:b/>
          <w:i/>
          <w:sz w:val="18"/>
          <w:szCs w:val="18"/>
        </w:rPr>
        <w:t>XVIII. Hacer pública toda aquella información relativa a los montos y las personas a quienes entreguen, por cualquier motivo, recursos públicos, así como los informes que dichas personas les entreguen sobre el uso y destino de dichos recursos…”</w:t>
      </w:r>
    </w:p>
    <w:p w14:paraId="50143D23" w14:textId="77777777" w:rsidR="00263B8E" w:rsidRPr="00246F94" w:rsidRDefault="00263B8E">
      <w:pPr>
        <w:pBdr>
          <w:top w:val="nil"/>
          <w:left w:val="nil"/>
          <w:bottom w:val="nil"/>
          <w:right w:val="nil"/>
          <w:between w:val="nil"/>
        </w:pBdr>
        <w:rPr>
          <w:rFonts w:ascii="Palatino Linotype" w:eastAsia="Calibri" w:hAnsi="Palatino Linotype" w:cs="Calibri"/>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E8A0" w14:textId="77777777" w:rsidR="00263B8E" w:rsidRDefault="008A13F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B0FD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RESOLUCIÓN"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559A" w14:textId="77777777" w:rsidR="00263B8E" w:rsidRDefault="00263B8E">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7"/>
      <w:tblW w:w="10490" w:type="dxa"/>
      <w:tblInd w:w="-1276" w:type="dxa"/>
      <w:tblLayout w:type="fixed"/>
      <w:tblLook w:val="0400" w:firstRow="0" w:lastRow="0" w:firstColumn="0" w:lastColumn="0" w:noHBand="0" w:noVBand="1"/>
    </w:tblPr>
    <w:tblGrid>
      <w:gridCol w:w="4253"/>
      <w:gridCol w:w="2552"/>
      <w:gridCol w:w="3685"/>
    </w:tblGrid>
    <w:tr w:rsidR="00263B8E" w14:paraId="67527A1D" w14:textId="77777777">
      <w:tc>
        <w:tcPr>
          <w:tcW w:w="4253" w:type="dxa"/>
          <w:vMerge w:val="restart"/>
          <w:shd w:val="clear" w:color="auto" w:fill="auto"/>
        </w:tcPr>
        <w:p w14:paraId="522DD959" w14:textId="77777777" w:rsidR="00263B8E" w:rsidRDefault="00263B8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8FAA7C7" wp14:editId="1303295B">
                <wp:extent cx="1692162" cy="852673"/>
                <wp:effectExtent l="0" t="0" r="0" b="0"/>
                <wp:docPr id="1856464792"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3F81475"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F35A047" w14:textId="77777777" w:rsidR="00263B8E" w:rsidRDefault="00263B8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00767/INFOEM/IP/RR/2023 y acumulados.</w:t>
          </w:r>
        </w:p>
      </w:tc>
    </w:tr>
    <w:tr w:rsidR="00263B8E" w14:paraId="27A4690E" w14:textId="77777777">
      <w:tc>
        <w:tcPr>
          <w:tcW w:w="4253" w:type="dxa"/>
          <w:vMerge/>
          <w:shd w:val="clear" w:color="auto" w:fill="auto"/>
        </w:tcPr>
        <w:p w14:paraId="62239ED2" w14:textId="77777777" w:rsidR="00263B8E" w:rsidRDefault="00263B8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B90DAE6"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4F2A5FA7" w14:textId="77777777" w:rsidR="00263B8E" w:rsidRDefault="00263B8E">
          <w:pPr>
            <w:jc w:val="both"/>
            <w:rPr>
              <w:rFonts w:ascii="Palatino Linotype" w:eastAsia="Palatino Linotype" w:hAnsi="Palatino Linotype" w:cs="Palatino Linotype"/>
              <w:b/>
              <w:i/>
              <w:sz w:val="22"/>
              <w:szCs w:val="22"/>
            </w:rPr>
          </w:pPr>
        </w:p>
      </w:tc>
    </w:tr>
    <w:tr w:rsidR="00263B8E" w14:paraId="6D511B49" w14:textId="77777777">
      <w:trPr>
        <w:trHeight w:val="228"/>
      </w:trPr>
      <w:tc>
        <w:tcPr>
          <w:tcW w:w="4253" w:type="dxa"/>
          <w:vMerge/>
          <w:shd w:val="clear" w:color="auto" w:fill="auto"/>
        </w:tcPr>
        <w:p w14:paraId="695EFA53" w14:textId="77777777" w:rsidR="00263B8E" w:rsidRDefault="00263B8E">
          <w:pPr>
            <w:widowControl w:val="0"/>
            <w:pBdr>
              <w:top w:val="nil"/>
              <w:left w:val="nil"/>
              <w:bottom w:val="nil"/>
              <w:right w:val="nil"/>
              <w:between w:val="nil"/>
            </w:pBdr>
            <w:spacing w:line="276" w:lineRule="auto"/>
            <w:rPr>
              <w:rFonts w:ascii="Palatino Linotype" w:eastAsia="Palatino Linotype" w:hAnsi="Palatino Linotype" w:cs="Palatino Linotype"/>
              <w:b/>
              <w:i/>
              <w:sz w:val="22"/>
              <w:szCs w:val="22"/>
            </w:rPr>
          </w:pPr>
        </w:p>
      </w:tc>
      <w:tc>
        <w:tcPr>
          <w:tcW w:w="2552" w:type="dxa"/>
          <w:shd w:val="clear" w:color="auto" w:fill="auto"/>
        </w:tcPr>
        <w:p w14:paraId="7BB643DA"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A55EC26" w14:textId="77777777" w:rsidR="00263B8E" w:rsidRDefault="00263B8E">
          <w:pPr>
            <w:jc w:val="both"/>
          </w:pPr>
          <w:r>
            <w:rPr>
              <w:rFonts w:ascii="Palatino Linotype" w:eastAsia="Palatino Linotype" w:hAnsi="Palatino Linotype" w:cs="Palatino Linotype"/>
              <w:b/>
              <w:sz w:val="22"/>
              <w:szCs w:val="22"/>
            </w:rPr>
            <w:t>Ayuntamiento de Zinacantepec</w:t>
          </w:r>
        </w:p>
      </w:tc>
    </w:tr>
    <w:tr w:rsidR="00263B8E" w14:paraId="5B3DF8BD" w14:textId="77777777">
      <w:tc>
        <w:tcPr>
          <w:tcW w:w="4253" w:type="dxa"/>
          <w:vMerge/>
          <w:shd w:val="clear" w:color="auto" w:fill="auto"/>
        </w:tcPr>
        <w:p w14:paraId="5B90A32C" w14:textId="77777777" w:rsidR="00263B8E" w:rsidRDefault="00263B8E">
          <w:pPr>
            <w:widowControl w:val="0"/>
            <w:pBdr>
              <w:top w:val="nil"/>
              <w:left w:val="nil"/>
              <w:bottom w:val="nil"/>
              <w:right w:val="nil"/>
              <w:between w:val="nil"/>
            </w:pBdr>
            <w:spacing w:line="276" w:lineRule="auto"/>
          </w:pPr>
        </w:p>
      </w:tc>
      <w:tc>
        <w:tcPr>
          <w:tcW w:w="2552" w:type="dxa"/>
          <w:shd w:val="clear" w:color="auto" w:fill="auto"/>
        </w:tcPr>
        <w:p w14:paraId="56D0BF4D"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147D187" w14:textId="77777777" w:rsidR="00263B8E" w:rsidRDefault="00263B8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37C5C8C" w14:textId="77777777" w:rsidR="00263B8E" w:rsidRDefault="008A13FA">
    <w:pPr>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pict w14:anchorId="7B563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RESOLUCIÓN" style="position:absolute;margin-left:0;margin-top:0;width:540pt;height:10in;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3288" w14:textId="77777777" w:rsidR="00263B8E" w:rsidRDefault="00263B8E">
    <w:pPr>
      <w:widowControl w:val="0"/>
      <w:pBdr>
        <w:top w:val="nil"/>
        <w:left w:val="nil"/>
        <w:bottom w:val="nil"/>
        <w:right w:val="nil"/>
        <w:between w:val="nil"/>
      </w:pBdr>
      <w:spacing w:line="276" w:lineRule="auto"/>
      <w:rPr>
        <w:rFonts w:ascii="Cambria" w:eastAsia="Cambria" w:hAnsi="Cambria" w:cs="Cambria"/>
        <w:color w:val="000000"/>
      </w:rPr>
    </w:pPr>
  </w:p>
  <w:tbl>
    <w:tblPr>
      <w:tblStyle w:val="a8"/>
      <w:tblW w:w="10490" w:type="dxa"/>
      <w:tblInd w:w="-1276" w:type="dxa"/>
      <w:tblLayout w:type="fixed"/>
      <w:tblLook w:val="0400" w:firstRow="0" w:lastRow="0" w:firstColumn="0" w:lastColumn="0" w:noHBand="0" w:noVBand="1"/>
    </w:tblPr>
    <w:tblGrid>
      <w:gridCol w:w="4253"/>
      <w:gridCol w:w="2552"/>
      <w:gridCol w:w="3685"/>
    </w:tblGrid>
    <w:tr w:rsidR="00263B8E" w14:paraId="410EBE2F" w14:textId="77777777">
      <w:tc>
        <w:tcPr>
          <w:tcW w:w="4253" w:type="dxa"/>
          <w:vMerge w:val="restart"/>
          <w:shd w:val="clear" w:color="auto" w:fill="auto"/>
        </w:tcPr>
        <w:p w14:paraId="643B94AC" w14:textId="77777777" w:rsidR="00263B8E" w:rsidRDefault="00263B8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5175560" wp14:editId="5B331386">
                <wp:extent cx="1692162" cy="852673"/>
                <wp:effectExtent l="0" t="0" r="0" b="0"/>
                <wp:docPr id="1856464793"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CC381B2"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3536321" w14:textId="77777777" w:rsidR="00263B8E" w:rsidRDefault="00263B8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00767/INFOEM/IP/RR/2023 y acumulados.</w:t>
          </w:r>
        </w:p>
      </w:tc>
    </w:tr>
    <w:tr w:rsidR="00263B8E" w14:paraId="375360C5" w14:textId="77777777">
      <w:tc>
        <w:tcPr>
          <w:tcW w:w="4253" w:type="dxa"/>
          <w:vMerge/>
          <w:shd w:val="clear" w:color="auto" w:fill="auto"/>
        </w:tcPr>
        <w:p w14:paraId="6DA2D8B4" w14:textId="77777777" w:rsidR="00263B8E" w:rsidRDefault="00263B8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B60641C"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BED3D3E" w14:textId="77777777" w:rsidR="00263B8E" w:rsidRDefault="00263B8E">
          <w:pPr>
            <w:jc w:val="both"/>
            <w:rPr>
              <w:rFonts w:ascii="Palatino Linotype" w:eastAsia="Palatino Linotype" w:hAnsi="Palatino Linotype" w:cs="Palatino Linotype"/>
              <w:b/>
              <w:i/>
              <w:sz w:val="22"/>
              <w:szCs w:val="22"/>
            </w:rPr>
          </w:pPr>
        </w:p>
      </w:tc>
    </w:tr>
    <w:tr w:rsidR="00263B8E" w14:paraId="1650C732" w14:textId="77777777">
      <w:trPr>
        <w:trHeight w:val="228"/>
      </w:trPr>
      <w:tc>
        <w:tcPr>
          <w:tcW w:w="4253" w:type="dxa"/>
          <w:vMerge/>
          <w:shd w:val="clear" w:color="auto" w:fill="auto"/>
        </w:tcPr>
        <w:p w14:paraId="14B438F7" w14:textId="77777777" w:rsidR="00263B8E" w:rsidRDefault="00263B8E">
          <w:pPr>
            <w:widowControl w:val="0"/>
            <w:pBdr>
              <w:top w:val="nil"/>
              <w:left w:val="nil"/>
              <w:bottom w:val="nil"/>
              <w:right w:val="nil"/>
              <w:between w:val="nil"/>
            </w:pBdr>
            <w:spacing w:line="276" w:lineRule="auto"/>
            <w:rPr>
              <w:rFonts w:ascii="Palatino Linotype" w:eastAsia="Palatino Linotype" w:hAnsi="Palatino Linotype" w:cs="Palatino Linotype"/>
              <w:b/>
              <w:i/>
              <w:sz w:val="22"/>
              <w:szCs w:val="22"/>
            </w:rPr>
          </w:pPr>
        </w:p>
      </w:tc>
      <w:tc>
        <w:tcPr>
          <w:tcW w:w="2552" w:type="dxa"/>
          <w:shd w:val="clear" w:color="auto" w:fill="auto"/>
        </w:tcPr>
        <w:p w14:paraId="60FA1593"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51A8AEE" w14:textId="77777777" w:rsidR="00263B8E" w:rsidRDefault="00263B8E">
          <w:pPr>
            <w:jc w:val="both"/>
          </w:pPr>
          <w:r>
            <w:rPr>
              <w:rFonts w:ascii="Palatino Linotype" w:eastAsia="Palatino Linotype" w:hAnsi="Palatino Linotype" w:cs="Palatino Linotype"/>
              <w:b/>
              <w:sz w:val="22"/>
              <w:szCs w:val="22"/>
            </w:rPr>
            <w:t>Ayuntamiento de Zinacantepec</w:t>
          </w:r>
        </w:p>
      </w:tc>
    </w:tr>
    <w:tr w:rsidR="00263B8E" w14:paraId="579F01F4" w14:textId="77777777">
      <w:tc>
        <w:tcPr>
          <w:tcW w:w="4253" w:type="dxa"/>
          <w:vMerge/>
          <w:shd w:val="clear" w:color="auto" w:fill="auto"/>
        </w:tcPr>
        <w:p w14:paraId="33F69105" w14:textId="77777777" w:rsidR="00263B8E" w:rsidRDefault="00263B8E">
          <w:pPr>
            <w:widowControl w:val="0"/>
            <w:pBdr>
              <w:top w:val="nil"/>
              <w:left w:val="nil"/>
              <w:bottom w:val="nil"/>
              <w:right w:val="nil"/>
              <w:between w:val="nil"/>
            </w:pBdr>
            <w:spacing w:line="276" w:lineRule="auto"/>
          </w:pPr>
        </w:p>
      </w:tc>
      <w:tc>
        <w:tcPr>
          <w:tcW w:w="2552" w:type="dxa"/>
          <w:shd w:val="clear" w:color="auto" w:fill="auto"/>
        </w:tcPr>
        <w:p w14:paraId="15264E14" w14:textId="77777777" w:rsidR="00263B8E" w:rsidRDefault="00263B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798DFFE6" w14:textId="77777777" w:rsidR="00263B8E" w:rsidRDefault="00263B8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A1AE0F5" w14:textId="77777777" w:rsidR="00263B8E" w:rsidRDefault="008A13FA">
    <w:pPr>
      <w:rPr>
        <w:rFonts w:ascii="Palatino Linotype" w:eastAsia="Palatino Linotype" w:hAnsi="Palatino Linotype" w:cs="Palatino Linotype"/>
        <w:sz w:val="28"/>
        <w:szCs w:val="28"/>
      </w:rPr>
    </w:pPr>
    <w:r>
      <w:rPr>
        <w:rFonts w:ascii="Palatino Linotype" w:eastAsia="Palatino Linotype" w:hAnsi="Palatino Linotype" w:cs="Palatino Linotype"/>
        <w:sz w:val="22"/>
        <w:szCs w:val="22"/>
      </w:rPr>
      <w:pict w14:anchorId="5180D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RESOLUCIÓN" style="position:absolute;margin-left:0;margin-top:0;width:540pt;height:10in;z-index:-251658752;mso-position-horizontal:center;mso-position-horizontal-relative:margin;mso-position-vertical:center;mso-position-vertical-relative:margin">
          <v:imagedata r:id="rId2"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7FB2"/>
    <w:multiLevelType w:val="multilevel"/>
    <w:tmpl w:val="2F0E9634"/>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1">
    <w:nsid w:val="23506B32"/>
    <w:multiLevelType w:val="multilevel"/>
    <w:tmpl w:val="43CE8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796331"/>
    <w:multiLevelType w:val="multilevel"/>
    <w:tmpl w:val="5470B3A0"/>
    <w:lvl w:ilvl="0">
      <w:start w:val="1"/>
      <w:numFmt w:val="bullet"/>
      <w:pStyle w:val="Listaconvietas3"/>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nsid w:val="52C927E4"/>
    <w:multiLevelType w:val="multilevel"/>
    <w:tmpl w:val="15084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E464EE"/>
    <w:multiLevelType w:val="multilevel"/>
    <w:tmpl w:val="852A0634"/>
    <w:lvl w:ilvl="0">
      <w:start w:val="1"/>
      <w:numFmt w:val="lowerLetter"/>
      <w:lvlText w:val="%1)"/>
      <w:lvlJc w:val="left"/>
      <w:pPr>
        <w:ind w:left="927" w:hanging="360"/>
      </w:pPr>
    </w:lvl>
    <w:lvl w:ilvl="1">
      <w:start w:val="1"/>
      <w:numFmt w:val="lowerLetter"/>
      <w:lvlText w:val="%2."/>
      <w:lvlJc w:val="left"/>
      <w:pPr>
        <w:ind w:left="1647" w:hanging="360"/>
      </w:pPr>
      <w:rPr>
        <w:b/>
      </w:r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7EFD7741"/>
    <w:multiLevelType w:val="multilevel"/>
    <w:tmpl w:val="72DA8CC0"/>
    <w:lvl w:ilvl="0">
      <w:start w:val="1"/>
      <w:numFmt w:val="lowerLetter"/>
      <w:lvlText w:val="%1."/>
      <w:lvlJc w:val="left"/>
      <w:pPr>
        <w:ind w:left="157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A"/>
    <w:rsid w:val="00057DF8"/>
    <w:rsid w:val="00124312"/>
    <w:rsid w:val="001A4ECC"/>
    <w:rsid w:val="001B2FBA"/>
    <w:rsid w:val="00246F94"/>
    <w:rsid w:val="00263B8E"/>
    <w:rsid w:val="003408C9"/>
    <w:rsid w:val="003D5D41"/>
    <w:rsid w:val="004612BE"/>
    <w:rsid w:val="00487EC2"/>
    <w:rsid w:val="0053592A"/>
    <w:rsid w:val="005C5028"/>
    <w:rsid w:val="005D58F0"/>
    <w:rsid w:val="00652999"/>
    <w:rsid w:val="0077478E"/>
    <w:rsid w:val="00881BF8"/>
    <w:rsid w:val="008A13FA"/>
    <w:rsid w:val="008C09D9"/>
    <w:rsid w:val="008E5261"/>
    <w:rsid w:val="00C12D92"/>
    <w:rsid w:val="00C32132"/>
    <w:rsid w:val="00E121AA"/>
    <w:rsid w:val="00E57A65"/>
    <w:rsid w:val="00E70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CD0FAB"/>
  <w15:docId w15:val="{934B11E7-52F4-4564-87DE-E0EE23F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70"/>
  </w:style>
  <w:style w:type="paragraph" w:styleId="Ttulo1">
    <w:name w:val="heading 1"/>
    <w:basedOn w:val="Normal"/>
    <w:next w:val="Normal"/>
    <w:link w:val="Ttulo1Car"/>
    <w:uiPriority w:val="9"/>
    <w:qFormat/>
    <w:rsid w:val="007A4970"/>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semiHidden/>
    <w:unhideWhenUsed/>
    <w:qFormat/>
    <w:rsid w:val="007A497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link w:val="Ttulo3Car"/>
    <w:uiPriority w:val="9"/>
    <w:semiHidden/>
    <w:unhideWhenUsed/>
    <w:qFormat/>
    <w:rsid w:val="007A4970"/>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7A4970"/>
    <w:pPr>
      <w:keepNext/>
      <w:keepLines/>
      <w:spacing w:before="40"/>
      <w:outlineLvl w:val="3"/>
    </w:pPr>
    <w:rPr>
      <w:rFonts w:asciiTheme="majorHAnsi" w:eastAsiaTheme="majorEastAsia" w:hAnsiTheme="majorHAnsi" w:cstheme="majorBidi"/>
      <w:i/>
      <w:iCs/>
      <w:color w:val="2F5496" w:themeColor="accent1" w:themeShade="BF"/>
      <w:lang w:val="es-ES"/>
    </w:rPr>
  </w:style>
  <w:style w:type="paragraph" w:styleId="Ttulo5">
    <w:name w:val="heading 5"/>
    <w:basedOn w:val="Normal"/>
    <w:next w:val="Normal"/>
    <w:link w:val="Ttulo5Car"/>
    <w:uiPriority w:val="9"/>
    <w:semiHidden/>
    <w:unhideWhenUsed/>
    <w:qFormat/>
    <w:rsid w:val="007A4970"/>
    <w:pPr>
      <w:keepNext/>
      <w:keepLines/>
      <w:spacing w:before="40"/>
      <w:outlineLvl w:val="4"/>
    </w:pPr>
    <w:rPr>
      <w:rFonts w:asciiTheme="majorHAnsi" w:eastAsiaTheme="majorEastAsia" w:hAnsiTheme="majorHAnsi" w:cstheme="majorBidi"/>
      <w:color w:val="2F5496" w:themeColor="accent1" w:themeShade="BF"/>
      <w:lang w:val="es-ES"/>
    </w:rPr>
  </w:style>
  <w:style w:type="paragraph" w:styleId="Ttulo6">
    <w:name w:val="heading 6"/>
    <w:basedOn w:val="Normal"/>
    <w:next w:val="Normal"/>
    <w:link w:val="Ttulo6Car"/>
    <w:uiPriority w:val="9"/>
    <w:semiHidden/>
    <w:unhideWhenUsed/>
    <w:qFormat/>
    <w:rsid w:val="007A4970"/>
    <w:pPr>
      <w:keepNext/>
      <w:keepLines/>
      <w:spacing w:before="40"/>
      <w:outlineLvl w:val="5"/>
    </w:pPr>
    <w:rPr>
      <w:rFonts w:asciiTheme="majorHAnsi" w:eastAsiaTheme="majorEastAsia" w:hAnsiTheme="majorHAnsi" w:cstheme="majorBidi"/>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A4970"/>
    <w:pPr>
      <w:keepNext/>
      <w:keepLines/>
      <w:spacing w:before="480" w:after="120"/>
    </w:pPr>
    <w:rPr>
      <w:b/>
      <w:sz w:val="72"/>
      <w:szCs w:val="72"/>
    </w:rPr>
  </w:style>
  <w:style w:type="character" w:customStyle="1" w:styleId="Ttulo1Car">
    <w:name w:val="Título 1 Car"/>
    <w:basedOn w:val="Fuentedeprrafopredeter"/>
    <w:link w:val="Ttulo1"/>
    <w:uiPriority w:val="9"/>
    <w:rsid w:val="007A4970"/>
    <w:rPr>
      <w:rFonts w:asciiTheme="majorHAnsi" w:eastAsiaTheme="majorEastAsia" w:hAnsiTheme="majorHAnsi" w:cstheme="majorBidi"/>
      <w:color w:val="2F5496" w:themeColor="accent1" w:themeShade="BF"/>
      <w:kern w:val="0"/>
      <w:sz w:val="32"/>
      <w:szCs w:val="32"/>
      <w:lang w:val="es-ES" w:eastAsia="es-MX"/>
    </w:rPr>
  </w:style>
  <w:style w:type="character" w:customStyle="1" w:styleId="Ttulo2Car">
    <w:name w:val="Título 2 Car"/>
    <w:basedOn w:val="Fuentedeprrafopredeter"/>
    <w:link w:val="Ttulo2"/>
    <w:uiPriority w:val="9"/>
    <w:semiHidden/>
    <w:rsid w:val="007A4970"/>
    <w:rPr>
      <w:rFonts w:asciiTheme="majorHAnsi" w:eastAsiaTheme="majorEastAsia" w:hAnsiTheme="majorHAnsi" w:cstheme="majorBidi"/>
      <w:color w:val="2F5496" w:themeColor="accent1" w:themeShade="BF"/>
      <w:kern w:val="0"/>
      <w:sz w:val="26"/>
      <w:szCs w:val="26"/>
    </w:rPr>
  </w:style>
  <w:style w:type="character" w:customStyle="1" w:styleId="Ttulo3Car">
    <w:name w:val="Título 3 Car"/>
    <w:basedOn w:val="Fuentedeprrafopredeter"/>
    <w:link w:val="Ttulo3"/>
    <w:uiPriority w:val="9"/>
    <w:semiHidden/>
    <w:rsid w:val="007A4970"/>
    <w:rPr>
      <w:rFonts w:ascii="Times New Roman" w:eastAsia="Times New Roman" w:hAnsi="Times New Roman" w:cs="Times New Roman"/>
      <w:b/>
      <w:bCs/>
      <w:kern w:val="0"/>
      <w:sz w:val="27"/>
      <w:szCs w:val="27"/>
      <w:lang w:eastAsia="es-MX"/>
    </w:rPr>
  </w:style>
  <w:style w:type="character" w:customStyle="1" w:styleId="Ttulo4Car">
    <w:name w:val="Título 4 Car"/>
    <w:basedOn w:val="Fuentedeprrafopredeter"/>
    <w:link w:val="Ttulo4"/>
    <w:uiPriority w:val="9"/>
    <w:semiHidden/>
    <w:rsid w:val="007A4970"/>
    <w:rPr>
      <w:rFonts w:asciiTheme="majorHAnsi" w:eastAsiaTheme="majorEastAsia" w:hAnsiTheme="majorHAnsi" w:cstheme="majorBidi"/>
      <w:i/>
      <w:iCs/>
      <w:color w:val="2F5496" w:themeColor="accent1" w:themeShade="BF"/>
      <w:kern w:val="0"/>
      <w:sz w:val="24"/>
      <w:szCs w:val="24"/>
      <w:lang w:val="es-ES" w:eastAsia="es-MX"/>
    </w:rPr>
  </w:style>
  <w:style w:type="character" w:customStyle="1" w:styleId="Ttulo5Car">
    <w:name w:val="Título 5 Car"/>
    <w:basedOn w:val="Fuentedeprrafopredeter"/>
    <w:link w:val="Ttulo5"/>
    <w:uiPriority w:val="9"/>
    <w:semiHidden/>
    <w:rsid w:val="007A4970"/>
    <w:rPr>
      <w:rFonts w:asciiTheme="majorHAnsi" w:eastAsiaTheme="majorEastAsia" w:hAnsiTheme="majorHAnsi" w:cstheme="majorBidi"/>
      <w:color w:val="2F5496" w:themeColor="accent1" w:themeShade="BF"/>
      <w:kern w:val="0"/>
      <w:sz w:val="24"/>
      <w:szCs w:val="24"/>
      <w:lang w:val="es-ES" w:eastAsia="es-MX"/>
    </w:rPr>
  </w:style>
  <w:style w:type="character" w:customStyle="1" w:styleId="Ttulo6Car">
    <w:name w:val="Título 6 Car"/>
    <w:basedOn w:val="Fuentedeprrafopredeter"/>
    <w:link w:val="Ttulo6"/>
    <w:uiPriority w:val="9"/>
    <w:semiHidden/>
    <w:rsid w:val="007A4970"/>
    <w:rPr>
      <w:rFonts w:asciiTheme="majorHAnsi" w:eastAsiaTheme="majorEastAsia" w:hAnsiTheme="majorHAnsi" w:cstheme="majorBidi"/>
      <w:color w:val="1F3763" w:themeColor="accent1" w:themeShade="7F"/>
      <w:kern w:val="0"/>
      <w:sz w:val="24"/>
      <w:szCs w:val="24"/>
      <w:lang w:val="es-ES" w:eastAsia="es-MX"/>
    </w:rPr>
  </w:style>
  <w:style w:type="table" w:customStyle="1" w:styleId="TableNormal0">
    <w:name w:val="Table Normal"/>
    <w:rsid w:val="007A4970"/>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A4970"/>
    <w:rPr>
      <w:rFonts w:ascii="Times New Roman" w:eastAsia="Times New Roman" w:hAnsi="Times New Roman" w:cs="Times New Roman"/>
      <w:b/>
      <w:kern w:val="0"/>
      <w:sz w:val="72"/>
      <w:szCs w:val="72"/>
      <w:lang w:eastAsia="es-MX"/>
    </w:rPr>
  </w:style>
  <w:style w:type="table" w:customStyle="1" w:styleId="TableNormal56">
    <w:name w:val="Table Normal56"/>
    <w:rsid w:val="007A4970"/>
    <w:tblPr>
      <w:tblCellMar>
        <w:top w:w="0" w:type="dxa"/>
        <w:left w:w="0" w:type="dxa"/>
        <w:bottom w:w="0" w:type="dxa"/>
        <w:right w:w="0" w:type="dxa"/>
      </w:tblCellMar>
    </w:tblPr>
  </w:style>
  <w:style w:type="table" w:customStyle="1" w:styleId="TableNormal55">
    <w:name w:val="Table Normal55"/>
    <w:rsid w:val="007A4970"/>
    <w:tblPr>
      <w:tblCellMar>
        <w:top w:w="0" w:type="dxa"/>
        <w:left w:w="0" w:type="dxa"/>
        <w:bottom w:w="0" w:type="dxa"/>
        <w:right w:w="0" w:type="dxa"/>
      </w:tblCellMar>
    </w:tblPr>
  </w:style>
  <w:style w:type="table" w:customStyle="1" w:styleId="TableNormal54">
    <w:name w:val="Table Normal54"/>
    <w:rsid w:val="007A4970"/>
    <w:tblPr>
      <w:tblCellMar>
        <w:top w:w="0" w:type="dxa"/>
        <w:left w:w="0" w:type="dxa"/>
        <w:bottom w:w="0" w:type="dxa"/>
        <w:right w:w="0" w:type="dxa"/>
      </w:tblCellMar>
    </w:tblPr>
  </w:style>
  <w:style w:type="table" w:customStyle="1" w:styleId="TableNormal53">
    <w:name w:val="Table Normal53"/>
    <w:rsid w:val="007A4970"/>
    <w:tblPr>
      <w:tblCellMar>
        <w:top w:w="0" w:type="dxa"/>
        <w:left w:w="0" w:type="dxa"/>
        <w:bottom w:w="0" w:type="dxa"/>
        <w:right w:w="0" w:type="dxa"/>
      </w:tblCellMar>
    </w:tblPr>
  </w:style>
  <w:style w:type="table" w:customStyle="1" w:styleId="TableNormal52">
    <w:name w:val="Table Normal52"/>
    <w:rsid w:val="007A4970"/>
    <w:tblPr>
      <w:tblCellMar>
        <w:top w:w="0" w:type="dxa"/>
        <w:left w:w="0" w:type="dxa"/>
        <w:bottom w:w="0" w:type="dxa"/>
        <w:right w:w="0" w:type="dxa"/>
      </w:tblCellMar>
    </w:tblPr>
  </w:style>
  <w:style w:type="table" w:customStyle="1" w:styleId="TableNormal51">
    <w:name w:val="Table Normal51"/>
    <w:rsid w:val="007A4970"/>
    <w:tblPr>
      <w:tblCellMar>
        <w:top w:w="0" w:type="dxa"/>
        <w:left w:w="0" w:type="dxa"/>
        <w:bottom w:w="0" w:type="dxa"/>
        <w:right w:w="0" w:type="dxa"/>
      </w:tblCellMar>
    </w:tblPr>
  </w:style>
  <w:style w:type="table" w:customStyle="1" w:styleId="TableNormal50">
    <w:name w:val="Table Normal50"/>
    <w:rsid w:val="007A4970"/>
    <w:tblPr>
      <w:tblCellMar>
        <w:top w:w="0" w:type="dxa"/>
        <w:left w:w="0" w:type="dxa"/>
        <w:bottom w:w="0" w:type="dxa"/>
        <w:right w:w="0" w:type="dxa"/>
      </w:tblCellMar>
    </w:tblPr>
  </w:style>
  <w:style w:type="table" w:customStyle="1" w:styleId="TableNormal49">
    <w:name w:val="Table Normal49"/>
    <w:rsid w:val="007A4970"/>
    <w:tblPr>
      <w:tblCellMar>
        <w:top w:w="0" w:type="dxa"/>
        <w:left w:w="0" w:type="dxa"/>
        <w:bottom w:w="0" w:type="dxa"/>
        <w:right w:w="0" w:type="dxa"/>
      </w:tblCellMar>
    </w:tblPr>
  </w:style>
  <w:style w:type="table" w:customStyle="1" w:styleId="TableNormal48">
    <w:name w:val="Table Normal48"/>
    <w:rsid w:val="007A4970"/>
    <w:tblPr>
      <w:tblCellMar>
        <w:top w:w="0" w:type="dxa"/>
        <w:left w:w="0" w:type="dxa"/>
        <w:bottom w:w="0" w:type="dxa"/>
        <w:right w:w="0" w:type="dxa"/>
      </w:tblCellMar>
    </w:tblPr>
  </w:style>
  <w:style w:type="table" w:customStyle="1" w:styleId="TableNormal47">
    <w:name w:val="Table Normal47"/>
    <w:rsid w:val="007A4970"/>
    <w:tblPr>
      <w:tblCellMar>
        <w:top w:w="0" w:type="dxa"/>
        <w:left w:w="0" w:type="dxa"/>
        <w:bottom w:w="0" w:type="dxa"/>
        <w:right w:w="0" w:type="dxa"/>
      </w:tblCellMar>
    </w:tblPr>
  </w:style>
  <w:style w:type="table" w:customStyle="1" w:styleId="TableNormal46">
    <w:name w:val="Table Normal46"/>
    <w:rsid w:val="007A4970"/>
    <w:tblPr>
      <w:tblCellMar>
        <w:top w:w="0" w:type="dxa"/>
        <w:left w:w="0" w:type="dxa"/>
        <w:bottom w:w="0" w:type="dxa"/>
        <w:right w:w="0" w:type="dxa"/>
      </w:tblCellMar>
    </w:tblPr>
  </w:style>
  <w:style w:type="table" w:customStyle="1" w:styleId="TableNormal45">
    <w:name w:val="Table Normal45"/>
    <w:rsid w:val="007A4970"/>
    <w:tblPr>
      <w:tblCellMar>
        <w:top w:w="0" w:type="dxa"/>
        <w:left w:w="0" w:type="dxa"/>
        <w:bottom w:w="0" w:type="dxa"/>
        <w:right w:w="0" w:type="dxa"/>
      </w:tblCellMar>
    </w:tblPr>
  </w:style>
  <w:style w:type="table" w:customStyle="1" w:styleId="TableNormal44">
    <w:name w:val="Table Normal44"/>
    <w:rsid w:val="007A4970"/>
    <w:tblPr>
      <w:tblCellMar>
        <w:top w:w="0" w:type="dxa"/>
        <w:left w:w="0" w:type="dxa"/>
        <w:bottom w:w="0" w:type="dxa"/>
        <w:right w:w="0" w:type="dxa"/>
      </w:tblCellMar>
    </w:tblPr>
  </w:style>
  <w:style w:type="table" w:customStyle="1" w:styleId="TableNormal43">
    <w:name w:val="Table Normal43"/>
    <w:rsid w:val="007A4970"/>
    <w:tblPr>
      <w:tblCellMar>
        <w:top w:w="0" w:type="dxa"/>
        <w:left w:w="0" w:type="dxa"/>
        <w:bottom w:w="0" w:type="dxa"/>
        <w:right w:w="0" w:type="dxa"/>
      </w:tblCellMar>
    </w:tblPr>
  </w:style>
  <w:style w:type="table" w:customStyle="1" w:styleId="TableNormal42">
    <w:name w:val="Table Normal42"/>
    <w:rsid w:val="007A4970"/>
    <w:tblPr>
      <w:tblCellMar>
        <w:top w:w="0" w:type="dxa"/>
        <w:left w:w="0" w:type="dxa"/>
        <w:bottom w:w="0" w:type="dxa"/>
        <w:right w:w="0" w:type="dxa"/>
      </w:tblCellMar>
    </w:tblPr>
  </w:style>
  <w:style w:type="table" w:customStyle="1" w:styleId="TableNormal41">
    <w:name w:val="Table Normal41"/>
    <w:rsid w:val="007A4970"/>
    <w:tblPr>
      <w:tblCellMar>
        <w:top w:w="0" w:type="dxa"/>
        <w:left w:w="0" w:type="dxa"/>
        <w:bottom w:w="0" w:type="dxa"/>
        <w:right w:w="0" w:type="dxa"/>
      </w:tblCellMar>
    </w:tblPr>
  </w:style>
  <w:style w:type="table" w:customStyle="1" w:styleId="TableNormal40">
    <w:name w:val="Table Normal40"/>
    <w:rsid w:val="007A4970"/>
    <w:tblPr>
      <w:tblCellMar>
        <w:top w:w="0" w:type="dxa"/>
        <w:left w:w="0" w:type="dxa"/>
        <w:bottom w:w="0" w:type="dxa"/>
        <w:right w:w="0" w:type="dxa"/>
      </w:tblCellMar>
    </w:tblPr>
  </w:style>
  <w:style w:type="table" w:customStyle="1" w:styleId="TableNormal39">
    <w:name w:val="Table Normal39"/>
    <w:rsid w:val="007A4970"/>
    <w:tblPr>
      <w:tblCellMar>
        <w:top w:w="0" w:type="dxa"/>
        <w:left w:w="0" w:type="dxa"/>
        <w:bottom w:w="0" w:type="dxa"/>
        <w:right w:w="0" w:type="dxa"/>
      </w:tblCellMar>
    </w:tblPr>
  </w:style>
  <w:style w:type="table" w:customStyle="1" w:styleId="TableNormal38">
    <w:name w:val="Table Normal38"/>
    <w:rsid w:val="007A4970"/>
    <w:tblPr>
      <w:tblCellMar>
        <w:top w:w="0" w:type="dxa"/>
        <w:left w:w="0" w:type="dxa"/>
        <w:bottom w:w="0" w:type="dxa"/>
        <w:right w:w="0" w:type="dxa"/>
      </w:tblCellMar>
    </w:tblPr>
  </w:style>
  <w:style w:type="table" w:customStyle="1" w:styleId="TableNormal37">
    <w:name w:val="Table Normal37"/>
    <w:rsid w:val="007A4970"/>
    <w:tblPr>
      <w:tblCellMar>
        <w:top w:w="0" w:type="dxa"/>
        <w:left w:w="0" w:type="dxa"/>
        <w:bottom w:w="0" w:type="dxa"/>
        <w:right w:w="0" w:type="dxa"/>
      </w:tblCellMar>
    </w:tblPr>
  </w:style>
  <w:style w:type="table" w:customStyle="1" w:styleId="TableNormal36">
    <w:name w:val="Table Normal36"/>
    <w:rsid w:val="007A4970"/>
    <w:tblPr>
      <w:tblCellMar>
        <w:top w:w="0" w:type="dxa"/>
        <w:left w:w="0" w:type="dxa"/>
        <w:bottom w:w="0" w:type="dxa"/>
        <w:right w:w="0" w:type="dxa"/>
      </w:tblCellMar>
    </w:tblPr>
  </w:style>
  <w:style w:type="table" w:customStyle="1" w:styleId="TableNormal35">
    <w:name w:val="Table Normal35"/>
    <w:rsid w:val="007A4970"/>
    <w:tblPr>
      <w:tblCellMar>
        <w:top w:w="0" w:type="dxa"/>
        <w:left w:w="0" w:type="dxa"/>
        <w:bottom w:w="0" w:type="dxa"/>
        <w:right w:w="0" w:type="dxa"/>
      </w:tblCellMar>
    </w:tblPr>
  </w:style>
  <w:style w:type="table" w:customStyle="1" w:styleId="TableNormal34">
    <w:name w:val="Table Normal34"/>
    <w:rsid w:val="007A4970"/>
    <w:tblPr>
      <w:tblCellMar>
        <w:top w:w="0" w:type="dxa"/>
        <w:left w:w="0" w:type="dxa"/>
        <w:bottom w:w="0" w:type="dxa"/>
        <w:right w:w="0" w:type="dxa"/>
      </w:tblCellMar>
    </w:tblPr>
  </w:style>
  <w:style w:type="table" w:customStyle="1" w:styleId="TableNormal33">
    <w:name w:val="Table Normal33"/>
    <w:rsid w:val="007A4970"/>
    <w:tblPr>
      <w:tblCellMar>
        <w:top w:w="0" w:type="dxa"/>
        <w:left w:w="0" w:type="dxa"/>
        <w:bottom w:w="0" w:type="dxa"/>
        <w:right w:w="0" w:type="dxa"/>
      </w:tblCellMar>
    </w:tblPr>
  </w:style>
  <w:style w:type="table" w:customStyle="1" w:styleId="TableNormal32">
    <w:name w:val="Table Normal32"/>
    <w:rsid w:val="007A4970"/>
    <w:tblPr>
      <w:tblCellMar>
        <w:top w:w="0" w:type="dxa"/>
        <w:left w:w="0" w:type="dxa"/>
        <w:bottom w:w="0" w:type="dxa"/>
        <w:right w:w="0" w:type="dxa"/>
      </w:tblCellMar>
    </w:tblPr>
  </w:style>
  <w:style w:type="table" w:customStyle="1" w:styleId="TableNormal31">
    <w:name w:val="Table Normal31"/>
    <w:rsid w:val="007A4970"/>
    <w:tblPr>
      <w:tblCellMar>
        <w:top w:w="0" w:type="dxa"/>
        <w:left w:w="0" w:type="dxa"/>
        <w:bottom w:w="0" w:type="dxa"/>
        <w:right w:w="0" w:type="dxa"/>
      </w:tblCellMar>
    </w:tblPr>
  </w:style>
  <w:style w:type="table" w:customStyle="1" w:styleId="TableNormal30">
    <w:name w:val="Table Normal30"/>
    <w:rsid w:val="007A4970"/>
    <w:tblPr>
      <w:tblCellMar>
        <w:top w:w="0" w:type="dxa"/>
        <w:left w:w="0" w:type="dxa"/>
        <w:bottom w:w="0" w:type="dxa"/>
        <w:right w:w="0" w:type="dxa"/>
      </w:tblCellMar>
    </w:tblPr>
  </w:style>
  <w:style w:type="table" w:customStyle="1" w:styleId="TableNormal29">
    <w:name w:val="Table Normal29"/>
    <w:rsid w:val="007A4970"/>
    <w:tblPr>
      <w:tblCellMar>
        <w:top w:w="0" w:type="dxa"/>
        <w:left w:w="0" w:type="dxa"/>
        <w:bottom w:w="0" w:type="dxa"/>
        <w:right w:w="0" w:type="dxa"/>
      </w:tblCellMar>
    </w:tblPr>
  </w:style>
  <w:style w:type="table" w:customStyle="1" w:styleId="TableNormal28">
    <w:name w:val="Table Normal28"/>
    <w:rsid w:val="007A4970"/>
    <w:tblPr>
      <w:tblCellMar>
        <w:top w:w="0" w:type="dxa"/>
        <w:left w:w="0" w:type="dxa"/>
        <w:bottom w:w="0" w:type="dxa"/>
        <w:right w:w="0" w:type="dxa"/>
      </w:tblCellMar>
    </w:tblPr>
  </w:style>
  <w:style w:type="table" w:customStyle="1" w:styleId="TableNormal27">
    <w:name w:val="Table Normal27"/>
    <w:rsid w:val="007A4970"/>
    <w:tblPr>
      <w:tblCellMar>
        <w:top w:w="0" w:type="dxa"/>
        <w:left w:w="0" w:type="dxa"/>
        <w:bottom w:w="0" w:type="dxa"/>
        <w:right w:w="0" w:type="dxa"/>
      </w:tblCellMar>
    </w:tblPr>
  </w:style>
  <w:style w:type="table" w:customStyle="1" w:styleId="TableNormal26">
    <w:name w:val="Table Normal26"/>
    <w:rsid w:val="007A4970"/>
    <w:tblPr>
      <w:tblCellMar>
        <w:top w:w="0" w:type="dxa"/>
        <w:left w:w="0" w:type="dxa"/>
        <w:bottom w:w="0" w:type="dxa"/>
        <w:right w:w="0" w:type="dxa"/>
      </w:tblCellMar>
    </w:tblPr>
  </w:style>
  <w:style w:type="table" w:customStyle="1" w:styleId="TableNormal25">
    <w:name w:val="Table Normal25"/>
    <w:rsid w:val="007A4970"/>
    <w:tblPr>
      <w:tblCellMar>
        <w:top w:w="0" w:type="dxa"/>
        <w:left w:w="0" w:type="dxa"/>
        <w:bottom w:w="0" w:type="dxa"/>
        <w:right w:w="0" w:type="dxa"/>
      </w:tblCellMar>
    </w:tblPr>
  </w:style>
  <w:style w:type="table" w:customStyle="1" w:styleId="TableNormal24">
    <w:name w:val="Table Normal24"/>
    <w:rsid w:val="007A4970"/>
    <w:tblPr>
      <w:tblCellMar>
        <w:top w:w="0" w:type="dxa"/>
        <w:left w:w="0" w:type="dxa"/>
        <w:bottom w:w="0" w:type="dxa"/>
        <w:right w:w="0" w:type="dxa"/>
      </w:tblCellMar>
    </w:tblPr>
  </w:style>
  <w:style w:type="table" w:customStyle="1" w:styleId="TableNormal23">
    <w:name w:val="Table Normal23"/>
    <w:rsid w:val="007A4970"/>
    <w:tblPr>
      <w:tblCellMar>
        <w:top w:w="0" w:type="dxa"/>
        <w:left w:w="0" w:type="dxa"/>
        <w:bottom w:w="0" w:type="dxa"/>
        <w:right w:w="0" w:type="dxa"/>
      </w:tblCellMar>
    </w:tblPr>
  </w:style>
  <w:style w:type="table" w:customStyle="1" w:styleId="TableNormal22">
    <w:name w:val="Table Normal22"/>
    <w:rsid w:val="007A4970"/>
    <w:tblPr>
      <w:tblCellMar>
        <w:top w:w="0" w:type="dxa"/>
        <w:left w:w="0" w:type="dxa"/>
        <w:bottom w:w="0" w:type="dxa"/>
        <w:right w:w="0" w:type="dxa"/>
      </w:tblCellMar>
    </w:tblPr>
  </w:style>
  <w:style w:type="table" w:customStyle="1" w:styleId="TableNormal21">
    <w:name w:val="Table Normal21"/>
    <w:rsid w:val="007A4970"/>
    <w:tblPr>
      <w:tblCellMar>
        <w:top w:w="0" w:type="dxa"/>
        <w:left w:w="0" w:type="dxa"/>
        <w:bottom w:w="0" w:type="dxa"/>
        <w:right w:w="0" w:type="dxa"/>
      </w:tblCellMar>
    </w:tblPr>
  </w:style>
  <w:style w:type="table" w:customStyle="1" w:styleId="TableNormal20">
    <w:name w:val="Table Normal20"/>
    <w:rsid w:val="007A4970"/>
    <w:tblPr>
      <w:tblCellMar>
        <w:top w:w="0" w:type="dxa"/>
        <w:left w:w="0" w:type="dxa"/>
        <w:bottom w:w="0" w:type="dxa"/>
        <w:right w:w="0" w:type="dxa"/>
      </w:tblCellMar>
    </w:tblPr>
  </w:style>
  <w:style w:type="table" w:customStyle="1" w:styleId="TableNormal19">
    <w:name w:val="Table Normal19"/>
    <w:rsid w:val="007A4970"/>
    <w:tblPr>
      <w:tblCellMar>
        <w:top w:w="0" w:type="dxa"/>
        <w:left w:w="0" w:type="dxa"/>
        <w:bottom w:w="0" w:type="dxa"/>
        <w:right w:w="0" w:type="dxa"/>
      </w:tblCellMar>
    </w:tblPr>
  </w:style>
  <w:style w:type="table" w:customStyle="1" w:styleId="TableNormal18">
    <w:name w:val="Table Normal18"/>
    <w:rsid w:val="007A4970"/>
    <w:tblPr>
      <w:tblCellMar>
        <w:top w:w="0" w:type="dxa"/>
        <w:left w:w="0" w:type="dxa"/>
        <w:bottom w:w="0" w:type="dxa"/>
        <w:right w:w="0" w:type="dxa"/>
      </w:tblCellMar>
    </w:tblPr>
  </w:style>
  <w:style w:type="table" w:customStyle="1" w:styleId="TableNormal17">
    <w:name w:val="Table Normal17"/>
    <w:rsid w:val="007A4970"/>
    <w:tblPr>
      <w:tblCellMar>
        <w:top w:w="0" w:type="dxa"/>
        <w:left w:w="0" w:type="dxa"/>
        <w:bottom w:w="0" w:type="dxa"/>
        <w:right w:w="0" w:type="dxa"/>
      </w:tblCellMar>
    </w:tblPr>
  </w:style>
  <w:style w:type="table" w:customStyle="1" w:styleId="TableNormal16">
    <w:name w:val="Table Normal16"/>
    <w:rsid w:val="007A4970"/>
    <w:tblPr>
      <w:tblCellMar>
        <w:top w:w="0" w:type="dxa"/>
        <w:left w:w="0" w:type="dxa"/>
        <w:bottom w:w="0" w:type="dxa"/>
        <w:right w:w="0" w:type="dxa"/>
      </w:tblCellMar>
    </w:tblPr>
  </w:style>
  <w:style w:type="table" w:customStyle="1" w:styleId="TableNormal15">
    <w:name w:val="Table Normal15"/>
    <w:rsid w:val="007A4970"/>
    <w:tblPr>
      <w:tblCellMar>
        <w:top w:w="0" w:type="dxa"/>
        <w:left w:w="0" w:type="dxa"/>
        <w:bottom w:w="0" w:type="dxa"/>
        <w:right w:w="0" w:type="dxa"/>
      </w:tblCellMar>
    </w:tblPr>
  </w:style>
  <w:style w:type="table" w:customStyle="1" w:styleId="TableNormal14">
    <w:name w:val="Table Normal14"/>
    <w:rsid w:val="007A4970"/>
    <w:tblPr>
      <w:tblCellMar>
        <w:top w:w="0" w:type="dxa"/>
        <w:left w:w="0" w:type="dxa"/>
        <w:bottom w:w="0" w:type="dxa"/>
        <w:right w:w="0" w:type="dxa"/>
      </w:tblCellMar>
    </w:tblPr>
  </w:style>
  <w:style w:type="table" w:customStyle="1" w:styleId="TableNormal13">
    <w:name w:val="Table Normal13"/>
    <w:rsid w:val="007A4970"/>
    <w:tblPr>
      <w:tblCellMar>
        <w:top w:w="0" w:type="dxa"/>
        <w:left w:w="0" w:type="dxa"/>
        <w:bottom w:w="0" w:type="dxa"/>
        <w:right w:w="0" w:type="dxa"/>
      </w:tblCellMar>
    </w:tblPr>
  </w:style>
  <w:style w:type="table" w:customStyle="1" w:styleId="TableNormal12">
    <w:name w:val="Table Normal12"/>
    <w:rsid w:val="007A4970"/>
    <w:tblPr>
      <w:tblCellMar>
        <w:top w:w="0" w:type="dxa"/>
        <w:left w:w="0" w:type="dxa"/>
        <w:bottom w:w="0" w:type="dxa"/>
        <w:right w:w="0" w:type="dxa"/>
      </w:tblCellMar>
    </w:tblPr>
  </w:style>
  <w:style w:type="table" w:customStyle="1" w:styleId="TableNormal11">
    <w:name w:val="Table Normal11"/>
    <w:rsid w:val="007A4970"/>
    <w:tblPr>
      <w:tblCellMar>
        <w:top w:w="0" w:type="dxa"/>
        <w:left w:w="0" w:type="dxa"/>
        <w:bottom w:w="0" w:type="dxa"/>
        <w:right w:w="0" w:type="dxa"/>
      </w:tblCellMar>
    </w:tblPr>
  </w:style>
  <w:style w:type="table" w:customStyle="1" w:styleId="TableNormal10">
    <w:name w:val="Table Normal10"/>
    <w:rsid w:val="007A4970"/>
    <w:tblPr>
      <w:tblCellMar>
        <w:top w:w="0" w:type="dxa"/>
        <w:left w:w="0" w:type="dxa"/>
        <w:bottom w:w="0" w:type="dxa"/>
        <w:right w:w="0" w:type="dxa"/>
      </w:tblCellMar>
    </w:tblPr>
  </w:style>
  <w:style w:type="table" w:customStyle="1" w:styleId="TableNormal9">
    <w:name w:val="Table Normal9"/>
    <w:rsid w:val="007A4970"/>
    <w:tblPr>
      <w:tblCellMar>
        <w:top w:w="0" w:type="dxa"/>
        <w:left w:w="0" w:type="dxa"/>
        <w:bottom w:w="0" w:type="dxa"/>
        <w:right w:w="0" w:type="dxa"/>
      </w:tblCellMar>
    </w:tblPr>
  </w:style>
  <w:style w:type="table" w:customStyle="1" w:styleId="TableNormal8">
    <w:name w:val="Table Normal8"/>
    <w:rsid w:val="007A4970"/>
    <w:tblPr>
      <w:tblCellMar>
        <w:top w:w="0" w:type="dxa"/>
        <w:left w:w="0" w:type="dxa"/>
        <w:bottom w:w="0" w:type="dxa"/>
        <w:right w:w="0" w:type="dxa"/>
      </w:tblCellMar>
    </w:tblPr>
  </w:style>
  <w:style w:type="table" w:customStyle="1" w:styleId="TableNormal7">
    <w:name w:val="Table Normal7"/>
    <w:rsid w:val="007A4970"/>
    <w:tblPr>
      <w:tblCellMar>
        <w:top w:w="0" w:type="dxa"/>
        <w:left w:w="0" w:type="dxa"/>
        <w:bottom w:w="0" w:type="dxa"/>
        <w:right w:w="0" w:type="dxa"/>
      </w:tblCellMar>
    </w:tblPr>
  </w:style>
  <w:style w:type="table" w:customStyle="1" w:styleId="TableNormal6">
    <w:name w:val="Table Normal6"/>
    <w:rsid w:val="007A4970"/>
    <w:tblPr>
      <w:tblCellMar>
        <w:top w:w="0" w:type="dxa"/>
        <w:left w:w="0" w:type="dxa"/>
        <w:bottom w:w="0" w:type="dxa"/>
        <w:right w:w="0" w:type="dxa"/>
      </w:tblCellMar>
    </w:tblPr>
  </w:style>
  <w:style w:type="table" w:customStyle="1" w:styleId="TableNormal5">
    <w:name w:val="Table Normal5"/>
    <w:rsid w:val="007A4970"/>
    <w:tblPr>
      <w:tblCellMar>
        <w:top w:w="0" w:type="dxa"/>
        <w:left w:w="0" w:type="dxa"/>
        <w:bottom w:w="0" w:type="dxa"/>
        <w:right w:w="0" w:type="dxa"/>
      </w:tblCellMar>
    </w:tblPr>
  </w:style>
  <w:style w:type="table" w:customStyle="1" w:styleId="TableNormal4">
    <w:name w:val="Table Normal4"/>
    <w:rsid w:val="007A4970"/>
    <w:tblPr>
      <w:tblCellMar>
        <w:top w:w="0" w:type="dxa"/>
        <w:left w:w="0" w:type="dxa"/>
        <w:bottom w:w="0" w:type="dxa"/>
        <w:right w:w="0" w:type="dxa"/>
      </w:tblCellMar>
    </w:tblPr>
  </w:style>
  <w:style w:type="table" w:customStyle="1" w:styleId="TableNormal3">
    <w:name w:val="Table Normal3"/>
    <w:rsid w:val="007A4970"/>
    <w:tblPr>
      <w:tblCellMar>
        <w:top w:w="0" w:type="dxa"/>
        <w:left w:w="0" w:type="dxa"/>
        <w:bottom w:w="0" w:type="dxa"/>
        <w:right w:w="0" w:type="dxa"/>
      </w:tblCellMar>
    </w:tblPr>
  </w:style>
  <w:style w:type="table" w:customStyle="1" w:styleId="TableNormal2">
    <w:name w:val="Table Normal2"/>
    <w:rsid w:val="007A4970"/>
    <w:tblPr>
      <w:tblCellMar>
        <w:top w:w="0" w:type="dxa"/>
        <w:left w:w="0" w:type="dxa"/>
        <w:bottom w:w="0" w:type="dxa"/>
        <w:right w:w="0" w:type="dxa"/>
      </w:tblCellMar>
    </w:tblPr>
  </w:style>
  <w:style w:type="table" w:customStyle="1" w:styleId="TableNormal1">
    <w:name w:val="Table Normal1"/>
    <w:rsid w:val="007A4970"/>
    <w:tblPr>
      <w:tblCellMar>
        <w:top w:w="0" w:type="dxa"/>
        <w:left w:w="0" w:type="dxa"/>
        <w:bottom w:w="0" w:type="dxa"/>
        <w:right w:w="0" w:type="dxa"/>
      </w:tblCellMar>
    </w:tblPr>
  </w:style>
  <w:style w:type="paragraph" w:styleId="Encabezado">
    <w:name w:val="header"/>
    <w:basedOn w:val="Normal"/>
    <w:link w:val="EncabezadoCar"/>
    <w:uiPriority w:val="99"/>
    <w:unhideWhenUsed/>
    <w:rsid w:val="007A497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A4970"/>
    <w:rPr>
      <w:rFonts w:eastAsiaTheme="minorEastAsia"/>
      <w:kern w:val="0"/>
      <w:sz w:val="24"/>
      <w:szCs w:val="24"/>
      <w:lang w:val="es-ES_tradnl" w:eastAsia="es-MX"/>
    </w:rPr>
  </w:style>
  <w:style w:type="paragraph" w:styleId="Piedepgina">
    <w:name w:val="footer"/>
    <w:basedOn w:val="Normal"/>
    <w:link w:val="PiedepginaCar"/>
    <w:uiPriority w:val="99"/>
    <w:unhideWhenUsed/>
    <w:rsid w:val="007A497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A4970"/>
    <w:rPr>
      <w:rFonts w:eastAsiaTheme="minorEastAsia"/>
      <w:kern w:val="0"/>
      <w:sz w:val="24"/>
      <w:szCs w:val="24"/>
      <w:lang w:val="es-ES_tradnl" w:eastAsia="es-MX"/>
    </w:rPr>
  </w:style>
  <w:style w:type="paragraph" w:styleId="Textodeglobo">
    <w:name w:val="Balloon Text"/>
    <w:basedOn w:val="Normal"/>
    <w:link w:val="TextodegloboCar"/>
    <w:uiPriority w:val="99"/>
    <w:semiHidden/>
    <w:unhideWhenUsed/>
    <w:rsid w:val="007A4970"/>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7A4970"/>
    <w:rPr>
      <w:rFonts w:ascii="Lucida Grande" w:eastAsiaTheme="minorEastAsia" w:hAnsi="Lucida Grande" w:cs="Lucida Grande"/>
      <w:kern w:val="0"/>
      <w:sz w:val="18"/>
      <w:szCs w:val="18"/>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A4970"/>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A4970"/>
    <w:rPr>
      <w:rFonts w:ascii="Times New Roman" w:eastAsia="Times New Roman" w:hAnsi="Times New Roman" w:cs="Times New Roman"/>
      <w:kern w:val="0"/>
      <w:sz w:val="24"/>
      <w:szCs w:val="24"/>
      <w:lang w:eastAsia="es-MX"/>
    </w:rPr>
  </w:style>
  <w:style w:type="character" w:styleId="Hipervnculo">
    <w:name w:val="Hyperlink"/>
    <w:uiPriority w:val="99"/>
    <w:unhideWhenUsed/>
    <w:rsid w:val="007A4970"/>
    <w:rPr>
      <w:strike w:val="0"/>
      <w:dstrike w:val="0"/>
      <w:color w:val="035899"/>
      <w:u w:val="none"/>
      <w:effect w:val="none"/>
    </w:rPr>
  </w:style>
  <w:style w:type="paragraph" w:styleId="NormalWeb">
    <w:name w:val="Normal (Web)"/>
    <w:basedOn w:val="Normal"/>
    <w:uiPriority w:val="99"/>
    <w:rsid w:val="007A4970"/>
    <w:pPr>
      <w:spacing w:before="100" w:beforeAutospacing="1" w:after="100" w:afterAutospacing="1"/>
    </w:pPr>
  </w:style>
  <w:style w:type="character" w:styleId="Textoennegrita">
    <w:name w:val="Strong"/>
    <w:uiPriority w:val="22"/>
    <w:qFormat/>
    <w:rsid w:val="007A4970"/>
    <w:rPr>
      <w:b/>
      <w:bCs/>
    </w:rPr>
  </w:style>
  <w:style w:type="character" w:styleId="Hipervnculovisitado">
    <w:name w:val="FollowedHyperlink"/>
    <w:basedOn w:val="Fuentedeprrafopredeter"/>
    <w:uiPriority w:val="99"/>
    <w:semiHidden/>
    <w:unhideWhenUsed/>
    <w:rsid w:val="007A4970"/>
    <w:rPr>
      <w:color w:val="954F72" w:themeColor="followedHyperlink"/>
      <w:u w:val="single"/>
    </w:rPr>
  </w:style>
  <w:style w:type="paragraph" w:styleId="Textoindependiente2">
    <w:name w:val="Body Text 2"/>
    <w:basedOn w:val="Normal"/>
    <w:link w:val="Textoindependiente2Car"/>
    <w:uiPriority w:val="99"/>
    <w:unhideWhenUsed/>
    <w:rsid w:val="007A4970"/>
    <w:pPr>
      <w:spacing w:after="120" w:line="480" w:lineRule="auto"/>
    </w:pPr>
  </w:style>
  <w:style w:type="character" w:customStyle="1" w:styleId="Textoindependiente2Car">
    <w:name w:val="Texto independiente 2 Car"/>
    <w:basedOn w:val="Fuentedeprrafopredeter"/>
    <w:link w:val="Textoindependiente2"/>
    <w:uiPriority w:val="99"/>
    <w:rsid w:val="007A4970"/>
    <w:rPr>
      <w:rFonts w:ascii="Times New Roman" w:eastAsia="Times New Roman" w:hAnsi="Times New Roman" w:cs="Times New Roman"/>
      <w:kern w:val="0"/>
      <w:sz w:val="24"/>
      <w:szCs w:val="24"/>
      <w:lang w:eastAsia="es-MX"/>
    </w:rPr>
  </w:style>
  <w:style w:type="character" w:styleId="Refdecomentario">
    <w:name w:val="annotation reference"/>
    <w:basedOn w:val="Fuentedeprrafopredeter"/>
    <w:uiPriority w:val="99"/>
    <w:semiHidden/>
    <w:unhideWhenUsed/>
    <w:rsid w:val="007A4970"/>
    <w:rPr>
      <w:sz w:val="16"/>
      <w:szCs w:val="16"/>
    </w:rPr>
  </w:style>
  <w:style w:type="character" w:customStyle="1" w:styleId="apple-converted-space">
    <w:name w:val="apple-converted-space"/>
    <w:basedOn w:val="Fuentedeprrafopredeter"/>
    <w:rsid w:val="007A4970"/>
  </w:style>
  <w:style w:type="paragraph" w:customStyle="1" w:styleId="Default">
    <w:name w:val="Default"/>
    <w:rsid w:val="007A4970"/>
    <w:pPr>
      <w:autoSpaceDE w:val="0"/>
      <w:autoSpaceDN w:val="0"/>
      <w:adjustRightInd w:val="0"/>
    </w:pPr>
    <w:rPr>
      <w:rFonts w:ascii="Arial" w:hAnsi="Arial" w:cs="Arial"/>
      <w:color w:val="000000"/>
    </w:rPr>
  </w:style>
  <w:style w:type="paragraph" w:customStyle="1" w:styleId="Listavistosa-nfasis11">
    <w:name w:val="Lista vistosa - Énfasis 11"/>
    <w:basedOn w:val="Normal"/>
    <w:link w:val="Listavistosa-nfasis1Car"/>
    <w:uiPriority w:val="34"/>
    <w:qFormat/>
    <w:rsid w:val="007A4970"/>
    <w:pPr>
      <w:ind w:left="708"/>
    </w:pPr>
  </w:style>
  <w:style w:type="character" w:customStyle="1" w:styleId="Listavistosa-nfasis1Car">
    <w:name w:val="Lista vistosa - Énfasis 1 Car"/>
    <w:link w:val="Listavistosa-nfasis11"/>
    <w:uiPriority w:val="34"/>
    <w:locked/>
    <w:rsid w:val="007A4970"/>
    <w:rPr>
      <w:rFonts w:ascii="Times New Roman" w:eastAsia="Times New Roman" w:hAnsi="Times New Roman" w:cs="Times New Roman"/>
      <w:kern w:val="0"/>
      <w:sz w:val="24"/>
      <w:szCs w:val="24"/>
      <w:lang w:eastAsia="es-MX"/>
    </w:rPr>
  </w:style>
  <w:style w:type="paragraph" w:customStyle="1" w:styleId="Texto">
    <w:name w:val="Texto"/>
    <w:basedOn w:val="Normal"/>
    <w:link w:val="TextoCar"/>
    <w:qFormat/>
    <w:rsid w:val="007A4970"/>
    <w:pPr>
      <w:spacing w:after="101" w:line="216" w:lineRule="exact"/>
      <w:ind w:firstLine="288"/>
      <w:jc w:val="both"/>
    </w:pPr>
    <w:rPr>
      <w:rFonts w:ascii="Arial" w:hAnsi="Arial" w:cs="Arial"/>
      <w:sz w:val="18"/>
      <w:szCs w:val="18"/>
    </w:rPr>
  </w:style>
  <w:style w:type="character" w:customStyle="1" w:styleId="apple-style-span">
    <w:name w:val="apple-style-span"/>
    <w:rsid w:val="007A4970"/>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A4970"/>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A4970"/>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7A4970"/>
    <w:rPr>
      <w:vertAlign w:val="superscript"/>
    </w:rPr>
  </w:style>
  <w:style w:type="paragraph" w:styleId="Sinespaciado">
    <w:name w:val="No Spacing"/>
    <w:aliases w:val="Francesa"/>
    <w:link w:val="SinespaciadoCar"/>
    <w:uiPriority w:val="1"/>
    <w:qFormat/>
    <w:rsid w:val="007A4970"/>
  </w:style>
  <w:style w:type="paragraph" w:styleId="Textosinformato">
    <w:name w:val="Plain Text"/>
    <w:basedOn w:val="Normal"/>
    <w:link w:val="TextosinformatoCar"/>
    <w:rsid w:val="007A4970"/>
    <w:rPr>
      <w:rFonts w:ascii="Courier New" w:hAnsi="Courier New"/>
      <w:sz w:val="20"/>
      <w:szCs w:val="20"/>
    </w:rPr>
  </w:style>
  <w:style w:type="character" w:customStyle="1" w:styleId="TextosinformatoCar">
    <w:name w:val="Texto sin formato Car"/>
    <w:basedOn w:val="Fuentedeprrafopredeter"/>
    <w:link w:val="Textosinformato"/>
    <w:rsid w:val="007A4970"/>
    <w:rPr>
      <w:rFonts w:ascii="Courier New" w:eastAsia="Times New Roman" w:hAnsi="Courier New" w:cs="Times New Roman"/>
      <w:kern w:val="0"/>
      <w:sz w:val="20"/>
      <w:szCs w:val="20"/>
      <w:lang w:eastAsia="es-MX"/>
    </w:rPr>
  </w:style>
  <w:style w:type="paragraph" w:customStyle="1" w:styleId="Standard">
    <w:name w:val="Standard"/>
    <w:rsid w:val="007A4970"/>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7A4970"/>
    <w:rPr>
      <w:rFonts w:ascii="Arial" w:hAnsi="Arial" w:cs="Arial" w:hint="default"/>
      <w:b/>
      <w:bCs/>
      <w:sz w:val="18"/>
      <w:szCs w:val="18"/>
    </w:rPr>
  </w:style>
  <w:style w:type="paragraph" w:customStyle="1" w:styleId="Pa2">
    <w:name w:val="Pa2"/>
    <w:basedOn w:val="Normal"/>
    <w:next w:val="Normal"/>
    <w:uiPriority w:val="99"/>
    <w:rsid w:val="007A4970"/>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7A4970"/>
  </w:style>
  <w:style w:type="paragraph" w:customStyle="1" w:styleId="q">
    <w:name w:val="q"/>
    <w:basedOn w:val="Normal"/>
    <w:rsid w:val="007A4970"/>
    <w:pPr>
      <w:spacing w:before="100" w:beforeAutospacing="1" w:after="100" w:afterAutospacing="1"/>
    </w:pPr>
  </w:style>
  <w:style w:type="character" w:customStyle="1" w:styleId="d">
    <w:name w:val="d"/>
    <w:basedOn w:val="Fuentedeprrafopredeter"/>
    <w:rsid w:val="007A4970"/>
  </w:style>
  <w:style w:type="character" w:customStyle="1" w:styleId="b">
    <w:name w:val="b"/>
    <w:basedOn w:val="Fuentedeprrafopredeter"/>
    <w:rsid w:val="007A4970"/>
  </w:style>
  <w:style w:type="character" w:customStyle="1" w:styleId="k">
    <w:name w:val="k"/>
    <w:basedOn w:val="Fuentedeprrafopredeter"/>
    <w:rsid w:val="007A4970"/>
  </w:style>
  <w:style w:type="character" w:customStyle="1" w:styleId="h">
    <w:name w:val="h"/>
    <w:basedOn w:val="Fuentedeprrafopredeter"/>
    <w:rsid w:val="007A4970"/>
  </w:style>
  <w:style w:type="character" w:styleId="CitaHTML">
    <w:name w:val="HTML Cite"/>
    <w:uiPriority w:val="99"/>
    <w:semiHidden/>
    <w:unhideWhenUsed/>
    <w:rsid w:val="007A4970"/>
    <w:rPr>
      <w:i/>
      <w:iCs/>
    </w:rPr>
  </w:style>
  <w:style w:type="paragraph" w:customStyle="1" w:styleId="RSCGnotaalpie">
    <w:name w:val="RSCG nota al pie"/>
    <w:basedOn w:val="Normal"/>
    <w:uiPriority w:val="99"/>
    <w:qFormat/>
    <w:rsid w:val="007A4970"/>
    <w:pPr>
      <w:spacing w:after="120"/>
      <w:jc w:val="both"/>
    </w:pPr>
    <w:rPr>
      <w:rFonts w:ascii="Palatino" w:hAnsi="Palatino" w:cstheme="minorBidi"/>
      <w:sz w:val="22"/>
      <w:szCs w:val="22"/>
      <w:lang w:eastAsia="en-US"/>
    </w:rPr>
  </w:style>
  <w:style w:type="character" w:customStyle="1" w:styleId="lbl-encabezado-blanco2">
    <w:name w:val="lbl-encabezado-blanco2"/>
    <w:rsid w:val="007A4970"/>
    <w:rPr>
      <w:color w:val="FFFFFF"/>
    </w:rPr>
  </w:style>
  <w:style w:type="character" w:customStyle="1" w:styleId="TextoCar">
    <w:name w:val="Texto Car"/>
    <w:link w:val="Texto"/>
    <w:locked/>
    <w:rsid w:val="007A4970"/>
    <w:rPr>
      <w:rFonts w:ascii="Arial" w:eastAsia="Times New Roman" w:hAnsi="Arial" w:cs="Arial"/>
      <w:kern w:val="0"/>
      <w:sz w:val="18"/>
      <w:szCs w:val="18"/>
      <w:lang w:eastAsia="es-MX"/>
    </w:rPr>
  </w:style>
  <w:style w:type="paragraph" w:customStyle="1" w:styleId="ANOTACION">
    <w:name w:val="ANOTACION"/>
    <w:basedOn w:val="Normal"/>
    <w:link w:val="ANOTACIONCar"/>
    <w:rsid w:val="007A4970"/>
    <w:pPr>
      <w:spacing w:before="101" w:after="101"/>
      <w:jc w:val="center"/>
    </w:pPr>
    <w:rPr>
      <w:b/>
      <w:sz w:val="18"/>
      <w:szCs w:val="18"/>
    </w:rPr>
  </w:style>
  <w:style w:type="character" w:customStyle="1" w:styleId="ANOTACIONCar">
    <w:name w:val="ANOTACION Car"/>
    <w:link w:val="ANOTACION"/>
    <w:locked/>
    <w:rsid w:val="007A4970"/>
    <w:rPr>
      <w:rFonts w:ascii="Times New Roman" w:eastAsia="Times New Roman" w:hAnsi="Times New Roman" w:cs="Times New Roman"/>
      <w:b/>
      <w:kern w:val="0"/>
      <w:sz w:val="18"/>
      <w:szCs w:val="18"/>
      <w:lang w:eastAsia="es-MX"/>
    </w:rPr>
  </w:style>
  <w:style w:type="table" w:styleId="Tablaconcuadrcula">
    <w:name w:val="Table Grid"/>
    <w:basedOn w:val="Tablanormal"/>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A4970"/>
    <w:rPr>
      <w:i/>
      <w:iCs/>
    </w:rPr>
  </w:style>
  <w:style w:type="character" w:customStyle="1" w:styleId="SinespaciadoCar">
    <w:name w:val="Sin espaciado Car"/>
    <w:aliases w:val="Francesa Car"/>
    <w:link w:val="Sinespaciado"/>
    <w:uiPriority w:val="1"/>
    <w:locked/>
    <w:rsid w:val="007A4970"/>
    <w:rPr>
      <w:rFonts w:ascii="Times New Roman" w:eastAsia="Times New Roman" w:hAnsi="Times New Roman" w:cs="Times New Roman"/>
      <w:kern w:val="0"/>
      <w:sz w:val="24"/>
      <w:szCs w:val="24"/>
      <w:lang w:eastAsia="es-MX"/>
    </w:rPr>
  </w:style>
  <w:style w:type="paragraph" w:styleId="Bibliografa">
    <w:name w:val="Bibliography"/>
    <w:basedOn w:val="Normal"/>
    <w:next w:val="Normal"/>
    <w:uiPriority w:val="37"/>
    <w:semiHidden/>
    <w:unhideWhenUsed/>
    <w:rsid w:val="007A4970"/>
  </w:style>
  <w:style w:type="paragraph" w:styleId="Textocomentario">
    <w:name w:val="annotation text"/>
    <w:basedOn w:val="Normal"/>
    <w:link w:val="TextocomentarioCar"/>
    <w:uiPriority w:val="99"/>
    <w:unhideWhenUsed/>
    <w:rsid w:val="007A4970"/>
    <w:rPr>
      <w:sz w:val="20"/>
      <w:szCs w:val="20"/>
    </w:rPr>
  </w:style>
  <w:style w:type="character" w:customStyle="1" w:styleId="TextocomentarioCar">
    <w:name w:val="Texto comentario Car"/>
    <w:basedOn w:val="Fuentedeprrafopredeter"/>
    <w:link w:val="Textocomentario"/>
    <w:uiPriority w:val="99"/>
    <w:rsid w:val="007A4970"/>
    <w:rPr>
      <w:rFonts w:ascii="Times New Roman" w:eastAsia="Times New Roman" w:hAnsi="Times New Roman" w:cs="Times New Roman"/>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A4970"/>
    <w:rPr>
      <w:b/>
      <w:bCs/>
    </w:rPr>
  </w:style>
  <w:style w:type="character" w:customStyle="1" w:styleId="AsuntodelcomentarioCar">
    <w:name w:val="Asunto del comentario Car"/>
    <w:basedOn w:val="TextocomentarioCar"/>
    <w:link w:val="Asuntodelcomentario"/>
    <w:uiPriority w:val="99"/>
    <w:semiHidden/>
    <w:rsid w:val="007A4970"/>
    <w:rPr>
      <w:rFonts w:ascii="Times New Roman" w:eastAsia="Times New Roman" w:hAnsi="Times New Roman" w:cs="Times New Roman"/>
      <w:b/>
      <w:bCs/>
      <w:kern w:val="0"/>
      <w:sz w:val="20"/>
      <w:szCs w:val="20"/>
      <w:lang w:eastAsia="es-MX"/>
    </w:rPr>
  </w:style>
  <w:style w:type="paragraph" w:customStyle="1" w:styleId="ROMANOS">
    <w:name w:val="ROMANOS"/>
    <w:basedOn w:val="Normal"/>
    <w:link w:val="ROMANOSCar"/>
    <w:rsid w:val="007A4970"/>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7A4970"/>
    <w:rPr>
      <w:rFonts w:ascii="Arial" w:eastAsia="Times New Roman" w:hAnsi="Arial" w:cs="Arial"/>
      <w:kern w:val="0"/>
      <w:sz w:val="18"/>
      <w:szCs w:val="18"/>
      <w:lang w:val="es-ES" w:eastAsia="es-MX"/>
    </w:rPr>
  </w:style>
  <w:style w:type="character" w:customStyle="1" w:styleId="m1553324590483875794gmail-m8993139698400752374gmail-apple-converted-space">
    <w:name w:val="m_1553324590483875794gmail-m_8993139698400752374gmail-apple-converted-space"/>
    <w:basedOn w:val="Fuentedeprrafopredeter"/>
    <w:rsid w:val="007A4970"/>
  </w:style>
  <w:style w:type="character" w:customStyle="1" w:styleId="Ninguno">
    <w:name w:val="Ninguno"/>
    <w:rsid w:val="007A4970"/>
    <w:rPr>
      <w:lang w:val="es-ES_tradnl"/>
    </w:rPr>
  </w:style>
  <w:style w:type="paragraph" w:customStyle="1" w:styleId="Cuerpo">
    <w:name w:val="Cuerpo"/>
    <w:rsid w:val="007A4970"/>
    <w:pPr>
      <w:pBdr>
        <w:top w:val="nil"/>
        <w:left w:val="nil"/>
        <w:bottom w:val="nil"/>
        <w:right w:val="nil"/>
        <w:between w:val="nil"/>
        <w:bar w:val="nil"/>
      </w:pBdr>
    </w:pPr>
    <w:rPr>
      <w:rFonts w:ascii="Calibri" w:eastAsia="Calibri" w:hAnsi="Calibri" w:cs="Calibri"/>
      <w:color w:val="000000"/>
      <w:u w:color="000000"/>
      <w:bdr w:val="nil"/>
      <w:lang w:val="de-DE"/>
    </w:rPr>
  </w:style>
  <w:style w:type="numbering" w:customStyle="1" w:styleId="Estiloimportado2">
    <w:name w:val="Estilo importado 2"/>
    <w:rsid w:val="007A4970"/>
  </w:style>
  <w:style w:type="numbering" w:customStyle="1" w:styleId="Estiloimportado1">
    <w:name w:val="Estilo importado 1"/>
    <w:rsid w:val="007A4970"/>
  </w:style>
  <w:style w:type="character" w:customStyle="1" w:styleId="normaltextrun">
    <w:name w:val="normaltextrun"/>
    <w:basedOn w:val="Fuentedeprrafopredeter"/>
    <w:rsid w:val="007A4970"/>
  </w:style>
  <w:style w:type="paragraph" w:customStyle="1" w:styleId="INCISO">
    <w:name w:val="INCISO"/>
    <w:basedOn w:val="Normal"/>
    <w:rsid w:val="007A4970"/>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7A4970"/>
    <w:pPr>
      <w:spacing w:before="100" w:beforeAutospacing="1" w:after="100" w:afterAutospacing="1"/>
    </w:pPr>
  </w:style>
  <w:style w:type="paragraph" w:customStyle="1" w:styleId="j">
    <w:name w:val="j"/>
    <w:basedOn w:val="Normal"/>
    <w:rsid w:val="007A4970"/>
    <w:pPr>
      <w:spacing w:before="100" w:beforeAutospacing="1" w:after="100" w:afterAutospacing="1"/>
    </w:pPr>
  </w:style>
  <w:style w:type="character" w:customStyle="1" w:styleId="nacep">
    <w:name w:val="n_acep"/>
    <w:basedOn w:val="Fuentedeprrafopredeter"/>
    <w:rsid w:val="007A4970"/>
  </w:style>
  <w:style w:type="paragraph" w:customStyle="1" w:styleId="m5212863947045306324gmail-msonormal">
    <w:name w:val="m_5212863947045306324gmail-msonormal"/>
    <w:basedOn w:val="Normal"/>
    <w:rsid w:val="007A4970"/>
    <w:pPr>
      <w:spacing w:before="100" w:beforeAutospacing="1" w:after="100" w:afterAutospacing="1"/>
    </w:pPr>
  </w:style>
  <w:style w:type="character" w:customStyle="1" w:styleId="user-highlighted-active">
    <w:name w:val="user-highlighted-active"/>
    <w:basedOn w:val="Fuentedeprrafopredeter"/>
    <w:rsid w:val="007A4970"/>
  </w:style>
  <w:style w:type="paragraph" w:styleId="Lista">
    <w:name w:val="List"/>
    <w:basedOn w:val="Normal"/>
    <w:uiPriority w:val="99"/>
    <w:unhideWhenUsed/>
    <w:rsid w:val="007A4970"/>
    <w:pPr>
      <w:ind w:left="283" w:hanging="283"/>
      <w:contextualSpacing/>
    </w:pPr>
    <w:rPr>
      <w:lang w:val="es-ES"/>
    </w:rPr>
  </w:style>
  <w:style w:type="paragraph" w:styleId="Lista2">
    <w:name w:val="List 2"/>
    <w:basedOn w:val="Normal"/>
    <w:uiPriority w:val="99"/>
    <w:unhideWhenUsed/>
    <w:rsid w:val="007A4970"/>
    <w:pPr>
      <w:ind w:left="566" w:hanging="283"/>
      <w:contextualSpacing/>
    </w:pPr>
    <w:rPr>
      <w:lang w:val="es-ES"/>
    </w:rPr>
  </w:style>
  <w:style w:type="paragraph" w:styleId="Lista3">
    <w:name w:val="List 3"/>
    <w:basedOn w:val="Normal"/>
    <w:uiPriority w:val="99"/>
    <w:unhideWhenUsed/>
    <w:rsid w:val="007A4970"/>
    <w:pPr>
      <w:ind w:left="849" w:hanging="283"/>
      <w:contextualSpacing/>
    </w:pPr>
    <w:rPr>
      <w:lang w:val="es-ES"/>
    </w:rPr>
  </w:style>
  <w:style w:type="paragraph" w:styleId="Textoindependiente">
    <w:name w:val="Body Text"/>
    <w:basedOn w:val="Normal"/>
    <w:link w:val="TextoindependienteCar"/>
    <w:uiPriority w:val="99"/>
    <w:unhideWhenUsed/>
    <w:rsid w:val="007A4970"/>
    <w:pPr>
      <w:spacing w:after="120"/>
    </w:pPr>
    <w:rPr>
      <w:lang w:val="es-ES"/>
    </w:rPr>
  </w:style>
  <w:style w:type="character" w:customStyle="1" w:styleId="TextoindependienteCar">
    <w:name w:val="Texto independiente Car"/>
    <w:basedOn w:val="Fuentedeprrafopredeter"/>
    <w:link w:val="Textoindependiente"/>
    <w:uiPriority w:val="99"/>
    <w:rsid w:val="007A4970"/>
    <w:rPr>
      <w:rFonts w:ascii="Times New Roman" w:eastAsia="Times New Roman" w:hAnsi="Times New Roman" w:cs="Times New Roman"/>
      <w:kern w:val="0"/>
      <w:sz w:val="24"/>
      <w:szCs w:val="24"/>
      <w:lang w:val="es-ES" w:eastAsia="es-MX"/>
    </w:rPr>
  </w:style>
  <w:style w:type="paragraph" w:styleId="Sangradetextonormal">
    <w:name w:val="Body Text Indent"/>
    <w:basedOn w:val="Normal"/>
    <w:link w:val="SangradetextonormalCar"/>
    <w:uiPriority w:val="99"/>
    <w:unhideWhenUsed/>
    <w:rsid w:val="007A4970"/>
    <w:pPr>
      <w:spacing w:after="120"/>
      <w:ind w:left="283"/>
    </w:pPr>
    <w:rPr>
      <w:lang w:val="es-ES"/>
    </w:rPr>
  </w:style>
  <w:style w:type="character" w:customStyle="1" w:styleId="SangradetextonormalCar">
    <w:name w:val="Sangría de texto normal Car"/>
    <w:basedOn w:val="Fuentedeprrafopredeter"/>
    <w:link w:val="Sangradetextonormal"/>
    <w:uiPriority w:val="99"/>
    <w:rsid w:val="007A4970"/>
    <w:rPr>
      <w:rFonts w:ascii="Times New Roman" w:eastAsia="Times New Roman" w:hAnsi="Times New Roman" w:cs="Times New Roman"/>
      <w:kern w:val="0"/>
      <w:sz w:val="24"/>
      <w:szCs w:val="24"/>
      <w:lang w:val="es-ES" w:eastAsia="es-MX"/>
    </w:rPr>
  </w:style>
  <w:style w:type="paragraph" w:styleId="Textoindependienteprimerasangra2">
    <w:name w:val="Body Text First Indent 2"/>
    <w:basedOn w:val="Sangradetextonormal"/>
    <w:link w:val="Textoindependienteprimerasangra2Car"/>
    <w:uiPriority w:val="99"/>
    <w:unhideWhenUsed/>
    <w:rsid w:val="007A49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A4970"/>
    <w:rPr>
      <w:rFonts w:ascii="Times New Roman" w:eastAsia="Times New Roman" w:hAnsi="Times New Roman" w:cs="Times New Roman"/>
      <w:kern w:val="0"/>
      <w:sz w:val="24"/>
      <w:szCs w:val="24"/>
      <w:lang w:val="es-ES" w:eastAsia="es-MX"/>
    </w:rPr>
  </w:style>
  <w:style w:type="character" w:customStyle="1" w:styleId="numberfracccentro">
    <w:name w:val="numberfracccentro"/>
    <w:basedOn w:val="Fuentedeprrafopredeter"/>
    <w:rsid w:val="007A4970"/>
  </w:style>
  <w:style w:type="character" w:customStyle="1" w:styleId="titulorubrolgt">
    <w:name w:val="titulorubrolgt"/>
    <w:basedOn w:val="Fuentedeprrafopredeter"/>
    <w:rsid w:val="007A4970"/>
  </w:style>
  <w:style w:type="paragraph" w:customStyle="1" w:styleId="Text">
    <w:name w:val="Text"/>
    <w:basedOn w:val="Normal"/>
    <w:link w:val="TextChar"/>
    <w:rsid w:val="007A4970"/>
    <w:pPr>
      <w:spacing w:after="240"/>
    </w:pPr>
    <w:rPr>
      <w:szCs w:val="20"/>
      <w:lang w:val="en-US" w:eastAsia="en-US"/>
    </w:rPr>
  </w:style>
  <w:style w:type="character" w:customStyle="1" w:styleId="TextChar">
    <w:name w:val="Text Char"/>
    <w:link w:val="Text"/>
    <w:locked/>
    <w:rsid w:val="007A4970"/>
    <w:rPr>
      <w:rFonts w:ascii="Times New Roman" w:eastAsia="Times New Roman" w:hAnsi="Times New Roman" w:cs="Times New Roman"/>
      <w:kern w:val="0"/>
      <w:sz w:val="24"/>
      <w:szCs w:val="20"/>
      <w:lang w:val="en-US"/>
    </w:rPr>
  </w:style>
  <w:style w:type="paragraph" w:customStyle="1" w:styleId="corte5transcripcion">
    <w:name w:val="corte5 transcripcion"/>
    <w:basedOn w:val="Normal"/>
    <w:rsid w:val="007A4970"/>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7A4970"/>
    <w:rPr>
      <w:rFonts w:asciiTheme="minorHAnsi" w:eastAsia="Cambria" w:hAnsiTheme="minorHAnsi" w:cstheme="minorBidi"/>
      <w:sz w:val="20"/>
      <w:szCs w:val="20"/>
      <w:lang w:eastAsia="en-US"/>
    </w:rPr>
  </w:style>
  <w:style w:type="paragraph" w:customStyle="1" w:styleId="paragraph">
    <w:name w:val="paragraph"/>
    <w:basedOn w:val="Normal"/>
    <w:uiPriority w:val="99"/>
    <w:rsid w:val="007A4970"/>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7A4970"/>
    <w:rPr>
      <w:rFonts w:ascii="Calibri" w:eastAsia="Calibri"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7A497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7A4970"/>
    <w:rPr>
      <w:color w:val="605E5C"/>
      <w:shd w:val="clear" w:color="auto" w:fill="E1DFDD"/>
    </w:rPr>
  </w:style>
  <w:style w:type="paragraph" w:customStyle="1" w:styleId="temp">
    <w:name w:val="temp"/>
    <w:basedOn w:val="Normal"/>
    <w:rsid w:val="007A4970"/>
    <w:pPr>
      <w:spacing w:before="100" w:beforeAutospacing="1" w:after="100" w:afterAutospacing="1"/>
    </w:pPr>
  </w:style>
  <w:style w:type="character" w:customStyle="1" w:styleId="bold">
    <w:name w:val="bold"/>
    <w:basedOn w:val="Fuentedeprrafopredeter"/>
    <w:rsid w:val="007A4970"/>
  </w:style>
  <w:style w:type="paragraph" w:customStyle="1" w:styleId="ng-star-inserted">
    <w:name w:val="ng-star-inserted"/>
    <w:basedOn w:val="Normal"/>
    <w:rsid w:val="007A4970"/>
    <w:pPr>
      <w:spacing w:before="100" w:beforeAutospacing="1" w:after="100" w:afterAutospacing="1"/>
    </w:pPr>
  </w:style>
  <w:style w:type="character" w:customStyle="1" w:styleId="Mencinsinresolver2">
    <w:name w:val="Mención sin resolver2"/>
    <w:basedOn w:val="Fuentedeprrafopredeter"/>
    <w:uiPriority w:val="99"/>
    <w:semiHidden/>
    <w:unhideWhenUsed/>
    <w:rsid w:val="007A4970"/>
    <w:rPr>
      <w:color w:val="605E5C"/>
      <w:shd w:val="clear" w:color="auto" w:fill="E1DFDD"/>
    </w:rPr>
  </w:style>
  <w:style w:type="character" w:customStyle="1" w:styleId="Mencinsinresolver3">
    <w:name w:val="Mención sin resolver3"/>
    <w:basedOn w:val="Fuentedeprrafopredeter"/>
    <w:uiPriority w:val="99"/>
    <w:semiHidden/>
    <w:unhideWhenUsed/>
    <w:rsid w:val="007A4970"/>
    <w:rPr>
      <w:color w:val="605E5C"/>
      <w:shd w:val="clear" w:color="auto" w:fill="E1DFDD"/>
    </w:rPr>
  </w:style>
  <w:style w:type="paragraph" w:styleId="Saludo">
    <w:name w:val="Salutation"/>
    <w:basedOn w:val="Normal"/>
    <w:next w:val="Normal"/>
    <w:link w:val="SaludoCar"/>
    <w:uiPriority w:val="99"/>
    <w:unhideWhenUsed/>
    <w:rsid w:val="007A4970"/>
  </w:style>
  <w:style w:type="character" w:customStyle="1" w:styleId="SaludoCar">
    <w:name w:val="Saludo Car"/>
    <w:basedOn w:val="Fuentedeprrafopredeter"/>
    <w:link w:val="Saludo"/>
    <w:uiPriority w:val="99"/>
    <w:rsid w:val="007A4970"/>
    <w:rPr>
      <w:rFonts w:ascii="Times New Roman" w:eastAsia="Times New Roman" w:hAnsi="Times New Roman" w:cs="Times New Roman"/>
      <w:kern w:val="0"/>
      <w:sz w:val="24"/>
      <w:szCs w:val="24"/>
      <w:lang w:eastAsia="es-MX"/>
    </w:rPr>
  </w:style>
  <w:style w:type="character" w:customStyle="1" w:styleId="Caracteresdenotaalpie">
    <w:name w:val="Caracteres de nota al pie"/>
    <w:qFormat/>
    <w:rsid w:val="007A4970"/>
  </w:style>
  <w:style w:type="character" w:customStyle="1" w:styleId="Mencinsinresolver4">
    <w:name w:val="Mención sin resolver4"/>
    <w:basedOn w:val="Fuentedeprrafopredeter"/>
    <w:uiPriority w:val="99"/>
    <w:semiHidden/>
    <w:unhideWhenUsed/>
    <w:rsid w:val="007A4970"/>
    <w:rPr>
      <w:color w:val="605E5C"/>
      <w:shd w:val="clear" w:color="auto" w:fill="E1DFDD"/>
    </w:rPr>
  </w:style>
  <w:style w:type="character" w:customStyle="1" w:styleId="Mencinsinresolver5">
    <w:name w:val="Mención sin resolver5"/>
    <w:basedOn w:val="Fuentedeprrafopredeter"/>
    <w:uiPriority w:val="99"/>
    <w:semiHidden/>
    <w:unhideWhenUsed/>
    <w:rsid w:val="007A4970"/>
    <w:rPr>
      <w:color w:val="605E5C"/>
      <w:shd w:val="clear" w:color="auto" w:fill="E1DFDD"/>
    </w:rPr>
  </w:style>
  <w:style w:type="character" w:customStyle="1" w:styleId="Mencinsinresolver6">
    <w:name w:val="Mención sin resolver6"/>
    <w:basedOn w:val="Fuentedeprrafopredeter"/>
    <w:uiPriority w:val="99"/>
    <w:semiHidden/>
    <w:unhideWhenUsed/>
    <w:rsid w:val="007A4970"/>
    <w:rPr>
      <w:color w:val="605E5C"/>
      <w:shd w:val="clear" w:color="auto" w:fill="E1DFDD"/>
    </w:rPr>
  </w:style>
  <w:style w:type="table" w:customStyle="1" w:styleId="Tablaconcuadrcula111121">
    <w:name w:val="Tabla con cuadrícula111121"/>
    <w:basedOn w:val="Tablanormal"/>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A4970"/>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A4970"/>
    <w:rPr>
      <w:color w:val="605E5C"/>
      <w:shd w:val="clear" w:color="auto" w:fill="E1DFDD"/>
    </w:rPr>
  </w:style>
  <w:style w:type="character" w:customStyle="1" w:styleId="Mencinsinresolver8">
    <w:name w:val="Mención sin resolver8"/>
    <w:basedOn w:val="Fuentedeprrafopredeter"/>
    <w:uiPriority w:val="99"/>
    <w:semiHidden/>
    <w:unhideWhenUsed/>
    <w:rsid w:val="007A4970"/>
    <w:rPr>
      <w:color w:val="605E5C"/>
      <w:shd w:val="clear" w:color="auto" w:fill="E1DFDD"/>
    </w:rPr>
  </w:style>
  <w:style w:type="table" w:customStyle="1" w:styleId="Tablaconcuadrcula1111212">
    <w:name w:val="Tabla con cuadrícula1111212"/>
    <w:basedOn w:val="Tablanormal"/>
    <w:uiPriority w:val="39"/>
    <w:rsid w:val="007A4970"/>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A4970"/>
  </w:style>
  <w:style w:type="table" w:customStyle="1" w:styleId="Tablaconcuadrcula3">
    <w:name w:val="Tabla con cuadrícula3"/>
    <w:basedOn w:val="Tablanormal"/>
    <w:next w:val="Tablaconcuadrcula"/>
    <w:uiPriority w:val="39"/>
    <w:rsid w:val="007A4970"/>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A497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A4970"/>
    <w:rPr>
      <w:rFonts w:ascii="Times New Roman" w:eastAsia="Times New Roman" w:hAnsi="Times New Roman" w:cs="Times New Roman"/>
      <w:kern w:val="0"/>
      <w:sz w:val="16"/>
      <w:szCs w:val="16"/>
      <w:lang w:eastAsia="es-MX"/>
    </w:rPr>
  </w:style>
  <w:style w:type="paragraph" w:customStyle="1" w:styleId="xmsonormal">
    <w:name w:val="x_msonormal"/>
    <w:basedOn w:val="Normal"/>
    <w:rsid w:val="007A4970"/>
    <w:pPr>
      <w:spacing w:before="100" w:beforeAutospacing="1" w:after="100" w:afterAutospacing="1"/>
    </w:pPr>
  </w:style>
  <w:style w:type="character" w:customStyle="1" w:styleId="eop">
    <w:name w:val="eop"/>
    <w:basedOn w:val="Fuentedeprrafopredeter"/>
    <w:rsid w:val="007A4970"/>
  </w:style>
  <w:style w:type="paragraph" w:styleId="Textonotaalfinal">
    <w:name w:val="endnote text"/>
    <w:basedOn w:val="Normal"/>
    <w:link w:val="TextonotaalfinalCar"/>
    <w:uiPriority w:val="99"/>
    <w:semiHidden/>
    <w:unhideWhenUsed/>
    <w:rsid w:val="007A4970"/>
    <w:rPr>
      <w:sz w:val="20"/>
      <w:szCs w:val="20"/>
    </w:rPr>
  </w:style>
  <w:style w:type="character" w:customStyle="1" w:styleId="TextonotaalfinalCar">
    <w:name w:val="Texto nota al final Car"/>
    <w:basedOn w:val="Fuentedeprrafopredeter"/>
    <w:link w:val="Textonotaalfinal"/>
    <w:uiPriority w:val="99"/>
    <w:semiHidden/>
    <w:rsid w:val="007A4970"/>
    <w:rPr>
      <w:rFonts w:ascii="Times New Roman" w:eastAsia="Times New Roman" w:hAnsi="Times New Roman" w:cs="Times New Roman"/>
      <w:kern w:val="0"/>
      <w:sz w:val="20"/>
      <w:szCs w:val="20"/>
      <w:lang w:eastAsia="es-MX"/>
    </w:rPr>
  </w:style>
  <w:style w:type="character" w:styleId="Refdenotaalfinal">
    <w:name w:val="endnote reference"/>
    <w:basedOn w:val="Fuentedeprrafopredeter"/>
    <w:uiPriority w:val="99"/>
    <w:semiHidden/>
    <w:unhideWhenUsed/>
    <w:rsid w:val="007A4970"/>
    <w:rPr>
      <w:vertAlign w:val="superscript"/>
    </w:rPr>
  </w:style>
  <w:style w:type="table" w:customStyle="1" w:styleId="Tablaconcuadrcula1111213">
    <w:name w:val="Tabla con cuadrícula1111213"/>
    <w:basedOn w:val="Tablanormal"/>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A4970"/>
    <w:rPr>
      <w:color w:val="605E5C"/>
      <w:shd w:val="clear" w:color="auto" w:fill="E1DFDD"/>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A4970"/>
    <w:rPr>
      <w:rFonts w:ascii="Georgia" w:eastAsia="Georgia" w:hAnsi="Georgia" w:cs="Georgia"/>
      <w:i/>
      <w:color w:val="666666"/>
      <w:kern w:val="0"/>
      <w:sz w:val="48"/>
      <w:szCs w:val="48"/>
      <w:lang w:eastAsia="es-MX"/>
    </w:rPr>
  </w:style>
  <w:style w:type="table" w:customStyle="1" w:styleId="151">
    <w:name w:val="151"/>
    <w:basedOn w:val="TableNormal1"/>
    <w:rsid w:val="007A4970"/>
    <w:tblPr>
      <w:tblStyleRowBandSize w:val="1"/>
      <w:tblStyleColBandSize w:val="1"/>
      <w:tblCellMar>
        <w:top w:w="100" w:type="dxa"/>
        <w:left w:w="100" w:type="dxa"/>
        <w:bottom w:w="100" w:type="dxa"/>
        <w:right w:w="100" w:type="dxa"/>
      </w:tblCellMar>
    </w:tblPr>
  </w:style>
  <w:style w:type="table" w:customStyle="1" w:styleId="150">
    <w:name w:val="150"/>
    <w:basedOn w:val="TableNormal1"/>
    <w:rsid w:val="007A4970"/>
    <w:tblPr>
      <w:tblStyleRowBandSize w:val="1"/>
      <w:tblStyleColBandSize w:val="1"/>
      <w:tblCellMar>
        <w:top w:w="0" w:type="dxa"/>
        <w:left w:w="115" w:type="dxa"/>
        <w:bottom w:w="0" w:type="dxa"/>
        <w:right w:w="115" w:type="dxa"/>
      </w:tblCellMar>
    </w:tblPr>
  </w:style>
  <w:style w:type="table" w:customStyle="1" w:styleId="149">
    <w:name w:val="149"/>
    <w:basedOn w:val="TableNormal1"/>
    <w:rsid w:val="007A4970"/>
    <w:tblPr>
      <w:tblStyleRowBandSize w:val="1"/>
      <w:tblStyleColBandSize w:val="1"/>
      <w:tblCellMar>
        <w:top w:w="0" w:type="dxa"/>
        <w:left w:w="115" w:type="dxa"/>
        <w:bottom w:w="0" w:type="dxa"/>
        <w:right w:w="115" w:type="dxa"/>
      </w:tblCellMar>
    </w:tblPr>
  </w:style>
  <w:style w:type="table" w:customStyle="1" w:styleId="148">
    <w:name w:val="148"/>
    <w:basedOn w:val="TableNormal1"/>
    <w:rsid w:val="007A4970"/>
    <w:tblPr>
      <w:tblStyleRowBandSize w:val="1"/>
      <w:tblStyleColBandSize w:val="1"/>
      <w:tblCellMar>
        <w:top w:w="0" w:type="dxa"/>
        <w:left w:w="115" w:type="dxa"/>
        <w:bottom w:w="0" w:type="dxa"/>
        <w:right w:w="115" w:type="dxa"/>
      </w:tblCellMar>
    </w:tblPr>
  </w:style>
  <w:style w:type="table" w:customStyle="1" w:styleId="147">
    <w:name w:val="147"/>
    <w:basedOn w:val="TableNormal1"/>
    <w:rsid w:val="007A4970"/>
    <w:tblPr>
      <w:tblStyleRowBandSize w:val="1"/>
      <w:tblStyleColBandSize w:val="1"/>
      <w:tblCellMar>
        <w:top w:w="0" w:type="dxa"/>
        <w:left w:w="115" w:type="dxa"/>
        <w:bottom w:w="0" w:type="dxa"/>
        <w:right w:w="115" w:type="dxa"/>
      </w:tblCellMar>
    </w:tblPr>
  </w:style>
  <w:style w:type="table" w:customStyle="1" w:styleId="146">
    <w:name w:val="146"/>
    <w:basedOn w:val="TableNormal1"/>
    <w:rsid w:val="007A4970"/>
    <w:tblPr>
      <w:tblStyleRowBandSize w:val="1"/>
      <w:tblStyleColBandSize w:val="1"/>
      <w:tblCellMar>
        <w:top w:w="0" w:type="dxa"/>
        <w:left w:w="115" w:type="dxa"/>
        <w:bottom w:w="0" w:type="dxa"/>
        <w:right w:w="115" w:type="dxa"/>
      </w:tblCellMar>
    </w:tblPr>
  </w:style>
  <w:style w:type="table" w:customStyle="1" w:styleId="145">
    <w:name w:val="145"/>
    <w:basedOn w:val="TableNormal1"/>
    <w:rsid w:val="007A497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4">
    <w:name w:val="144"/>
    <w:basedOn w:val="TableNormal1"/>
    <w:rsid w:val="007A4970"/>
    <w:tblPr>
      <w:tblStyleRowBandSize w:val="1"/>
      <w:tblStyleColBandSize w:val="1"/>
      <w:tblCellMar>
        <w:top w:w="0" w:type="dxa"/>
        <w:left w:w="115" w:type="dxa"/>
        <w:bottom w:w="0" w:type="dxa"/>
        <w:right w:w="115" w:type="dxa"/>
      </w:tblCellMar>
    </w:tblPr>
  </w:style>
  <w:style w:type="table" w:customStyle="1" w:styleId="143">
    <w:name w:val="143"/>
    <w:basedOn w:val="TableNormal1"/>
    <w:rsid w:val="007A4970"/>
    <w:tblPr>
      <w:tblStyleRowBandSize w:val="1"/>
      <w:tblStyleColBandSize w:val="1"/>
      <w:tblCellMar>
        <w:top w:w="0" w:type="dxa"/>
        <w:left w:w="115" w:type="dxa"/>
        <w:bottom w:w="0" w:type="dxa"/>
        <w:right w:w="115" w:type="dxa"/>
      </w:tblCellMar>
    </w:tblPr>
  </w:style>
  <w:style w:type="table" w:customStyle="1" w:styleId="142">
    <w:name w:val="142"/>
    <w:basedOn w:val="TableNormal1"/>
    <w:rsid w:val="007A497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1">
    <w:name w:val="141"/>
    <w:basedOn w:val="TableNormal1"/>
    <w:rsid w:val="007A497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0">
    <w:name w:val="140"/>
    <w:basedOn w:val="TableNormal4"/>
    <w:rsid w:val="007A497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39">
    <w:name w:val="139"/>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8">
    <w:name w:val="138"/>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7">
    <w:name w:val="137"/>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6">
    <w:name w:val="136"/>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5">
    <w:name w:val="135"/>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4">
    <w:name w:val="134"/>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3">
    <w:name w:val="133"/>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2">
    <w:name w:val="132"/>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1">
    <w:name w:val="131"/>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0">
    <w:name w:val="130"/>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9">
    <w:name w:val="129"/>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8">
    <w:name w:val="128"/>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7">
    <w:name w:val="127"/>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6">
    <w:name w:val="126"/>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5">
    <w:name w:val="125"/>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4">
    <w:name w:val="124"/>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3">
    <w:name w:val="123"/>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2">
    <w:name w:val="122"/>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1">
    <w:name w:val="121"/>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0">
    <w:name w:val="120"/>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9">
    <w:name w:val="119"/>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8">
    <w:name w:val="118"/>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7">
    <w:name w:val="117"/>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6">
    <w:name w:val="116"/>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5">
    <w:name w:val="115"/>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4">
    <w:name w:val="114"/>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3">
    <w:name w:val="113"/>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2">
    <w:name w:val="112"/>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1">
    <w:name w:val="111"/>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0">
    <w:name w:val="110"/>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9">
    <w:name w:val="109"/>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8">
    <w:name w:val="108"/>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7">
    <w:name w:val="107"/>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6">
    <w:name w:val="106"/>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5">
    <w:name w:val="105"/>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4">
    <w:name w:val="104"/>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3">
    <w:name w:val="103"/>
    <w:basedOn w:val="TableNormal4"/>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2">
    <w:name w:val="102"/>
    <w:basedOn w:val="TableNormal17"/>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1">
    <w:name w:val="101"/>
    <w:basedOn w:val="TableNormal17"/>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0">
    <w:name w:val="100"/>
    <w:basedOn w:val="TableNormal18"/>
    <w:rsid w:val="007A4970"/>
    <w:tblPr>
      <w:tblStyleRowBandSize w:val="1"/>
      <w:tblStyleColBandSize w:val="1"/>
      <w:tblCellMar>
        <w:top w:w="0" w:type="dxa"/>
        <w:left w:w="115" w:type="dxa"/>
        <w:bottom w:w="0" w:type="dxa"/>
        <w:right w:w="115" w:type="dxa"/>
      </w:tblCellMar>
    </w:tblPr>
  </w:style>
  <w:style w:type="table" w:customStyle="1" w:styleId="99">
    <w:name w:val="99"/>
    <w:basedOn w:val="TableNormal18"/>
    <w:rsid w:val="007A4970"/>
    <w:tblPr>
      <w:tblStyleRowBandSize w:val="1"/>
      <w:tblStyleColBandSize w:val="1"/>
      <w:tblCellMar>
        <w:top w:w="100" w:type="dxa"/>
        <w:left w:w="100" w:type="dxa"/>
        <w:bottom w:w="100" w:type="dxa"/>
        <w:right w:w="100" w:type="dxa"/>
      </w:tblCellMar>
    </w:tblPr>
  </w:style>
  <w:style w:type="table" w:customStyle="1" w:styleId="98">
    <w:name w:val="98"/>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7">
    <w:name w:val="97"/>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6">
    <w:name w:val="96"/>
    <w:basedOn w:val="TableNormal18"/>
    <w:rsid w:val="007A4970"/>
    <w:tblPr>
      <w:tblStyleRowBandSize w:val="1"/>
      <w:tblStyleColBandSize w:val="1"/>
      <w:tblCellMar>
        <w:top w:w="100" w:type="dxa"/>
        <w:left w:w="100" w:type="dxa"/>
        <w:bottom w:w="100" w:type="dxa"/>
        <w:right w:w="100" w:type="dxa"/>
      </w:tblCellMar>
    </w:tblPr>
  </w:style>
  <w:style w:type="table" w:customStyle="1" w:styleId="95">
    <w:name w:val="95"/>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4">
    <w:name w:val="94"/>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3">
    <w:name w:val="93"/>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2">
    <w:name w:val="92"/>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1">
    <w:name w:val="91"/>
    <w:basedOn w:val="TableNormal18"/>
    <w:rsid w:val="007A497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90">
    <w:name w:val="90"/>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9">
    <w:name w:val="89"/>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8">
    <w:name w:val="88"/>
    <w:basedOn w:val="TableNormal18"/>
    <w:rsid w:val="007A497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87">
    <w:name w:val="87"/>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6">
    <w:name w:val="86"/>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5">
    <w:name w:val="85"/>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4">
    <w:name w:val="84"/>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3">
    <w:name w:val="83"/>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2">
    <w:name w:val="82"/>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1">
    <w:name w:val="81"/>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0">
    <w:name w:val="80"/>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9">
    <w:name w:val="79"/>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8">
    <w:name w:val="78"/>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7">
    <w:name w:val="77"/>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6">
    <w:name w:val="76"/>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5">
    <w:name w:val="75"/>
    <w:basedOn w:val="TableNormal1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4">
    <w:name w:val="74"/>
    <w:basedOn w:val="TableNormal27"/>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3">
    <w:name w:val="73"/>
    <w:basedOn w:val="TableNormal27"/>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2">
    <w:name w:val="72"/>
    <w:basedOn w:val="TableNormal27"/>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1">
    <w:name w:val="71"/>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0">
    <w:name w:val="70"/>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9">
    <w:name w:val="69"/>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8">
    <w:name w:val="68"/>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7">
    <w:name w:val="67"/>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6">
    <w:name w:val="66"/>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5">
    <w:name w:val="65"/>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4">
    <w:name w:val="64"/>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3">
    <w:name w:val="63"/>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2">
    <w:name w:val="62"/>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1">
    <w:name w:val="61"/>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0">
    <w:name w:val="60"/>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9">
    <w:name w:val="59"/>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8">
    <w:name w:val="58"/>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7">
    <w:name w:val="57"/>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6">
    <w:name w:val="56"/>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5">
    <w:name w:val="55"/>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4">
    <w:name w:val="54"/>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3">
    <w:name w:val="53"/>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2">
    <w:name w:val="52"/>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1">
    <w:name w:val="51"/>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0">
    <w:name w:val="50"/>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9">
    <w:name w:val="49"/>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8">
    <w:name w:val="48"/>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7">
    <w:name w:val="47"/>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6">
    <w:name w:val="46"/>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5">
    <w:name w:val="45"/>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4">
    <w:name w:val="44"/>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3">
    <w:name w:val="43"/>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2">
    <w:name w:val="42"/>
    <w:basedOn w:val="TableNormal28"/>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1">
    <w:name w:val="41"/>
    <w:basedOn w:val="TableNormal40"/>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0">
    <w:name w:val="40"/>
    <w:basedOn w:val="TableNormal40"/>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9">
    <w:name w:val="39"/>
    <w:basedOn w:val="TableNormal40"/>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8">
    <w:name w:val="38"/>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7">
    <w:name w:val="37"/>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6">
    <w:name w:val="36"/>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5">
    <w:name w:val="35"/>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4">
    <w:name w:val="34"/>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3">
    <w:name w:val="33"/>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2">
    <w:name w:val="32"/>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1">
    <w:name w:val="31"/>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0">
    <w:name w:val="30"/>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9">
    <w:name w:val="29"/>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8">
    <w:name w:val="28"/>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7">
    <w:name w:val="27"/>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1"/>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8">
    <w:name w:val="18"/>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7">
    <w:name w:val="17"/>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6">
    <w:name w:val="16"/>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5">
    <w:name w:val="15"/>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4">
    <w:name w:val="14"/>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52"/>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5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56"/>
    <w:rsid w:val="007A4970"/>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character" w:customStyle="1" w:styleId="Mencinsinresolver10">
    <w:name w:val="Mención sin resolver10"/>
    <w:basedOn w:val="Fuentedeprrafopredeter"/>
    <w:uiPriority w:val="99"/>
    <w:semiHidden/>
    <w:unhideWhenUsed/>
    <w:rsid w:val="007A4970"/>
    <w:rPr>
      <w:color w:val="605E5C"/>
      <w:shd w:val="clear" w:color="auto" w:fill="E1DFDD"/>
    </w:rPr>
  </w:style>
  <w:style w:type="paragraph" w:styleId="Listaconvietas3">
    <w:name w:val="List Bullet 3"/>
    <w:basedOn w:val="Normal"/>
    <w:uiPriority w:val="99"/>
    <w:unhideWhenUsed/>
    <w:rsid w:val="007A4970"/>
    <w:pPr>
      <w:numPr>
        <w:numId w:val="3"/>
      </w:numPr>
      <w:contextualSpacing/>
    </w:pPr>
    <w:rPr>
      <w:lang w:val="es-ES" w:eastAsia="es-ES"/>
    </w:rPr>
  </w:style>
  <w:style w:type="paragraph" w:customStyle="1" w:styleId="ADB1">
    <w:name w:val="ADB1"/>
    <w:basedOn w:val="Normal"/>
    <w:next w:val="Textonotapie"/>
    <w:unhideWhenUsed/>
    <w:qFormat/>
    <w:rsid w:val="007A4970"/>
    <w:rPr>
      <w:rFonts w:asciiTheme="minorHAnsi" w:eastAsia="Cambria" w:hAnsiTheme="minorHAnsi" w:cstheme="minorBidi"/>
      <w:sz w:val="20"/>
      <w:szCs w:val="20"/>
      <w:lang w:eastAsia="en-US"/>
    </w:rPr>
  </w:style>
  <w:style w:type="character" w:customStyle="1" w:styleId="TextonotapieCar1">
    <w:name w:val="Texto nota pie Car1"/>
    <w:basedOn w:val="Fuentedeprrafopredeter"/>
    <w:uiPriority w:val="99"/>
    <w:semiHidden/>
    <w:rsid w:val="007A4970"/>
    <w:rPr>
      <w:sz w:val="20"/>
      <w:szCs w:val="20"/>
    </w:rPr>
  </w:style>
  <w:style w:type="table" w:customStyle="1" w:styleId="Tablaconcuadrcula4">
    <w:name w:val="Tabla con cuadrícula4"/>
    <w:basedOn w:val="Tablanormal"/>
    <w:next w:val="Tablaconcuadrcula"/>
    <w:uiPriority w:val="59"/>
    <w:rsid w:val="007A4970"/>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A4970"/>
    <w:rPr>
      <w:color w:val="605E5C"/>
      <w:shd w:val="clear" w:color="auto" w:fill="E1DFDD"/>
    </w:rPr>
  </w:style>
  <w:style w:type="table" w:customStyle="1" w:styleId="Tablaconcuadrcula5">
    <w:name w:val="Tabla con cuadrícula5"/>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2">
    <w:name w:val="Mención sin resolver12"/>
    <w:basedOn w:val="Fuentedeprrafopredeter"/>
    <w:uiPriority w:val="99"/>
    <w:semiHidden/>
    <w:unhideWhenUsed/>
    <w:rsid w:val="007A4970"/>
    <w:rPr>
      <w:color w:val="605E5C"/>
      <w:shd w:val="clear" w:color="auto" w:fill="E1DFDD"/>
    </w:rPr>
  </w:style>
  <w:style w:type="table" w:customStyle="1" w:styleId="Tablaconcuadrcula9">
    <w:name w:val="Tabla con cuadrícula9"/>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3">
    <w:name w:val="Mención sin resolver13"/>
    <w:basedOn w:val="Fuentedeprrafopredeter"/>
    <w:uiPriority w:val="99"/>
    <w:semiHidden/>
    <w:unhideWhenUsed/>
    <w:rsid w:val="007A4970"/>
    <w:rPr>
      <w:color w:val="605E5C"/>
      <w:shd w:val="clear" w:color="auto" w:fill="E1DFDD"/>
    </w:rPr>
  </w:style>
  <w:style w:type="table" w:customStyle="1" w:styleId="Tablaconcuadrcula51">
    <w:name w:val="Tabla con cuadrícula51"/>
    <w:basedOn w:val="Tablanormal"/>
    <w:next w:val="Tablaconcuadrcula"/>
    <w:uiPriority w:val="39"/>
    <w:rsid w:val="007A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75" w:type="dxa"/>
        <w:left w:w="75" w:type="dxa"/>
        <w:bottom w:w="75" w:type="dxa"/>
        <w:right w:w="7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ac.gob.mx/work/models/CONAC/normatividad/NOR_01_02_0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mawww.sat.gob.mx/factura/Paginas/solicita_requisitos.ht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IoLoRCvt7l+IPpQHmqkwMAXmQ==">CgMxLjAyCGguZ2pkZ3hzMgloLjMwajB6bGwyDmguY2s0aDFqZWNmZDMyMgloLjFmb2I5dGUyCWguM3pueXNoNzIJaC4yZXQ5MnAwMghoLnR5amN3dDIJaC4zZHk2dmttMgloLjF0M2g1c2YyCWguNGQzNG9nODgAciExUTlvbi0zRFI3U3JWUW5TUklSbERET3ZmdUdQWlA3SGw=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3E31F6-3B35-41F7-9F18-393FDF80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63</Pages>
  <Words>14821</Words>
  <Characters>81518</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infoem607b</cp:lastModifiedBy>
  <cp:revision>8</cp:revision>
  <cp:lastPrinted>2024-02-12T16:46:00Z</cp:lastPrinted>
  <dcterms:created xsi:type="dcterms:W3CDTF">2024-02-07T17:07:00Z</dcterms:created>
  <dcterms:modified xsi:type="dcterms:W3CDTF">2024-02-12T16:46:00Z</dcterms:modified>
</cp:coreProperties>
</file>