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46BF6"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4A24F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4A24F8">
        <w:rPr>
          <w:rFonts w:ascii="Palatino Linotype" w:eastAsia="Palatino Linotype" w:hAnsi="Palatino Linotype" w:cs="Palatino Linotype"/>
          <w:b/>
          <w:sz w:val="22"/>
          <w:szCs w:val="22"/>
        </w:rPr>
        <w:t>tres de octubre de dos mil veinticuatro</w:t>
      </w:r>
      <w:r w:rsidRPr="004A24F8">
        <w:rPr>
          <w:rFonts w:ascii="Palatino Linotype" w:eastAsia="Palatino Linotype" w:hAnsi="Palatino Linotype" w:cs="Palatino Linotype"/>
          <w:sz w:val="22"/>
          <w:szCs w:val="22"/>
        </w:rPr>
        <w:t xml:space="preserve">. </w:t>
      </w:r>
    </w:p>
    <w:p w14:paraId="390E9FDF" w14:textId="17C5C8B1"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Visto</w:t>
      </w:r>
      <w:r w:rsidRPr="004A24F8">
        <w:rPr>
          <w:rFonts w:ascii="Palatino Linotype" w:eastAsia="Palatino Linotype" w:hAnsi="Palatino Linotype" w:cs="Palatino Linotype"/>
          <w:sz w:val="22"/>
          <w:szCs w:val="22"/>
        </w:rPr>
        <w:t xml:space="preserve"> el expediente formado con motivo del recurso de revisión </w:t>
      </w:r>
      <w:r w:rsidRPr="004A24F8">
        <w:rPr>
          <w:rFonts w:ascii="Palatino Linotype" w:eastAsia="Palatino Linotype" w:hAnsi="Palatino Linotype" w:cs="Palatino Linotype"/>
          <w:b/>
          <w:sz w:val="22"/>
          <w:szCs w:val="22"/>
        </w:rPr>
        <w:t>04904/INFOEM/IP/RR/2024</w:t>
      </w:r>
      <w:r w:rsidRPr="004A24F8">
        <w:rPr>
          <w:rFonts w:ascii="Palatino Linotype" w:eastAsia="Palatino Linotype" w:hAnsi="Palatino Linotype" w:cs="Palatino Linotype"/>
          <w:sz w:val="22"/>
          <w:szCs w:val="22"/>
        </w:rPr>
        <w:t>, interpuesto por</w:t>
      </w:r>
      <w:r w:rsidRPr="004A24F8">
        <w:rPr>
          <w:rFonts w:ascii="Palatino Linotype" w:eastAsia="Palatino Linotype" w:hAnsi="Palatino Linotype" w:cs="Palatino Linotype"/>
          <w:b/>
          <w:sz w:val="22"/>
          <w:szCs w:val="22"/>
        </w:rPr>
        <w:t xml:space="preserve"> </w:t>
      </w:r>
      <w:r w:rsidR="001F3668" w:rsidRPr="001F3668">
        <w:rPr>
          <w:rFonts w:ascii="Palatino Linotype" w:eastAsia="Palatino Linotype" w:hAnsi="Palatino Linotype" w:cs="Palatino Linotype"/>
          <w:b/>
          <w:sz w:val="22"/>
          <w:szCs w:val="22"/>
        </w:rPr>
        <w:t>XXXXXXXXX XXX XX XXXXXXXXXX</w:t>
      </w:r>
      <w:r w:rsidRPr="004A24F8">
        <w:rPr>
          <w:rFonts w:ascii="Palatino Linotype" w:eastAsia="Palatino Linotype" w:hAnsi="Palatino Linotype" w:cs="Palatino Linotype"/>
          <w:b/>
          <w:sz w:val="22"/>
          <w:szCs w:val="22"/>
        </w:rPr>
        <w:t>,</w:t>
      </w:r>
      <w:r w:rsidRPr="004A24F8">
        <w:rPr>
          <w:rFonts w:ascii="Palatino Linotype" w:eastAsia="Palatino Linotype" w:hAnsi="Palatino Linotype" w:cs="Palatino Linotype"/>
          <w:sz w:val="22"/>
          <w:szCs w:val="22"/>
        </w:rPr>
        <w:t xml:space="preserve"> en lo sucesivo</w:t>
      </w:r>
      <w:r w:rsidRPr="004A24F8">
        <w:rPr>
          <w:rFonts w:ascii="Palatino Linotype" w:eastAsia="Palatino Linotype" w:hAnsi="Palatino Linotype" w:cs="Palatino Linotype"/>
          <w:b/>
          <w:sz w:val="22"/>
          <w:szCs w:val="22"/>
        </w:rPr>
        <w:t xml:space="preserve"> la 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 xml:space="preserve"> en contra de la respuesta a su solicitud por parte de la</w:t>
      </w:r>
      <w:r w:rsidRPr="004A24F8">
        <w:rPr>
          <w:rFonts w:ascii="Palatino Linotype" w:eastAsia="Palatino Linotype" w:hAnsi="Palatino Linotype" w:cs="Palatino Linotype"/>
          <w:b/>
          <w:sz w:val="22"/>
          <w:szCs w:val="22"/>
        </w:rPr>
        <w:t xml:space="preserve"> Comisión del Agua del Estado de México, </w:t>
      </w:r>
      <w:r w:rsidRPr="004A24F8">
        <w:rPr>
          <w:rFonts w:ascii="Palatino Linotype" w:eastAsia="Palatino Linotype" w:hAnsi="Palatino Linotype" w:cs="Palatino Linotype"/>
          <w:sz w:val="22"/>
          <w:szCs w:val="22"/>
        </w:rPr>
        <w:t xml:space="preserve">en lo sucesivo el </w:t>
      </w:r>
      <w:r w:rsidRPr="004A24F8">
        <w:rPr>
          <w:rFonts w:ascii="Palatino Linotype" w:eastAsia="Palatino Linotype" w:hAnsi="Palatino Linotype" w:cs="Palatino Linotype"/>
          <w:b/>
          <w:sz w:val="22"/>
          <w:szCs w:val="22"/>
        </w:rPr>
        <w:t xml:space="preserve">Sujeto Obligado, </w:t>
      </w:r>
      <w:r w:rsidRPr="004A24F8">
        <w:rPr>
          <w:rFonts w:ascii="Palatino Linotype" w:eastAsia="Palatino Linotype" w:hAnsi="Palatino Linotype" w:cs="Palatino Linotype"/>
          <w:sz w:val="22"/>
          <w:szCs w:val="22"/>
        </w:rPr>
        <w:t xml:space="preserve">se procede a dictar la presente resolución con base en los siguientes: </w:t>
      </w:r>
    </w:p>
    <w:p w14:paraId="0118103F" w14:textId="77777777" w:rsidR="002604D6" w:rsidRPr="004A24F8" w:rsidRDefault="00121F63">
      <w:pPr>
        <w:spacing w:before="240" w:after="240" w:line="360" w:lineRule="auto"/>
        <w:jc w:val="center"/>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22"/>
          <w:szCs w:val="22"/>
        </w:rPr>
        <w:t>I. A N T E C E D E N T E S</w:t>
      </w:r>
    </w:p>
    <w:p w14:paraId="1333F963"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1. Solicitud de acceso a la información.</w:t>
      </w:r>
      <w:r w:rsidRPr="004A24F8">
        <w:rPr>
          <w:rFonts w:ascii="Palatino Linotype" w:eastAsia="Palatino Linotype" w:hAnsi="Palatino Linotype" w:cs="Palatino Linotype"/>
          <w:sz w:val="22"/>
          <w:szCs w:val="22"/>
        </w:rPr>
        <w:t xml:space="preserve"> El </w:t>
      </w:r>
      <w:r w:rsidRPr="004A24F8">
        <w:rPr>
          <w:rFonts w:ascii="Palatino Linotype" w:eastAsia="Palatino Linotype" w:hAnsi="Palatino Linotype" w:cs="Palatino Linotype"/>
          <w:b/>
          <w:sz w:val="22"/>
          <w:szCs w:val="22"/>
        </w:rPr>
        <w:t>diez de julio de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dos mil veinticuatro,</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la 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 xml:space="preserve">Recurrente </w:t>
      </w:r>
      <w:r w:rsidRPr="004A24F8">
        <w:rPr>
          <w:rFonts w:ascii="Palatino Linotype" w:eastAsia="Palatino Linotype" w:hAnsi="Palatino Linotype" w:cs="Palatino Linotype"/>
          <w:sz w:val="22"/>
          <w:szCs w:val="22"/>
        </w:rPr>
        <w:t xml:space="preserve">presentó, a través del Sistema de Acceso a la Información Mexiquense, en lo subsecuente el </w:t>
      </w:r>
      <w:r w:rsidRPr="004A24F8">
        <w:rPr>
          <w:rFonts w:ascii="Palatino Linotype" w:eastAsia="Palatino Linotype" w:hAnsi="Palatino Linotype" w:cs="Palatino Linotype"/>
          <w:b/>
          <w:sz w:val="22"/>
          <w:szCs w:val="22"/>
        </w:rPr>
        <w:t>SAIMEX,</w:t>
      </w:r>
      <w:r w:rsidRPr="004A24F8">
        <w:rPr>
          <w:rFonts w:ascii="Palatino Linotype" w:eastAsia="Palatino Linotype" w:hAnsi="Palatino Linotype" w:cs="Palatino Linotype"/>
          <w:sz w:val="22"/>
          <w:szCs w:val="22"/>
        </w:rPr>
        <w:t xml:space="preserve"> ante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la solicitud de acceso a la información pública, a la que se le asignó el número</w:t>
      </w:r>
      <w:r w:rsidRPr="004A24F8">
        <w:rPr>
          <w:rFonts w:ascii="Palatino Linotype" w:eastAsia="Palatino Linotype" w:hAnsi="Palatino Linotype" w:cs="Palatino Linotype"/>
          <w:b/>
          <w:sz w:val="22"/>
          <w:szCs w:val="22"/>
        </w:rPr>
        <w:t xml:space="preserve"> 00350/CAEM/IP/2024, </w:t>
      </w:r>
      <w:r w:rsidRPr="004A24F8">
        <w:rPr>
          <w:rFonts w:ascii="Palatino Linotype" w:eastAsia="Palatino Linotype" w:hAnsi="Palatino Linotype" w:cs="Palatino Linotype"/>
          <w:sz w:val="22"/>
          <w:szCs w:val="22"/>
        </w:rPr>
        <w:t xml:space="preserve">mediante la cual requirió la información siguiente: </w:t>
      </w:r>
    </w:p>
    <w:p w14:paraId="4BF2FCCB" w14:textId="77777777" w:rsidR="002604D6" w:rsidRPr="004A24F8" w:rsidRDefault="00121F63">
      <w:pPr>
        <w:spacing w:before="240" w:after="240"/>
        <w:ind w:left="567" w:right="902"/>
        <w:jc w:val="both"/>
        <w:rPr>
          <w:rFonts w:ascii="Palatino Linotype" w:eastAsia="Palatino Linotype" w:hAnsi="Palatino Linotype" w:cs="Palatino Linotype"/>
          <w:b/>
          <w:i/>
          <w:sz w:val="22"/>
          <w:szCs w:val="22"/>
        </w:rPr>
      </w:pPr>
      <w:bookmarkStart w:id="1" w:name="_heading=h.gjdgxs" w:colFirst="0" w:colLast="0"/>
      <w:bookmarkEnd w:id="1"/>
      <w:r w:rsidRPr="004A24F8">
        <w:rPr>
          <w:rFonts w:ascii="Palatino Linotype" w:eastAsia="Palatino Linotype" w:hAnsi="Palatino Linotype" w:cs="Palatino Linotype"/>
          <w:i/>
          <w:sz w:val="22"/>
          <w:szCs w:val="22"/>
        </w:rPr>
        <w:t xml:space="preserve">“Solicito la copia de los libros o archivos de los Minitarios de los oficios y de toda la documentación que se genero del año 2023 y 2024 a la fecha 10 de julio de 2024 de la Vocalía, Direcciones Generales, Subdirecciones y Departamentos y Unidad de Staf y del Organo Interno de Control, de acuerdo a su organigrama público. La información no debe ser reservada ni omitida, ya que es oficial y pública toda la documentación que se se solicita no debe ser reservada ya que no contienen datos sensibles, genera por parte de cada área.” (Sic) </w:t>
      </w:r>
    </w:p>
    <w:p w14:paraId="43D8D512"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Modalidad de Entrega:</w:t>
      </w:r>
      <w:r w:rsidRPr="004A24F8">
        <w:rPr>
          <w:rFonts w:ascii="Palatino Linotype" w:eastAsia="Palatino Linotype" w:hAnsi="Palatino Linotype" w:cs="Palatino Linotype"/>
          <w:sz w:val="22"/>
          <w:szCs w:val="22"/>
        </w:rPr>
        <w:t xml:space="preserve"> A través del </w:t>
      </w:r>
      <w:r w:rsidRPr="004A24F8">
        <w:rPr>
          <w:rFonts w:ascii="Palatino Linotype" w:eastAsia="Palatino Linotype" w:hAnsi="Palatino Linotype" w:cs="Palatino Linotype"/>
          <w:b/>
          <w:sz w:val="22"/>
          <w:szCs w:val="22"/>
        </w:rPr>
        <w:t>SAIMEX</w:t>
      </w:r>
    </w:p>
    <w:p w14:paraId="7072E31C"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bookmarkStart w:id="2" w:name="_heading=h.3dy6vkm" w:colFirst="0" w:colLast="0"/>
      <w:bookmarkEnd w:id="2"/>
      <w:r w:rsidRPr="004A24F8">
        <w:rPr>
          <w:rFonts w:ascii="Palatino Linotype" w:eastAsia="Palatino Linotype" w:hAnsi="Palatino Linotype" w:cs="Palatino Linotype"/>
          <w:b/>
          <w:sz w:val="22"/>
          <w:szCs w:val="22"/>
        </w:rPr>
        <w:lastRenderedPageBreak/>
        <w:t xml:space="preserve">2. Respuesta. </w:t>
      </w:r>
      <w:r w:rsidRPr="004A24F8">
        <w:rPr>
          <w:rFonts w:ascii="Palatino Linotype" w:eastAsia="Palatino Linotype" w:hAnsi="Palatino Linotype" w:cs="Palatino Linotype"/>
          <w:sz w:val="22"/>
          <w:szCs w:val="22"/>
        </w:rPr>
        <w:t xml:space="preserve">El </w:t>
      </w:r>
      <w:r w:rsidRPr="004A24F8">
        <w:rPr>
          <w:rFonts w:ascii="Palatino Linotype" w:eastAsia="Palatino Linotype" w:hAnsi="Palatino Linotype" w:cs="Palatino Linotype"/>
          <w:b/>
          <w:sz w:val="22"/>
          <w:szCs w:val="22"/>
        </w:rPr>
        <w:t>catorce de agosto de dos mil veinticuatro</w:t>
      </w:r>
      <w:r w:rsidRPr="004A24F8">
        <w:rPr>
          <w:rFonts w:ascii="Palatino Linotype" w:eastAsia="Palatino Linotype" w:hAnsi="Palatino Linotype" w:cs="Palatino Linotype"/>
          <w:sz w:val="22"/>
          <w:szCs w:val="22"/>
        </w:rPr>
        <w:t xml:space="preserve">, el </w:t>
      </w:r>
      <w:r w:rsidRPr="004A24F8">
        <w:rPr>
          <w:rFonts w:ascii="Palatino Linotype" w:eastAsia="Palatino Linotype" w:hAnsi="Palatino Linotype" w:cs="Palatino Linotype"/>
          <w:b/>
          <w:sz w:val="22"/>
          <w:szCs w:val="22"/>
        </w:rPr>
        <w:t xml:space="preserve">Sujeto Obligado </w:t>
      </w:r>
      <w:r w:rsidRPr="004A24F8">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027FA5A2" w14:textId="77777777" w:rsidR="002604D6" w:rsidRPr="004A24F8" w:rsidRDefault="00121F63">
      <w:pPr>
        <w:spacing w:before="240" w:after="24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01E016" w14:textId="447A2822" w:rsidR="002604D6" w:rsidRPr="004A24F8" w:rsidRDefault="00121F63">
      <w:pPr>
        <w:spacing w:before="240" w:after="24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 xml:space="preserve">Oficio No. 219C0110010000S/ 01661 /2024 Naucalpan de Juárez, Estado de México 13 de agosto de 2024 ESTIMADO </w:t>
      </w:r>
      <w:r w:rsidR="001F3668">
        <w:rPr>
          <w:rFonts w:ascii="Palatino Linotype" w:eastAsia="Palatino Linotype" w:hAnsi="Palatino Linotype" w:cs="Palatino Linotype"/>
          <w:i/>
          <w:sz w:val="22"/>
          <w:szCs w:val="22"/>
        </w:rPr>
        <w:t>XXXXXXXXXXXX</w:t>
      </w:r>
      <w:r w:rsidRPr="004A24F8">
        <w:rPr>
          <w:rFonts w:ascii="Palatino Linotype" w:eastAsia="Palatino Linotype" w:hAnsi="Palatino Linotype" w:cs="Palatino Linotype"/>
          <w:i/>
          <w:sz w:val="22"/>
          <w:szCs w:val="22"/>
        </w:rPr>
        <w:t xml:space="preserve"> FOLIO DE LA SOLICITUD: 00350/CAEM/IP/2024 En respuesta a la solicitud recibida, nos permitimos hacer de su conocimiento que con fundamento en los artículos 2, fracciones 111, VII; 4; 15; 24 fracciones XI y XXIV de la Ley de Transparencia y Acceso a la Información Pública del Estado de México y Municipios, y en cumplimiento a lo establecido en el artículo 53, fracciones 11, V y VI, su petición formulada en la Unidad de Transparencia de la Comisión del Agua del Estado de México vía electrónica se ha registrado con el número de folio 00350/CAEM/IP/2024, misma que a la letra dice: “Solicito la copia de los libros o archivos de los Minitarios de los oficios y de toda la documentación que se genero del año 2023 y 2024 a la fecha 10 de julio de 2024 de la Vocalía, Direcciones Generales, Subdirecciones y Departamentos y Unidad de Staf y del Organo Interno de Control, de acuerdo a su organigrama público. La información no debe ser reservada ni omitida, ya que es oficial y pública toda la documentación que se se solicita no debe ser reservada ya que no contienen datos sensibles, genera por parte de cada área" (sic) Al respecto. le informo que, en primer término, debe precisarse que de conformidad con el párrafo segundo del artículo 12 de la Ley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Después de realizar una búsqueda exhaustiva, me permito remitir la respuesta correspondiente a su requerimiento. Sin otro particular por el momento, aprovecho la ocasión para enviarle un cordial saludo. A T E N T A M E N T E STEPHANIE VALERO SÁNCHEZ TITULAR DE LA UNIDAD DE TRANSPARENCIA</w:t>
      </w:r>
    </w:p>
    <w:p w14:paraId="40FE9A97" w14:textId="77777777" w:rsidR="002604D6" w:rsidRPr="004A24F8" w:rsidRDefault="00121F63">
      <w:pPr>
        <w:spacing w:before="240" w:after="24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lastRenderedPageBreak/>
        <w:t>ATENTAMENTE</w:t>
      </w:r>
    </w:p>
    <w:p w14:paraId="027D614F" w14:textId="77777777" w:rsidR="002604D6" w:rsidRPr="004A24F8" w:rsidRDefault="00121F63">
      <w:pPr>
        <w:spacing w:before="240" w:after="24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 xml:space="preserve">Lic. Stephanie Valero Sánchez” </w:t>
      </w:r>
    </w:p>
    <w:p w14:paraId="1F0ACDFF" w14:textId="77777777" w:rsidR="002604D6" w:rsidRPr="004A24F8" w:rsidRDefault="00121F63">
      <w:pPr>
        <w:spacing w:before="240" w:after="240"/>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 xml:space="preserve">Archivos adjuntos: </w:t>
      </w:r>
    </w:p>
    <w:p w14:paraId="7C8D6F40" w14:textId="77777777" w:rsidR="002604D6" w:rsidRPr="004A24F8" w:rsidRDefault="00121F63">
      <w:pPr>
        <w:spacing w:before="240" w:after="240" w:line="360" w:lineRule="auto"/>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i/>
          <w:sz w:val="22"/>
          <w:szCs w:val="22"/>
        </w:rPr>
        <w:t xml:space="preserve">“Solicitud SAIMEX-350-24.pdf.pdf”: </w:t>
      </w:r>
      <w:r w:rsidRPr="004A24F8">
        <w:rPr>
          <w:rFonts w:ascii="Palatino Linotype" w:eastAsia="Palatino Linotype" w:hAnsi="Palatino Linotype" w:cs="Palatino Linotype"/>
          <w:sz w:val="22"/>
          <w:szCs w:val="22"/>
        </w:rPr>
        <w:t>Oficio suscrito por la persona titular de la Dirección del Sistema Estatal de Información del Agua, quien manifiesta que la Dirección General del Programa Hidráulico no cuenta con esa información debido a que no existe ni emite “libros o archivos de minitarios”.</w:t>
      </w:r>
    </w:p>
    <w:p w14:paraId="58F1E342" w14:textId="77777777" w:rsidR="002604D6" w:rsidRPr="004A24F8" w:rsidRDefault="00121F63">
      <w:pPr>
        <w:spacing w:before="240" w:after="240" w:line="360" w:lineRule="auto"/>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i/>
          <w:sz w:val="22"/>
          <w:szCs w:val="22"/>
        </w:rPr>
        <w:t xml:space="preserve">“FOLIO 00350 CAEM IP 2024.pdf”: </w:t>
      </w:r>
      <w:r w:rsidRPr="004A24F8">
        <w:rPr>
          <w:rFonts w:ascii="Palatino Linotype" w:eastAsia="Palatino Linotype" w:hAnsi="Palatino Linotype" w:cs="Palatino Linotype"/>
          <w:sz w:val="22"/>
          <w:szCs w:val="22"/>
        </w:rPr>
        <w:t>Oficio suscrito por el titular de la Dirección General de Operaciones y Atención a Emergencias, quien manifiesta medularmente que no existe fuente obligacional de la cual derive que esta Dirección General deba contar con “minutarios”, ya que los mismos no son documentos de archivo.</w:t>
      </w:r>
    </w:p>
    <w:p w14:paraId="52A8424D" w14:textId="77777777" w:rsidR="002604D6" w:rsidRPr="004A24F8" w:rsidRDefault="00121F63">
      <w:pPr>
        <w:spacing w:before="240" w:after="240" w:line="360" w:lineRule="auto"/>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i/>
          <w:sz w:val="22"/>
          <w:szCs w:val="22"/>
        </w:rPr>
        <w:t xml:space="preserve">“OF_1157-2024_CONTESTACIÓN SAIMEX_00350-CAEM-IP-2024.pdf”: </w:t>
      </w:r>
      <w:r w:rsidRPr="004A24F8">
        <w:rPr>
          <w:rFonts w:ascii="Palatino Linotype" w:eastAsia="Palatino Linotype" w:hAnsi="Palatino Linotype" w:cs="Palatino Linotype"/>
          <w:sz w:val="22"/>
          <w:szCs w:val="22"/>
        </w:rPr>
        <w:t xml:space="preserve">Oficio suscrito por el titular de la Dirección General de Inversión y Gestión, quien refiere que con fundamento en lo establecido en el artículo 4, fracción IV de la Ley de Archivos y Administración de Documentos del Estado de México y Municipios que a la letra dice: </w:t>
      </w:r>
    </w:p>
    <w:p w14:paraId="1C047052" w14:textId="77777777" w:rsidR="002604D6" w:rsidRPr="004A24F8" w:rsidRDefault="00121F63">
      <w:pPr>
        <w:spacing w:before="240" w:after="240" w:line="276" w:lineRule="auto"/>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“Artículo 4. Además de las definiciones previstas en la Ley General, para los efectos de esta Ley se entenderá por:</w:t>
      </w:r>
    </w:p>
    <w:p w14:paraId="7155C64A" w14:textId="77777777" w:rsidR="002604D6" w:rsidRPr="004A24F8" w:rsidRDefault="00121F63">
      <w:pPr>
        <w:spacing w:before="240" w:after="240" w:line="276" w:lineRule="auto"/>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p>
    <w:p w14:paraId="02A4F02F" w14:textId="77777777" w:rsidR="002604D6" w:rsidRPr="004A24F8" w:rsidRDefault="00121F63">
      <w:pPr>
        <w:spacing w:before="240" w:after="240" w:line="276" w:lineRule="auto"/>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IV. Archivo: Al conjunto organizado de documentos producidos o recibidos por los Sujetos Obligados en el ejercicio de sus atribuciones y funciones, con independencia del soporte, espacio o lugar que se resguarden;”</w:t>
      </w:r>
    </w:p>
    <w:p w14:paraId="0C9EF2C0" w14:textId="77777777" w:rsidR="002604D6" w:rsidRPr="004A24F8" w:rsidRDefault="00121F63">
      <w:pPr>
        <w:spacing w:before="240" w:after="240" w:line="360" w:lineRule="auto"/>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lastRenderedPageBreak/>
        <w:t>Por lo que se desprende que esta Unidad Administrativa no tiene la obligación de contar con “Minutarios” ya que los mismos no son documentos de archivo tal como lo establece el numeral de la Ley en comento, en consecuencia y con relación en el párrafo segundo del artículo 12 de la Ley de Transparencia y Acceso a la Información Pública del Estado de México y Municipios.</w:t>
      </w:r>
    </w:p>
    <w:p w14:paraId="48D361A8" w14:textId="77777777" w:rsidR="002604D6" w:rsidRPr="004A24F8" w:rsidRDefault="00121F63">
      <w:pPr>
        <w:spacing w:before="240" w:after="240" w:line="360" w:lineRule="auto"/>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i/>
          <w:sz w:val="22"/>
          <w:szCs w:val="22"/>
        </w:rPr>
        <w:t xml:space="preserve">“2012 RESPUESTA SOLICITUD SAIMEX 350.pdf”: </w:t>
      </w:r>
      <w:r w:rsidRPr="004A24F8">
        <w:rPr>
          <w:rFonts w:ascii="Palatino Linotype" w:eastAsia="Palatino Linotype" w:hAnsi="Palatino Linotype" w:cs="Palatino Linotype"/>
          <w:sz w:val="22"/>
          <w:szCs w:val="22"/>
        </w:rPr>
        <w:t xml:space="preserve">Oficio suscrito por el Director General de Infraestructura Hidráulica y Servidor Público Habilitado, quien señala que se adjunta en formato electrónico las relaciones, archivos y minutarios de la documentación generada durante el año 2023 y de enero a julio de 2024, de esta Dirección General y sus áreas de acuerdo a su organigrama público, mismas que se relacionan a continuación; </w:t>
      </w:r>
    </w:p>
    <w:p w14:paraId="70563373" w14:textId="77777777" w:rsidR="002604D6" w:rsidRPr="004A24F8" w:rsidRDefault="00121F63">
      <w:pPr>
        <w:spacing w:before="240" w:after="240" w:line="360" w:lineRule="auto"/>
        <w:ind w:left="567" w:right="902"/>
        <w:jc w:val="both"/>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b/>
          <w:i/>
          <w:noProof/>
          <w:sz w:val="22"/>
          <w:szCs w:val="22"/>
        </w:rPr>
        <w:drawing>
          <wp:inline distT="0" distB="0" distL="0" distR="0" wp14:anchorId="482DAF5F" wp14:editId="1BADA947">
            <wp:extent cx="3886200" cy="3248025"/>
            <wp:effectExtent l="0" t="0" r="0" b="0"/>
            <wp:docPr id="10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l="5092" t="15606" r="25661" b="3751"/>
                    <a:stretch>
                      <a:fillRect/>
                    </a:stretch>
                  </pic:blipFill>
                  <pic:spPr>
                    <a:xfrm>
                      <a:off x="0" y="0"/>
                      <a:ext cx="3886200" cy="3248025"/>
                    </a:xfrm>
                    <a:prstGeom prst="rect">
                      <a:avLst/>
                    </a:prstGeom>
                    <a:ln/>
                  </pic:spPr>
                </pic:pic>
              </a:graphicData>
            </a:graphic>
          </wp:inline>
        </w:drawing>
      </w:r>
    </w:p>
    <w:p w14:paraId="3600B3FF" w14:textId="77777777" w:rsidR="002604D6" w:rsidRPr="004A24F8" w:rsidRDefault="00121F63">
      <w:pPr>
        <w:spacing w:before="240" w:after="240" w:line="360" w:lineRule="auto"/>
        <w:ind w:left="567" w:right="902"/>
        <w:jc w:val="both"/>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b/>
          <w:i/>
          <w:noProof/>
          <w:sz w:val="22"/>
          <w:szCs w:val="22"/>
        </w:rPr>
        <w:lastRenderedPageBreak/>
        <w:drawing>
          <wp:inline distT="0" distB="0" distL="0" distR="0" wp14:anchorId="7043D37E" wp14:editId="75158CA5">
            <wp:extent cx="3400900" cy="1267002"/>
            <wp:effectExtent l="0" t="0" r="0" b="0"/>
            <wp:docPr id="1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3400900" cy="1267002"/>
                    </a:xfrm>
                    <a:prstGeom prst="rect">
                      <a:avLst/>
                    </a:prstGeom>
                    <a:ln/>
                  </pic:spPr>
                </pic:pic>
              </a:graphicData>
            </a:graphic>
          </wp:inline>
        </w:drawing>
      </w:r>
    </w:p>
    <w:p w14:paraId="540602CB" w14:textId="77777777" w:rsidR="002604D6" w:rsidRPr="004A24F8" w:rsidRDefault="00121F63">
      <w:pPr>
        <w:spacing w:before="240" w:after="240" w:line="360" w:lineRule="auto"/>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Aclarando asimismo que en el caso de los Departamentos, la información generada se relaciona en las Subdirecciones de su adscripción, atendiendo a que quién valida y firma los oficios que generan, es su jefe inmediato superior en la mayoría de los casos, salvo algunas excepciones que por la naturaleza de los asuntos lo requieran de manera directa al titular del Departamento que se trate.</w:t>
      </w:r>
    </w:p>
    <w:p w14:paraId="05A618B1" w14:textId="77777777" w:rsidR="002604D6" w:rsidRPr="004A24F8" w:rsidRDefault="00121F63">
      <w:pPr>
        <w:spacing w:before="240" w:after="240" w:line="360" w:lineRule="auto"/>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i/>
          <w:sz w:val="22"/>
          <w:szCs w:val="22"/>
        </w:rPr>
        <w:t xml:space="preserve">“contestacion a solicitud de transparencia 00350-CAEM-IP-2024 MINUTARIOS.pdf”: </w:t>
      </w:r>
      <w:r w:rsidRPr="004A24F8">
        <w:rPr>
          <w:rFonts w:ascii="Palatino Linotype" w:eastAsia="Palatino Linotype" w:hAnsi="Palatino Linotype" w:cs="Palatino Linotype"/>
          <w:sz w:val="22"/>
          <w:szCs w:val="22"/>
        </w:rPr>
        <w:t xml:space="preserve">Oficio suscrito por la Subdirectora en materia Administrativa, Fiscal, Normatividad y de Consulta y Enlace de Transparencia de la Dirección General de Asuntos Jurídicos e Igualdad de Género, quien refiere medularmente que no existe fuente obligacional de la cual derive que esta Dirección General de Asuntos Jurídicos e Igualdad de Género deba contar con “minutarios”, ya que los mismos no son documentos de archivo. </w:t>
      </w:r>
    </w:p>
    <w:p w14:paraId="500DE3D7" w14:textId="77777777" w:rsidR="002604D6" w:rsidRPr="004A24F8" w:rsidRDefault="00121F63">
      <w:pPr>
        <w:spacing w:before="240" w:after="240" w:line="360" w:lineRule="auto"/>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i/>
          <w:sz w:val="22"/>
          <w:szCs w:val="22"/>
        </w:rPr>
        <w:t xml:space="preserve">“Anexo saimex DGIH 350.zip”: </w:t>
      </w:r>
      <w:r w:rsidRPr="004A24F8">
        <w:rPr>
          <w:rFonts w:ascii="Palatino Linotype" w:eastAsia="Palatino Linotype" w:hAnsi="Palatino Linotype" w:cs="Palatino Linotype"/>
          <w:sz w:val="22"/>
          <w:szCs w:val="22"/>
        </w:rPr>
        <w:t>Carpeta comprimida que contiene diversos minutarios de oficios:</w:t>
      </w:r>
    </w:p>
    <w:p w14:paraId="3FEA8905" w14:textId="77777777" w:rsidR="002604D6" w:rsidRPr="004A24F8" w:rsidRDefault="00121F63">
      <w:pPr>
        <w:spacing w:before="240" w:after="240" w:line="360" w:lineRule="auto"/>
        <w:ind w:left="567" w:right="90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lastRenderedPageBreak/>
        <w:drawing>
          <wp:inline distT="0" distB="0" distL="0" distR="0" wp14:anchorId="56C18A27" wp14:editId="59DDEFE1">
            <wp:extent cx="4839375" cy="5296639"/>
            <wp:effectExtent l="0" t="0" r="0" b="0"/>
            <wp:docPr id="10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839375" cy="5296639"/>
                    </a:xfrm>
                    <a:prstGeom prst="rect">
                      <a:avLst/>
                    </a:prstGeom>
                    <a:ln/>
                  </pic:spPr>
                </pic:pic>
              </a:graphicData>
            </a:graphic>
          </wp:inline>
        </w:drawing>
      </w:r>
    </w:p>
    <w:p w14:paraId="23975D75" w14:textId="77777777" w:rsidR="002604D6" w:rsidRPr="004A24F8" w:rsidRDefault="00121F63">
      <w:pPr>
        <w:spacing w:before="240" w:after="240" w:line="360" w:lineRule="auto"/>
        <w:ind w:right="49"/>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22"/>
          <w:szCs w:val="22"/>
        </w:rPr>
        <w:t xml:space="preserve">3. Interposición del recurso de revisión. </w:t>
      </w:r>
      <w:r w:rsidRPr="004A24F8">
        <w:rPr>
          <w:rFonts w:ascii="Palatino Linotype" w:eastAsia="Palatino Linotype" w:hAnsi="Palatino Linotype" w:cs="Palatino Linotype"/>
          <w:sz w:val="22"/>
          <w:szCs w:val="22"/>
        </w:rPr>
        <w:t xml:space="preserve">Inconforme con los términos de la respuesta emitida por parte del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el</w:t>
      </w:r>
      <w:r w:rsidRPr="004A24F8">
        <w:rPr>
          <w:rFonts w:ascii="Palatino Linotype" w:eastAsia="Palatino Linotype" w:hAnsi="Palatino Linotype" w:cs="Palatino Linotype"/>
          <w:b/>
          <w:sz w:val="22"/>
          <w:szCs w:val="22"/>
        </w:rPr>
        <w:t xml:space="preserve"> diecinueve de agosto de dos mil veinticuatro,</w:t>
      </w:r>
      <w:r w:rsidRPr="004A24F8">
        <w:rPr>
          <w:rFonts w:ascii="Palatino Linotype" w:eastAsia="Palatino Linotype" w:hAnsi="Palatino Linotype" w:cs="Palatino Linotype"/>
          <w:sz w:val="22"/>
          <w:szCs w:val="22"/>
        </w:rPr>
        <w:t xml:space="preserve"> la </w:t>
      </w:r>
      <w:r w:rsidRPr="004A24F8">
        <w:rPr>
          <w:rFonts w:ascii="Palatino Linotype" w:eastAsia="Palatino Linotype" w:hAnsi="Palatino Linotype" w:cs="Palatino Linotype"/>
          <w:b/>
          <w:sz w:val="22"/>
          <w:szCs w:val="22"/>
        </w:rPr>
        <w:t>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 xml:space="preserve"> interpuso el recurso de revisión a través de </w:t>
      </w:r>
      <w:r w:rsidRPr="004A24F8">
        <w:rPr>
          <w:rFonts w:ascii="Palatino Linotype" w:eastAsia="Palatino Linotype" w:hAnsi="Palatino Linotype" w:cs="Palatino Linotype"/>
          <w:b/>
          <w:sz w:val="22"/>
          <w:szCs w:val="22"/>
        </w:rPr>
        <w:t xml:space="preserve">SAIMEX, </w:t>
      </w:r>
      <w:r w:rsidRPr="004A24F8">
        <w:rPr>
          <w:rFonts w:ascii="Palatino Linotype" w:eastAsia="Palatino Linotype" w:hAnsi="Palatino Linotype" w:cs="Palatino Linotype"/>
          <w:sz w:val="22"/>
          <w:szCs w:val="22"/>
        </w:rPr>
        <w:t>en donde se manifestó de la siguiente manera:</w:t>
      </w:r>
    </w:p>
    <w:p w14:paraId="00E926C7" w14:textId="77777777" w:rsidR="002604D6" w:rsidRPr="004A24F8" w:rsidRDefault="00121F63">
      <w:pPr>
        <w:tabs>
          <w:tab w:val="left" w:pos="2745"/>
        </w:tabs>
        <w:spacing w:before="240" w:after="240" w:line="276" w:lineRule="auto"/>
        <w:ind w:left="567" w:right="900"/>
        <w:jc w:val="both"/>
        <w:rPr>
          <w:rFonts w:ascii="Palatino Linotype" w:eastAsia="Palatino Linotype" w:hAnsi="Palatino Linotype" w:cs="Palatino Linotype"/>
          <w:b/>
        </w:rPr>
      </w:pPr>
      <w:r w:rsidRPr="004A24F8">
        <w:rPr>
          <w:rFonts w:ascii="Palatino Linotype" w:eastAsia="Palatino Linotype" w:hAnsi="Palatino Linotype" w:cs="Palatino Linotype"/>
          <w:b/>
          <w:sz w:val="22"/>
          <w:szCs w:val="22"/>
        </w:rPr>
        <w:t xml:space="preserve">a) Acto impugnado: </w:t>
      </w:r>
      <w:r w:rsidRPr="004A24F8">
        <w:rPr>
          <w:rFonts w:ascii="Palatino Linotype" w:eastAsia="Palatino Linotype" w:hAnsi="Palatino Linotype" w:cs="Palatino Linotype"/>
          <w:i/>
          <w:sz w:val="22"/>
          <w:szCs w:val="22"/>
        </w:rPr>
        <w:t>“No se envía la información requerida” (Sic)</w:t>
      </w:r>
    </w:p>
    <w:p w14:paraId="0B814888" w14:textId="77777777" w:rsidR="002604D6" w:rsidRPr="004A24F8" w:rsidRDefault="00121F63">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4A24F8">
        <w:rPr>
          <w:rFonts w:ascii="Palatino Linotype" w:eastAsia="Palatino Linotype" w:hAnsi="Palatino Linotype" w:cs="Palatino Linotype"/>
          <w:b/>
          <w:sz w:val="22"/>
          <w:szCs w:val="22"/>
        </w:rPr>
        <w:lastRenderedPageBreak/>
        <w:t>b) Razones o motivos de inconformidad</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i/>
          <w:sz w:val="22"/>
          <w:szCs w:val="22"/>
        </w:rPr>
        <w:t>“No se envía la información requerida” (Sic)</w:t>
      </w:r>
    </w:p>
    <w:p w14:paraId="79C851A3" w14:textId="77777777" w:rsidR="002604D6" w:rsidRPr="004A24F8" w:rsidRDefault="00121F63">
      <w:pPr>
        <w:spacing w:before="240" w:after="240" w:line="360" w:lineRule="auto"/>
        <w:ind w:right="51"/>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 xml:space="preserve">4. Turno. </w:t>
      </w:r>
      <w:r w:rsidRPr="004A24F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A24F8">
        <w:rPr>
          <w:rFonts w:ascii="Palatino Linotype" w:eastAsia="Palatino Linotype" w:hAnsi="Palatino Linotype" w:cs="Palatino Linotype"/>
          <w:b/>
          <w:sz w:val="22"/>
          <w:szCs w:val="22"/>
        </w:rPr>
        <w:t xml:space="preserve">Guadalupe Ramírez Peña, </w:t>
      </w:r>
      <w:r w:rsidRPr="004A24F8">
        <w:rPr>
          <w:rFonts w:ascii="Palatino Linotype" w:eastAsia="Palatino Linotype" w:hAnsi="Palatino Linotype" w:cs="Palatino Linotype"/>
          <w:sz w:val="22"/>
          <w:szCs w:val="22"/>
        </w:rPr>
        <w:t>a efecto de que analizara sobre su admisión o su desechamiento.</w:t>
      </w:r>
    </w:p>
    <w:p w14:paraId="14F0C374"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5. Admisión del Recurso de revisión.</w:t>
      </w:r>
      <w:r w:rsidRPr="004A24F8">
        <w:rPr>
          <w:rFonts w:ascii="Palatino Linotype" w:eastAsia="Palatino Linotype" w:hAnsi="Palatino Linotype" w:cs="Palatino Linotype"/>
          <w:sz w:val="22"/>
          <w:szCs w:val="22"/>
        </w:rPr>
        <w:t xml:space="preserve"> El</w:t>
      </w:r>
      <w:r w:rsidRPr="004A24F8">
        <w:rPr>
          <w:rFonts w:ascii="Palatino Linotype" w:eastAsia="Palatino Linotype" w:hAnsi="Palatino Linotype" w:cs="Palatino Linotype"/>
          <w:b/>
          <w:sz w:val="22"/>
          <w:szCs w:val="22"/>
        </w:rPr>
        <w:t xml:space="preserve"> veintidós de agosto de dos mil veinticuatro, </w:t>
      </w:r>
      <w:r w:rsidRPr="004A24F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A24F8">
        <w:rPr>
          <w:rFonts w:ascii="Palatino Linotype" w:eastAsia="Palatino Linotype" w:hAnsi="Palatino Linotype" w:cs="Palatino Linotype"/>
          <w:b/>
          <w:sz w:val="22"/>
          <w:szCs w:val="22"/>
        </w:rPr>
        <w:t xml:space="preserve">Sujeto Obligado </w:t>
      </w:r>
      <w:r w:rsidRPr="004A24F8">
        <w:rPr>
          <w:rFonts w:ascii="Palatino Linotype" w:eastAsia="Palatino Linotype" w:hAnsi="Palatino Linotype" w:cs="Palatino Linotype"/>
          <w:sz w:val="22"/>
          <w:szCs w:val="22"/>
        </w:rPr>
        <w:t>presentara su informe justificado.</w:t>
      </w:r>
    </w:p>
    <w:p w14:paraId="7387044A" w14:textId="77777777" w:rsidR="002604D6" w:rsidRPr="004A24F8" w:rsidRDefault="00121F6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4A24F8">
        <w:rPr>
          <w:rFonts w:ascii="Palatino Linotype" w:eastAsia="Palatino Linotype" w:hAnsi="Palatino Linotype" w:cs="Palatino Linotype"/>
          <w:b/>
          <w:sz w:val="22"/>
          <w:szCs w:val="22"/>
        </w:rPr>
        <w:t>6. Manifestaciones e Informe Justificado</w:t>
      </w:r>
      <w:r w:rsidRPr="004A24F8">
        <w:rPr>
          <w:rFonts w:ascii="Palatino Linotype" w:eastAsia="Palatino Linotype" w:hAnsi="Palatino Linotype" w:cs="Palatino Linotype"/>
          <w:sz w:val="22"/>
          <w:szCs w:val="22"/>
        </w:rPr>
        <w:t>. De las constancias que integran el expediente en que se actúa se advierte que durante el periodo de manifestaciones e informe justificado, las partes fueron omisas en remitir documento alguno.</w:t>
      </w:r>
    </w:p>
    <w:p w14:paraId="1DBC9235" w14:textId="77777777" w:rsidR="002604D6" w:rsidRPr="004A24F8" w:rsidRDefault="00121F63">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drawing>
          <wp:inline distT="0" distB="0" distL="0" distR="0" wp14:anchorId="3248724A" wp14:editId="20555BC6">
            <wp:extent cx="5612130" cy="1333500"/>
            <wp:effectExtent l="0" t="0" r="0" b="0"/>
            <wp:docPr id="10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612130" cy="1333500"/>
                    </a:xfrm>
                    <a:prstGeom prst="rect">
                      <a:avLst/>
                    </a:prstGeom>
                    <a:ln/>
                  </pic:spPr>
                </pic:pic>
              </a:graphicData>
            </a:graphic>
          </wp:inline>
        </w:drawing>
      </w:r>
    </w:p>
    <w:p w14:paraId="6641B087" w14:textId="77777777" w:rsidR="002604D6" w:rsidRPr="004A24F8" w:rsidRDefault="002604D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i/>
        </w:rPr>
      </w:pPr>
    </w:p>
    <w:p w14:paraId="011E0A81" w14:textId="77777777" w:rsidR="002604D6" w:rsidRPr="004A24F8" w:rsidRDefault="00121F63">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 xml:space="preserve">7. Cierre de instrucción. </w:t>
      </w:r>
      <w:r w:rsidRPr="004A24F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4A24F8">
        <w:rPr>
          <w:rFonts w:ascii="Palatino Linotype" w:eastAsia="Palatino Linotype" w:hAnsi="Palatino Linotype" w:cs="Palatino Linotype"/>
          <w:b/>
          <w:sz w:val="22"/>
          <w:szCs w:val="22"/>
        </w:rPr>
        <w:t xml:space="preserve">veintitrés de </w:t>
      </w:r>
      <w:r w:rsidRPr="004A24F8">
        <w:rPr>
          <w:rFonts w:ascii="Palatino Linotype" w:eastAsia="Palatino Linotype" w:hAnsi="Palatino Linotype" w:cs="Palatino Linotype"/>
          <w:b/>
          <w:sz w:val="22"/>
          <w:szCs w:val="22"/>
        </w:rPr>
        <w:lastRenderedPageBreak/>
        <w:t>septiembre de dos mil veinticuatro,</w:t>
      </w:r>
      <w:r w:rsidRPr="004A24F8">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7885BA12"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D40421F" w14:textId="77777777" w:rsidR="002604D6" w:rsidRPr="004A24F8" w:rsidRDefault="00121F63">
      <w:pPr>
        <w:widowControl w:val="0"/>
        <w:spacing w:before="240" w:after="240" w:line="360" w:lineRule="auto"/>
        <w:jc w:val="center"/>
        <w:rPr>
          <w:rFonts w:ascii="Palatino Linotype" w:eastAsia="Palatino Linotype" w:hAnsi="Palatino Linotype" w:cs="Palatino Linotype"/>
          <w:b/>
        </w:rPr>
      </w:pPr>
      <w:r w:rsidRPr="004A24F8">
        <w:rPr>
          <w:rFonts w:ascii="Palatino Linotype" w:eastAsia="Palatino Linotype" w:hAnsi="Palatino Linotype" w:cs="Palatino Linotype"/>
          <w:b/>
        </w:rPr>
        <w:t>II. C O N S I D E R A N D O S</w:t>
      </w:r>
    </w:p>
    <w:p w14:paraId="65356EC2"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Primero. Competencia.</w:t>
      </w:r>
      <w:r w:rsidRPr="004A24F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E6FDF7"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4A24F8">
        <w:rPr>
          <w:rFonts w:ascii="Palatino Linotype" w:eastAsia="Palatino Linotype" w:hAnsi="Palatino Linotype" w:cs="Palatino Linotype"/>
          <w:b/>
          <w:sz w:val="22"/>
          <w:szCs w:val="22"/>
        </w:rPr>
        <w:t>Segundo. Oportunidad y Procedibilidad del Recurso de Revisión</w:t>
      </w:r>
      <w:r w:rsidRPr="004A24F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1A9BF61" w14:textId="77777777" w:rsidR="002604D6" w:rsidRPr="004A24F8" w:rsidRDefault="00121F63">
      <w:pPr>
        <w:spacing w:before="240" w:after="240" w:line="360" w:lineRule="auto"/>
        <w:jc w:val="both"/>
        <w:rPr>
          <w:rFonts w:ascii="Palatino Linotype" w:eastAsia="Palatino Linotype" w:hAnsi="Palatino Linotype" w:cs="Palatino Linotype"/>
          <w:strike/>
          <w:sz w:val="22"/>
          <w:szCs w:val="22"/>
        </w:rPr>
      </w:pPr>
      <w:r w:rsidRPr="004A24F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w:t>
      </w:r>
      <w:r w:rsidRPr="004A24F8">
        <w:rPr>
          <w:rFonts w:ascii="Palatino Linotype" w:eastAsia="Palatino Linotype" w:hAnsi="Palatino Linotype" w:cs="Palatino Linotype"/>
          <w:sz w:val="22"/>
          <w:szCs w:val="22"/>
        </w:rPr>
        <w:lastRenderedPageBreak/>
        <w:t xml:space="preserve">México y Municipios, toda vez que el </w:t>
      </w:r>
      <w:r w:rsidRPr="004A24F8">
        <w:rPr>
          <w:rFonts w:ascii="Palatino Linotype" w:eastAsia="Palatino Linotype" w:hAnsi="Palatino Linotype" w:cs="Palatino Linotype"/>
          <w:b/>
          <w:sz w:val="22"/>
          <w:szCs w:val="22"/>
        </w:rPr>
        <w:t xml:space="preserve">Sujeto Obligado </w:t>
      </w:r>
      <w:r w:rsidRPr="004A24F8">
        <w:rPr>
          <w:rFonts w:ascii="Palatino Linotype" w:eastAsia="Palatino Linotype" w:hAnsi="Palatino Linotype" w:cs="Palatino Linotype"/>
          <w:sz w:val="22"/>
          <w:szCs w:val="22"/>
        </w:rPr>
        <w:t xml:space="preserve">remitió la respuesta a la solicitud de información el </w:t>
      </w:r>
      <w:r w:rsidRPr="004A24F8">
        <w:rPr>
          <w:rFonts w:ascii="Palatino Linotype" w:eastAsia="Palatino Linotype" w:hAnsi="Palatino Linotype" w:cs="Palatino Linotype"/>
          <w:b/>
          <w:sz w:val="22"/>
          <w:szCs w:val="22"/>
        </w:rPr>
        <w:t>catorce de agosto</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 xml:space="preserve">de dos mil veintitrés, </w:t>
      </w:r>
      <w:r w:rsidRPr="004A24F8">
        <w:rPr>
          <w:rFonts w:ascii="Palatino Linotype" w:eastAsia="Palatino Linotype" w:hAnsi="Palatino Linotype" w:cs="Palatino Linotype"/>
          <w:sz w:val="22"/>
          <w:szCs w:val="22"/>
        </w:rPr>
        <w:t xml:space="preserve">mientras que el recurso de revisión interpuesto por </w:t>
      </w:r>
      <w:r w:rsidRPr="004A24F8">
        <w:rPr>
          <w:rFonts w:ascii="Palatino Linotype" w:eastAsia="Palatino Linotype" w:hAnsi="Palatino Linotype" w:cs="Palatino Linotype"/>
          <w:b/>
          <w:sz w:val="22"/>
          <w:szCs w:val="22"/>
        </w:rPr>
        <w:t>la parte Recurrente</w:t>
      </w:r>
      <w:r w:rsidRPr="004A24F8">
        <w:rPr>
          <w:rFonts w:ascii="Palatino Linotype" w:eastAsia="Palatino Linotype" w:hAnsi="Palatino Linotype" w:cs="Palatino Linotype"/>
          <w:sz w:val="22"/>
          <w:szCs w:val="22"/>
        </w:rPr>
        <w:t xml:space="preserve">, se tuvo por presentado el día </w:t>
      </w:r>
      <w:r w:rsidRPr="004A24F8">
        <w:rPr>
          <w:rFonts w:ascii="Palatino Linotype" w:eastAsia="Palatino Linotype" w:hAnsi="Palatino Linotype" w:cs="Palatino Linotype"/>
          <w:b/>
          <w:sz w:val="22"/>
          <w:szCs w:val="22"/>
        </w:rPr>
        <w:t>diecinueve de agosto</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 xml:space="preserve">de dos mil veintitrés, </w:t>
      </w:r>
      <w:r w:rsidRPr="004A24F8">
        <w:rPr>
          <w:rFonts w:ascii="Palatino Linotype" w:eastAsia="Palatino Linotype" w:hAnsi="Palatino Linotype" w:cs="Palatino Linotype"/>
          <w:sz w:val="22"/>
          <w:szCs w:val="22"/>
        </w:rPr>
        <w:t xml:space="preserve">esto es, al </w:t>
      </w:r>
      <w:r w:rsidRPr="004A24F8">
        <w:rPr>
          <w:rFonts w:ascii="Palatino Linotype" w:eastAsia="Palatino Linotype" w:hAnsi="Palatino Linotype" w:cs="Palatino Linotype"/>
          <w:b/>
          <w:sz w:val="22"/>
          <w:szCs w:val="22"/>
        </w:rPr>
        <w:t>tercer día hábil</w:t>
      </w:r>
      <w:r w:rsidRPr="004A24F8">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581FAD20" w14:textId="77777777" w:rsidR="002604D6" w:rsidRPr="004A24F8" w:rsidRDefault="00121F63">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4A24F8">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2418A01"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Finalmente, se advierte que resulta procedente la interposición del recurso, según lo manifestado por </w:t>
      </w:r>
      <w:r w:rsidRPr="004A24F8">
        <w:rPr>
          <w:rFonts w:ascii="Palatino Linotype" w:eastAsia="Palatino Linotype" w:hAnsi="Palatino Linotype" w:cs="Palatino Linotype"/>
          <w:b/>
          <w:sz w:val="22"/>
          <w:szCs w:val="22"/>
        </w:rPr>
        <w:t>la 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375818FD"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r w:rsidRPr="004A24F8">
        <w:rPr>
          <w:rFonts w:ascii="Palatino Linotype" w:eastAsia="Palatino Linotype" w:hAnsi="Palatino Linotype" w:cs="Palatino Linotype"/>
          <w:b/>
          <w:i/>
          <w:sz w:val="22"/>
          <w:szCs w:val="22"/>
        </w:rPr>
        <w:t>Artículo 179.</w:t>
      </w:r>
      <w:r w:rsidRPr="004A24F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9C36678" w14:textId="77777777" w:rsidR="002604D6" w:rsidRPr="004A24F8" w:rsidRDefault="00121F63">
      <w:pPr>
        <w:spacing w:before="120" w:after="120"/>
        <w:ind w:left="567"/>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p>
    <w:p w14:paraId="683EEB26" w14:textId="77777777" w:rsidR="002604D6" w:rsidRPr="004A24F8" w:rsidRDefault="00121F63">
      <w:pPr>
        <w:spacing w:before="120" w:after="120"/>
        <w:ind w:left="567"/>
        <w:rPr>
          <w:rFonts w:ascii="Palatino Linotype" w:eastAsia="Palatino Linotype" w:hAnsi="Palatino Linotype" w:cs="Palatino Linotype"/>
          <w:b/>
          <w:i/>
          <w:sz w:val="22"/>
          <w:szCs w:val="22"/>
          <w:u w:val="single"/>
        </w:rPr>
      </w:pPr>
      <w:r w:rsidRPr="004A24F8">
        <w:rPr>
          <w:rFonts w:ascii="Palatino Linotype" w:eastAsia="Palatino Linotype" w:hAnsi="Palatino Linotype" w:cs="Palatino Linotype"/>
          <w:b/>
          <w:i/>
          <w:sz w:val="22"/>
          <w:szCs w:val="22"/>
          <w:u w:val="single"/>
        </w:rPr>
        <w:t>VI. La entrega de información que no corresponda con lo solicitado;</w:t>
      </w:r>
      <w:r w:rsidRPr="004A24F8">
        <w:rPr>
          <w:rFonts w:ascii="Palatino Linotype" w:eastAsia="Palatino Linotype" w:hAnsi="Palatino Linotype" w:cs="Palatino Linotype"/>
          <w:i/>
          <w:sz w:val="22"/>
          <w:szCs w:val="22"/>
        </w:rPr>
        <w:t>” (Énfasis añadido)</w:t>
      </w:r>
    </w:p>
    <w:p w14:paraId="50CFFDAD"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 xml:space="preserve">Tercero. Materia de la revisión. </w:t>
      </w:r>
      <w:r w:rsidRPr="004A24F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A24F8">
        <w:rPr>
          <w:rFonts w:ascii="Palatino Linotype" w:eastAsia="Palatino Linotype" w:hAnsi="Palatino Linotype" w:cs="Palatino Linotype"/>
          <w:b/>
          <w:sz w:val="22"/>
          <w:szCs w:val="22"/>
        </w:rPr>
        <w:t xml:space="preserve">verificar si la respuesta otorgada por el Sujeto Obligado es adecuada y suficiente para satisfacer el derecho de </w:t>
      </w:r>
      <w:r w:rsidRPr="004A24F8">
        <w:rPr>
          <w:rFonts w:ascii="Palatino Linotype" w:eastAsia="Palatino Linotype" w:hAnsi="Palatino Linotype" w:cs="Palatino Linotype"/>
          <w:b/>
          <w:sz w:val="22"/>
          <w:szCs w:val="22"/>
        </w:rPr>
        <w:lastRenderedPageBreak/>
        <w:t xml:space="preserve">acceso a la información pública </w:t>
      </w:r>
      <w:r w:rsidRPr="004A24F8">
        <w:rPr>
          <w:rFonts w:ascii="Palatino Linotype" w:eastAsia="Palatino Linotype" w:hAnsi="Palatino Linotype" w:cs="Palatino Linotype"/>
          <w:sz w:val="22"/>
          <w:szCs w:val="22"/>
        </w:rPr>
        <w:t xml:space="preserve">de </w:t>
      </w:r>
      <w:r w:rsidRPr="004A24F8">
        <w:rPr>
          <w:rFonts w:ascii="Palatino Linotype" w:eastAsia="Palatino Linotype" w:hAnsi="Palatino Linotype" w:cs="Palatino Linotype"/>
          <w:b/>
          <w:sz w:val="22"/>
          <w:szCs w:val="22"/>
        </w:rPr>
        <w:t>la 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 o en su defecto, en caso de ser procedente, ordenar la entrega de información.</w:t>
      </w:r>
    </w:p>
    <w:p w14:paraId="5643ACC3"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4A24F8">
        <w:rPr>
          <w:rFonts w:ascii="Palatino Linotype" w:eastAsia="Palatino Linotype" w:hAnsi="Palatino Linotype" w:cs="Palatino Linotype"/>
          <w:b/>
          <w:sz w:val="22"/>
          <w:szCs w:val="22"/>
        </w:rPr>
        <w:t xml:space="preserve">Cuarto. Estudio del asunto. </w:t>
      </w:r>
      <w:r w:rsidRPr="004A24F8">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7D47A9A6" w14:textId="77777777" w:rsidR="002604D6" w:rsidRPr="004A24F8" w:rsidRDefault="00121F63">
      <w:pPr>
        <w:spacing w:before="120" w:after="120"/>
        <w:ind w:left="851"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r w:rsidRPr="004A24F8">
        <w:rPr>
          <w:rFonts w:ascii="Palatino Linotype" w:eastAsia="Palatino Linotype" w:hAnsi="Palatino Linotype" w:cs="Palatino Linotype"/>
          <w:b/>
          <w:i/>
          <w:sz w:val="22"/>
          <w:szCs w:val="22"/>
        </w:rPr>
        <w:t>Artículo 4</w:t>
      </w:r>
      <w:r w:rsidRPr="004A24F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1444C53" w14:textId="77777777" w:rsidR="002604D6" w:rsidRPr="004A24F8" w:rsidRDefault="00121F63">
      <w:pPr>
        <w:spacing w:before="120" w:after="120"/>
        <w:ind w:left="851"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A24F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30F247" w14:textId="77777777" w:rsidR="002604D6" w:rsidRPr="004A24F8" w:rsidRDefault="00121F63">
      <w:pPr>
        <w:spacing w:before="120" w:after="120"/>
        <w:ind w:left="851"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A24F8">
        <w:rPr>
          <w:rFonts w:ascii="Palatino Linotype" w:eastAsia="Palatino Linotype" w:hAnsi="Palatino Linotype" w:cs="Palatino Linotype"/>
          <w:i/>
          <w:sz w:val="22"/>
          <w:szCs w:val="22"/>
        </w:rPr>
        <w:t>.”(Énfasis añadido)</w:t>
      </w:r>
    </w:p>
    <w:p w14:paraId="14CB7DBD"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w:t>
      </w:r>
      <w:r w:rsidRPr="004A24F8">
        <w:rPr>
          <w:rFonts w:ascii="Palatino Linotype" w:eastAsia="Palatino Linotype" w:hAnsi="Palatino Linotype" w:cs="Palatino Linotype"/>
          <w:sz w:val="22"/>
          <w:szCs w:val="22"/>
        </w:rPr>
        <w:lastRenderedPageBreak/>
        <w:t>un procesamiento de la misma, ni presentarla conforme al interés del solicitante; como así lo establece el artículo 12 de la Ley de Transparencia y Acceso a la Información Pública del Estado de México y Municipios, que a la letra dice:</w:t>
      </w:r>
    </w:p>
    <w:p w14:paraId="5DA37D85" w14:textId="77777777" w:rsidR="002604D6" w:rsidRPr="004A24F8" w:rsidRDefault="00121F63">
      <w:pPr>
        <w:spacing w:before="120" w:after="120"/>
        <w:ind w:left="851"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“Artículo 12.-</w:t>
      </w:r>
      <w:r w:rsidRPr="004A24F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4134A8E" w14:textId="77777777" w:rsidR="002604D6" w:rsidRPr="004A24F8" w:rsidRDefault="00121F63">
      <w:pPr>
        <w:spacing w:before="120" w:after="120"/>
        <w:ind w:left="851"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A24F8">
        <w:rPr>
          <w:rFonts w:ascii="Palatino Linotype" w:eastAsia="Palatino Linotype" w:hAnsi="Palatino Linotype" w:cs="Palatino Linotype"/>
          <w:i/>
          <w:sz w:val="22"/>
          <w:szCs w:val="22"/>
        </w:rPr>
        <w:t xml:space="preserve">. </w:t>
      </w:r>
      <w:r w:rsidRPr="004A24F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20115C" w14:textId="77777777" w:rsidR="002604D6" w:rsidRPr="004A24F8" w:rsidRDefault="00121F63">
      <w:pPr>
        <w:spacing w:before="240" w:after="240" w:line="360" w:lineRule="auto"/>
        <w:ind w:right="-93"/>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1046E638" w14:textId="77777777" w:rsidR="002604D6" w:rsidRPr="004A24F8" w:rsidRDefault="00121F63">
      <w:pPr>
        <w:spacing w:before="240" w:after="240" w:line="360" w:lineRule="auto"/>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sz w:val="22"/>
          <w:szCs w:val="22"/>
        </w:rPr>
        <w:t>Sirve de apoyo a lo anterior, el criterio 03/17, emitido por el Instituto Nacional de Transparencia, Acceso a la Información y Protección de Datos Personales, que por rubro y texto, dispone lo siguiente:</w:t>
      </w:r>
      <w:r w:rsidRPr="004A24F8">
        <w:rPr>
          <w:rFonts w:ascii="Palatino Linotype" w:eastAsia="Palatino Linotype" w:hAnsi="Palatino Linotype" w:cs="Palatino Linotype"/>
          <w:b/>
          <w:sz w:val="22"/>
          <w:szCs w:val="22"/>
        </w:rPr>
        <w:t xml:space="preserve"> </w:t>
      </w:r>
    </w:p>
    <w:p w14:paraId="0AFAA61F"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r w:rsidRPr="004A24F8">
        <w:rPr>
          <w:rFonts w:ascii="Palatino Linotype" w:eastAsia="Palatino Linotype" w:hAnsi="Palatino Linotype" w:cs="Palatino Linotype"/>
          <w:b/>
          <w:i/>
          <w:sz w:val="22"/>
          <w:szCs w:val="22"/>
        </w:rPr>
        <w:t>No existe obligación de elaborar documentos ad hoc para atender las solicitudes de acceso a la información.</w:t>
      </w:r>
      <w:r w:rsidRPr="004A24F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4A24F8">
        <w:rPr>
          <w:rFonts w:ascii="Palatino Linotype" w:eastAsia="Palatino Linotype" w:hAnsi="Palatino Linotype" w:cs="Palatino Linotype"/>
          <w:i/>
          <w:sz w:val="22"/>
          <w:szCs w:val="22"/>
        </w:rPr>
        <w:lastRenderedPageBreak/>
        <w:t>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CC3BA71" w14:textId="77777777" w:rsidR="002604D6" w:rsidRPr="004A24F8" w:rsidRDefault="00121F63">
      <w:pPr>
        <w:spacing w:before="120" w:after="12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D47053" w14:textId="77777777" w:rsidR="002604D6" w:rsidRPr="004A24F8" w:rsidRDefault="00121F63">
      <w:pPr>
        <w:spacing w:before="120" w:after="12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FE5C983"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r w:rsidRPr="004A24F8">
        <w:rPr>
          <w:rFonts w:ascii="Palatino Linotype" w:eastAsia="Palatino Linotype" w:hAnsi="Palatino Linotype" w:cs="Palatino Linotype"/>
          <w:b/>
          <w:i/>
          <w:sz w:val="22"/>
          <w:szCs w:val="22"/>
        </w:rPr>
        <w:t xml:space="preserve">Artículo 3. </w:t>
      </w:r>
      <w:r w:rsidRPr="004A24F8">
        <w:rPr>
          <w:rFonts w:ascii="Palatino Linotype" w:eastAsia="Palatino Linotype" w:hAnsi="Palatino Linotype" w:cs="Palatino Linotype"/>
          <w:i/>
          <w:sz w:val="22"/>
          <w:szCs w:val="22"/>
        </w:rPr>
        <w:t>Para los efectos de la presente Ley se entenderá por:</w:t>
      </w:r>
    </w:p>
    <w:p w14:paraId="5D708A9E"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p>
    <w:p w14:paraId="4182BC1F"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XI. Documento:</w:t>
      </w:r>
      <w:r w:rsidRPr="004A24F8">
        <w:rPr>
          <w:rFonts w:ascii="Palatino Linotype" w:eastAsia="Palatino Linotype" w:hAnsi="Palatino Linotype" w:cs="Palatino Linotype"/>
          <w:i/>
          <w:sz w:val="22"/>
          <w:szCs w:val="22"/>
        </w:rPr>
        <w:t xml:space="preserve"> Los expedientes, reportes, estudios, actas</w:t>
      </w:r>
      <w:r w:rsidRPr="004A24F8">
        <w:rPr>
          <w:rFonts w:ascii="Palatino Linotype" w:eastAsia="Palatino Linotype" w:hAnsi="Palatino Linotype" w:cs="Palatino Linotype"/>
          <w:b/>
          <w:i/>
          <w:sz w:val="22"/>
          <w:szCs w:val="22"/>
        </w:rPr>
        <w:t>,</w:t>
      </w:r>
      <w:r w:rsidRPr="004A24F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F77BA3E"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w:t>
      </w:r>
      <w:r w:rsidRPr="004A24F8">
        <w:rPr>
          <w:rFonts w:ascii="Palatino Linotype" w:eastAsia="Palatino Linotype" w:hAnsi="Palatino Linotype" w:cs="Palatino Linotype"/>
          <w:sz w:val="22"/>
          <w:szCs w:val="22"/>
        </w:rPr>
        <w:lastRenderedPageBreak/>
        <w:t>del Estado Libre y Soberano de México “Gaceta del Gobierno”, el diecinueve de octubre de dos mil once, cuyo rubro y texto refieren lo siguiente:</w:t>
      </w:r>
    </w:p>
    <w:p w14:paraId="3F30B337"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sz w:val="22"/>
          <w:szCs w:val="22"/>
        </w:rPr>
        <w:t>“</w:t>
      </w:r>
      <w:r w:rsidRPr="004A24F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A24F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A5824E3"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28C057D"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40BB4AE7"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6C354620" w14:textId="77777777" w:rsidR="002604D6" w:rsidRPr="004A24F8" w:rsidRDefault="00121F63">
      <w:pPr>
        <w:spacing w:before="120" w:after="120"/>
        <w:ind w:left="567" w:right="902"/>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52D01B08" w14:textId="77777777" w:rsidR="002604D6" w:rsidRPr="004A24F8" w:rsidRDefault="00121F63">
      <w:pPr>
        <w:spacing w:before="240" w:after="240" w:line="360" w:lineRule="auto"/>
        <w:ind w:right="51"/>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4A9E0D8"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4237743"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w:t>
      </w:r>
      <w:r w:rsidRPr="004A24F8">
        <w:rPr>
          <w:rFonts w:ascii="Palatino Linotype" w:eastAsia="Palatino Linotype" w:hAnsi="Palatino Linotype" w:cs="Palatino Linotype"/>
          <w:b/>
          <w:sz w:val="22"/>
          <w:szCs w:val="22"/>
        </w:rPr>
        <w:t>la 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 xml:space="preserve"> requirió al </w:t>
      </w:r>
      <w:r w:rsidRPr="004A24F8">
        <w:rPr>
          <w:rFonts w:ascii="Palatino Linotype" w:eastAsia="Palatino Linotype" w:hAnsi="Palatino Linotype" w:cs="Palatino Linotype"/>
          <w:b/>
          <w:sz w:val="22"/>
          <w:szCs w:val="22"/>
        </w:rPr>
        <w:t xml:space="preserve">Sujeto Obligado </w:t>
      </w:r>
      <w:r w:rsidRPr="004A24F8">
        <w:rPr>
          <w:rFonts w:ascii="Palatino Linotype" w:eastAsia="Palatino Linotype" w:hAnsi="Palatino Linotype" w:cs="Palatino Linotype"/>
          <w:sz w:val="22"/>
          <w:szCs w:val="22"/>
        </w:rPr>
        <w:t>le proporcione, información consistente en lo siguiente:</w:t>
      </w:r>
    </w:p>
    <w:p w14:paraId="6FA33967" w14:textId="77777777" w:rsidR="002604D6" w:rsidRPr="004A24F8" w:rsidRDefault="00121F63">
      <w:pPr>
        <w:numPr>
          <w:ilvl w:val="0"/>
          <w:numId w:val="1"/>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22"/>
          <w:szCs w:val="22"/>
        </w:rPr>
        <w:t xml:space="preserve">Copia de </w:t>
      </w:r>
      <w:r w:rsidRPr="004A24F8">
        <w:rPr>
          <w:rFonts w:ascii="Palatino Linotype" w:eastAsia="Palatino Linotype" w:hAnsi="Palatino Linotype" w:cs="Palatino Linotype"/>
          <w:b/>
          <w:sz w:val="22"/>
          <w:szCs w:val="22"/>
          <w:u w:val="single"/>
        </w:rPr>
        <w:t xml:space="preserve">los libros o archivos de los minutarios </w:t>
      </w:r>
      <w:r w:rsidRPr="004A24F8">
        <w:rPr>
          <w:rFonts w:ascii="Palatino Linotype" w:eastAsia="Palatino Linotype" w:hAnsi="Palatino Linotype" w:cs="Palatino Linotype"/>
          <w:b/>
          <w:sz w:val="22"/>
          <w:szCs w:val="22"/>
        </w:rPr>
        <w:t xml:space="preserve">de los oficios y de toda la documentación que se generó del año 2023 y 2024 de la Vocalía, Direcciones Generales, Subdirecciones y Departamentos y Unidad de Staff y del Órgano Interno de Control, de acuerdo a su organigrama público. </w:t>
      </w:r>
    </w:p>
    <w:p w14:paraId="63DE0C1E" w14:textId="77777777" w:rsidR="002604D6" w:rsidRPr="004A24F8" w:rsidRDefault="00121F63">
      <w:pPr>
        <w:spacing w:before="240" w:after="240" w:line="360" w:lineRule="auto"/>
        <w:ind w:right="49"/>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En respuesta,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se pronunció por medio de distintas áreas, refiriendo en términos generales que no cuenta con los minutarios requeridos por la parte Recurrente, asimismo, el Director General de Infraestructura Hidráulica y Servidor Público Habilitado, quien señala que se adjunta en formato electrónico las relaciones, archivos y minutarios de </w:t>
      </w:r>
      <w:r w:rsidRPr="004A24F8">
        <w:rPr>
          <w:rFonts w:ascii="Palatino Linotype" w:eastAsia="Palatino Linotype" w:hAnsi="Palatino Linotype" w:cs="Palatino Linotype"/>
          <w:sz w:val="22"/>
          <w:szCs w:val="22"/>
        </w:rPr>
        <w:lastRenderedPageBreak/>
        <w:t>la documentación generada durante el año 2023 y de enero a julio de 2024, de esta Dirección General y sus áreas de acuerdo a su organigrama público.</w:t>
      </w:r>
    </w:p>
    <w:p w14:paraId="5883C3B9" w14:textId="77777777" w:rsidR="002604D6" w:rsidRPr="004A24F8" w:rsidRDefault="00121F63">
      <w:pPr>
        <w:spacing w:before="240" w:after="240" w:line="360" w:lineRule="auto"/>
        <w:ind w:right="49"/>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Conocida la respuesta por la persona solicitante, al no estar conforme con los términos de la misma, interpuso el recurso de revisión que nos ocupa, mediante el cual se inconformó al considerar que no se le hizo entrega de la información requerida. </w:t>
      </w:r>
    </w:p>
    <w:p w14:paraId="51F86E77" w14:textId="77777777" w:rsidR="002604D6" w:rsidRPr="004A24F8" w:rsidRDefault="00121F63">
      <w:pPr>
        <w:spacing w:before="240" w:after="240" w:line="360" w:lineRule="auto"/>
        <w:ind w:right="49"/>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Admitido el presente recurso de revisión, en términos del artículo 185 fracción II</w:t>
      </w:r>
      <w:r w:rsidRPr="004A24F8">
        <w:rPr>
          <w:rFonts w:ascii="Palatino Linotype" w:eastAsia="Palatino Linotype" w:hAnsi="Palatino Linotype" w:cs="Palatino Linotype"/>
          <w:sz w:val="22"/>
          <w:szCs w:val="22"/>
          <w:vertAlign w:val="superscript"/>
        </w:rPr>
        <w:footnoteReference w:id="1"/>
      </w:r>
      <w:r w:rsidRPr="004A24F8">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las partes fueron omisas en presentar sus informes justificados o manifestaciones que a su derecho convinieran.</w:t>
      </w:r>
    </w:p>
    <w:p w14:paraId="42B2B867" w14:textId="77777777" w:rsidR="002604D6" w:rsidRPr="004A24F8" w:rsidRDefault="00121F63">
      <w:pPr>
        <w:spacing w:line="360" w:lineRule="auto"/>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sz w:val="22"/>
          <w:szCs w:val="22"/>
        </w:rPr>
        <w:t xml:space="preserve">Acotado lo anterior, resulta necesario definir a nuestro requerimiento de información, para ello debemos observar que conforme el Diccionario de la Real Academia Española el término </w:t>
      </w:r>
      <w:r w:rsidRPr="004A24F8">
        <w:rPr>
          <w:rFonts w:ascii="Palatino Linotype" w:eastAsia="Palatino Linotype" w:hAnsi="Palatino Linotype" w:cs="Palatino Linotype"/>
          <w:b/>
          <w:sz w:val="22"/>
          <w:szCs w:val="22"/>
          <w:u w:val="single"/>
        </w:rPr>
        <w:t>minutario</w:t>
      </w:r>
      <w:r w:rsidRPr="004A24F8">
        <w:rPr>
          <w:rFonts w:ascii="Palatino Linotype" w:eastAsia="Palatino Linotype" w:hAnsi="Palatino Linotype" w:cs="Palatino Linotype"/>
          <w:sz w:val="22"/>
          <w:szCs w:val="22"/>
        </w:rPr>
        <w:t xml:space="preserve"> consiste en “…</w:t>
      </w:r>
      <w:r w:rsidRPr="004A24F8">
        <w:rPr>
          <w:rFonts w:ascii="Palatino Linotype" w:eastAsia="Palatino Linotype" w:hAnsi="Palatino Linotype" w:cs="Palatino Linotype"/>
          <w:i/>
          <w:sz w:val="22"/>
          <w:szCs w:val="22"/>
        </w:rPr>
        <w:t>el cuaderno en que el escribano o el notario ponía los borradores o minutas de las escrituras o instrumentos públicos que se otorgaban ante él</w:t>
      </w:r>
      <w:r w:rsidRPr="004A24F8">
        <w:rPr>
          <w:rFonts w:ascii="Palatino Linotype" w:eastAsia="Palatino Linotype" w:hAnsi="Palatino Linotype" w:cs="Palatino Linotype"/>
          <w:sz w:val="22"/>
          <w:szCs w:val="22"/>
        </w:rPr>
        <w:t xml:space="preserve">.”; lo que nos lleva a concluir que un </w:t>
      </w:r>
      <w:r w:rsidRPr="004A24F8">
        <w:rPr>
          <w:rFonts w:ascii="Palatino Linotype" w:eastAsia="Palatino Linotype" w:hAnsi="Palatino Linotype" w:cs="Palatino Linotype"/>
          <w:b/>
          <w:sz w:val="22"/>
          <w:szCs w:val="22"/>
        </w:rPr>
        <w:t>minutario es un control interno de oficios u documentos para llevar el registro de los folios consecutivos.</w:t>
      </w:r>
    </w:p>
    <w:p w14:paraId="5D5913D8" w14:textId="77777777" w:rsidR="002604D6" w:rsidRPr="004A24F8" w:rsidRDefault="002604D6">
      <w:pPr>
        <w:spacing w:line="360" w:lineRule="auto"/>
        <w:jc w:val="both"/>
        <w:rPr>
          <w:rFonts w:ascii="Palatino Linotype" w:eastAsia="Palatino Linotype" w:hAnsi="Palatino Linotype" w:cs="Palatino Linotype"/>
          <w:b/>
          <w:sz w:val="22"/>
          <w:szCs w:val="22"/>
        </w:rPr>
      </w:pPr>
    </w:p>
    <w:p w14:paraId="3D5B29CC"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Es de precisar que el Manual General de Organización de la Comisión del Agua del Estado de México contempla dentro de las funciones de la Unidad de Información, Planeación, Programación y Evaluación, la relativa a </w:t>
      </w:r>
      <w:r w:rsidRPr="004A24F8">
        <w:rPr>
          <w:rFonts w:ascii="Palatino Linotype" w:eastAsia="Palatino Linotype" w:hAnsi="Palatino Linotype" w:cs="Palatino Linotype"/>
          <w:b/>
          <w:sz w:val="22"/>
          <w:szCs w:val="22"/>
          <w:u w:val="single"/>
        </w:rPr>
        <w:t xml:space="preserve">establecer las normas, políticas y procedimientos que se utilizan en el proceso de emisión, recepción, control, coordinación, distribución y </w:t>
      </w:r>
      <w:r w:rsidRPr="004A24F8">
        <w:rPr>
          <w:rFonts w:ascii="Palatino Linotype" w:eastAsia="Palatino Linotype" w:hAnsi="Palatino Linotype" w:cs="Palatino Linotype"/>
          <w:b/>
          <w:sz w:val="22"/>
          <w:szCs w:val="22"/>
          <w:u w:val="single"/>
        </w:rPr>
        <w:lastRenderedPageBreak/>
        <w:t xml:space="preserve">supervisión de </w:t>
      </w:r>
      <w:r w:rsidRPr="004A24F8">
        <w:rPr>
          <w:rFonts w:ascii="Palatino Linotype" w:eastAsia="Palatino Linotype" w:hAnsi="Palatino Linotype" w:cs="Palatino Linotype"/>
          <w:sz w:val="22"/>
          <w:szCs w:val="22"/>
        </w:rPr>
        <w:t xml:space="preserve">las peticiones ciudadanas y </w:t>
      </w:r>
      <w:r w:rsidRPr="004A24F8">
        <w:rPr>
          <w:rFonts w:ascii="Palatino Linotype" w:eastAsia="Palatino Linotype" w:hAnsi="Palatino Linotype" w:cs="Palatino Linotype"/>
          <w:b/>
          <w:sz w:val="22"/>
          <w:szCs w:val="22"/>
          <w:u w:val="single"/>
        </w:rPr>
        <w:t>la correspondencia oficial que genere o capte la Comisión</w:t>
      </w:r>
      <w:r w:rsidRPr="004A24F8">
        <w:rPr>
          <w:rFonts w:ascii="Palatino Linotype" w:eastAsia="Palatino Linotype" w:hAnsi="Palatino Linotype" w:cs="Palatino Linotype"/>
          <w:sz w:val="22"/>
          <w:szCs w:val="22"/>
        </w:rPr>
        <w:t>, a fin de hacer más ágil el flujo de información para la toma de decisiones.</w:t>
      </w:r>
    </w:p>
    <w:p w14:paraId="6D5F5943"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7DF05D97"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A mayor abundamiento de lo anterior, este Organismo localizó la Guía de Comunicación Formal para la Comisión del Agua del Estado de México, la cual dispone lo siguiente: </w:t>
      </w:r>
    </w:p>
    <w:p w14:paraId="09436C9C"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drawing>
          <wp:inline distT="0" distB="0" distL="0" distR="0" wp14:anchorId="05AE7B12" wp14:editId="11B4279A">
            <wp:extent cx="5612130" cy="859790"/>
            <wp:effectExtent l="0" t="0" r="0" b="0"/>
            <wp:docPr id="1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12130" cy="859790"/>
                    </a:xfrm>
                    <a:prstGeom prst="rect">
                      <a:avLst/>
                    </a:prstGeom>
                    <a:ln/>
                  </pic:spPr>
                </pic:pic>
              </a:graphicData>
            </a:graphic>
          </wp:inline>
        </w:drawing>
      </w:r>
    </w:p>
    <w:p w14:paraId="7AAA4ECC"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drawing>
          <wp:inline distT="0" distB="0" distL="0" distR="0" wp14:anchorId="475FEC0D" wp14:editId="45EF95E6">
            <wp:extent cx="5612130" cy="2315210"/>
            <wp:effectExtent l="0" t="0" r="0" b="0"/>
            <wp:docPr id="1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612130" cy="2315210"/>
                    </a:xfrm>
                    <a:prstGeom prst="rect">
                      <a:avLst/>
                    </a:prstGeom>
                    <a:ln/>
                  </pic:spPr>
                </pic:pic>
              </a:graphicData>
            </a:graphic>
          </wp:inline>
        </w:drawing>
      </w:r>
    </w:p>
    <w:p w14:paraId="729DD5CD"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lastRenderedPageBreak/>
        <w:drawing>
          <wp:inline distT="0" distB="0" distL="0" distR="0" wp14:anchorId="135676F8" wp14:editId="771EB679">
            <wp:extent cx="5612130" cy="4512310"/>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12130" cy="4512310"/>
                    </a:xfrm>
                    <a:prstGeom prst="rect">
                      <a:avLst/>
                    </a:prstGeom>
                    <a:ln/>
                  </pic:spPr>
                </pic:pic>
              </a:graphicData>
            </a:graphic>
          </wp:inline>
        </w:drawing>
      </w:r>
    </w:p>
    <w:p w14:paraId="2C2016AE"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drawing>
          <wp:inline distT="0" distB="0" distL="0" distR="0" wp14:anchorId="704B2A81" wp14:editId="0EAA7C18">
            <wp:extent cx="5612130" cy="887095"/>
            <wp:effectExtent l="0" t="0" r="0" b="0"/>
            <wp:docPr id="1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612130" cy="887095"/>
                    </a:xfrm>
                    <a:prstGeom prst="rect">
                      <a:avLst/>
                    </a:prstGeom>
                    <a:ln/>
                  </pic:spPr>
                </pic:pic>
              </a:graphicData>
            </a:graphic>
          </wp:inline>
        </w:drawing>
      </w:r>
    </w:p>
    <w:p w14:paraId="6612D8C4"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lastRenderedPageBreak/>
        <w:drawing>
          <wp:inline distT="0" distB="0" distL="0" distR="0" wp14:anchorId="3D67677B" wp14:editId="42F9AD74">
            <wp:extent cx="5612130" cy="6281420"/>
            <wp:effectExtent l="0" t="0" r="0" b="0"/>
            <wp:docPr id="1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612130" cy="6281420"/>
                    </a:xfrm>
                    <a:prstGeom prst="rect">
                      <a:avLst/>
                    </a:prstGeom>
                    <a:ln/>
                  </pic:spPr>
                </pic:pic>
              </a:graphicData>
            </a:graphic>
          </wp:inline>
        </w:drawing>
      </w:r>
      <w:r w:rsidRPr="004A24F8">
        <w:rPr>
          <w:noProof/>
        </w:rPr>
        <mc:AlternateContent>
          <mc:Choice Requires="wps">
            <w:drawing>
              <wp:anchor distT="0" distB="0" distL="114300" distR="114300" simplePos="0" relativeHeight="251658240" behindDoc="0" locked="0" layoutInCell="1" hidden="0" allowOverlap="1" wp14:anchorId="7F8017D3" wp14:editId="701EEDF0">
                <wp:simplePos x="0" y="0"/>
                <wp:positionH relativeFrom="column">
                  <wp:posOffset>25401</wp:posOffset>
                </wp:positionH>
                <wp:positionV relativeFrom="paragraph">
                  <wp:posOffset>1714500</wp:posOffset>
                </wp:positionV>
                <wp:extent cx="5602605" cy="4010025"/>
                <wp:effectExtent l="0" t="0" r="0" b="0"/>
                <wp:wrapNone/>
                <wp:docPr id="101" name="Rectángulo 101"/>
                <wp:cNvGraphicFramePr/>
                <a:graphic xmlns:a="http://schemas.openxmlformats.org/drawingml/2006/main">
                  <a:graphicData uri="http://schemas.microsoft.com/office/word/2010/wordprocessingShape">
                    <wps:wsp>
                      <wps:cNvSpPr/>
                      <wps:spPr>
                        <a:xfrm>
                          <a:off x="2558985" y="1789275"/>
                          <a:ext cx="5574030" cy="3981450"/>
                        </a:xfrm>
                        <a:prstGeom prst="rect">
                          <a:avLst/>
                        </a:prstGeom>
                        <a:noFill/>
                        <a:ln w="28575" cap="flat" cmpd="sng">
                          <a:solidFill>
                            <a:srgbClr val="FF0000"/>
                          </a:solidFill>
                          <a:prstDash val="solid"/>
                          <a:round/>
                          <a:headEnd type="none" w="sm" len="sm"/>
                          <a:tailEnd type="none" w="sm" len="sm"/>
                        </a:ln>
                      </wps:spPr>
                      <wps:txbx>
                        <w:txbxContent>
                          <w:p w14:paraId="0D4024F2" w14:textId="77777777" w:rsidR="006D5EFB" w:rsidRDefault="006D5EFB">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oel="http://schemas.microsoft.com/office/2019/extlst">
            <w:pict>
              <v:rect id="_x0000_s1026" style="position:absolute;left:0;text-align:left;margin-left:2pt;margin-top:135pt;width:441.15pt;height:315.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" filled="f" strokecolor="red" strokeweight="2.25pt">
                <v:stroke startarrowwidth="narrow" startarrowlength="short" endarrowwidth="narrow" endarrowlength="short" joinstyle="round"/>
                <v:textbox inset="2.53958mm,2.53958mm,2.53958mm,2.53958mm">
                  <w:txbxContent>
                    <w:p w:rsidR="006D5EFB" w:rsidRDefault="006D5EFB">
                      <w:pPr>
                        <w:textDirection w:val="btLr"/>
                      </w:pPr>
                    </w:p>
                  </w:txbxContent>
                </v:textbox>
              </v:rect>
            </w:pict>
          </mc:Fallback>
        </mc:AlternateContent>
      </w:r>
    </w:p>
    <w:p w14:paraId="7C12C2F2" w14:textId="77777777" w:rsidR="002604D6" w:rsidRPr="004A24F8" w:rsidRDefault="00121F63">
      <w:pPr>
        <w:spacing w:line="360" w:lineRule="auto"/>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noProof/>
          <w:sz w:val="22"/>
          <w:szCs w:val="22"/>
        </w:rPr>
        <w:lastRenderedPageBreak/>
        <w:drawing>
          <wp:inline distT="0" distB="0" distL="0" distR="0" wp14:anchorId="6D9B0CCA" wp14:editId="7046A448">
            <wp:extent cx="5612130" cy="4114165"/>
            <wp:effectExtent l="0" t="0" r="0" b="0"/>
            <wp:docPr id="1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612130" cy="4114165"/>
                    </a:xfrm>
                    <a:prstGeom prst="rect">
                      <a:avLst/>
                    </a:prstGeom>
                    <a:ln/>
                  </pic:spPr>
                </pic:pic>
              </a:graphicData>
            </a:graphic>
          </wp:inline>
        </w:drawing>
      </w:r>
      <w:r w:rsidRPr="004A24F8">
        <w:rPr>
          <w:noProof/>
        </w:rPr>
        <mc:AlternateContent>
          <mc:Choice Requires="wps">
            <w:drawing>
              <wp:anchor distT="0" distB="0" distL="114300" distR="114300" simplePos="0" relativeHeight="251659264" behindDoc="0" locked="0" layoutInCell="1" hidden="0" allowOverlap="1" wp14:anchorId="61194495" wp14:editId="2168EDA9">
                <wp:simplePos x="0" y="0"/>
                <wp:positionH relativeFrom="column">
                  <wp:posOffset>12701</wp:posOffset>
                </wp:positionH>
                <wp:positionV relativeFrom="paragraph">
                  <wp:posOffset>3352800</wp:posOffset>
                </wp:positionV>
                <wp:extent cx="5705475" cy="742950"/>
                <wp:effectExtent l="0" t="0" r="0" b="0"/>
                <wp:wrapNone/>
                <wp:docPr id="102" name="Rectángulo 102"/>
                <wp:cNvGraphicFramePr/>
                <a:graphic xmlns:a="http://schemas.openxmlformats.org/drawingml/2006/main">
                  <a:graphicData uri="http://schemas.microsoft.com/office/word/2010/wordprocessingShape">
                    <wps:wsp>
                      <wps:cNvSpPr/>
                      <wps:spPr>
                        <a:xfrm>
                          <a:off x="2507550" y="3422813"/>
                          <a:ext cx="5676900" cy="714375"/>
                        </a:xfrm>
                        <a:prstGeom prst="rect">
                          <a:avLst/>
                        </a:prstGeom>
                        <a:noFill/>
                        <a:ln w="28575" cap="flat" cmpd="sng">
                          <a:solidFill>
                            <a:srgbClr val="FF0000"/>
                          </a:solidFill>
                          <a:prstDash val="solid"/>
                          <a:round/>
                          <a:headEnd type="none" w="sm" len="sm"/>
                          <a:tailEnd type="none" w="sm" len="sm"/>
                        </a:ln>
                      </wps:spPr>
                      <wps:txbx>
                        <w:txbxContent>
                          <w:p w14:paraId="5FD5DD9C" w14:textId="77777777" w:rsidR="006D5EFB" w:rsidRDefault="006D5EFB">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xmlns:oel="http://schemas.microsoft.com/office/2019/extlst">
            <w:pict>
              <v:rect id="_x0000_s1027" style="position:absolute;left:0;text-align:left;margin-left:1pt;margin-top:264pt;width:449.25pt;height: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" filled="f" strokecolor="red" strokeweight="2.25pt">
                <v:stroke startarrowwidth="narrow" startarrowlength="short" endarrowwidth="narrow" endarrowlength="short" joinstyle="round"/>
                <v:textbox inset="2.53958mm,2.53958mm,2.53958mm,2.53958mm">
                  <w:txbxContent>
                    <w:p w:rsidR="006D5EFB" w:rsidRDefault="006D5EFB">
                      <w:pPr>
                        <w:textDirection w:val="btLr"/>
                      </w:pPr>
                    </w:p>
                  </w:txbxContent>
                </v:textbox>
              </v:rect>
            </w:pict>
          </mc:Fallback>
        </mc:AlternateContent>
      </w:r>
    </w:p>
    <w:p w14:paraId="76CDC5C2" w14:textId="77777777" w:rsidR="002604D6" w:rsidRPr="004A24F8" w:rsidRDefault="002604D6">
      <w:pPr>
        <w:spacing w:line="360" w:lineRule="auto"/>
        <w:jc w:val="both"/>
        <w:rPr>
          <w:rFonts w:ascii="Palatino Linotype" w:eastAsia="Palatino Linotype" w:hAnsi="Palatino Linotype" w:cs="Palatino Linotype"/>
          <w:b/>
          <w:sz w:val="22"/>
          <w:szCs w:val="22"/>
        </w:rPr>
      </w:pPr>
    </w:p>
    <w:p w14:paraId="4F288974" w14:textId="77777777" w:rsidR="002604D6" w:rsidRPr="004A24F8" w:rsidRDefault="00121F63">
      <w:pPr>
        <w:spacing w:line="360" w:lineRule="auto"/>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noProof/>
          <w:sz w:val="22"/>
          <w:szCs w:val="22"/>
        </w:rPr>
        <w:lastRenderedPageBreak/>
        <w:drawing>
          <wp:inline distT="0" distB="0" distL="0" distR="0" wp14:anchorId="51722497" wp14:editId="22F2978A">
            <wp:extent cx="5612130" cy="3676015"/>
            <wp:effectExtent l="0" t="0" r="0" b="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2130" cy="3676015"/>
                    </a:xfrm>
                    <a:prstGeom prst="rect">
                      <a:avLst/>
                    </a:prstGeom>
                    <a:ln/>
                  </pic:spPr>
                </pic:pic>
              </a:graphicData>
            </a:graphic>
          </wp:inline>
        </w:drawing>
      </w:r>
    </w:p>
    <w:p w14:paraId="612E0938" w14:textId="77777777" w:rsidR="002604D6" w:rsidRPr="004A24F8" w:rsidRDefault="00121F63">
      <w:pPr>
        <w:spacing w:line="360" w:lineRule="auto"/>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noProof/>
          <w:sz w:val="22"/>
          <w:szCs w:val="22"/>
        </w:rPr>
        <w:lastRenderedPageBreak/>
        <w:drawing>
          <wp:inline distT="0" distB="0" distL="0" distR="0" wp14:anchorId="4FAC4513" wp14:editId="1EE2CFBB">
            <wp:extent cx="5612130" cy="4407535"/>
            <wp:effectExtent l="0" t="0" r="0" b="0"/>
            <wp:docPr id="1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612130" cy="4407535"/>
                    </a:xfrm>
                    <a:prstGeom prst="rect">
                      <a:avLst/>
                    </a:prstGeom>
                    <a:ln/>
                  </pic:spPr>
                </pic:pic>
              </a:graphicData>
            </a:graphic>
          </wp:inline>
        </w:drawing>
      </w:r>
    </w:p>
    <w:p w14:paraId="3E24A0A1" w14:textId="77777777" w:rsidR="002604D6" w:rsidRPr="004A24F8" w:rsidRDefault="002604D6">
      <w:pPr>
        <w:spacing w:line="360" w:lineRule="auto"/>
        <w:jc w:val="both"/>
        <w:rPr>
          <w:rFonts w:ascii="Palatino Linotype" w:eastAsia="Palatino Linotype" w:hAnsi="Palatino Linotype" w:cs="Palatino Linotype"/>
          <w:b/>
          <w:sz w:val="22"/>
          <w:szCs w:val="22"/>
        </w:rPr>
      </w:pPr>
    </w:p>
    <w:p w14:paraId="1E3320EC"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De tal suerte que como se desprende de las referencias previamente insertadas, los oficios como comunicación formal deben contar con un código estructural en el que se asienta un número consecutivo, lo cual permitirá contar con un control de generación de los oficios.</w:t>
      </w:r>
    </w:p>
    <w:p w14:paraId="2A82CECF"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7744A334"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Teniendo estas nociones en cuenta, resulta necesario analizar a detalle cada una de las manifestaciones para efecto de determinar si se satisfacen los requerimientos de información. </w:t>
      </w:r>
    </w:p>
    <w:p w14:paraId="1F35F116"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736EA1BF"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lastRenderedPageBreak/>
        <w:t xml:space="preserve">Para tal efecto, se inserta el organigrama que rige a la Comisión del Agua del Estado de México, con el propósito de vislumbrar las áreas administrativas con las que cuenta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w:t>
      </w:r>
    </w:p>
    <w:p w14:paraId="76400489" w14:textId="77777777" w:rsidR="002604D6" w:rsidRPr="004A24F8" w:rsidRDefault="00121F63">
      <w:pPr>
        <w:spacing w:before="240" w:after="240" w:line="360" w:lineRule="auto"/>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drawing>
          <wp:inline distT="0" distB="0" distL="0" distR="0" wp14:anchorId="7E480D00" wp14:editId="2D27B190">
            <wp:extent cx="5534025" cy="4143375"/>
            <wp:effectExtent l="0" t="0" r="9525" b="9525"/>
            <wp:docPr id="1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534971" cy="4144083"/>
                    </a:xfrm>
                    <a:prstGeom prst="rect">
                      <a:avLst/>
                    </a:prstGeom>
                    <a:ln/>
                  </pic:spPr>
                </pic:pic>
              </a:graphicData>
            </a:graphic>
          </wp:inline>
        </w:drawing>
      </w:r>
    </w:p>
    <w:p w14:paraId="10FAE832" w14:textId="77777777" w:rsidR="006D5EFB" w:rsidRPr="004A24F8" w:rsidRDefault="006D5EFB" w:rsidP="006D5EFB">
      <w:pPr>
        <w:spacing w:before="240" w:after="240" w:line="360" w:lineRule="auto"/>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Respecto a las Unidades Staff, el Organigrama contempla a las siguientes:</w:t>
      </w:r>
    </w:p>
    <w:p w14:paraId="04AA735A" w14:textId="77777777" w:rsidR="006D5EFB" w:rsidRPr="004A24F8" w:rsidRDefault="006D5EFB" w:rsidP="006D5EFB">
      <w:pPr>
        <w:spacing w:before="240" w:after="240" w:line="360" w:lineRule="auto"/>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drawing>
          <wp:inline distT="0" distB="0" distL="0" distR="0" wp14:anchorId="66D39ED4" wp14:editId="5F8109B9">
            <wp:extent cx="3353268" cy="581106"/>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3268" cy="581106"/>
                    </a:xfrm>
                    <a:prstGeom prst="rect">
                      <a:avLst/>
                    </a:prstGeom>
                  </pic:spPr>
                </pic:pic>
              </a:graphicData>
            </a:graphic>
          </wp:inline>
        </w:drawing>
      </w:r>
    </w:p>
    <w:p w14:paraId="1A17E51E" w14:textId="77777777" w:rsidR="006D5EFB" w:rsidRPr="004A24F8" w:rsidRDefault="006D5EFB" w:rsidP="006D5EFB">
      <w:pPr>
        <w:spacing w:before="240" w:after="240" w:line="360" w:lineRule="auto"/>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lastRenderedPageBreak/>
        <w:drawing>
          <wp:inline distT="0" distB="0" distL="0" distR="0" wp14:anchorId="745EEED2" wp14:editId="78FCEEB7">
            <wp:extent cx="1571355" cy="2171700"/>
            <wp:effectExtent l="19050" t="19050" r="1016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561" t="5953" r="2704" b="3546"/>
                    <a:stretch/>
                  </pic:blipFill>
                  <pic:spPr bwMode="auto">
                    <a:xfrm>
                      <a:off x="0" y="0"/>
                      <a:ext cx="1571355" cy="21717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4A24F8">
        <w:rPr>
          <w:rFonts w:ascii="Palatino Linotype" w:eastAsia="Palatino Linotype" w:hAnsi="Palatino Linotype" w:cs="Palatino Linotype"/>
          <w:noProof/>
          <w:sz w:val="22"/>
          <w:szCs w:val="22"/>
        </w:rPr>
        <w:drawing>
          <wp:inline distT="0" distB="0" distL="0" distR="0" wp14:anchorId="1A5EC936" wp14:editId="4159D14B">
            <wp:extent cx="1427408" cy="2133600"/>
            <wp:effectExtent l="19050" t="19050" r="20955"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6610" cy="2147354"/>
                    </a:xfrm>
                    <a:prstGeom prst="rect">
                      <a:avLst/>
                    </a:prstGeom>
                    <a:ln>
                      <a:solidFill>
                        <a:schemeClr val="tx1"/>
                      </a:solidFill>
                    </a:ln>
                  </pic:spPr>
                </pic:pic>
              </a:graphicData>
            </a:graphic>
          </wp:inline>
        </w:drawing>
      </w:r>
      <w:r w:rsidRPr="004A24F8">
        <w:rPr>
          <w:noProof/>
        </w:rPr>
        <w:drawing>
          <wp:inline distT="0" distB="0" distL="0" distR="0" wp14:anchorId="2DBEF853" wp14:editId="124945F9">
            <wp:extent cx="3201450" cy="2295525"/>
            <wp:effectExtent l="19050" t="19050" r="1841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8042" cy="2300252"/>
                    </a:xfrm>
                    <a:prstGeom prst="rect">
                      <a:avLst/>
                    </a:prstGeom>
                    <a:ln>
                      <a:solidFill>
                        <a:schemeClr val="tx1"/>
                      </a:solidFill>
                    </a:ln>
                  </pic:spPr>
                </pic:pic>
              </a:graphicData>
            </a:graphic>
          </wp:inline>
        </w:drawing>
      </w:r>
    </w:p>
    <w:p w14:paraId="21BD63D3"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Delimitado lo anterior, se procede al análisis de la información proporcionada en respuesta por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teniendo así que para un mejor entendimiento, se inserta el siguiente esquema de análisis:</w:t>
      </w:r>
    </w:p>
    <w:p w14:paraId="79AB6AC5"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noProof/>
        </w:rPr>
        <mc:AlternateContent>
          <mc:Choice Requires="wps">
            <w:drawing>
              <wp:anchor distT="0" distB="0" distL="114300" distR="114300" simplePos="0" relativeHeight="251660288" behindDoc="0" locked="0" layoutInCell="1" hidden="0" allowOverlap="1" wp14:anchorId="200E0F51" wp14:editId="566E5032">
                <wp:simplePos x="0" y="0"/>
                <wp:positionH relativeFrom="column">
                  <wp:posOffset>-25399</wp:posOffset>
                </wp:positionH>
                <wp:positionV relativeFrom="paragraph">
                  <wp:posOffset>25400</wp:posOffset>
                </wp:positionV>
                <wp:extent cx="5657850" cy="571500"/>
                <wp:effectExtent l="0" t="0" r="0" b="0"/>
                <wp:wrapNone/>
                <wp:docPr id="100" name="Rectángulo 100"/>
                <wp:cNvGraphicFramePr/>
                <a:graphic xmlns:a="http://schemas.openxmlformats.org/drawingml/2006/main">
                  <a:graphicData uri="http://schemas.microsoft.com/office/word/2010/wordprocessingShape">
                    <wps:wsp>
                      <wps:cNvSpPr/>
                      <wps:spPr>
                        <a:xfrm>
                          <a:off x="2521838" y="3499013"/>
                          <a:ext cx="5648325" cy="561975"/>
                        </a:xfrm>
                        <a:prstGeom prst="rect">
                          <a:avLst/>
                        </a:prstGeom>
                        <a:solidFill>
                          <a:srgbClr val="D6E3BC"/>
                        </a:solidFill>
                        <a:ln w="9525" cap="flat" cmpd="sng">
                          <a:solidFill>
                            <a:srgbClr val="EAF1DD"/>
                          </a:solidFill>
                          <a:prstDash val="solid"/>
                          <a:round/>
                          <a:headEnd type="none" w="sm" len="sm"/>
                          <a:tailEnd type="none" w="sm" len="sm"/>
                        </a:ln>
                      </wps:spPr>
                      <wps:txbx>
                        <w:txbxContent>
                          <w:p w14:paraId="5F29BC8D" w14:textId="77777777" w:rsidR="006D5EFB" w:rsidRDefault="006D5EFB">
                            <w:pPr>
                              <w:jc w:val="both"/>
                              <w:textDirection w:val="btLr"/>
                            </w:pPr>
                            <w:r>
                              <w:rPr>
                                <w:rFonts w:ascii="Palatino Linotype" w:eastAsia="Palatino Linotype" w:hAnsi="Palatino Linotype" w:cs="Palatino Linotype"/>
                                <w:b/>
                                <w:color w:val="000000"/>
                                <w:sz w:val="18"/>
                              </w:rPr>
                              <w:t>Copia de los libros o archivos de los minutarios de los oficios y de toda la documentación que se generó del año 2023 y 2024 de la Vocalía, Direcciones Generales, Subdirecciones y Departamentos y Unidad de Staff y del Órgano Interno de Control, de acuerdo a su organigrama público.</w:t>
                            </w:r>
                          </w:p>
                          <w:p w14:paraId="5F335E23" w14:textId="77777777" w:rsidR="006D5EFB" w:rsidRDefault="006D5EFB">
                            <w:pPr>
                              <w:jc w:val="center"/>
                              <w:textDirection w:val="btLr"/>
                            </w:pPr>
                          </w:p>
                        </w:txbxContent>
                      </wps:txbx>
                      <wps:bodyPr spcFirstLastPara="1" wrap="square" lIns="91425" tIns="45700" rIns="91425" bIns="45700" anchor="ctr" anchorCtr="0">
                        <a:noAutofit/>
                      </wps:bodyPr>
                    </wps:wsp>
                  </a:graphicData>
                </a:graphic>
              </wp:anchor>
            </w:drawing>
          </mc:Choice>
          <mc:Fallback xmlns:w16du="http://schemas.microsoft.com/office/word/2023/wordml/word16du" xmlns:oel="http://schemas.microsoft.com/office/2019/extlst">
            <w:pict>
              <v:rect id="_x0000_s1028" style="position:absolute;left:0;text-align:left;margin-left:-2pt;margin-top:2pt;width:445.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" fillcolor="#d6e3bc" strokecolor="#eaf1dd">
                <v:stroke startarrowwidth="narrow" startarrowlength="short" endarrowwidth="narrow" endarrowlength="short" joinstyle="round"/>
                <v:textbox inset="2.53958mm,1.2694mm,2.53958mm,1.2694mm">
                  <w:txbxContent>
                    <w:p w:rsidR="006D5EFB" w:rsidRDefault="006D5EFB">
                      <w:pPr>
                        <w:jc w:val="both"/>
                        <w:textDirection w:val="btLr"/>
                      </w:pPr>
                      <w:r>
                        <w:rPr>
                          <w:rFonts w:ascii="Palatino Linotype" w:eastAsia="Palatino Linotype" w:hAnsi="Palatino Linotype" w:cs="Palatino Linotype"/>
                          <w:b/>
                          <w:color w:val="000000"/>
                          <w:sz w:val="18"/>
                        </w:rPr>
                        <w:t>Copia de los libros o archivos de los minutarios de los oficios y de toda la documentación que se generó del año 2023 y 2024 de la Vocalía, Direcciones Generales, Subdirecciones y Departamentos y Unidad de Staff y del Órgano Interno de Control, de acuerdo a su organigrama público.</w:t>
                      </w:r>
                    </w:p>
                    <w:p w:rsidR="006D5EFB" w:rsidRDefault="006D5EFB">
                      <w:pPr>
                        <w:jc w:val="center"/>
                        <w:textDirection w:val="btLr"/>
                      </w:pPr>
                    </w:p>
                  </w:txbxContent>
                </v:textbox>
              </v:rect>
            </w:pict>
          </mc:Fallback>
        </mc:AlternateContent>
      </w:r>
    </w:p>
    <w:p w14:paraId="402BEE98"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706D0DC4" w14:textId="77777777" w:rsidR="002604D6" w:rsidRPr="004A24F8" w:rsidRDefault="002604D6">
      <w:pPr>
        <w:spacing w:line="360" w:lineRule="auto"/>
        <w:jc w:val="both"/>
        <w:rPr>
          <w:rFonts w:ascii="Palatino Linotype" w:eastAsia="Palatino Linotype" w:hAnsi="Palatino Linotype" w:cs="Palatino Linotype"/>
          <w:sz w:val="22"/>
          <w:szCs w:val="22"/>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190"/>
        <w:gridCol w:w="17"/>
        <w:gridCol w:w="2207"/>
        <w:gridCol w:w="2207"/>
      </w:tblGrid>
      <w:tr w:rsidR="004A24F8" w:rsidRPr="004A24F8" w14:paraId="7F8B89E5" w14:textId="77777777">
        <w:tc>
          <w:tcPr>
            <w:tcW w:w="2207" w:type="dxa"/>
            <w:shd w:val="clear" w:color="auto" w:fill="D7E3BC"/>
          </w:tcPr>
          <w:p w14:paraId="22B5FC29"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Denominación del área administrativa conforme al organigrama</w:t>
            </w:r>
          </w:p>
        </w:tc>
        <w:tc>
          <w:tcPr>
            <w:tcW w:w="2207" w:type="dxa"/>
            <w:gridSpan w:val="2"/>
            <w:shd w:val="clear" w:color="auto" w:fill="D7E3BC"/>
          </w:tcPr>
          <w:p w14:paraId="3A97705C"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2023</w:t>
            </w:r>
          </w:p>
        </w:tc>
        <w:tc>
          <w:tcPr>
            <w:tcW w:w="2207" w:type="dxa"/>
            <w:shd w:val="clear" w:color="auto" w:fill="D7E3BC"/>
          </w:tcPr>
          <w:p w14:paraId="5EBE4D7D"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2024</w:t>
            </w:r>
          </w:p>
        </w:tc>
        <w:tc>
          <w:tcPr>
            <w:tcW w:w="2207" w:type="dxa"/>
            <w:shd w:val="clear" w:color="auto" w:fill="D7E3BC"/>
          </w:tcPr>
          <w:p w14:paraId="45AFACF8"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¿El pronunciamiento del Sujeto Obligado satisface los requerimientos de información?</w:t>
            </w:r>
          </w:p>
        </w:tc>
      </w:tr>
      <w:tr w:rsidR="004A24F8" w:rsidRPr="004A24F8" w14:paraId="5BF8627F" w14:textId="77777777">
        <w:tc>
          <w:tcPr>
            <w:tcW w:w="2207" w:type="dxa"/>
          </w:tcPr>
          <w:p w14:paraId="2736144C"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lastRenderedPageBreak/>
              <w:t>Vocalía</w:t>
            </w:r>
          </w:p>
          <w:p w14:paraId="60B5760F"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Ejecutiva</w:t>
            </w:r>
          </w:p>
        </w:tc>
        <w:tc>
          <w:tcPr>
            <w:tcW w:w="2207" w:type="dxa"/>
            <w:gridSpan w:val="2"/>
          </w:tcPr>
          <w:p w14:paraId="2C7EFE1C" w14:textId="77777777" w:rsidR="002604D6" w:rsidRPr="004A24F8" w:rsidRDefault="00121F63">
            <w:pPr>
              <w:jc w:val="center"/>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No hay pronunciamiento</w:t>
            </w:r>
          </w:p>
        </w:tc>
        <w:tc>
          <w:tcPr>
            <w:tcW w:w="2207" w:type="dxa"/>
          </w:tcPr>
          <w:p w14:paraId="1EE737CA" w14:textId="77777777" w:rsidR="002604D6" w:rsidRPr="004A24F8" w:rsidRDefault="00121F63">
            <w:pPr>
              <w:jc w:val="center"/>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No hay pronunciamiento</w:t>
            </w:r>
          </w:p>
        </w:tc>
        <w:tc>
          <w:tcPr>
            <w:tcW w:w="2207" w:type="dxa"/>
          </w:tcPr>
          <w:p w14:paraId="2753FC07" w14:textId="77777777" w:rsidR="002604D6" w:rsidRPr="004A24F8" w:rsidRDefault="00121F63">
            <w:pPr>
              <w:spacing w:line="360" w:lineRule="auto"/>
              <w:jc w:val="center"/>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18"/>
                <w:szCs w:val="18"/>
              </w:rPr>
              <w:t>No</w:t>
            </w:r>
          </w:p>
        </w:tc>
      </w:tr>
      <w:tr w:rsidR="004A24F8" w:rsidRPr="004A24F8" w14:paraId="6E0909BD" w14:textId="77777777">
        <w:tc>
          <w:tcPr>
            <w:tcW w:w="2207" w:type="dxa"/>
          </w:tcPr>
          <w:p w14:paraId="62E786B0"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Unidad de</w:t>
            </w:r>
          </w:p>
          <w:p w14:paraId="672704FF"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Información,</w:t>
            </w:r>
          </w:p>
          <w:p w14:paraId="5EF79C87"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Planeación,</w:t>
            </w:r>
          </w:p>
          <w:p w14:paraId="5C3CC47A"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Programación y</w:t>
            </w:r>
          </w:p>
          <w:p w14:paraId="224A6991"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Evaluación</w:t>
            </w:r>
          </w:p>
        </w:tc>
        <w:tc>
          <w:tcPr>
            <w:tcW w:w="2207" w:type="dxa"/>
            <w:gridSpan w:val="2"/>
          </w:tcPr>
          <w:p w14:paraId="1BC0B313"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18"/>
                <w:szCs w:val="18"/>
              </w:rPr>
              <w:t>No hay pronunciamiento</w:t>
            </w:r>
          </w:p>
        </w:tc>
        <w:tc>
          <w:tcPr>
            <w:tcW w:w="2207" w:type="dxa"/>
          </w:tcPr>
          <w:p w14:paraId="4AA299BF"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18"/>
                <w:szCs w:val="18"/>
              </w:rPr>
              <w:t>No hay pronunciamiento</w:t>
            </w:r>
          </w:p>
        </w:tc>
        <w:tc>
          <w:tcPr>
            <w:tcW w:w="2207" w:type="dxa"/>
          </w:tcPr>
          <w:p w14:paraId="5AF116EB" w14:textId="77777777" w:rsidR="002604D6" w:rsidRPr="004A24F8" w:rsidRDefault="00121F63">
            <w:pPr>
              <w:spacing w:line="360" w:lineRule="auto"/>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No</w:t>
            </w:r>
          </w:p>
        </w:tc>
      </w:tr>
      <w:tr w:rsidR="004A24F8" w:rsidRPr="004A24F8" w14:paraId="3C0857EC" w14:textId="77777777">
        <w:tc>
          <w:tcPr>
            <w:tcW w:w="2207" w:type="dxa"/>
          </w:tcPr>
          <w:p w14:paraId="6BC785BA" w14:textId="77777777" w:rsidR="002604D6" w:rsidRPr="004A24F8" w:rsidRDefault="00121F63">
            <w:pPr>
              <w:jc w:val="center"/>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18"/>
                <w:szCs w:val="18"/>
              </w:rPr>
              <w:t>Órgano Interno de Control</w:t>
            </w:r>
          </w:p>
        </w:tc>
        <w:tc>
          <w:tcPr>
            <w:tcW w:w="2207" w:type="dxa"/>
            <w:gridSpan w:val="2"/>
          </w:tcPr>
          <w:p w14:paraId="60622A54"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18"/>
                <w:szCs w:val="18"/>
              </w:rPr>
              <w:t>No hay pronunciamiento</w:t>
            </w:r>
          </w:p>
        </w:tc>
        <w:tc>
          <w:tcPr>
            <w:tcW w:w="2207" w:type="dxa"/>
          </w:tcPr>
          <w:p w14:paraId="30FEB8CD"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18"/>
                <w:szCs w:val="18"/>
              </w:rPr>
              <w:t>No hay pronunciamiento</w:t>
            </w:r>
          </w:p>
        </w:tc>
        <w:tc>
          <w:tcPr>
            <w:tcW w:w="2207" w:type="dxa"/>
          </w:tcPr>
          <w:p w14:paraId="3704539C" w14:textId="77777777" w:rsidR="002604D6" w:rsidRPr="004A24F8" w:rsidRDefault="00121F63">
            <w:pPr>
              <w:spacing w:line="360" w:lineRule="auto"/>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No</w:t>
            </w:r>
          </w:p>
        </w:tc>
      </w:tr>
      <w:tr w:rsidR="004A24F8" w:rsidRPr="004A24F8" w14:paraId="7FAA6DD4" w14:textId="77777777">
        <w:tc>
          <w:tcPr>
            <w:tcW w:w="2207" w:type="dxa"/>
          </w:tcPr>
          <w:p w14:paraId="2721C0D1"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Unidad de</w:t>
            </w:r>
          </w:p>
          <w:p w14:paraId="54EEE1B9"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Difusión y</w:t>
            </w:r>
          </w:p>
          <w:p w14:paraId="6B566134"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Apoyo Gráfico</w:t>
            </w:r>
          </w:p>
        </w:tc>
        <w:tc>
          <w:tcPr>
            <w:tcW w:w="2207" w:type="dxa"/>
            <w:gridSpan w:val="2"/>
          </w:tcPr>
          <w:p w14:paraId="6BDBF06A"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18"/>
                <w:szCs w:val="18"/>
              </w:rPr>
              <w:t>No hay pronunciamiento</w:t>
            </w:r>
          </w:p>
        </w:tc>
        <w:tc>
          <w:tcPr>
            <w:tcW w:w="2207" w:type="dxa"/>
          </w:tcPr>
          <w:p w14:paraId="6FA2FB54"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18"/>
                <w:szCs w:val="18"/>
              </w:rPr>
              <w:t>No hay pronunciamiento</w:t>
            </w:r>
          </w:p>
        </w:tc>
        <w:tc>
          <w:tcPr>
            <w:tcW w:w="2207" w:type="dxa"/>
          </w:tcPr>
          <w:p w14:paraId="5A90CA36"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No</w:t>
            </w:r>
          </w:p>
        </w:tc>
      </w:tr>
      <w:tr w:rsidR="004A24F8" w:rsidRPr="004A24F8" w14:paraId="0C62993C" w14:textId="77777777">
        <w:tc>
          <w:tcPr>
            <w:tcW w:w="2207" w:type="dxa"/>
          </w:tcPr>
          <w:p w14:paraId="484453A7"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Unidad de</w:t>
            </w:r>
          </w:p>
          <w:p w14:paraId="004A0E68"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Modernización</w:t>
            </w:r>
          </w:p>
          <w:p w14:paraId="34174C00"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Administrativa</w:t>
            </w:r>
          </w:p>
          <w:p w14:paraId="7CCB79E2"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e Informática</w:t>
            </w:r>
          </w:p>
        </w:tc>
        <w:tc>
          <w:tcPr>
            <w:tcW w:w="2207" w:type="dxa"/>
            <w:gridSpan w:val="2"/>
          </w:tcPr>
          <w:p w14:paraId="250FD22F"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18"/>
                <w:szCs w:val="18"/>
              </w:rPr>
              <w:t>No hay pronunciamiento</w:t>
            </w:r>
          </w:p>
        </w:tc>
        <w:tc>
          <w:tcPr>
            <w:tcW w:w="2207" w:type="dxa"/>
          </w:tcPr>
          <w:p w14:paraId="6AFF0AF2"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18"/>
                <w:szCs w:val="18"/>
              </w:rPr>
              <w:t>No hay pronunciamiento</w:t>
            </w:r>
          </w:p>
        </w:tc>
        <w:tc>
          <w:tcPr>
            <w:tcW w:w="2207" w:type="dxa"/>
          </w:tcPr>
          <w:p w14:paraId="5553D6C1"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No</w:t>
            </w:r>
          </w:p>
        </w:tc>
      </w:tr>
      <w:tr w:rsidR="004A24F8" w:rsidRPr="004A24F8" w14:paraId="757156F0" w14:textId="77777777">
        <w:tc>
          <w:tcPr>
            <w:tcW w:w="2207" w:type="dxa"/>
          </w:tcPr>
          <w:p w14:paraId="3D9D5496"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Dirección General</w:t>
            </w:r>
          </w:p>
          <w:p w14:paraId="57C2C466"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del Programa</w:t>
            </w:r>
          </w:p>
          <w:p w14:paraId="65F568F3"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Hidráulico</w:t>
            </w:r>
          </w:p>
        </w:tc>
        <w:tc>
          <w:tcPr>
            <w:tcW w:w="4414" w:type="dxa"/>
            <w:gridSpan w:val="3"/>
          </w:tcPr>
          <w:p w14:paraId="12C821B3" w14:textId="77777777" w:rsidR="002604D6" w:rsidRPr="004A24F8" w:rsidRDefault="00121F63">
            <w:pPr>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Directora del Sistema Estatal de Información del Agua:</w:t>
            </w:r>
            <w:r w:rsidRPr="004A24F8">
              <w:rPr>
                <w:rFonts w:ascii="Palatino Linotype" w:eastAsia="Palatino Linotype" w:hAnsi="Palatino Linotype" w:cs="Palatino Linotype"/>
                <w:sz w:val="18"/>
                <w:szCs w:val="18"/>
              </w:rPr>
              <w:t xml:space="preserve"> La Dirección General del Programa Hidráulico no cuenta con esa información debido a que no existe ni emite “libros o archivos de minitarios”.</w:t>
            </w:r>
          </w:p>
        </w:tc>
        <w:tc>
          <w:tcPr>
            <w:tcW w:w="2207" w:type="dxa"/>
          </w:tcPr>
          <w:p w14:paraId="22C18754" w14:textId="77777777" w:rsidR="002604D6" w:rsidRPr="004A24F8" w:rsidRDefault="00121F63">
            <w:pPr>
              <w:spacing w:line="360" w:lineRule="auto"/>
              <w:jc w:val="center"/>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18"/>
                <w:szCs w:val="18"/>
              </w:rPr>
              <w:t>No</w:t>
            </w:r>
          </w:p>
        </w:tc>
      </w:tr>
      <w:tr w:rsidR="004A24F8" w:rsidRPr="004A24F8" w14:paraId="490718F0" w14:textId="77777777">
        <w:tc>
          <w:tcPr>
            <w:tcW w:w="2207" w:type="dxa"/>
          </w:tcPr>
          <w:p w14:paraId="18212296"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Dirección General</w:t>
            </w:r>
          </w:p>
          <w:p w14:paraId="4A388F76"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de Inversión</w:t>
            </w:r>
          </w:p>
          <w:p w14:paraId="76E479D4" w14:textId="77777777" w:rsidR="002604D6" w:rsidRPr="004A24F8" w:rsidRDefault="00121F63">
            <w:pPr>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y Gestión</w:t>
            </w:r>
          </w:p>
        </w:tc>
        <w:tc>
          <w:tcPr>
            <w:tcW w:w="4414" w:type="dxa"/>
            <w:gridSpan w:val="3"/>
          </w:tcPr>
          <w:p w14:paraId="3622C3A9" w14:textId="77777777" w:rsidR="002604D6" w:rsidRPr="004A24F8" w:rsidRDefault="00121F63">
            <w:pPr>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18"/>
                <w:szCs w:val="18"/>
              </w:rPr>
              <w:t>Titular de la Dirección General de Inversión y Gestión:</w:t>
            </w:r>
            <w:r w:rsidRPr="004A24F8">
              <w:rPr>
                <w:rFonts w:ascii="Palatino Linotype" w:eastAsia="Palatino Linotype" w:hAnsi="Palatino Linotype" w:cs="Palatino Linotype"/>
                <w:sz w:val="18"/>
                <w:szCs w:val="18"/>
              </w:rPr>
              <w:t xml:space="preserve"> Expresa que dicha Unidad Administrativa no tiene la obligación de contar con “Minutarios” ya que los mismos no son documentos de archivo tal como lo establece el numeral de la Ley en comento, en consecuencia y con relación en el párrafo segundo del artículo 12 de la Ley de Transparencia y Acceso a la Información Pública del Estado de México y Municipios.</w:t>
            </w:r>
          </w:p>
        </w:tc>
        <w:tc>
          <w:tcPr>
            <w:tcW w:w="2207" w:type="dxa"/>
          </w:tcPr>
          <w:p w14:paraId="6EB8F7CB" w14:textId="77777777" w:rsidR="002604D6" w:rsidRPr="004A24F8" w:rsidRDefault="00121F63">
            <w:pPr>
              <w:spacing w:line="360" w:lineRule="auto"/>
              <w:jc w:val="center"/>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18"/>
                <w:szCs w:val="18"/>
              </w:rPr>
              <w:t>No</w:t>
            </w:r>
          </w:p>
        </w:tc>
      </w:tr>
      <w:tr w:rsidR="004A24F8" w:rsidRPr="004A24F8" w14:paraId="21D24649" w14:textId="77777777">
        <w:tc>
          <w:tcPr>
            <w:tcW w:w="2207" w:type="dxa"/>
          </w:tcPr>
          <w:p w14:paraId="30548222"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Dirección General</w:t>
            </w:r>
          </w:p>
          <w:p w14:paraId="35112F1D"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de Infraestructura</w:t>
            </w:r>
          </w:p>
          <w:p w14:paraId="6F49406D"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Hidráulica</w:t>
            </w:r>
          </w:p>
        </w:tc>
        <w:tc>
          <w:tcPr>
            <w:tcW w:w="4414" w:type="dxa"/>
            <w:gridSpan w:val="3"/>
          </w:tcPr>
          <w:p w14:paraId="68398E15" w14:textId="77777777" w:rsidR="002604D6" w:rsidRPr="004A24F8" w:rsidRDefault="00121F63">
            <w:pPr>
              <w:spacing w:before="240" w:after="240"/>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b/>
                <w:sz w:val="18"/>
                <w:szCs w:val="18"/>
              </w:rPr>
              <w:t xml:space="preserve">Director General de Infraestructura Hidráulica y Servidor Público Habilitado: </w:t>
            </w:r>
            <w:r w:rsidRPr="004A24F8">
              <w:rPr>
                <w:rFonts w:ascii="Palatino Linotype" w:eastAsia="Palatino Linotype" w:hAnsi="Palatino Linotype" w:cs="Palatino Linotype"/>
                <w:sz w:val="18"/>
                <w:szCs w:val="18"/>
              </w:rPr>
              <w:t>Manifiesta que</w:t>
            </w:r>
            <w:r w:rsidRPr="004A24F8">
              <w:rPr>
                <w:rFonts w:ascii="Palatino Linotype" w:eastAsia="Palatino Linotype" w:hAnsi="Palatino Linotype" w:cs="Palatino Linotype"/>
                <w:b/>
                <w:sz w:val="18"/>
                <w:szCs w:val="18"/>
              </w:rPr>
              <w:t xml:space="preserve"> </w:t>
            </w:r>
            <w:r w:rsidRPr="004A24F8">
              <w:rPr>
                <w:rFonts w:ascii="Palatino Linotype" w:eastAsia="Palatino Linotype" w:hAnsi="Palatino Linotype" w:cs="Palatino Linotype"/>
                <w:sz w:val="18"/>
                <w:szCs w:val="18"/>
              </w:rPr>
              <w:t>adjunta en formato electrónico las relaciones, archivos y minutarios de la documentación generada durante el año 2023 y de enero a julio de 2024, de esta Dirección General y sus áreas de acuerdo a su organigrama público, las cuales obran en una carpeta comprimida y corresponden a las siguientes áreas:</w:t>
            </w:r>
          </w:p>
          <w:p w14:paraId="030C9878" w14:textId="77777777" w:rsidR="002604D6" w:rsidRPr="004A24F8" w:rsidRDefault="00121F63">
            <w:pPr>
              <w:numPr>
                <w:ilvl w:val="0"/>
                <w:numId w:val="1"/>
              </w:numPr>
              <w:pBdr>
                <w:top w:val="nil"/>
                <w:left w:val="nil"/>
                <w:bottom w:val="nil"/>
                <w:right w:val="nil"/>
                <w:between w:val="nil"/>
              </w:pBdr>
              <w:spacing w:before="240"/>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Control Administrativo de Materiales.</w:t>
            </w:r>
          </w:p>
          <w:p w14:paraId="1541E918"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Control Técnico de Materiales.</w:t>
            </w:r>
          </w:p>
          <w:p w14:paraId="1C980BB9"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Geohidrología</w:t>
            </w:r>
          </w:p>
          <w:p w14:paraId="10068610"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Laboratorio de Materiales.</w:t>
            </w:r>
          </w:p>
          <w:p w14:paraId="6551BCB9"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Normas Técnicas de Construcción.</w:t>
            </w:r>
          </w:p>
          <w:p w14:paraId="0BC1E5CB"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lastRenderedPageBreak/>
              <w:t>Departamento de Construcción de Obras de Agua Potable y Drenaje.</w:t>
            </w:r>
          </w:p>
          <w:p w14:paraId="28995565"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Obras de Tratamiento.</w:t>
            </w:r>
          </w:p>
          <w:p w14:paraId="1D6DC375"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Obras Rurales</w:t>
            </w:r>
          </w:p>
          <w:p w14:paraId="16F02916"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Seguimiento de Programa de Obra.</w:t>
            </w:r>
          </w:p>
          <w:p w14:paraId="1664F2B5"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Supervisión de Obra de Perforación de Pozos.</w:t>
            </w:r>
          </w:p>
          <w:p w14:paraId="39BFC8B2"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Supervisión de Obra Electromecánica.</w:t>
            </w:r>
          </w:p>
          <w:p w14:paraId="0D831E52"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Técnico Electromecánico.</w:t>
            </w:r>
          </w:p>
          <w:p w14:paraId="7A2EF877"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Control Técnico de Generadores y Estimaciones de Obra.</w:t>
            </w:r>
          </w:p>
          <w:p w14:paraId="76FEF4C6"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Dirección de Construcción.</w:t>
            </w:r>
          </w:p>
          <w:p w14:paraId="2E014066"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Dirección General de Infraestructura Hidráulica.</w:t>
            </w:r>
          </w:p>
          <w:p w14:paraId="01105543"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Residencia de Construcción Atlacomulco.</w:t>
            </w:r>
          </w:p>
          <w:p w14:paraId="6AA39466"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Residencia de Construcción Coatepec Harinas.</w:t>
            </w:r>
          </w:p>
          <w:p w14:paraId="2080FB94"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Residencia de Construcción Cuautitlán Oriente.</w:t>
            </w:r>
          </w:p>
          <w:p w14:paraId="0F4018A3"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Residencia de Construcción Cuautitlán Poniente.</w:t>
            </w:r>
          </w:p>
          <w:p w14:paraId="28FDDDB6"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Residencia de Construcción Tejupilco - Valle de Bravo</w:t>
            </w:r>
          </w:p>
          <w:p w14:paraId="2E2F674F"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Residencia de Construcción Texcoco Norte</w:t>
            </w:r>
          </w:p>
          <w:p w14:paraId="6B9B1385" w14:textId="77777777" w:rsidR="002604D6" w:rsidRPr="004A24F8" w:rsidRDefault="00121F63">
            <w:pPr>
              <w:numPr>
                <w:ilvl w:val="0"/>
                <w:numId w:val="1"/>
              </w:numPr>
              <w:pBdr>
                <w:top w:val="nil"/>
                <w:left w:val="nil"/>
                <w:bottom w:val="nil"/>
                <w:right w:val="nil"/>
                <w:between w:val="nil"/>
              </w:pBdr>
              <w:ind w:left="64" w:hanging="142"/>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Residencia de Construcción Texcoco Sur</w:t>
            </w:r>
          </w:p>
          <w:p w14:paraId="3748BCA5"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Residencia de Construcción Toluca.</w:t>
            </w:r>
          </w:p>
          <w:p w14:paraId="7C79CBFF"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Subdirección de Construcción de Obras.</w:t>
            </w:r>
          </w:p>
          <w:p w14:paraId="6793EF78"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Subdirección de Control de Calidad</w:t>
            </w:r>
          </w:p>
          <w:p w14:paraId="3156B5EC"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Subdirección de Control de Obra</w:t>
            </w:r>
          </w:p>
          <w:p w14:paraId="668DE4B7"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Subdirección de Fuentes de Abastecimiento.</w:t>
            </w:r>
          </w:p>
          <w:p w14:paraId="6C8C3358" w14:textId="77777777" w:rsidR="002604D6" w:rsidRPr="004A24F8" w:rsidRDefault="00121F63">
            <w:pPr>
              <w:numPr>
                <w:ilvl w:val="0"/>
                <w:numId w:val="1"/>
              </w:numPr>
              <w:pBdr>
                <w:top w:val="nil"/>
                <w:left w:val="nil"/>
                <w:bottom w:val="nil"/>
                <w:right w:val="nil"/>
                <w:between w:val="nil"/>
              </w:pBdr>
              <w:ind w:left="64" w:hanging="142"/>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Subdirección de Obra Electromecánica.</w:t>
            </w:r>
          </w:p>
          <w:p w14:paraId="599AA244" w14:textId="77777777" w:rsidR="002604D6" w:rsidRPr="004A24F8" w:rsidRDefault="00121F63">
            <w:pPr>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Unidad de Apoyo Administrativo.</w:t>
            </w:r>
          </w:p>
          <w:p w14:paraId="1C4FE8BE" w14:textId="77777777" w:rsidR="002604D6" w:rsidRPr="004A24F8" w:rsidRDefault="002604D6">
            <w:pPr>
              <w:jc w:val="both"/>
              <w:rPr>
                <w:rFonts w:ascii="Palatino Linotype" w:eastAsia="Palatino Linotype" w:hAnsi="Palatino Linotype" w:cs="Palatino Linotype"/>
                <w:sz w:val="18"/>
                <w:szCs w:val="18"/>
              </w:rPr>
            </w:pPr>
          </w:p>
          <w:p w14:paraId="40A072ED" w14:textId="77777777" w:rsidR="002604D6" w:rsidRPr="004A24F8" w:rsidRDefault="00121F63">
            <w:pPr>
              <w:jc w:val="both"/>
              <w:rPr>
                <w:rFonts w:ascii="Palatino Linotype" w:eastAsia="Palatino Linotype" w:hAnsi="Palatino Linotype" w:cs="Palatino Linotype"/>
                <w:b/>
                <w:sz w:val="18"/>
                <w:szCs w:val="18"/>
              </w:rPr>
            </w:pPr>
            <w:r w:rsidRPr="004A24F8">
              <w:rPr>
                <w:rFonts w:ascii="Palatino Linotype" w:eastAsia="Palatino Linotype" w:hAnsi="Palatino Linotype" w:cs="Palatino Linotype"/>
                <w:sz w:val="18"/>
                <w:szCs w:val="18"/>
              </w:rPr>
              <w:t>Asimismo precisa que en el caso de los Departamentos, la información generada se relaciona en las Subdirecciones de su adscripción, atendiendo a que quién valida y firma los oficios que generan, es su jefe inmediato superior en la mayoría de los casos, salvo algunas excepciones que por la naturaleza de los asuntos lo requieran de manera directa al titular del Departamento de que se trate.</w:t>
            </w:r>
          </w:p>
        </w:tc>
        <w:tc>
          <w:tcPr>
            <w:tcW w:w="2207" w:type="dxa"/>
          </w:tcPr>
          <w:p w14:paraId="6665C6E3" w14:textId="77777777" w:rsidR="002604D6" w:rsidRPr="004A24F8" w:rsidRDefault="00121F63">
            <w:pPr>
              <w:spacing w:line="360" w:lineRule="auto"/>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lastRenderedPageBreak/>
              <w:t>Parcialmente</w:t>
            </w:r>
          </w:p>
          <w:p w14:paraId="698BD5AB" w14:textId="77777777" w:rsidR="002604D6" w:rsidRPr="004A24F8" w:rsidRDefault="00121F63">
            <w:pPr>
              <w:jc w:val="both"/>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 xml:space="preserve">Observaciones: </w:t>
            </w:r>
          </w:p>
          <w:p w14:paraId="3490EDD8" w14:textId="77777777" w:rsidR="002604D6" w:rsidRPr="004A24F8" w:rsidRDefault="00121F63">
            <w:pPr>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 xml:space="preserve">Las siguientes áreas </w:t>
            </w:r>
            <w:r w:rsidRPr="004A24F8">
              <w:rPr>
                <w:rFonts w:ascii="Palatino Linotype" w:eastAsia="Palatino Linotype" w:hAnsi="Palatino Linotype" w:cs="Palatino Linotype"/>
                <w:b/>
                <w:sz w:val="18"/>
                <w:szCs w:val="18"/>
              </w:rPr>
              <w:t>no se pronunciaron respecto del minutario del año 2024</w:t>
            </w:r>
            <w:r w:rsidRPr="004A24F8">
              <w:rPr>
                <w:rFonts w:ascii="Palatino Linotype" w:eastAsia="Palatino Linotype" w:hAnsi="Palatino Linotype" w:cs="Palatino Linotype"/>
                <w:sz w:val="18"/>
                <w:szCs w:val="18"/>
              </w:rPr>
              <w:t xml:space="preserve">: </w:t>
            </w:r>
          </w:p>
          <w:p w14:paraId="37014073" w14:textId="77777777" w:rsidR="002604D6" w:rsidRPr="004A24F8" w:rsidRDefault="002604D6">
            <w:pPr>
              <w:jc w:val="both"/>
              <w:rPr>
                <w:rFonts w:ascii="Palatino Linotype" w:eastAsia="Palatino Linotype" w:hAnsi="Palatino Linotype" w:cs="Palatino Linotype"/>
                <w:b/>
                <w:sz w:val="18"/>
                <w:szCs w:val="18"/>
              </w:rPr>
            </w:pPr>
          </w:p>
          <w:p w14:paraId="46125278" w14:textId="77777777" w:rsidR="002604D6" w:rsidRPr="004A24F8" w:rsidRDefault="00121F63">
            <w:pPr>
              <w:numPr>
                <w:ilvl w:val="0"/>
                <w:numId w:val="3"/>
              </w:numPr>
              <w:pBdr>
                <w:top w:val="nil"/>
                <w:left w:val="nil"/>
                <w:bottom w:val="nil"/>
                <w:right w:val="nil"/>
                <w:between w:val="nil"/>
              </w:pBdr>
              <w:ind w:left="106" w:hanging="177"/>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Departamento de Obras de Tratamiento</w:t>
            </w:r>
          </w:p>
          <w:p w14:paraId="47F2A580" w14:textId="77777777" w:rsidR="002604D6" w:rsidRPr="004A24F8" w:rsidRDefault="00121F63">
            <w:pPr>
              <w:numPr>
                <w:ilvl w:val="0"/>
                <w:numId w:val="3"/>
              </w:numPr>
              <w:pBdr>
                <w:top w:val="nil"/>
                <w:left w:val="nil"/>
                <w:bottom w:val="nil"/>
                <w:right w:val="nil"/>
                <w:between w:val="nil"/>
              </w:pBdr>
              <w:ind w:left="106" w:hanging="177"/>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 xml:space="preserve">Residencia de Construcción Cuautitlán Poniente </w:t>
            </w:r>
          </w:p>
          <w:p w14:paraId="42C40C85" w14:textId="77777777" w:rsidR="002604D6" w:rsidRPr="004A24F8" w:rsidRDefault="00121F63">
            <w:pPr>
              <w:numPr>
                <w:ilvl w:val="0"/>
                <w:numId w:val="3"/>
              </w:numPr>
              <w:pBdr>
                <w:top w:val="nil"/>
                <w:left w:val="nil"/>
                <w:bottom w:val="nil"/>
                <w:right w:val="nil"/>
                <w:between w:val="nil"/>
              </w:pBdr>
              <w:ind w:left="106" w:hanging="177"/>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sz w:val="18"/>
                <w:szCs w:val="18"/>
              </w:rPr>
              <w:t xml:space="preserve">Departamento Técnico Electromecánico </w:t>
            </w:r>
          </w:p>
          <w:p w14:paraId="76212F2B" w14:textId="77777777" w:rsidR="002604D6" w:rsidRPr="004A24F8" w:rsidRDefault="002604D6">
            <w:pPr>
              <w:jc w:val="both"/>
              <w:rPr>
                <w:rFonts w:ascii="Palatino Linotype" w:eastAsia="Palatino Linotype" w:hAnsi="Palatino Linotype" w:cs="Palatino Linotype"/>
                <w:sz w:val="18"/>
                <w:szCs w:val="18"/>
              </w:rPr>
            </w:pPr>
          </w:p>
          <w:p w14:paraId="721B7131" w14:textId="77777777" w:rsidR="002604D6" w:rsidRPr="004A24F8" w:rsidRDefault="00121F63">
            <w:pPr>
              <w:jc w:val="both"/>
              <w:rPr>
                <w:rFonts w:ascii="Palatino Linotype" w:eastAsia="Palatino Linotype" w:hAnsi="Palatino Linotype" w:cs="Palatino Linotype"/>
                <w:b/>
                <w:sz w:val="18"/>
                <w:szCs w:val="18"/>
              </w:rPr>
            </w:pPr>
            <w:r w:rsidRPr="004A24F8">
              <w:rPr>
                <w:rFonts w:ascii="Palatino Linotype" w:eastAsia="Palatino Linotype" w:hAnsi="Palatino Linotype" w:cs="Palatino Linotype"/>
                <w:sz w:val="18"/>
                <w:szCs w:val="18"/>
              </w:rPr>
              <w:t xml:space="preserve">Asimismo, de la revisión a los Minutarios de la Residencia de </w:t>
            </w:r>
            <w:r w:rsidRPr="004A24F8">
              <w:rPr>
                <w:rFonts w:ascii="Palatino Linotype" w:eastAsia="Palatino Linotype" w:hAnsi="Palatino Linotype" w:cs="Palatino Linotype"/>
                <w:sz w:val="18"/>
                <w:szCs w:val="18"/>
              </w:rPr>
              <w:lastRenderedPageBreak/>
              <w:t>Construcción Atlacomulco, se advierte que ambos de los años 2023 y 2024 se encuentran parcialmente ilegibles.</w:t>
            </w:r>
          </w:p>
        </w:tc>
      </w:tr>
      <w:tr w:rsidR="004A24F8" w:rsidRPr="004A24F8" w14:paraId="7E23FA5F" w14:textId="77777777">
        <w:tc>
          <w:tcPr>
            <w:tcW w:w="2207" w:type="dxa"/>
          </w:tcPr>
          <w:p w14:paraId="1ADF1E23"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lastRenderedPageBreak/>
              <w:t>Dirección General</w:t>
            </w:r>
          </w:p>
          <w:p w14:paraId="7C93E05B"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de Operaciones y</w:t>
            </w:r>
          </w:p>
          <w:p w14:paraId="5012F360"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Atención a</w:t>
            </w:r>
          </w:p>
          <w:p w14:paraId="020F8E82"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Emergencias</w:t>
            </w:r>
          </w:p>
        </w:tc>
        <w:tc>
          <w:tcPr>
            <w:tcW w:w="4414" w:type="dxa"/>
            <w:gridSpan w:val="3"/>
          </w:tcPr>
          <w:p w14:paraId="29DAC288" w14:textId="77777777" w:rsidR="002604D6" w:rsidRPr="004A24F8" w:rsidRDefault="00121F63">
            <w:pPr>
              <w:spacing w:before="240" w:after="240"/>
              <w:jc w:val="both"/>
              <w:rPr>
                <w:rFonts w:ascii="Palatino Linotype" w:eastAsia="Palatino Linotype" w:hAnsi="Palatino Linotype" w:cs="Palatino Linotype"/>
                <w:sz w:val="18"/>
                <w:szCs w:val="18"/>
              </w:rPr>
            </w:pPr>
            <w:r w:rsidRPr="004A24F8">
              <w:rPr>
                <w:rFonts w:ascii="Palatino Linotype" w:eastAsia="Palatino Linotype" w:hAnsi="Palatino Linotype" w:cs="Palatino Linotype"/>
                <w:b/>
                <w:sz w:val="18"/>
                <w:szCs w:val="18"/>
              </w:rPr>
              <w:t xml:space="preserve">Titular de la Dirección General de Operaciones y Atención a Emergencias: </w:t>
            </w:r>
            <w:r w:rsidRPr="004A24F8">
              <w:rPr>
                <w:rFonts w:ascii="Palatino Linotype" w:eastAsia="Palatino Linotype" w:hAnsi="Palatino Linotype" w:cs="Palatino Linotype"/>
                <w:sz w:val="18"/>
                <w:szCs w:val="18"/>
              </w:rPr>
              <w:t>Manifiesta medularmente que no existe fuente obligacional de la cual derive que esta Dirección General deba contar con “minutarios”, ya que los mismos no son documentos de archivo.</w:t>
            </w:r>
          </w:p>
        </w:tc>
        <w:tc>
          <w:tcPr>
            <w:tcW w:w="2207" w:type="dxa"/>
          </w:tcPr>
          <w:p w14:paraId="4865A2D1" w14:textId="77777777" w:rsidR="002604D6" w:rsidRPr="004A24F8" w:rsidRDefault="00121F63">
            <w:pPr>
              <w:spacing w:line="360" w:lineRule="auto"/>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 xml:space="preserve">No </w:t>
            </w:r>
          </w:p>
        </w:tc>
      </w:tr>
      <w:tr w:rsidR="004A24F8" w:rsidRPr="004A24F8" w14:paraId="68B8F025" w14:textId="77777777">
        <w:tc>
          <w:tcPr>
            <w:tcW w:w="2207" w:type="dxa"/>
          </w:tcPr>
          <w:p w14:paraId="45491588"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lastRenderedPageBreak/>
              <w:t>Dirección General</w:t>
            </w:r>
          </w:p>
          <w:p w14:paraId="1FCBE889"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de Coordinación</w:t>
            </w:r>
          </w:p>
          <w:p w14:paraId="6CA49959"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con Organismos</w:t>
            </w:r>
          </w:p>
          <w:p w14:paraId="019BD369"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Operadores</w:t>
            </w:r>
          </w:p>
        </w:tc>
        <w:tc>
          <w:tcPr>
            <w:tcW w:w="2190" w:type="dxa"/>
          </w:tcPr>
          <w:p w14:paraId="520A2229"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sz w:val="18"/>
                <w:szCs w:val="18"/>
              </w:rPr>
              <w:t>No hay pronunciamiento</w:t>
            </w:r>
          </w:p>
        </w:tc>
        <w:tc>
          <w:tcPr>
            <w:tcW w:w="2224" w:type="dxa"/>
            <w:gridSpan w:val="2"/>
          </w:tcPr>
          <w:p w14:paraId="69CD4F84"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sz w:val="18"/>
                <w:szCs w:val="18"/>
              </w:rPr>
              <w:t>No hay pronunciamiento</w:t>
            </w:r>
          </w:p>
        </w:tc>
        <w:tc>
          <w:tcPr>
            <w:tcW w:w="2207" w:type="dxa"/>
          </w:tcPr>
          <w:p w14:paraId="04707158"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No</w:t>
            </w:r>
          </w:p>
        </w:tc>
      </w:tr>
      <w:tr w:rsidR="004A24F8" w:rsidRPr="004A24F8" w14:paraId="596894EE" w14:textId="77777777">
        <w:tc>
          <w:tcPr>
            <w:tcW w:w="2207" w:type="dxa"/>
          </w:tcPr>
          <w:p w14:paraId="19E1979B"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Dirección General</w:t>
            </w:r>
          </w:p>
          <w:p w14:paraId="7E81D8D1"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de Asuntos</w:t>
            </w:r>
          </w:p>
          <w:p w14:paraId="5667BD04"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Jurídicos e</w:t>
            </w:r>
          </w:p>
          <w:p w14:paraId="64CB1C4A"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Igualdad</w:t>
            </w:r>
          </w:p>
          <w:p w14:paraId="5F093AEB"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de Género</w:t>
            </w:r>
          </w:p>
        </w:tc>
        <w:tc>
          <w:tcPr>
            <w:tcW w:w="4414" w:type="dxa"/>
            <w:gridSpan w:val="3"/>
          </w:tcPr>
          <w:p w14:paraId="002622C4" w14:textId="77777777" w:rsidR="002604D6" w:rsidRPr="004A24F8" w:rsidRDefault="00121F63">
            <w:pPr>
              <w:jc w:val="both"/>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Subdirectora en materia Administrativa, Fiscal, Normatividad y de Consulta y Enlace de Transparencia de la Dirección General de Asuntos Jurídicos e Igualdad de Género:</w:t>
            </w:r>
            <w:r w:rsidRPr="004A24F8">
              <w:rPr>
                <w:rFonts w:ascii="Palatino Linotype" w:eastAsia="Palatino Linotype" w:hAnsi="Palatino Linotype" w:cs="Palatino Linotype"/>
                <w:sz w:val="18"/>
                <w:szCs w:val="18"/>
              </w:rPr>
              <w:t xml:space="preserve">  Refiere medularmente que no existe fuente obligacional de la cual derive que esta Dirección General de Asuntos Jurídicos e Igualdad de Género deba contar con “minutarios”, ya que los mismos no son documentos de archivo.</w:t>
            </w:r>
          </w:p>
        </w:tc>
        <w:tc>
          <w:tcPr>
            <w:tcW w:w="2207" w:type="dxa"/>
          </w:tcPr>
          <w:p w14:paraId="52106110" w14:textId="77777777" w:rsidR="002604D6" w:rsidRPr="004A24F8" w:rsidRDefault="00121F63">
            <w:pPr>
              <w:spacing w:line="360" w:lineRule="auto"/>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No</w:t>
            </w:r>
          </w:p>
        </w:tc>
      </w:tr>
      <w:tr w:rsidR="002604D6" w:rsidRPr="004A24F8" w14:paraId="4FE0E8D8" w14:textId="77777777">
        <w:tc>
          <w:tcPr>
            <w:tcW w:w="2207" w:type="dxa"/>
          </w:tcPr>
          <w:p w14:paraId="1C2648D4"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Dirección General</w:t>
            </w:r>
          </w:p>
          <w:p w14:paraId="03C4A2BE"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de Administración</w:t>
            </w:r>
          </w:p>
          <w:p w14:paraId="29A40F91"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 xml:space="preserve"> Finanzas</w:t>
            </w:r>
          </w:p>
        </w:tc>
        <w:tc>
          <w:tcPr>
            <w:tcW w:w="2190" w:type="dxa"/>
          </w:tcPr>
          <w:p w14:paraId="15F5FE87"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sz w:val="18"/>
                <w:szCs w:val="18"/>
              </w:rPr>
              <w:t>No hay pronunciamiento</w:t>
            </w:r>
          </w:p>
        </w:tc>
        <w:tc>
          <w:tcPr>
            <w:tcW w:w="2224" w:type="dxa"/>
            <w:gridSpan w:val="2"/>
          </w:tcPr>
          <w:p w14:paraId="19323426" w14:textId="77777777" w:rsidR="002604D6" w:rsidRPr="004A24F8" w:rsidRDefault="00121F63">
            <w:pPr>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sz w:val="18"/>
                <w:szCs w:val="18"/>
              </w:rPr>
              <w:t>No hay pronunciamiento</w:t>
            </w:r>
          </w:p>
        </w:tc>
        <w:tc>
          <w:tcPr>
            <w:tcW w:w="2207" w:type="dxa"/>
          </w:tcPr>
          <w:p w14:paraId="360744A3" w14:textId="77777777" w:rsidR="002604D6" w:rsidRPr="004A24F8" w:rsidRDefault="00121F63">
            <w:pPr>
              <w:spacing w:line="360" w:lineRule="auto"/>
              <w:jc w:val="center"/>
              <w:rPr>
                <w:rFonts w:ascii="Palatino Linotype" w:eastAsia="Palatino Linotype" w:hAnsi="Palatino Linotype" w:cs="Palatino Linotype"/>
                <w:b/>
                <w:sz w:val="18"/>
                <w:szCs w:val="18"/>
              </w:rPr>
            </w:pPr>
            <w:r w:rsidRPr="004A24F8">
              <w:rPr>
                <w:rFonts w:ascii="Palatino Linotype" w:eastAsia="Palatino Linotype" w:hAnsi="Palatino Linotype" w:cs="Palatino Linotype"/>
                <w:b/>
                <w:sz w:val="18"/>
                <w:szCs w:val="18"/>
              </w:rPr>
              <w:t>No</w:t>
            </w:r>
          </w:p>
        </w:tc>
      </w:tr>
    </w:tbl>
    <w:p w14:paraId="02519930"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0F6E7D70" w14:textId="77777777" w:rsidR="006D5EFB"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Por lo anterior, se tiene que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atendió parcialmente las solicitudes de información, en virtud de que </w:t>
      </w:r>
      <w:r w:rsidR="006D5EFB" w:rsidRPr="004A24F8">
        <w:rPr>
          <w:rFonts w:ascii="Palatino Linotype" w:eastAsia="Palatino Linotype" w:hAnsi="Palatino Linotype" w:cs="Palatino Linotype"/>
          <w:sz w:val="22"/>
          <w:szCs w:val="22"/>
        </w:rPr>
        <w:t>únicamente se otorgaron</w:t>
      </w:r>
      <w:r w:rsidRPr="004A24F8">
        <w:rPr>
          <w:rFonts w:ascii="Palatino Linotype" w:eastAsia="Palatino Linotype" w:hAnsi="Palatino Linotype" w:cs="Palatino Linotype"/>
          <w:sz w:val="22"/>
          <w:szCs w:val="22"/>
        </w:rPr>
        <w:t xml:space="preserve"> los minutarios de los años requeridos de áreas que se encuentran adscritas a la Dirección General de Infraestructura Hidráulica, sin embargo, </w:t>
      </w:r>
      <w:r w:rsidR="006D5EFB" w:rsidRPr="004A24F8">
        <w:rPr>
          <w:rFonts w:ascii="Palatino Linotype" w:eastAsia="Palatino Linotype" w:hAnsi="Palatino Linotype" w:cs="Palatino Linotype"/>
          <w:sz w:val="22"/>
          <w:szCs w:val="22"/>
        </w:rPr>
        <w:t>debemos tener en cuenta que la persona solicitante también requirió los minutarios de las  Subdirecciones, Departamentos y Unidade</w:t>
      </w:r>
      <w:r w:rsidR="009674D7" w:rsidRPr="004A24F8">
        <w:rPr>
          <w:rFonts w:ascii="Palatino Linotype" w:eastAsia="Palatino Linotype" w:hAnsi="Palatino Linotype" w:cs="Palatino Linotype"/>
          <w:sz w:val="22"/>
          <w:szCs w:val="22"/>
        </w:rPr>
        <w:t xml:space="preserve">s Staff, por lo tanto, al advertir en el esquema de análisis que faltan áreas administrativas por pronunciarse, tales como como la Dirección General de Asuntos Jurídicos e Igualdad de Género, Dirección General de Operaciones y Atención a Emergencias, Dirección General de Inversión y Gestión y la Dirección del Sistema Estatal de Información del Agua expresaron que no cuentan con minutario, así como Subdirecciones, Departamentos y Unidades Staff, es que se determina que el </w:t>
      </w:r>
      <w:r w:rsidR="009674D7" w:rsidRPr="004A24F8">
        <w:rPr>
          <w:rFonts w:ascii="Palatino Linotype" w:eastAsia="Palatino Linotype" w:hAnsi="Palatino Linotype" w:cs="Palatino Linotype"/>
          <w:b/>
          <w:sz w:val="22"/>
          <w:szCs w:val="22"/>
        </w:rPr>
        <w:t>Sujeto Obligado</w:t>
      </w:r>
      <w:r w:rsidR="009674D7" w:rsidRPr="004A24F8">
        <w:rPr>
          <w:rFonts w:ascii="Palatino Linotype" w:eastAsia="Palatino Linotype" w:hAnsi="Palatino Linotype" w:cs="Palatino Linotype"/>
          <w:sz w:val="22"/>
          <w:szCs w:val="22"/>
        </w:rPr>
        <w:t xml:space="preserve"> no satisfizo a cabalidad el requerimiento de información del particular. </w:t>
      </w:r>
    </w:p>
    <w:p w14:paraId="1CCEF19B" w14:textId="77777777" w:rsidR="002604D6" w:rsidRPr="004A24F8" w:rsidRDefault="009674D7">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A mayor abundamiento de lo anterior</w:t>
      </w:r>
      <w:r w:rsidR="00121F63"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sz w:val="22"/>
          <w:szCs w:val="22"/>
        </w:rPr>
        <w:t xml:space="preserve">tenemos que </w:t>
      </w:r>
      <w:r w:rsidR="00121F63" w:rsidRPr="004A24F8">
        <w:rPr>
          <w:rFonts w:ascii="Palatino Linotype" w:eastAsia="Palatino Linotype" w:hAnsi="Palatino Linotype" w:cs="Palatino Linotype"/>
          <w:sz w:val="22"/>
          <w:szCs w:val="22"/>
        </w:rPr>
        <w:t xml:space="preserve">como se observó en líneas anteriores, la Guía de Comunicación Formal para la Comisión del Agua del Estado de México contempla un control para los oficios emitidos por las unidades administrativas, lo cual se </w:t>
      </w:r>
      <w:r w:rsidR="00121F63" w:rsidRPr="004A24F8">
        <w:rPr>
          <w:rFonts w:ascii="Palatino Linotype" w:eastAsia="Palatino Linotype" w:hAnsi="Palatino Linotype" w:cs="Palatino Linotype"/>
          <w:sz w:val="22"/>
          <w:szCs w:val="22"/>
        </w:rPr>
        <w:lastRenderedPageBreak/>
        <w:t>acredita con los oficios enviados en respuesta, en los que se observa que si tiene un control a manera de ejemplo se muestran los remitidos por diversas áreas de la Comisión del Agua del Estado de México:</w:t>
      </w:r>
    </w:p>
    <w:p w14:paraId="4A178F77" w14:textId="77777777" w:rsidR="002604D6" w:rsidRPr="004A24F8" w:rsidRDefault="00121F63">
      <w:pPr>
        <w:spacing w:before="240" w:after="240" w:line="360" w:lineRule="auto"/>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22"/>
          <w:szCs w:val="22"/>
        </w:rPr>
        <w:t>Dirección General del Programa Hidráulico:</w:t>
      </w:r>
    </w:p>
    <w:p w14:paraId="04E79F00" w14:textId="77777777" w:rsidR="002604D6" w:rsidRPr="004A24F8" w:rsidRDefault="00121F63">
      <w:pPr>
        <w:spacing w:line="360" w:lineRule="auto"/>
        <w:jc w:val="center"/>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noProof/>
          <w:sz w:val="22"/>
          <w:szCs w:val="22"/>
        </w:rPr>
        <w:drawing>
          <wp:inline distT="0" distB="0" distL="0" distR="0" wp14:anchorId="610769BA" wp14:editId="746FDD0F">
            <wp:extent cx="2638794" cy="590633"/>
            <wp:effectExtent l="0" t="0" r="0" b="0"/>
            <wp:docPr id="1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l="18289" t="61962"/>
                    <a:stretch>
                      <a:fillRect/>
                    </a:stretch>
                  </pic:blipFill>
                  <pic:spPr>
                    <a:xfrm>
                      <a:off x="0" y="0"/>
                      <a:ext cx="2638794" cy="590633"/>
                    </a:xfrm>
                    <a:prstGeom prst="rect">
                      <a:avLst/>
                    </a:prstGeom>
                    <a:ln/>
                  </pic:spPr>
                </pic:pic>
              </a:graphicData>
            </a:graphic>
          </wp:inline>
        </w:drawing>
      </w:r>
    </w:p>
    <w:p w14:paraId="44CB8383" w14:textId="77777777" w:rsidR="002604D6" w:rsidRPr="004A24F8" w:rsidRDefault="002604D6">
      <w:pPr>
        <w:spacing w:line="360" w:lineRule="auto"/>
        <w:rPr>
          <w:rFonts w:ascii="Palatino Linotype" w:eastAsia="Palatino Linotype" w:hAnsi="Palatino Linotype" w:cs="Palatino Linotype"/>
          <w:b/>
          <w:sz w:val="22"/>
          <w:szCs w:val="22"/>
        </w:rPr>
      </w:pPr>
    </w:p>
    <w:p w14:paraId="4E81217D" w14:textId="77777777" w:rsidR="002604D6" w:rsidRPr="004A24F8" w:rsidRDefault="00121F63">
      <w:pPr>
        <w:spacing w:line="360" w:lineRule="auto"/>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22"/>
          <w:szCs w:val="22"/>
        </w:rPr>
        <w:t xml:space="preserve">Dirección General de Inversión y Gestión: </w:t>
      </w:r>
    </w:p>
    <w:p w14:paraId="4AEE9DA3" w14:textId="77777777" w:rsidR="002604D6" w:rsidRPr="004A24F8" w:rsidRDefault="00121F63">
      <w:pPr>
        <w:spacing w:line="360" w:lineRule="auto"/>
        <w:jc w:val="center"/>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noProof/>
          <w:sz w:val="22"/>
          <w:szCs w:val="22"/>
        </w:rPr>
        <w:drawing>
          <wp:inline distT="0" distB="0" distL="0" distR="0" wp14:anchorId="02807626" wp14:editId="15414049">
            <wp:extent cx="2619740" cy="600159"/>
            <wp:effectExtent l="0" t="0" r="0" b="0"/>
            <wp:docPr id="1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l="15644" t="54348"/>
                    <a:stretch>
                      <a:fillRect/>
                    </a:stretch>
                  </pic:blipFill>
                  <pic:spPr>
                    <a:xfrm>
                      <a:off x="0" y="0"/>
                      <a:ext cx="2619740" cy="600159"/>
                    </a:xfrm>
                    <a:prstGeom prst="rect">
                      <a:avLst/>
                    </a:prstGeom>
                    <a:ln/>
                  </pic:spPr>
                </pic:pic>
              </a:graphicData>
            </a:graphic>
          </wp:inline>
        </w:drawing>
      </w:r>
    </w:p>
    <w:p w14:paraId="3F225F44" w14:textId="77777777" w:rsidR="002604D6" w:rsidRPr="004A24F8" w:rsidRDefault="002604D6">
      <w:pPr>
        <w:spacing w:line="360" w:lineRule="auto"/>
        <w:jc w:val="both"/>
        <w:rPr>
          <w:rFonts w:ascii="Palatino Linotype" w:eastAsia="Palatino Linotype" w:hAnsi="Palatino Linotype" w:cs="Palatino Linotype"/>
          <w:b/>
          <w:sz w:val="22"/>
          <w:szCs w:val="22"/>
        </w:rPr>
      </w:pPr>
    </w:p>
    <w:p w14:paraId="24AD8082"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De lo anterior, se observa que si llevan un registro para poder tener un orden en los números consecutivos de los oficios que generan todas las unidades administrativas del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documento al cual quiere tener acceso </w:t>
      </w:r>
      <w:r w:rsidRPr="004A24F8">
        <w:rPr>
          <w:rFonts w:ascii="Palatino Linotype" w:eastAsia="Palatino Linotype" w:hAnsi="Palatino Linotype" w:cs="Palatino Linotype"/>
          <w:b/>
          <w:sz w:val="22"/>
          <w:szCs w:val="22"/>
        </w:rPr>
        <w:t>la parte Recurrente</w:t>
      </w:r>
      <w:r w:rsidRPr="004A24F8">
        <w:rPr>
          <w:rFonts w:ascii="Palatino Linotype" w:eastAsia="Palatino Linotype" w:hAnsi="Palatino Linotype" w:cs="Palatino Linotype"/>
          <w:sz w:val="22"/>
          <w:szCs w:val="22"/>
        </w:rPr>
        <w:t>, lo anterior, como consecuencia de que este Organismo Garante no debe suponer bajo ninguna circunstancia que la persona Recurrente sea experta en Derecho, mucho menos en la materia del Derecho de Acceso a la Información Pública, atento al contenido de los numerales 13 y 181 de la Ley de la Materia, por tal razón lo dable es ordenar dichos documentos, por lo que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F27B5AC"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2171550A" w14:textId="77777777" w:rsidR="002604D6" w:rsidRPr="004A24F8" w:rsidRDefault="00121F63">
      <w:pPr>
        <w:spacing w:line="276" w:lineRule="auto"/>
        <w:ind w:left="567" w:right="474"/>
        <w:jc w:val="both"/>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i/>
          <w:sz w:val="22"/>
          <w:szCs w:val="22"/>
        </w:rPr>
        <w:lastRenderedPageBreak/>
        <w:t>“</w:t>
      </w:r>
      <w:r w:rsidRPr="004A24F8">
        <w:rPr>
          <w:rFonts w:ascii="Palatino Linotype" w:eastAsia="Palatino Linotype" w:hAnsi="Palatino Linotype" w:cs="Palatino Linotype"/>
          <w:b/>
          <w:i/>
          <w:sz w:val="22"/>
          <w:szCs w:val="22"/>
        </w:rPr>
        <w:t>CRITERIO 0002-11</w:t>
      </w:r>
    </w:p>
    <w:p w14:paraId="13D81409" w14:textId="77777777" w:rsidR="002604D6" w:rsidRPr="004A24F8" w:rsidRDefault="00121F63">
      <w:pPr>
        <w:spacing w:line="276" w:lineRule="auto"/>
        <w:ind w:left="567" w:right="474"/>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4A24F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8567F9" w14:textId="77777777" w:rsidR="002604D6" w:rsidRPr="004A24F8" w:rsidRDefault="00121F63">
      <w:pPr>
        <w:spacing w:line="276" w:lineRule="auto"/>
        <w:ind w:left="567" w:right="474"/>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FF298F9" w14:textId="77777777" w:rsidR="002604D6" w:rsidRPr="004A24F8" w:rsidRDefault="00121F63">
      <w:pPr>
        <w:spacing w:line="276" w:lineRule="auto"/>
        <w:ind w:left="567" w:right="474"/>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68E32FF1" w14:textId="77777777" w:rsidR="002604D6" w:rsidRPr="004A24F8" w:rsidRDefault="00121F63">
      <w:pPr>
        <w:spacing w:line="276" w:lineRule="auto"/>
        <w:ind w:left="567" w:right="474"/>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6EB32630" w14:textId="77777777" w:rsidR="002604D6" w:rsidRPr="004A24F8" w:rsidRDefault="00121F63">
      <w:pPr>
        <w:spacing w:line="276" w:lineRule="auto"/>
        <w:ind w:left="567" w:right="474"/>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69CCE005" w14:textId="77777777" w:rsidR="002604D6" w:rsidRPr="004A24F8" w:rsidRDefault="002604D6">
      <w:pPr>
        <w:spacing w:line="360" w:lineRule="auto"/>
        <w:ind w:left="567" w:right="474"/>
        <w:jc w:val="both"/>
        <w:rPr>
          <w:rFonts w:ascii="Palatino Linotype" w:eastAsia="Palatino Linotype" w:hAnsi="Palatino Linotype" w:cs="Palatino Linotype"/>
          <w:sz w:val="22"/>
          <w:szCs w:val="22"/>
        </w:rPr>
      </w:pPr>
    </w:p>
    <w:p w14:paraId="73BAFEE6"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Es así que, todos los actos de autoridad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67D1AAA6"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718C8E20"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lastRenderedPageBreak/>
        <w:t xml:space="preserve">De lo señalado,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 por lo que deberá proporcionar los documentos en donde consta lo requerido por </w:t>
      </w:r>
      <w:r w:rsidRPr="004A24F8">
        <w:rPr>
          <w:rFonts w:ascii="Palatino Linotype" w:eastAsia="Palatino Linotype" w:hAnsi="Palatino Linotype" w:cs="Palatino Linotype"/>
          <w:b/>
          <w:sz w:val="22"/>
          <w:szCs w:val="22"/>
        </w:rPr>
        <w:t>la parte Recurrente</w:t>
      </w:r>
      <w:r w:rsidRPr="004A24F8">
        <w:rPr>
          <w:rFonts w:ascii="Palatino Linotype" w:eastAsia="Palatino Linotype" w:hAnsi="Palatino Linotype" w:cs="Palatino Linotype"/>
          <w:sz w:val="22"/>
          <w:szCs w:val="22"/>
        </w:rPr>
        <w:t xml:space="preserve">. </w:t>
      </w:r>
    </w:p>
    <w:p w14:paraId="38354A13"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Por otro lado, tenemos que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no proporcionó pronunciamiento de algunas áreas, las cuales se detallaron en el cuadro de análisis, por ello se concluye que no se observó lo que dispone el Criterio 02/2017 emitido por el Instituto Nacional de Transparencia, Acceso a la Información y Protección de Datos Personales se establece que: </w:t>
      </w:r>
    </w:p>
    <w:p w14:paraId="6F679CD5" w14:textId="77777777" w:rsidR="002604D6" w:rsidRPr="004A24F8" w:rsidRDefault="00121F63">
      <w:pPr>
        <w:spacing w:before="240" w:after="240" w:line="276" w:lineRule="auto"/>
        <w:ind w:left="567" w:right="900"/>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r w:rsidRPr="004A24F8">
        <w:rPr>
          <w:rFonts w:ascii="Palatino Linotype" w:eastAsia="Palatino Linotype" w:hAnsi="Palatino Linotype" w:cs="Palatino Linotype"/>
          <w:b/>
          <w:i/>
          <w:sz w:val="22"/>
          <w:szCs w:val="22"/>
        </w:rPr>
        <w:t>Congruencia y exhaustividad. Sus alcances para garantizar el derecho de acceso a la información</w:t>
      </w:r>
      <w:r w:rsidRPr="004A24F8">
        <w:rPr>
          <w:rFonts w:ascii="Palatino Linotype" w:eastAsia="Palatino Linotype" w:hAnsi="Palatino Linotype" w:cs="Palatino Linotype"/>
          <w:i/>
          <w:sz w:val="22"/>
          <w:szCs w:val="22"/>
        </w:rPr>
        <w:t>.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4F880BA" w14:textId="77777777" w:rsidR="002604D6" w:rsidRPr="004A24F8" w:rsidRDefault="00121F63">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lastRenderedPageBreak/>
        <w:t xml:space="preserve">Es así, que los sujetos obligados para garantizar el derecho de acceso a la Información, deberán cumplir con los principios de exhaustividad y congruencia, esto es, que la congruencia </w:t>
      </w:r>
      <w:r w:rsidRPr="004A24F8">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4A24F8">
        <w:rPr>
          <w:rFonts w:ascii="Palatino Linotype" w:eastAsia="Palatino Linotype" w:hAnsi="Palatino Linotype" w:cs="Palatino Linotype"/>
          <w:sz w:val="22"/>
          <w:szCs w:val="22"/>
        </w:rPr>
        <w:t xml:space="preserve">, mientras que la exhaustividad establece que el sujeto obligado </w:t>
      </w:r>
      <w:r w:rsidRPr="004A24F8">
        <w:rPr>
          <w:rFonts w:ascii="Palatino Linotype" w:eastAsia="Palatino Linotype" w:hAnsi="Palatino Linotype" w:cs="Palatino Linotype"/>
          <w:b/>
          <w:sz w:val="22"/>
          <w:szCs w:val="22"/>
        </w:rPr>
        <w:t>deberá atender de manera expresa cada uno de los puntos solicitados</w:t>
      </w:r>
      <w:r w:rsidRPr="004A24F8">
        <w:rPr>
          <w:rFonts w:ascii="Palatino Linotype" w:eastAsia="Palatino Linotype" w:hAnsi="Palatino Linotype" w:cs="Palatino Linotype"/>
          <w:sz w:val="22"/>
          <w:szCs w:val="22"/>
        </w:rPr>
        <w:t xml:space="preserve">, situación que en el presente caso </w:t>
      </w:r>
      <w:r w:rsidRPr="004A24F8">
        <w:rPr>
          <w:rFonts w:ascii="Palatino Linotype" w:eastAsia="Palatino Linotype" w:hAnsi="Palatino Linotype" w:cs="Palatino Linotype"/>
          <w:b/>
          <w:sz w:val="22"/>
          <w:szCs w:val="22"/>
          <w:u w:val="single"/>
        </w:rPr>
        <w:t>no aconteció</w:t>
      </w:r>
      <w:r w:rsidRPr="004A24F8">
        <w:rPr>
          <w:rFonts w:ascii="Palatino Linotype" w:eastAsia="Palatino Linotype" w:hAnsi="Palatino Linotype" w:cs="Palatino Linotype"/>
          <w:sz w:val="22"/>
          <w:szCs w:val="22"/>
        </w:rPr>
        <w:t xml:space="preserve">, pues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no fue congruente en proporcionar la totalidad de la información que requirió específicamente </w:t>
      </w:r>
      <w:r w:rsidRPr="004A24F8">
        <w:rPr>
          <w:rFonts w:ascii="Palatino Linotype" w:eastAsia="Palatino Linotype" w:hAnsi="Palatino Linotype" w:cs="Palatino Linotype"/>
          <w:b/>
          <w:sz w:val="22"/>
          <w:szCs w:val="22"/>
        </w:rPr>
        <w:t>la parte Recurrente</w:t>
      </w:r>
      <w:r w:rsidRPr="004A24F8">
        <w:rPr>
          <w:rFonts w:ascii="Palatino Linotype" w:eastAsia="Palatino Linotype" w:hAnsi="Palatino Linotype" w:cs="Palatino Linotype"/>
          <w:sz w:val="22"/>
          <w:szCs w:val="22"/>
        </w:rPr>
        <w:t>. </w:t>
      </w:r>
    </w:p>
    <w:p w14:paraId="7C6F4864"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54392906"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Por lo anterior, nos encontramos con el hecho de que no se realizó un turno correcto de las solicitudes de información pues, se insiste que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2FE7BF65"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68A654F7" w14:textId="77777777" w:rsidR="002604D6" w:rsidRPr="004A24F8" w:rsidRDefault="00121F63">
      <w:pPr>
        <w:spacing w:after="240" w:line="360" w:lineRule="auto"/>
        <w:jc w:val="both"/>
        <w:rPr>
          <w:sz w:val="22"/>
          <w:szCs w:val="22"/>
        </w:rPr>
      </w:pPr>
      <w:r w:rsidRPr="004A24F8">
        <w:rPr>
          <w:rFonts w:ascii="Palatino Linotype" w:eastAsia="Palatino Linotype" w:hAnsi="Palatino Linotype" w:cs="Palatino Linotype"/>
          <w:sz w:val="22"/>
          <w:szCs w:val="22"/>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0166850" w14:textId="77777777" w:rsidR="002604D6" w:rsidRPr="004A24F8" w:rsidRDefault="00121F63">
      <w:pPr>
        <w:spacing w:after="240" w:line="360" w:lineRule="auto"/>
        <w:jc w:val="both"/>
        <w:rPr>
          <w:sz w:val="22"/>
          <w:szCs w:val="22"/>
        </w:rPr>
      </w:pPr>
      <w:r w:rsidRPr="004A24F8">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siguiente a la presentación de esta. </w:t>
      </w:r>
    </w:p>
    <w:p w14:paraId="06ACA413" w14:textId="77777777" w:rsidR="002604D6" w:rsidRPr="004A24F8" w:rsidRDefault="00121F63">
      <w:pPr>
        <w:spacing w:after="240" w:line="360" w:lineRule="auto"/>
        <w:jc w:val="both"/>
        <w:rPr>
          <w:sz w:val="22"/>
          <w:szCs w:val="22"/>
        </w:rPr>
      </w:pPr>
      <w:r w:rsidRPr="004A24F8">
        <w:rPr>
          <w:rFonts w:ascii="Palatino Linotype" w:eastAsia="Palatino Linotype" w:hAnsi="Palatino Linotype" w:cs="Palatino Linotype"/>
          <w:sz w:val="22"/>
          <w:szCs w:val="22"/>
        </w:rPr>
        <w:t>Excepcionalmente, el plazo referido podrá ampliarse por siete días hábiles más, cuando existan razones fundadas y motivadas, a través del Comité de Transparencia; </w:t>
      </w:r>
    </w:p>
    <w:p w14:paraId="281F2CAB" w14:textId="77777777" w:rsidR="002604D6" w:rsidRPr="004A24F8" w:rsidRDefault="00121F63">
      <w:pPr>
        <w:spacing w:after="240" w:line="360" w:lineRule="auto"/>
        <w:jc w:val="both"/>
        <w:rPr>
          <w:sz w:val="22"/>
          <w:szCs w:val="22"/>
        </w:rPr>
      </w:pPr>
      <w:r w:rsidRPr="004A24F8">
        <w:rPr>
          <w:rFonts w:ascii="Palatino Linotype" w:eastAsia="Palatino Linotype" w:hAnsi="Palatino Linotype" w:cs="Palatino Linotype"/>
          <w:sz w:val="22"/>
          <w:szCs w:val="22"/>
        </w:rPr>
        <w:lastRenderedPageBreak/>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F0165B3" w14:textId="77777777" w:rsidR="002604D6" w:rsidRPr="004A24F8" w:rsidRDefault="00121F63">
      <w:pPr>
        <w:spacing w:after="240" w:line="360" w:lineRule="auto"/>
        <w:jc w:val="both"/>
        <w:rPr>
          <w:sz w:val="22"/>
          <w:szCs w:val="22"/>
        </w:rPr>
      </w:pPr>
      <w:r w:rsidRPr="004A24F8">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deberá ofrecer otras; por lo cual, deberá fundar y motivar la necesidad de modificar el medio de entrega, y </w:t>
      </w:r>
    </w:p>
    <w:p w14:paraId="03A76C1B" w14:textId="77777777" w:rsidR="002604D6" w:rsidRPr="004A24F8" w:rsidRDefault="00121F63">
      <w:pPr>
        <w:spacing w:after="240" w:line="360" w:lineRule="auto"/>
        <w:jc w:val="both"/>
        <w:rPr>
          <w:sz w:val="22"/>
          <w:szCs w:val="22"/>
        </w:rPr>
      </w:pPr>
      <w:r w:rsidRPr="004A24F8">
        <w:rPr>
          <w:rFonts w:ascii="Palatino Linotype" w:eastAsia="Palatino Linotype" w:hAnsi="Palatino Linotype" w:cs="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8EB06C0" w14:textId="77777777" w:rsidR="002604D6" w:rsidRPr="004A24F8" w:rsidRDefault="00121F63">
      <w:pPr>
        <w:spacing w:after="240" w:line="360" w:lineRule="auto"/>
        <w:ind w:right="49"/>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Por lo insertado con anterioridad, se determina que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cuenta con la obligación de turnar a todas las áreas que se consideren competentes para que realicen una búsqueda exhaustiva y razonable de la información solicitada a fin de que esta sea entregada a los solicitantes.</w:t>
      </w:r>
    </w:p>
    <w:p w14:paraId="7B6EBD67"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w:t>
      </w:r>
    </w:p>
    <w:p w14:paraId="62650776" w14:textId="77777777" w:rsidR="00121F63" w:rsidRPr="004A24F8" w:rsidRDefault="00121F63">
      <w:pPr>
        <w:spacing w:line="360" w:lineRule="auto"/>
        <w:jc w:val="both"/>
        <w:rPr>
          <w:rFonts w:ascii="Palatino Linotype" w:eastAsia="Palatino Linotype" w:hAnsi="Palatino Linotype" w:cs="Palatino Linotype"/>
          <w:sz w:val="22"/>
          <w:szCs w:val="22"/>
        </w:rPr>
      </w:pPr>
    </w:p>
    <w:p w14:paraId="58DC1B33" w14:textId="77777777" w:rsidR="00121F63"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lastRenderedPageBreak/>
        <w:t xml:space="preserve">Por lo anterior, se abordan a las siguientes conclusiones: </w:t>
      </w:r>
    </w:p>
    <w:p w14:paraId="0F0C4B7F" w14:textId="77777777" w:rsidR="00121F63" w:rsidRPr="004A24F8" w:rsidRDefault="00121F63">
      <w:pPr>
        <w:spacing w:line="360" w:lineRule="auto"/>
        <w:jc w:val="both"/>
        <w:rPr>
          <w:rFonts w:ascii="Palatino Linotype" w:eastAsia="Palatino Linotype" w:hAnsi="Palatino Linotype" w:cs="Palatino Linotype"/>
          <w:sz w:val="22"/>
          <w:szCs w:val="22"/>
        </w:rPr>
      </w:pPr>
    </w:p>
    <w:p w14:paraId="65B9040D" w14:textId="77777777" w:rsidR="00A85E82" w:rsidRPr="004A24F8" w:rsidRDefault="00A85E82" w:rsidP="00A85E82">
      <w:pPr>
        <w:pStyle w:val="Prrafodelista"/>
        <w:numPr>
          <w:ilvl w:val="3"/>
          <w:numId w:val="3"/>
        </w:numPr>
        <w:spacing w:line="360" w:lineRule="auto"/>
        <w:ind w:left="567" w:right="900" w:hanging="283"/>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Como se desprende del esquema de análisis,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realizó un turno parcial de la solicitud de información pues se insiste, faltaron algunas áreas por pronunciarse.</w:t>
      </w:r>
    </w:p>
    <w:p w14:paraId="05DD5A6A" w14:textId="77777777" w:rsidR="00121F63" w:rsidRPr="004A24F8" w:rsidRDefault="00A85E82" w:rsidP="00A85E82">
      <w:pPr>
        <w:pStyle w:val="Prrafodelista"/>
        <w:numPr>
          <w:ilvl w:val="3"/>
          <w:numId w:val="3"/>
        </w:numPr>
        <w:spacing w:line="360" w:lineRule="auto"/>
        <w:ind w:left="567" w:right="900" w:hanging="283"/>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La Guía de Comunicación Formal para la Comisión del Agua del Estado de México contempla que las Direcciones en sus documentos de comunicación formal deben incluir un código estructural en el que se asienta un número consecutivo, lo cual permitirá contar con un control de generación de los oficios.</w:t>
      </w:r>
    </w:p>
    <w:p w14:paraId="17E2595F" w14:textId="77777777" w:rsidR="00A85E82" w:rsidRPr="004A24F8" w:rsidRDefault="00A85E82" w:rsidP="00A85E82">
      <w:pPr>
        <w:pStyle w:val="Prrafodelista"/>
        <w:numPr>
          <w:ilvl w:val="3"/>
          <w:numId w:val="3"/>
        </w:numPr>
        <w:spacing w:line="360" w:lineRule="auto"/>
        <w:ind w:left="567" w:right="900" w:hanging="283"/>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Por consiguiente no es posible validar las respuestas de las áreas que se pronunciaron en respuesta y manifestaron no contar con un minutario pues la guía en referencia si contempla un seguimiento a los oficios de las Direcciones. </w:t>
      </w:r>
    </w:p>
    <w:p w14:paraId="618B4237" w14:textId="77777777" w:rsidR="00A85E82" w:rsidRPr="004A24F8" w:rsidRDefault="00A85E82" w:rsidP="008441F7">
      <w:pPr>
        <w:pStyle w:val="Prrafodelista"/>
        <w:numPr>
          <w:ilvl w:val="3"/>
          <w:numId w:val="3"/>
        </w:numPr>
        <w:spacing w:line="360" w:lineRule="auto"/>
        <w:ind w:left="567" w:right="900"/>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En consecuencia, para atender este requerimiento de información,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deberá proporcionar los minutarios o documento análogo de la Dirección del Sistema Estatal de Información del Agua,  Dirección General de Operaciones y Atención a Emergencias, Dirección General de Inversión y Gestión, y la Dirección General de Asuntos Jurídicos e Igualdad de Género, </w:t>
      </w:r>
      <w:r w:rsidR="008441F7" w:rsidRPr="004A24F8">
        <w:rPr>
          <w:rFonts w:ascii="Palatino Linotype" w:eastAsia="Palatino Linotype" w:hAnsi="Palatino Linotype" w:cs="Palatino Linotype"/>
          <w:sz w:val="22"/>
          <w:szCs w:val="22"/>
        </w:rPr>
        <w:t>así como de  las faltantes por pronunciarse, pues se insiste, estas áreas se encuentran constreñidas a contar con dichos documentos donde obre dicho control de los oficios.</w:t>
      </w:r>
    </w:p>
    <w:p w14:paraId="3678145E" w14:textId="77777777" w:rsidR="00746E35" w:rsidRPr="004A24F8" w:rsidRDefault="00746E35" w:rsidP="00746E35">
      <w:pPr>
        <w:pBdr>
          <w:top w:val="nil"/>
          <w:left w:val="nil"/>
          <w:bottom w:val="nil"/>
          <w:right w:val="nil"/>
          <w:between w:val="nil"/>
        </w:pBdr>
        <w:spacing w:before="360" w:after="240" w:line="360" w:lineRule="auto"/>
        <w:ind w:right="14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No obstante lo anterior, para el caso en el que las Subdirecciones, Departamentos y Unidades Staff no cuenten con minutarios, en razón de que los oficios de estas áreas son generados por las unidades superiores jerárquicamente, es decir, por las Direcciones, </w:t>
      </w:r>
      <w:r w:rsidRPr="004A24F8">
        <w:rPr>
          <w:rFonts w:ascii="Palatino Linotype" w:eastAsia="Palatino Linotype" w:hAnsi="Palatino Linotype" w:cs="Palatino Linotype"/>
          <w:sz w:val="22"/>
          <w:szCs w:val="22"/>
        </w:rPr>
        <w:lastRenderedPageBreak/>
        <w:t>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37B23291" w14:textId="77777777" w:rsidR="00746E35" w:rsidRPr="004A24F8" w:rsidRDefault="00746E35" w:rsidP="00746E35">
      <w:pPr>
        <w:pBdr>
          <w:top w:val="nil"/>
          <w:left w:val="nil"/>
          <w:bottom w:val="nil"/>
          <w:right w:val="nil"/>
          <w:between w:val="nil"/>
        </w:pBdr>
        <w:spacing w:before="360" w:after="240" w:line="276" w:lineRule="auto"/>
        <w:ind w:left="567" w:right="900"/>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“Artículo 19…</w:t>
      </w:r>
    </w:p>
    <w:p w14:paraId="4A4AA50A" w14:textId="77777777" w:rsidR="00746E35" w:rsidRPr="004A24F8" w:rsidRDefault="00746E35" w:rsidP="00746E35">
      <w:pPr>
        <w:pBdr>
          <w:top w:val="nil"/>
          <w:left w:val="nil"/>
          <w:bottom w:val="nil"/>
          <w:right w:val="nil"/>
          <w:between w:val="nil"/>
        </w:pBdr>
        <w:spacing w:before="360" w:after="240" w:line="276" w:lineRule="auto"/>
        <w:ind w:left="567" w:right="900"/>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CAA4B99" w14:textId="77777777" w:rsidR="002604D6" w:rsidRPr="004A24F8" w:rsidRDefault="00121F63">
      <w:pPr>
        <w:pBdr>
          <w:top w:val="nil"/>
          <w:left w:val="nil"/>
          <w:bottom w:val="nil"/>
          <w:right w:val="nil"/>
          <w:between w:val="nil"/>
        </w:pBdr>
        <w:spacing w:before="360" w:after="240" w:line="360" w:lineRule="auto"/>
        <w:ind w:right="14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Por otra parte, tenemos que los minutarios de la Residencia de Construcción Atlacomulco de los ejercicios fiscales 2023 y 2024, se advierte que estos se encuentran parcialmente ilegibles, tal como se acredita en las siguientes impresiones de pantalla:</w:t>
      </w:r>
    </w:p>
    <w:p w14:paraId="1C22F3B1" w14:textId="77777777" w:rsidR="002604D6" w:rsidRPr="004A24F8" w:rsidRDefault="00121F63">
      <w:pPr>
        <w:pBdr>
          <w:top w:val="nil"/>
          <w:left w:val="nil"/>
          <w:bottom w:val="nil"/>
          <w:right w:val="nil"/>
          <w:between w:val="nil"/>
        </w:pBdr>
        <w:spacing w:before="360" w:after="240" w:line="360" w:lineRule="auto"/>
        <w:ind w:right="142"/>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22"/>
          <w:szCs w:val="22"/>
        </w:rPr>
        <w:t xml:space="preserve">2023: </w:t>
      </w:r>
    </w:p>
    <w:p w14:paraId="03EB8F3E" w14:textId="77777777" w:rsidR="002604D6" w:rsidRPr="004A24F8" w:rsidRDefault="00121F63">
      <w:pPr>
        <w:pBdr>
          <w:top w:val="nil"/>
          <w:left w:val="nil"/>
          <w:bottom w:val="nil"/>
          <w:right w:val="nil"/>
          <w:between w:val="nil"/>
        </w:pBdr>
        <w:spacing w:before="360" w:after="240" w:line="360" w:lineRule="auto"/>
        <w:ind w:right="142"/>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drawing>
          <wp:inline distT="0" distB="0" distL="0" distR="0" wp14:anchorId="034BF802" wp14:editId="147613C9">
            <wp:extent cx="4275395" cy="3284672"/>
            <wp:effectExtent l="0" t="0" r="0" b="0"/>
            <wp:docPr id="1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275395" cy="3284672"/>
                    </a:xfrm>
                    <a:prstGeom prst="rect">
                      <a:avLst/>
                    </a:prstGeom>
                    <a:ln/>
                  </pic:spPr>
                </pic:pic>
              </a:graphicData>
            </a:graphic>
          </wp:inline>
        </w:drawing>
      </w:r>
    </w:p>
    <w:p w14:paraId="7EE2EB00" w14:textId="77777777" w:rsidR="002604D6" w:rsidRPr="004A24F8" w:rsidRDefault="00121F63">
      <w:pPr>
        <w:pBdr>
          <w:top w:val="nil"/>
          <w:left w:val="nil"/>
          <w:bottom w:val="nil"/>
          <w:right w:val="nil"/>
          <w:between w:val="nil"/>
        </w:pBdr>
        <w:spacing w:before="360" w:after="240" w:line="360" w:lineRule="auto"/>
        <w:ind w:right="142"/>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22"/>
          <w:szCs w:val="22"/>
        </w:rPr>
        <w:lastRenderedPageBreak/>
        <w:t xml:space="preserve">2024: </w:t>
      </w:r>
    </w:p>
    <w:p w14:paraId="625E6904" w14:textId="77777777" w:rsidR="002604D6" w:rsidRPr="004A24F8" w:rsidRDefault="00121F63">
      <w:pPr>
        <w:pBdr>
          <w:top w:val="nil"/>
          <w:left w:val="nil"/>
          <w:bottom w:val="nil"/>
          <w:right w:val="nil"/>
          <w:between w:val="nil"/>
        </w:pBdr>
        <w:spacing w:before="360" w:after="240" w:line="360" w:lineRule="auto"/>
        <w:ind w:right="142"/>
        <w:jc w:val="center"/>
        <w:rPr>
          <w:rFonts w:ascii="Palatino Linotype" w:eastAsia="Palatino Linotype" w:hAnsi="Palatino Linotype" w:cs="Palatino Linotype"/>
          <w:sz w:val="22"/>
          <w:szCs w:val="22"/>
        </w:rPr>
      </w:pPr>
      <w:r w:rsidRPr="004A24F8">
        <w:rPr>
          <w:rFonts w:ascii="Palatino Linotype" w:eastAsia="Palatino Linotype" w:hAnsi="Palatino Linotype" w:cs="Palatino Linotype"/>
          <w:noProof/>
          <w:sz w:val="22"/>
          <w:szCs w:val="22"/>
        </w:rPr>
        <w:drawing>
          <wp:inline distT="0" distB="0" distL="0" distR="0" wp14:anchorId="10E1BC33" wp14:editId="3EFDA128">
            <wp:extent cx="3914985" cy="3242107"/>
            <wp:effectExtent l="0" t="0" r="0" b="0"/>
            <wp:docPr id="1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3914985" cy="3242107"/>
                    </a:xfrm>
                    <a:prstGeom prst="rect">
                      <a:avLst/>
                    </a:prstGeom>
                    <a:ln/>
                  </pic:spPr>
                </pic:pic>
              </a:graphicData>
            </a:graphic>
          </wp:inline>
        </w:drawing>
      </w:r>
    </w:p>
    <w:p w14:paraId="5AEFAEC5" w14:textId="77777777" w:rsidR="002604D6" w:rsidRPr="004A24F8" w:rsidRDefault="00121F63">
      <w:pPr>
        <w:pBdr>
          <w:top w:val="nil"/>
          <w:left w:val="nil"/>
          <w:bottom w:val="nil"/>
          <w:right w:val="nil"/>
          <w:between w:val="nil"/>
        </w:pBdr>
        <w:spacing w:before="360" w:after="240" w:line="360" w:lineRule="auto"/>
        <w:ind w:right="142"/>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Por lo que al no proporcionar las documentales en una mejor calidad, se tiene que no se da cumplimiento a lo dispuesto por el artículo 11 de la Ley de Transparencia y Acceso a la Información Pública del Estado de México y Municipios, el cual dispone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por lo tanto, para atender este requerimiento de información, deberá proporcionar las documentales que fueron entregadas en formato ilegible y deberán entregarse en un formato legible, es decir, en máxima resolución.</w:t>
      </w:r>
    </w:p>
    <w:p w14:paraId="3810A01F" w14:textId="77777777" w:rsidR="002604D6" w:rsidRPr="004A24F8" w:rsidRDefault="00121F63">
      <w:pPr>
        <w:pBdr>
          <w:top w:val="nil"/>
          <w:left w:val="nil"/>
          <w:bottom w:val="nil"/>
          <w:right w:val="nil"/>
          <w:between w:val="nil"/>
        </w:pBdr>
        <w:spacing w:before="360" w:after="240" w:line="360" w:lineRule="auto"/>
        <w:ind w:right="142"/>
        <w:jc w:val="both"/>
        <w:rPr>
          <w:sz w:val="22"/>
          <w:szCs w:val="22"/>
        </w:rPr>
      </w:pPr>
      <w:r w:rsidRPr="004A24F8">
        <w:rPr>
          <w:rFonts w:ascii="Palatino Linotype" w:eastAsia="Palatino Linotype" w:hAnsi="Palatino Linotype" w:cs="Palatino Linotype"/>
          <w:sz w:val="22"/>
          <w:szCs w:val="22"/>
        </w:rPr>
        <w:lastRenderedPageBreak/>
        <w:t xml:space="preserve">Es decir, la información documental que entregue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debe ser clara, entendible y legible, esto con la finalidad de que pueda ser verificada la información contenida en los documentos proporcionados, ya que de lo contrario se incumple el principio de accesibilidad, lo que constituye una restricción indirecta al Derecho de Acceso a la Información Pública.</w:t>
      </w:r>
    </w:p>
    <w:p w14:paraId="70DB95F5" w14:textId="77777777" w:rsidR="002604D6" w:rsidRPr="004A24F8" w:rsidRDefault="00121F63">
      <w:pPr>
        <w:pBdr>
          <w:top w:val="nil"/>
          <w:left w:val="nil"/>
          <w:bottom w:val="nil"/>
          <w:right w:val="nil"/>
          <w:between w:val="nil"/>
        </w:pBdr>
        <w:spacing w:before="360" w:after="240" w:line="360" w:lineRule="auto"/>
        <w:ind w:right="142"/>
        <w:jc w:val="both"/>
        <w:rPr>
          <w:sz w:val="22"/>
          <w:szCs w:val="22"/>
        </w:rPr>
      </w:pPr>
      <w:r w:rsidRPr="004A24F8">
        <w:rPr>
          <w:rFonts w:ascii="Palatino Linotype" w:eastAsia="Palatino Linotype" w:hAnsi="Palatino Linotype" w:cs="Palatino Linotype"/>
          <w:sz w:val="22"/>
          <w:szCs w:val="22"/>
        </w:rPr>
        <w:t xml:space="preserve">En conclusión,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al momento en que dé respuesta a cualquier solicitud de acceso a la información deberá revisar y verificar que la documentación que remitió en su respuesta y que resultó ilegible o indebidamente escaneada, sea entregada de manera adecuada, para que este Instituto tenga por satisfecho el derecho de acceso a la información ejercido por la parte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w:t>
      </w:r>
    </w:p>
    <w:p w14:paraId="3314C9E5" w14:textId="77777777" w:rsidR="002604D6" w:rsidRPr="004A24F8" w:rsidRDefault="00121F63">
      <w:pPr>
        <w:pBdr>
          <w:top w:val="nil"/>
          <w:left w:val="nil"/>
          <w:bottom w:val="nil"/>
          <w:right w:val="nil"/>
          <w:between w:val="nil"/>
        </w:pBdr>
        <w:spacing w:before="360" w:after="240" w:line="360" w:lineRule="auto"/>
        <w:ind w:right="142"/>
        <w:jc w:val="both"/>
        <w:rPr>
          <w:sz w:val="22"/>
          <w:szCs w:val="22"/>
        </w:rPr>
      </w:pPr>
      <w:r w:rsidRPr="004A24F8">
        <w:rPr>
          <w:rFonts w:ascii="Palatino Linotype" w:eastAsia="Palatino Linotype" w:hAnsi="Palatino Linotype" w:cs="Palatino Linotype"/>
          <w:sz w:val="22"/>
          <w:szCs w:val="22"/>
        </w:rPr>
        <w:t xml:space="preserve">De ahí que,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tendrá que valorar y revisar que documentación se remitió en respuesta y que no es accesible para que se pueda verificar la información contenida en el documento y remitir dicha documentación de manera clara y legible, que permita apreciar el contenido de los documentos. </w:t>
      </w:r>
    </w:p>
    <w:p w14:paraId="3F9233A1" w14:textId="77777777" w:rsidR="002604D6" w:rsidRPr="004A24F8" w:rsidRDefault="00121F63">
      <w:pPr>
        <w:pBdr>
          <w:top w:val="nil"/>
          <w:left w:val="nil"/>
          <w:bottom w:val="nil"/>
          <w:right w:val="nil"/>
          <w:between w:val="nil"/>
        </w:pBdr>
        <w:spacing w:before="280" w:after="280" w:line="360" w:lineRule="auto"/>
        <w:jc w:val="both"/>
        <w:rPr>
          <w:sz w:val="22"/>
          <w:szCs w:val="22"/>
        </w:rPr>
      </w:pPr>
      <w:r w:rsidRPr="004A24F8">
        <w:rPr>
          <w:rFonts w:ascii="Palatino Linotype" w:eastAsia="Palatino Linotype" w:hAnsi="Palatino Linotype" w:cs="Palatino Linotype"/>
          <w:sz w:val="22"/>
          <w:szCs w:val="22"/>
        </w:rPr>
        <w:t xml:space="preserve">Razones por las cuales, lo procedente es ordenar al </w:t>
      </w:r>
      <w:r w:rsidRPr="004A24F8">
        <w:rPr>
          <w:rFonts w:ascii="Palatino Linotype" w:eastAsia="Palatino Linotype" w:hAnsi="Palatino Linotype" w:cs="Palatino Linotype"/>
          <w:b/>
          <w:sz w:val="22"/>
          <w:szCs w:val="22"/>
        </w:rPr>
        <w:t xml:space="preserve">Sujeto Obligado </w:t>
      </w:r>
      <w:r w:rsidRPr="004A24F8">
        <w:rPr>
          <w:rFonts w:ascii="Palatino Linotype" w:eastAsia="Palatino Linotype" w:hAnsi="Palatino Linotype" w:cs="Palatino Linotype"/>
          <w:sz w:val="22"/>
          <w:szCs w:val="22"/>
        </w:rPr>
        <w:t>entregue el minutario de la Residencia de Construcción Atlacomulco de los ejercicios fiscales 2023 y 2024, entregados en respuesta, correctamente digitalizados. </w:t>
      </w:r>
    </w:p>
    <w:p w14:paraId="66D36E5E" w14:textId="77777777" w:rsidR="002604D6" w:rsidRPr="004A24F8" w:rsidRDefault="00121F63">
      <w:pPr>
        <w:tabs>
          <w:tab w:val="left" w:pos="6103"/>
        </w:tabs>
        <w:spacing w:line="360" w:lineRule="auto"/>
        <w:ind w:right="50"/>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Por consiguiente, los agravios resultan </w:t>
      </w:r>
      <w:r w:rsidRPr="004A24F8">
        <w:rPr>
          <w:rFonts w:ascii="Palatino Linotype" w:eastAsia="Palatino Linotype" w:hAnsi="Palatino Linotype" w:cs="Palatino Linotype"/>
          <w:b/>
          <w:sz w:val="22"/>
          <w:szCs w:val="22"/>
        </w:rPr>
        <w:t>FUNDADOS</w:t>
      </w:r>
      <w:r w:rsidRPr="004A24F8">
        <w:rPr>
          <w:rFonts w:ascii="Palatino Linotype" w:eastAsia="Palatino Linotype" w:hAnsi="Palatino Linotype" w:cs="Palatino Linotype"/>
          <w:sz w:val="22"/>
          <w:szCs w:val="22"/>
        </w:rPr>
        <w:t xml:space="preserve"> y es por ello que este Organismo Garante determina </w:t>
      </w:r>
      <w:r w:rsidRPr="004A24F8">
        <w:rPr>
          <w:rFonts w:ascii="Palatino Linotype" w:eastAsia="Palatino Linotype" w:hAnsi="Palatino Linotype" w:cs="Palatino Linotype"/>
          <w:b/>
          <w:sz w:val="22"/>
          <w:szCs w:val="22"/>
        </w:rPr>
        <w:t xml:space="preserve">MODIFICAR </w:t>
      </w:r>
      <w:r w:rsidRPr="004A24F8">
        <w:rPr>
          <w:rFonts w:ascii="Palatino Linotype" w:eastAsia="Palatino Linotype" w:hAnsi="Palatino Linotype" w:cs="Palatino Linotype"/>
          <w:sz w:val="22"/>
          <w:szCs w:val="22"/>
        </w:rPr>
        <w:t xml:space="preserve">la respuesta del recurso de revisión </w:t>
      </w:r>
      <w:r w:rsidRPr="004A24F8">
        <w:rPr>
          <w:rFonts w:ascii="Palatino Linotype" w:eastAsia="Palatino Linotype" w:hAnsi="Palatino Linotype" w:cs="Palatino Linotype"/>
          <w:b/>
          <w:sz w:val="22"/>
          <w:szCs w:val="22"/>
        </w:rPr>
        <w:t>04904/INFOEM/IP/RR/2024</w:t>
      </w:r>
      <w:r w:rsidRPr="004A24F8">
        <w:rPr>
          <w:rFonts w:ascii="Palatino Linotype" w:eastAsia="Palatino Linotype" w:hAnsi="Palatino Linotype" w:cs="Palatino Linotype"/>
          <w:sz w:val="22"/>
          <w:szCs w:val="22"/>
        </w:rPr>
        <w:t>, para ordenar la entrega de la siguiente información</w:t>
      </w:r>
      <w:r w:rsidRPr="004A24F8">
        <w:t xml:space="preserve"> </w:t>
      </w:r>
      <w:r w:rsidRPr="004A24F8">
        <w:rPr>
          <w:rFonts w:ascii="Palatino Linotype" w:eastAsia="Palatino Linotype" w:hAnsi="Palatino Linotype" w:cs="Palatino Linotype"/>
          <w:sz w:val="22"/>
          <w:szCs w:val="22"/>
        </w:rPr>
        <w:tab/>
        <w:t>en versión pública conforme al considerando quinto:</w:t>
      </w:r>
    </w:p>
    <w:p w14:paraId="583E05E8" w14:textId="77777777" w:rsidR="002604D6" w:rsidRPr="004A24F8" w:rsidRDefault="002604D6">
      <w:pPr>
        <w:tabs>
          <w:tab w:val="left" w:pos="6103"/>
        </w:tabs>
        <w:spacing w:line="360" w:lineRule="auto"/>
        <w:ind w:right="50"/>
        <w:jc w:val="both"/>
        <w:rPr>
          <w:rFonts w:ascii="Palatino Linotype" w:eastAsia="Palatino Linotype" w:hAnsi="Palatino Linotype" w:cs="Palatino Linotype"/>
          <w:sz w:val="22"/>
          <w:szCs w:val="22"/>
        </w:rPr>
      </w:pPr>
    </w:p>
    <w:p w14:paraId="5E75757D" w14:textId="77777777" w:rsidR="002604D6" w:rsidRPr="004A24F8" w:rsidRDefault="00121F63" w:rsidP="00746E35">
      <w:pPr>
        <w:numPr>
          <w:ilvl w:val="0"/>
          <w:numId w:val="4"/>
        </w:numPr>
        <w:pBdr>
          <w:top w:val="nil"/>
          <w:left w:val="nil"/>
          <w:bottom w:val="nil"/>
          <w:right w:val="nil"/>
          <w:between w:val="nil"/>
        </w:pBdr>
        <w:tabs>
          <w:tab w:val="left" w:pos="6103"/>
        </w:tabs>
        <w:spacing w:line="276" w:lineRule="auto"/>
        <w:ind w:left="567" w:right="900" w:hanging="283"/>
        <w:jc w:val="both"/>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b/>
          <w:i/>
          <w:sz w:val="22"/>
          <w:szCs w:val="22"/>
        </w:rPr>
        <w:lastRenderedPageBreak/>
        <w:t>Los minutarios o documento análogo de la Dirección del Sistema Estatal de Información del Agua,  Dirección General de Operaciones y Atención a Emergencias, Dirección General de Inversión y Gestión, y la Dirección General de Asuntos Jurídicos e Igualdad de Género</w:t>
      </w:r>
      <w:r w:rsidR="00746E35" w:rsidRPr="004A24F8">
        <w:t xml:space="preserve"> </w:t>
      </w:r>
      <w:r w:rsidR="00746E35" w:rsidRPr="004A24F8">
        <w:rPr>
          <w:rFonts w:ascii="Palatino Linotype" w:eastAsia="Palatino Linotype" w:hAnsi="Palatino Linotype" w:cs="Palatino Linotype"/>
          <w:b/>
          <w:i/>
          <w:sz w:val="22"/>
          <w:szCs w:val="22"/>
        </w:rPr>
        <w:t>y sus Subdirecciones, Departamentos y Unidades Staff</w:t>
      </w:r>
      <w:r w:rsidRPr="004A24F8">
        <w:rPr>
          <w:rFonts w:ascii="Palatino Linotype" w:eastAsia="Palatino Linotype" w:hAnsi="Palatino Linotype" w:cs="Palatino Linotype"/>
          <w:b/>
          <w:i/>
          <w:sz w:val="18"/>
          <w:szCs w:val="18"/>
        </w:rPr>
        <w:t xml:space="preserve">, </w:t>
      </w:r>
      <w:r w:rsidRPr="004A24F8">
        <w:rPr>
          <w:rFonts w:ascii="Palatino Linotype" w:eastAsia="Palatino Linotype" w:hAnsi="Palatino Linotype" w:cs="Palatino Linotype"/>
          <w:b/>
          <w:i/>
          <w:sz w:val="22"/>
          <w:szCs w:val="22"/>
        </w:rPr>
        <w:t>así como de  las faltantes por pron</w:t>
      </w:r>
      <w:r w:rsidR="00746E35" w:rsidRPr="004A24F8">
        <w:rPr>
          <w:rFonts w:ascii="Palatino Linotype" w:eastAsia="Palatino Linotype" w:hAnsi="Palatino Linotype" w:cs="Palatino Linotype"/>
          <w:b/>
          <w:i/>
          <w:sz w:val="22"/>
          <w:szCs w:val="22"/>
        </w:rPr>
        <w:t>unciarse,</w:t>
      </w:r>
      <w:r w:rsidRPr="004A24F8">
        <w:rPr>
          <w:rFonts w:ascii="Palatino Linotype" w:eastAsia="Palatino Linotype" w:hAnsi="Palatino Linotype" w:cs="Palatino Linotype"/>
          <w:b/>
          <w:i/>
          <w:sz w:val="22"/>
          <w:szCs w:val="22"/>
        </w:rPr>
        <w:t xml:space="preserve"> generados del 01 de enero del 2023 al 10 de julio de 2024</w:t>
      </w:r>
      <w:r w:rsidRPr="004A24F8">
        <w:rPr>
          <w:rFonts w:ascii="Palatino Linotype" w:eastAsia="Palatino Linotype" w:hAnsi="Palatino Linotype" w:cs="Palatino Linotype"/>
          <w:i/>
          <w:sz w:val="22"/>
          <w:szCs w:val="22"/>
        </w:rPr>
        <w:t>.</w:t>
      </w:r>
    </w:p>
    <w:p w14:paraId="5B291EF1" w14:textId="77777777" w:rsidR="002604D6" w:rsidRPr="004A24F8" w:rsidRDefault="00121F63">
      <w:pPr>
        <w:numPr>
          <w:ilvl w:val="0"/>
          <w:numId w:val="4"/>
        </w:numPr>
        <w:pBdr>
          <w:top w:val="nil"/>
          <w:left w:val="nil"/>
          <w:bottom w:val="nil"/>
          <w:right w:val="nil"/>
          <w:between w:val="nil"/>
        </w:pBdr>
        <w:tabs>
          <w:tab w:val="left" w:pos="6103"/>
        </w:tabs>
        <w:spacing w:line="276" w:lineRule="auto"/>
        <w:ind w:left="567" w:right="900" w:hanging="283"/>
        <w:jc w:val="both"/>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b/>
          <w:i/>
          <w:sz w:val="22"/>
          <w:szCs w:val="22"/>
        </w:rPr>
        <w:t>Los minutarios o documento análogo donde se lleva el registro de los oficios del Departamento de Obras de Tratamiento, la Residencia de Construcción Cuautitlán Poniente y Departamento Técnico Electromecánico, generados del 01 de enero al 10 de julio de 2024.</w:t>
      </w:r>
    </w:p>
    <w:p w14:paraId="5394D7EB" w14:textId="77777777" w:rsidR="002604D6" w:rsidRPr="004A24F8" w:rsidRDefault="00121F63">
      <w:pPr>
        <w:numPr>
          <w:ilvl w:val="0"/>
          <w:numId w:val="4"/>
        </w:numPr>
        <w:pBdr>
          <w:top w:val="nil"/>
          <w:left w:val="nil"/>
          <w:bottom w:val="nil"/>
          <w:right w:val="nil"/>
          <w:between w:val="nil"/>
        </w:pBdr>
        <w:tabs>
          <w:tab w:val="left" w:pos="6103"/>
        </w:tabs>
        <w:spacing w:line="276" w:lineRule="auto"/>
        <w:ind w:left="567" w:right="900" w:hanging="283"/>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i/>
          <w:sz w:val="22"/>
          <w:szCs w:val="22"/>
        </w:rPr>
        <w:t>Los minutarios de la Residencia de Construcción Atlacomulco de los ejercicios fiscales 2023 y 2024, entregados en respuesta, correctamente digitalizados</w:t>
      </w:r>
      <w:r w:rsidRPr="004A24F8">
        <w:rPr>
          <w:rFonts w:ascii="Palatino Linotype" w:eastAsia="Palatino Linotype" w:hAnsi="Palatino Linotype" w:cs="Palatino Linotype"/>
          <w:i/>
          <w:sz w:val="22"/>
          <w:szCs w:val="22"/>
        </w:rPr>
        <w:t>.</w:t>
      </w:r>
    </w:p>
    <w:p w14:paraId="102C4072" w14:textId="77777777" w:rsidR="00746E35" w:rsidRPr="004A24F8" w:rsidRDefault="00746E35">
      <w:pPr>
        <w:spacing w:line="360" w:lineRule="auto"/>
        <w:jc w:val="both"/>
        <w:rPr>
          <w:rFonts w:ascii="Palatino Linotype" w:eastAsia="Palatino Linotype" w:hAnsi="Palatino Linotype" w:cs="Palatino Linotype"/>
          <w:sz w:val="22"/>
          <w:szCs w:val="22"/>
        </w:rPr>
      </w:pPr>
    </w:p>
    <w:p w14:paraId="0CB10260" w14:textId="77777777" w:rsidR="002604D6" w:rsidRPr="004A24F8" w:rsidRDefault="00121F63" w:rsidP="00746E35">
      <w:pPr>
        <w:spacing w:line="360" w:lineRule="auto"/>
        <w:jc w:val="both"/>
      </w:pPr>
      <w:r w:rsidRPr="004A24F8">
        <w:rPr>
          <w:rFonts w:ascii="Palatino Linotype" w:eastAsia="Palatino Linotype" w:hAnsi="Palatino Linotype" w:cs="Palatino Linotype"/>
          <w:sz w:val="22"/>
          <w:szCs w:val="22"/>
        </w:rPr>
        <w:t xml:space="preserve">Por lo anteriormente expuesto es que se determina que para atender los requerimientos de información,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deberá turnar las solicitudes a las áreas faltantes para efecto de que se pronuncien respecto de la información solicitada, no obstante para el caso </w:t>
      </w:r>
      <w:r w:rsidR="00746E35" w:rsidRPr="004A24F8">
        <w:rPr>
          <w:rFonts w:ascii="Palatino Linotype" w:eastAsia="Palatino Linotype" w:hAnsi="Palatino Linotype" w:cs="Palatino Linotype"/>
          <w:sz w:val="22"/>
          <w:szCs w:val="22"/>
        </w:rPr>
        <w:t xml:space="preserve">en </w:t>
      </w:r>
      <w:r w:rsidRPr="004A24F8">
        <w:rPr>
          <w:rFonts w:ascii="Palatino Linotype" w:eastAsia="Palatino Linotype" w:hAnsi="Palatino Linotype" w:cs="Palatino Linotype"/>
          <w:sz w:val="22"/>
          <w:szCs w:val="22"/>
        </w:rPr>
        <w:t xml:space="preserve">el </w:t>
      </w:r>
      <w:r w:rsidR="00746E35" w:rsidRPr="004A24F8">
        <w:rPr>
          <w:rFonts w:ascii="Palatino Linotype" w:eastAsia="Palatino Linotype" w:hAnsi="Palatino Linotype" w:cs="Palatino Linotype"/>
          <w:sz w:val="22"/>
          <w:szCs w:val="22"/>
        </w:rPr>
        <w:t xml:space="preserve">que el </w:t>
      </w:r>
      <w:r w:rsidRPr="004A24F8">
        <w:rPr>
          <w:rFonts w:ascii="Palatino Linotype" w:eastAsia="Palatino Linotype" w:hAnsi="Palatino Linotype" w:cs="Palatino Linotype"/>
          <w:sz w:val="22"/>
          <w:szCs w:val="22"/>
        </w:rPr>
        <w:t>Departamento de Obras de Tratamiento, la Residencia de Construcción Cuautitlán Poniente y Departamento Técnico Electromecánico, no cuente con los minutarios o documento donde se lleva el registro de oficios del 01 de enero al 10 de julio de 2024 que se ordena en el punto 2, en virtud de que dentro de la temporalidad solicitada no se generaron oficios,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w:t>
      </w:r>
      <w:r w:rsidR="00746E35" w:rsidRPr="004A24F8">
        <w:rPr>
          <w:rFonts w:ascii="Palatino Linotype" w:eastAsia="Palatino Linotype" w:hAnsi="Palatino Linotype" w:cs="Palatino Linotype"/>
          <w:sz w:val="22"/>
          <w:szCs w:val="22"/>
        </w:rPr>
        <w:t>, citado en líneas anteriores.</w:t>
      </w:r>
    </w:p>
    <w:p w14:paraId="7DB4CFBF" w14:textId="77777777" w:rsidR="002604D6" w:rsidRPr="004A24F8" w:rsidRDefault="00121F63">
      <w:pPr>
        <w:tabs>
          <w:tab w:val="left" w:pos="6103"/>
        </w:tabs>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Por otro lado, no pasa por desapercibido que </w:t>
      </w:r>
      <w:r w:rsidRPr="004A24F8">
        <w:rPr>
          <w:rFonts w:ascii="Palatino Linotype" w:eastAsia="Palatino Linotype" w:hAnsi="Palatino Linotype" w:cs="Palatino Linotype"/>
          <w:b/>
          <w:sz w:val="22"/>
          <w:szCs w:val="22"/>
        </w:rPr>
        <w:t>la 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 xml:space="preserve">Recurrente </w:t>
      </w:r>
      <w:r w:rsidRPr="004A24F8">
        <w:rPr>
          <w:rFonts w:ascii="Palatino Linotype" w:eastAsia="Palatino Linotype" w:hAnsi="Palatino Linotype" w:cs="Palatino Linotype"/>
          <w:sz w:val="22"/>
          <w:szCs w:val="22"/>
        </w:rPr>
        <w:t>requirió la información indicada en “</w:t>
      </w:r>
      <w:r w:rsidRPr="004A24F8">
        <w:rPr>
          <w:rFonts w:ascii="Palatino Linotype" w:eastAsia="Palatino Linotype" w:hAnsi="Palatino Linotype" w:cs="Palatino Linotype"/>
          <w:b/>
          <w:sz w:val="22"/>
          <w:szCs w:val="22"/>
        </w:rPr>
        <w:t>copia simple</w:t>
      </w:r>
      <w:r w:rsidRPr="004A24F8">
        <w:rPr>
          <w:rFonts w:ascii="Palatino Linotype" w:eastAsia="Palatino Linotype" w:hAnsi="Palatino Linotype" w:cs="Palatino Linotype"/>
          <w:sz w:val="22"/>
          <w:szCs w:val="22"/>
        </w:rPr>
        <w:t xml:space="preserve">”, en este sentido, lo idóneo es ordenar la entrega de la información, a través del </w:t>
      </w:r>
      <w:r w:rsidRPr="004A24F8">
        <w:rPr>
          <w:rFonts w:ascii="Palatino Linotype" w:eastAsia="Palatino Linotype" w:hAnsi="Palatino Linotype" w:cs="Palatino Linotype"/>
          <w:b/>
          <w:sz w:val="22"/>
          <w:szCs w:val="22"/>
        </w:rPr>
        <w:t>SAIMEX</w:t>
      </w:r>
      <w:r w:rsidRPr="004A24F8">
        <w:rPr>
          <w:rFonts w:ascii="Palatino Linotype" w:eastAsia="Palatino Linotype" w:hAnsi="Palatino Linotype" w:cs="Palatino Linotype"/>
          <w:sz w:val="22"/>
          <w:szCs w:val="22"/>
        </w:rPr>
        <w:t xml:space="preserve">, puesto que, al ser un documento electrónico o digitalizado, cuentan con la característica de ser descargable a cualquier equipo de cómputo </w:t>
      </w:r>
      <w:r w:rsidRPr="004A24F8">
        <w:rPr>
          <w:rFonts w:ascii="Palatino Linotype" w:eastAsia="Palatino Linotype" w:hAnsi="Palatino Linotype" w:cs="Palatino Linotype"/>
          <w:sz w:val="22"/>
          <w:szCs w:val="22"/>
        </w:rPr>
        <w:lastRenderedPageBreak/>
        <w:t xml:space="preserve">para la libre manipulación de los Particulares,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w:t>
      </w:r>
      <w:r w:rsidRPr="004A24F8">
        <w:rPr>
          <w:rFonts w:ascii="Palatino Linotype" w:eastAsia="Palatino Linotype" w:hAnsi="Palatino Linotype" w:cs="Palatino Linotype"/>
          <w:b/>
          <w:sz w:val="22"/>
          <w:szCs w:val="22"/>
        </w:rPr>
        <w:t>sea impreso, lo que se configura como copia simple</w:t>
      </w:r>
      <w:r w:rsidRPr="004A24F8">
        <w:rPr>
          <w:rFonts w:ascii="Palatino Linotype" w:eastAsia="Palatino Linotype" w:hAnsi="Palatino Linotype" w:cs="Palatino Linotype"/>
          <w:sz w:val="22"/>
          <w:szCs w:val="22"/>
        </w:rPr>
        <w:t xml:space="preserve">; de lo anterior, tenemos que, al ser entregado de forma digital o electrónica a través del </w:t>
      </w:r>
      <w:r w:rsidRPr="004A24F8">
        <w:rPr>
          <w:rFonts w:ascii="Palatino Linotype" w:eastAsia="Palatino Linotype" w:hAnsi="Palatino Linotype" w:cs="Palatino Linotype"/>
          <w:b/>
          <w:sz w:val="22"/>
          <w:szCs w:val="22"/>
        </w:rPr>
        <w:t>SAIMEX</w:t>
      </w:r>
      <w:r w:rsidRPr="004A24F8">
        <w:rPr>
          <w:rFonts w:ascii="Palatino Linotype" w:eastAsia="Palatino Linotype" w:hAnsi="Palatino Linotype" w:cs="Palatino Linotype"/>
          <w:sz w:val="22"/>
          <w:szCs w:val="22"/>
        </w:rPr>
        <w:t xml:space="preserve">, como es el caso, la hoy parte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 xml:space="preserve"> puede hacer uso de la información a su libre elección.</w:t>
      </w:r>
    </w:p>
    <w:p w14:paraId="1C92DF67" w14:textId="77777777" w:rsidR="002604D6" w:rsidRPr="004A24F8" w:rsidRDefault="00121F63">
      <w:pPr>
        <w:spacing w:before="240" w:after="240" w:line="360" w:lineRule="auto"/>
        <w:ind w:right="49"/>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 xml:space="preserve">Quinto. Versión Pública. </w:t>
      </w:r>
      <w:r w:rsidRPr="004A24F8">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4A24F8">
        <w:rPr>
          <w:rFonts w:ascii="Palatino Linotype" w:eastAsia="Palatino Linotype" w:hAnsi="Palatino Linotype" w:cs="Palatino Linotype"/>
          <w:b/>
          <w:sz w:val="22"/>
          <w:szCs w:val="22"/>
        </w:rPr>
        <w:t>la 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 xml:space="preserve"> sin menoscabar el derecho a la protección de los datos personales de terceros.</w:t>
      </w:r>
    </w:p>
    <w:p w14:paraId="49914690" w14:textId="77777777" w:rsidR="002604D6" w:rsidRPr="004A24F8" w:rsidRDefault="00121F63">
      <w:pPr>
        <w:spacing w:before="240" w:after="240" w:line="360" w:lineRule="auto"/>
        <w:ind w:right="49"/>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654CDB7A" w14:textId="77777777" w:rsidR="002604D6" w:rsidRPr="004A24F8" w:rsidRDefault="00121F63">
      <w:pPr>
        <w:ind w:left="993" w:right="1041"/>
        <w:jc w:val="both"/>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b/>
          <w:i/>
          <w:sz w:val="22"/>
          <w:szCs w:val="22"/>
        </w:rPr>
        <w:t xml:space="preserve"> “Artículo 3. Para los efectos de la presente Ley se entenderá por:</w:t>
      </w:r>
    </w:p>
    <w:p w14:paraId="508CB701" w14:textId="77777777" w:rsidR="002604D6" w:rsidRPr="004A24F8" w:rsidRDefault="00121F63">
      <w:pPr>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IX. Datos personales:</w:t>
      </w:r>
      <w:r w:rsidRPr="004A24F8">
        <w:rPr>
          <w:rFonts w:ascii="Palatino Linotype" w:eastAsia="Palatino Linotype" w:hAnsi="Palatino Linotype" w:cs="Palatino Linotype"/>
          <w:i/>
          <w:sz w:val="22"/>
          <w:szCs w:val="22"/>
        </w:rPr>
        <w:t xml:space="preserve"> </w:t>
      </w:r>
      <w:r w:rsidRPr="004A24F8">
        <w:rPr>
          <w:rFonts w:ascii="Palatino Linotype" w:eastAsia="Palatino Linotype" w:hAnsi="Palatino Linotype" w:cs="Palatino Linotype"/>
          <w:b/>
          <w:i/>
          <w:sz w:val="22"/>
          <w:szCs w:val="22"/>
        </w:rPr>
        <w:t>La información concerniente a una persona, identificada o identificable</w:t>
      </w:r>
      <w:r w:rsidRPr="004A24F8">
        <w:rPr>
          <w:rFonts w:ascii="Palatino Linotype" w:eastAsia="Palatino Linotype" w:hAnsi="Palatino Linotype" w:cs="Palatino Linotype"/>
          <w:i/>
          <w:sz w:val="22"/>
          <w:szCs w:val="22"/>
        </w:rPr>
        <w:t xml:space="preserve"> según lo dispuesto por la Ley de Protección de Datos Personales del Estado de México;</w:t>
      </w:r>
    </w:p>
    <w:p w14:paraId="4155797B" w14:textId="77777777" w:rsidR="002604D6" w:rsidRPr="004A24F8" w:rsidRDefault="00121F63">
      <w:pPr>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XX. Información clasificada:</w:t>
      </w:r>
      <w:r w:rsidRPr="004A24F8">
        <w:rPr>
          <w:rFonts w:ascii="Palatino Linotype" w:eastAsia="Palatino Linotype" w:hAnsi="Palatino Linotype" w:cs="Palatino Linotype"/>
          <w:i/>
          <w:sz w:val="22"/>
          <w:szCs w:val="22"/>
        </w:rPr>
        <w:t xml:space="preserve"> Aquella considerada por la presente Ley como reservada o confidencial;</w:t>
      </w:r>
    </w:p>
    <w:p w14:paraId="07222E8A" w14:textId="77777777" w:rsidR="002604D6" w:rsidRPr="004A24F8" w:rsidRDefault="00121F63">
      <w:pPr>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XXXII. Protección de Datos Personales:</w:t>
      </w:r>
      <w:r w:rsidRPr="004A24F8">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45602937" w14:textId="77777777" w:rsidR="002604D6" w:rsidRPr="004A24F8" w:rsidRDefault="00121F63">
      <w:pPr>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lastRenderedPageBreak/>
        <w:t>XLV. Versión pública</w:t>
      </w:r>
      <w:r w:rsidRPr="004A24F8">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51A0EF5" w14:textId="77777777" w:rsidR="002604D6" w:rsidRPr="004A24F8" w:rsidRDefault="002604D6">
      <w:pPr>
        <w:ind w:left="993" w:right="1041"/>
        <w:jc w:val="both"/>
        <w:rPr>
          <w:rFonts w:ascii="Palatino Linotype" w:eastAsia="Palatino Linotype" w:hAnsi="Palatino Linotype" w:cs="Palatino Linotype"/>
          <w:i/>
          <w:sz w:val="22"/>
          <w:szCs w:val="22"/>
        </w:rPr>
      </w:pPr>
    </w:p>
    <w:p w14:paraId="23BC76AB" w14:textId="77777777" w:rsidR="002604D6" w:rsidRPr="004A24F8" w:rsidRDefault="00121F63">
      <w:pPr>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“Artículo 6.</w:t>
      </w:r>
      <w:r w:rsidRPr="004A24F8">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021314D" w14:textId="77777777" w:rsidR="002604D6" w:rsidRPr="004A24F8" w:rsidRDefault="002604D6">
      <w:pPr>
        <w:ind w:left="993" w:right="1041"/>
        <w:jc w:val="both"/>
        <w:rPr>
          <w:rFonts w:ascii="Palatino Linotype" w:eastAsia="Palatino Linotype" w:hAnsi="Palatino Linotype" w:cs="Palatino Linotype"/>
          <w:i/>
          <w:sz w:val="22"/>
          <w:szCs w:val="22"/>
        </w:rPr>
      </w:pPr>
    </w:p>
    <w:p w14:paraId="646D0CC5" w14:textId="77777777" w:rsidR="002604D6" w:rsidRPr="004A24F8" w:rsidRDefault="00121F63">
      <w:pPr>
        <w:ind w:left="993" w:right="1041"/>
        <w:jc w:val="both"/>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b/>
          <w:i/>
          <w:sz w:val="22"/>
          <w:szCs w:val="22"/>
        </w:rPr>
        <w:t>“Artículo 137.</w:t>
      </w:r>
      <w:r w:rsidRPr="004A24F8">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68FCB71" w14:textId="77777777" w:rsidR="002604D6" w:rsidRPr="004A24F8" w:rsidRDefault="002604D6">
      <w:pPr>
        <w:ind w:left="993" w:right="1041"/>
        <w:jc w:val="both"/>
        <w:rPr>
          <w:rFonts w:ascii="Palatino Linotype" w:eastAsia="Palatino Linotype" w:hAnsi="Palatino Linotype" w:cs="Palatino Linotype"/>
          <w:b/>
          <w:i/>
          <w:sz w:val="22"/>
          <w:szCs w:val="22"/>
        </w:rPr>
      </w:pPr>
    </w:p>
    <w:p w14:paraId="157C7AC8" w14:textId="77777777" w:rsidR="002604D6" w:rsidRPr="004A24F8" w:rsidRDefault="00121F63">
      <w:pPr>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“Artículo 143</w:t>
      </w:r>
      <w:r w:rsidRPr="004A24F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37EFE21" w14:textId="77777777" w:rsidR="002604D6" w:rsidRPr="004A24F8" w:rsidRDefault="00121F63">
      <w:pPr>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I.</w:t>
      </w:r>
      <w:r w:rsidRPr="004A24F8">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9E83007" w14:textId="77777777" w:rsidR="002604D6" w:rsidRPr="004A24F8" w:rsidRDefault="00121F63">
      <w:pPr>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B872F91" w14:textId="77777777" w:rsidR="002604D6" w:rsidRPr="004A24F8" w:rsidRDefault="00121F63">
      <w:pPr>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14:paraId="0C38C245" w14:textId="77777777" w:rsidR="002604D6" w:rsidRPr="004A24F8" w:rsidRDefault="002604D6">
      <w:pPr>
        <w:ind w:left="993" w:right="1041"/>
        <w:jc w:val="both"/>
        <w:rPr>
          <w:rFonts w:ascii="Palatino Linotype" w:eastAsia="Palatino Linotype" w:hAnsi="Palatino Linotype" w:cs="Palatino Linotype"/>
          <w:i/>
          <w:sz w:val="22"/>
          <w:szCs w:val="22"/>
        </w:rPr>
      </w:pPr>
    </w:p>
    <w:p w14:paraId="78817674" w14:textId="77777777" w:rsidR="002604D6" w:rsidRPr="004A24F8" w:rsidRDefault="00121F63">
      <w:pPr>
        <w:spacing w:line="360" w:lineRule="auto"/>
        <w:ind w:right="51"/>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deberá proceder a testar los datos personales que se encuentren contenidos en los documentos a </w:t>
      </w:r>
      <w:r w:rsidRPr="004A24F8">
        <w:rPr>
          <w:rFonts w:ascii="Palatino Linotype" w:eastAsia="Palatino Linotype" w:hAnsi="Palatino Linotype" w:cs="Palatino Linotype"/>
          <w:sz w:val="22"/>
          <w:szCs w:val="22"/>
        </w:rPr>
        <w:lastRenderedPageBreak/>
        <w:t xml:space="preserve">entregar para satisfacer el derecho de acceso a la información pública de </w:t>
      </w:r>
      <w:r w:rsidRPr="004A24F8">
        <w:rPr>
          <w:rFonts w:ascii="Palatino Linotype" w:eastAsia="Palatino Linotype" w:hAnsi="Palatino Linotype" w:cs="Palatino Linotype"/>
          <w:b/>
          <w:sz w:val="22"/>
          <w:szCs w:val="22"/>
        </w:rPr>
        <w:t>la 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19AA327C" w14:textId="77777777" w:rsidR="002604D6" w:rsidRPr="004A24F8" w:rsidRDefault="002604D6">
      <w:pPr>
        <w:spacing w:line="360" w:lineRule="auto"/>
        <w:ind w:right="51"/>
        <w:jc w:val="both"/>
        <w:rPr>
          <w:rFonts w:ascii="Palatino Linotype" w:eastAsia="Palatino Linotype" w:hAnsi="Palatino Linotype" w:cs="Palatino Linotype"/>
          <w:sz w:val="22"/>
          <w:szCs w:val="22"/>
        </w:rPr>
      </w:pPr>
    </w:p>
    <w:p w14:paraId="315F79B8" w14:textId="77777777" w:rsidR="002604D6" w:rsidRPr="004A24F8" w:rsidRDefault="00121F63">
      <w:pPr>
        <w:spacing w:line="360" w:lineRule="auto"/>
        <w:ind w:right="50"/>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6CD43F0" w14:textId="77777777" w:rsidR="002604D6" w:rsidRPr="004A24F8" w:rsidRDefault="002604D6">
      <w:pPr>
        <w:spacing w:line="360" w:lineRule="auto"/>
        <w:ind w:right="51"/>
        <w:jc w:val="both"/>
        <w:rPr>
          <w:rFonts w:ascii="Palatino Linotype" w:eastAsia="Palatino Linotype" w:hAnsi="Palatino Linotype" w:cs="Palatino Linotype"/>
          <w:sz w:val="22"/>
          <w:szCs w:val="22"/>
        </w:rPr>
      </w:pPr>
    </w:p>
    <w:p w14:paraId="7BB41B96" w14:textId="77777777" w:rsidR="002604D6" w:rsidRPr="004A24F8" w:rsidRDefault="00121F63">
      <w:pPr>
        <w:spacing w:line="360" w:lineRule="auto"/>
        <w:ind w:right="51"/>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47933BAF" w14:textId="77777777" w:rsidR="002604D6" w:rsidRPr="004A24F8" w:rsidRDefault="002604D6">
      <w:pPr>
        <w:spacing w:line="360" w:lineRule="auto"/>
        <w:ind w:right="51"/>
        <w:jc w:val="both"/>
        <w:rPr>
          <w:rFonts w:ascii="Palatino Linotype" w:eastAsia="Palatino Linotype" w:hAnsi="Palatino Linotype" w:cs="Palatino Linotype"/>
          <w:sz w:val="22"/>
          <w:szCs w:val="22"/>
        </w:rPr>
      </w:pPr>
    </w:p>
    <w:p w14:paraId="76657B84" w14:textId="77777777" w:rsidR="002604D6" w:rsidRPr="004A24F8" w:rsidRDefault="00121F63">
      <w:pPr>
        <w:ind w:left="992" w:right="1043"/>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“Artículo 49.</w:t>
      </w:r>
      <w:r w:rsidRPr="004A24F8">
        <w:rPr>
          <w:rFonts w:ascii="Palatino Linotype" w:eastAsia="Palatino Linotype" w:hAnsi="Palatino Linotype" w:cs="Palatino Linotype"/>
          <w:i/>
          <w:sz w:val="22"/>
          <w:szCs w:val="22"/>
        </w:rPr>
        <w:t xml:space="preserve"> </w:t>
      </w:r>
      <w:r w:rsidRPr="004A24F8">
        <w:rPr>
          <w:rFonts w:ascii="Palatino Linotype" w:eastAsia="Palatino Linotype" w:hAnsi="Palatino Linotype" w:cs="Palatino Linotype"/>
          <w:b/>
          <w:i/>
          <w:sz w:val="22"/>
          <w:szCs w:val="22"/>
        </w:rPr>
        <w:t>Los Comités de Transparencia</w:t>
      </w:r>
      <w:r w:rsidRPr="004A24F8">
        <w:rPr>
          <w:rFonts w:ascii="Palatino Linotype" w:eastAsia="Palatino Linotype" w:hAnsi="Palatino Linotype" w:cs="Palatino Linotype"/>
          <w:i/>
          <w:sz w:val="22"/>
          <w:szCs w:val="22"/>
        </w:rPr>
        <w:t xml:space="preserve"> tendrán las siguientes atribuciones:</w:t>
      </w:r>
    </w:p>
    <w:p w14:paraId="2E407A14" w14:textId="77777777" w:rsidR="002604D6" w:rsidRPr="004A24F8" w:rsidRDefault="00121F63">
      <w:pPr>
        <w:ind w:left="992" w:right="1043"/>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VIII. Aprobar, modificar o revocar la clasificación de la información</w:t>
      </w:r>
      <w:r w:rsidRPr="004A24F8">
        <w:rPr>
          <w:rFonts w:ascii="Palatino Linotype" w:eastAsia="Palatino Linotype" w:hAnsi="Palatino Linotype" w:cs="Palatino Linotype"/>
          <w:i/>
          <w:sz w:val="22"/>
          <w:szCs w:val="22"/>
        </w:rPr>
        <w:t>…”</w:t>
      </w:r>
    </w:p>
    <w:p w14:paraId="7A98264E" w14:textId="77777777" w:rsidR="002604D6" w:rsidRPr="004A24F8" w:rsidRDefault="00121F63">
      <w:pPr>
        <w:ind w:left="992" w:right="1043"/>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r w:rsidRPr="004A24F8">
        <w:rPr>
          <w:rFonts w:ascii="Palatino Linotype" w:eastAsia="Palatino Linotype" w:hAnsi="Palatino Linotype" w:cs="Palatino Linotype"/>
          <w:b/>
          <w:i/>
          <w:sz w:val="22"/>
          <w:szCs w:val="22"/>
        </w:rPr>
        <w:t>Artículo 53.</w:t>
      </w:r>
      <w:r w:rsidRPr="004A24F8">
        <w:rPr>
          <w:rFonts w:ascii="Palatino Linotype" w:eastAsia="Palatino Linotype" w:hAnsi="Palatino Linotype" w:cs="Palatino Linotype"/>
          <w:i/>
          <w:sz w:val="22"/>
          <w:szCs w:val="22"/>
        </w:rPr>
        <w:t xml:space="preserve"> Las </w:t>
      </w:r>
      <w:r w:rsidRPr="004A24F8">
        <w:rPr>
          <w:rFonts w:ascii="Palatino Linotype" w:eastAsia="Palatino Linotype" w:hAnsi="Palatino Linotype" w:cs="Palatino Linotype"/>
          <w:b/>
          <w:i/>
          <w:sz w:val="22"/>
          <w:szCs w:val="22"/>
        </w:rPr>
        <w:t>Unidades de Transparencia</w:t>
      </w:r>
      <w:r w:rsidRPr="004A24F8">
        <w:rPr>
          <w:rFonts w:ascii="Palatino Linotype" w:eastAsia="Palatino Linotype" w:hAnsi="Palatino Linotype" w:cs="Palatino Linotype"/>
          <w:i/>
          <w:sz w:val="22"/>
          <w:szCs w:val="22"/>
        </w:rPr>
        <w:t xml:space="preserve"> tendrán las siguientes </w:t>
      </w:r>
      <w:r w:rsidRPr="004A24F8">
        <w:rPr>
          <w:rFonts w:ascii="Palatino Linotype" w:eastAsia="Palatino Linotype" w:hAnsi="Palatino Linotype" w:cs="Palatino Linotype"/>
          <w:b/>
          <w:i/>
          <w:sz w:val="22"/>
          <w:szCs w:val="22"/>
        </w:rPr>
        <w:t>funciones</w:t>
      </w:r>
      <w:r w:rsidRPr="004A24F8">
        <w:rPr>
          <w:rFonts w:ascii="Palatino Linotype" w:eastAsia="Palatino Linotype" w:hAnsi="Palatino Linotype" w:cs="Palatino Linotype"/>
          <w:i/>
          <w:sz w:val="22"/>
          <w:szCs w:val="22"/>
        </w:rPr>
        <w:t>:</w:t>
      </w:r>
    </w:p>
    <w:p w14:paraId="3A0284C2" w14:textId="77777777" w:rsidR="002604D6" w:rsidRPr="004A24F8" w:rsidRDefault="00121F63">
      <w:pPr>
        <w:ind w:left="992" w:right="1043"/>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X. Presentar ante el Comité, el proyecto de clasificación de información</w:t>
      </w:r>
      <w:r w:rsidRPr="004A24F8">
        <w:rPr>
          <w:rFonts w:ascii="Palatino Linotype" w:eastAsia="Palatino Linotype" w:hAnsi="Palatino Linotype" w:cs="Palatino Linotype"/>
          <w:i/>
          <w:sz w:val="22"/>
          <w:szCs w:val="22"/>
        </w:rPr>
        <w:t xml:space="preserve">…” </w:t>
      </w:r>
    </w:p>
    <w:p w14:paraId="0DABDB39" w14:textId="77777777" w:rsidR="002604D6" w:rsidRPr="004A24F8" w:rsidRDefault="00121F63">
      <w:pPr>
        <w:ind w:left="992" w:right="1043"/>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“Artículo 59.</w:t>
      </w:r>
      <w:r w:rsidRPr="004A24F8">
        <w:rPr>
          <w:rFonts w:ascii="Palatino Linotype" w:eastAsia="Palatino Linotype" w:hAnsi="Palatino Linotype" w:cs="Palatino Linotype"/>
          <w:i/>
          <w:sz w:val="22"/>
          <w:szCs w:val="22"/>
        </w:rPr>
        <w:t xml:space="preserve"> Los </w:t>
      </w:r>
      <w:r w:rsidRPr="004A24F8">
        <w:rPr>
          <w:rFonts w:ascii="Palatino Linotype" w:eastAsia="Palatino Linotype" w:hAnsi="Palatino Linotype" w:cs="Palatino Linotype"/>
          <w:b/>
          <w:i/>
          <w:sz w:val="22"/>
          <w:szCs w:val="22"/>
        </w:rPr>
        <w:t>servidores públicos habilitados</w:t>
      </w:r>
      <w:r w:rsidRPr="004A24F8">
        <w:rPr>
          <w:rFonts w:ascii="Palatino Linotype" w:eastAsia="Palatino Linotype" w:hAnsi="Palatino Linotype" w:cs="Palatino Linotype"/>
          <w:i/>
          <w:sz w:val="22"/>
          <w:szCs w:val="22"/>
        </w:rPr>
        <w:t xml:space="preserve"> tendrán las </w:t>
      </w:r>
      <w:r w:rsidRPr="004A24F8">
        <w:rPr>
          <w:rFonts w:ascii="Palatino Linotype" w:eastAsia="Palatino Linotype" w:hAnsi="Palatino Linotype" w:cs="Palatino Linotype"/>
          <w:b/>
          <w:i/>
          <w:sz w:val="22"/>
          <w:szCs w:val="22"/>
        </w:rPr>
        <w:t>funciones</w:t>
      </w:r>
      <w:r w:rsidRPr="004A24F8">
        <w:rPr>
          <w:rFonts w:ascii="Palatino Linotype" w:eastAsia="Palatino Linotype" w:hAnsi="Palatino Linotype" w:cs="Palatino Linotype"/>
          <w:i/>
          <w:sz w:val="22"/>
          <w:szCs w:val="22"/>
        </w:rPr>
        <w:t xml:space="preserve"> siguientes:</w:t>
      </w:r>
    </w:p>
    <w:p w14:paraId="1505DDE5" w14:textId="77777777" w:rsidR="002604D6" w:rsidRPr="004A24F8" w:rsidRDefault="00121F63">
      <w:pPr>
        <w:ind w:left="992" w:right="1043"/>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4A24F8">
        <w:rPr>
          <w:rFonts w:ascii="Palatino Linotype" w:eastAsia="Palatino Linotype" w:hAnsi="Palatino Linotype" w:cs="Palatino Linotype"/>
          <w:i/>
          <w:sz w:val="22"/>
          <w:szCs w:val="22"/>
        </w:rPr>
        <w:t xml:space="preserve">, la cual tendrá los fundamentos y argumentos en que se basa dicha propuesta…” </w:t>
      </w:r>
    </w:p>
    <w:p w14:paraId="1D1E58E9" w14:textId="77777777" w:rsidR="002604D6" w:rsidRPr="004A24F8" w:rsidRDefault="002604D6">
      <w:pPr>
        <w:ind w:left="992" w:right="1043"/>
        <w:jc w:val="both"/>
        <w:rPr>
          <w:rFonts w:ascii="Palatino Linotype" w:eastAsia="Palatino Linotype" w:hAnsi="Palatino Linotype" w:cs="Palatino Linotype"/>
          <w:i/>
          <w:sz w:val="22"/>
          <w:szCs w:val="22"/>
        </w:rPr>
      </w:pPr>
    </w:p>
    <w:p w14:paraId="30459765"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8CDD2BB"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0B1A565C"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0C6FB5CE" w14:textId="77777777" w:rsidR="002604D6" w:rsidRPr="004A24F8" w:rsidRDefault="00121F63">
      <w:pPr>
        <w:spacing w:after="240"/>
        <w:ind w:left="993" w:right="1041"/>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w:t>
      </w:r>
      <w:r w:rsidRPr="004A24F8">
        <w:rPr>
          <w:rFonts w:ascii="Palatino Linotype" w:eastAsia="Palatino Linotype" w:hAnsi="Palatino Linotype" w:cs="Palatino Linotype"/>
          <w:b/>
          <w:i/>
          <w:sz w:val="22"/>
          <w:szCs w:val="22"/>
        </w:rPr>
        <w:t>Artículo 149.</w:t>
      </w:r>
      <w:r w:rsidRPr="004A24F8">
        <w:rPr>
          <w:rFonts w:ascii="Palatino Linotype" w:eastAsia="Palatino Linotype" w:hAnsi="Palatino Linotype" w:cs="Palatino Linotype"/>
          <w:i/>
          <w:sz w:val="22"/>
          <w:szCs w:val="22"/>
        </w:rPr>
        <w:t xml:space="preserve"> El </w:t>
      </w:r>
      <w:r w:rsidRPr="004A24F8">
        <w:rPr>
          <w:rFonts w:ascii="Palatino Linotype" w:eastAsia="Palatino Linotype" w:hAnsi="Palatino Linotype" w:cs="Palatino Linotype"/>
          <w:b/>
          <w:i/>
          <w:sz w:val="22"/>
          <w:szCs w:val="22"/>
        </w:rPr>
        <w:t>acuerdo que clasifique la información como confidencial</w:t>
      </w:r>
      <w:r w:rsidRPr="004A24F8">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349E6406" w14:textId="77777777" w:rsidR="002604D6" w:rsidRPr="004A24F8" w:rsidRDefault="00121F63">
      <w:pPr>
        <w:spacing w:line="360" w:lineRule="auto"/>
        <w:ind w:right="51"/>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 xml:space="preserve">Es decir,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B6FF8E5"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51AC444E"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lastRenderedPageBreak/>
        <w:t xml:space="preserve">Al respecto, se destaca que la versión pública que elabore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A24F8">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4A24F8">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58C53961" w14:textId="77777777" w:rsidR="002604D6" w:rsidRPr="004A24F8" w:rsidRDefault="002604D6">
      <w:pPr>
        <w:ind w:left="709" w:right="709"/>
        <w:jc w:val="both"/>
        <w:rPr>
          <w:rFonts w:ascii="Palatino Linotype" w:eastAsia="Palatino Linotype" w:hAnsi="Palatino Linotype" w:cs="Palatino Linotype"/>
          <w:b/>
          <w:i/>
          <w:sz w:val="22"/>
          <w:szCs w:val="22"/>
        </w:rPr>
      </w:pPr>
    </w:p>
    <w:p w14:paraId="21371E4C"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A921E34"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i/>
          <w:sz w:val="22"/>
          <w:szCs w:val="22"/>
        </w:rPr>
        <w:t>“</w:t>
      </w:r>
      <w:r w:rsidRPr="004A24F8">
        <w:rPr>
          <w:rFonts w:ascii="Palatino Linotype" w:eastAsia="Palatino Linotype" w:hAnsi="Palatino Linotype" w:cs="Palatino Linotype"/>
          <w:b/>
          <w:i/>
          <w:sz w:val="22"/>
          <w:szCs w:val="22"/>
        </w:rPr>
        <w:t>Segundo.-</w:t>
      </w:r>
      <w:r w:rsidRPr="004A24F8">
        <w:rPr>
          <w:rFonts w:ascii="Palatino Linotype" w:eastAsia="Palatino Linotype" w:hAnsi="Palatino Linotype" w:cs="Palatino Linotype"/>
          <w:i/>
          <w:sz w:val="22"/>
          <w:szCs w:val="22"/>
        </w:rPr>
        <w:t xml:space="preserve"> Para efectos de los presentes Lineamientos Generales, se entenderá por:</w:t>
      </w:r>
    </w:p>
    <w:p w14:paraId="329D8D81"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XVIII.</w:t>
      </w:r>
      <w:r w:rsidRPr="004A24F8">
        <w:rPr>
          <w:rFonts w:ascii="Palatino Linotype" w:eastAsia="Palatino Linotype" w:hAnsi="Palatino Linotype" w:cs="Palatino Linotype"/>
          <w:i/>
          <w:sz w:val="22"/>
          <w:szCs w:val="22"/>
        </w:rPr>
        <w:t xml:space="preserve"> </w:t>
      </w:r>
      <w:r w:rsidRPr="004A24F8">
        <w:rPr>
          <w:rFonts w:ascii="Palatino Linotype" w:eastAsia="Palatino Linotype" w:hAnsi="Palatino Linotype" w:cs="Palatino Linotype"/>
          <w:b/>
          <w:i/>
          <w:sz w:val="22"/>
          <w:szCs w:val="22"/>
        </w:rPr>
        <w:t>Versión pública:</w:t>
      </w:r>
      <w:r w:rsidRPr="004A24F8">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4A24F8">
        <w:rPr>
          <w:rFonts w:ascii="Palatino Linotype" w:eastAsia="Palatino Linotype" w:hAnsi="Palatino Linotype" w:cs="Palatino Linotype"/>
          <w:b/>
          <w:i/>
          <w:sz w:val="22"/>
          <w:szCs w:val="22"/>
          <w:u w:val="single"/>
        </w:rPr>
        <w:t>fundando y motivando la</w:t>
      </w:r>
      <w:r w:rsidRPr="004A24F8">
        <w:rPr>
          <w:rFonts w:ascii="Palatino Linotype" w:eastAsia="Palatino Linotype" w:hAnsi="Palatino Linotype" w:cs="Palatino Linotype"/>
          <w:i/>
          <w:sz w:val="22"/>
          <w:szCs w:val="22"/>
        </w:rPr>
        <w:t xml:space="preserve"> reserva o </w:t>
      </w:r>
      <w:r w:rsidRPr="004A24F8">
        <w:rPr>
          <w:rFonts w:ascii="Palatino Linotype" w:eastAsia="Palatino Linotype" w:hAnsi="Palatino Linotype" w:cs="Palatino Linotype"/>
          <w:b/>
          <w:i/>
          <w:sz w:val="22"/>
          <w:szCs w:val="22"/>
          <w:u w:val="single"/>
        </w:rPr>
        <w:t>confidencialidad</w:t>
      </w:r>
      <w:r w:rsidRPr="004A24F8">
        <w:rPr>
          <w:rFonts w:ascii="Palatino Linotype" w:eastAsia="Palatino Linotype" w:hAnsi="Palatino Linotype" w:cs="Palatino Linotype"/>
          <w:i/>
          <w:sz w:val="22"/>
          <w:szCs w:val="22"/>
        </w:rPr>
        <w:t>, a través de la resolución que para tal efecto emita el Comité de Transparencia.</w:t>
      </w:r>
    </w:p>
    <w:p w14:paraId="614A54D2"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Cuarto.</w:t>
      </w:r>
      <w:r w:rsidRPr="004A24F8">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BA4D6A6"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7DCBA0C0"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Quinto.</w:t>
      </w:r>
      <w:r w:rsidRPr="004A24F8">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4A24F8">
        <w:rPr>
          <w:rFonts w:ascii="Palatino Linotype" w:eastAsia="Palatino Linotype" w:hAnsi="Palatino Linotype" w:cs="Palatino Linotype"/>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14:paraId="07E2EF19"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w:t>
      </w:r>
    </w:p>
    <w:p w14:paraId="27FB439D"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Séptimo.</w:t>
      </w:r>
      <w:r w:rsidRPr="004A24F8">
        <w:rPr>
          <w:rFonts w:ascii="Palatino Linotype" w:eastAsia="Palatino Linotype" w:hAnsi="Palatino Linotype" w:cs="Palatino Linotype"/>
          <w:i/>
          <w:sz w:val="22"/>
          <w:szCs w:val="22"/>
        </w:rPr>
        <w:t xml:space="preserve"> La clasificación de la información se llevará a cabo en el momento en que:</w:t>
      </w:r>
    </w:p>
    <w:p w14:paraId="6D5D93FB"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I.</w:t>
      </w:r>
      <w:r w:rsidRPr="004A24F8">
        <w:rPr>
          <w:rFonts w:ascii="Palatino Linotype" w:eastAsia="Palatino Linotype" w:hAnsi="Palatino Linotype" w:cs="Palatino Linotype"/>
          <w:i/>
          <w:sz w:val="22"/>
          <w:szCs w:val="22"/>
        </w:rPr>
        <w:t xml:space="preserve"> Se reciba una solicitud de acceso a la información;</w:t>
      </w:r>
    </w:p>
    <w:p w14:paraId="3A02FBFF" w14:textId="77777777" w:rsidR="002604D6" w:rsidRPr="004A24F8" w:rsidRDefault="00121F63">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II.</w:t>
      </w:r>
      <w:r w:rsidRPr="004A24F8">
        <w:rPr>
          <w:rFonts w:ascii="Palatino Linotype" w:eastAsia="Palatino Linotype" w:hAnsi="Palatino Linotype" w:cs="Palatino Linotype"/>
          <w:i/>
          <w:sz w:val="22"/>
          <w:szCs w:val="22"/>
        </w:rPr>
        <w:t xml:space="preserve"> Se  determine mediante resolución del Comité de Transparencia, el órgano garante </w:t>
      </w:r>
    </w:p>
    <w:p w14:paraId="1F8A2A33"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i/>
          <w:sz w:val="22"/>
          <w:szCs w:val="22"/>
        </w:rPr>
        <w:t>competente, o en cumplimiento a una sentencia del Poder Judicial; o</w:t>
      </w:r>
    </w:p>
    <w:p w14:paraId="1281A1B9"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III.</w:t>
      </w:r>
      <w:r w:rsidRPr="004A24F8">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225FCB8"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65CCF65"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Octavo.</w:t>
      </w:r>
      <w:r w:rsidRPr="004A24F8">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18D4A81"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4701785" w14:textId="77777777" w:rsidR="002604D6" w:rsidRPr="004A24F8" w:rsidRDefault="00121F63">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B432F4B"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Noveno.</w:t>
      </w:r>
      <w:r w:rsidRPr="004A24F8">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B7A3241"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b/>
          <w:i/>
          <w:sz w:val="22"/>
          <w:szCs w:val="22"/>
        </w:rPr>
        <w:t>Décimo.</w:t>
      </w:r>
      <w:r w:rsidRPr="004A24F8">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9E6B191"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236EC3A" w14:textId="77777777" w:rsidR="002604D6" w:rsidRPr="004A24F8" w:rsidRDefault="00121F63">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lastRenderedPageBreak/>
        <w:t>Décimo primero.</w:t>
      </w:r>
      <w:r w:rsidRPr="004A24F8">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0116421" w14:textId="77777777" w:rsidR="002604D6" w:rsidRPr="004A24F8" w:rsidRDefault="002604D6">
      <w:pPr>
        <w:pBdr>
          <w:top w:val="nil"/>
          <w:left w:val="nil"/>
          <w:bottom w:val="nil"/>
          <w:right w:val="nil"/>
          <w:between w:val="nil"/>
        </w:pBdr>
        <w:ind w:right="709"/>
        <w:jc w:val="both"/>
        <w:rPr>
          <w:sz w:val="22"/>
          <w:szCs w:val="22"/>
        </w:rPr>
      </w:pPr>
    </w:p>
    <w:p w14:paraId="663B37E1" w14:textId="77777777" w:rsidR="002604D6" w:rsidRPr="004A24F8" w:rsidRDefault="00121F63">
      <w:pPr>
        <w:pBdr>
          <w:top w:val="nil"/>
          <w:left w:val="nil"/>
          <w:bottom w:val="nil"/>
          <w:right w:val="nil"/>
          <w:between w:val="nil"/>
        </w:pBdr>
        <w:ind w:left="709" w:right="709"/>
        <w:jc w:val="both"/>
        <w:rPr>
          <w:sz w:val="22"/>
          <w:szCs w:val="22"/>
        </w:rPr>
      </w:pPr>
      <w:r w:rsidRPr="004A24F8">
        <w:rPr>
          <w:rFonts w:ascii="Palatino Linotype" w:eastAsia="Palatino Linotype" w:hAnsi="Palatino Linotype" w:cs="Palatino Linotype"/>
          <w:i/>
          <w:sz w:val="22"/>
          <w:szCs w:val="22"/>
        </w:rPr>
        <w:t>[…]</w:t>
      </w:r>
    </w:p>
    <w:p w14:paraId="08DB902D" w14:textId="77777777" w:rsidR="002604D6" w:rsidRPr="004A24F8" w:rsidRDefault="00121F63">
      <w:pPr>
        <w:pBdr>
          <w:top w:val="nil"/>
          <w:left w:val="nil"/>
          <w:bottom w:val="nil"/>
          <w:right w:val="nil"/>
          <w:between w:val="nil"/>
        </w:pBdr>
        <w:ind w:left="709" w:right="709"/>
        <w:jc w:val="center"/>
        <w:rPr>
          <w:sz w:val="22"/>
          <w:szCs w:val="22"/>
        </w:rPr>
      </w:pPr>
      <w:r w:rsidRPr="004A24F8">
        <w:rPr>
          <w:rFonts w:ascii="Palatino Linotype" w:eastAsia="Palatino Linotype" w:hAnsi="Palatino Linotype" w:cs="Palatino Linotype"/>
          <w:b/>
          <w:i/>
          <w:sz w:val="22"/>
          <w:szCs w:val="22"/>
        </w:rPr>
        <w:t>CAPÍTULO VIII</w:t>
      </w:r>
    </w:p>
    <w:p w14:paraId="6A36D53A" w14:textId="77777777" w:rsidR="002604D6" w:rsidRPr="004A24F8" w:rsidRDefault="00121F63">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b/>
          <w:i/>
          <w:sz w:val="22"/>
          <w:szCs w:val="22"/>
        </w:rPr>
        <w:t>DE LOS ELEMENTOS PARA LA CLASIFICACIÓN</w:t>
      </w:r>
    </w:p>
    <w:p w14:paraId="549F0BD4"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Quincuagésimo</w:t>
      </w:r>
      <w:r w:rsidRPr="004A24F8">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495A438"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t>Quincuagésimo primero</w:t>
      </w:r>
      <w:r w:rsidRPr="004A24F8">
        <w:rPr>
          <w:rFonts w:ascii="Palatino Linotype" w:eastAsia="Palatino Linotype" w:hAnsi="Palatino Linotype" w:cs="Palatino Linotype"/>
          <w:i/>
          <w:sz w:val="22"/>
          <w:szCs w:val="22"/>
        </w:rPr>
        <w:t>. Toda acta del Comité de Transparencia deberá contener:</w:t>
      </w:r>
    </w:p>
    <w:p w14:paraId="2BCA013D"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 xml:space="preserve">I. El número de sesión y fecha; </w:t>
      </w:r>
    </w:p>
    <w:p w14:paraId="7F9E559A"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II. El nombre del área que solicitó la clasificación de información;</w:t>
      </w:r>
    </w:p>
    <w:p w14:paraId="7846E9FB"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III. La fundamentación legal y motivación correspondiente;</w:t>
      </w:r>
    </w:p>
    <w:p w14:paraId="538B37E5"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IV. La resolución o resoluciones aprobadas; y</w:t>
      </w:r>
    </w:p>
    <w:p w14:paraId="1EEC33D2"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 xml:space="preserve">V. La rúbrica o firma digital de cada integrante del Comité de Transparencia. </w:t>
      </w:r>
    </w:p>
    <w:p w14:paraId="668CBAC8"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3FE66D0A"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 Los motivos y razonamientos que sustenten la confirmación o modificación de la prueba de daño;</w:t>
      </w:r>
    </w:p>
    <w:p w14:paraId="05F1DF12"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II. Descripción de las partes o secciones reservadas, en caso de clasificación parcial;</w:t>
      </w:r>
    </w:p>
    <w:p w14:paraId="2B075F20"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III. El periodo por el que mantendrá su clasificación y fecha de expiración; y</w:t>
      </w:r>
    </w:p>
    <w:p w14:paraId="54D92132"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IV. El nombre del titular y área encargada de realizar la versión pública del documento, en su caso.</w:t>
      </w:r>
    </w:p>
    <w:p w14:paraId="28DB5B73"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2500DEB"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4329A41"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b/>
          <w:i/>
          <w:sz w:val="22"/>
          <w:szCs w:val="22"/>
        </w:rPr>
        <w:lastRenderedPageBreak/>
        <w:t>Quincuagésimo segundo</w:t>
      </w:r>
      <w:r w:rsidRPr="004A24F8">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4549E10"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2D408C41"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051552F"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B3DAF0F"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III. Señalar las personas o instancias autorizadas a acceder a la información clasificada.</w:t>
      </w:r>
    </w:p>
    <w:p w14:paraId="3871BB20" w14:textId="77777777" w:rsidR="002604D6" w:rsidRPr="004A24F8" w:rsidRDefault="00121F63">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4A24F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7E248B05" w14:textId="77777777" w:rsidR="002604D6" w:rsidRPr="004A24F8" w:rsidRDefault="00121F63">
      <w:pPr>
        <w:pBdr>
          <w:top w:val="nil"/>
          <w:left w:val="nil"/>
          <w:bottom w:val="nil"/>
          <w:right w:val="nil"/>
          <w:between w:val="nil"/>
        </w:pBdr>
        <w:spacing w:after="160"/>
        <w:ind w:left="709" w:right="709"/>
        <w:jc w:val="both"/>
        <w:rPr>
          <w:sz w:val="22"/>
          <w:szCs w:val="22"/>
        </w:rPr>
      </w:pPr>
      <w:r w:rsidRPr="004A24F8">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5AF63B32" w14:textId="77777777" w:rsidR="002604D6" w:rsidRPr="004A24F8" w:rsidRDefault="002604D6">
      <w:pPr>
        <w:rPr>
          <w:sz w:val="22"/>
          <w:szCs w:val="22"/>
        </w:rPr>
      </w:pPr>
    </w:p>
    <w:p w14:paraId="3349DB16" w14:textId="77777777" w:rsidR="002604D6" w:rsidRPr="004A24F8" w:rsidRDefault="00121F63">
      <w:pPr>
        <w:spacing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3366A060" w14:textId="77777777" w:rsidR="002604D6" w:rsidRPr="004A24F8" w:rsidRDefault="002604D6">
      <w:pPr>
        <w:spacing w:line="360" w:lineRule="auto"/>
        <w:jc w:val="both"/>
        <w:rPr>
          <w:rFonts w:ascii="Palatino Linotype" w:eastAsia="Palatino Linotype" w:hAnsi="Palatino Linotype" w:cs="Palatino Linotype"/>
          <w:sz w:val="22"/>
          <w:szCs w:val="22"/>
        </w:rPr>
      </w:pPr>
    </w:p>
    <w:p w14:paraId="0323645C" w14:textId="77777777" w:rsidR="002604D6" w:rsidRPr="004A24F8" w:rsidRDefault="00121F63">
      <w:pPr>
        <w:shd w:val="clear" w:color="auto" w:fill="FFFFFF"/>
        <w:spacing w:line="360" w:lineRule="auto"/>
        <w:ind w:right="51"/>
        <w:jc w:val="both"/>
        <w:rPr>
          <w:rFonts w:ascii="Palatino Linotype" w:eastAsia="Palatino Linotype" w:hAnsi="Palatino Linotype" w:cs="Palatino Linotype"/>
          <w:sz w:val="22"/>
          <w:szCs w:val="22"/>
        </w:rPr>
      </w:pPr>
      <w:bookmarkStart w:id="8" w:name="_heading=h.4d34og8" w:colFirst="0" w:colLast="0"/>
      <w:bookmarkEnd w:id="8"/>
      <w:r w:rsidRPr="004A24F8">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w:t>
      </w:r>
      <w:r w:rsidRPr="004A24F8">
        <w:rPr>
          <w:rFonts w:ascii="Palatino Linotype" w:eastAsia="Palatino Linotype" w:hAnsi="Palatino Linotype" w:cs="Palatino Linotype"/>
          <w:sz w:val="22"/>
          <w:szCs w:val="22"/>
        </w:rPr>
        <w:lastRenderedPageBreak/>
        <w:t xml:space="preserve">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4A24F8">
        <w:rPr>
          <w:rFonts w:ascii="Palatino Linotype" w:eastAsia="Palatino Linotype" w:hAnsi="Palatino Linotype" w:cs="Palatino Linotype"/>
          <w:b/>
          <w:sz w:val="22"/>
          <w:szCs w:val="22"/>
        </w:rPr>
        <w:t>la parte</w:t>
      </w:r>
      <w:r w:rsidRPr="004A24F8">
        <w:rPr>
          <w:rFonts w:ascii="Palatino Linotype" w:eastAsia="Palatino Linotype" w:hAnsi="Palatino Linotype" w:cs="Palatino Linotype"/>
          <w:sz w:val="22"/>
          <w:szCs w:val="22"/>
        </w:rPr>
        <w:t xml:space="preserve"> </w:t>
      </w:r>
      <w:r w:rsidRPr="004A24F8">
        <w:rPr>
          <w:rFonts w:ascii="Palatino Linotype" w:eastAsia="Palatino Linotype" w:hAnsi="Palatino Linotype" w:cs="Palatino Linotype"/>
          <w:b/>
          <w:sz w:val="22"/>
          <w:szCs w:val="22"/>
        </w:rPr>
        <w:t>Recurrente</w:t>
      </w:r>
      <w:r w:rsidRPr="004A24F8">
        <w:rPr>
          <w:rFonts w:ascii="Palatino Linotype" w:eastAsia="Palatino Linotype" w:hAnsi="Palatino Linotype" w:cs="Palatino Linotype"/>
          <w:sz w:val="22"/>
          <w:szCs w:val="22"/>
        </w:rPr>
        <w:t>.</w:t>
      </w:r>
    </w:p>
    <w:p w14:paraId="7FCDDCF5" w14:textId="77777777" w:rsidR="002604D6" w:rsidRPr="004A24F8" w:rsidRDefault="002604D6">
      <w:pPr>
        <w:shd w:val="clear" w:color="auto" w:fill="FFFFFF"/>
        <w:spacing w:line="360" w:lineRule="auto"/>
        <w:ind w:right="51"/>
        <w:jc w:val="both"/>
        <w:rPr>
          <w:rFonts w:ascii="Palatino Linotype" w:eastAsia="Palatino Linotype" w:hAnsi="Palatino Linotype" w:cs="Palatino Linotype"/>
          <w:sz w:val="22"/>
          <w:szCs w:val="22"/>
        </w:rPr>
      </w:pPr>
    </w:p>
    <w:p w14:paraId="17A2A469" w14:textId="77777777" w:rsidR="002604D6" w:rsidRPr="004A24F8" w:rsidRDefault="00121F63">
      <w:pPr>
        <w:shd w:val="clear" w:color="auto" w:fill="FFFFFF"/>
        <w:spacing w:line="360" w:lineRule="auto"/>
        <w:ind w:right="51"/>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sz w:val="22"/>
          <w:szCs w:val="22"/>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558A0EDC" w14:textId="77777777" w:rsidR="002604D6" w:rsidRPr="004A24F8" w:rsidRDefault="00121F63">
      <w:pPr>
        <w:numPr>
          <w:ilvl w:val="0"/>
          <w:numId w:val="2"/>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4A24F8">
        <w:rPr>
          <w:rFonts w:ascii="Palatino Linotype" w:eastAsia="Palatino Linotype" w:hAnsi="Palatino Linotype" w:cs="Palatino Linotype"/>
          <w:b/>
        </w:rPr>
        <w:t>R E S U E L V E:</w:t>
      </w:r>
    </w:p>
    <w:p w14:paraId="2C68E909" w14:textId="77777777" w:rsidR="002604D6" w:rsidRPr="004A24F8" w:rsidRDefault="00121F63">
      <w:pPr>
        <w:spacing w:before="240" w:after="240" w:line="360" w:lineRule="auto"/>
        <w:jc w:val="both"/>
        <w:rPr>
          <w:rFonts w:ascii="Palatino Linotype" w:eastAsia="Palatino Linotype" w:hAnsi="Palatino Linotype" w:cs="Palatino Linotype"/>
          <w:b/>
          <w:sz w:val="22"/>
          <w:szCs w:val="22"/>
        </w:rPr>
      </w:pPr>
      <w:r w:rsidRPr="004A24F8">
        <w:rPr>
          <w:rFonts w:ascii="Palatino Linotype" w:eastAsia="Palatino Linotype" w:hAnsi="Palatino Linotype" w:cs="Palatino Linotype"/>
          <w:b/>
          <w:sz w:val="22"/>
          <w:szCs w:val="22"/>
        </w:rPr>
        <w:t xml:space="preserve">Primero. </w:t>
      </w:r>
      <w:r w:rsidRPr="004A24F8">
        <w:rPr>
          <w:rFonts w:ascii="Palatino Linotype" w:eastAsia="Palatino Linotype" w:hAnsi="Palatino Linotype" w:cs="Palatino Linotype"/>
          <w:sz w:val="22"/>
          <w:szCs w:val="22"/>
        </w:rPr>
        <w:t>Resultan</w:t>
      </w:r>
      <w:r w:rsidRPr="004A24F8">
        <w:rPr>
          <w:rFonts w:ascii="Palatino Linotype" w:eastAsia="Palatino Linotype" w:hAnsi="Palatino Linotype" w:cs="Palatino Linotype"/>
          <w:b/>
          <w:sz w:val="22"/>
          <w:szCs w:val="22"/>
        </w:rPr>
        <w:t xml:space="preserve"> fundados </w:t>
      </w:r>
      <w:r w:rsidRPr="004A24F8">
        <w:rPr>
          <w:rFonts w:ascii="Palatino Linotype" w:eastAsia="Palatino Linotype" w:hAnsi="Palatino Linotype" w:cs="Palatino Linotype"/>
          <w:sz w:val="22"/>
          <w:szCs w:val="22"/>
        </w:rPr>
        <w:t xml:space="preserve">los motivos de inconformidad hechos valer por </w:t>
      </w:r>
      <w:r w:rsidRPr="004A24F8">
        <w:rPr>
          <w:rFonts w:ascii="Palatino Linotype" w:eastAsia="Palatino Linotype" w:hAnsi="Palatino Linotype" w:cs="Palatino Linotype"/>
          <w:b/>
          <w:sz w:val="22"/>
          <w:szCs w:val="22"/>
        </w:rPr>
        <w:t>la parte Recurrente</w:t>
      </w:r>
      <w:r w:rsidRPr="004A24F8">
        <w:rPr>
          <w:rFonts w:ascii="Palatino Linotype" w:eastAsia="Palatino Linotype" w:hAnsi="Palatino Linotype" w:cs="Palatino Linotype"/>
          <w:sz w:val="22"/>
          <w:szCs w:val="22"/>
        </w:rPr>
        <w:t xml:space="preserve"> en el Recurso de Revisión</w:t>
      </w:r>
      <w:r w:rsidRPr="004A24F8">
        <w:rPr>
          <w:rFonts w:ascii="Palatino Linotype" w:eastAsia="Palatino Linotype" w:hAnsi="Palatino Linotype" w:cs="Palatino Linotype"/>
          <w:b/>
          <w:sz w:val="22"/>
          <w:szCs w:val="22"/>
        </w:rPr>
        <w:t xml:space="preserve"> 04904/INFOEM/IP/RR/2024, </w:t>
      </w:r>
      <w:r w:rsidRPr="004A24F8">
        <w:rPr>
          <w:rFonts w:ascii="Palatino Linotype" w:eastAsia="Palatino Linotype" w:hAnsi="Palatino Linotype" w:cs="Palatino Linotype"/>
          <w:sz w:val="22"/>
          <w:szCs w:val="22"/>
        </w:rPr>
        <w:t>por lo que</w:t>
      </w:r>
      <w:r w:rsidRPr="004A24F8">
        <w:rPr>
          <w:rFonts w:ascii="Palatino Linotype" w:eastAsia="Palatino Linotype" w:hAnsi="Palatino Linotype" w:cs="Palatino Linotype"/>
          <w:b/>
          <w:sz w:val="22"/>
          <w:szCs w:val="22"/>
        </w:rPr>
        <w:t xml:space="preserve">, en términos del Considerando Cuarto </w:t>
      </w:r>
      <w:r w:rsidRPr="004A24F8">
        <w:rPr>
          <w:rFonts w:ascii="Palatino Linotype" w:eastAsia="Palatino Linotype" w:hAnsi="Palatino Linotype" w:cs="Palatino Linotype"/>
          <w:sz w:val="22"/>
          <w:szCs w:val="22"/>
        </w:rPr>
        <w:t xml:space="preserve">de la presente resolución, </w:t>
      </w:r>
      <w:r w:rsidRPr="004A24F8">
        <w:rPr>
          <w:rFonts w:ascii="Palatino Linotype" w:eastAsia="Palatino Linotype" w:hAnsi="Palatino Linotype" w:cs="Palatino Linotype"/>
          <w:b/>
          <w:sz w:val="22"/>
          <w:szCs w:val="22"/>
        </w:rPr>
        <w:t xml:space="preserve">se MODIFICA </w:t>
      </w:r>
      <w:r w:rsidRPr="004A24F8">
        <w:rPr>
          <w:rFonts w:ascii="Palatino Linotype" w:eastAsia="Palatino Linotype" w:hAnsi="Palatino Linotype" w:cs="Palatino Linotype"/>
          <w:sz w:val="22"/>
          <w:szCs w:val="22"/>
        </w:rPr>
        <w:t>la respuesta del</w:t>
      </w:r>
      <w:r w:rsidRPr="004A24F8">
        <w:rPr>
          <w:rFonts w:ascii="Palatino Linotype" w:eastAsia="Palatino Linotype" w:hAnsi="Palatino Linotype" w:cs="Palatino Linotype"/>
          <w:b/>
          <w:sz w:val="22"/>
          <w:szCs w:val="22"/>
        </w:rPr>
        <w:t xml:space="preserve"> Sujeto Obligado.</w:t>
      </w:r>
    </w:p>
    <w:p w14:paraId="4FC0D350" w14:textId="77777777" w:rsidR="002604D6" w:rsidRPr="004A24F8" w:rsidRDefault="00121F63">
      <w:pPr>
        <w:spacing w:before="240" w:after="240" w:line="360" w:lineRule="auto"/>
        <w:ind w:right="49"/>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 xml:space="preserve">Segundo. Se Ordena al Sujeto Obligado </w:t>
      </w:r>
      <w:r w:rsidRPr="004A24F8">
        <w:rPr>
          <w:rFonts w:ascii="Palatino Linotype" w:eastAsia="Palatino Linotype" w:hAnsi="Palatino Linotype" w:cs="Palatino Linotype"/>
          <w:sz w:val="22"/>
          <w:szCs w:val="22"/>
        </w:rPr>
        <w:t>que en términos de los</w:t>
      </w:r>
      <w:r w:rsidRPr="004A24F8">
        <w:rPr>
          <w:rFonts w:ascii="Palatino Linotype" w:eastAsia="Palatino Linotype" w:hAnsi="Palatino Linotype" w:cs="Palatino Linotype"/>
          <w:b/>
          <w:sz w:val="22"/>
          <w:szCs w:val="22"/>
        </w:rPr>
        <w:t xml:space="preserve"> Considerandos Cuarto y Quinto </w:t>
      </w:r>
      <w:r w:rsidRPr="004A24F8">
        <w:rPr>
          <w:rFonts w:ascii="Palatino Linotype" w:eastAsia="Palatino Linotype" w:hAnsi="Palatino Linotype" w:cs="Palatino Linotype"/>
          <w:sz w:val="22"/>
          <w:szCs w:val="22"/>
        </w:rPr>
        <w:t xml:space="preserve">de esta resolución haga entrega a </w:t>
      </w:r>
      <w:r w:rsidRPr="004A24F8">
        <w:rPr>
          <w:rFonts w:ascii="Palatino Linotype" w:eastAsia="Palatino Linotype" w:hAnsi="Palatino Linotype" w:cs="Palatino Linotype"/>
          <w:b/>
          <w:sz w:val="22"/>
          <w:szCs w:val="22"/>
        </w:rPr>
        <w:t>la parte Recurrente a través del SAIMEX</w:t>
      </w:r>
      <w:r w:rsidRPr="004A24F8">
        <w:rPr>
          <w:rFonts w:ascii="Palatino Linotype" w:eastAsia="Palatino Linotype" w:hAnsi="Palatino Linotype" w:cs="Palatino Linotype"/>
          <w:sz w:val="22"/>
          <w:szCs w:val="22"/>
        </w:rPr>
        <w:t>, en versión pública de ser procedente,</w:t>
      </w:r>
      <w:r w:rsidRPr="004A24F8">
        <w:rPr>
          <w:rFonts w:ascii="Palatino Linotype" w:eastAsia="Palatino Linotype" w:hAnsi="Palatino Linotype" w:cs="Palatino Linotype"/>
          <w:b/>
          <w:sz w:val="22"/>
          <w:szCs w:val="22"/>
        </w:rPr>
        <w:t xml:space="preserve"> </w:t>
      </w:r>
      <w:r w:rsidRPr="004A24F8">
        <w:rPr>
          <w:rFonts w:ascii="Palatino Linotype" w:eastAsia="Palatino Linotype" w:hAnsi="Palatino Linotype" w:cs="Palatino Linotype"/>
          <w:sz w:val="22"/>
          <w:szCs w:val="22"/>
        </w:rPr>
        <w:t xml:space="preserve">de lo siguiente: </w:t>
      </w:r>
    </w:p>
    <w:p w14:paraId="3377841F" w14:textId="77777777" w:rsidR="002604D6" w:rsidRPr="004A24F8" w:rsidRDefault="00121F63" w:rsidP="00746E35">
      <w:pPr>
        <w:numPr>
          <w:ilvl w:val="0"/>
          <w:numId w:val="5"/>
        </w:numPr>
        <w:pBdr>
          <w:top w:val="nil"/>
          <w:left w:val="nil"/>
          <w:bottom w:val="nil"/>
          <w:right w:val="nil"/>
          <w:between w:val="nil"/>
        </w:pBdr>
        <w:tabs>
          <w:tab w:val="left" w:pos="6103"/>
        </w:tabs>
        <w:spacing w:line="276" w:lineRule="auto"/>
        <w:ind w:left="567" w:right="900" w:hanging="283"/>
        <w:jc w:val="both"/>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b/>
          <w:i/>
          <w:sz w:val="22"/>
          <w:szCs w:val="22"/>
        </w:rPr>
        <w:t>Los minutarios o documento análogo de la Dirección del Sistema Estatal de Información del Agua,  Dirección General de Operaciones y Atención a Emergencias, Dirección General de Inversión y Gestión, y la Dirección General de Asuntos Jurídicos e Igualdad de Género</w:t>
      </w:r>
      <w:r w:rsidR="00746E35" w:rsidRPr="004A24F8">
        <w:t xml:space="preserve"> </w:t>
      </w:r>
      <w:r w:rsidR="00746E35" w:rsidRPr="004A24F8">
        <w:rPr>
          <w:rFonts w:ascii="Palatino Linotype" w:eastAsia="Palatino Linotype" w:hAnsi="Palatino Linotype" w:cs="Palatino Linotype"/>
          <w:b/>
          <w:i/>
          <w:sz w:val="22"/>
          <w:szCs w:val="22"/>
        </w:rPr>
        <w:t xml:space="preserve">y sus Subdirecciones, </w:t>
      </w:r>
      <w:r w:rsidR="00746E35" w:rsidRPr="004A24F8">
        <w:rPr>
          <w:rFonts w:ascii="Palatino Linotype" w:eastAsia="Palatino Linotype" w:hAnsi="Palatino Linotype" w:cs="Palatino Linotype"/>
          <w:b/>
          <w:i/>
          <w:sz w:val="22"/>
          <w:szCs w:val="22"/>
        </w:rPr>
        <w:lastRenderedPageBreak/>
        <w:t>Departamentos y Unidades Staff</w:t>
      </w:r>
      <w:r w:rsidRPr="004A24F8">
        <w:rPr>
          <w:rFonts w:ascii="Palatino Linotype" w:eastAsia="Palatino Linotype" w:hAnsi="Palatino Linotype" w:cs="Palatino Linotype"/>
          <w:b/>
          <w:i/>
          <w:sz w:val="18"/>
          <w:szCs w:val="18"/>
        </w:rPr>
        <w:t xml:space="preserve">, </w:t>
      </w:r>
      <w:r w:rsidRPr="004A24F8">
        <w:rPr>
          <w:rFonts w:ascii="Palatino Linotype" w:eastAsia="Palatino Linotype" w:hAnsi="Palatino Linotype" w:cs="Palatino Linotype"/>
          <w:b/>
          <w:i/>
          <w:sz w:val="22"/>
          <w:szCs w:val="22"/>
        </w:rPr>
        <w:t>así como de  las faltantes por pronunciarse</w:t>
      </w:r>
      <w:r w:rsidR="00746E35" w:rsidRPr="004A24F8">
        <w:rPr>
          <w:rFonts w:ascii="Palatino Linotype" w:eastAsia="Palatino Linotype" w:hAnsi="Palatino Linotype" w:cs="Palatino Linotype"/>
          <w:b/>
          <w:i/>
          <w:sz w:val="22"/>
          <w:szCs w:val="22"/>
        </w:rPr>
        <w:t>,</w:t>
      </w:r>
      <w:r w:rsidRPr="004A24F8">
        <w:rPr>
          <w:rFonts w:ascii="Palatino Linotype" w:eastAsia="Palatino Linotype" w:hAnsi="Palatino Linotype" w:cs="Palatino Linotype"/>
          <w:b/>
          <w:i/>
          <w:sz w:val="22"/>
          <w:szCs w:val="22"/>
        </w:rPr>
        <w:t xml:space="preserve"> generados del 01 de enero del 2023 al 10 de julio de 2024</w:t>
      </w:r>
      <w:r w:rsidRPr="004A24F8">
        <w:rPr>
          <w:rFonts w:ascii="Palatino Linotype" w:eastAsia="Palatino Linotype" w:hAnsi="Palatino Linotype" w:cs="Palatino Linotype"/>
          <w:i/>
          <w:sz w:val="22"/>
          <w:szCs w:val="22"/>
        </w:rPr>
        <w:t>.</w:t>
      </w:r>
    </w:p>
    <w:p w14:paraId="0B146DDC" w14:textId="77777777" w:rsidR="002604D6" w:rsidRPr="004A24F8" w:rsidRDefault="00121F63">
      <w:pPr>
        <w:numPr>
          <w:ilvl w:val="0"/>
          <w:numId w:val="5"/>
        </w:numPr>
        <w:pBdr>
          <w:top w:val="nil"/>
          <w:left w:val="nil"/>
          <w:bottom w:val="nil"/>
          <w:right w:val="nil"/>
          <w:between w:val="nil"/>
        </w:pBdr>
        <w:tabs>
          <w:tab w:val="left" w:pos="6103"/>
        </w:tabs>
        <w:spacing w:line="276" w:lineRule="auto"/>
        <w:ind w:left="567" w:right="900" w:hanging="283"/>
        <w:jc w:val="both"/>
        <w:rPr>
          <w:rFonts w:ascii="Palatino Linotype" w:eastAsia="Palatino Linotype" w:hAnsi="Palatino Linotype" w:cs="Palatino Linotype"/>
          <w:b/>
          <w:i/>
          <w:sz w:val="22"/>
          <w:szCs w:val="22"/>
        </w:rPr>
      </w:pPr>
      <w:r w:rsidRPr="004A24F8">
        <w:rPr>
          <w:rFonts w:ascii="Palatino Linotype" w:eastAsia="Palatino Linotype" w:hAnsi="Palatino Linotype" w:cs="Palatino Linotype"/>
          <w:b/>
          <w:i/>
          <w:sz w:val="22"/>
          <w:szCs w:val="22"/>
        </w:rPr>
        <w:t>Los minutarios o documento análogo donde se lleva el registro de los oficios del Departamento de Obras de Tratamiento, la Residencia de Construcción Cuautitlán Poniente y Departamento Técnico Electromecánico, generados del 01 de enero al 10 de julio de 2024.</w:t>
      </w:r>
    </w:p>
    <w:p w14:paraId="29C7472C" w14:textId="77777777" w:rsidR="002604D6" w:rsidRPr="004A24F8" w:rsidRDefault="00121F63">
      <w:pPr>
        <w:numPr>
          <w:ilvl w:val="0"/>
          <w:numId w:val="5"/>
        </w:numPr>
        <w:pBdr>
          <w:top w:val="nil"/>
          <w:left w:val="nil"/>
          <w:bottom w:val="nil"/>
          <w:right w:val="nil"/>
          <w:between w:val="nil"/>
        </w:pBdr>
        <w:tabs>
          <w:tab w:val="left" w:pos="6103"/>
        </w:tabs>
        <w:spacing w:line="276" w:lineRule="auto"/>
        <w:ind w:left="567" w:right="900" w:hanging="283"/>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i/>
          <w:sz w:val="22"/>
          <w:szCs w:val="22"/>
        </w:rPr>
        <w:t>Los minutarios de la Residencia de Construcción Atlacomulco de los ejercicios fiscales 2023 y 2024, entregados en respuesta, correctamente digitalizados</w:t>
      </w:r>
      <w:r w:rsidRPr="004A24F8">
        <w:rPr>
          <w:rFonts w:ascii="Palatino Linotype" w:eastAsia="Palatino Linotype" w:hAnsi="Palatino Linotype" w:cs="Palatino Linotype"/>
          <w:i/>
          <w:sz w:val="22"/>
          <w:szCs w:val="22"/>
        </w:rPr>
        <w:t>.</w:t>
      </w:r>
    </w:p>
    <w:p w14:paraId="5D0229F1" w14:textId="77777777" w:rsidR="002604D6" w:rsidRPr="004A24F8" w:rsidRDefault="00121F63">
      <w:pPr>
        <w:pBdr>
          <w:top w:val="nil"/>
          <w:left w:val="nil"/>
          <w:bottom w:val="nil"/>
          <w:right w:val="nil"/>
          <w:between w:val="nil"/>
        </w:pBdr>
        <w:tabs>
          <w:tab w:val="left" w:pos="6103"/>
        </w:tabs>
        <w:spacing w:line="276" w:lineRule="auto"/>
        <w:ind w:left="567" w:right="900"/>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4A24F8">
        <w:rPr>
          <w:rFonts w:ascii="Palatino Linotype" w:eastAsia="Palatino Linotype" w:hAnsi="Palatino Linotype" w:cs="Palatino Linotype"/>
          <w:b/>
          <w:i/>
          <w:sz w:val="22"/>
          <w:szCs w:val="22"/>
        </w:rPr>
        <w:t>la parte Recurrente</w:t>
      </w:r>
      <w:r w:rsidRPr="004A24F8">
        <w:rPr>
          <w:rFonts w:ascii="Palatino Linotype" w:eastAsia="Palatino Linotype" w:hAnsi="Palatino Linotype" w:cs="Palatino Linotype"/>
          <w:i/>
          <w:sz w:val="22"/>
          <w:szCs w:val="22"/>
        </w:rPr>
        <w:t>.</w:t>
      </w:r>
    </w:p>
    <w:p w14:paraId="370FDCEA" w14:textId="77777777" w:rsidR="002604D6" w:rsidRPr="004A24F8" w:rsidRDefault="00121F63" w:rsidP="002804D1">
      <w:pPr>
        <w:pBdr>
          <w:top w:val="nil"/>
          <w:left w:val="nil"/>
          <w:bottom w:val="nil"/>
          <w:right w:val="nil"/>
          <w:between w:val="nil"/>
        </w:pBdr>
        <w:spacing w:before="240" w:line="276" w:lineRule="auto"/>
        <w:ind w:left="567" w:right="900"/>
        <w:jc w:val="both"/>
        <w:rPr>
          <w:rFonts w:ascii="Palatino Linotype" w:eastAsia="Palatino Linotype" w:hAnsi="Palatino Linotype" w:cs="Palatino Linotype"/>
          <w:i/>
          <w:sz w:val="22"/>
          <w:szCs w:val="22"/>
        </w:rPr>
      </w:pPr>
      <w:bookmarkStart w:id="9" w:name="_heading=h.35nkun2" w:colFirst="0" w:colLast="0"/>
      <w:bookmarkEnd w:id="9"/>
      <w:r w:rsidRPr="004A24F8">
        <w:rPr>
          <w:rFonts w:ascii="Palatino Linotype" w:eastAsia="Palatino Linotype" w:hAnsi="Palatino Linotype" w:cs="Palatino Linotype"/>
          <w:i/>
          <w:sz w:val="22"/>
          <w:szCs w:val="22"/>
        </w:rPr>
        <w:t>En el</w:t>
      </w:r>
      <w:r w:rsidR="002804D1" w:rsidRPr="004A24F8">
        <w:rPr>
          <w:rFonts w:ascii="Palatino Linotype" w:eastAsia="Palatino Linotype" w:hAnsi="Palatino Linotype" w:cs="Palatino Linotype"/>
          <w:i/>
          <w:sz w:val="22"/>
          <w:szCs w:val="22"/>
        </w:rPr>
        <w:t xml:space="preserve"> caso de que se actualice el</w:t>
      </w:r>
      <w:r w:rsidRPr="004A24F8">
        <w:rPr>
          <w:rFonts w:ascii="Palatino Linotype" w:eastAsia="Palatino Linotype" w:hAnsi="Palatino Linotype" w:cs="Palatino Linotype"/>
          <w:i/>
          <w:sz w:val="22"/>
          <w:szCs w:val="22"/>
        </w:rPr>
        <w:t xml:space="preserve"> supuesto en el que</w:t>
      </w:r>
      <w:r w:rsidR="002804D1" w:rsidRPr="004A24F8">
        <w:rPr>
          <w:rFonts w:ascii="Palatino Linotype" w:eastAsia="Palatino Linotype" w:hAnsi="Palatino Linotype" w:cs="Palatino Linotype"/>
          <w:i/>
          <w:sz w:val="22"/>
          <w:szCs w:val="22"/>
        </w:rPr>
        <w:t xml:space="preserve"> </w:t>
      </w:r>
      <w:r w:rsidR="002804D1" w:rsidRPr="004A24F8">
        <w:rPr>
          <w:rFonts w:ascii="Palatino Linotype" w:eastAsia="Palatino Linotype" w:hAnsi="Palatino Linotype" w:cs="Palatino Linotype"/>
          <w:b/>
          <w:i/>
          <w:sz w:val="22"/>
          <w:szCs w:val="22"/>
          <w:u w:val="single"/>
        </w:rPr>
        <w:t>las Subdirecciones, Departamentos y Unidades Staff no cuenten con los minutarios que se ordenan en el punto 1</w:t>
      </w:r>
      <w:r w:rsidR="002804D1" w:rsidRPr="004A24F8">
        <w:rPr>
          <w:rFonts w:ascii="Palatino Linotype" w:eastAsia="Palatino Linotype" w:hAnsi="Palatino Linotype" w:cs="Palatino Linotype"/>
          <w:i/>
          <w:sz w:val="22"/>
          <w:szCs w:val="22"/>
        </w:rPr>
        <w:t>, en razón de que los oficios de estas áreas son generados por las unidades superiores jerárquicamente, es decir, por las Direcciones o que</w:t>
      </w:r>
      <w:r w:rsidRPr="004A24F8">
        <w:rPr>
          <w:rFonts w:ascii="Palatino Linotype" w:eastAsia="Palatino Linotype" w:hAnsi="Palatino Linotype" w:cs="Palatino Linotype"/>
          <w:i/>
          <w:sz w:val="22"/>
          <w:szCs w:val="22"/>
        </w:rPr>
        <w:t xml:space="preserve"> el </w:t>
      </w:r>
      <w:r w:rsidRPr="004A24F8">
        <w:rPr>
          <w:rFonts w:ascii="Palatino Linotype" w:eastAsia="Palatino Linotype" w:hAnsi="Palatino Linotype" w:cs="Palatino Linotype"/>
          <w:b/>
          <w:i/>
          <w:sz w:val="22"/>
          <w:szCs w:val="22"/>
        </w:rPr>
        <w:t>Departamento de Obras de Tratamiento, la Residencia de Construcción Cuautitlán Poniente y Departamento Técnico Electromecánico</w:t>
      </w:r>
      <w:r w:rsidRPr="004A24F8">
        <w:rPr>
          <w:rFonts w:ascii="Palatino Linotype" w:eastAsia="Palatino Linotype" w:hAnsi="Palatino Linotype" w:cs="Palatino Linotype"/>
          <w:i/>
          <w:sz w:val="22"/>
          <w:szCs w:val="22"/>
        </w:rPr>
        <w:t xml:space="preserve">, </w:t>
      </w:r>
      <w:r w:rsidRPr="004A24F8">
        <w:rPr>
          <w:rFonts w:ascii="Palatino Linotype" w:eastAsia="Palatino Linotype" w:hAnsi="Palatino Linotype" w:cs="Palatino Linotype"/>
          <w:b/>
          <w:i/>
          <w:sz w:val="22"/>
          <w:szCs w:val="22"/>
          <w:u w:val="single"/>
        </w:rPr>
        <w:t>no cuente con la información que se ordena en el punto 2</w:t>
      </w:r>
      <w:r w:rsidRPr="004A24F8">
        <w:rPr>
          <w:rFonts w:ascii="Palatino Linotype" w:eastAsia="Palatino Linotype" w:hAnsi="Palatino Linotype" w:cs="Palatino Linotype"/>
          <w:i/>
          <w:sz w:val="22"/>
          <w:szCs w:val="22"/>
        </w:rPr>
        <w:t xml:space="preserve">, </w:t>
      </w:r>
      <w:r w:rsidRPr="004A24F8">
        <w:rPr>
          <w:rFonts w:ascii="Palatino Linotype" w:eastAsia="Palatino Linotype" w:hAnsi="Palatino Linotype" w:cs="Palatino Linotype"/>
          <w:b/>
          <w:i/>
          <w:sz w:val="22"/>
          <w:szCs w:val="22"/>
        </w:rPr>
        <w:t>en virtud de que dentro de la temporalidad solicitada no se generaron oficios</w:t>
      </w:r>
      <w:r w:rsidRPr="004A24F8">
        <w:rPr>
          <w:rFonts w:ascii="Palatino Linotype" w:eastAsia="Palatino Linotype" w:hAnsi="Palatino Linotype" w:cs="Palatino Linotype"/>
          <w:i/>
          <w:sz w:val="22"/>
          <w:szCs w:val="22"/>
        </w:rPr>
        <w:t>, bastará con que así lo haga del conocimiento de la parte Recurrente, en términos del artículo 19, párrafo segundo de la Ley de Transparencia y Acceso a la Información Pública del Estado de México y Municipios, para tener por colmado el requerimiento de información.</w:t>
      </w:r>
    </w:p>
    <w:p w14:paraId="769AD917" w14:textId="77777777" w:rsidR="002604D6" w:rsidRPr="004A24F8" w:rsidRDefault="002604D6">
      <w:pPr>
        <w:ind w:right="900"/>
        <w:jc w:val="both"/>
        <w:rPr>
          <w:rFonts w:ascii="Palatino Linotype" w:eastAsia="Palatino Linotype" w:hAnsi="Palatino Linotype" w:cs="Palatino Linotype"/>
          <w:i/>
          <w:sz w:val="22"/>
          <w:szCs w:val="22"/>
        </w:rPr>
      </w:pPr>
    </w:p>
    <w:p w14:paraId="2D8750A0"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 xml:space="preserve">Tercero.  Notifíquese vía SAIMEX, </w:t>
      </w:r>
      <w:r w:rsidRPr="004A24F8">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4A24F8">
        <w:rPr>
          <w:rFonts w:ascii="Palatino Linotype" w:eastAsia="Palatino Linotype" w:hAnsi="Palatino Linotype" w:cs="Palatino Linotype"/>
          <w:sz w:val="22"/>
          <w:szCs w:val="22"/>
        </w:rPr>
        <w:lastRenderedPageBreak/>
        <w:t>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B2CDAF9"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 xml:space="preserve">Cuarto. </w:t>
      </w:r>
      <w:r w:rsidRPr="004A24F8">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A24F8">
        <w:rPr>
          <w:rFonts w:ascii="Palatino Linotype" w:eastAsia="Palatino Linotype" w:hAnsi="Palatino Linotype" w:cs="Palatino Linotype"/>
          <w:b/>
          <w:sz w:val="22"/>
          <w:szCs w:val="22"/>
        </w:rPr>
        <w:t>Sujeto Obligado</w:t>
      </w:r>
      <w:r w:rsidRPr="004A24F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2D95BEC" w14:textId="77777777" w:rsidR="002604D6" w:rsidRPr="004A24F8" w:rsidRDefault="00121F63">
      <w:pPr>
        <w:spacing w:before="240" w:after="240" w:line="360" w:lineRule="auto"/>
        <w:jc w:val="both"/>
        <w:rPr>
          <w:rFonts w:ascii="Palatino Linotype" w:eastAsia="Palatino Linotype" w:hAnsi="Palatino Linotype" w:cs="Palatino Linotype"/>
          <w:sz w:val="22"/>
          <w:szCs w:val="22"/>
        </w:rPr>
      </w:pPr>
      <w:r w:rsidRPr="004A24F8">
        <w:rPr>
          <w:rFonts w:ascii="Palatino Linotype" w:eastAsia="Palatino Linotype" w:hAnsi="Palatino Linotype" w:cs="Palatino Linotype"/>
          <w:b/>
          <w:sz w:val="22"/>
          <w:szCs w:val="22"/>
        </w:rPr>
        <w:t xml:space="preserve">Quinto. Notifíquese vía SAIMEX, </w:t>
      </w:r>
      <w:r w:rsidRPr="004A24F8">
        <w:rPr>
          <w:rFonts w:ascii="Palatino Linotype" w:eastAsia="Palatino Linotype" w:hAnsi="Palatino Linotype" w:cs="Palatino Linotype"/>
          <w:sz w:val="22"/>
          <w:szCs w:val="22"/>
        </w:rPr>
        <w:t>a</w:t>
      </w:r>
      <w:r w:rsidRPr="004A24F8">
        <w:rPr>
          <w:rFonts w:ascii="Palatino Linotype" w:eastAsia="Palatino Linotype" w:hAnsi="Palatino Linotype" w:cs="Palatino Linotype"/>
          <w:b/>
          <w:sz w:val="22"/>
          <w:szCs w:val="22"/>
        </w:rPr>
        <w:t xml:space="preserve"> la parte Recurrente</w:t>
      </w:r>
      <w:r w:rsidRPr="004A24F8">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27A841EE" w14:textId="77777777" w:rsidR="002604D6" w:rsidRPr="004A24F8" w:rsidRDefault="00121F63">
      <w:pPr>
        <w:spacing w:line="360" w:lineRule="auto"/>
        <w:jc w:val="both"/>
        <w:rPr>
          <w:rFonts w:ascii="Palatino Linotype" w:eastAsia="Palatino Linotype" w:hAnsi="Palatino Linotype" w:cs="Palatino Linotype"/>
        </w:rPr>
      </w:pPr>
      <w:r w:rsidRPr="004A24F8">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QUINTA SESIÓN ORDINARIA, CELEBRADA EL TRES DE OCTUBRE DE DOS MIL VEINTICUATRO, ANTE EL SECRETARIO TÉCNICO DEL PLENO ALEXIS TAPIA RAMÍREZ. </w:t>
      </w:r>
    </w:p>
    <w:p w14:paraId="7CF60F17" w14:textId="77777777" w:rsidR="002604D6" w:rsidRPr="004A24F8" w:rsidRDefault="002604D6">
      <w:pPr>
        <w:rPr>
          <w:rFonts w:ascii="Palatino Linotype" w:eastAsia="Palatino Linotype" w:hAnsi="Palatino Linotype" w:cs="Palatino Linotype"/>
        </w:rPr>
      </w:pPr>
    </w:p>
    <w:p w14:paraId="06ADD813" w14:textId="77777777" w:rsidR="002604D6" w:rsidRPr="004A24F8" w:rsidRDefault="002604D6">
      <w:pPr>
        <w:rPr>
          <w:rFonts w:ascii="Palatino Linotype" w:eastAsia="Palatino Linotype" w:hAnsi="Palatino Linotype" w:cs="Palatino Linotype"/>
        </w:rPr>
      </w:pPr>
    </w:p>
    <w:p w14:paraId="564707F9" w14:textId="77777777" w:rsidR="002604D6" w:rsidRPr="004A24F8" w:rsidRDefault="002604D6">
      <w:pPr>
        <w:spacing w:line="360" w:lineRule="auto"/>
        <w:jc w:val="both"/>
        <w:rPr>
          <w:rFonts w:ascii="Palatino Linotype" w:eastAsia="Palatino Linotype" w:hAnsi="Palatino Linotype" w:cs="Palatino Linotype"/>
        </w:rPr>
      </w:pPr>
      <w:bookmarkStart w:id="10" w:name="_heading=h.3rdcrjn" w:colFirst="0" w:colLast="0"/>
      <w:bookmarkEnd w:id="10"/>
    </w:p>
    <w:p w14:paraId="7E09C8B3" w14:textId="77777777" w:rsidR="002604D6" w:rsidRPr="004A24F8" w:rsidRDefault="002604D6">
      <w:pPr>
        <w:spacing w:line="360" w:lineRule="auto"/>
        <w:jc w:val="both"/>
        <w:rPr>
          <w:rFonts w:ascii="Palatino Linotype" w:eastAsia="Palatino Linotype" w:hAnsi="Palatino Linotype" w:cs="Palatino Linotype"/>
        </w:rPr>
      </w:pPr>
    </w:p>
    <w:p w14:paraId="586574C9" w14:textId="77777777" w:rsidR="002604D6" w:rsidRPr="004A24F8" w:rsidRDefault="002604D6">
      <w:pPr>
        <w:spacing w:line="360" w:lineRule="auto"/>
        <w:jc w:val="both"/>
        <w:rPr>
          <w:rFonts w:ascii="Palatino Linotype" w:eastAsia="Palatino Linotype" w:hAnsi="Palatino Linotype" w:cs="Palatino Linotype"/>
        </w:rPr>
      </w:pPr>
    </w:p>
    <w:p w14:paraId="473E234D" w14:textId="77777777" w:rsidR="002604D6" w:rsidRPr="004A24F8" w:rsidRDefault="002604D6">
      <w:pPr>
        <w:spacing w:line="360" w:lineRule="auto"/>
        <w:jc w:val="both"/>
        <w:rPr>
          <w:rFonts w:ascii="Palatino Linotype" w:eastAsia="Palatino Linotype" w:hAnsi="Palatino Linotype" w:cs="Palatino Linotype"/>
        </w:rPr>
      </w:pPr>
      <w:bookmarkStart w:id="11" w:name="_heading=h.1t3h5sf" w:colFirst="0" w:colLast="0"/>
      <w:bookmarkEnd w:id="11"/>
    </w:p>
    <w:p w14:paraId="35DD2A79" w14:textId="77777777" w:rsidR="002604D6" w:rsidRPr="004A24F8" w:rsidRDefault="002604D6">
      <w:pPr>
        <w:spacing w:line="360" w:lineRule="auto"/>
        <w:jc w:val="both"/>
        <w:rPr>
          <w:rFonts w:ascii="Palatino Linotype" w:eastAsia="Palatino Linotype" w:hAnsi="Palatino Linotype" w:cs="Palatino Linotype"/>
        </w:rPr>
      </w:pPr>
    </w:p>
    <w:p w14:paraId="00B33436" w14:textId="77777777" w:rsidR="002604D6" w:rsidRPr="004A24F8" w:rsidRDefault="002604D6">
      <w:pPr>
        <w:spacing w:line="360" w:lineRule="auto"/>
        <w:jc w:val="both"/>
        <w:rPr>
          <w:rFonts w:ascii="Palatino Linotype" w:eastAsia="Palatino Linotype" w:hAnsi="Palatino Linotype" w:cs="Palatino Linotype"/>
        </w:rPr>
      </w:pPr>
    </w:p>
    <w:p w14:paraId="75E69D55" w14:textId="77777777" w:rsidR="002604D6" w:rsidRPr="004A24F8" w:rsidRDefault="002604D6">
      <w:pPr>
        <w:spacing w:line="360" w:lineRule="auto"/>
        <w:jc w:val="both"/>
        <w:rPr>
          <w:rFonts w:ascii="Palatino Linotype" w:eastAsia="Palatino Linotype" w:hAnsi="Palatino Linotype" w:cs="Palatino Linotype"/>
        </w:rPr>
      </w:pPr>
    </w:p>
    <w:p w14:paraId="2B2EBC0B" w14:textId="77777777" w:rsidR="002604D6" w:rsidRPr="004A24F8" w:rsidRDefault="002604D6">
      <w:pPr>
        <w:spacing w:line="360" w:lineRule="auto"/>
        <w:jc w:val="both"/>
        <w:rPr>
          <w:rFonts w:ascii="Palatino Linotype" w:eastAsia="Palatino Linotype" w:hAnsi="Palatino Linotype" w:cs="Palatino Linotype"/>
        </w:rPr>
      </w:pPr>
    </w:p>
    <w:p w14:paraId="3AF0C23F" w14:textId="77777777" w:rsidR="002604D6" w:rsidRPr="004A24F8" w:rsidRDefault="002604D6">
      <w:pPr>
        <w:spacing w:line="360" w:lineRule="auto"/>
        <w:jc w:val="both"/>
        <w:rPr>
          <w:rFonts w:ascii="Palatino Linotype" w:eastAsia="Palatino Linotype" w:hAnsi="Palatino Linotype" w:cs="Palatino Linotype"/>
        </w:rPr>
      </w:pPr>
    </w:p>
    <w:p w14:paraId="4158B2F8" w14:textId="77777777" w:rsidR="002604D6" w:rsidRPr="004A24F8" w:rsidRDefault="002604D6">
      <w:pPr>
        <w:spacing w:line="360" w:lineRule="auto"/>
        <w:jc w:val="both"/>
        <w:rPr>
          <w:rFonts w:ascii="Palatino Linotype" w:eastAsia="Palatino Linotype" w:hAnsi="Palatino Linotype" w:cs="Palatino Linotype"/>
        </w:rPr>
      </w:pPr>
    </w:p>
    <w:p w14:paraId="02D6A3E5" w14:textId="77777777" w:rsidR="002604D6" w:rsidRPr="004A24F8" w:rsidRDefault="002604D6">
      <w:pPr>
        <w:spacing w:line="360" w:lineRule="auto"/>
        <w:jc w:val="both"/>
        <w:rPr>
          <w:rFonts w:ascii="Palatino Linotype" w:eastAsia="Palatino Linotype" w:hAnsi="Palatino Linotype" w:cs="Palatino Linotype"/>
        </w:rPr>
      </w:pPr>
    </w:p>
    <w:p w14:paraId="7F5A4CD2" w14:textId="77777777" w:rsidR="002604D6" w:rsidRPr="004A24F8" w:rsidRDefault="002604D6">
      <w:pPr>
        <w:spacing w:line="360" w:lineRule="auto"/>
        <w:jc w:val="both"/>
        <w:rPr>
          <w:rFonts w:ascii="Palatino Linotype" w:eastAsia="Palatino Linotype" w:hAnsi="Palatino Linotype" w:cs="Palatino Linotype"/>
        </w:rPr>
      </w:pPr>
    </w:p>
    <w:p w14:paraId="4642232E" w14:textId="77777777" w:rsidR="002604D6" w:rsidRPr="004A24F8" w:rsidRDefault="002604D6">
      <w:pPr>
        <w:spacing w:line="360" w:lineRule="auto"/>
        <w:jc w:val="both"/>
        <w:rPr>
          <w:rFonts w:ascii="Palatino Linotype" w:eastAsia="Palatino Linotype" w:hAnsi="Palatino Linotype" w:cs="Palatino Linotype"/>
        </w:rPr>
      </w:pPr>
    </w:p>
    <w:p w14:paraId="724C7519" w14:textId="77777777" w:rsidR="002604D6" w:rsidRPr="004A24F8" w:rsidRDefault="002604D6">
      <w:pPr>
        <w:spacing w:line="360" w:lineRule="auto"/>
        <w:jc w:val="both"/>
        <w:rPr>
          <w:rFonts w:ascii="Palatino Linotype" w:eastAsia="Palatino Linotype" w:hAnsi="Palatino Linotype" w:cs="Palatino Linotype"/>
        </w:rPr>
      </w:pPr>
    </w:p>
    <w:p w14:paraId="7A3534AB" w14:textId="77777777" w:rsidR="002604D6" w:rsidRPr="004A24F8" w:rsidRDefault="002604D6">
      <w:pPr>
        <w:spacing w:line="360" w:lineRule="auto"/>
        <w:jc w:val="both"/>
        <w:rPr>
          <w:rFonts w:ascii="Palatino Linotype" w:eastAsia="Palatino Linotype" w:hAnsi="Palatino Linotype" w:cs="Palatino Linotype"/>
        </w:rPr>
      </w:pPr>
    </w:p>
    <w:p w14:paraId="6632763C" w14:textId="77777777" w:rsidR="002604D6" w:rsidRPr="004A24F8" w:rsidRDefault="002604D6">
      <w:pPr>
        <w:spacing w:line="360" w:lineRule="auto"/>
        <w:jc w:val="both"/>
        <w:rPr>
          <w:rFonts w:ascii="Palatino Linotype" w:eastAsia="Palatino Linotype" w:hAnsi="Palatino Linotype" w:cs="Palatino Linotype"/>
        </w:rPr>
      </w:pPr>
    </w:p>
    <w:p w14:paraId="38EECE37" w14:textId="77777777" w:rsidR="002604D6" w:rsidRPr="004A24F8" w:rsidRDefault="002604D6">
      <w:pPr>
        <w:spacing w:line="360" w:lineRule="auto"/>
        <w:jc w:val="both"/>
        <w:rPr>
          <w:rFonts w:ascii="Palatino Linotype" w:eastAsia="Palatino Linotype" w:hAnsi="Palatino Linotype" w:cs="Palatino Linotype"/>
        </w:rPr>
      </w:pPr>
    </w:p>
    <w:p w14:paraId="3C69D578" w14:textId="77777777" w:rsidR="002604D6" w:rsidRPr="004A24F8" w:rsidRDefault="002604D6">
      <w:pPr>
        <w:spacing w:line="360" w:lineRule="auto"/>
        <w:jc w:val="both"/>
        <w:rPr>
          <w:rFonts w:ascii="Palatino Linotype" w:eastAsia="Palatino Linotype" w:hAnsi="Palatino Linotype" w:cs="Palatino Linotype"/>
        </w:rPr>
      </w:pPr>
    </w:p>
    <w:p w14:paraId="432F2CFE" w14:textId="77777777" w:rsidR="002604D6" w:rsidRPr="004A24F8" w:rsidRDefault="002604D6">
      <w:pPr>
        <w:spacing w:line="360" w:lineRule="auto"/>
        <w:jc w:val="both"/>
        <w:rPr>
          <w:rFonts w:ascii="Palatino Linotype" w:eastAsia="Palatino Linotype" w:hAnsi="Palatino Linotype" w:cs="Palatino Linotype"/>
        </w:rPr>
      </w:pPr>
    </w:p>
    <w:p w14:paraId="03DDE24C" w14:textId="77777777" w:rsidR="002604D6" w:rsidRPr="004A24F8" w:rsidRDefault="002604D6">
      <w:pPr>
        <w:spacing w:line="360" w:lineRule="auto"/>
        <w:jc w:val="both"/>
        <w:rPr>
          <w:rFonts w:ascii="Palatino Linotype" w:eastAsia="Palatino Linotype" w:hAnsi="Palatino Linotype" w:cs="Palatino Linotype"/>
        </w:rPr>
      </w:pPr>
    </w:p>
    <w:p w14:paraId="723F1ECD" w14:textId="77777777" w:rsidR="002604D6" w:rsidRPr="004A24F8" w:rsidRDefault="002604D6">
      <w:pPr>
        <w:spacing w:line="360" w:lineRule="auto"/>
        <w:jc w:val="both"/>
        <w:rPr>
          <w:rFonts w:ascii="Palatino Linotype" w:eastAsia="Palatino Linotype" w:hAnsi="Palatino Linotype" w:cs="Palatino Linotype"/>
        </w:rPr>
      </w:pPr>
    </w:p>
    <w:p w14:paraId="7A8D8A37" w14:textId="77777777" w:rsidR="002604D6" w:rsidRPr="004A24F8" w:rsidRDefault="002604D6">
      <w:pPr>
        <w:spacing w:line="360" w:lineRule="auto"/>
        <w:jc w:val="both"/>
        <w:rPr>
          <w:rFonts w:ascii="Palatino Linotype" w:eastAsia="Palatino Linotype" w:hAnsi="Palatino Linotype" w:cs="Palatino Linotype"/>
        </w:rPr>
      </w:pPr>
    </w:p>
    <w:p w14:paraId="22FC67FA" w14:textId="77777777" w:rsidR="002604D6" w:rsidRPr="004A24F8" w:rsidRDefault="002604D6">
      <w:pPr>
        <w:spacing w:line="360" w:lineRule="auto"/>
        <w:jc w:val="both"/>
        <w:rPr>
          <w:rFonts w:ascii="Palatino Linotype" w:eastAsia="Palatino Linotype" w:hAnsi="Palatino Linotype" w:cs="Palatino Linotype"/>
        </w:rPr>
      </w:pPr>
    </w:p>
    <w:sectPr w:rsidR="002604D6" w:rsidRPr="004A24F8">
      <w:headerReference w:type="default" r:id="rId29"/>
      <w:footerReference w:type="default" r:id="rId30"/>
      <w:headerReference w:type="first" r:id="rId31"/>
      <w:foot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2483F" w14:textId="77777777" w:rsidR="00D5526F" w:rsidRDefault="00D5526F">
      <w:r>
        <w:separator/>
      </w:r>
    </w:p>
  </w:endnote>
  <w:endnote w:type="continuationSeparator" w:id="0">
    <w:p w14:paraId="3F7414FA" w14:textId="77777777" w:rsidR="00D5526F" w:rsidRDefault="00D55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5ABE6" w14:textId="77777777" w:rsidR="006D5EFB" w:rsidRDefault="006D5EF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D53FD">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D53FD">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64C08C1E" w14:textId="77777777" w:rsidR="006D5EFB" w:rsidRDefault="006D5EF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C786" w14:textId="77777777" w:rsidR="006D5EFB" w:rsidRDefault="006D5EF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B34D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B34DB">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29004E6D" w14:textId="77777777" w:rsidR="006D5EFB" w:rsidRDefault="006D5EF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EF894" w14:textId="77777777" w:rsidR="00D5526F" w:rsidRDefault="00D5526F">
      <w:r>
        <w:separator/>
      </w:r>
    </w:p>
  </w:footnote>
  <w:footnote w:type="continuationSeparator" w:id="0">
    <w:p w14:paraId="4762D394" w14:textId="77777777" w:rsidR="00D5526F" w:rsidRDefault="00D5526F">
      <w:r>
        <w:continuationSeparator/>
      </w:r>
    </w:p>
  </w:footnote>
  <w:footnote w:id="1">
    <w:p w14:paraId="1C73E62C" w14:textId="77777777" w:rsidR="006D5EFB" w:rsidRDefault="006D5EFB">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551F496" w14:textId="77777777" w:rsidR="006D5EFB" w:rsidRDefault="006D5EF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7E79" w14:textId="77777777" w:rsidR="006D5EFB" w:rsidRDefault="006D5EFB">
    <w:pPr>
      <w:rPr>
        <w:rFonts w:ascii="Cambria" w:eastAsia="Cambria" w:hAnsi="Cambria" w:cs="Cambria"/>
        <w:color w:val="000000"/>
      </w:rPr>
    </w:pPr>
    <w:r>
      <w:rPr>
        <w:noProof/>
      </w:rPr>
      <w:drawing>
        <wp:anchor distT="0" distB="0" distL="0" distR="0" simplePos="0" relativeHeight="251658240" behindDoc="1" locked="0" layoutInCell="1" hidden="0" allowOverlap="1" wp14:anchorId="69757F8C" wp14:editId="5BAB1FA2">
          <wp:simplePos x="0" y="0"/>
          <wp:positionH relativeFrom="column">
            <wp:posOffset>-1080114</wp:posOffset>
          </wp:positionH>
          <wp:positionV relativeFrom="paragraph">
            <wp:posOffset>-488290</wp:posOffset>
          </wp:positionV>
          <wp:extent cx="7809865" cy="10165715"/>
          <wp:effectExtent l="0" t="0" r="0" b="0"/>
          <wp:wrapNone/>
          <wp:docPr id="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7371" w:type="dxa"/>
      <w:tblInd w:w="3261" w:type="dxa"/>
      <w:tblLayout w:type="fixed"/>
      <w:tblLook w:val="0400" w:firstRow="0" w:lastRow="0" w:firstColumn="0" w:lastColumn="0" w:noHBand="0" w:noVBand="1"/>
    </w:tblPr>
    <w:tblGrid>
      <w:gridCol w:w="2489"/>
      <w:gridCol w:w="4882"/>
    </w:tblGrid>
    <w:tr w:rsidR="006D5EFB" w14:paraId="01A08D48" w14:textId="77777777">
      <w:tc>
        <w:tcPr>
          <w:tcW w:w="2489" w:type="dxa"/>
          <w:shd w:val="clear" w:color="auto" w:fill="auto"/>
        </w:tcPr>
        <w:p w14:paraId="03B78EEC" w14:textId="77777777" w:rsidR="006D5EFB" w:rsidRDefault="006D5E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882" w:type="dxa"/>
          <w:shd w:val="clear" w:color="auto" w:fill="auto"/>
          <w:vAlign w:val="center"/>
        </w:tcPr>
        <w:p w14:paraId="33F2B899" w14:textId="77777777" w:rsidR="006D5EFB" w:rsidRDefault="006D5EF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04904/INFOEM/IP/RR/2024</w:t>
          </w:r>
        </w:p>
      </w:tc>
    </w:tr>
    <w:tr w:rsidR="006D5EFB" w14:paraId="701C365A" w14:textId="77777777">
      <w:trPr>
        <w:trHeight w:val="228"/>
      </w:trPr>
      <w:tc>
        <w:tcPr>
          <w:tcW w:w="2489" w:type="dxa"/>
          <w:shd w:val="clear" w:color="auto" w:fill="auto"/>
          <w:vAlign w:val="center"/>
        </w:tcPr>
        <w:p w14:paraId="0758C73B" w14:textId="77777777" w:rsidR="006D5EFB" w:rsidRDefault="006D5E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882" w:type="dxa"/>
          <w:shd w:val="clear" w:color="auto" w:fill="auto"/>
          <w:vAlign w:val="center"/>
        </w:tcPr>
        <w:p w14:paraId="73DFE9E0" w14:textId="77777777" w:rsidR="006D5EFB" w:rsidRDefault="006D5EFB">
          <w:pPr>
            <w:ind w:left="-45" w:right="187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6D5EFB" w14:paraId="7377DBC0" w14:textId="77777777">
      <w:tc>
        <w:tcPr>
          <w:tcW w:w="2489" w:type="dxa"/>
          <w:shd w:val="clear" w:color="auto" w:fill="auto"/>
          <w:vAlign w:val="center"/>
        </w:tcPr>
        <w:p w14:paraId="055DFDD4" w14:textId="77777777" w:rsidR="006D5EFB" w:rsidRDefault="006D5EF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882" w:type="dxa"/>
          <w:shd w:val="clear" w:color="auto" w:fill="auto"/>
          <w:vAlign w:val="center"/>
        </w:tcPr>
        <w:p w14:paraId="01DF6D7C" w14:textId="77777777" w:rsidR="006D5EFB" w:rsidRDefault="006D5EFB">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8364D50" w14:textId="77777777" w:rsidR="006D5EFB" w:rsidRDefault="006D5EF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4897" w14:textId="77777777" w:rsidR="006D5EFB" w:rsidRDefault="006D5EF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EE97AC5" wp14:editId="6E17A723">
          <wp:simplePos x="0" y="0"/>
          <wp:positionH relativeFrom="column">
            <wp:posOffset>-1080134</wp:posOffset>
          </wp:positionH>
          <wp:positionV relativeFrom="paragraph">
            <wp:posOffset>-423544</wp:posOffset>
          </wp:positionV>
          <wp:extent cx="7809865" cy="10165715"/>
          <wp:effectExtent l="0" t="0" r="0" b="0"/>
          <wp:wrapNone/>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7371" w:type="dxa"/>
      <w:tblInd w:w="3261" w:type="dxa"/>
      <w:tblLayout w:type="fixed"/>
      <w:tblLook w:val="0400" w:firstRow="0" w:lastRow="0" w:firstColumn="0" w:lastColumn="0" w:noHBand="0" w:noVBand="1"/>
    </w:tblPr>
    <w:tblGrid>
      <w:gridCol w:w="2551"/>
      <w:gridCol w:w="4820"/>
    </w:tblGrid>
    <w:tr w:rsidR="006D5EFB" w14:paraId="2A21B943" w14:textId="77777777">
      <w:tc>
        <w:tcPr>
          <w:tcW w:w="2551" w:type="dxa"/>
          <w:shd w:val="clear" w:color="auto" w:fill="auto"/>
          <w:vAlign w:val="center"/>
        </w:tcPr>
        <w:p w14:paraId="378FAA7D" w14:textId="77777777" w:rsidR="006D5EFB" w:rsidRDefault="006D5E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820" w:type="dxa"/>
          <w:shd w:val="clear" w:color="auto" w:fill="auto"/>
          <w:vAlign w:val="center"/>
        </w:tcPr>
        <w:p w14:paraId="1D8C4AE3" w14:textId="77777777" w:rsidR="006D5EFB" w:rsidRDefault="006D5EF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04904/INFOEM/IP/RR/2024</w:t>
          </w:r>
        </w:p>
      </w:tc>
    </w:tr>
    <w:tr w:rsidR="006D5EFB" w14:paraId="79577A23" w14:textId="77777777">
      <w:trPr>
        <w:trHeight w:val="130"/>
      </w:trPr>
      <w:tc>
        <w:tcPr>
          <w:tcW w:w="2551" w:type="dxa"/>
          <w:shd w:val="clear" w:color="auto" w:fill="auto"/>
          <w:vAlign w:val="center"/>
        </w:tcPr>
        <w:p w14:paraId="6ACD0E2A" w14:textId="77777777" w:rsidR="006D5EFB" w:rsidRDefault="006D5E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820" w:type="dxa"/>
          <w:shd w:val="clear" w:color="auto" w:fill="auto"/>
          <w:vAlign w:val="center"/>
        </w:tcPr>
        <w:p w14:paraId="57A53E64" w14:textId="0FBA93EF" w:rsidR="006D5EFB" w:rsidRDefault="001F3668">
          <w:pPr>
            <w:ind w:left="-45" w:right="-68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XXXXXXXXX XXX XX XXXXXXXXXX </w:t>
          </w:r>
        </w:p>
      </w:tc>
    </w:tr>
    <w:tr w:rsidR="006D5EFB" w14:paraId="1797B14A" w14:textId="77777777">
      <w:trPr>
        <w:trHeight w:val="228"/>
      </w:trPr>
      <w:tc>
        <w:tcPr>
          <w:tcW w:w="2551" w:type="dxa"/>
          <w:shd w:val="clear" w:color="auto" w:fill="auto"/>
          <w:vAlign w:val="center"/>
        </w:tcPr>
        <w:p w14:paraId="2BF57B90" w14:textId="77777777" w:rsidR="006D5EFB" w:rsidRDefault="006D5E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820" w:type="dxa"/>
          <w:shd w:val="clear" w:color="auto" w:fill="auto"/>
          <w:vAlign w:val="center"/>
        </w:tcPr>
        <w:p w14:paraId="03921E0E" w14:textId="77777777" w:rsidR="006D5EFB" w:rsidRDefault="006D5EFB">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Comisión del Agua del Estado de México</w:t>
          </w:r>
        </w:p>
      </w:tc>
    </w:tr>
    <w:tr w:rsidR="006D5EFB" w14:paraId="0442E4F8" w14:textId="77777777">
      <w:tc>
        <w:tcPr>
          <w:tcW w:w="2551" w:type="dxa"/>
          <w:shd w:val="clear" w:color="auto" w:fill="auto"/>
          <w:vAlign w:val="center"/>
        </w:tcPr>
        <w:p w14:paraId="3179322F" w14:textId="77777777" w:rsidR="006D5EFB" w:rsidRDefault="006D5EF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820" w:type="dxa"/>
          <w:shd w:val="clear" w:color="auto" w:fill="auto"/>
          <w:vAlign w:val="center"/>
        </w:tcPr>
        <w:p w14:paraId="118707CC" w14:textId="77777777" w:rsidR="006D5EFB" w:rsidRDefault="006D5EFB">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56B8FE" w14:textId="77777777" w:rsidR="006D5EFB" w:rsidRDefault="006D5EFB">
    <w:pPr>
      <w:pBdr>
        <w:top w:val="nil"/>
        <w:left w:val="nil"/>
        <w:bottom w:val="nil"/>
        <w:right w:val="nil"/>
        <w:between w:val="nil"/>
      </w:pBdr>
      <w:tabs>
        <w:tab w:val="center" w:pos="4252"/>
        <w:tab w:val="right" w:pos="8504"/>
      </w:tabs>
      <w:rPr>
        <w:rFonts w:ascii="Cambria" w:eastAsia="Cambria" w:hAnsi="Cambria" w:cs="Cambria"/>
        <w:color w:val="000000"/>
      </w:rPr>
    </w:pPr>
  </w:p>
  <w:p w14:paraId="3B0392E9" w14:textId="77777777" w:rsidR="006D5EFB" w:rsidRDefault="006D5E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30C51"/>
    <w:multiLevelType w:val="multilevel"/>
    <w:tmpl w:val="7A30288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CAD0875"/>
    <w:multiLevelType w:val="multilevel"/>
    <w:tmpl w:val="4CB05D90"/>
    <w:lvl w:ilvl="0">
      <w:start w:val="1"/>
      <w:numFmt w:val="decimal"/>
      <w:lvlText w:val="%1."/>
      <w:lvlJc w:val="left"/>
      <w:pPr>
        <w:ind w:left="720" w:hanging="360"/>
      </w:pPr>
      <w:rPr>
        <w:b/>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8E4008"/>
    <w:multiLevelType w:val="multilevel"/>
    <w:tmpl w:val="440616B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D531F5F"/>
    <w:multiLevelType w:val="multilevel"/>
    <w:tmpl w:val="82100C5A"/>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C4F6D0D"/>
    <w:multiLevelType w:val="multilevel"/>
    <w:tmpl w:val="8EFAAD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5285969"/>
    <w:multiLevelType w:val="multilevel"/>
    <w:tmpl w:val="D822195E"/>
    <w:lvl w:ilvl="0">
      <w:start w:val="1"/>
      <w:numFmt w:val="decimal"/>
      <w:lvlText w:val="%1."/>
      <w:lvlJc w:val="left"/>
      <w:pPr>
        <w:ind w:left="720" w:hanging="360"/>
      </w:pPr>
      <w:rPr>
        <w:b/>
        <w: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4D6"/>
    <w:rsid w:val="000545D6"/>
    <w:rsid w:val="00121F63"/>
    <w:rsid w:val="001F3668"/>
    <w:rsid w:val="002604D6"/>
    <w:rsid w:val="002804D1"/>
    <w:rsid w:val="002C4928"/>
    <w:rsid w:val="004A24F8"/>
    <w:rsid w:val="004B34DB"/>
    <w:rsid w:val="005303CC"/>
    <w:rsid w:val="006D5EFB"/>
    <w:rsid w:val="00746E35"/>
    <w:rsid w:val="008441F7"/>
    <w:rsid w:val="009674D7"/>
    <w:rsid w:val="00A55FF8"/>
    <w:rsid w:val="00A85E82"/>
    <w:rsid w:val="00D5526F"/>
    <w:rsid w:val="00ED53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BE069"/>
  <w15:docId w15:val="{932305B5-1C49-4963-9363-BBE14645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EE2"/>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basedOn w:val="Normal"/>
    <w:uiPriority w:val="34"/>
    <w:qFormat/>
    <w:rsid w:val="000038B1"/>
    <w:pPr>
      <w:ind w:left="720"/>
      <w:contextualSpacing/>
    </w:p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455091"/>
    <w:rPr>
      <w:color w:val="0000FF" w:themeColor="hyperlink"/>
      <w:u w:val="single"/>
    </w:rPr>
  </w:style>
  <w:style w:type="paragraph" w:styleId="Listaconvietas3">
    <w:name w:val="List Bullet 3"/>
    <w:basedOn w:val="Normal"/>
    <w:uiPriority w:val="99"/>
    <w:unhideWhenUsed/>
    <w:rsid w:val="00210E50"/>
    <w:pPr>
      <w:numPr>
        <w:numId w:val="6"/>
      </w:numPr>
      <w:contextualSpacing/>
    </w:pPr>
    <w:rPr>
      <w:lang w:val="es-ES"/>
    </w:rPr>
  </w:style>
  <w:style w:type="table" w:styleId="Tablaconcuadrcula">
    <w:name w:val="Table Grid"/>
    <w:basedOn w:val="Tablanormal"/>
    <w:uiPriority w:val="39"/>
    <w:rsid w:val="00F5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25IEB/3g8yaiuw095RDojbdewg==">CgMxLjAyCWguMWZvYjl0ZTIIaC5namRneHMyCWguM2R5NnZrbTIJaC4zMGowemxsMgloLjJzOGV5bzEyCGgudHlqY3d0MgloLjN6bnlzaDcyCWguMmV0OTJwMDIJaC40ZDM0b2c4MgloLjM1bmt1bjIyCWguM3JkY3JqbjIJaC4xdDNoNXNmOAByITFaTDFrMEszczdHSHFkRmk0Yk5BaUdOWnlvSnVCYnN2Ug==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10937</Words>
  <Characters>60158</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2024-10-04T05:52:00Z</cp:lastPrinted>
  <dcterms:created xsi:type="dcterms:W3CDTF">2024-10-23T22:43:00Z</dcterms:created>
  <dcterms:modified xsi:type="dcterms:W3CDTF">2024-10-23T22:43:00Z</dcterms:modified>
</cp:coreProperties>
</file>