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739F7" w14:textId="77777777" w:rsidR="006117D9" w:rsidRDefault="006117D9">
      <w:pPr>
        <w:widowControl w:val="0"/>
        <w:pBdr>
          <w:top w:val="nil"/>
          <w:left w:val="nil"/>
          <w:bottom w:val="nil"/>
          <w:right w:val="nil"/>
          <w:between w:val="nil"/>
        </w:pBdr>
        <w:spacing w:line="276" w:lineRule="auto"/>
      </w:pPr>
    </w:p>
    <w:p w14:paraId="62B7A18E" w14:textId="77777777" w:rsidR="006117D9" w:rsidRDefault="004C641C">
      <w:pPr>
        <w:spacing w:line="360" w:lineRule="auto"/>
        <w:ind w:right="-734"/>
        <w:jc w:val="both"/>
        <w:rPr>
          <w:rFonts w:ascii="Palatino Linotype" w:eastAsia="Palatino Linotype" w:hAnsi="Palatino Linotype" w:cs="Palatino Linotype"/>
        </w:rPr>
      </w:pPr>
      <w:r>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w:t>
      </w:r>
      <w:r w:rsidR="008D5130">
        <w:rPr>
          <w:rFonts w:ascii="Palatino Linotype" w:eastAsia="Palatino Linotype" w:hAnsi="Palatino Linotype" w:cs="Palatino Linotype"/>
        </w:rPr>
        <w:t>o de México; de fecha seis (06</w:t>
      </w:r>
      <w:r>
        <w:rPr>
          <w:rFonts w:ascii="Palatino Linotype" w:eastAsia="Palatino Linotype" w:hAnsi="Palatino Linotype" w:cs="Palatino Linotype"/>
        </w:rPr>
        <w:t xml:space="preserve">) de </w:t>
      </w:r>
      <w:r w:rsidR="008D5130">
        <w:rPr>
          <w:rFonts w:ascii="Palatino Linotype" w:eastAsia="Palatino Linotype" w:hAnsi="Palatino Linotype" w:cs="Palatino Linotype"/>
        </w:rPr>
        <w:t>noviembre</w:t>
      </w:r>
      <w:r>
        <w:rPr>
          <w:rFonts w:ascii="Palatino Linotype" w:eastAsia="Palatino Linotype" w:hAnsi="Palatino Linotype" w:cs="Palatino Linotype"/>
        </w:rPr>
        <w:t xml:space="preserve"> de dos mil veinticuatro.</w:t>
      </w:r>
    </w:p>
    <w:p w14:paraId="39BDA2EC" w14:textId="77777777" w:rsidR="006117D9" w:rsidRDefault="006117D9">
      <w:pPr>
        <w:spacing w:line="360" w:lineRule="auto"/>
        <w:ind w:right="-734"/>
        <w:jc w:val="both"/>
        <w:rPr>
          <w:rFonts w:ascii="Palatino Linotype" w:eastAsia="Palatino Linotype" w:hAnsi="Palatino Linotype" w:cs="Palatino Linotype"/>
        </w:rPr>
      </w:pPr>
    </w:p>
    <w:p w14:paraId="3B200583" w14:textId="49AE26A4" w:rsidR="006117D9" w:rsidRDefault="004C641C">
      <w:pPr>
        <w:spacing w:line="360" w:lineRule="auto"/>
        <w:ind w:right="-734"/>
        <w:jc w:val="both"/>
        <w:rPr>
          <w:rFonts w:ascii="Palatino Linotype" w:eastAsia="Palatino Linotype" w:hAnsi="Palatino Linotype" w:cs="Palatino Linotype"/>
        </w:rPr>
      </w:pPr>
      <w:r>
        <w:rPr>
          <w:rFonts w:ascii="Palatino Linotype" w:eastAsia="Palatino Linotype" w:hAnsi="Palatino Linotype" w:cs="Palatino Linotype"/>
          <w:b/>
        </w:rPr>
        <w:t>VISTO</w:t>
      </w:r>
      <w:r>
        <w:rPr>
          <w:rFonts w:ascii="Palatino Linotype" w:eastAsia="Palatino Linotype" w:hAnsi="Palatino Linotype" w:cs="Palatino Linotype"/>
        </w:rPr>
        <w:t xml:space="preserve"> el expediente electrónico formado con motivo del recurso de revisión </w:t>
      </w:r>
      <w:r>
        <w:rPr>
          <w:rFonts w:ascii="Palatino Linotype" w:eastAsia="Palatino Linotype" w:hAnsi="Palatino Linotype" w:cs="Palatino Linotype"/>
          <w:b/>
        </w:rPr>
        <w:t xml:space="preserve">00073/INFOEM/IP/RR/2024, </w:t>
      </w:r>
      <w:r>
        <w:rPr>
          <w:rFonts w:ascii="Palatino Linotype" w:eastAsia="Palatino Linotype" w:hAnsi="Palatino Linotype" w:cs="Palatino Linotype"/>
        </w:rPr>
        <w:t xml:space="preserve">promovido por </w:t>
      </w:r>
      <w:r w:rsidR="00B93CB1">
        <w:rPr>
          <w:rFonts w:ascii="Palatino Linotype" w:eastAsia="Palatino Linotype" w:hAnsi="Palatino Linotype" w:cs="Palatino Linotype"/>
          <w:b/>
        </w:rPr>
        <w:t xml:space="preserve">XXX </w:t>
      </w:r>
      <w:proofErr w:type="spellStart"/>
      <w:r w:rsidR="00B93CB1">
        <w:rPr>
          <w:rFonts w:ascii="Palatino Linotype" w:eastAsia="Palatino Linotype" w:hAnsi="Palatino Linotype" w:cs="Palatino Linotype"/>
          <w:b/>
        </w:rPr>
        <w:t>XXX</w:t>
      </w:r>
      <w:proofErr w:type="spellEnd"/>
      <w:r>
        <w:rPr>
          <w:rFonts w:ascii="Palatino Linotype" w:eastAsia="Palatino Linotype" w:hAnsi="Palatino Linotype" w:cs="Palatino Linotype"/>
        </w:rPr>
        <w:t xml:space="preserve">, en lo sucesivo el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en contra de la respuesta del </w:t>
      </w:r>
      <w:r>
        <w:rPr>
          <w:rFonts w:ascii="Palatino Linotype" w:eastAsia="Palatino Linotype" w:hAnsi="Palatino Linotype" w:cs="Palatino Linotype"/>
          <w:b/>
          <w:color w:val="000000"/>
        </w:rPr>
        <w:t>Ayuntamiento de Villa de Allende</w:t>
      </w:r>
      <w:r>
        <w:rPr>
          <w:rFonts w:ascii="Palatino Linotype" w:eastAsia="Palatino Linotype" w:hAnsi="Palatino Linotype" w:cs="Palatino Linotype"/>
          <w:b/>
        </w:rPr>
        <w:t xml:space="preserve">, </w:t>
      </w:r>
      <w:r>
        <w:rPr>
          <w:rFonts w:ascii="Palatino Linotype" w:eastAsia="Palatino Linotype" w:hAnsi="Palatino Linotype" w:cs="Palatino Linotype"/>
        </w:rPr>
        <w:t>en adelante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por lo que se procede a dictar la presente resolución, con base en los siguientes:</w:t>
      </w:r>
    </w:p>
    <w:p w14:paraId="56803AE5" w14:textId="77777777" w:rsidR="006117D9" w:rsidRDefault="006117D9">
      <w:pPr>
        <w:spacing w:line="360" w:lineRule="auto"/>
        <w:ind w:right="-734"/>
        <w:jc w:val="both"/>
        <w:rPr>
          <w:rFonts w:ascii="Palatino Linotype" w:eastAsia="Palatino Linotype" w:hAnsi="Palatino Linotype" w:cs="Palatino Linotype"/>
        </w:rPr>
      </w:pPr>
    </w:p>
    <w:p w14:paraId="106047E6" w14:textId="77777777" w:rsidR="006117D9" w:rsidRDefault="004C641C">
      <w:pPr>
        <w:keepNext/>
        <w:keepLines/>
        <w:spacing w:line="360" w:lineRule="auto"/>
        <w:ind w:right="-734"/>
        <w:jc w:val="center"/>
        <w:rPr>
          <w:rFonts w:ascii="Palatino Linotype" w:eastAsia="Palatino Linotype" w:hAnsi="Palatino Linotype" w:cs="Palatino Linotype"/>
          <w:b/>
        </w:rPr>
      </w:pPr>
      <w:r>
        <w:rPr>
          <w:rFonts w:ascii="Palatino Linotype" w:eastAsia="Palatino Linotype" w:hAnsi="Palatino Linotype" w:cs="Palatino Linotype"/>
          <w:b/>
        </w:rPr>
        <w:t>A N T E C E D E N T E S</w:t>
      </w:r>
    </w:p>
    <w:p w14:paraId="58B2FAD3" w14:textId="77777777" w:rsidR="006117D9" w:rsidRDefault="006117D9">
      <w:pPr>
        <w:spacing w:line="360" w:lineRule="auto"/>
        <w:ind w:right="-734"/>
        <w:rPr>
          <w:rFonts w:ascii="Palatino Linotype" w:eastAsia="Palatino Linotype" w:hAnsi="Palatino Linotype" w:cs="Palatino Linotype"/>
        </w:rPr>
      </w:pPr>
    </w:p>
    <w:p w14:paraId="654D5A4D" w14:textId="77777777" w:rsidR="006117D9" w:rsidRDefault="004C641C">
      <w:pPr>
        <w:numPr>
          <w:ilvl w:val="0"/>
          <w:numId w:val="1"/>
        </w:numPr>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rPr>
        <w:t>El treinta de noviembre de dos mil veintitrés, la</w:t>
      </w:r>
      <w:r>
        <w:rPr>
          <w:rFonts w:ascii="Palatino Linotype" w:eastAsia="Palatino Linotype" w:hAnsi="Palatino Linotype" w:cs="Palatino Linotype"/>
          <w:b/>
        </w:rPr>
        <w:t xml:space="preserve"> RECURRENTE </w:t>
      </w:r>
      <w:r>
        <w:rPr>
          <w:rFonts w:ascii="Palatino Linotype" w:eastAsia="Palatino Linotype" w:hAnsi="Palatino Linotype" w:cs="Palatino Linotype"/>
        </w:rPr>
        <w:t xml:space="preserve">presentó ante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 través del el Sistema de Acceso a la Información Mexiquense </w:t>
      </w:r>
      <w:r>
        <w:rPr>
          <w:rFonts w:ascii="Palatino Linotype" w:eastAsia="Palatino Linotype" w:hAnsi="Palatino Linotype" w:cs="Palatino Linotype"/>
          <w:b/>
        </w:rPr>
        <w:t>(SAIMEX),</w:t>
      </w:r>
      <w:r>
        <w:rPr>
          <w:rFonts w:ascii="Palatino Linotype" w:eastAsia="Palatino Linotype" w:hAnsi="Palatino Linotype" w:cs="Palatino Linotype"/>
        </w:rPr>
        <w:t xml:space="preserve"> la solicitud de información pública </w:t>
      </w:r>
      <w:r>
        <w:rPr>
          <w:rFonts w:ascii="Palatino Linotype" w:eastAsia="Palatino Linotype" w:hAnsi="Palatino Linotype" w:cs="Palatino Linotype"/>
          <w:b/>
        </w:rPr>
        <w:t>00160/VIALLEN/IP/2023</w:t>
      </w:r>
      <w:r>
        <w:rPr>
          <w:rFonts w:ascii="Palatino Linotype" w:eastAsia="Palatino Linotype" w:hAnsi="Palatino Linotype" w:cs="Palatino Linotype"/>
        </w:rPr>
        <w:t xml:space="preserve">, en la que se solicitó: </w:t>
      </w:r>
    </w:p>
    <w:p w14:paraId="638E1A28" w14:textId="77777777" w:rsidR="006117D9" w:rsidRDefault="004C641C">
      <w:pPr>
        <w:ind w:left="567" w:right="-734"/>
        <w:jc w:val="both"/>
        <w:rPr>
          <w:rFonts w:ascii="Palatino Linotype" w:eastAsia="Palatino Linotype" w:hAnsi="Palatino Linotype" w:cs="Palatino Linotype"/>
        </w:rPr>
      </w:pPr>
      <w:r>
        <w:rPr>
          <w:rFonts w:ascii="Palatino Linotype" w:eastAsia="Palatino Linotype" w:hAnsi="Palatino Linotype" w:cs="Palatino Linotype"/>
          <w:i/>
          <w:color w:val="000000"/>
        </w:rPr>
        <w:t xml:space="preserve">“Me gustaría conocer el ejercicio fiscal 2023 y el presupuesto de egresos del ayuntamiento, además del presupuesto destinado a seguridad pública, programa de bacheo y transporte público del municipio” (Sic) </w:t>
      </w:r>
    </w:p>
    <w:p w14:paraId="5D8E56BB" w14:textId="77777777" w:rsidR="006117D9" w:rsidRDefault="006117D9">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14:paraId="38A23AD8" w14:textId="77777777" w:rsidR="006117D9" w:rsidRDefault="004C641C">
      <w:pPr>
        <w:numPr>
          <w:ilvl w:val="0"/>
          <w:numId w:val="1"/>
        </w:numPr>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Se hace constar que se señaló como modalidad de entrega de la información a través del </w:t>
      </w:r>
      <w:r>
        <w:rPr>
          <w:rFonts w:ascii="Palatino Linotype" w:eastAsia="Palatino Linotype" w:hAnsi="Palatino Linotype" w:cs="Palatino Linotype"/>
          <w:b/>
        </w:rPr>
        <w:t>SAIMEX.</w:t>
      </w:r>
    </w:p>
    <w:p w14:paraId="42B8546C" w14:textId="77777777" w:rsidR="006117D9" w:rsidRDefault="006117D9">
      <w:pPr>
        <w:spacing w:line="360" w:lineRule="auto"/>
        <w:ind w:right="-734"/>
        <w:jc w:val="both"/>
        <w:rPr>
          <w:rFonts w:ascii="Palatino Linotype" w:eastAsia="Palatino Linotype" w:hAnsi="Palatino Linotype" w:cs="Palatino Linotype"/>
        </w:rPr>
      </w:pPr>
    </w:p>
    <w:p w14:paraId="348B98EA" w14:textId="77777777" w:rsidR="006117D9" w:rsidRDefault="004C641C">
      <w:pPr>
        <w:numPr>
          <w:ilvl w:val="0"/>
          <w:numId w:val="1"/>
        </w:numPr>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veintiuno de diciembre de dos mil veintitrés, el </w:t>
      </w:r>
      <w:r>
        <w:rPr>
          <w:rFonts w:ascii="Palatino Linotype" w:eastAsia="Palatino Linotype" w:hAnsi="Palatino Linotype" w:cs="Palatino Linotype"/>
          <w:b/>
        </w:rPr>
        <w:t>SUJETO OBLIGADO</w:t>
      </w:r>
      <w:r>
        <w:rPr>
          <w:rFonts w:ascii="Palatino Linotype" w:eastAsia="Palatino Linotype" w:hAnsi="Palatino Linotype" w:cs="Palatino Linotype"/>
          <w:b/>
          <w:i/>
        </w:rPr>
        <w:t xml:space="preserve"> </w:t>
      </w:r>
      <w:r>
        <w:rPr>
          <w:rFonts w:ascii="Palatino Linotype" w:eastAsia="Palatino Linotype" w:hAnsi="Palatino Linotype" w:cs="Palatino Linotype"/>
        </w:rPr>
        <w:t>dio respuesta a la solicitud de información, en los siguientes términos:</w:t>
      </w:r>
    </w:p>
    <w:p w14:paraId="6A760F23" w14:textId="77777777" w:rsidR="006117D9" w:rsidRDefault="004C641C">
      <w:pPr>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i/>
          <w:color w:val="000000"/>
          <w:sz w:val="22"/>
          <w:szCs w:val="22"/>
        </w:rPr>
        <w:t>SEA ESTE EL MEDIO PARA NOTIFICARTE LA RESPUESTA A TU SOLICITUD…” (Sic)</w:t>
      </w:r>
    </w:p>
    <w:p w14:paraId="4E2FB284" w14:textId="77777777" w:rsidR="006117D9" w:rsidRDefault="006117D9">
      <w:pPr>
        <w:ind w:right="257"/>
        <w:jc w:val="both"/>
        <w:rPr>
          <w:rFonts w:ascii="Palatino Linotype" w:eastAsia="Palatino Linotype" w:hAnsi="Palatino Linotype" w:cs="Palatino Linotype"/>
          <w:i/>
          <w:sz w:val="22"/>
          <w:szCs w:val="22"/>
        </w:rPr>
      </w:pPr>
    </w:p>
    <w:p w14:paraId="16E05503" w14:textId="77777777" w:rsidR="006117D9" w:rsidRDefault="004C641C">
      <w:pPr>
        <w:ind w:right="25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Se adjuntó el archivo electrónico denominado </w:t>
      </w:r>
      <w:r>
        <w:rPr>
          <w:rFonts w:ascii="Palatino Linotype" w:eastAsia="Palatino Linotype" w:hAnsi="Palatino Linotype" w:cs="Palatino Linotype"/>
          <w:b/>
          <w:sz w:val="22"/>
          <w:szCs w:val="22"/>
        </w:rPr>
        <w:t xml:space="preserve">“PRESUPUESTO PARA TRANSPORTE PUBLICO”, </w:t>
      </w:r>
      <w:r>
        <w:rPr>
          <w:rFonts w:ascii="Palatino Linotype" w:eastAsia="Palatino Linotype" w:hAnsi="Palatino Linotype" w:cs="Palatino Linotype"/>
          <w:sz w:val="22"/>
          <w:szCs w:val="22"/>
        </w:rPr>
        <w:t>consistente en un oficio suscrito por el Servidor Público Habilitado de la Coordinación de Movilidad, por medio del cual, informó que el Ayuntamiento de Villa de Allende, Administración 2022-2024, en lo que va de transcurso, no ha destinado presupuesto para el transporte público del municipio.</w:t>
      </w:r>
    </w:p>
    <w:p w14:paraId="372A0C83" w14:textId="77777777" w:rsidR="006117D9" w:rsidRDefault="006117D9">
      <w:pPr>
        <w:spacing w:line="360" w:lineRule="auto"/>
        <w:ind w:right="-734"/>
        <w:jc w:val="both"/>
        <w:rPr>
          <w:rFonts w:ascii="Palatino Linotype" w:eastAsia="Palatino Linotype" w:hAnsi="Palatino Linotype" w:cs="Palatino Linotype"/>
        </w:rPr>
      </w:pPr>
    </w:p>
    <w:p w14:paraId="632ECECF" w14:textId="77777777" w:rsidR="006117D9" w:rsidRDefault="004C641C">
      <w:pPr>
        <w:numPr>
          <w:ilvl w:val="0"/>
          <w:numId w:val="1"/>
        </w:numPr>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rPr>
        <w:t>El once de enero de dos mil veinticuatro,</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la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interpuso el recurso de revisión en contra de la respuesta, señalando como:</w:t>
      </w:r>
    </w:p>
    <w:p w14:paraId="15C0D782" w14:textId="77777777" w:rsidR="006117D9" w:rsidRDefault="004C641C">
      <w:pPr>
        <w:numPr>
          <w:ilvl w:val="0"/>
          <w:numId w:val="3"/>
        </w:numPr>
        <w:ind w:right="-734"/>
        <w:jc w:val="both"/>
        <w:rPr>
          <w:rFonts w:ascii="Palatino Linotype" w:eastAsia="Palatino Linotype" w:hAnsi="Palatino Linotype" w:cs="Palatino Linotype"/>
        </w:rPr>
      </w:pPr>
      <w:r>
        <w:rPr>
          <w:rFonts w:ascii="Palatino Linotype" w:eastAsia="Palatino Linotype" w:hAnsi="Palatino Linotype" w:cs="Palatino Linotype"/>
          <w:b/>
        </w:rPr>
        <w:t>Acto impugnado</w:t>
      </w:r>
      <w:r>
        <w:rPr>
          <w:rFonts w:ascii="Palatino Linotype" w:eastAsia="Palatino Linotype" w:hAnsi="Palatino Linotype" w:cs="Palatino Linotype"/>
          <w:b/>
          <w:i/>
        </w:rPr>
        <w:t>:</w:t>
      </w:r>
      <w:r>
        <w:rPr>
          <w:rFonts w:ascii="Palatino Linotype" w:eastAsia="Palatino Linotype" w:hAnsi="Palatino Linotype" w:cs="Palatino Linotype"/>
          <w:i/>
          <w:color w:val="000000"/>
        </w:rPr>
        <w:t xml:space="preserve"> “No entregaron lo solicitado” (Sic)</w:t>
      </w:r>
    </w:p>
    <w:p w14:paraId="221856D1" w14:textId="77777777" w:rsidR="006117D9" w:rsidRDefault="004C641C">
      <w:pPr>
        <w:numPr>
          <w:ilvl w:val="0"/>
          <w:numId w:val="3"/>
        </w:numPr>
        <w:ind w:right="-734"/>
        <w:jc w:val="both"/>
        <w:rPr>
          <w:rFonts w:ascii="Palatino Linotype" w:eastAsia="Palatino Linotype" w:hAnsi="Palatino Linotype" w:cs="Palatino Linotype"/>
        </w:rPr>
      </w:pPr>
      <w:r>
        <w:rPr>
          <w:rFonts w:ascii="Palatino Linotype" w:eastAsia="Palatino Linotype" w:hAnsi="Palatino Linotype" w:cs="Palatino Linotype"/>
          <w:b/>
        </w:rPr>
        <w:t xml:space="preserve">Razones o Motivos de inconformidad: </w:t>
      </w:r>
      <w:r>
        <w:rPr>
          <w:rFonts w:ascii="Palatino Linotype" w:eastAsia="Palatino Linotype" w:hAnsi="Palatino Linotype" w:cs="Palatino Linotype"/>
          <w:i/>
          <w:color w:val="000000"/>
        </w:rPr>
        <w:t>“No entregaron lo solicitado” (Sic)</w:t>
      </w:r>
    </w:p>
    <w:p w14:paraId="1AC7596F" w14:textId="77777777" w:rsidR="006117D9" w:rsidRDefault="006117D9">
      <w:pPr>
        <w:ind w:right="-734"/>
        <w:jc w:val="both"/>
        <w:rPr>
          <w:rFonts w:ascii="Palatino Linotype" w:eastAsia="Palatino Linotype" w:hAnsi="Palatino Linotype" w:cs="Palatino Linotype"/>
          <w:b/>
        </w:rPr>
      </w:pPr>
    </w:p>
    <w:p w14:paraId="6CBEB211" w14:textId="77777777" w:rsidR="006117D9" w:rsidRDefault="004C641C">
      <w:pPr>
        <w:numPr>
          <w:ilvl w:val="0"/>
          <w:numId w:val="1"/>
        </w:numPr>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Se registró el recurso de revisión bajo el número de expediente al rubro indicado, asimismo con fundamento en lo dispuesto por el artículo 185 fracción I de la </w:t>
      </w:r>
      <w:r>
        <w:rPr>
          <w:rFonts w:ascii="Palatino Linotype" w:eastAsia="Palatino Linotype" w:hAnsi="Palatino Linotype" w:cs="Palatino Linotype"/>
          <w:b/>
        </w:rPr>
        <w:t xml:space="preserve">Ley de Transparencia y Acceso a la Información Pública del Estado de México y Municipios </w:t>
      </w:r>
      <w:r>
        <w:rPr>
          <w:rFonts w:ascii="Palatino Linotype" w:eastAsia="Palatino Linotype" w:hAnsi="Palatino Linotype" w:cs="Palatino Linotype"/>
        </w:rPr>
        <w:t xml:space="preserve">se turna a la </w:t>
      </w:r>
      <w:r>
        <w:rPr>
          <w:rFonts w:ascii="Palatino Linotype" w:eastAsia="Palatino Linotype" w:hAnsi="Palatino Linotype" w:cs="Palatino Linotype"/>
          <w:b/>
        </w:rPr>
        <w:t xml:space="preserve">Comisionada María del Rosario Mejía Ayala, </w:t>
      </w:r>
      <w:r>
        <w:rPr>
          <w:rFonts w:ascii="Palatino Linotype" w:eastAsia="Palatino Linotype" w:hAnsi="Palatino Linotype" w:cs="Palatino Linotype"/>
        </w:rPr>
        <w:t xml:space="preserve">para su análisis. </w:t>
      </w:r>
    </w:p>
    <w:p w14:paraId="6AC21F99" w14:textId="77777777" w:rsidR="006117D9" w:rsidRDefault="006117D9">
      <w:pPr>
        <w:spacing w:line="360" w:lineRule="auto"/>
        <w:ind w:right="-734"/>
        <w:jc w:val="both"/>
        <w:rPr>
          <w:rFonts w:ascii="Palatino Linotype" w:eastAsia="Palatino Linotype" w:hAnsi="Palatino Linotype" w:cs="Palatino Linotype"/>
        </w:rPr>
      </w:pPr>
    </w:p>
    <w:p w14:paraId="3443204D" w14:textId="77777777" w:rsidR="006117D9" w:rsidRDefault="004C641C">
      <w:pPr>
        <w:numPr>
          <w:ilvl w:val="0"/>
          <w:numId w:val="1"/>
        </w:numP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La Comisionada Ponente con fundamento en lo dispuesto por el artículo 185 fracción II de la ley de la materia, a través del acuerdo de admisión del quince de enero de dos mil veinticuatro, puso a disposición de las partes el expediente electrónico vía </w:t>
      </w:r>
      <w:r>
        <w:rPr>
          <w:rFonts w:ascii="Palatino Linotype" w:eastAsia="Palatino Linotype" w:hAnsi="Palatino Linotype" w:cs="Palatino Linotype"/>
          <w:b/>
        </w:rPr>
        <w:t xml:space="preserve">SAIMEX </w:t>
      </w:r>
      <w:r>
        <w:rPr>
          <w:rFonts w:ascii="Palatino Linotype" w:eastAsia="Palatino Linotype" w:hAnsi="Palatino Linotype" w:cs="Palatino Linotype"/>
        </w:rPr>
        <w:t xml:space="preserve">a efecto de que en un plazo máximo de siete días manifestara lo que a derecho conviniera, ofreciera pruebas y alegatos según corresponda al caso concreto, de esta forma para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presentará el informe justificado procedente. </w:t>
      </w:r>
    </w:p>
    <w:p w14:paraId="0E3AFD25" w14:textId="77777777" w:rsidR="006117D9" w:rsidRDefault="006117D9">
      <w:pPr>
        <w:ind w:right="-734"/>
        <w:rPr>
          <w:rFonts w:ascii="Palatino Linotype" w:eastAsia="Palatino Linotype" w:hAnsi="Palatino Linotype" w:cs="Palatino Linotype"/>
        </w:rPr>
      </w:pPr>
    </w:p>
    <w:p w14:paraId="080E3FC0" w14:textId="77777777" w:rsidR="006117D9" w:rsidRDefault="004C641C">
      <w:pPr>
        <w:numPr>
          <w:ilvl w:val="0"/>
          <w:numId w:val="1"/>
        </w:numP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El diecinueve de febrero de dos mil veinticuatro,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rindió el informe justificado correspondiente; por medio de los siguientes archivos electrónicos:</w:t>
      </w:r>
    </w:p>
    <w:p w14:paraId="25B04AEB" w14:textId="77777777" w:rsidR="006117D9" w:rsidRDefault="004C641C">
      <w:pPr>
        <w:ind w:left="567" w:right="-734"/>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TRANSPORTE PUBLICO 2023.pdf: </w:t>
      </w:r>
      <w:r>
        <w:rPr>
          <w:rFonts w:ascii="Palatino Linotype" w:eastAsia="Palatino Linotype" w:hAnsi="Palatino Linotype" w:cs="Palatino Linotype"/>
          <w:sz w:val="22"/>
          <w:szCs w:val="22"/>
        </w:rPr>
        <w:t xml:space="preserve">Oficio suscrito por el Servidor Público Habilitado de la Coordinación de Movilidad, por medio del cual, informó que el Ayuntamiento de Villa de </w:t>
      </w:r>
      <w:r>
        <w:rPr>
          <w:rFonts w:ascii="Palatino Linotype" w:eastAsia="Palatino Linotype" w:hAnsi="Palatino Linotype" w:cs="Palatino Linotype"/>
          <w:sz w:val="22"/>
          <w:szCs w:val="22"/>
        </w:rPr>
        <w:lastRenderedPageBreak/>
        <w:t>Allende, Administración 2022-2024, en lo que va de transcurso, no ha destinado presupuesto para el transporte público del municipio.</w:t>
      </w:r>
    </w:p>
    <w:p w14:paraId="7736EC9D" w14:textId="77777777" w:rsidR="006117D9" w:rsidRDefault="006117D9">
      <w:pPr>
        <w:ind w:left="567" w:right="-734"/>
        <w:jc w:val="both"/>
        <w:rPr>
          <w:rFonts w:ascii="Palatino Linotype" w:eastAsia="Palatino Linotype" w:hAnsi="Palatino Linotype" w:cs="Palatino Linotype"/>
          <w:b/>
          <w:sz w:val="22"/>
          <w:szCs w:val="22"/>
        </w:rPr>
      </w:pPr>
    </w:p>
    <w:p w14:paraId="11203BAC" w14:textId="77777777" w:rsidR="006117D9" w:rsidRDefault="004C641C">
      <w:pPr>
        <w:ind w:left="567" w:right="-734"/>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SOLICITUD 160 2023.zip: </w:t>
      </w:r>
      <w:r>
        <w:rPr>
          <w:rFonts w:ascii="Palatino Linotype" w:eastAsia="Palatino Linotype" w:hAnsi="Palatino Linotype" w:cs="Palatino Linotype"/>
          <w:sz w:val="22"/>
          <w:szCs w:val="22"/>
        </w:rPr>
        <w:t>Carpeta electrónica que contiene los formatos que integran el Presupuesto de Egresos aprobado para el ejercicio fiscal 2023, proporcionado por el Tesorero Municipal.</w:t>
      </w:r>
    </w:p>
    <w:p w14:paraId="1C9DFA0C" w14:textId="77777777" w:rsidR="006117D9" w:rsidRDefault="006117D9">
      <w:pPr>
        <w:ind w:left="567" w:right="-734"/>
        <w:jc w:val="both"/>
        <w:rPr>
          <w:rFonts w:ascii="Palatino Linotype" w:eastAsia="Palatino Linotype" w:hAnsi="Palatino Linotype" w:cs="Palatino Linotype"/>
          <w:b/>
          <w:sz w:val="22"/>
          <w:szCs w:val="22"/>
        </w:rPr>
      </w:pPr>
    </w:p>
    <w:p w14:paraId="738E598D" w14:textId="77777777" w:rsidR="006117D9" w:rsidRDefault="004C641C">
      <w:pPr>
        <w:ind w:left="567" w:right="-734"/>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PRESUP FISCAL.pdf: </w:t>
      </w:r>
      <w:r>
        <w:rPr>
          <w:rFonts w:ascii="Palatino Linotype" w:eastAsia="Palatino Linotype" w:hAnsi="Palatino Linotype" w:cs="Palatino Linotype"/>
          <w:sz w:val="22"/>
          <w:szCs w:val="22"/>
        </w:rPr>
        <w:t>Oficio suscrito por el Tesorero Municipal, por medio del cual, refirió remitir el Presupuesto de Egresos aprobado para el ejercicio fiscal 2023, que obra en la Unidad Administrativa a su cargo, en el formato y estado en que fue presentada al Órgano Superior de Fiscalización del Estado de México de conformidad con los Lineamientos para la Entrega del Presupuesto de Egresos Municipal respectivos, documento donde se podrá consultar la información solicitada. Asimismo, remitió diversas ligas electrónicas donde refirió que podía ser consultada la información solicitada.</w:t>
      </w:r>
    </w:p>
    <w:p w14:paraId="370E6318" w14:textId="77777777" w:rsidR="006117D9" w:rsidRDefault="006117D9">
      <w:pPr>
        <w:ind w:left="567" w:right="-734"/>
        <w:jc w:val="both"/>
        <w:rPr>
          <w:rFonts w:ascii="Palatino Linotype" w:eastAsia="Palatino Linotype" w:hAnsi="Palatino Linotype" w:cs="Palatino Linotype"/>
          <w:b/>
          <w:sz w:val="22"/>
          <w:szCs w:val="22"/>
        </w:rPr>
      </w:pPr>
    </w:p>
    <w:p w14:paraId="3DFC66B6" w14:textId="77777777" w:rsidR="006117D9" w:rsidRDefault="004C641C">
      <w:pPr>
        <w:ind w:left="567" w:right="-73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sz w:val="22"/>
          <w:szCs w:val="22"/>
        </w:rPr>
        <w:t xml:space="preserve">BACHE 2023.pdf: </w:t>
      </w:r>
      <w:r>
        <w:rPr>
          <w:rFonts w:ascii="Palatino Linotype" w:eastAsia="Palatino Linotype" w:hAnsi="Palatino Linotype" w:cs="Palatino Linotype"/>
          <w:sz w:val="22"/>
          <w:szCs w:val="22"/>
        </w:rPr>
        <w:t>Oficio suscrito por el Director de Obras Públicas, por medio del cual, refirió que cualquier información relacionada con el presupuesto invertido, podía ser consultada en la página de internet IPOMEX, asimismo, proporcionó pasos a seguir y una liga electrónica.</w:t>
      </w:r>
    </w:p>
    <w:p w14:paraId="16FD298A" w14:textId="77777777" w:rsidR="006117D9" w:rsidRDefault="006117D9">
      <w:pPr>
        <w:ind w:right="-734"/>
        <w:rPr>
          <w:rFonts w:ascii="Palatino Linotype" w:eastAsia="Palatino Linotype" w:hAnsi="Palatino Linotype" w:cs="Palatino Linotype"/>
        </w:rPr>
      </w:pPr>
    </w:p>
    <w:p w14:paraId="092F494F" w14:textId="77777777" w:rsidR="006117D9" w:rsidRDefault="004C641C">
      <w:pPr>
        <w:numPr>
          <w:ilvl w:val="0"/>
          <w:numId w:val="1"/>
        </w:numP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Por su parte, la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no realizó manifestaciones, ni ofreció pruebas o alegatos que a su derecho conviniera.</w:t>
      </w:r>
    </w:p>
    <w:p w14:paraId="761C1BAF" w14:textId="77777777" w:rsidR="006117D9" w:rsidRDefault="006117D9">
      <w:pPr>
        <w:spacing w:line="360" w:lineRule="auto"/>
        <w:ind w:right="-734"/>
        <w:jc w:val="both"/>
        <w:rPr>
          <w:rFonts w:ascii="Palatino Linotype" w:eastAsia="Palatino Linotype" w:hAnsi="Palatino Linotype" w:cs="Palatino Linotype"/>
          <w:i/>
          <w:color w:val="000000"/>
        </w:rPr>
      </w:pPr>
    </w:p>
    <w:p w14:paraId="2F5F0D6C" w14:textId="77777777" w:rsidR="006117D9" w:rsidRDefault="004C641C">
      <w:pPr>
        <w:numPr>
          <w:ilvl w:val="0"/>
          <w:numId w:val="1"/>
        </w:numPr>
        <w:pBdr>
          <w:top w:val="nil"/>
          <w:left w:val="nil"/>
          <w:bottom w:val="nil"/>
          <w:right w:val="nil"/>
          <w:between w:val="nil"/>
        </w:pBdr>
        <w:tabs>
          <w:tab w:val="left" w:pos="426"/>
        </w:tabs>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catorce de marzo de dos mil veinticuatro, se notificó el acuerdo mediante el cual se amplió el plazo para emitir resolución por un periodo de quince días hábiles.</w:t>
      </w:r>
    </w:p>
    <w:p w14:paraId="6C92C405" w14:textId="77777777" w:rsidR="006117D9" w:rsidRDefault="006117D9">
      <w:pPr>
        <w:pBdr>
          <w:top w:val="nil"/>
          <w:left w:val="nil"/>
          <w:bottom w:val="nil"/>
          <w:right w:val="nil"/>
          <w:between w:val="nil"/>
        </w:pBdr>
        <w:tabs>
          <w:tab w:val="left" w:pos="426"/>
        </w:tabs>
        <w:spacing w:line="360" w:lineRule="auto"/>
        <w:ind w:right="-734"/>
        <w:rPr>
          <w:rFonts w:ascii="Palatino Linotype" w:eastAsia="Palatino Linotype" w:hAnsi="Palatino Linotype" w:cs="Palatino Linotype"/>
          <w:color w:val="000000"/>
        </w:rPr>
      </w:pPr>
    </w:p>
    <w:p w14:paraId="5576E136" w14:textId="77777777" w:rsidR="006117D9" w:rsidRDefault="004C641C">
      <w:pPr>
        <w:numPr>
          <w:ilvl w:val="0"/>
          <w:numId w:val="1"/>
        </w:numPr>
        <w:pBdr>
          <w:top w:val="nil"/>
          <w:left w:val="nil"/>
          <w:bottom w:val="nil"/>
          <w:right w:val="nil"/>
          <w:between w:val="nil"/>
        </w:pBdr>
        <w:tabs>
          <w:tab w:val="left" w:pos="426"/>
        </w:tabs>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4CAAB5F3" w14:textId="77777777" w:rsidR="006117D9" w:rsidRDefault="006117D9">
      <w:pPr>
        <w:pBdr>
          <w:top w:val="nil"/>
          <w:left w:val="nil"/>
          <w:bottom w:val="nil"/>
          <w:right w:val="nil"/>
          <w:between w:val="nil"/>
        </w:pBdr>
        <w:spacing w:line="360" w:lineRule="auto"/>
        <w:ind w:right="-734"/>
        <w:rPr>
          <w:rFonts w:ascii="Palatino Linotype" w:eastAsia="Palatino Linotype" w:hAnsi="Palatino Linotype" w:cs="Palatino Linotype"/>
          <w:b/>
          <w:color w:val="000000"/>
          <w:u w:val="single"/>
        </w:rPr>
      </w:pPr>
    </w:p>
    <w:p w14:paraId="4C13033E" w14:textId="77777777" w:rsidR="006117D9" w:rsidRDefault="004C641C">
      <w:pPr>
        <w:numPr>
          <w:ilvl w:val="0"/>
          <w:numId w:val="1"/>
        </w:numPr>
        <w:pBdr>
          <w:top w:val="nil"/>
          <w:left w:val="nil"/>
          <w:bottom w:val="nil"/>
          <w:right w:val="nil"/>
          <w:between w:val="nil"/>
        </w:pBdr>
        <w:spacing w:line="360" w:lineRule="auto"/>
        <w:ind w:left="0" w:right="-734" w:hanging="11"/>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lastRenderedPageBreak/>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107044CF" w14:textId="77777777" w:rsidR="006117D9" w:rsidRDefault="006117D9">
      <w:pPr>
        <w:pBdr>
          <w:top w:val="nil"/>
          <w:left w:val="nil"/>
          <w:bottom w:val="nil"/>
          <w:right w:val="nil"/>
          <w:between w:val="nil"/>
        </w:pBdr>
        <w:spacing w:line="360" w:lineRule="auto"/>
        <w:ind w:right="-734"/>
        <w:rPr>
          <w:rFonts w:ascii="Palatino Linotype" w:eastAsia="Palatino Linotype" w:hAnsi="Palatino Linotype" w:cs="Palatino Linotype"/>
          <w:color w:val="000000"/>
        </w:rPr>
      </w:pPr>
    </w:p>
    <w:p w14:paraId="3E0C602A" w14:textId="77777777" w:rsidR="006117D9" w:rsidRDefault="004C641C">
      <w:pPr>
        <w:numPr>
          <w:ilvl w:val="0"/>
          <w:numId w:val="1"/>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BD1F01D" w14:textId="77777777" w:rsidR="006117D9" w:rsidRDefault="006117D9">
      <w:pPr>
        <w:pBdr>
          <w:top w:val="nil"/>
          <w:left w:val="nil"/>
          <w:bottom w:val="nil"/>
          <w:right w:val="nil"/>
          <w:between w:val="nil"/>
        </w:pBdr>
        <w:spacing w:line="360" w:lineRule="auto"/>
        <w:ind w:right="-734"/>
        <w:rPr>
          <w:rFonts w:ascii="Palatino Linotype" w:eastAsia="Palatino Linotype" w:hAnsi="Palatino Linotype" w:cs="Palatino Linotype"/>
          <w:color w:val="000000"/>
        </w:rPr>
      </w:pPr>
    </w:p>
    <w:p w14:paraId="3FF585F7" w14:textId="77777777" w:rsidR="006117D9" w:rsidRDefault="004C641C">
      <w:pPr>
        <w:numPr>
          <w:ilvl w:val="0"/>
          <w:numId w:val="1"/>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49213144" w14:textId="77777777" w:rsidR="006117D9" w:rsidRDefault="006117D9">
      <w:pPr>
        <w:pBdr>
          <w:top w:val="nil"/>
          <w:left w:val="nil"/>
          <w:bottom w:val="nil"/>
          <w:right w:val="nil"/>
          <w:between w:val="nil"/>
        </w:pBdr>
        <w:spacing w:line="360" w:lineRule="auto"/>
        <w:ind w:right="-734"/>
        <w:rPr>
          <w:rFonts w:ascii="Palatino Linotype" w:eastAsia="Palatino Linotype" w:hAnsi="Palatino Linotype" w:cs="Palatino Linotype"/>
          <w:color w:val="000000"/>
        </w:rPr>
      </w:pPr>
    </w:p>
    <w:p w14:paraId="196BE40F" w14:textId="77777777" w:rsidR="006117D9" w:rsidRDefault="004C641C">
      <w:pPr>
        <w:numPr>
          <w:ilvl w:val="0"/>
          <w:numId w:val="1"/>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ello, excepcionalmente, si un asunto es resuelto con posterioridad a los plazos señalados por la norma debe analizarse la razonabilidad del tiempo necesario para su resolución, atentos a los siguientes criterios:</w:t>
      </w:r>
    </w:p>
    <w:p w14:paraId="5B18CB92" w14:textId="77777777" w:rsidR="006117D9" w:rsidRDefault="006117D9">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14:paraId="61467BC0" w14:textId="77777777" w:rsidR="006117D9" w:rsidRDefault="004C641C">
      <w:pPr>
        <w:pBdr>
          <w:top w:val="nil"/>
          <w:left w:val="nil"/>
          <w:bottom w:val="nil"/>
          <w:right w:val="nil"/>
          <w:between w:val="nil"/>
        </w:pBdr>
        <w:ind w:left="567" w:right="257"/>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a) Complejidad del asunto: La complejidad de la prueba, la pluralidad de sujetos procesales, el tiempo transcurrido, las características y contexto del recurso.</w:t>
      </w:r>
    </w:p>
    <w:p w14:paraId="68065B2D" w14:textId="77777777" w:rsidR="006117D9" w:rsidRDefault="004C641C">
      <w:pPr>
        <w:pBdr>
          <w:top w:val="nil"/>
          <w:left w:val="nil"/>
          <w:bottom w:val="nil"/>
          <w:right w:val="nil"/>
          <w:between w:val="nil"/>
        </w:pBdr>
        <w:ind w:left="567" w:right="257"/>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b) Actividad Procesal del interesado: Acciones u omisiones del interesado.</w:t>
      </w:r>
    </w:p>
    <w:p w14:paraId="56E4B2CD" w14:textId="77777777" w:rsidR="006117D9" w:rsidRDefault="004C641C">
      <w:pPr>
        <w:pBdr>
          <w:top w:val="nil"/>
          <w:left w:val="nil"/>
          <w:bottom w:val="nil"/>
          <w:right w:val="nil"/>
          <w:between w:val="nil"/>
        </w:pBdr>
        <w:ind w:left="567" w:right="257"/>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c) Conducta de la Autoridad: Las Acciones u omisiones realizadas en el procedimiento. Así como si la autoridad actuó con la debida diligencia.</w:t>
      </w:r>
    </w:p>
    <w:p w14:paraId="1EAC3A11" w14:textId="77777777" w:rsidR="006117D9" w:rsidRDefault="004C641C">
      <w:pPr>
        <w:pBdr>
          <w:top w:val="nil"/>
          <w:left w:val="nil"/>
          <w:bottom w:val="nil"/>
          <w:right w:val="nil"/>
          <w:between w:val="nil"/>
        </w:pBdr>
        <w:ind w:left="567" w:right="257"/>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lastRenderedPageBreak/>
        <w:t>d) La afectación generada en la situación jurídica de la persona involucrada en el proceso: Violación a sus derechos humanos.</w:t>
      </w:r>
    </w:p>
    <w:p w14:paraId="503C5E9D" w14:textId="77777777" w:rsidR="006117D9" w:rsidRDefault="006117D9">
      <w:pPr>
        <w:pBdr>
          <w:top w:val="nil"/>
          <w:left w:val="nil"/>
          <w:bottom w:val="nil"/>
          <w:right w:val="nil"/>
          <w:between w:val="nil"/>
        </w:pBdr>
        <w:spacing w:line="360" w:lineRule="auto"/>
        <w:ind w:right="-734"/>
        <w:rPr>
          <w:rFonts w:ascii="Palatino Linotype" w:eastAsia="Palatino Linotype" w:hAnsi="Palatino Linotype" w:cs="Palatino Linotype"/>
          <w:color w:val="000000"/>
        </w:rPr>
      </w:pPr>
    </w:p>
    <w:p w14:paraId="37068EF8" w14:textId="77777777" w:rsidR="006117D9" w:rsidRDefault="004C641C">
      <w:pPr>
        <w:numPr>
          <w:ilvl w:val="0"/>
          <w:numId w:val="1"/>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1A78315" w14:textId="77777777" w:rsidR="006117D9" w:rsidRDefault="006117D9">
      <w:pPr>
        <w:pBdr>
          <w:top w:val="nil"/>
          <w:left w:val="nil"/>
          <w:bottom w:val="nil"/>
          <w:right w:val="nil"/>
          <w:between w:val="nil"/>
        </w:pBdr>
        <w:spacing w:line="360" w:lineRule="auto"/>
        <w:ind w:right="-734"/>
        <w:rPr>
          <w:rFonts w:ascii="Palatino Linotype" w:eastAsia="Palatino Linotype" w:hAnsi="Palatino Linotype" w:cs="Palatino Linotype"/>
          <w:color w:val="000000"/>
        </w:rPr>
      </w:pPr>
    </w:p>
    <w:p w14:paraId="625C7EF0" w14:textId="77777777" w:rsidR="006117D9" w:rsidRDefault="004C641C">
      <w:pPr>
        <w:numPr>
          <w:ilvl w:val="0"/>
          <w:numId w:val="1"/>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w:t>
      </w:r>
      <w:r>
        <w:rPr>
          <w:rFonts w:ascii="Palatino Linotype" w:eastAsia="Palatino Linotype" w:hAnsi="Palatino Linotype" w:cs="Palatino Linotype"/>
        </w:rPr>
        <w:t>del rubro</w:t>
      </w:r>
      <w:r>
        <w:rPr>
          <w:rFonts w:ascii="Palatino Linotype" w:eastAsia="Palatino Linotype" w:hAnsi="Palatino Linotype" w:cs="Palatino Linotype"/>
          <w:color w:val="000000"/>
        </w:rPr>
        <w:t xml:space="preserve"> “TÉRMINOS PROCESALES. PARA DETERMINAR SI UN FUNCIONARIO JUDICIAL ACTUÓ INDEBIDAMENTE POR NO RESPETARLOS SE DEBE ATENDER AL PRESUPUESTO QUE CONSIDERÓ EL LEGISLADOR AL FIJARLOS Y LAS CARACTERÍSTICAS DEL CASO.”, visible en la Gaceta del </w:t>
      </w:r>
      <w:r>
        <w:rPr>
          <w:rFonts w:ascii="Palatino Linotype" w:eastAsia="Palatino Linotype" w:hAnsi="Palatino Linotype" w:cs="Palatino Linotype"/>
        </w:rPr>
        <w:t>Semanario</w:t>
      </w:r>
      <w:r>
        <w:rPr>
          <w:rFonts w:ascii="Palatino Linotype" w:eastAsia="Palatino Linotype" w:hAnsi="Palatino Linotype" w:cs="Palatino Linotype"/>
          <w:color w:val="000000"/>
        </w:rPr>
        <w:t xml:space="preserve"> Judicial de la Federación con el registro digital 205635.</w:t>
      </w:r>
    </w:p>
    <w:p w14:paraId="117EB3E1" w14:textId="77777777" w:rsidR="006117D9" w:rsidRDefault="006117D9">
      <w:pPr>
        <w:pBdr>
          <w:top w:val="nil"/>
          <w:left w:val="nil"/>
          <w:bottom w:val="nil"/>
          <w:right w:val="nil"/>
          <w:between w:val="nil"/>
        </w:pBdr>
        <w:spacing w:line="360" w:lineRule="auto"/>
        <w:ind w:right="-734"/>
        <w:rPr>
          <w:rFonts w:ascii="Palatino Linotype" w:eastAsia="Palatino Linotype" w:hAnsi="Palatino Linotype" w:cs="Palatino Linotype"/>
          <w:color w:val="000000"/>
        </w:rPr>
      </w:pPr>
    </w:p>
    <w:p w14:paraId="44C7676D" w14:textId="77777777" w:rsidR="006117D9" w:rsidRDefault="004C641C">
      <w:pPr>
        <w:numPr>
          <w:ilvl w:val="0"/>
          <w:numId w:val="1"/>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0D78C47" w14:textId="77777777" w:rsidR="006117D9" w:rsidRDefault="006117D9">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14:paraId="582D44CD" w14:textId="77777777" w:rsidR="006117D9" w:rsidRDefault="004C641C">
      <w:pPr>
        <w:numPr>
          <w:ilvl w:val="0"/>
          <w:numId w:val="1"/>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14:paraId="5BB5517A" w14:textId="77777777" w:rsidR="006117D9" w:rsidRDefault="004C641C">
      <w:pPr>
        <w:pBdr>
          <w:top w:val="nil"/>
          <w:left w:val="nil"/>
          <w:bottom w:val="nil"/>
          <w:right w:val="nil"/>
          <w:between w:val="nil"/>
        </w:pBdr>
        <w:ind w:left="567" w:right="11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“PLAZO RAZONABLE PARA RESOLVER. DIMENSIÓN Y EFECTOS DE ESTE CONCEPTO CUANDO SE ADUCE EXCESIVA CARGA DE TRABAJO.” consultable en el Seminario Judicial de la Federación y su gaceta, con el registro digital 2002351.</w:t>
      </w:r>
    </w:p>
    <w:p w14:paraId="56038977" w14:textId="77777777" w:rsidR="006117D9" w:rsidRDefault="004C641C">
      <w:pPr>
        <w:pBdr>
          <w:top w:val="nil"/>
          <w:left w:val="nil"/>
          <w:bottom w:val="nil"/>
          <w:right w:val="nil"/>
          <w:between w:val="nil"/>
        </w:pBdr>
        <w:spacing w:after="240"/>
        <w:ind w:left="567" w:right="11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“PLAZO RAZONABLE PARA RESOLVER. CONCEPTO Y ELEMENTOS QUE LO INTEGRAN A LA LUZ DEL DERECHO INTERNACIONAL DE LOS DERECHOS HUMANOS.”, visible en el Seminario Judicial de la Federación y su gaceta, con el registro digital 2002350.</w:t>
      </w:r>
    </w:p>
    <w:p w14:paraId="60BD7365" w14:textId="77777777" w:rsidR="006117D9" w:rsidRDefault="006117D9">
      <w:pPr>
        <w:spacing w:before="240" w:after="240"/>
        <w:ind w:right="-734"/>
        <w:rPr>
          <w:rFonts w:ascii="Palatino Linotype" w:eastAsia="Palatino Linotype" w:hAnsi="Palatino Linotype" w:cs="Palatino Linotype"/>
        </w:rPr>
      </w:pPr>
    </w:p>
    <w:p w14:paraId="5F00C960" w14:textId="77777777" w:rsidR="006117D9" w:rsidRDefault="004C641C">
      <w:pPr>
        <w:numPr>
          <w:ilvl w:val="0"/>
          <w:numId w:val="1"/>
        </w:numPr>
        <w:spacing w:line="360" w:lineRule="auto"/>
        <w:ind w:left="0" w:right="-734" w:firstLine="0"/>
        <w:jc w:val="both"/>
        <w:rPr>
          <w:rFonts w:ascii="Palatino Linotype" w:eastAsia="Palatino Linotype" w:hAnsi="Palatino Linotype" w:cs="Palatino Linotype"/>
          <w:b/>
        </w:rPr>
      </w:pPr>
      <w:r>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3C3A3FFE" w14:textId="77777777" w:rsidR="006117D9" w:rsidRDefault="006117D9">
      <w:pPr>
        <w:spacing w:line="360" w:lineRule="auto"/>
        <w:ind w:right="-734"/>
        <w:jc w:val="both"/>
        <w:rPr>
          <w:rFonts w:ascii="Palatino Linotype" w:eastAsia="Palatino Linotype" w:hAnsi="Palatino Linotype" w:cs="Palatino Linotype"/>
          <w:b/>
        </w:rPr>
      </w:pPr>
      <w:bookmarkStart w:id="0" w:name="_heading=h.1fob9te" w:colFirst="0" w:colLast="0"/>
      <w:bookmarkEnd w:id="0"/>
    </w:p>
    <w:p w14:paraId="21B5BE21" w14:textId="77777777" w:rsidR="006117D9" w:rsidRDefault="004C641C">
      <w:pPr>
        <w:numPr>
          <w:ilvl w:val="0"/>
          <w:numId w:val="1"/>
        </w:numPr>
        <w:spacing w:line="360" w:lineRule="auto"/>
        <w:ind w:left="0" w:right="-734" w:firstLine="0"/>
        <w:jc w:val="both"/>
        <w:rPr>
          <w:rFonts w:ascii="Palatino Linotype" w:eastAsia="Palatino Linotype" w:hAnsi="Palatino Linotype" w:cs="Palatino Linotype"/>
          <w:b/>
        </w:rPr>
      </w:pPr>
      <w:r>
        <w:rPr>
          <w:rFonts w:ascii="Palatino Linotype" w:eastAsia="Palatino Linotype" w:hAnsi="Palatino Linotype" w:cs="Palatino Linotype"/>
        </w:rPr>
        <w:t>La Comisionada Ponente decretó el cierre de instrucción mediante el acuerdo del veintitrés de octubre de dos mil veinticuatro.--------------------------------------------------------------</w:t>
      </w:r>
    </w:p>
    <w:p w14:paraId="544BBD12" w14:textId="77777777" w:rsidR="006117D9" w:rsidRDefault="006117D9">
      <w:pPr>
        <w:spacing w:line="360" w:lineRule="auto"/>
        <w:ind w:right="-734"/>
        <w:jc w:val="both"/>
        <w:rPr>
          <w:rFonts w:ascii="Palatino Linotype" w:eastAsia="Palatino Linotype" w:hAnsi="Palatino Linotype" w:cs="Palatino Linotype"/>
        </w:rPr>
      </w:pPr>
    </w:p>
    <w:p w14:paraId="78A14782" w14:textId="77777777" w:rsidR="006117D9" w:rsidRDefault="006117D9">
      <w:pPr>
        <w:spacing w:line="360" w:lineRule="auto"/>
        <w:ind w:right="-734"/>
        <w:jc w:val="both"/>
        <w:rPr>
          <w:rFonts w:ascii="Palatino Linotype" w:eastAsia="Palatino Linotype" w:hAnsi="Palatino Linotype" w:cs="Palatino Linotype"/>
        </w:rPr>
      </w:pPr>
    </w:p>
    <w:p w14:paraId="5E413C9D" w14:textId="77777777" w:rsidR="006117D9" w:rsidRDefault="006117D9">
      <w:pPr>
        <w:spacing w:line="360" w:lineRule="auto"/>
        <w:ind w:right="-734"/>
        <w:jc w:val="both"/>
        <w:rPr>
          <w:rFonts w:ascii="Palatino Linotype" w:eastAsia="Palatino Linotype" w:hAnsi="Palatino Linotype" w:cs="Palatino Linotype"/>
          <w:b/>
        </w:rPr>
      </w:pPr>
    </w:p>
    <w:p w14:paraId="07BF2C94" w14:textId="77777777" w:rsidR="006117D9" w:rsidRDefault="004C641C">
      <w:pPr>
        <w:keepNext/>
        <w:keepLines/>
        <w:spacing w:line="360" w:lineRule="auto"/>
        <w:ind w:right="-734"/>
        <w:jc w:val="center"/>
        <w:rPr>
          <w:rFonts w:ascii="Palatino Linotype" w:eastAsia="Palatino Linotype" w:hAnsi="Palatino Linotype" w:cs="Palatino Linotype"/>
        </w:rPr>
      </w:pPr>
      <w:r>
        <w:rPr>
          <w:rFonts w:ascii="Palatino Linotype" w:eastAsia="Palatino Linotype" w:hAnsi="Palatino Linotype" w:cs="Palatino Linotype"/>
          <w:b/>
        </w:rPr>
        <w:t xml:space="preserve">C O N S I D E R A N D O </w:t>
      </w:r>
    </w:p>
    <w:p w14:paraId="4C1DDF90" w14:textId="77777777" w:rsidR="006117D9" w:rsidRDefault="006117D9">
      <w:pPr>
        <w:spacing w:line="360" w:lineRule="auto"/>
        <w:ind w:right="-734"/>
        <w:rPr>
          <w:rFonts w:ascii="Palatino Linotype" w:eastAsia="Palatino Linotype" w:hAnsi="Palatino Linotype" w:cs="Palatino Linotype"/>
        </w:rPr>
      </w:pPr>
    </w:p>
    <w:p w14:paraId="31168130" w14:textId="77777777" w:rsidR="006117D9" w:rsidRDefault="004C641C">
      <w:pPr>
        <w:keepNext/>
        <w:keepLines/>
        <w:spacing w:line="360" w:lineRule="auto"/>
        <w:ind w:right="-734"/>
        <w:rPr>
          <w:rFonts w:ascii="Palatino Linotype" w:eastAsia="Palatino Linotype" w:hAnsi="Palatino Linotype" w:cs="Palatino Linotype"/>
          <w:b/>
        </w:rPr>
      </w:pPr>
      <w:bookmarkStart w:id="1" w:name="_heading=h.3znysh7" w:colFirst="0" w:colLast="0"/>
      <w:bookmarkEnd w:id="1"/>
      <w:r>
        <w:rPr>
          <w:rFonts w:ascii="Palatino Linotype" w:eastAsia="Palatino Linotype" w:hAnsi="Palatino Linotype" w:cs="Palatino Linotype"/>
          <w:b/>
        </w:rPr>
        <w:t>PRIMERO. De la competencia.</w:t>
      </w:r>
    </w:p>
    <w:p w14:paraId="4766DB2A" w14:textId="77777777" w:rsidR="006117D9" w:rsidRDefault="004C641C">
      <w:pPr>
        <w:numPr>
          <w:ilvl w:val="0"/>
          <w:numId w:val="1"/>
        </w:numPr>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Este Instituto de Transparencia, Acceso a la Información Pública y Protección de Datos Personales del Estado de México y Municipios, es competente para conocer y resolver del </w:t>
      </w:r>
      <w:r>
        <w:rPr>
          <w:rFonts w:ascii="Palatino Linotype" w:eastAsia="Palatino Linotype" w:hAnsi="Palatino Linotype" w:cs="Palatino Linotype"/>
        </w:rPr>
        <w:lastRenderedPageBreak/>
        <w:t>presente recurso de conformidad con el artículo: 6, apartado A, de la Constitución Política de los Estados Unidos Mexicanos; 5, párrafos trigésimo, trigésimo primero y trigésimo segundo, fracciones I, II, III, IV y V de la Constitución Política del Estado Libre y Soberano de México; 1, 3 fracción I, 82, 97, 98, 119, 123, 124, 127, 128 y 133 Ley de Protección de Datos Personales en Posesión de Sujetos Obligados del Estado de México y Municipios; y 10, 7, 9 fracciones I y XXIV, y 11 del Reglamento Interior del Instituto de Transparencia, Acceso a la Información Pública y Protección de Datos Personales del Estado de México y Municipios.</w:t>
      </w:r>
    </w:p>
    <w:p w14:paraId="4FF2B419" w14:textId="77777777" w:rsidR="006117D9" w:rsidRDefault="006117D9">
      <w:pPr>
        <w:spacing w:line="360" w:lineRule="auto"/>
        <w:ind w:right="-734"/>
        <w:jc w:val="both"/>
        <w:rPr>
          <w:rFonts w:ascii="Palatino Linotype" w:eastAsia="Palatino Linotype" w:hAnsi="Palatino Linotype" w:cs="Palatino Linotype"/>
        </w:rPr>
      </w:pPr>
    </w:p>
    <w:p w14:paraId="2CF3F4C1" w14:textId="77777777" w:rsidR="006117D9" w:rsidRDefault="004C641C">
      <w:pPr>
        <w:keepNext/>
        <w:keepLines/>
        <w:spacing w:line="360" w:lineRule="auto"/>
        <w:ind w:right="-734"/>
        <w:rPr>
          <w:rFonts w:ascii="Palatino Linotype" w:eastAsia="Palatino Linotype" w:hAnsi="Palatino Linotype" w:cs="Palatino Linotype"/>
          <w:b/>
        </w:rPr>
      </w:pPr>
      <w:bookmarkStart w:id="2" w:name="_heading=h.2et92p0" w:colFirst="0" w:colLast="0"/>
      <w:bookmarkEnd w:id="2"/>
      <w:r>
        <w:rPr>
          <w:rFonts w:ascii="Palatino Linotype" w:eastAsia="Palatino Linotype" w:hAnsi="Palatino Linotype" w:cs="Palatino Linotype"/>
          <w:b/>
        </w:rPr>
        <w:t>SEGUNDO. De la oportunidad y procedencia.</w:t>
      </w:r>
    </w:p>
    <w:p w14:paraId="26016981" w14:textId="77777777" w:rsidR="006117D9" w:rsidRDefault="004C641C">
      <w:pPr>
        <w:numPr>
          <w:ilvl w:val="0"/>
          <w:numId w:val="1"/>
        </w:numPr>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medio de impugnación fue presentado a través del </w:t>
      </w:r>
      <w:r>
        <w:rPr>
          <w:rFonts w:ascii="Palatino Linotype" w:eastAsia="Palatino Linotype" w:hAnsi="Palatino Linotype" w:cs="Palatino Linotype"/>
          <w:b/>
        </w:rPr>
        <w:t>SAIMEX,</w:t>
      </w:r>
      <w:r>
        <w:rPr>
          <w:rFonts w:ascii="Palatino Linotype" w:eastAsia="Palatino Linotype" w:hAnsi="Palatino Linotype" w:cs="Palatino Linotype"/>
        </w:rPr>
        <w:t xml:space="preserve"> en el formato previamente aprobado para tal efecto y dentro del plazo legal de quince días hábiles otorgados; siendo así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entregó respuesta el veintiuno de diciembre de dos mil veintitrés, de tal forma que el plazo para interponer el recurso de revisión transcurrió del veinticuatro de enero al catorce de febrero de dos mil veinticuatro; en consecuencia, presentó su inconformidad el veinticuatro de enero de dos mil veinticuatro, por lo que se encuentra dentro de los márgenes temporales previstos en el artículo 178 de la </w:t>
      </w:r>
      <w:r>
        <w:rPr>
          <w:rFonts w:ascii="Palatino Linotype" w:eastAsia="Palatino Linotype" w:hAnsi="Palatino Linotype" w:cs="Palatino Linotype"/>
          <w:b/>
        </w:rPr>
        <w:t xml:space="preserve">Ley de Transparencia y Acceso a la Información Pública del Estado de México y Municipios </w:t>
      </w:r>
      <w:r>
        <w:rPr>
          <w:rFonts w:ascii="Palatino Linotype" w:eastAsia="Palatino Linotype" w:hAnsi="Palatino Linotype" w:cs="Palatino Linotype"/>
        </w:rPr>
        <w:t>vigente.</w:t>
      </w:r>
    </w:p>
    <w:p w14:paraId="1F394817" w14:textId="77777777" w:rsidR="006117D9" w:rsidRDefault="006117D9">
      <w:pPr>
        <w:spacing w:line="360" w:lineRule="auto"/>
        <w:ind w:right="-734"/>
        <w:jc w:val="both"/>
        <w:rPr>
          <w:rFonts w:ascii="Palatino Linotype" w:eastAsia="Palatino Linotype" w:hAnsi="Palatino Linotype" w:cs="Palatino Linotype"/>
        </w:rPr>
      </w:pPr>
    </w:p>
    <w:p w14:paraId="738F661B" w14:textId="77777777" w:rsidR="006117D9" w:rsidRDefault="004C641C">
      <w:pPr>
        <w:numPr>
          <w:ilvl w:val="0"/>
          <w:numId w:val="1"/>
        </w:numPr>
        <w:spacing w:line="360" w:lineRule="auto"/>
        <w:ind w:left="0" w:right="-734" w:firstLine="0"/>
        <w:jc w:val="both"/>
        <w:rPr>
          <w:rFonts w:ascii="Palatino Linotype" w:eastAsia="Palatino Linotype" w:hAnsi="Palatino Linotype" w:cs="Palatino Linotype"/>
        </w:rPr>
      </w:pPr>
      <w:bookmarkStart w:id="3" w:name="_heading=h.3dy6vkm" w:colFirst="0" w:colLast="0"/>
      <w:bookmarkEnd w:id="3"/>
      <w:r>
        <w:rPr>
          <w:rFonts w:ascii="Palatino Linotype" w:eastAsia="Palatino Linotype" w:hAnsi="Palatino Linotype" w:cs="Palatino Linotype"/>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5F4D0C26" w14:textId="77777777" w:rsidR="006117D9" w:rsidRDefault="006117D9">
      <w:pPr>
        <w:spacing w:line="360" w:lineRule="auto"/>
        <w:ind w:right="-734"/>
        <w:jc w:val="both"/>
        <w:rPr>
          <w:rFonts w:ascii="Palatino Linotype" w:eastAsia="Palatino Linotype" w:hAnsi="Palatino Linotype" w:cs="Palatino Linotype"/>
        </w:rPr>
      </w:pPr>
    </w:p>
    <w:p w14:paraId="29D7EED7" w14:textId="77777777" w:rsidR="006117D9" w:rsidRDefault="004C641C">
      <w:pPr>
        <w:spacing w:line="360" w:lineRule="auto"/>
        <w:ind w:right="-734"/>
        <w:jc w:val="both"/>
        <w:rPr>
          <w:rFonts w:ascii="Palatino Linotype" w:eastAsia="Palatino Linotype" w:hAnsi="Palatino Linotype" w:cs="Palatino Linotype"/>
          <w:b/>
        </w:rPr>
      </w:pPr>
      <w:r>
        <w:rPr>
          <w:rFonts w:ascii="Palatino Linotype" w:eastAsia="Palatino Linotype" w:hAnsi="Palatino Linotype" w:cs="Palatino Linotype"/>
          <w:b/>
        </w:rPr>
        <w:lastRenderedPageBreak/>
        <w:t>TERCERO. De las causales de sobreseimiento.</w:t>
      </w:r>
    </w:p>
    <w:p w14:paraId="5BF26A32" w14:textId="77777777" w:rsidR="006117D9" w:rsidRDefault="004C641C">
      <w:pPr>
        <w:numPr>
          <w:ilvl w:val="0"/>
          <w:numId w:val="1"/>
        </w:numPr>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w:t>
      </w:r>
      <w:r>
        <w:rPr>
          <w:rFonts w:ascii="Palatino Linotype" w:eastAsia="Palatino Linotype" w:hAnsi="Palatino Linotype" w:cs="Palatino Linotype"/>
          <w:color w:val="000000"/>
        </w:rPr>
        <w:t xml:space="preserve">recurso de revisión </w:t>
      </w:r>
      <w:r>
        <w:rPr>
          <w:rFonts w:ascii="Palatino Linotype" w:eastAsia="Palatino Linotype" w:hAnsi="Palatino Linotype" w:cs="Palatino Linotype"/>
        </w:rPr>
        <w:t xml:space="preserve">tiene como finalidad reparar cualquier posible afectación al derecho de acceso a la información pública en términos del Título Octavo de la Ley de Transparencia, Acceso a la Información Pública del Estado de México y Municipios, y determinar la confirmación; revocación o modificación; </w:t>
      </w:r>
      <w:proofErr w:type="spellStart"/>
      <w:r>
        <w:rPr>
          <w:rFonts w:ascii="Palatino Linotype" w:eastAsia="Palatino Linotype" w:hAnsi="Palatino Linotype" w:cs="Palatino Linotype"/>
        </w:rPr>
        <w:t>desechamiento</w:t>
      </w:r>
      <w:proofErr w:type="spellEnd"/>
      <w:r>
        <w:rPr>
          <w:rFonts w:ascii="Palatino Linotype" w:eastAsia="Palatino Linotype" w:hAnsi="Palatino Linotype" w:cs="Palatino Linotype"/>
        </w:rPr>
        <w:t xml:space="preserve"> o </w:t>
      </w:r>
      <w:r>
        <w:rPr>
          <w:rFonts w:ascii="Palatino Linotype" w:eastAsia="Palatino Linotype" w:hAnsi="Palatino Linotype" w:cs="Palatino Linotype"/>
          <w:b/>
          <w:u w:val="single"/>
        </w:rPr>
        <w:t>sobreseimiento</w:t>
      </w:r>
      <w:r>
        <w:rPr>
          <w:rFonts w:ascii="Palatino Linotype" w:eastAsia="Palatino Linotype" w:hAnsi="Palatino Linotype" w:cs="Palatino Linotype"/>
        </w:rPr>
        <w:t xml:space="preserve">; y en su caso ordenar la entrega de la información con respecto a la respuesta emitida por el </w:t>
      </w:r>
      <w:r>
        <w:rPr>
          <w:rFonts w:ascii="Palatino Linotype" w:eastAsia="Palatino Linotype" w:hAnsi="Palatino Linotype" w:cs="Palatino Linotype"/>
          <w:b/>
        </w:rPr>
        <w:t>SUJETO</w:t>
      </w:r>
      <w:r>
        <w:rPr>
          <w:rFonts w:ascii="Palatino Linotype" w:eastAsia="Palatino Linotype" w:hAnsi="Palatino Linotype" w:cs="Palatino Linotype"/>
        </w:rPr>
        <w:t xml:space="preserve"> </w:t>
      </w:r>
      <w:r>
        <w:rPr>
          <w:rFonts w:ascii="Palatino Linotype" w:eastAsia="Palatino Linotype" w:hAnsi="Palatino Linotype" w:cs="Palatino Linotype"/>
          <w:b/>
        </w:rPr>
        <w:t>OBLIGADO</w:t>
      </w:r>
      <w:r>
        <w:rPr>
          <w:rFonts w:ascii="Palatino Linotype" w:eastAsia="Palatino Linotype" w:hAnsi="Palatino Linotype" w:cs="Palatino Linotype"/>
        </w:rPr>
        <w:t>.</w:t>
      </w:r>
    </w:p>
    <w:p w14:paraId="7DE0F3ED" w14:textId="77777777" w:rsidR="006117D9" w:rsidRDefault="006117D9">
      <w:pPr>
        <w:spacing w:line="360" w:lineRule="auto"/>
        <w:ind w:right="-734"/>
        <w:jc w:val="both"/>
        <w:rPr>
          <w:rFonts w:ascii="Palatino Linotype" w:eastAsia="Palatino Linotype" w:hAnsi="Palatino Linotype" w:cs="Palatino Linotype"/>
        </w:rPr>
      </w:pPr>
    </w:p>
    <w:p w14:paraId="39FABD4A" w14:textId="77777777" w:rsidR="006117D9" w:rsidRDefault="004C641C">
      <w:pPr>
        <w:numPr>
          <w:ilvl w:val="0"/>
          <w:numId w:val="1"/>
        </w:numPr>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De </w:t>
      </w:r>
      <w:r>
        <w:rPr>
          <w:rFonts w:ascii="Palatino Linotype" w:eastAsia="Palatino Linotype" w:hAnsi="Palatino Linotype" w:cs="Palatino Linotype"/>
        </w:rPr>
        <w:t xml:space="preserve">acuerdo al precepto legal contenido en la fracción III del artículo 192 de la </w:t>
      </w:r>
      <w:r>
        <w:rPr>
          <w:rFonts w:ascii="Palatino Linotype" w:eastAsia="Palatino Linotype" w:hAnsi="Palatino Linotype" w:cs="Palatino Linotype"/>
          <w:b/>
        </w:rPr>
        <w:t>Ley de Transparencia y Acceso a la Información Pública del Estado de México y Municipios</w:t>
      </w:r>
      <w:r>
        <w:rPr>
          <w:rFonts w:ascii="Palatino Linotype" w:eastAsia="Palatino Linotype" w:hAnsi="Palatino Linotype" w:cs="Palatino Linotype"/>
        </w:rPr>
        <w:t>, el recurso será sobreseído, en todo o en parte, cuando una vez admitido, el sujeto obligado responsable del acto lo modifique o revoque de tal manera que el recurso de revisión quede sin materia; de ahí que la actualización de alguno de éste trae como consecuencia que el medio de impugnación se concluya sin que se analice el objeto de estudio planteado, es decir se sobresea.</w:t>
      </w:r>
    </w:p>
    <w:p w14:paraId="633C92D4" w14:textId="77777777" w:rsidR="006117D9" w:rsidRDefault="004C641C">
      <w:pPr>
        <w:numPr>
          <w:ilvl w:val="0"/>
          <w:numId w:val="1"/>
        </w:numPr>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Para </w:t>
      </w:r>
      <w:r>
        <w:rPr>
          <w:rFonts w:ascii="Palatino Linotype" w:eastAsia="Palatino Linotype" w:hAnsi="Palatino Linotype" w:cs="Palatino Linotype"/>
        </w:rPr>
        <w:t xml:space="preserve">los efectos de esta resolución, es oportuno precisar los alcances jurídicos de la fracción III de la disposición legal transcrita. Así, procede el sobreseimiento del recurso de revisión cuando el </w:t>
      </w:r>
      <w:r>
        <w:rPr>
          <w:rFonts w:ascii="Palatino Linotype" w:eastAsia="Palatino Linotype" w:hAnsi="Palatino Linotype" w:cs="Palatino Linotype"/>
          <w:b/>
        </w:rPr>
        <w:t>SUJETO OBLIGADO</w:t>
      </w:r>
      <w:r>
        <w:rPr>
          <w:rFonts w:ascii="Palatino Linotype" w:eastAsia="Palatino Linotype" w:hAnsi="Palatino Linotype" w:cs="Palatino Linotype"/>
        </w:rPr>
        <w:t>:</w:t>
      </w:r>
    </w:p>
    <w:p w14:paraId="25D9ABC7" w14:textId="77777777" w:rsidR="006117D9" w:rsidRDefault="004C641C">
      <w:pPr>
        <w:numPr>
          <w:ilvl w:val="0"/>
          <w:numId w:val="2"/>
        </w:numPr>
        <w:ind w:left="567" w:right="257"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Modifique el acto impugnado:</w:t>
      </w:r>
      <w:r>
        <w:rPr>
          <w:rFonts w:ascii="Palatino Linotype" w:eastAsia="Palatino Linotype" w:hAnsi="Palatino Linotype" w:cs="Palatino Linotype"/>
          <w:sz w:val="22"/>
          <w:szCs w:val="22"/>
        </w:rPr>
        <w:t xml:space="preserve"> Se actualiza cuando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después de haber otorgado una respuesta y hasta antes de dictada la resolución del recurso de revisión, emite una diversa en la que subsane las deficiencias que hubiera tenido.</w:t>
      </w:r>
    </w:p>
    <w:p w14:paraId="2A9FC630" w14:textId="77777777" w:rsidR="006117D9" w:rsidRDefault="004C641C">
      <w:pPr>
        <w:numPr>
          <w:ilvl w:val="0"/>
          <w:numId w:val="2"/>
        </w:numPr>
        <w:ind w:left="567" w:right="257"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Revoque el acto impugnado:</w:t>
      </w:r>
      <w:r>
        <w:rPr>
          <w:rFonts w:ascii="Palatino Linotype" w:eastAsia="Palatino Linotype" w:hAnsi="Palatino Linotype" w:cs="Palatino Linotype"/>
          <w:sz w:val="22"/>
          <w:szCs w:val="22"/>
        </w:rPr>
        <w:t xml:space="preserve"> En este supuesto,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deja sin efectos la primera respuesta y en su lugar emite otra que satisfaga lo solicitado por el Particular en un primer momento.</w:t>
      </w:r>
    </w:p>
    <w:p w14:paraId="4E82F18F" w14:textId="77777777" w:rsidR="006117D9" w:rsidRDefault="006117D9">
      <w:pPr>
        <w:spacing w:line="360" w:lineRule="auto"/>
        <w:ind w:right="257"/>
        <w:jc w:val="both"/>
        <w:rPr>
          <w:rFonts w:ascii="Palatino Linotype" w:eastAsia="Palatino Linotype" w:hAnsi="Palatino Linotype" w:cs="Palatino Linotype"/>
          <w:sz w:val="22"/>
          <w:szCs w:val="22"/>
        </w:rPr>
      </w:pPr>
    </w:p>
    <w:p w14:paraId="1079D7CA" w14:textId="77777777" w:rsidR="006117D9" w:rsidRDefault="004C641C">
      <w:pPr>
        <w:numPr>
          <w:ilvl w:val="0"/>
          <w:numId w:val="1"/>
        </w:numPr>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color w:val="000000"/>
        </w:rPr>
        <w:lastRenderedPageBreak/>
        <w:t xml:space="preserve">Las </w:t>
      </w:r>
      <w:r>
        <w:rPr>
          <w:rFonts w:ascii="Palatino Linotype" w:eastAsia="Palatino Linotype" w:hAnsi="Palatino Linotype" w:cs="Palatino Linotype"/>
        </w:rPr>
        <w:t>consecuencias jurídicas de esta modificación o revocación es que el recurso de revisión interpuesto quede sin efectos o sin materia. Un acto impugnado queda sin efectos, cuando aun existiendo jurídicamente, no genera consecuencia legal alguna; queda sin materia, cuando ha sido satisfecha la pretensión del Particular, ya sea porque se hizo la entrega de la información solicitada o porque se completó la misma.</w:t>
      </w:r>
    </w:p>
    <w:p w14:paraId="2D5815E2" w14:textId="77777777" w:rsidR="006117D9" w:rsidRDefault="006117D9">
      <w:pPr>
        <w:spacing w:line="360" w:lineRule="auto"/>
        <w:ind w:right="-734"/>
        <w:jc w:val="both"/>
        <w:rPr>
          <w:rFonts w:ascii="Palatino Linotype" w:eastAsia="Palatino Linotype" w:hAnsi="Palatino Linotype" w:cs="Palatino Linotype"/>
        </w:rPr>
      </w:pPr>
    </w:p>
    <w:p w14:paraId="274C4D1B" w14:textId="77777777" w:rsidR="006117D9" w:rsidRDefault="004C641C">
      <w:pPr>
        <w:numPr>
          <w:ilvl w:val="0"/>
          <w:numId w:val="1"/>
        </w:numPr>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solicitó, </w:t>
      </w:r>
      <w:r>
        <w:rPr>
          <w:rFonts w:ascii="Palatino Linotype" w:eastAsia="Palatino Linotype" w:hAnsi="Palatino Linotype" w:cs="Palatino Linotype"/>
        </w:rPr>
        <w:t xml:space="preserve">del ejercicio fiscal 2023: </w:t>
      </w:r>
      <w:r>
        <w:rPr>
          <w:rFonts w:ascii="Palatino Linotype" w:eastAsia="Palatino Linotype" w:hAnsi="Palatino Linotype" w:cs="Palatino Linotype"/>
          <w:b/>
        </w:rPr>
        <w:t>El</w:t>
      </w:r>
      <w:r>
        <w:rPr>
          <w:rFonts w:ascii="Palatino Linotype" w:eastAsia="Palatino Linotype" w:hAnsi="Palatino Linotype" w:cs="Palatino Linotype"/>
          <w:b/>
          <w:color w:val="000000"/>
        </w:rPr>
        <w:t xml:space="preserve"> presupuesto de egresos del ayuntamiento, así como, el presupuesto destinado a seguridad pública, programa de bacheo y transporte público del municipio.</w:t>
      </w:r>
    </w:p>
    <w:p w14:paraId="3536BBA8" w14:textId="77777777" w:rsidR="006117D9" w:rsidRDefault="006117D9">
      <w:pPr>
        <w:pBdr>
          <w:top w:val="nil"/>
          <w:left w:val="nil"/>
          <w:bottom w:val="nil"/>
          <w:right w:val="nil"/>
          <w:between w:val="nil"/>
        </w:pBdr>
        <w:ind w:right="-734"/>
        <w:jc w:val="both"/>
        <w:rPr>
          <w:rFonts w:ascii="Palatino Linotype" w:eastAsia="Palatino Linotype" w:hAnsi="Palatino Linotype" w:cs="Palatino Linotype"/>
          <w:i/>
          <w:color w:val="000000"/>
        </w:rPr>
      </w:pPr>
    </w:p>
    <w:p w14:paraId="0FC9F460" w14:textId="77777777" w:rsidR="006117D9" w:rsidRDefault="004C641C">
      <w:pPr>
        <w:numPr>
          <w:ilvl w:val="0"/>
          <w:numId w:val="1"/>
        </w:numPr>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respuesta,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por medio del Servidor Público Habilitado de la Coordinación de Movilidad, informó que el Ayuntamiento de Villa de Allende, Administración 2022-2024, en lo que va de transcurso, no ha destinado presupuesto para el transporte público del municipio.</w:t>
      </w:r>
    </w:p>
    <w:p w14:paraId="51B0C045" w14:textId="77777777" w:rsidR="006117D9" w:rsidRDefault="006117D9">
      <w:pPr>
        <w:ind w:right="-734"/>
        <w:rPr>
          <w:rFonts w:ascii="Palatino Linotype" w:eastAsia="Palatino Linotype" w:hAnsi="Palatino Linotype" w:cs="Palatino Linotype"/>
        </w:rPr>
      </w:pPr>
    </w:p>
    <w:p w14:paraId="04CCF628" w14:textId="77777777" w:rsidR="006117D9" w:rsidRDefault="004C641C">
      <w:pPr>
        <w:numPr>
          <w:ilvl w:val="0"/>
          <w:numId w:val="1"/>
        </w:numPr>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Inconforme con la respuesta, </w:t>
      </w: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interpuso el</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recurso de revisión número </w:t>
      </w:r>
      <w:r>
        <w:rPr>
          <w:rFonts w:ascii="Palatino Linotype" w:eastAsia="Palatino Linotype" w:hAnsi="Palatino Linotype" w:cs="Palatino Linotype"/>
          <w:b/>
          <w:color w:val="000000"/>
        </w:rPr>
        <w:t>00073/INFOEM/IP/RR/2024</w:t>
      </w:r>
      <w:r>
        <w:rPr>
          <w:rFonts w:ascii="Palatino Linotype" w:eastAsia="Palatino Linotype" w:hAnsi="Palatino Linotype" w:cs="Palatino Linotype"/>
          <w:color w:val="000000"/>
        </w:rPr>
        <w:t xml:space="preserve">, donde manifestó </w:t>
      </w:r>
      <w:r>
        <w:rPr>
          <w:rFonts w:ascii="Palatino Linotype" w:eastAsia="Palatino Linotype" w:hAnsi="Palatino Linotype" w:cs="Palatino Linotype"/>
          <w:b/>
          <w:color w:val="000000"/>
        </w:rPr>
        <w:t>la negativa de la información</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solicitada.</w:t>
      </w:r>
    </w:p>
    <w:p w14:paraId="460BFCE6" w14:textId="77777777" w:rsidR="006117D9" w:rsidRDefault="006117D9">
      <w:pPr>
        <w:spacing w:line="360" w:lineRule="auto"/>
        <w:ind w:right="-734"/>
        <w:jc w:val="both"/>
        <w:rPr>
          <w:rFonts w:ascii="Palatino Linotype" w:eastAsia="Palatino Linotype" w:hAnsi="Palatino Linotype" w:cs="Palatino Linotype"/>
        </w:rPr>
      </w:pPr>
    </w:p>
    <w:p w14:paraId="54F1EF60" w14:textId="77777777" w:rsidR="006117D9" w:rsidRDefault="004C641C">
      <w:pPr>
        <w:numPr>
          <w:ilvl w:val="0"/>
          <w:numId w:val="1"/>
        </w:numPr>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No obstante,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por medio de un acto jurídico posterior como lo es el informe justificado, ratificó la respuesta emitida por el Servidor Público Habilitado de la Coordinación de Movilidad; por otro lado, el Tesorero Municipal remitió el Presupuesto de Egresos aprobado para el ejercicio fiscal 2023, que obra en la Unidad Administrativa a su cargo, en el formato y estado en que fue presentada al Órgano Superior de Fiscalización del Estado de México de conformidad con los Lineamientos para la Entrega del Presupuesto de </w:t>
      </w:r>
      <w:r>
        <w:rPr>
          <w:rFonts w:ascii="Palatino Linotype" w:eastAsia="Palatino Linotype" w:hAnsi="Palatino Linotype" w:cs="Palatino Linotype"/>
        </w:rPr>
        <w:lastRenderedPageBreak/>
        <w:t>Egresos Municipal respectivos, asimismo, remitió diversas ligas electrónicas donde refirió que podía ser consultada la información solicitada.</w:t>
      </w:r>
    </w:p>
    <w:p w14:paraId="60791E53" w14:textId="77777777" w:rsidR="006117D9" w:rsidRDefault="006117D9">
      <w:pPr>
        <w:spacing w:line="360" w:lineRule="auto"/>
        <w:ind w:right="-734"/>
        <w:jc w:val="both"/>
        <w:rPr>
          <w:rFonts w:ascii="Palatino Linotype" w:eastAsia="Palatino Linotype" w:hAnsi="Palatino Linotype" w:cs="Palatino Linotype"/>
        </w:rPr>
      </w:pPr>
    </w:p>
    <w:p w14:paraId="218D37F0" w14:textId="77777777" w:rsidR="006117D9" w:rsidRDefault="004C641C">
      <w:pPr>
        <w:spacing w:line="360" w:lineRule="auto"/>
        <w:ind w:right="-734"/>
        <w:jc w:val="center"/>
        <w:rPr>
          <w:rFonts w:ascii="Palatino Linotype" w:eastAsia="Palatino Linotype" w:hAnsi="Palatino Linotype" w:cs="Palatino Linotype"/>
        </w:rPr>
      </w:pPr>
      <w:r>
        <w:rPr>
          <w:rFonts w:ascii="Palatino Linotype" w:eastAsia="Palatino Linotype" w:hAnsi="Palatino Linotype" w:cs="Palatino Linotype"/>
          <w:noProof/>
        </w:rPr>
        <w:drawing>
          <wp:inline distT="0" distB="0" distL="0" distR="0" wp14:anchorId="5462546F" wp14:editId="5B4E0E40">
            <wp:extent cx="4894112" cy="4112699"/>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894112" cy="4112699"/>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14:anchorId="5C85849D" wp14:editId="093D734C">
                <wp:simplePos x="0" y="0"/>
                <wp:positionH relativeFrom="column">
                  <wp:posOffset>571500</wp:posOffset>
                </wp:positionH>
                <wp:positionV relativeFrom="paragraph">
                  <wp:posOffset>2984500</wp:posOffset>
                </wp:positionV>
                <wp:extent cx="4626429" cy="1205593"/>
                <wp:effectExtent l="0" t="0" r="0" b="0"/>
                <wp:wrapNone/>
                <wp:docPr id="12" name="Rectángulo 12"/>
                <wp:cNvGraphicFramePr/>
                <a:graphic xmlns:a="http://schemas.openxmlformats.org/drawingml/2006/main">
                  <a:graphicData uri="http://schemas.microsoft.com/office/word/2010/wordprocessingShape">
                    <wps:wsp>
                      <wps:cNvSpPr/>
                      <wps:spPr>
                        <a:xfrm>
                          <a:off x="3051836" y="3196254"/>
                          <a:ext cx="4588329" cy="1167493"/>
                        </a:xfrm>
                        <a:prstGeom prst="rect">
                          <a:avLst/>
                        </a:prstGeom>
                        <a:noFill/>
                        <a:ln w="38100" cap="flat" cmpd="sng">
                          <a:solidFill>
                            <a:srgbClr val="C00000"/>
                          </a:solidFill>
                          <a:prstDash val="solid"/>
                          <a:miter lim="800000"/>
                          <a:headEnd type="none" w="sm" len="sm"/>
                          <a:tailEnd type="none" w="sm" len="sm"/>
                        </a:ln>
                      </wps:spPr>
                      <wps:txbx>
                        <w:txbxContent>
                          <w:p w14:paraId="391DC233" w14:textId="77777777" w:rsidR="006117D9" w:rsidRDefault="006117D9">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571500</wp:posOffset>
                </wp:positionH>
                <wp:positionV relativeFrom="paragraph">
                  <wp:posOffset>2984500</wp:posOffset>
                </wp:positionV>
                <wp:extent cx="4626429" cy="1205593"/>
                <wp:effectExtent b="0" l="0" r="0" t="0"/>
                <wp:wrapNone/>
                <wp:docPr id="12"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4626429" cy="1205593"/>
                        </a:xfrm>
                        <a:prstGeom prst="rect"/>
                        <a:ln/>
                      </pic:spPr>
                    </pic:pic>
                  </a:graphicData>
                </a:graphic>
              </wp:anchor>
            </w:drawing>
          </mc:Fallback>
        </mc:AlternateContent>
      </w:r>
    </w:p>
    <w:p w14:paraId="41A7A73D" w14:textId="77777777" w:rsidR="006117D9" w:rsidRDefault="004C641C">
      <w:pPr>
        <w:spacing w:line="360" w:lineRule="auto"/>
        <w:ind w:right="-734"/>
        <w:jc w:val="center"/>
        <w:rPr>
          <w:rFonts w:ascii="Palatino Linotype" w:eastAsia="Palatino Linotype" w:hAnsi="Palatino Linotype" w:cs="Palatino Linotype"/>
          <w:b/>
        </w:rPr>
      </w:pPr>
      <w:r>
        <w:rPr>
          <w:rFonts w:ascii="Palatino Linotype" w:eastAsia="Palatino Linotype" w:hAnsi="Palatino Linotype" w:cs="Palatino Linotype"/>
          <w:b/>
        </w:rPr>
        <w:t>(…)</w:t>
      </w:r>
    </w:p>
    <w:p w14:paraId="57C799B6" w14:textId="77777777" w:rsidR="006117D9" w:rsidRDefault="004C641C">
      <w:pPr>
        <w:spacing w:line="360" w:lineRule="auto"/>
        <w:ind w:right="-734"/>
        <w:jc w:val="center"/>
        <w:rPr>
          <w:rFonts w:ascii="Palatino Linotype" w:eastAsia="Palatino Linotype" w:hAnsi="Palatino Linotype" w:cs="Palatino Linotype"/>
          <w:color w:val="000000"/>
        </w:rPr>
      </w:pPr>
      <w:r>
        <w:rPr>
          <w:rFonts w:ascii="Palatino Linotype" w:eastAsia="Palatino Linotype" w:hAnsi="Palatino Linotype" w:cs="Palatino Linotype"/>
          <w:noProof/>
          <w:color w:val="000000"/>
        </w:rPr>
        <w:lastRenderedPageBreak/>
        <w:drawing>
          <wp:inline distT="0" distB="0" distL="0" distR="0" wp14:anchorId="157CF28B" wp14:editId="7571805B">
            <wp:extent cx="5800890" cy="3199743"/>
            <wp:effectExtent l="0" t="0" r="0" b="0"/>
            <wp:docPr id="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800890" cy="3199743"/>
                    </a:xfrm>
                    <a:prstGeom prst="rect">
                      <a:avLst/>
                    </a:prstGeom>
                    <a:ln/>
                  </pic:spPr>
                </pic:pic>
              </a:graphicData>
            </a:graphic>
          </wp:inline>
        </w:drawing>
      </w:r>
    </w:p>
    <w:p w14:paraId="1F60D10E" w14:textId="77777777" w:rsidR="006117D9" w:rsidRDefault="004C641C">
      <w:pPr>
        <w:spacing w:line="360" w:lineRule="auto"/>
        <w:ind w:right="-734"/>
        <w:jc w:val="center"/>
        <w:rPr>
          <w:rFonts w:ascii="Palatino Linotype" w:eastAsia="Palatino Linotype" w:hAnsi="Palatino Linotype" w:cs="Palatino Linotype"/>
          <w:b/>
        </w:rPr>
      </w:pPr>
      <w:r>
        <w:rPr>
          <w:rFonts w:ascii="Palatino Linotype" w:eastAsia="Palatino Linotype" w:hAnsi="Palatino Linotype" w:cs="Palatino Linotype"/>
          <w:b/>
          <w:noProof/>
        </w:rPr>
        <w:drawing>
          <wp:inline distT="0" distB="0" distL="0" distR="0" wp14:anchorId="1E56164D" wp14:editId="67A24988">
            <wp:extent cx="5742940" cy="2658745"/>
            <wp:effectExtent l="0" t="0" r="0" b="0"/>
            <wp:docPr id="1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5742940" cy="2658745"/>
                    </a:xfrm>
                    <a:prstGeom prst="rect">
                      <a:avLst/>
                    </a:prstGeom>
                    <a:ln/>
                  </pic:spPr>
                </pic:pic>
              </a:graphicData>
            </a:graphic>
          </wp:inline>
        </w:drawing>
      </w:r>
      <w:r>
        <w:rPr>
          <w:noProof/>
        </w:rPr>
        <mc:AlternateContent>
          <mc:Choice Requires="wpg">
            <w:drawing>
              <wp:anchor distT="0" distB="0" distL="114300" distR="114300" simplePos="0" relativeHeight="251659264" behindDoc="0" locked="0" layoutInCell="1" hidden="0" allowOverlap="1" wp14:anchorId="57EBE423" wp14:editId="0F9BE49D">
                <wp:simplePos x="0" y="0"/>
                <wp:positionH relativeFrom="column">
                  <wp:posOffset>508000</wp:posOffset>
                </wp:positionH>
                <wp:positionV relativeFrom="paragraph">
                  <wp:posOffset>520700</wp:posOffset>
                </wp:positionV>
                <wp:extent cx="3421743" cy="682716"/>
                <wp:effectExtent l="0" t="0" r="0" b="0"/>
                <wp:wrapNone/>
                <wp:docPr id="14" name="Rectángulo 14"/>
                <wp:cNvGraphicFramePr/>
                <a:graphic xmlns:a="http://schemas.openxmlformats.org/drawingml/2006/main">
                  <a:graphicData uri="http://schemas.microsoft.com/office/word/2010/wordprocessingShape">
                    <wps:wsp>
                      <wps:cNvSpPr/>
                      <wps:spPr>
                        <a:xfrm>
                          <a:off x="3654179" y="3457692"/>
                          <a:ext cx="3383643" cy="644616"/>
                        </a:xfrm>
                        <a:prstGeom prst="rect">
                          <a:avLst/>
                        </a:prstGeom>
                        <a:noFill/>
                        <a:ln w="38100" cap="flat" cmpd="sng">
                          <a:solidFill>
                            <a:srgbClr val="C00000"/>
                          </a:solidFill>
                          <a:prstDash val="solid"/>
                          <a:miter lim="800000"/>
                          <a:headEnd type="none" w="sm" len="sm"/>
                          <a:tailEnd type="none" w="sm" len="sm"/>
                        </a:ln>
                      </wps:spPr>
                      <wps:txbx>
                        <w:txbxContent>
                          <w:p w14:paraId="0A98C2AB" w14:textId="77777777" w:rsidR="006117D9" w:rsidRDefault="006117D9">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508000</wp:posOffset>
                </wp:positionH>
                <wp:positionV relativeFrom="paragraph">
                  <wp:posOffset>520700</wp:posOffset>
                </wp:positionV>
                <wp:extent cx="3421743" cy="682716"/>
                <wp:effectExtent b="0" l="0" r="0" t="0"/>
                <wp:wrapNone/>
                <wp:docPr id="14"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3421743" cy="682716"/>
                        </a:xfrm>
                        <a:prstGeom prst="rect"/>
                        <a:ln/>
                      </pic:spPr>
                    </pic:pic>
                  </a:graphicData>
                </a:graphic>
              </wp:anchor>
            </w:drawing>
          </mc:Fallback>
        </mc:AlternateContent>
      </w:r>
    </w:p>
    <w:p w14:paraId="6040DC2D" w14:textId="77777777" w:rsidR="006117D9" w:rsidRDefault="004C641C">
      <w:pPr>
        <w:spacing w:line="360" w:lineRule="auto"/>
        <w:ind w:right="-734"/>
        <w:jc w:val="center"/>
        <w:rPr>
          <w:rFonts w:ascii="Palatino Linotype" w:eastAsia="Palatino Linotype" w:hAnsi="Palatino Linotype" w:cs="Palatino Linotype"/>
          <w:b/>
        </w:rPr>
      </w:pPr>
      <w:r>
        <w:rPr>
          <w:rFonts w:ascii="Palatino Linotype" w:eastAsia="Palatino Linotype" w:hAnsi="Palatino Linotype" w:cs="Palatino Linotype"/>
          <w:b/>
        </w:rPr>
        <w:t>(…)</w:t>
      </w:r>
    </w:p>
    <w:p w14:paraId="334B9F3D" w14:textId="77777777" w:rsidR="006117D9" w:rsidRDefault="006117D9">
      <w:pPr>
        <w:spacing w:line="360" w:lineRule="auto"/>
        <w:ind w:right="-734"/>
        <w:jc w:val="center"/>
        <w:rPr>
          <w:rFonts w:ascii="Palatino Linotype" w:eastAsia="Palatino Linotype" w:hAnsi="Palatino Linotype" w:cs="Palatino Linotype"/>
          <w:b/>
        </w:rPr>
      </w:pPr>
    </w:p>
    <w:p w14:paraId="7728A86B" w14:textId="77777777" w:rsidR="006117D9" w:rsidRDefault="004C641C">
      <w:pPr>
        <w:spacing w:line="360" w:lineRule="auto"/>
        <w:ind w:right="-734"/>
        <w:jc w:val="center"/>
        <w:rPr>
          <w:rFonts w:ascii="Palatino Linotype" w:eastAsia="Palatino Linotype" w:hAnsi="Palatino Linotype" w:cs="Palatino Linotype"/>
          <w:b/>
        </w:rPr>
      </w:pPr>
      <w:r>
        <w:rPr>
          <w:rFonts w:ascii="Palatino Linotype" w:eastAsia="Palatino Linotype" w:hAnsi="Palatino Linotype" w:cs="Palatino Linotype"/>
          <w:b/>
          <w:noProof/>
        </w:rPr>
        <w:lastRenderedPageBreak/>
        <w:drawing>
          <wp:inline distT="0" distB="0" distL="0" distR="0" wp14:anchorId="6A9E22F7" wp14:editId="4FB045F5">
            <wp:extent cx="5742940" cy="2563495"/>
            <wp:effectExtent l="0" t="0" r="0" b="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5742940" cy="2563495"/>
                    </a:xfrm>
                    <a:prstGeom prst="rect">
                      <a:avLst/>
                    </a:prstGeom>
                    <a:ln/>
                  </pic:spPr>
                </pic:pic>
              </a:graphicData>
            </a:graphic>
          </wp:inline>
        </w:drawing>
      </w:r>
      <w:r>
        <w:rPr>
          <w:noProof/>
        </w:rPr>
        <mc:AlternateContent>
          <mc:Choice Requires="wpg">
            <w:drawing>
              <wp:anchor distT="0" distB="0" distL="114300" distR="114300" simplePos="0" relativeHeight="251660288" behindDoc="0" locked="0" layoutInCell="1" hidden="0" allowOverlap="1" wp14:anchorId="387894E2" wp14:editId="04F46385">
                <wp:simplePos x="0" y="0"/>
                <wp:positionH relativeFrom="column">
                  <wp:posOffset>444500</wp:posOffset>
                </wp:positionH>
                <wp:positionV relativeFrom="paragraph">
                  <wp:posOffset>635000</wp:posOffset>
                </wp:positionV>
                <wp:extent cx="3421743" cy="682716"/>
                <wp:effectExtent l="0" t="0" r="0" b="0"/>
                <wp:wrapNone/>
                <wp:docPr id="13" name="Rectángulo 13"/>
                <wp:cNvGraphicFramePr/>
                <a:graphic xmlns:a="http://schemas.openxmlformats.org/drawingml/2006/main">
                  <a:graphicData uri="http://schemas.microsoft.com/office/word/2010/wordprocessingShape">
                    <wps:wsp>
                      <wps:cNvSpPr/>
                      <wps:spPr>
                        <a:xfrm>
                          <a:off x="3654179" y="3457692"/>
                          <a:ext cx="3383643" cy="644616"/>
                        </a:xfrm>
                        <a:prstGeom prst="rect">
                          <a:avLst/>
                        </a:prstGeom>
                        <a:noFill/>
                        <a:ln w="38100" cap="flat" cmpd="sng">
                          <a:solidFill>
                            <a:srgbClr val="C00000"/>
                          </a:solidFill>
                          <a:prstDash val="solid"/>
                          <a:miter lim="800000"/>
                          <a:headEnd type="none" w="sm" len="sm"/>
                          <a:tailEnd type="none" w="sm" len="sm"/>
                        </a:ln>
                      </wps:spPr>
                      <wps:txbx>
                        <w:txbxContent>
                          <w:p w14:paraId="0191A0FB" w14:textId="77777777" w:rsidR="006117D9" w:rsidRDefault="006117D9">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444500</wp:posOffset>
                </wp:positionH>
                <wp:positionV relativeFrom="paragraph">
                  <wp:posOffset>635000</wp:posOffset>
                </wp:positionV>
                <wp:extent cx="3421743" cy="682716"/>
                <wp:effectExtent b="0" l="0" r="0" t="0"/>
                <wp:wrapNone/>
                <wp:docPr id="13"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3421743" cy="682716"/>
                        </a:xfrm>
                        <a:prstGeom prst="rect"/>
                        <a:ln/>
                      </pic:spPr>
                    </pic:pic>
                  </a:graphicData>
                </a:graphic>
              </wp:anchor>
            </w:drawing>
          </mc:Fallback>
        </mc:AlternateContent>
      </w:r>
    </w:p>
    <w:p w14:paraId="6DD21917" w14:textId="77777777" w:rsidR="006117D9" w:rsidRDefault="004C641C">
      <w:pPr>
        <w:spacing w:line="360" w:lineRule="auto"/>
        <w:ind w:right="-734"/>
        <w:jc w:val="center"/>
        <w:rPr>
          <w:rFonts w:ascii="Palatino Linotype" w:eastAsia="Palatino Linotype" w:hAnsi="Palatino Linotype" w:cs="Palatino Linotype"/>
          <w:b/>
        </w:rPr>
      </w:pPr>
      <w:r>
        <w:rPr>
          <w:rFonts w:ascii="Palatino Linotype" w:eastAsia="Palatino Linotype" w:hAnsi="Palatino Linotype" w:cs="Palatino Linotype"/>
          <w:b/>
        </w:rPr>
        <w:t>(…)</w:t>
      </w:r>
    </w:p>
    <w:p w14:paraId="301969E3" w14:textId="77777777" w:rsidR="006117D9" w:rsidRDefault="006117D9">
      <w:pPr>
        <w:spacing w:line="360" w:lineRule="auto"/>
        <w:ind w:right="-734"/>
        <w:rPr>
          <w:rFonts w:ascii="Palatino Linotype" w:eastAsia="Palatino Linotype" w:hAnsi="Palatino Linotype" w:cs="Palatino Linotype"/>
          <w:b/>
        </w:rPr>
      </w:pPr>
    </w:p>
    <w:p w14:paraId="59FFFDE8" w14:textId="77777777" w:rsidR="006117D9" w:rsidRDefault="004C641C">
      <w:pPr>
        <w:numPr>
          <w:ilvl w:val="0"/>
          <w:numId w:val="1"/>
        </w:numPr>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Así, al haber existido un pronunciamiento por parte del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aún más del Servidor Público Habilitado correspondiente, este Instituto no está facultado para manifestarse sobre la veracidad de este, pues no existe precepto legal alguno en la Ley de la materia que lo faculte para que, vía recurso de revisión, pueda pronunciarse al respecto.</w:t>
      </w:r>
    </w:p>
    <w:p w14:paraId="4CBCA252" w14:textId="77777777" w:rsidR="006117D9" w:rsidRDefault="006117D9">
      <w:pPr>
        <w:spacing w:line="360" w:lineRule="auto"/>
        <w:ind w:right="-734"/>
        <w:jc w:val="both"/>
        <w:rPr>
          <w:rFonts w:ascii="Palatino Linotype" w:eastAsia="Palatino Linotype" w:hAnsi="Palatino Linotype" w:cs="Palatino Linotype"/>
        </w:rPr>
      </w:pPr>
    </w:p>
    <w:p w14:paraId="7BABF2FC" w14:textId="77777777" w:rsidR="006117D9" w:rsidRDefault="004C641C">
      <w:pPr>
        <w:numPr>
          <w:ilvl w:val="0"/>
          <w:numId w:val="1"/>
        </w:numPr>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rPr>
        <w:t>Atentos a lo anterior, se reitera que la información fue proporcionada por la Tesorería Municipal, quien de acuerdo con lo establecido en el artículo 93 de la Ley Orgánica Municipal, es el órgano encargado de la recaudación de los ingresos municipales y responsable de realizar las erogaciones que haga el ayuntamiento; y, estará a cargo del Tesorero municipal, quien contará con las siguientes atribuciones:</w:t>
      </w:r>
    </w:p>
    <w:p w14:paraId="0E95AD87" w14:textId="77777777" w:rsidR="006117D9" w:rsidRDefault="004C641C">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 Administrar la hacienda pública municipal, de conformidad con las disposiciones legales aplicables;</w:t>
      </w:r>
      <w:r>
        <w:rPr>
          <w:rFonts w:ascii="Palatino Linotype" w:eastAsia="Palatino Linotype" w:hAnsi="Palatino Linotype" w:cs="Palatino Linotype"/>
          <w:i/>
          <w:sz w:val="22"/>
          <w:szCs w:val="22"/>
        </w:rPr>
        <w:t xml:space="preserve"> </w:t>
      </w:r>
    </w:p>
    <w:p w14:paraId="1F2ED0D0" w14:textId="77777777" w:rsidR="006117D9" w:rsidRDefault="004C641C">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 Determinar, liquidar, recaudar, fiscalizar y administrar las contribuciones en los términos de los ordenamientos jurídicos aplicables y, en su caso, aplicar el procedimiento administrativo de ejecución en términos de las disposiciones aplicables; </w:t>
      </w:r>
    </w:p>
    <w:p w14:paraId="620D7AF3" w14:textId="77777777" w:rsidR="006117D9" w:rsidRDefault="004C641C">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 xml:space="preserve">III. Imponer las sanciones administrativas que procedan por infracciones a las disposiciones fiscales; </w:t>
      </w:r>
    </w:p>
    <w:p w14:paraId="3A32AFBE" w14:textId="77777777" w:rsidR="006117D9" w:rsidRDefault="004C641C">
      <w:pPr>
        <w:ind w:left="567" w:right="-25"/>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IV. Llevar los registros contables, financieros y administrativos de los ingresos, egresos, e inventarios; </w:t>
      </w:r>
    </w:p>
    <w:p w14:paraId="458CE257" w14:textId="77777777" w:rsidR="006117D9" w:rsidRDefault="004C641C">
      <w:pPr>
        <w:ind w:left="567" w:right="-25"/>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V. Proporcionar oportunamente al ayuntamiento todos los datos o informes que sean necesarios para la formulación del Presupuesto de Egresos Municipales, vigilando que se ajuste a las disposiciones de esta Ley y otros ordenamientos aplicables;</w:t>
      </w:r>
    </w:p>
    <w:p w14:paraId="48D40709" w14:textId="77777777" w:rsidR="006117D9" w:rsidRDefault="004C641C">
      <w:pPr>
        <w:ind w:left="567" w:right="-25"/>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VI. Presentar anualmente al ayuntamiento un informe de la situación contable financiera de la Tesorería Municipal; </w:t>
      </w:r>
    </w:p>
    <w:p w14:paraId="091EBF89" w14:textId="77777777" w:rsidR="006117D9" w:rsidRDefault="004C641C">
      <w:pPr>
        <w:ind w:left="567" w:right="-25"/>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VI Bis. Proporcionar para la formulación del proyecto de Presupuesto de Egresos Municipales la información financiera relativa a la solución o en su caso, el pago de los litigios laborales; </w:t>
      </w:r>
    </w:p>
    <w:p w14:paraId="7BA6A762" w14:textId="77777777" w:rsidR="006117D9" w:rsidRDefault="004C641C">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VII. Diseñar y aprobar las formas oficiales de manifestaciones, avisos y declaraciones y demás documentos requeridos; </w:t>
      </w:r>
    </w:p>
    <w:p w14:paraId="437058C8" w14:textId="77777777" w:rsidR="006117D9" w:rsidRDefault="004C641C">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VIII. Participar en la formulación de Convenios Fiscales y ejercer las atribuciones que le correspondan en el ámbito de su competencia; </w:t>
      </w:r>
    </w:p>
    <w:p w14:paraId="480AC600" w14:textId="77777777" w:rsidR="006117D9" w:rsidRDefault="004C641C">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IX. Proponer al ayuntamiento la cancelación de cuentas incobrables; </w:t>
      </w:r>
    </w:p>
    <w:p w14:paraId="605AC391" w14:textId="77777777" w:rsidR="006117D9" w:rsidRDefault="004C641C">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X. Custodiar y ejercer las garantías que se otorguen en favor de la hacienda municipal; </w:t>
      </w:r>
    </w:p>
    <w:p w14:paraId="150D7C27" w14:textId="77777777" w:rsidR="006117D9" w:rsidRDefault="004C641C">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XI. Proponer la política de ingresos de la tesorería municipal; </w:t>
      </w:r>
    </w:p>
    <w:p w14:paraId="41609BEA" w14:textId="77777777" w:rsidR="006117D9" w:rsidRDefault="004C641C">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XII. Intervenir en la elaboración del programa financiero municipal; </w:t>
      </w:r>
    </w:p>
    <w:p w14:paraId="324A3F3E" w14:textId="77777777" w:rsidR="006117D9" w:rsidRDefault="004C641C">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XIII. Elaborar y mantener actualizado el Padrón de Contribuyentes; </w:t>
      </w:r>
    </w:p>
    <w:p w14:paraId="65690231" w14:textId="77777777" w:rsidR="006117D9" w:rsidRDefault="004C641C">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XIV. Ministrar a su inmediato antecesor todos los datos oficiales que le solicitare, para contestar los pliegos de observaciones y alcances que formule y deduzca el Órgano Superior de Fiscalización del Estado de México; </w:t>
      </w:r>
    </w:p>
    <w:p w14:paraId="0885F562" w14:textId="77777777" w:rsidR="006117D9" w:rsidRDefault="004C641C">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XV. Solicitar a las instancias competentes, la práctica de revisiones circunstanciadas, de conformidad con las normas que rigen en materia de control y evaluación gubernamental en el ámbito municipal; </w:t>
      </w:r>
    </w:p>
    <w:p w14:paraId="16237371" w14:textId="77777777" w:rsidR="006117D9" w:rsidRDefault="004C641C">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XVI. Glosar oportunamente las cuentas del ayuntamiento; </w:t>
      </w:r>
    </w:p>
    <w:p w14:paraId="69106A6C" w14:textId="77777777" w:rsidR="006117D9" w:rsidRDefault="004C641C">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XVII. Contestar oportunamente los pliegos de observaciones y responsabilidad que haga el Órgano Superior de Fiscalización del Estado de México, así como atender en tiempo y forma las solicitudes de información que éste requiera, informando al Ayuntamiento; </w:t>
      </w:r>
    </w:p>
    <w:p w14:paraId="35CFB02A" w14:textId="77777777" w:rsidR="006117D9" w:rsidRDefault="004C641C">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XVIII. Expedir copias certificadas de los documentos a su cuidado, por acuerdo expreso del Ayuntamiento y cuando se trate de documentación presentada ante el Órgano Superior de Fiscalización del Estado de México; </w:t>
      </w:r>
    </w:p>
    <w:p w14:paraId="7BA6098E" w14:textId="77777777" w:rsidR="006117D9" w:rsidRDefault="004C641C">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XIX. Recaudar y administrar los ingresos que se deriven de la suscripción de convenios, acuerdos o la emisión de declaratorias de coordinación; los relativos a las transferencias otorgadas a favor del Municipio en el marco del Sistema Nacional o Estatal de Coordinación Fiscal, o los que reciba por cualquier otro concepto; así como el importe de las sanciones por infracciones impuestas por </w:t>
      </w:r>
      <w:r>
        <w:rPr>
          <w:rFonts w:ascii="Palatino Linotype" w:eastAsia="Palatino Linotype" w:hAnsi="Palatino Linotype" w:cs="Palatino Linotype"/>
          <w:i/>
          <w:sz w:val="22"/>
          <w:szCs w:val="22"/>
        </w:rPr>
        <w:lastRenderedPageBreak/>
        <w:t xml:space="preserve">las autoridades competentes, por la inobservancia de las diversas disposiciones y ordenamientos legales, constituyendo los créditos fiscales correspondientes; </w:t>
      </w:r>
    </w:p>
    <w:p w14:paraId="2BC985AC" w14:textId="77777777" w:rsidR="006117D9" w:rsidRDefault="004C641C">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XX. Dar cumplimiento a las leyes, convenios de coordinación fiscal y demás que en materia hacendaria celebre el Ayuntamiento con el Estado;</w:t>
      </w:r>
    </w:p>
    <w:p w14:paraId="6D19DF57" w14:textId="77777777" w:rsidR="006117D9" w:rsidRDefault="004C641C">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XXI. Entregar oportunamente a él o los Síndicos, según sea el caso, el informe mensual que corresponda, a fin de que se revise, y de ser necesario, para que se formulen las observaciones respectivas. </w:t>
      </w:r>
    </w:p>
    <w:p w14:paraId="1499EDDE" w14:textId="77777777" w:rsidR="006117D9" w:rsidRDefault="004C641C">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XXII. Las que les señalen las demás disposiciones legales y el ayuntamiento.”</w:t>
      </w:r>
    </w:p>
    <w:p w14:paraId="7047086E" w14:textId="77777777" w:rsidR="006117D9" w:rsidRDefault="006117D9">
      <w:pPr>
        <w:spacing w:line="360" w:lineRule="auto"/>
        <w:ind w:right="-734"/>
        <w:jc w:val="both"/>
        <w:rPr>
          <w:rFonts w:ascii="Palatino Linotype" w:eastAsia="Palatino Linotype" w:hAnsi="Palatino Linotype" w:cs="Palatino Linotype"/>
        </w:rPr>
      </w:pPr>
    </w:p>
    <w:p w14:paraId="701B594C" w14:textId="77777777" w:rsidR="006117D9" w:rsidRDefault="004C641C">
      <w:pPr>
        <w:numPr>
          <w:ilvl w:val="0"/>
          <w:numId w:val="1"/>
        </w:numPr>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se advierte que, en las documentales proporcionadas por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consta lo correspondiente al presupuesto destinado a seguridad pública, obras públicas (bacheo) y, de ser el caso, transporte público; de manera específica, esto puede ser consultado de manera enunciativa más no limitativa, en los formatos denominados: “PbRM-04c Presupuesto de Egresos Global Calendarizado”, “PbRM-03a Presupuesto de Ingresos Detallado” y “PbRM-07b Programa Anual de Obra (Reparaciones y Mantenimiento)”.</w:t>
      </w:r>
    </w:p>
    <w:p w14:paraId="643DA3D4" w14:textId="77777777" w:rsidR="006117D9" w:rsidRDefault="006117D9">
      <w:pPr>
        <w:spacing w:line="360" w:lineRule="auto"/>
        <w:ind w:right="-734"/>
        <w:jc w:val="both"/>
        <w:rPr>
          <w:rFonts w:ascii="Palatino Linotype" w:eastAsia="Palatino Linotype" w:hAnsi="Palatino Linotype" w:cs="Palatino Linotype"/>
        </w:rPr>
      </w:pPr>
    </w:p>
    <w:p w14:paraId="2BC2F986" w14:textId="77777777" w:rsidR="006117D9" w:rsidRDefault="004C641C">
      <w:pPr>
        <w:numPr>
          <w:ilvl w:val="0"/>
          <w:numId w:val="1"/>
        </w:numPr>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w:t>
      </w:r>
      <w:r>
        <w:rPr>
          <w:rFonts w:ascii="Palatino Linotype" w:eastAsia="Palatino Linotype" w:hAnsi="Palatino Linotype" w:cs="Palatino Linotype"/>
          <w:color w:val="000000"/>
        </w:rPr>
        <w:t xml:space="preserve">consecuencia, se advierte que mediante informe justificado,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modificó la respuesta inicial y atendió el requerimiento del Particular con la información proporcionada.</w:t>
      </w:r>
    </w:p>
    <w:p w14:paraId="71EB46AB" w14:textId="77777777" w:rsidR="006117D9" w:rsidRDefault="006117D9">
      <w:pPr>
        <w:spacing w:line="360" w:lineRule="auto"/>
        <w:ind w:right="-734"/>
        <w:jc w:val="both"/>
        <w:rPr>
          <w:rFonts w:ascii="Palatino Linotype" w:eastAsia="Palatino Linotype" w:hAnsi="Palatino Linotype" w:cs="Palatino Linotype"/>
        </w:rPr>
      </w:pPr>
    </w:p>
    <w:p w14:paraId="6A0308C7" w14:textId="77777777" w:rsidR="006117D9" w:rsidRDefault="004C641C">
      <w:pPr>
        <w:numPr>
          <w:ilvl w:val="0"/>
          <w:numId w:val="1"/>
        </w:numPr>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Por lo tanto, </w:t>
      </w:r>
      <w:r>
        <w:rPr>
          <w:rFonts w:ascii="Palatino Linotype" w:eastAsia="Palatino Linotype" w:hAnsi="Palatino Linotype" w:cs="Palatino Linotype"/>
        </w:rPr>
        <w:t xml:space="preserve">este Pleno advierte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modificó </w:t>
      </w:r>
      <w:r>
        <w:rPr>
          <w:rFonts w:ascii="Palatino Linotype" w:eastAsia="Palatino Linotype" w:hAnsi="Palatino Linotype" w:cs="Palatino Linotype"/>
        </w:rPr>
        <w:t>el acto que le dio origen al recurso de revisión, lo que trae como consecuencia que el mismo quede sin materia, actualizándose de este modo, la hipótesis jurídica contenida en la fracción III del artículo 192 de la Ley de Transparencia Local.</w:t>
      </w:r>
    </w:p>
    <w:p w14:paraId="1174A179" w14:textId="77777777" w:rsidR="006117D9" w:rsidRDefault="006117D9">
      <w:pPr>
        <w:spacing w:line="360" w:lineRule="auto"/>
        <w:ind w:right="-734"/>
        <w:jc w:val="both"/>
        <w:rPr>
          <w:rFonts w:ascii="Palatino Linotype" w:eastAsia="Palatino Linotype" w:hAnsi="Palatino Linotype" w:cs="Palatino Linotype"/>
        </w:rPr>
      </w:pPr>
    </w:p>
    <w:p w14:paraId="42635701" w14:textId="77777777" w:rsidR="006117D9" w:rsidRDefault="004C641C">
      <w:pPr>
        <w:numPr>
          <w:ilvl w:val="0"/>
          <w:numId w:val="1"/>
        </w:numPr>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Ahora bien, </w:t>
      </w:r>
      <w:r>
        <w:rPr>
          <w:rFonts w:ascii="Palatino Linotype" w:eastAsia="Palatino Linotype" w:hAnsi="Palatino Linotype" w:cs="Palatino Linotype"/>
        </w:rPr>
        <w:t xml:space="preserve">el sistema de medios de impugnación en esta materia se centra en el análisis de los agravios o motivos de inconformidad, los que deben tener relación directa con </w:t>
      </w:r>
      <w:r>
        <w:rPr>
          <w:rFonts w:ascii="Palatino Linotype" w:eastAsia="Palatino Linotype" w:hAnsi="Palatino Linotype" w:cs="Palatino Linotype"/>
        </w:rPr>
        <w:lastRenderedPageBreak/>
        <w:t>el acto de autoridad que lo motiva. En consecuencia, los motivos de la inconformidad deben versar sobre la respuesta de información proporcionada por los Sujetos Obligados o la negativa de entrega de esta, derivada de la solicitud de información pública.</w:t>
      </w:r>
    </w:p>
    <w:p w14:paraId="780D961B" w14:textId="77777777" w:rsidR="006117D9" w:rsidRDefault="006117D9">
      <w:pPr>
        <w:spacing w:line="360" w:lineRule="auto"/>
        <w:ind w:right="-734"/>
        <w:jc w:val="both"/>
        <w:rPr>
          <w:rFonts w:ascii="Palatino Linotype" w:eastAsia="Palatino Linotype" w:hAnsi="Palatino Linotype" w:cs="Palatino Linotype"/>
        </w:rPr>
      </w:pPr>
    </w:p>
    <w:p w14:paraId="3C44745B" w14:textId="77777777" w:rsidR="006117D9" w:rsidRDefault="004C641C">
      <w:pPr>
        <w:numPr>
          <w:ilvl w:val="0"/>
          <w:numId w:val="1"/>
        </w:numPr>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De </w:t>
      </w:r>
      <w:r>
        <w:rPr>
          <w:rFonts w:ascii="Palatino Linotype" w:eastAsia="Palatino Linotype" w:hAnsi="Palatino Linotype" w:cs="Palatino Linotype"/>
        </w:rPr>
        <w:t xml:space="preserve">este modo, cuando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antes de que se dicte resolución definitiva, entrega la información solicitada o completa la información que en un primer momento fue incompleta o no correspondió con lo solicitado; el recurso de revisión que al efecto se haya interpuesto queda sin materia lo que imposibilita el estudio de fondo de la </w:t>
      </w:r>
      <w:r>
        <w:rPr>
          <w:rFonts w:ascii="Palatino Linotype" w:eastAsia="Palatino Linotype" w:hAnsi="Palatino Linotype" w:cs="Palatino Linotype"/>
          <w:i/>
        </w:rPr>
        <w:t>litis</w:t>
      </w:r>
      <w:r>
        <w:rPr>
          <w:rFonts w:ascii="Palatino Linotype" w:eastAsia="Palatino Linotype" w:hAnsi="Palatino Linotype" w:cs="Palatino Linotype"/>
        </w:rPr>
        <w:t xml:space="preserve"> planteada, debido a que la afectación en su esfera de derechos fue restituida por la propia autoridad que emitió el acto motivo de impugnación.</w:t>
      </w:r>
    </w:p>
    <w:p w14:paraId="2930AC4A" w14:textId="77777777" w:rsidR="006117D9" w:rsidRDefault="006117D9">
      <w:pPr>
        <w:ind w:right="-734"/>
        <w:rPr>
          <w:rFonts w:ascii="Palatino Linotype" w:eastAsia="Palatino Linotype" w:hAnsi="Palatino Linotype" w:cs="Palatino Linotype"/>
          <w:color w:val="000000"/>
        </w:rPr>
      </w:pPr>
    </w:p>
    <w:p w14:paraId="4B4E5592" w14:textId="77777777" w:rsidR="006117D9" w:rsidRDefault="004C641C">
      <w:pPr>
        <w:numPr>
          <w:ilvl w:val="0"/>
          <w:numId w:val="1"/>
        </w:numPr>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Sirve </w:t>
      </w:r>
      <w:r>
        <w:rPr>
          <w:rFonts w:ascii="Palatino Linotype" w:eastAsia="Palatino Linotype" w:hAnsi="Palatino Linotype" w:cs="Palatino Linotype"/>
        </w:rPr>
        <w:t>de sustento a lo anterior la siguiente jurisprudencia por contradicción, cuyo rubro, texto y datos de identificación son los siguientes</w:t>
      </w:r>
      <w:r>
        <w:rPr>
          <w:rFonts w:ascii="Palatino Linotype" w:eastAsia="Palatino Linotype" w:hAnsi="Palatino Linotype" w:cs="Palatino Linotype"/>
          <w:color w:val="000000"/>
        </w:rPr>
        <w:t>:</w:t>
      </w:r>
    </w:p>
    <w:p w14:paraId="17358ED8" w14:textId="77777777" w:rsidR="006117D9" w:rsidRDefault="004C641C">
      <w:pPr>
        <w:pBdr>
          <w:top w:val="nil"/>
          <w:left w:val="nil"/>
          <w:bottom w:val="nil"/>
          <w:right w:val="nil"/>
          <w:between w:val="nil"/>
        </w:pBdr>
        <w:spacing w:after="240"/>
        <w:ind w:left="567"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CESACIÓN DE EFECTOS DEL ACTO RECLAMADO POR VIOLACIÓN AL ARTÍCULO 8o. DE LA CONSTITUCIÓN POLÍTICA DE LOS ESTADOS UNIDOS MEXICANOS. OPERA CUANDO LA AUTORIDAD RESPONSABLE AL RENDIR SU INFORME JUSTIFICADO EXHIBE LA CONTESTACIÓN A LA PETICIÓN FORMULADA, QUEDANDO EXPEDITOS LOS DERECHOS DEL QUEJOSO PARA AMPLIAR SU DEMANDA INICIAL, PROMOVER OTRO JUICIO DE AMPARO O EL MEDIO ORDINARIO DE DEFENSA QUE PROCEDA.</w:t>
      </w:r>
      <w:r>
        <w:rPr>
          <w:rFonts w:ascii="Palatino Linotype" w:eastAsia="Palatino Linotype" w:hAnsi="Palatino Linotype" w:cs="Palatino Linotype"/>
          <w:i/>
          <w:sz w:val="22"/>
          <w:szCs w:val="22"/>
        </w:rPr>
        <w:t xml:space="preserve"> De la interpretación de los artículos 73, fracción XVI y 80 de la Ley de Amparo, se concluye que la causa de improcedencia del juicio de garantías consistente en la cesación de efectos del acto reclamado, se actualiza cuando ante la insubsistencia del mismo, todos sus efectos desaparecen o se destruyen de forma inmediata, total e incondicionalmente, de manera que las cosas vuelvan al estado que tenían antes de la violación constitucional. Ahora bien, el hecho de que la autoridad responsable al rendir su informe justificado exhiba la respuesta expresa a la petición de la parte quejosa, producida durante la tramitación del juicio de amparo, significa, por una parte, que los efectos de la falta de contestación desaparecieron, de manera que las cosas volvieron al estado que tenían antes de la violación al artículo 8o. de la Constitución Política de los Estados Unidos Mexicanos, y por otra, que respecto del contenido de dicha contestación, el quejoso puede ampliar su </w:t>
      </w:r>
      <w:r>
        <w:rPr>
          <w:rFonts w:ascii="Palatino Linotype" w:eastAsia="Palatino Linotype" w:hAnsi="Palatino Linotype" w:cs="Palatino Linotype"/>
          <w:i/>
          <w:sz w:val="22"/>
          <w:szCs w:val="22"/>
        </w:rPr>
        <w:lastRenderedPageBreak/>
        <w:t>demanda inicial, promover otro juicio de amparo o el medio ordinario de defensa que proceda, toda vez que se trata de un nuevo acto.</w:t>
      </w:r>
    </w:p>
    <w:p w14:paraId="7CB5AEE9" w14:textId="77777777" w:rsidR="006117D9" w:rsidRDefault="006117D9">
      <w:pPr>
        <w:pBdr>
          <w:top w:val="nil"/>
          <w:left w:val="nil"/>
          <w:bottom w:val="nil"/>
          <w:right w:val="nil"/>
          <w:between w:val="nil"/>
        </w:pBdr>
        <w:spacing w:after="240"/>
        <w:ind w:left="567" w:right="115"/>
        <w:jc w:val="both"/>
        <w:rPr>
          <w:rFonts w:ascii="Palatino Linotype" w:eastAsia="Palatino Linotype" w:hAnsi="Palatino Linotype" w:cs="Palatino Linotype"/>
          <w:i/>
          <w:sz w:val="22"/>
          <w:szCs w:val="22"/>
        </w:rPr>
      </w:pPr>
    </w:p>
    <w:p w14:paraId="6104148F" w14:textId="77777777" w:rsidR="006117D9" w:rsidRDefault="004C641C">
      <w:pPr>
        <w:numPr>
          <w:ilvl w:val="0"/>
          <w:numId w:val="1"/>
        </w:numPr>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La </w:t>
      </w:r>
      <w:r>
        <w:rPr>
          <w:rFonts w:ascii="Palatino Linotype" w:eastAsia="Palatino Linotype" w:hAnsi="Palatino Linotype" w:cs="Palatino Linotype"/>
        </w:rPr>
        <w:t>anterior jurisprudencia resulta aplicable al presente asunto, en dos aspectos:</w:t>
      </w:r>
    </w:p>
    <w:p w14:paraId="74958BC9" w14:textId="77777777" w:rsidR="006117D9" w:rsidRDefault="004C641C">
      <w:pPr>
        <w:numPr>
          <w:ilvl w:val="0"/>
          <w:numId w:val="4"/>
        </w:numPr>
        <w:ind w:left="567" w:right="257"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La cesación de los efectos perniciosos del acto de autoridad:</w:t>
      </w:r>
      <w:r>
        <w:rPr>
          <w:rFonts w:ascii="Palatino Linotype" w:eastAsia="Palatino Linotype" w:hAnsi="Palatino Linotype" w:cs="Palatino Linotype"/>
          <w:sz w:val="22"/>
          <w:szCs w:val="22"/>
        </w:rPr>
        <w:t xml:space="preserve"> Al respecto, la Ley de Transparencia contempla la figura jurídica del sobreseimiento cuando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de </w:t>
      </w:r>
      <w:r>
        <w:rPr>
          <w:rFonts w:ascii="Palatino Linotype" w:eastAsia="Palatino Linotype" w:hAnsi="Palatino Linotype" w:cs="Palatino Linotype"/>
          <w:i/>
          <w:sz w:val="22"/>
          <w:szCs w:val="22"/>
        </w:rPr>
        <w:t>motu proprio</w:t>
      </w:r>
      <w:r>
        <w:rPr>
          <w:rFonts w:ascii="Palatino Linotype" w:eastAsia="Palatino Linotype" w:hAnsi="Palatino Linotype" w:cs="Palatino Linotype"/>
          <w:sz w:val="22"/>
          <w:szCs w:val="22"/>
        </w:rPr>
        <w:t xml:space="preserve"> modifica o revoca de tal manera el acto motivo de la impugnación que lo deja sin materia; es decir, cesan los efectos de éste y el derecho de acceso a la información pública se encuentra satisfecho.</w:t>
      </w:r>
    </w:p>
    <w:p w14:paraId="2820960E" w14:textId="77777777" w:rsidR="006117D9" w:rsidRDefault="006117D9">
      <w:pPr>
        <w:ind w:left="567" w:right="257"/>
        <w:rPr>
          <w:rFonts w:ascii="Palatino Linotype" w:eastAsia="Palatino Linotype" w:hAnsi="Palatino Linotype" w:cs="Palatino Linotype"/>
          <w:sz w:val="22"/>
          <w:szCs w:val="22"/>
        </w:rPr>
      </w:pPr>
    </w:p>
    <w:p w14:paraId="052970A1" w14:textId="77777777" w:rsidR="006117D9" w:rsidRDefault="004C641C">
      <w:pPr>
        <w:numPr>
          <w:ilvl w:val="0"/>
          <w:numId w:val="4"/>
        </w:numPr>
        <w:ind w:left="567" w:right="257"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El momento procesal para modificar el acto impugnado:</w:t>
      </w:r>
      <w:r>
        <w:rPr>
          <w:rFonts w:ascii="Palatino Linotype" w:eastAsia="Palatino Linotype" w:hAnsi="Palatino Linotype" w:cs="Palatino Linotype"/>
          <w:sz w:val="22"/>
          <w:szCs w:val="22"/>
        </w:rPr>
        <w:t xml:space="preserve"> Para que se actualice el sobreseimiento de un recurso de revisión,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puede entregar o completar la información al momento de rendir su informe de justificación o </w:t>
      </w:r>
      <w:r>
        <w:rPr>
          <w:rFonts w:ascii="Palatino Linotype" w:eastAsia="Palatino Linotype" w:hAnsi="Palatino Linotype" w:cs="Palatino Linotype"/>
          <w:b/>
          <w:sz w:val="22"/>
          <w:szCs w:val="22"/>
          <w:u w:val="single"/>
        </w:rPr>
        <w:t>posteriormente</w:t>
      </w:r>
      <w:r>
        <w:rPr>
          <w:rFonts w:ascii="Palatino Linotype" w:eastAsia="Palatino Linotype" w:hAnsi="Palatino Linotype" w:cs="Palatino Linotype"/>
          <w:sz w:val="22"/>
          <w:szCs w:val="22"/>
        </w:rPr>
        <w:t xml:space="preserve"> a éste, siempre y cuando el Pleno del Instituto no haya dictado resolución definitiva.</w:t>
      </w:r>
    </w:p>
    <w:p w14:paraId="21D2864A" w14:textId="77777777" w:rsidR="006117D9" w:rsidRDefault="006117D9">
      <w:pPr>
        <w:spacing w:line="360" w:lineRule="auto"/>
        <w:ind w:right="-734"/>
        <w:jc w:val="both"/>
        <w:rPr>
          <w:rFonts w:ascii="Palatino Linotype" w:eastAsia="Palatino Linotype" w:hAnsi="Palatino Linotype" w:cs="Palatino Linotype"/>
        </w:rPr>
      </w:pPr>
    </w:p>
    <w:p w14:paraId="24768865" w14:textId="77777777" w:rsidR="006117D9" w:rsidRDefault="004C641C">
      <w:pPr>
        <w:numPr>
          <w:ilvl w:val="0"/>
          <w:numId w:val="1"/>
        </w:numPr>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Eduardo Pallares, </w:t>
      </w:r>
      <w:r>
        <w:rPr>
          <w:rFonts w:ascii="Palatino Linotype" w:eastAsia="Palatino Linotype" w:hAnsi="Palatino Linotype" w:cs="Palatino Linotype"/>
        </w:rPr>
        <w:t xml:space="preserve">en su artículo </w:t>
      </w:r>
      <w:r>
        <w:rPr>
          <w:rFonts w:ascii="Palatino Linotype" w:eastAsia="Palatino Linotype" w:hAnsi="Palatino Linotype" w:cs="Palatino Linotype"/>
          <w:i/>
        </w:rPr>
        <w:t>“La caducidad y el sobreseimiento en el amparo”</w:t>
      </w:r>
      <w:r>
        <w:rPr>
          <w:rFonts w:ascii="Palatino Linotype" w:eastAsia="Palatino Linotype" w:hAnsi="Palatino Linotype" w:cs="Palatino Linotype"/>
        </w:rPr>
        <w:t xml:space="preserve">, cita la definición de Aguilera Paz, aduciendo que se </w:t>
      </w:r>
      <w:r>
        <w:rPr>
          <w:rFonts w:ascii="Palatino Linotype" w:eastAsia="Palatino Linotype" w:hAnsi="Palatino Linotype" w:cs="Palatino Linotype"/>
          <w:i/>
        </w:rPr>
        <w:t>“...entiende por sobreseimiento en el tecnicismo forense, el hecho de cesar en el procedimiento o curso de la causa, por no existir méritos bastantes para entrar en un juicio o para entablar la contienda judicial que debe ser objeto del mismo...”</w:t>
      </w:r>
      <w:r>
        <w:rPr>
          <w:rFonts w:ascii="Palatino Linotype" w:eastAsia="Palatino Linotype" w:hAnsi="Palatino Linotype" w:cs="Palatino Linotype"/>
        </w:rPr>
        <w:t>. Asimismo, señala que existe el sobreseimiento provisional y el definitivo</w:t>
      </w:r>
      <w:r>
        <w:rPr>
          <w:rFonts w:ascii="Palatino Linotype" w:eastAsia="Palatino Linotype" w:hAnsi="Palatino Linotype" w:cs="Palatino Linotype"/>
          <w:i/>
        </w:rPr>
        <w:t>: “...el definitivo es una verdadera sentencia que pone fin al juicio, y que una vez dictada, produce cosa juzgada, mientras que el provisorio tiene por efectos suspender la prosecución de la causa...”</w:t>
      </w:r>
    </w:p>
    <w:p w14:paraId="725B576A" w14:textId="77777777" w:rsidR="006117D9" w:rsidRDefault="004C641C">
      <w:pPr>
        <w:numPr>
          <w:ilvl w:val="0"/>
          <w:numId w:val="1"/>
        </w:numPr>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Así, </w:t>
      </w:r>
      <w:r>
        <w:rPr>
          <w:rFonts w:ascii="Palatino Linotype" w:eastAsia="Palatino Linotype" w:hAnsi="Palatino Linotype" w:cs="Palatino Linotype"/>
        </w:rPr>
        <w:t xml:space="preserve">para la doctrina el sobreseimiento provoca que un procedimiento se suspenda o se resuelva en definitiva </w:t>
      </w:r>
      <w:r>
        <w:rPr>
          <w:rFonts w:ascii="Palatino Linotype" w:eastAsia="Palatino Linotype" w:hAnsi="Palatino Linotype" w:cs="Palatino Linotype"/>
          <w:b/>
        </w:rPr>
        <w:t xml:space="preserve">sin que se entre al estudio de los agravios o motivos de inconformidad. </w:t>
      </w:r>
      <w:r>
        <w:rPr>
          <w:rFonts w:ascii="Palatino Linotype" w:eastAsia="Palatino Linotype" w:hAnsi="Palatino Linotype" w:cs="Palatino Linotype"/>
        </w:rPr>
        <w:t>Este mismo criterio es compartido por el más alto tribunal del país en múltiples jurisprudencias, por lo que a continuación se agrega una de ellas que sirve como orientador en esta resolución:</w:t>
      </w:r>
    </w:p>
    <w:p w14:paraId="35357DB6" w14:textId="77777777" w:rsidR="006117D9" w:rsidRDefault="004C641C">
      <w:pPr>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SOBRESEIMIENTO EN EL JUICIO DE AMPARO DIRECTO. IMPIDE EL ESTUDIO DE LAS VIOLACIONES PROCESALES PLANTEADAS EN LOS CONCEPTOS DE VIOLACIÓN. El sobreseimiento</w:t>
      </w:r>
      <w:r>
        <w:rPr>
          <w:rFonts w:ascii="Palatino Linotype" w:eastAsia="Palatino Linotype" w:hAnsi="Palatino Linotype" w:cs="Palatino Linotype"/>
          <w:i/>
          <w:sz w:val="22"/>
          <w:szCs w:val="22"/>
        </w:rPr>
        <w:t xml:space="preserve"> en el juicio de amparo directo </w:t>
      </w:r>
      <w:r>
        <w:rPr>
          <w:rFonts w:ascii="Palatino Linotype" w:eastAsia="Palatino Linotype" w:hAnsi="Palatino Linotype" w:cs="Palatino Linotype"/>
          <w:b/>
          <w:i/>
          <w:sz w:val="22"/>
          <w:szCs w:val="22"/>
        </w:rPr>
        <w:t>provoca la terminación de la controversia planteada</w:t>
      </w:r>
      <w:r>
        <w:rPr>
          <w:rFonts w:ascii="Palatino Linotype" w:eastAsia="Palatino Linotype" w:hAnsi="Palatino Linotype" w:cs="Palatino Linotype"/>
          <w:i/>
          <w:sz w:val="22"/>
          <w:szCs w:val="22"/>
        </w:rPr>
        <w:t xml:space="preserve"> por el quejoso en la demanda de amparo</w:t>
      </w:r>
      <w:r>
        <w:rPr>
          <w:rFonts w:ascii="Palatino Linotype" w:eastAsia="Palatino Linotype" w:hAnsi="Palatino Linotype" w:cs="Palatino Linotype"/>
          <w:b/>
          <w:i/>
          <w:sz w:val="22"/>
          <w:szCs w:val="22"/>
        </w:rPr>
        <w:t>, sin hacer un pronunciamiento de fondo sobre la legalidad o ilegalidad de la sentencia reclamada</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r>
        <w:rPr>
          <w:rFonts w:ascii="Palatino Linotype" w:eastAsia="Palatino Linotype" w:hAnsi="Palatino Linotype" w:cs="Palatino Linotype"/>
          <w:i/>
          <w:sz w:val="22"/>
          <w:szCs w:val="22"/>
        </w:rPr>
        <w:t>.</w:t>
      </w:r>
    </w:p>
    <w:p w14:paraId="602480DD" w14:textId="77777777" w:rsidR="006117D9" w:rsidRDefault="004C641C">
      <w:pPr>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SÉPTIMO TRIBUNAL COLEGIADO EN MATERIA CIVIL DEL PRIMER CIRCUITO.</w:t>
      </w:r>
    </w:p>
    <w:p w14:paraId="73707EA4" w14:textId="77777777" w:rsidR="006117D9" w:rsidRDefault="004C641C">
      <w:pPr>
        <w:ind w:left="567" w:right="257"/>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Amparo directo 699/2008. Mariana Leticia González Steele. 13 de noviembre de 2008. Unanimidad de votos. Ponente: Sara Judith Montalvo Trejo. Secretario: Arnulfo Mateos García.</w:t>
      </w:r>
    </w:p>
    <w:p w14:paraId="3DB74A0C" w14:textId="77777777" w:rsidR="006117D9" w:rsidRDefault="006117D9">
      <w:pPr>
        <w:spacing w:line="360" w:lineRule="auto"/>
        <w:ind w:right="-734"/>
        <w:jc w:val="both"/>
        <w:rPr>
          <w:rFonts w:ascii="Palatino Linotype" w:eastAsia="Palatino Linotype" w:hAnsi="Palatino Linotype" w:cs="Palatino Linotype"/>
        </w:rPr>
      </w:pPr>
    </w:p>
    <w:p w14:paraId="3BA07A90" w14:textId="77777777" w:rsidR="006117D9" w:rsidRDefault="004C641C">
      <w:pPr>
        <w:numPr>
          <w:ilvl w:val="0"/>
          <w:numId w:val="1"/>
        </w:numPr>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Consecuentemente, </w:t>
      </w:r>
      <w:r>
        <w:rPr>
          <w:rFonts w:ascii="Palatino Linotype" w:eastAsia="Palatino Linotype" w:hAnsi="Palatino Linotype" w:cs="Palatino Linotype"/>
        </w:rPr>
        <w:t>por lo que hace a los motivos de inconformidad, los mismos devienen inatendibles por actualizarse la figura del sobreseimiento, misma que impide el estudio de los agravios planteados, máxime que se ha dado cumplimiento al derecho de acceso a la información.</w:t>
      </w:r>
    </w:p>
    <w:p w14:paraId="168AB5BD" w14:textId="77777777" w:rsidR="006117D9" w:rsidRDefault="006117D9">
      <w:pPr>
        <w:spacing w:line="360" w:lineRule="auto"/>
        <w:ind w:right="-734"/>
        <w:jc w:val="both"/>
        <w:rPr>
          <w:rFonts w:ascii="Palatino Linotype" w:eastAsia="Palatino Linotype" w:hAnsi="Palatino Linotype" w:cs="Palatino Linotype"/>
        </w:rPr>
      </w:pPr>
    </w:p>
    <w:p w14:paraId="626ADBD0" w14:textId="77777777" w:rsidR="006117D9" w:rsidRDefault="004C641C">
      <w:pPr>
        <w:numPr>
          <w:ilvl w:val="0"/>
          <w:numId w:val="1"/>
        </w:numPr>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Bajo </w:t>
      </w:r>
      <w:r>
        <w:rPr>
          <w:rFonts w:ascii="Palatino Linotype" w:eastAsia="Palatino Linotype" w:hAnsi="Palatino Linotype" w:cs="Palatino Linotype"/>
        </w:rPr>
        <w:t xml:space="preserve">ese tenor y en términos del artículo 186 fracción I este Pleno determina el </w:t>
      </w:r>
      <w:r>
        <w:rPr>
          <w:rFonts w:ascii="Palatino Linotype" w:eastAsia="Palatino Linotype" w:hAnsi="Palatino Linotype" w:cs="Palatino Linotype"/>
          <w:b/>
        </w:rPr>
        <w:t xml:space="preserve">SOBRESEIMIENTO </w:t>
      </w:r>
      <w:r>
        <w:rPr>
          <w:rFonts w:ascii="Palatino Linotype" w:eastAsia="Palatino Linotype" w:hAnsi="Palatino Linotype" w:cs="Palatino Linotype"/>
        </w:rPr>
        <w:t>del presente recurso de revisión, toda vez que la afectación al derecho de acceso a la información pública establecido constitucionalmente a favor del Particular ha sido resarcida.</w:t>
      </w:r>
    </w:p>
    <w:p w14:paraId="387FB7B2" w14:textId="77777777" w:rsidR="006117D9" w:rsidRPr="008D5130" w:rsidRDefault="004C641C" w:rsidP="008D5130">
      <w:pPr>
        <w:numPr>
          <w:ilvl w:val="0"/>
          <w:numId w:val="1"/>
        </w:numPr>
        <w:spacing w:line="360" w:lineRule="auto"/>
        <w:ind w:left="0" w:right="-734" w:firstLine="0"/>
        <w:jc w:val="both"/>
        <w:rPr>
          <w:rFonts w:ascii="Palatino Linotype" w:eastAsia="Palatino Linotype" w:hAnsi="Palatino Linotype" w:cs="Palatino Linotype"/>
        </w:rPr>
      </w:pPr>
      <w:bookmarkStart w:id="4" w:name="_heading=h.3rdcrjn" w:colFirst="0" w:colLast="0"/>
      <w:bookmarkEnd w:id="4"/>
      <w:r>
        <w:rPr>
          <w:rFonts w:ascii="Palatino Linotype" w:eastAsia="Palatino Linotype" w:hAnsi="Palatino Linotype" w:cs="Palatino Linotype"/>
          <w:color w:val="222222"/>
        </w:rPr>
        <w:t xml:space="preserve">Por lo anteriormente expuesto y fundado, este </w:t>
      </w:r>
      <w:r>
        <w:rPr>
          <w:rFonts w:ascii="Palatino Linotype" w:eastAsia="Palatino Linotype" w:hAnsi="Palatino Linotype" w:cs="Palatino Linotype"/>
          <w:b/>
          <w:color w:val="222222"/>
        </w:rPr>
        <w:t>ÓRGANO GARANTE</w:t>
      </w:r>
      <w:r>
        <w:rPr>
          <w:rFonts w:ascii="Palatino Linotype" w:eastAsia="Palatino Linotype" w:hAnsi="Palatino Linotype" w:cs="Palatino Linotype"/>
          <w:color w:val="222222"/>
        </w:rPr>
        <w:t xml:space="preserve"> emite los siguientes:</w:t>
      </w:r>
    </w:p>
    <w:p w14:paraId="16B6E82E" w14:textId="77777777" w:rsidR="006117D9" w:rsidRDefault="004C641C">
      <w:pPr>
        <w:keepNext/>
        <w:keepLines/>
        <w:spacing w:line="360" w:lineRule="auto"/>
        <w:ind w:right="-734"/>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lastRenderedPageBreak/>
        <w:t>R E S O L U T I V O S</w:t>
      </w:r>
    </w:p>
    <w:p w14:paraId="01F5EF40" w14:textId="77777777" w:rsidR="006117D9" w:rsidRDefault="006117D9">
      <w:pPr>
        <w:keepNext/>
        <w:keepLines/>
        <w:spacing w:line="360" w:lineRule="auto"/>
        <w:ind w:right="-734"/>
        <w:jc w:val="center"/>
        <w:rPr>
          <w:rFonts w:ascii="Palatino Linotype" w:eastAsia="Palatino Linotype" w:hAnsi="Palatino Linotype" w:cs="Palatino Linotype"/>
          <w:b/>
        </w:rPr>
      </w:pPr>
    </w:p>
    <w:p w14:paraId="52E8291D" w14:textId="77777777" w:rsidR="006117D9" w:rsidRDefault="004C641C">
      <w:pPr>
        <w:spacing w:line="360" w:lineRule="auto"/>
        <w:ind w:right="-734"/>
        <w:jc w:val="both"/>
        <w:rPr>
          <w:rFonts w:ascii="Palatino Linotype" w:eastAsia="Palatino Linotype" w:hAnsi="Palatino Linotype" w:cs="Palatino Linotype"/>
        </w:rPr>
      </w:pPr>
      <w:r>
        <w:rPr>
          <w:rFonts w:ascii="Palatino Linotype" w:eastAsia="Palatino Linotype" w:hAnsi="Palatino Linotype" w:cs="Palatino Linotype"/>
          <w:b/>
        </w:rPr>
        <w:t xml:space="preserve">PRIMERO. </w:t>
      </w:r>
      <w:r>
        <w:rPr>
          <w:rFonts w:ascii="Palatino Linotype" w:eastAsia="Palatino Linotype" w:hAnsi="Palatino Linotype" w:cs="Palatino Linotype"/>
        </w:rPr>
        <w:t xml:space="preserve">Se </w:t>
      </w:r>
      <w:r>
        <w:rPr>
          <w:rFonts w:ascii="Palatino Linotype" w:eastAsia="Palatino Linotype" w:hAnsi="Palatino Linotype" w:cs="Palatino Linotype"/>
          <w:b/>
        </w:rPr>
        <w:t xml:space="preserve">SOBRESEE </w:t>
      </w:r>
      <w:r>
        <w:rPr>
          <w:rFonts w:ascii="Palatino Linotype" w:eastAsia="Palatino Linotype" w:hAnsi="Palatino Linotype" w:cs="Palatino Linotype"/>
        </w:rPr>
        <w:t xml:space="preserve">el recurso de revisión número </w:t>
      </w:r>
      <w:r>
        <w:rPr>
          <w:rFonts w:ascii="Palatino Linotype" w:eastAsia="Palatino Linotype" w:hAnsi="Palatino Linotype" w:cs="Palatino Linotype"/>
          <w:b/>
        </w:rPr>
        <w:t xml:space="preserve">00073/INFOEM/IP/RR/2024 </w:t>
      </w:r>
      <w:r>
        <w:rPr>
          <w:rFonts w:ascii="Palatino Linotype" w:eastAsia="Palatino Linotype" w:hAnsi="Palatino Linotype" w:cs="Palatino Linotype"/>
        </w:rPr>
        <w:t>de conformidad con el artículo 192, fracción III</w:t>
      </w:r>
      <w:r w:rsidR="008D5130">
        <w:rPr>
          <w:rFonts w:ascii="Palatino Linotype" w:eastAsia="Palatino Linotype" w:hAnsi="Palatino Linotype" w:cs="Palatino Linotype"/>
        </w:rPr>
        <w:t>,</w:t>
      </w:r>
      <w:r>
        <w:rPr>
          <w:rFonts w:ascii="Palatino Linotype" w:eastAsia="Palatino Linotype" w:hAnsi="Palatino Linotype" w:cs="Palatino Linotype"/>
        </w:rPr>
        <w:t xml:space="preserve"> de la Ley de Transparencia y Acceso a la Información Pública del Estado de México y Municipios, en términos del Considerando </w:t>
      </w:r>
      <w:r>
        <w:rPr>
          <w:rFonts w:ascii="Palatino Linotype" w:eastAsia="Palatino Linotype" w:hAnsi="Palatino Linotype" w:cs="Palatino Linotype"/>
          <w:b/>
        </w:rPr>
        <w:t>TERCERO</w:t>
      </w:r>
      <w:r>
        <w:rPr>
          <w:rFonts w:ascii="Palatino Linotype" w:eastAsia="Palatino Linotype" w:hAnsi="Palatino Linotype" w:cs="Palatino Linotype"/>
        </w:rPr>
        <w:t xml:space="preserve"> de la presente resolución.</w:t>
      </w:r>
    </w:p>
    <w:p w14:paraId="2F7E2697" w14:textId="77777777" w:rsidR="006117D9" w:rsidRDefault="006117D9">
      <w:pPr>
        <w:spacing w:line="360" w:lineRule="auto"/>
        <w:ind w:right="-734"/>
        <w:jc w:val="both"/>
        <w:rPr>
          <w:rFonts w:ascii="Palatino Linotype" w:eastAsia="Palatino Linotype" w:hAnsi="Palatino Linotype" w:cs="Palatino Linotype"/>
        </w:rPr>
      </w:pPr>
    </w:p>
    <w:p w14:paraId="159B2C4D" w14:textId="77777777" w:rsidR="006117D9" w:rsidRDefault="004C641C">
      <w:pPr>
        <w:spacing w:line="360" w:lineRule="auto"/>
        <w:ind w:right="-734"/>
        <w:jc w:val="both"/>
        <w:rPr>
          <w:rFonts w:ascii="Palatino Linotype" w:eastAsia="Palatino Linotype" w:hAnsi="Palatino Linotype" w:cs="Palatino Linotype"/>
        </w:rPr>
      </w:pPr>
      <w:r>
        <w:rPr>
          <w:rFonts w:ascii="Palatino Linotype" w:eastAsia="Palatino Linotype" w:hAnsi="Palatino Linotype" w:cs="Palatino Linotype"/>
          <w:b/>
          <w:color w:val="000000"/>
        </w:rPr>
        <w:t xml:space="preserve">SEGUNDO. REMÍTASE </w:t>
      </w:r>
      <w:r>
        <w:rPr>
          <w:rFonts w:ascii="Palatino Linotype" w:eastAsia="Palatino Linotype" w:hAnsi="Palatino Linotype" w:cs="Palatino Linotype"/>
          <w:color w:val="000000"/>
        </w:rPr>
        <w:t xml:space="preserve">a través del Sistema de Acceso a la Información Mexiquense </w:t>
      </w:r>
      <w:r>
        <w:rPr>
          <w:rFonts w:ascii="Palatino Linotype" w:eastAsia="Palatino Linotype" w:hAnsi="Palatino Linotype" w:cs="Palatino Linotype"/>
          <w:b/>
          <w:color w:val="000000"/>
        </w:rPr>
        <w:t xml:space="preserve">(SAIMEX) </w:t>
      </w:r>
      <w:r>
        <w:rPr>
          <w:rFonts w:ascii="Palatino Linotype" w:eastAsia="Palatino Linotype" w:hAnsi="Palatino Linotype" w:cs="Palatino Linotype"/>
          <w:color w:val="000000"/>
        </w:rPr>
        <w:t>la presente resolución al Titular de la Unidad de Transparencia del</w:t>
      </w:r>
      <w:r>
        <w:rPr>
          <w:rFonts w:ascii="Palatino Linotype" w:eastAsia="Palatino Linotype" w:hAnsi="Palatino Linotype" w:cs="Palatino Linotype"/>
          <w:b/>
          <w:color w:val="000000"/>
        </w:rPr>
        <w:t xml:space="preserve"> SUJETO OBLIGADO.</w:t>
      </w:r>
    </w:p>
    <w:p w14:paraId="7CFF3759" w14:textId="77777777" w:rsidR="006117D9" w:rsidRDefault="006117D9">
      <w:pPr>
        <w:pBdr>
          <w:top w:val="nil"/>
          <w:left w:val="nil"/>
          <w:bottom w:val="nil"/>
          <w:right w:val="nil"/>
          <w:between w:val="nil"/>
        </w:pBdr>
        <w:spacing w:line="360" w:lineRule="auto"/>
        <w:ind w:right="-734"/>
        <w:jc w:val="both"/>
        <w:rPr>
          <w:rFonts w:ascii="Palatino Linotype" w:eastAsia="Palatino Linotype" w:hAnsi="Palatino Linotype" w:cs="Palatino Linotype"/>
          <w:b/>
          <w:color w:val="000000"/>
        </w:rPr>
      </w:pPr>
    </w:p>
    <w:p w14:paraId="65FB4611" w14:textId="77777777" w:rsidR="006117D9" w:rsidRDefault="004C641C">
      <w:pPr>
        <w:pBdr>
          <w:top w:val="nil"/>
          <w:left w:val="nil"/>
          <w:bottom w:val="nil"/>
          <w:right w:val="nil"/>
          <w:between w:val="nil"/>
        </w:pBdr>
        <w:spacing w:line="360" w:lineRule="auto"/>
        <w:ind w:right="-734"/>
        <w:jc w:val="both"/>
        <w:rPr>
          <w:rFonts w:ascii="Palatino Linotype" w:eastAsia="Palatino Linotype" w:hAnsi="Palatino Linotype" w:cs="Palatino Linotype"/>
          <w:b/>
          <w:color w:val="000000"/>
        </w:rPr>
      </w:pPr>
      <w:r>
        <w:rPr>
          <w:rFonts w:ascii="Palatino Linotype" w:eastAsia="Palatino Linotype" w:hAnsi="Palatino Linotype" w:cs="Palatino Linotype"/>
          <w:b/>
        </w:rPr>
        <w:t xml:space="preserve">TERCERO. Notifíquese </w:t>
      </w:r>
      <w:r>
        <w:rPr>
          <w:rFonts w:ascii="Palatino Linotype" w:eastAsia="Palatino Linotype" w:hAnsi="Palatino Linotype" w:cs="Palatino Linotype"/>
        </w:rPr>
        <w:t xml:space="preserve">el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la presente resolución a través del Sistema de Acceso a la Información Mexiquense </w:t>
      </w:r>
      <w:r>
        <w:rPr>
          <w:rFonts w:ascii="Palatino Linotype" w:eastAsia="Palatino Linotype" w:hAnsi="Palatino Linotype" w:cs="Palatino Linotype"/>
          <w:b/>
        </w:rPr>
        <w:t>(SAIMEX).</w:t>
      </w:r>
    </w:p>
    <w:p w14:paraId="73BBFA60" w14:textId="77777777" w:rsidR="006117D9" w:rsidRDefault="006117D9">
      <w:pPr>
        <w:tabs>
          <w:tab w:val="left" w:pos="8080"/>
        </w:tabs>
        <w:spacing w:line="360" w:lineRule="auto"/>
        <w:ind w:right="-734"/>
        <w:jc w:val="both"/>
        <w:rPr>
          <w:rFonts w:ascii="Palatino Linotype" w:eastAsia="Palatino Linotype" w:hAnsi="Palatino Linotype" w:cs="Palatino Linotype"/>
          <w:b/>
        </w:rPr>
      </w:pPr>
    </w:p>
    <w:p w14:paraId="0D812CEA" w14:textId="77777777" w:rsidR="006117D9" w:rsidRDefault="004C641C">
      <w:pPr>
        <w:tabs>
          <w:tab w:val="left" w:pos="8080"/>
        </w:tabs>
        <w:spacing w:line="360" w:lineRule="auto"/>
        <w:ind w:right="-734"/>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CUARTO. </w:t>
      </w:r>
      <w:r>
        <w:rPr>
          <w:rFonts w:ascii="Palatino Linotype" w:eastAsia="Palatino Linotype" w:hAnsi="Palatino Linotype" w:cs="Palatino Linotype"/>
          <w:color w:val="000000"/>
        </w:rPr>
        <w:t xml:space="preserve">Se hace del conocimiento del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que, de conformidad con lo establecido en el artículo 196 de la Ley de Transparencia y Acceso a la Información Pública del Estado de México y Municipios, en caso de que considere que la resolución le cause algún perjuicio podrá </w:t>
      </w:r>
      <w:r>
        <w:rPr>
          <w:rFonts w:ascii="Palatino Linotype" w:eastAsia="Palatino Linotype" w:hAnsi="Palatino Linotype" w:cs="Palatino Linotype"/>
        </w:rPr>
        <w:t>impugnar vía</w:t>
      </w:r>
      <w:r>
        <w:rPr>
          <w:rFonts w:ascii="Palatino Linotype" w:eastAsia="Palatino Linotype" w:hAnsi="Palatino Linotype" w:cs="Palatino Linotype"/>
          <w:color w:val="000000"/>
        </w:rPr>
        <w:t xml:space="preserve"> juicio de amparo en los términos de las leyes aplicables.</w:t>
      </w:r>
    </w:p>
    <w:p w14:paraId="2FA4C02F" w14:textId="77777777" w:rsidR="008D5130" w:rsidRDefault="008D5130">
      <w:pPr>
        <w:tabs>
          <w:tab w:val="left" w:pos="8080"/>
        </w:tabs>
        <w:spacing w:line="360" w:lineRule="auto"/>
        <w:ind w:right="-734"/>
        <w:jc w:val="both"/>
        <w:rPr>
          <w:rFonts w:ascii="Palatino Linotype" w:eastAsia="Palatino Linotype" w:hAnsi="Palatino Linotype" w:cs="Palatino Linotype"/>
          <w:b/>
        </w:rPr>
      </w:pPr>
    </w:p>
    <w:p w14:paraId="5E6DA73C" w14:textId="77777777" w:rsidR="002A52C0" w:rsidRDefault="008D5130" w:rsidP="008D5130">
      <w:pPr>
        <w:spacing w:line="360" w:lineRule="auto"/>
        <w:ind w:left="-142" w:right="-234" w:firstLine="1"/>
        <w:jc w:val="both"/>
        <w:rPr>
          <w:rFonts w:ascii="Palatino Linotype" w:hAnsi="Palatino Linotype"/>
        </w:rPr>
      </w:pPr>
      <w:r w:rsidRPr="003C7186">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w:t>
      </w:r>
      <w:r w:rsidRPr="003C7186">
        <w:rPr>
          <w:rFonts w:ascii="Palatino Linotype" w:hAnsi="Palatino Linotype"/>
        </w:rPr>
        <w:lastRenderedPageBreak/>
        <w:t>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OCTAVA </w:t>
      </w:r>
      <w:r w:rsidRPr="003C7186">
        <w:rPr>
          <w:rFonts w:ascii="Palatino Linotype" w:hAnsi="Palatino Linotype"/>
        </w:rPr>
        <w:t xml:space="preserve">SESIÓN ORDINARIA CELEBRADA EL </w:t>
      </w:r>
      <w:r>
        <w:rPr>
          <w:rFonts w:ascii="Palatino Linotype" w:hAnsi="Palatino Linotype"/>
        </w:rPr>
        <w:t>SEIS</w:t>
      </w:r>
      <w:r w:rsidRPr="003C7186">
        <w:rPr>
          <w:rFonts w:ascii="Palatino Linotype" w:hAnsi="Palatino Linotype"/>
        </w:rPr>
        <w:t xml:space="preserve"> </w:t>
      </w:r>
      <w:r>
        <w:rPr>
          <w:rFonts w:ascii="Palatino Linotype" w:hAnsi="Palatino Linotype"/>
        </w:rPr>
        <w:t>(06) DE NOVIEMBRE</w:t>
      </w:r>
      <w:r w:rsidRPr="003C7186">
        <w:rPr>
          <w:rFonts w:ascii="Palatino Linotype" w:hAnsi="Palatino Linotype"/>
        </w:rPr>
        <w:t xml:space="preserve"> DE DOS MIL VEINTICUATRO, ANTE EL SECRETARIO TÉCNICO DEL PLENO ALEXIS TAPIA RAMÍREZ. </w:t>
      </w:r>
    </w:p>
    <w:p w14:paraId="2FB592AC" w14:textId="77777777" w:rsidR="002A52C0" w:rsidRDefault="002A52C0">
      <w:pPr>
        <w:rPr>
          <w:rFonts w:ascii="Palatino Linotype" w:hAnsi="Palatino Linotype"/>
        </w:rPr>
      </w:pPr>
      <w:r>
        <w:rPr>
          <w:rFonts w:ascii="Palatino Linotype" w:hAnsi="Palatino Linotype"/>
        </w:rPr>
        <w:br w:type="page"/>
      </w:r>
    </w:p>
    <w:p w14:paraId="63C89D36" w14:textId="77777777" w:rsidR="008D5130" w:rsidRPr="003C7186" w:rsidRDefault="008D5130" w:rsidP="008D5130">
      <w:pPr>
        <w:spacing w:line="360" w:lineRule="auto"/>
        <w:ind w:left="-142" w:right="-234" w:firstLine="1"/>
        <w:jc w:val="both"/>
        <w:rPr>
          <w:rFonts w:ascii="Palatino Linotype" w:hAnsi="Palatino Linotype"/>
        </w:rPr>
      </w:pPr>
    </w:p>
    <w:p w14:paraId="2243FA75" w14:textId="77777777" w:rsidR="006117D9" w:rsidRDefault="006117D9">
      <w:pPr>
        <w:spacing w:line="360" w:lineRule="auto"/>
        <w:ind w:right="-734"/>
        <w:jc w:val="both"/>
        <w:rPr>
          <w:rFonts w:ascii="Palatino Linotype" w:eastAsia="Palatino Linotype" w:hAnsi="Palatino Linotype" w:cs="Palatino Linotype"/>
        </w:rPr>
      </w:pPr>
    </w:p>
    <w:p w14:paraId="24EC2C2D" w14:textId="77777777" w:rsidR="006117D9" w:rsidRDefault="006117D9">
      <w:pPr>
        <w:spacing w:line="360" w:lineRule="auto"/>
        <w:ind w:right="-734"/>
        <w:jc w:val="both"/>
        <w:rPr>
          <w:rFonts w:ascii="Palatino Linotype" w:eastAsia="Palatino Linotype" w:hAnsi="Palatino Linotype" w:cs="Palatino Linotype"/>
        </w:rPr>
      </w:pPr>
    </w:p>
    <w:p w14:paraId="136793BD" w14:textId="77777777" w:rsidR="006117D9" w:rsidRDefault="006117D9">
      <w:pPr>
        <w:spacing w:line="360" w:lineRule="auto"/>
        <w:ind w:right="-734"/>
        <w:jc w:val="both"/>
        <w:rPr>
          <w:rFonts w:ascii="Palatino Linotype" w:eastAsia="Palatino Linotype" w:hAnsi="Palatino Linotype" w:cs="Palatino Linotype"/>
        </w:rPr>
      </w:pPr>
    </w:p>
    <w:p w14:paraId="079B87E4" w14:textId="77777777" w:rsidR="006117D9" w:rsidRDefault="006117D9">
      <w:pPr>
        <w:spacing w:line="360" w:lineRule="auto"/>
        <w:ind w:right="-734"/>
        <w:jc w:val="both"/>
        <w:rPr>
          <w:rFonts w:ascii="Palatino Linotype" w:eastAsia="Palatino Linotype" w:hAnsi="Palatino Linotype" w:cs="Palatino Linotype"/>
        </w:rPr>
      </w:pPr>
    </w:p>
    <w:p w14:paraId="74B8DB37" w14:textId="77777777" w:rsidR="006117D9" w:rsidRDefault="006117D9">
      <w:pPr>
        <w:spacing w:line="360" w:lineRule="auto"/>
        <w:ind w:right="-734"/>
        <w:jc w:val="both"/>
        <w:rPr>
          <w:rFonts w:ascii="Palatino Linotype" w:eastAsia="Palatino Linotype" w:hAnsi="Palatino Linotype" w:cs="Palatino Linotype"/>
        </w:rPr>
      </w:pPr>
    </w:p>
    <w:p w14:paraId="72BEBF51" w14:textId="77777777" w:rsidR="006117D9" w:rsidRDefault="006117D9">
      <w:pPr>
        <w:spacing w:line="360" w:lineRule="auto"/>
        <w:ind w:right="-734"/>
        <w:jc w:val="both"/>
        <w:rPr>
          <w:rFonts w:ascii="Palatino Linotype" w:eastAsia="Palatino Linotype" w:hAnsi="Palatino Linotype" w:cs="Palatino Linotype"/>
        </w:rPr>
      </w:pPr>
    </w:p>
    <w:p w14:paraId="1ABE8DD3" w14:textId="77777777" w:rsidR="006117D9" w:rsidRDefault="006117D9">
      <w:pPr>
        <w:spacing w:line="360" w:lineRule="auto"/>
        <w:ind w:right="-734"/>
        <w:jc w:val="both"/>
        <w:rPr>
          <w:rFonts w:ascii="Palatino Linotype" w:eastAsia="Palatino Linotype" w:hAnsi="Palatino Linotype" w:cs="Palatino Linotype"/>
        </w:rPr>
      </w:pPr>
    </w:p>
    <w:p w14:paraId="1B5393D3" w14:textId="77777777" w:rsidR="006117D9" w:rsidRDefault="006117D9">
      <w:pPr>
        <w:spacing w:line="360" w:lineRule="auto"/>
        <w:ind w:right="-734"/>
        <w:jc w:val="both"/>
        <w:rPr>
          <w:rFonts w:ascii="Palatino Linotype" w:eastAsia="Palatino Linotype" w:hAnsi="Palatino Linotype" w:cs="Palatino Linotype"/>
        </w:rPr>
      </w:pPr>
    </w:p>
    <w:p w14:paraId="705AB3A8" w14:textId="77777777" w:rsidR="006117D9" w:rsidRDefault="006117D9">
      <w:pPr>
        <w:spacing w:line="360" w:lineRule="auto"/>
        <w:ind w:right="-734"/>
        <w:jc w:val="both"/>
        <w:rPr>
          <w:rFonts w:ascii="Palatino Linotype" w:eastAsia="Palatino Linotype" w:hAnsi="Palatino Linotype" w:cs="Palatino Linotype"/>
        </w:rPr>
      </w:pPr>
    </w:p>
    <w:p w14:paraId="62AB2219" w14:textId="77777777" w:rsidR="006117D9" w:rsidRDefault="006117D9">
      <w:pPr>
        <w:spacing w:line="360" w:lineRule="auto"/>
        <w:ind w:right="-734"/>
        <w:jc w:val="both"/>
        <w:rPr>
          <w:rFonts w:ascii="Palatino Linotype" w:eastAsia="Palatino Linotype" w:hAnsi="Palatino Linotype" w:cs="Palatino Linotype"/>
        </w:rPr>
      </w:pPr>
    </w:p>
    <w:p w14:paraId="5A4812D7" w14:textId="77777777" w:rsidR="006117D9" w:rsidRDefault="006117D9">
      <w:pPr>
        <w:spacing w:line="360" w:lineRule="auto"/>
        <w:ind w:right="-734"/>
        <w:jc w:val="both"/>
        <w:rPr>
          <w:rFonts w:ascii="Palatino Linotype" w:eastAsia="Palatino Linotype" w:hAnsi="Palatino Linotype" w:cs="Palatino Linotype"/>
        </w:rPr>
      </w:pPr>
    </w:p>
    <w:p w14:paraId="1A07A251" w14:textId="77777777" w:rsidR="006117D9" w:rsidRDefault="006117D9">
      <w:pPr>
        <w:spacing w:line="360" w:lineRule="auto"/>
        <w:ind w:right="-734"/>
        <w:rPr>
          <w:rFonts w:ascii="Palatino Linotype" w:eastAsia="Palatino Linotype" w:hAnsi="Palatino Linotype" w:cs="Palatino Linotype"/>
        </w:rPr>
      </w:pPr>
    </w:p>
    <w:p w14:paraId="31EAB998" w14:textId="77777777" w:rsidR="006117D9" w:rsidRDefault="006117D9">
      <w:pPr>
        <w:spacing w:line="360" w:lineRule="auto"/>
        <w:ind w:right="-734"/>
        <w:rPr>
          <w:rFonts w:ascii="Palatino Linotype" w:eastAsia="Palatino Linotype" w:hAnsi="Palatino Linotype" w:cs="Palatino Linotype"/>
        </w:rPr>
      </w:pPr>
    </w:p>
    <w:p w14:paraId="14DED097" w14:textId="77777777" w:rsidR="006117D9" w:rsidRDefault="006117D9">
      <w:pPr>
        <w:spacing w:line="360" w:lineRule="auto"/>
        <w:ind w:right="-734"/>
        <w:rPr>
          <w:rFonts w:ascii="Palatino Linotype" w:eastAsia="Palatino Linotype" w:hAnsi="Palatino Linotype" w:cs="Palatino Linotype"/>
        </w:rPr>
      </w:pPr>
    </w:p>
    <w:p w14:paraId="42F4F890" w14:textId="77777777" w:rsidR="006117D9" w:rsidRDefault="006117D9">
      <w:pPr>
        <w:spacing w:line="360" w:lineRule="auto"/>
        <w:ind w:right="-734"/>
        <w:rPr>
          <w:rFonts w:ascii="Palatino Linotype" w:eastAsia="Palatino Linotype" w:hAnsi="Palatino Linotype" w:cs="Palatino Linotype"/>
        </w:rPr>
      </w:pPr>
    </w:p>
    <w:p w14:paraId="4AF07FA2" w14:textId="77777777" w:rsidR="006117D9" w:rsidRDefault="006117D9">
      <w:pPr>
        <w:spacing w:line="360" w:lineRule="auto"/>
        <w:ind w:right="-734"/>
        <w:rPr>
          <w:rFonts w:ascii="Palatino Linotype" w:eastAsia="Palatino Linotype" w:hAnsi="Palatino Linotype" w:cs="Palatino Linotype"/>
        </w:rPr>
      </w:pPr>
    </w:p>
    <w:p w14:paraId="075D4318" w14:textId="77777777" w:rsidR="006117D9" w:rsidRDefault="006117D9">
      <w:pPr>
        <w:spacing w:line="360" w:lineRule="auto"/>
        <w:ind w:right="-734"/>
        <w:rPr>
          <w:rFonts w:ascii="Palatino Linotype" w:eastAsia="Palatino Linotype" w:hAnsi="Palatino Linotype" w:cs="Palatino Linotype"/>
        </w:rPr>
      </w:pPr>
    </w:p>
    <w:p w14:paraId="1FE3B002" w14:textId="77777777" w:rsidR="006117D9" w:rsidRDefault="006117D9">
      <w:pPr>
        <w:spacing w:line="360" w:lineRule="auto"/>
        <w:ind w:right="-734"/>
        <w:rPr>
          <w:rFonts w:ascii="Palatino Linotype" w:eastAsia="Palatino Linotype" w:hAnsi="Palatino Linotype" w:cs="Palatino Linotype"/>
        </w:rPr>
      </w:pPr>
    </w:p>
    <w:p w14:paraId="7CE410B8" w14:textId="77777777" w:rsidR="006117D9" w:rsidRDefault="006117D9">
      <w:pPr>
        <w:ind w:right="-734"/>
      </w:pPr>
    </w:p>
    <w:sectPr w:rsidR="006117D9">
      <w:headerReference w:type="even" r:id="rId15"/>
      <w:headerReference w:type="default" r:id="rId16"/>
      <w:footerReference w:type="default" r:id="rId17"/>
      <w:headerReference w:type="first" r:id="rId18"/>
      <w:footerReference w:type="first" r:id="rId19"/>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4220D" w14:textId="77777777" w:rsidR="00FF5B03" w:rsidRDefault="00FF5B03">
      <w:r>
        <w:separator/>
      </w:r>
    </w:p>
  </w:endnote>
  <w:endnote w:type="continuationSeparator" w:id="0">
    <w:p w14:paraId="5FCE7153" w14:textId="77777777" w:rsidR="00FF5B03" w:rsidRDefault="00FF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Segoe Print"/>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873C2" w14:textId="77777777" w:rsidR="006117D9" w:rsidRDefault="004C641C">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93010E">
      <w:rPr>
        <w:b/>
        <w:noProof/>
        <w:color w:val="000000"/>
      </w:rPr>
      <w:t>20</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93010E">
      <w:rPr>
        <w:b/>
        <w:noProof/>
        <w:color w:val="000000"/>
      </w:rPr>
      <w:t>20</w:t>
    </w:r>
    <w:r>
      <w:rPr>
        <w:b/>
        <w:color w:val="000000"/>
      </w:rPr>
      <w:fldChar w:fldCharType="end"/>
    </w:r>
  </w:p>
  <w:p w14:paraId="7F6DCF56" w14:textId="77777777" w:rsidR="006117D9" w:rsidRDefault="006117D9">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1626A" w14:textId="77777777" w:rsidR="006117D9" w:rsidRDefault="004C641C">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93010E">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93010E">
      <w:rPr>
        <w:b/>
        <w:noProof/>
        <w:color w:val="000000"/>
      </w:rPr>
      <w:t>20</w:t>
    </w:r>
    <w:r>
      <w:rPr>
        <w:b/>
        <w:color w:val="000000"/>
      </w:rPr>
      <w:fldChar w:fldCharType="end"/>
    </w:r>
  </w:p>
  <w:p w14:paraId="43D9542D" w14:textId="77777777" w:rsidR="006117D9" w:rsidRDefault="006117D9">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7773B" w14:textId="77777777" w:rsidR="00FF5B03" w:rsidRDefault="00FF5B03">
      <w:r>
        <w:separator/>
      </w:r>
    </w:p>
  </w:footnote>
  <w:footnote w:type="continuationSeparator" w:id="0">
    <w:p w14:paraId="480139B7" w14:textId="77777777" w:rsidR="00FF5B03" w:rsidRDefault="00FF5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142F" w14:textId="77777777" w:rsidR="006117D9" w:rsidRDefault="00FF5B03">
    <w:pPr>
      <w:pBdr>
        <w:top w:val="nil"/>
        <w:left w:val="nil"/>
        <w:bottom w:val="nil"/>
        <w:right w:val="nil"/>
        <w:between w:val="nil"/>
      </w:pBdr>
      <w:tabs>
        <w:tab w:val="center" w:pos="4419"/>
        <w:tab w:val="right" w:pos="8838"/>
      </w:tabs>
      <w:rPr>
        <w:color w:val="000000"/>
      </w:rPr>
    </w:pPr>
    <w:r>
      <w:rPr>
        <w:color w:val="000000"/>
      </w:rPr>
      <w:pict w14:anchorId="6C975D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EDC9A" w14:textId="77777777" w:rsidR="006117D9" w:rsidRDefault="006117D9">
    <w:pPr>
      <w:widowControl w:val="0"/>
      <w:pBdr>
        <w:top w:val="nil"/>
        <w:left w:val="nil"/>
        <w:bottom w:val="nil"/>
        <w:right w:val="nil"/>
        <w:between w:val="nil"/>
      </w:pBdr>
      <w:spacing w:line="276" w:lineRule="auto"/>
      <w:rPr>
        <w:color w:val="000000"/>
      </w:rPr>
    </w:pPr>
  </w:p>
  <w:tbl>
    <w:tblPr>
      <w:tblStyle w:val="a"/>
      <w:tblW w:w="9214" w:type="dxa"/>
      <w:tblInd w:w="0" w:type="dxa"/>
      <w:tblLayout w:type="fixed"/>
      <w:tblLook w:val="0400" w:firstRow="0" w:lastRow="0" w:firstColumn="0" w:lastColumn="0" w:noHBand="0" w:noVBand="1"/>
    </w:tblPr>
    <w:tblGrid>
      <w:gridCol w:w="2268"/>
      <w:gridCol w:w="6946"/>
    </w:tblGrid>
    <w:tr w:rsidR="006117D9" w14:paraId="7242E72E" w14:textId="77777777">
      <w:trPr>
        <w:trHeight w:val="1435"/>
      </w:trPr>
      <w:tc>
        <w:tcPr>
          <w:tcW w:w="2268" w:type="dxa"/>
          <w:shd w:val="clear" w:color="auto" w:fill="auto"/>
        </w:tcPr>
        <w:p w14:paraId="69F1C4CD" w14:textId="77777777" w:rsidR="006117D9" w:rsidRDefault="006117D9">
          <w:pPr>
            <w:tabs>
              <w:tab w:val="right" w:pos="4273"/>
            </w:tabs>
            <w:rPr>
              <w:rFonts w:ascii="Garamond" w:eastAsia="Garamond" w:hAnsi="Garamond" w:cs="Garamond"/>
              <w:sz w:val="16"/>
              <w:szCs w:val="16"/>
            </w:rPr>
          </w:pPr>
        </w:p>
      </w:tc>
      <w:tc>
        <w:tcPr>
          <w:tcW w:w="6946" w:type="dxa"/>
          <w:shd w:val="clear" w:color="auto" w:fill="auto"/>
        </w:tcPr>
        <w:p w14:paraId="7B17E9E6" w14:textId="77777777" w:rsidR="006117D9" w:rsidRDefault="006117D9"/>
        <w:tbl>
          <w:tblPr>
            <w:tblStyle w:val="a0"/>
            <w:tblW w:w="6660" w:type="dxa"/>
            <w:tblInd w:w="40" w:type="dxa"/>
            <w:tblLayout w:type="fixed"/>
            <w:tblLook w:val="0400" w:firstRow="0" w:lastRow="0" w:firstColumn="0" w:lastColumn="0" w:noHBand="0" w:noVBand="1"/>
          </w:tblPr>
          <w:tblGrid>
            <w:gridCol w:w="2595"/>
            <w:gridCol w:w="4065"/>
          </w:tblGrid>
          <w:tr w:rsidR="006117D9" w14:paraId="231E4B59" w14:textId="77777777">
            <w:trPr>
              <w:trHeight w:val="150"/>
            </w:trPr>
            <w:tc>
              <w:tcPr>
                <w:tcW w:w="2595" w:type="dxa"/>
                <w:shd w:val="clear" w:color="auto" w:fill="auto"/>
              </w:tcPr>
              <w:p w14:paraId="5F751F4E" w14:textId="77777777" w:rsidR="006117D9" w:rsidRDefault="004C641C">
                <w:pPr>
                  <w:tabs>
                    <w:tab w:val="right" w:pos="8838"/>
                  </w:tabs>
                  <w:ind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065" w:type="dxa"/>
                <w:shd w:val="clear" w:color="auto" w:fill="auto"/>
              </w:tcPr>
              <w:p w14:paraId="2B3ECBD4" w14:textId="77777777" w:rsidR="006117D9" w:rsidRDefault="004C641C">
                <w:pPr>
                  <w:tabs>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00073/INFOEM/IP/RR/2024</w:t>
                </w:r>
              </w:p>
            </w:tc>
          </w:tr>
          <w:tr w:rsidR="006117D9" w14:paraId="2FF7C6CC" w14:textId="77777777">
            <w:trPr>
              <w:trHeight w:val="295"/>
            </w:trPr>
            <w:tc>
              <w:tcPr>
                <w:tcW w:w="2595" w:type="dxa"/>
                <w:shd w:val="clear" w:color="auto" w:fill="auto"/>
              </w:tcPr>
              <w:p w14:paraId="5C3D6C2C" w14:textId="77777777" w:rsidR="006117D9" w:rsidRDefault="004C641C">
                <w:pPr>
                  <w:tabs>
                    <w:tab w:val="right" w:pos="8838"/>
                  </w:tabs>
                  <w:ind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065" w:type="dxa"/>
                <w:shd w:val="clear" w:color="auto" w:fill="auto"/>
              </w:tcPr>
              <w:p w14:paraId="3B6BC1D4" w14:textId="77777777" w:rsidR="006117D9" w:rsidRDefault="004C641C">
                <w:pPr>
                  <w:tabs>
                    <w:tab w:val="left" w:pos="2834"/>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Villa de Allende</w:t>
                </w:r>
              </w:p>
            </w:tc>
          </w:tr>
          <w:tr w:rsidR="006117D9" w14:paraId="2EC49D5E" w14:textId="77777777">
            <w:trPr>
              <w:trHeight w:val="295"/>
            </w:trPr>
            <w:tc>
              <w:tcPr>
                <w:tcW w:w="2595" w:type="dxa"/>
                <w:shd w:val="clear" w:color="auto" w:fill="auto"/>
              </w:tcPr>
              <w:p w14:paraId="4F923F59" w14:textId="77777777" w:rsidR="006117D9" w:rsidRDefault="004C641C">
                <w:pPr>
                  <w:tabs>
                    <w:tab w:val="right" w:pos="8838"/>
                  </w:tabs>
                  <w:ind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065" w:type="dxa"/>
                <w:shd w:val="clear" w:color="auto" w:fill="auto"/>
              </w:tcPr>
              <w:p w14:paraId="38951EDC" w14:textId="77777777" w:rsidR="006117D9" w:rsidRDefault="004C641C">
                <w:pPr>
                  <w:tabs>
                    <w:tab w:val="right" w:pos="8838"/>
                  </w:tabs>
                  <w:ind w:left="-108"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4BCDBC7B" w14:textId="77777777" w:rsidR="006117D9" w:rsidRDefault="006117D9">
                <w:pPr>
                  <w:tabs>
                    <w:tab w:val="right" w:pos="8838"/>
                  </w:tabs>
                  <w:ind w:left="-108" w:right="171"/>
                  <w:jc w:val="both"/>
                  <w:rPr>
                    <w:rFonts w:ascii="Palatino Linotype" w:eastAsia="Palatino Linotype" w:hAnsi="Palatino Linotype" w:cs="Palatino Linotype"/>
                    <w:sz w:val="22"/>
                    <w:szCs w:val="22"/>
                  </w:rPr>
                </w:pPr>
              </w:p>
            </w:tc>
          </w:tr>
        </w:tbl>
        <w:p w14:paraId="47D5DB17" w14:textId="77777777" w:rsidR="006117D9" w:rsidRDefault="006117D9">
          <w:pPr>
            <w:tabs>
              <w:tab w:val="right" w:pos="8838"/>
            </w:tabs>
            <w:ind w:left="-28"/>
            <w:jc w:val="both"/>
            <w:rPr>
              <w:rFonts w:ascii="Arial" w:eastAsia="Arial" w:hAnsi="Arial" w:cs="Arial"/>
              <w:b/>
              <w:sz w:val="22"/>
              <w:szCs w:val="22"/>
            </w:rPr>
          </w:pPr>
        </w:p>
      </w:tc>
    </w:tr>
  </w:tbl>
  <w:p w14:paraId="0BABCA26" w14:textId="77777777" w:rsidR="006117D9" w:rsidRDefault="00FF5B03">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05E936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6D794" w14:textId="77777777" w:rsidR="006117D9" w:rsidRDefault="006117D9">
    <w:pPr>
      <w:widowControl w:val="0"/>
      <w:pBdr>
        <w:top w:val="nil"/>
        <w:left w:val="nil"/>
        <w:bottom w:val="nil"/>
        <w:right w:val="nil"/>
        <w:between w:val="nil"/>
      </w:pBdr>
      <w:spacing w:line="276" w:lineRule="auto"/>
      <w:rPr>
        <w:color w:val="000000"/>
        <w:sz w:val="14"/>
        <w:szCs w:val="14"/>
      </w:rPr>
    </w:pPr>
  </w:p>
  <w:tbl>
    <w:tblPr>
      <w:tblStyle w:val="a1"/>
      <w:tblW w:w="9072" w:type="dxa"/>
      <w:tblInd w:w="0" w:type="dxa"/>
      <w:tblLayout w:type="fixed"/>
      <w:tblLook w:val="0400" w:firstRow="0" w:lastRow="0" w:firstColumn="0" w:lastColumn="0" w:noHBand="0" w:noVBand="1"/>
    </w:tblPr>
    <w:tblGrid>
      <w:gridCol w:w="2268"/>
      <w:gridCol w:w="6804"/>
    </w:tblGrid>
    <w:tr w:rsidR="006117D9" w14:paraId="1300C12E" w14:textId="77777777">
      <w:trPr>
        <w:trHeight w:val="1435"/>
      </w:trPr>
      <w:tc>
        <w:tcPr>
          <w:tcW w:w="2268" w:type="dxa"/>
          <w:shd w:val="clear" w:color="auto" w:fill="auto"/>
        </w:tcPr>
        <w:p w14:paraId="70A93004" w14:textId="77777777" w:rsidR="006117D9" w:rsidRDefault="006117D9">
          <w:pPr>
            <w:tabs>
              <w:tab w:val="right" w:pos="4273"/>
            </w:tabs>
            <w:rPr>
              <w:rFonts w:ascii="Garamond" w:eastAsia="Garamond" w:hAnsi="Garamond" w:cs="Garamond"/>
              <w:sz w:val="22"/>
              <w:szCs w:val="22"/>
            </w:rPr>
          </w:pPr>
        </w:p>
      </w:tc>
      <w:tc>
        <w:tcPr>
          <w:tcW w:w="6804" w:type="dxa"/>
          <w:shd w:val="clear" w:color="auto" w:fill="auto"/>
        </w:tcPr>
        <w:p w14:paraId="25A3EED5" w14:textId="77777777" w:rsidR="006117D9" w:rsidRDefault="006117D9">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2"/>
            <w:tblW w:w="6662" w:type="dxa"/>
            <w:tblInd w:w="40" w:type="dxa"/>
            <w:tblLayout w:type="fixed"/>
            <w:tblLook w:val="0400" w:firstRow="0" w:lastRow="0" w:firstColumn="0" w:lastColumn="0" w:noHBand="0" w:noVBand="1"/>
          </w:tblPr>
          <w:tblGrid>
            <w:gridCol w:w="2444"/>
            <w:gridCol w:w="4218"/>
          </w:tblGrid>
          <w:tr w:rsidR="006117D9" w14:paraId="60F2ED2E" w14:textId="77777777">
            <w:trPr>
              <w:trHeight w:val="144"/>
            </w:trPr>
            <w:tc>
              <w:tcPr>
                <w:tcW w:w="2444" w:type="dxa"/>
                <w:shd w:val="clear" w:color="auto" w:fill="auto"/>
              </w:tcPr>
              <w:p w14:paraId="1D0E3214" w14:textId="77777777" w:rsidR="006117D9" w:rsidRDefault="004C641C">
                <w:pPr>
                  <w:tabs>
                    <w:tab w:val="right" w:pos="8838"/>
                  </w:tabs>
                  <w:ind w:left="-264" w:right="-105" w:firstLine="19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18" w:type="dxa"/>
                <w:shd w:val="clear" w:color="auto" w:fill="auto"/>
              </w:tcPr>
              <w:p w14:paraId="44A3F4CB" w14:textId="77777777" w:rsidR="006117D9" w:rsidRDefault="004C641C">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00073/INFOEM/IP/RR/2024</w:t>
                </w:r>
              </w:p>
            </w:tc>
          </w:tr>
          <w:tr w:rsidR="006117D9" w14:paraId="2E5A0544" w14:textId="77777777">
            <w:trPr>
              <w:trHeight w:val="144"/>
            </w:trPr>
            <w:tc>
              <w:tcPr>
                <w:tcW w:w="2444" w:type="dxa"/>
                <w:shd w:val="clear" w:color="auto" w:fill="auto"/>
              </w:tcPr>
              <w:p w14:paraId="6281EAF4" w14:textId="77777777" w:rsidR="006117D9" w:rsidRDefault="004C641C">
                <w:pPr>
                  <w:tabs>
                    <w:tab w:val="right" w:pos="8838"/>
                  </w:tabs>
                  <w:ind w:left="-74"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218" w:type="dxa"/>
                <w:shd w:val="clear" w:color="auto" w:fill="auto"/>
              </w:tcPr>
              <w:p w14:paraId="2D1F8C67" w14:textId="36FAE788" w:rsidR="006117D9" w:rsidRDefault="00B93CB1">
                <w:pPr>
                  <w:tabs>
                    <w:tab w:val="left" w:pos="3122"/>
                    <w:tab w:val="right" w:pos="8838"/>
                  </w:tabs>
                  <w:ind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XXX </w:t>
                </w:r>
                <w:proofErr w:type="spellStart"/>
                <w:r>
                  <w:rPr>
                    <w:rFonts w:ascii="Palatino Linotype" w:eastAsia="Palatino Linotype" w:hAnsi="Palatino Linotype" w:cs="Palatino Linotype"/>
                    <w:sz w:val="22"/>
                    <w:szCs w:val="22"/>
                  </w:rPr>
                  <w:t>XXX</w:t>
                </w:r>
                <w:proofErr w:type="spellEnd"/>
              </w:p>
            </w:tc>
          </w:tr>
          <w:tr w:rsidR="006117D9" w14:paraId="7827BF4E" w14:textId="77777777">
            <w:trPr>
              <w:trHeight w:val="283"/>
            </w:trPr>
            <w:tc>
              <w:tcPr>
                <w:tcW w:w="2444" w:type="dxa"/>
                <w:shd w:val="clear" w:color="auto" w:fill="auto"/>
              </w:tcPr>
              <w:p w14:paraId="4E88BDDF" w14:textId="77777777" w:rsidR="006117D9" w:rsidRDefault="004C641C">
                <w:pPr>
                  <w:tabs>
                    <w:tab w:val="right" w:pos="8838"/>
                  </w:tabs>
                  <w:ind w:left="-74"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18" w:type="dxa"/>
                <w:shd w:val="clear" w:color="auto" w:fill="auto"/>
              </w:tcPr>
              <w:p w14:paraId="6EE8E861" w14:textId="77777777" w:rsidR="006117D9" w:rsidRDefault="004C641C">
                <w:pPr>
                  <w:tabs>
                    <w:tab w:val="left" w:pos="2834"/>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Ayuntamiento de Villa de Allende </w:t>
                </w:r>
              </w:p>
            </w:tc>
          </w:tr>
          <w:tr w:rsidR="006117D9" w14:paraId="6A41E5BF" w14:textId="77777777">
            <w:trPr>
              <w:trHeight w:val="283"/>
            </w:trPr>
            <w:tc>
              <w:tcPr>
                <w:tcW w:w="2444" w:type="dxa"/>
                <w:shd w:val="clear" w:color="auto" w:fill="auto"/>
              </w:tcPr>
              <w:p w14:paraId="27E30D19" w14:textId="77777777" w:rsidR="006117D9" w:rsidRDefault="004C641C">
                <w:pPr>
                  <w:tabs>
                    <w:tab w:val="right" w:pos="8838"/>
                  </w:tabs>
                  <w:ind w:left="-74"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218" w:type="dxa"/>
                <w:shd w:val="clear" w:color="auto" w:fill="auto"/>
              </w:tcPr>
              <w:p w14:paraId="4C7A3200" w14:textId="77777777" w:rsidR="006117D9" w:rsidRDefault="004C641C">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06DD1381" w14:textId="77777777" w:rsidR="006117D9" w:rsidRDefault="006117D9">
                <w:pPr>
                  <w:tabs>
                    <w:tab w:val="right" w:pos="8838"/>
                  </w:tabs>
                  <w:ind w:left="-74" w:right="-105"/>
                  <w:jc w:val="both"/>
                  <w:rPr>
                    <w:rFonts w:ascii="Palatino Linotype" w:eastAsia="Palatino Linotype" w:hAnsi="Palatino Linotype" w:cs="Palatino Linotype"/>
                    <w:sz w:val="22"/>
                    <w:szCs w:val="22"/>
                  </w:rPr>
                </w:pPr>
              </w:p>
            </w:tc>
          </w:tr>
        </w:tbl>
        <w:p w14:paraId="7D17BED4" w14:textId="77777777" w:rsidR="006117D9" w:rsidRDefault="006117D9">
          <w:pPr>
            <w:tabs>
              <w:tab w:val="right" w:pos="8838"/>
            </w:tabs>
            <w:ind w:left="-28"/>
            <w:jc w:val="both"/>
            <w:rPr>
              <w:rFonts w:ascii="Arial" w:eastAsia="Arial" w:hAnsi="Arial" w:cs="Arial"/>
              <w:b/>
              <w:sz w:val="22"/>
              <w:szCs w:val="22"/>
            </w:rPr>
          </w:pPr>
        </w:p>
      </w:tc>
    </w:tr>
  </w:tbl>
  <w:p w14:paraId="1EFFC66C" w14:textId="77777777" w:rsidR="006117D9" w:rsidRDefault="00FF5B03">
    <w:pPr>
      <w:pBdr>
        <w:top w:val="nil"/>
        <w:left w:val="nil"/>
        <w:bottom w:val="nil"/>
        <w:right w:val="nil"/>
        <w:between w:val="nil"/>
      </w:pBdr>
      <w:tabs>
        <w:tab w:val="center" w:pos="4419"/>
        <w:tab w:val="right" w:pos="8838"/>
      </w:tabs>
      <w:rPr>
        <w:color w:val="000000"/>
        <w:sz w:val="2"/>
        <w:szCs w:val="2"/>
      </w:rPr>
    </w:pPr>
    <w:r>
      <w:rPr>
        <w:color w:val="000000"/>
        <w:sz w:val="2"/>
        <w:szCs w:val="2"/>
      </w:rPr>
      <w:pict w14:anchorId="5EE2AD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68.8pt;margin-top:-117.6pt;width:589.8pt;height:768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C506D"/>
    <w:multiLevelType w:val="multilevel"/>
    <w:tmpl w:val="527E4430"/>
    <w:lvl w:ilvl="0">
      <w:start w:val="1"/>
      <w:numFmt w:val="decimal"/>
      <w:lvlText w:val="%1."/>
      <w:lvlJc w:val="left"/>
      <w:pPr>
        <w:ind w:left="644" w:hanging="357"/>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DFB7EB7"/>
    <w:multiLevelType w:val="multilevel"/>
    <w:tmpl w:val="2EEA0C78"/>
    <w:lvl w:ilvl="0">
      <w:start w:val="1"/>
      <w:numFmt w:val="bullet"/>
      <w:lvlText w:val="●"/>
      <w:lvlJc w:val="left"/>
      <w:pPr>
        <w:ind w:left="2382" w:hanging="360"/>
      </w:pPr>
      <w:rPr>
        <w:rFonts w:ascii="Noto Sans Symbols" w:eastAsia="Noto Sans Symbols" w:hAnsi="Noto Sans Symbols" w:cs="Noto Sans Symbols"/>
      </w:rPr>
    </w:lvl>
    <w:lvl w:ilvl="1">
      <w:start w:val="1"/>
      <w:numFmt w:val="bullet"/>
      <w:lvlText w:val="o"/>
      <w:lvlJc w:val="left"/>
      <w:pPr>
        <w:ind w:left="3102" w:hanging="360"/>
      </w:pPr>
      <w:rPr>
        <w:rFonts w:ascii="Courier New" w:eastAsia="Courier New" w:hAnsi="Courier New" w:cs="Courier New"/>
      </w:rPr>
    </w:lvl>
    <w:lvl w:ilvl="2">
      <w:start w:val="1"/>
      <w:numFmt w:val="bullet"/>
      <w:lvlText w:val="▪"/>
      <w:lvlJc w:val="left"/>
      <w:pPr>
        <w:ind w:left="3822" w:hanging="360"/>
      </w:pPr>
      <w:rPr>
        <w:rFonts w:ascii="Noto Sans Symbols" w:eastAsia="Noto Sans Symbols" w:hAnsi="Noto Sans Symbols" w:cs="Noto Sans Symbols"/>
      </w:rPr>
    </w:lvl>
    <w:lvl w:ilvl="3">
      <w:start w:val="1"/>
      <w:numFmt w:val="bullet"/>
      <w:lvlText w:val="●"/>
      <w:lvlJc w:val="left"/>
      <w:pPr>
        <w:ind w:left="4542" w:hanging="360"/>
      </w:pPr>
      <w:rPr>
        <w:rFonts w:ascii="Noto Sans Symbols" w:eastAsia="Noto Sans Symbols" w:hAnsi="Noto Sans Symbols" w:cs="Noto Sans Symbols"/>
      </w:rPr>
    </w:lvl>
    <w:lvl w:ilvl="4">
      <w:start w:val="1"/>
      <w:numFmt w:val="bullet"/>
      <w:lvlText w:val="o"/>
      <w:lvlJc w:val="left"/>
      <w:pPr>
        <w:ind w:left="5262" w:hanging="360"/>
      </w:pPr>
      <w:rPr>
        <w:rFonts w:ascii="Courier New" w:eastAsia="Courier New" w:hAnsi="Courier New" w:cs="Courier New"/>
      </w:rPr>
    </w:lvl>
    <w:lvl w:ilvl="5">
      <w:start w:val="1"/>
      <w:numFmt w:val="bullet"/>
      <w:lvlText w:val="▪"/>
      <w:lvlJc w:val="left"/>
      <w:pPr>
        <w:ind w:left="5982" w:hanging="360"/>
      </w:pPr>
      <w:rPr>
        <w:rFonts w:ascii="Noto Sans Symbols" w:eastAsia="Noto Sans Symbols" w:hAnsi="Noto Sans Symbols" w:cs="Noto Sans Symbols"/>
      </w:rPr>
    </w:lvl>
    <w:lvl w:ilvl="6">
      <w:start w:val="1"/>
      <w:numFmt w:val="bullet"/>
      <w:lvlText w:val="●"/>
      <w:lvlJc w:val="left"/>
      <w:pPr>
        <w:ind w:left="6702" w:hanging="360"/>
      </w:pPr>
      <w:rPr>
        <w:rFonts w:ascii="Noto Sans Symbols" w:eastAsia="Noto Sans Symbols" w:hAnsi="Noto Sans Symbols" w:cs="Noto Sans Symbols"/>
      </w:rPr>
    </w:lvl>
    <w:lvl w:ilvl="7">
      <w:start w:val="1"/>
      <w:numFmt w:val="bullet"/>
      <w:lvlText w:val="o"/>
      <w:lvlJc w:val="left"/>
      <w:pPr>
        <w:ind w:left="7422" w:hanging="360"/>
      </w:pPr>
      <w:rPr>
        <w:rFonts w:ascii="Courier New" w:eastAsia="Courier New" w:hAnsi="Courier New" w:cs="Courier New"/>
      </w:rPr>
    </w:lvl>
    <w:lvl w:ilvl="8">
      <w:start w:val="1"/>
      <w:numFmt w:val="bullet"/>
      <w:lvlText w:val="▪"/>
      <w:lvlJc w:val="left"/>
      <w:pPr>
        <w:ind w:left="8142" w:hanging="360"/>
      </w:pPr>
      <w:rPr>
        <w:rFonts w:ascii="Noto Sans Symbols" w:eastAsia="Noto Sans Symbols" w:hAnsi="Noto Sans Symbols" w:cs="Noto Sans Symbols"/>
      </w:rPr>
    </w:lvl>
  </w:abstractNum>
  <w:abstractNum w:abstractNumId="2" w15:restartNumberingAfterBreak="0">
    <w:nsid w:val="576627D1"/>
    <w:multiLevelType w:val="multilevel"/>
    <w:tmpl w:val="723CEE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AD75D45"/>
    <w:multiLevelType w:val="multilevel"/>
    <w:tmpl w:val="BB5C6BF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num w:numId="1" w16cid:durableId="1835561165">
    <w:abstractNumId w:val="0"/>
  </w:num>
  <w:num w:numId="2" w16cid:durableId="1357149503">
    <w:abstractNumId w:val="1"/>
  </w:num>
  <w:num w:numId="3" w16cid:durableId="1346981233">
    <w:abstractNumId w:val="2"/>
  </w:num>
  <w:num w:numId="4" w16cid:durableId="15371631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7D9"/>
    <w:rsid w:val="00141D1E"/>
    <w:rsid w:val="002A52C0"/>
    <w:rsid w:val="004C641C"/>
    <w:rsid w:val="006117D9"/>
    <w:rsid w:val="006365D4"/>
    <w:rsid w:val="008D5130"/>
    <w:rsid w:val="0093010E"/>
    <w:rsid w:val="00B93CB1"/>
    <w:rsid w:val="00FF5B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37F06"/>
  <w15:docId w15:val="{848C4116-0104-43C8-A468-677018565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1B4"/>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4">
    <w:name w:val="4"/>
    <w:basedOn w:val="Tablanormal"/>
    <w:rsid w:val="004C31B4"/>
    <w:rPr>
      <w:color w:val="000000"/>
    </w:rPr>
    <w:tblPr>
      <w:tblStyleRowBandSize w:val="1"/>
      <w:tblStyleColBandSize w:val="1"/>
      <w:tblCellMar>
        <w:left w:w="115" w:type="dxa"/>
        <w:right w:w="115" w:type="dxa"/>
      </w:tblCellMar>
    </w:tblPr>
  </w:style>
  <w:style w:type="table" w:customStyle="1" w:styleId="3">
    <w:name w:val="3"/>
    <w:basedOn w:val="Tablanormal"/>
    <w:rsid w:val="004C31B4"/>
    <w:rPr>
      <w:color w:val="000000"/>
    </w:rPr>
    <w:tblPr>
      <w:tblStyleRowBandSize w:val="1"/>
      <w:tblStyleColBandSize w:val="1"/>
      <w:tblCellMar>
        <w:left w:w="115" w:type="dxa"/>
        <w:right w:w="115" w:type="dxa"/>
      </w:tblCellMar>
    </w:tblPr>
  </w:style>
  <w:style w:type="table" w:customStyle="1" w:styleId="2">
    <w:name w:val="2"/>
    <w:basedOn w:val="Tablanormal"/>
    <w:rsid w:val="004C31B4"/>
    <w:rPr>
      <w:color w:val="000000"/>
    </w:rPr>
    <w:tblPr>
      <w:tblStyleRowBandSize w:val="1"/>
      <w:tblStyleColBandSize w:val="1"/>
      <w:tblCellMar>
        <w:left w:w="115" w:type="dxa"/>
        <w:right w:w="115" w:type="dxa"/>
      </w:tblCellMar>
    </w:tblPr>
  </w:style>
  <w:style w:type="table" w:customStyle="1" w:styleId="1">
    <w:name w:val="1"/>
    <w:basedOn w:val="Tablanormal"/>
    <w:rsid w:val="004C31B4"/>
    <w:rPr>
      <w:color w:val="000000"/>
    </w:rPr>
    <w:tblPr>
      <w:tblStyleRowBandSize w:val="1"/>
      <w:tblStyleColBandSize w:val="1"/>
      <w:tblCellMar>
        <w:left w:w="115" w:type="dxa"/>
        <w:right w:w="115"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color w:val="000000"/>
    </w:rPr>
    <w:tblPr>
      <w:tblStyleRowBandSize w:val="1"/>
      <w:tblStyleColBandSize w:val="1"/>
      <w:tblCellMar>
        <w:left w:w="115" w:type="dxa"/>
        <w:right w:w="115" w:type="dxa"/>
      </w:tblCellMar>
    </w:tblPr>
  </w:style>
  <w:style w:type="table" w:customStyle="1" w:styleId="a0">
    <w:basedOn w:val="TableNormal"/>
    <w:rPr>
      <w:color w:val="000000"/>
    </w:rPr>
    <w:tblPr>
      <w:tblStyleRowBandSize w:val="1"/>
      <w:tblStyleColBandSize w:val="1"/>
      <w:tblCellMar>
        <w:left w:w="115" w:type="dxa"/>
        <w:right w:w="115" w:type="dxa"/>
      </w:tblCellMar>
    </w:tblPr>
  </w:style>
  <w:style w:type="table" w:customStyle="1" w:styleId="a1">
    <w:basedOn w:val="TableNormal"/>
    <w:rPr>
      <w:color w:val="000000"/>
    </w:rPr>
    <w:tblPr>
      <w:tblStyleRowBandSize w:val="1"/>
      <w:tblStyleColBandSize w:val="1"/>
      <w:tblCellMar>
        <w:left w:w="115" w:type="dxa"/>
        <w:right w:w="115" w:type="dxa"/>
      </w:tblCellMar>
    </w:tblPr>
  </w:style>
  <w:style w:type="table" w:customStyle="1" w:styleId="a2">
    <w:basedOn w:val="TableNormal"/>
    <w:rPr>
      <w:color w:val="000000"/>
    </w:rPr>
    <w:tblPr>
      <w:tblStyleRowBandSize w:val="1"/>
      <w:tblStyleColBandSize w:val="1"/>
      <w:tblCellMar>
        <w:left w:w="115" w:type="dxa"/>
        <w:right w:w="115" w:type="dxa"/>
      </w:tblCellMar>
    </w:tblPr>
  </w:style>
  <w:style w:type="paragraph" w:styleId="Piedepgina">
    <w:name w:val="footer"/>
    <w:basedOn w:val="Normal"/>
    <w:link w:val="PiedepginaCar"/>
    <w:uiPriority w:val="99"/>
    <w:unhideWhenUsed/>
    <w:rsid w:val="00B93CB1"/>
    <w:pPr>
      <w:tabs>
        <w:tab w:val="center" w:pos="4419"/>
        <w:tab w:val="right" w:pos="8838"/>
      </w:tabs>
    </w:pPr>
  </w:style>
  <w:style w:type="character" w:customStyle="1" w:styleId="PiedepginaCar">
    <w:name w:val="Pie de página Car"/>
    <w:basedOn w:val="Fuentedeprrafopredeter"/>
    <w:link w:val="Piedepgina"/>
    <w:uiPriority w:val="99"/>
    <w:rsid w:val="00B93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8.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6.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D2Iyq6KdmmK9e31JS7VeBEnKeQ==">CgMxLjAyCGguZ2pkZ3hzMgloLjFmb2I5dGUyCWguM3pueXNoNzIJaC4yZXQ5MnAwMgloLjNkeTZ2a20yCWguM3JkY3JqbjIIaC5namRneHMyCGguZ2pkZ3hzOAByITFwZ2JrVVI2QXZ0QnVfSmZMdGRIUENnNVNjc0RBX3FBZg==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4277</Words>
  <Characters>23529</Characters>
  <Application>Microsoft Office Word</Application>
  <DocSecurity>0</DocSecurity>
  <Lines>196</Lines>
  <Paragraphs>55</Paragraphs>
  <ScaleCrop>false</ScaleCrop>
  <Company>HP Inc.</Company>
  <LinksUpToDate>false</LinksUpToDate>
  <CharactersWithSpaces>27751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INFOEM521</dc:creator>
  <cp:lastModifiedBy>inf03m612@outlook.com</cp:lastModifiedBy>
  <cp:revision>5</cp:revision>
  <cp:lastPrinted>2024-10-30T21:01:00Z</cp:lastPrinted>
  <dcterms:created xsi:type="dcterms:W3CDTF">2024-10-17T19:08:00Z</dcterms:created>
  <dcterms:modified xsi:type="dcterms:W3CDTF">2024-11-13T16:43:00Z</dcterms:modified>
</cp:coreProperties>
</file>