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9C" w:rsidRDefault="00D9359C">
      <w:pPr>
        <w:widowControl w:val="0"/>
        <w:pBdr>
          <w:top w:val="nil"/>
          <w:left w:val="nil"/>
          <w:bottom w:val="nil"/>
          <w:right w:val="nil"/>
          <w:between w:val="nil"/>
        </w:pBdr>
        <w:spacing w:line="276" w:lineRule="auto"/>
      </w:pPr>
      <w:bookmarkStart w:id="0" w:name="_GoBack"/>
      <w:bookmarkEnd w:id="0"/>
    </w:p>
    <w:p w:rsidR="00D9359C" w:rsidRDefault="008733D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Protección de Datos Personales del Estado de México y Municipios, con domicilio en Metepec, Estado de México; del </w:t>
      </w:r>
      <w:r>
        <w:rPr>
          <w:rFonts w:ascii="Palatino Linotype" w:eastAsia="Palatino Linotype" w:hAnsi="Palatino Linotype" w:cs="Palatino Linotype"/>
          <w:sz w:val="22"/>
          <w:szCs w:val="22"/>
        </w:rPr>
        <w:t xml:space="preserve">seis </w:t>
      </w:r>
      <w:r w:rsidR="0079748F">
        <w:rPr>
          <w:rFonts w:ascii="Palatino Linotype" w:eastAsia="Palatino Linotype" w:hAnsi="Palatino Linotype" w:cs="Palatino Linotype"/>
          <w:sz w:val="22"/>
          <w:szCs w:val="22"/>
        </w:rPr>
        <w:t xml:space="preserve">(06) </w:t>
      </w:r>
      <w:r>
        <w:rPr>
          <w:rFonts w:ascii="Palatino Linotype" w:eastAsia="Palatino Linotype" w:hAnsi="Palatino Linotype" w:cs="Palatino Linotype"/>
          <w:sz w:val="22"/>
          <w:szCs w:val="22"/>
        </w:rPr>
        <w:t xml:space="preserve">de noviembre </w:t>
      </w:r>
      <w:r>
        <w:rPr>
          <w:rFonts w:ascii="Palatino Linotype" w:eastAsia="Palatino Linotype" w:hAnsi="Palatino Linotype" w:cs="Palatino Linotype"/>
          <w:color w:val="000000"/>
          <w:sz w:val="22"/>
          <w:szCs w:val="22"/>
        </w:rPr>
        <w:t xml:space="preserve"> de dos mil veinticuatro.</w:t>
      </w:r>
    </w:p>
    <w:p w:rsidR="00D9359C" w:rsidRDefault="00D9359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359C" w:rsidRDefault="008733D4">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VISTOS</w:t>
      </w:r>
      <w:r>
        <w:rPr>
          <w:rFonts w:ascii="Palatino Linotype" w:eastAsia="Palatino Linotype" w:hAnsi="Palatino Linotype" w:cs="Palatino Linotype"/>
          <w:color w:val="000000"/>
          <w:sz w:val="22"/>
          <w:szCs w:val="22"/>
        </w:rPr>
        <w:t xml:space="preserve"> los expedientes electrónicos formados con motivo del recurso de revisión número </w:t>
      </w:r>
      <w:r>
        <w:rPr>
          <w:rFonts w:ascii="Palatino Linotype" w:eastAsia="Palatino Linotype" w:hAnsi="Palatino Linotype" w:cs="Palatino Linotype"/>
          <w:b/>
          <w:color w:val="000000"/>
          <w:sz w:val="22"/>
          <w:szCs w:val="22"/>
        </w:rPr>
        <w:t>04523/INFOEM/IP/RR/2024, 04524/INFOEM/IP/RR/2024, 04525/INFOEM/IP/RR/2024, 04526/INFOEM/IP/RR/2024 y 04527/INFOEM/IP/RR/2024 acumulados</w:t>
      </w:r>
      <w:r>
        <w:rPr>
          <w:rFonts w:ascii="Palatino Linotype" w:eastAsia="Palatino Linotype" w:hAnsi="Palatino Linotype" w:cs="Palatino Linotype"/>
          <w:color w:val="000000"/>
          <w:sz w:val="22"/>
          <w:szCs w:val="22"/>
        </w:rPr>
        <w:t xml:space="preserve">, </w:t>
      </w:r>
      <w:r w:rsidR="001242D4">
        <w:rPr>
          <w:rFonts w:ascii="Palatino Linotype" w:eastAsia="Palatino Linotype" w:hAnsi="Palatino Linotype" w:cs="Palatino Linotype"/>
          <w:color w:val="000000"/>
        </w:rPr>
        <w:t xml:space="preserve">por </w:t>
      </w:r>
      <w:r w:rsidR="001242D4">
        <w:rPr>
          <w:rFonts w:ascii="Palatino Linotype" w:eastAsia="Palatino Linotype" w:hAnsi="Palatino Linotype" w:cs="Palatino Linotype"/>
          <w:color w:val="000000"/>
          <w:sz w:val="22"/>
          <w:szCs w:val="22"/>
        </w:rPr>
        <w:t>una persona que no registró nombre,</w:t>
      </w:r>
      <w:r w:rsidR="001242D4">
        <w:rPr>
          <w:rFonts w:ascii="Palatino Linotype" w:eastAsia="Palatino Linotype" w:hAnsi="Palatino Linotype" w:cs="Palatino Linotype"/>
        </w:rPr>
        <w:t xml:space="preserve"> en lo sucesivo </w:t>
      </w:r>
      <w:r w:rsidR="001242D4">
        <w:rPr>
          <w:rFonts w:ascii="Palatino Linotype" w:eastAsia="Palatino Linotype" w:hAnsi="Palatino Linotype" w:cs="Palatino Linotype"/>
          <w:b/>
        </w:rPr>
        <w:t>el Recurrente</w:t>
      </w:r>
      <w:r w:rsidR="001242D4">
        <w:rPr>
          <w:rFonts w:ascii="Palatino Linotype" w:eastAsia="Palatino Linotype" w:hAnsi="Palatino Linotype" w:cs="Palatino Linotype"/>
        </w:rPr>
        <w:t>,</w:t>
      </w:r>
      <w:r>
        <w:rPr>
          <w:rFonts w:ascii="Palatino Linotype" w:eastAsia="Palatino Linotype" w:hAnsi="Palatino Linotype" w:cs="Palatino Linotype"/>
          <w:color w:val="000000"/>
          <w:sz w:val="22"/>
          <w:szCs w:val="22"/>
        </w:rPr>
        <w:t xml:space="preserve"> en contra de la</w:t>
      </w:r>
      <w:r w:rsidR="001242D4">
        <w:rPr>
          <w:rFonts w:ascii="Palatino Linotype" w:eastAsia="Palatino Linotype" w:hAnsi="Palatino Linotype" w:cs="Palatino Linotype"/>
          <w:color w:val="000000"/>
          <w:sz w:val="22"/>
          <w:szCs w:val="22"/>
        </w:rPr>
        <w:t>s</w:t>
      </w:r>
      <w:r>
        <w:rPr>
          <w:rFonts w:ascii="Palatino Linotype" w:eastAsia="Palatino Linotype" w:hAnsi="Palatino Linotype" w:cs="Palatino Linotype"/>
          <w:color w:val="000000"/>
          <w:sz w:val="22"/>
          <w:szCs w:val="22"/>
        </w:rPr>
        <w:t xml:space="preserve"> respuesta</w:t>
      </w:r>
      <w:r w:rsidR="001242D4">
        <w:rPr>
          <w:rFonts w:ascii="Palatino Linotype" w:eastAsia="Palatino Linotype" w:hAnsi="Palatino Linotype" w:cs="Palatino Linotype"/>
          <w:color w:val="000000"/>
          <w:sz w:val="22"/>
          <w:szCs w:val="22"/>
        </w:rPr>
        <w:t>s</w:t>
      </w:r>
      <w:r>
        <w:rPr>
          <w:rFonts w:ascii="Palatino Linotype" w:eastAsia="Palatino Linotype" w:hAnsi="Palatino Linotype" w:cs="Palatino Linotype"/>
          <w:color w:val="000000"/>
          <w:sz w:val="22"/>
          <w:szCs w:val="22"/>
        </w:rPr>
        <w:t xml:space="preserve"> del </w:t>
      </w:r>
      <w:r>
        <w:rPr>
          <w:rFonts w:ascii="Palatino Linotype" w:eastAsia="Palatino Linotype" w:hAnsi="Palatino Linotype" w:cs="Palatino Linotype"/>
          <w:b/>
          <w:color w:val="000000"/>
          <w:sz w:val="22"/>
          <w:szCs w:val="22"/>
        </w:rPr>
        <w:t>Sistema Municipal Para el Desarrollo Integral de la Familia de Tlalnepantla de Baz</w:t>
      </w:r>
      <w:r>
        <w:rPr>
          <w:rFonts w:ascii="Palatino Linotype" w:eastAsia="Palatino Linotype" w:hAnsi="Palatino Linotype" w:cs="Palatino Linotype"/>
          <w:color w:val="000000"/>
          <w:sz w:val="22"/>
          <w:szCs w:val="22"/>
        </w:rPr>
        <w:t>, en lo sucesivo el</w:t>
      </w:r>
      <w:r>
        <w:rPr>
          <w:rFonts w:ascii="Palatino Linotype" w:eastAsia="Palatino Linotype" w:hAnsi="Palatino Linotype" w:cs="Palatino Linotype"/>
          <w:b/>
          <w:color w:val="000000"/>
          <w:sz w:val="22"/>
          <w:szCs w:val="22"/>
        </w:rPr>
        <w:t xml:space="preserve"> SUJETO OBLIGADO, </w:t>
      </w:r>
      <w:r>
        <w:rPr>
          <w:rFonts w:ascii="Palatino Linotype" w:eastAsia="Palatino Linotype" w:hAnsi="Palatino Linotype" w:cs="Palatino Linotype"/>
          <w:color w:val="000000"/>
          <w:sz w:val="22"/>
          <w:szCs w:val="22"/>
        </w:rPr>
        <w:t>se procede a dictar la presente resolución, con base en los siguientes:</w:t>
      </w:r>
    </w:p>
    <w:p w:rsidR="00D9359C" w:rsidRDefault="00D9359C">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sz w:val="22"/>
          <w:szCs w:val="22"/>
        </w:rPr>
      </w:pPr>
    </w:p>
    <w:p w:rsidR="00D9359C" w:rsidRDefault="008733D4">
      <w:pPr>
        <w:pStyle w:val="Ttulo2"/>
        <w:spacing w:line="360" w:lineRule="auto"/>
        <w:jc w:val="center"/>
        <w:rPr>
          <w:rFonts w:ascii="Palatino Linotype" w:eastAsia="Palatino Linotype" w:hAnsi="Palatino Linotype" w:cs="Palatino Linotype"/>
          <w:b/>
          <w:color w:val="000000"/>
          <w:sz w:val="22"/>
          <w:szCs w:val="22"/>
        </w:rPr>
      </w:pPr>
      <w:bookmarkStart w:id="1" w:name="_heading=h.gjdgxs" w:colFirst="0" w:colLast="0"/>
      <w:bookmarkEnd w:id="1"/>
      <w:r>
        <w:rPr>
          <w:rFonts w:ascii="Palatino Linotype" w:eastAsia="Palatino Linotype" w:hAnsi="Palatino Linotype" w:cs="Palatino Linotype"/>
          <w:b/>
          <w:color w:val="000000"/>
          <w:sz w:val="22"/>
          <w:szCs w:val="22"/>
        </w:rPr>
        <w:t>ANTECEDENTES</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veintiuno de junio de dos mil veinticuatro, se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presentaron</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vía Sistema de Acceso a la Información Mexiquense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las solicitudes de información pública registradas con el número </w:t>
      </w:r>
      <w:r>
        <w:rPr>
          <w:rFonts w:ascii="Palatino Linotype" w:eastAsia="Palatino Linotype" w:hAnsi="Palatino Linotype" w:cs="Palatino Linotype"/>
          <w:b/>
          <w:color w:val="000000"/>
          <w:sz w:val="22"/>
          <w:szCs w:val="22"/>
        </w:rPr>
        <w:t>00134/DIFTLALNE/IP/2024, 00133/DIFTLALNE/IP/2024, 00132/DIFTLALNE/IP/2024, 00131/DIFTLALNE/IP/2024 y 00130/DIFTLALNE/IP/2024,</w:t>
      </w:r>
      <w:r>
        <w:rPr>
          <w:rFonts w:ascii="Palatino Linotype" w:eastAsia="Palatino Linotype" w:hAnsi="Palatino Linotype" w:cs="Palatino Linotype"/>
          <w:color w:val="000000"/>
          <w:sz w:val="22"/>
          <w:szCs w:val="22"/>
        </w:rPr>
        <w:t xml:space="preserve"> mediante las cuales se requirió lo siguiente:</w:t>
      </w:r>
    </w:p>
    <w:p w:rsidR="00D9359C" w:rsidRDefault="00D9359C">
      <w:pPr>
        <w:ind w:right="565"/>
        <w:jc w:val="both"/>
        <w:rPr>
          <w:rFonts w:ascii="Palatino Linotype" w:eastAsia="Palatino Linotype" w:hAnsi="Palatino Linotype" w:cs="Palatino Linotype"/>
          <w:i/>
          <w:color w:val="000000"/>
          <w:sz w:val="22"/>
          <w:szCs w:val="22"/>
        </w:rPr>
      </w:pPr>
    </w:p>
    <w:p w:rsidR="00D9359C" w:rsidRDefault="008733D4">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00134/DIFTLALNE/IP/2024:</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“SOLICITO LOS RECIBOS DE NOMINA DE TODO EL AÑ0 2024 DE TODO EL PERONSAL DE LA COORDINACIÓN DE TRANSPARENCIA” (Sic)</w:t>
      </w:r>
    </w:p>
    <w:p w:rsidR="00D9359C" w:rsidRDefault="00D9359C">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p>
    <w:p w:rsidR="00D9359C" w:rsidRDefault="008733D4">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00133/DIFTLALNE/IP/2024:</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“SOLICITO LOS RECIBOS DE AGUINALDO Y PRIMA VACACIONAL DE LOS AÑOS 2021, 2022, 2023 Y PROPORCIONAL 2024 DE TODO EL PERONSAL DE LA COORDINACIÓN DE TRANSPARENCIA” (Sic)</w:t>
      </w:r>
    </w:p>
    <w:p w:rsidR="00D9359C" w:rsidRDefault="00D9359C">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p>
    <w:p w:rsidR="00D9359C" w:rsidRDefault="008733D4">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00132/DIFTLALNE/IP/2024:</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SOLICITO LOS RECIBOS DE NOMINA DE TODO EL AÑ0 2023 DE TODO EL PERONSAL DE LA COORDINACIÓN DE TRANSPARENCIA” (Sic)</w:t>
      </w:r>
    </w:p>
    <w:p w:rsidR="00D9359C" w:rsidRDefault="00D9359C">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p>
    <w:p w:rsidR="00D9359C" w:rsidRDefault="008733D4">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00131/DIFTLALNE/IP/2024:</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SOLICITO LOS RECIBOS DE NOMINA DE TODO EL AÑ0 2022 DE TODO EL PERONSAL DE LA COORDINACIÓN DE TRANSPARENCIA” (Sic)</w:t>
      </w:r>
    </w:p>
    <w:p w:rsidR="00D9359C" w:rsidRDefault="00D9359C">
      <w:pPr>
        <w:pBdr>
          <w:top w:val="nil"/>
          <w:left w:val="nil"/>
          <w:bottom w:val="nil"/>
          <w:right w:val="nil"/>
          <w:between w:val="nil"/>
        </w:pBdr>
        <w:ind w:left="567" w:right="565"/>
        <w:rPr>
          <w:rFonts w:ascii="Palatino Linotype" w:eastAsia="Palatino Linotype" w:hAnsi="Palatino Linotype" w:cs="Palatino Linotype"/>
          <w:b/>
          <w:color w:val="000000"/>
          <w:sz w:val="22"/>
          <w:szCs w:val="22"/>
        </w:rPr>
      </w:pPr>
    </w:p>
    <w:p w:rsidR="00D9359C" w:rsidRDefault="008733D4">
      <w:pPr>
        <w:pBdr>
          <w:top w:val="nil"/>
          <w:left w:val="nil"/>
          <w:bottom w:val="nil"/>
          <w:right w:val="nil"/>
          <w:between w:val="nil"/>
        </w:pBdr>
        <w:ind w:left="567" w:right="565"/>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00130/DIFTLALNE/IP/2024:</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“SOLICITO LOS RECIBOS DE NOMINA DE TODO EL AÑ0 2021 DE TODO EL PERONSAL DE LA COORDINACIÓN DE TRANSPARENCIA” (Sic)</w:t>
      </w:r>
    </w:p>
    <w:p w:rsidR="00D9359C" w:rsidRDefault="00D9359C">
      <w:pPr>
        <w:pBdr>
          <w:top w:val="nil"/>
          <w:left w:val="nil"/>
          <w:bottom w:val="nil"/>
          <w:right w:val="nil"/>
          <w:between w:val="nil"/>
        </w:pBdr>
        <w:spacing w:line="360" w:lineRule="auto"/>
        <w:rPr>
          <w:rFonts w:ascii="Palatino Linotype" w:eastAsia="Palatino Linotype" w:hAnsi="Palatino Linotype" w:cs="Palatino Linotype"/>
          <w:i/>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señaló como modalidad de entrega de la información: a través de </w:t>
      </w:r>
      <w:r>
        <w:rPr>
          <w:rFonts w:ascii="Palatino Linotype" w:eastAsia="Palatino Linotype" w:hAnsi="Palatino Linotype" w:cs="Palatino Linotype"/>
          <w:b/>
          <w:color w:val="000000"/>
          <w:sz w:val="22"/>
          <w:szCs w:val="22"/>
        </w:rPr>
        <w:t>SAIMEX.</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once de julio de dos mil veinticuatro,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emitió respuesta, en los mismos términos:</w:t>
      </w:r>
    </w:p>
    <w:p w:rsidR="00D9359C" w:rsidRDefault="00D9359C">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9359C" w:rsidRDefault="008733D4">
      <w:pPr>
        <w:tabs>
          <w:tab w:val="left" w:pos="426"/>
          <w:tab w:val="left" w:pos="567"/>
        </w:tabs>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este medio, fundamentado en los artículos 3, fracción XXXIX, 49 fracciones VIII, XIII, 53 fracción X, 59 fracciones I, II, V, VI, 143 fracciones de Ley de Transparencia y Acceso a la Información Pública del Estado de México y Municipios, atendiendo al requerimiento de turno de fecha 21 de junio de 2024, bajo el número de oficio SMDIF/DG/CT/0149/2024, derivado de la solicitud de acceso a la información pública presentada a través del Sistema de Acceso a la Información Mexiquense (SAIMEX), registrada con el número de folio 00134/DIFTLALNE/IP/2024, que a la letra refiere: “SOLICITO LOS RECIBOS DE NOMINA DE TODO EL AÑO 2024 DE TODO EL PERSONAL DE LA COORDINACIÓN DE TRANSPARENCIA…” (Sic). Una vez hecho un análisis exhaustivo de lo solicitado, se advierte que parte de la </w:t>
      </w:r>
      <w:r>
        <w:rPr>
          <w:rFonts w:ascii="Palatino Linotype" w:eastAsia="Palatino Linotype" w:hAnsi="Palatino Linotype" w:cs="Palatino Linotype"/>
          <w:i/>
          <w:color w:val="000000"/>
          <w:sz w:val="22"/>
          <w:szCs w:val="22"/>
        </w:rPr>
        <w:lastRenderedPageBreak/>
        <w:t xml:space="preserve">información recae en el supuesto establecido en el artículo 116 primer párrafo de la Ley General de Transparencia y Acceso información Pública, por contener información confidencial, en los documentos denominados recibos de nómina, los cuales se identifica como Registro Federal de Contribuyentes (RFC) Clave Única de Registro de Población (CURP), Numero de Seguridad Social, Descuentos personales. “Artículo 116. Se considera información confidencial la que contiene datos personales concernientes a una persona identificada o identificable.” De igual manera, lo estipulado por el artículo 143, fracción l, de la Ley de Transparencia y Acceso a la Información Pública del Estado de México y Municipios, por contener información referente información que impacta en la vida personal de una persona, y lejos de abonar a la transparencia y correcta rendición de cuentas de los entes públicos, su publicidad contribuye a la vulneración a la vida privada de los servidores públicos. “Artículo 143. Para los efectos de esta Ley se considera información, la clasificada como tal, de manera permanente, por su naturaleza, cuando: IX. Se refiera a la información privada y los datos personales concernientes a una persona física o jurídico colectiva identificada o identificable.” Así como el artículo 4, fracción XI, de la Ley de Protección de Datos Personales en Posesión de Sujetos Obligados del Estado de México y Municipios: “Artículo 4. Para los efectos de esta Ley se entenderá por… 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Así mismo, al artículo trigésimo octavo fracción I de los Lineamientos Generales en Materia de Clasificación y Desclasificación de la Información, así como para la elaboración de Versiones Públicas, que refiere: “Trigésimo octavo. Se considera información confidencial: Los datos personales, en término de la norma aplicable” Y, por último, el Artículo l, fracción I de los Lineamientos sobre Medidas de Seguridad Aplicables a los Sistemas de Datos Personales, mismos que establecen: “Artículo I. Los datos personales contenidos en los sistemas de datos personales se clasificarán, de manera enunciativa y no limitativa, en las siguientes categorías: IX. Datos de identificación: Nombre; domicilio; teléfono particular y/o celular; correo electrónico personal; estado civil; firma; firma electrónica; cartilla militar; lugar y fecha de nacimiento; nacionalidad; edad; fotografía; clave del Registro Federal de Contribuyentes (RFC); Clave Única de Registro de Población (CURP); nombres de familiares, </w:t>
      </w:r>
      <w:r>
        <w:rPr>
          <w:rFonts w:ascii="Palatino Linotype" w:eastAsia="Palatino Linotype" w:hAnsi="Palatino Linotype" w:cs="Palatino Linotype"/>
          <w:i/>
          <w:color w:val="000000"/>
          <w:sz w:val="22"/>
          <w:szCs w:val="22"/>
        </w:rPr>
        <w:lastRenderedPageBreak/>
        <w:t xml:space="preserve">dependientes y beneficiarios; costumbres; idioma o lengua, y voz, entre otros;” REGISTRO FEDERAL DE CONTRIBUYENTES (RFC), 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CLAVE ÚNICA DEL REGISTRO DE POBLACIÓN (CURP), Clave Única del Registro de Población (CURP). Resolución RRA 0098/17 se establece que la Clave Única del Registro de Población (CURP) se integra por datos personales que únicamente le conciernen a un particular como son: su fecha de nacimiento, su nombre, sus apellidos y su lugar de nacimiento, y esta información lo distingue plenamente del resto de los habitantes, por lo que deriva en información de carácter confidencial. De acuerdo con lo señalado en los artículos 86 y 91 de la Ley General de Población, la Clave Única del Registro de Población se asigna a una persona para permitir certificar y acreditar fehacientemente su identidad, la cual sirve entonces para identificar en forma individual a las personas. NUMERO DE SEGURIDAD SOCIAL, Resolución 2955/15 determinó que el número de seguridad social, al ser un código numérico único e irrepetible que arroja información personal sobre un individuo, como lo es la delegación que asignó el número, el año de incorporación, así como el año de nacimiento de una persona identificada e identificable se considera un dato personal. DESCUENTOS PERSONALES. Resoluciones RDA 1159/05 y RDA 843/12 se establece que las deducciones contenidas en recibos de pago son datos personales, pues es a partir de ellas como se determina la remuneración neta de cualquier persona, incluidos los servidores públicos. Existen ciertas deducciones que se refieren única y exclusivamente al ámbito privado de dichas personas, como pudieran ser aquellas derivadas de una resolución judicial, la contratación de un seguro o descuentos por préstamos personales; las mismas revelan parte de las decisiones que adopta una persona respecto del uso y destino de su remuneración salarial, lo cual incide en la manera en que se integra su patrimonio, por lo que se considera que esa información no es de carácter público, sino que constituye información confidencial en virtud de que corresponden a decisiones personales y se debe clasificar como información confidencial. Por lo señalado previamente y con fundamento en los artículos 3 fracción XLV, 49 fracciones VIII, XVI, XVIII, 53 fracción X, 59 fracciones V , VI, 122, 128, 132, fracción I y 168 de la Ley de Transparencia y Acceso a la Información Pública del Estado de México y Municipios, me permito señalar que se agrega la versión pública, que contienen partes testadas, a efecto, de permitir el acceso a </w:t>
      </w:r>
      <w:r>
        <w:rPr>
          <w:rFonts w:ascii="Palatino Linotype" w:eastAsia="Palatino Linotype" w:hAnsi="Palatino Linotype" w:cs="Palatino Linotype"/>
          <w:i/>
          <w:color w:val="000000"/>
          <w:sz w:val="22"/>
          <w:szCs w:val="22"/>
        </w:rPr>
        <w:lastRenderedPageBreak/>
        <w:t>la información pública, así como el cuadro de clasificación respectivo ,solicitando muy atentamente, tenga a bien convocar al Comité Interno de Transparencia, Acceso a la Información Pública y Protección de Datos Personales del SMDIF De Tlalnepantla De Baz, a efecto de que se presente, discuta y, en su caso, apruebe la propuesta de clasificación parcial de la información en comento, como información confidencial. Sin otro particular por el momento, quedo a sus órdenes.” (Sic)</w:t>
      </w:r>
    </w:p>
    <w:p w:rsidR="00D9359C" w:rsidRDefault="00D9359C">
      <w:pPr>
        <w:spacing w:line="276" w:lineRule="auto"/>
        <w:ind w:right="565"/>
        <w:jc w:val="both"/>
        <w:rPr>
          <w:rFonts w:ascii="Palatino Linotype" w:eastAsia="Palatino Linotype" w:hAnsi="Palatino Linotype" w:cs="Palatino Linotype"/>
          <w:b/>
          <w:sz w:val="22"/>
          <w:szCs w:val="22"/>
        </w:rPr>
      </w:pPr>
    </w:p>
    <w:p w:rsidR="00D9359C" w:rsidRDefault="008733D4">
      <w:pPr>
        <w:spacing w:line="276" w:lineRule="auto"/>
        <w:ind w:right="56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adjuntaron los siguientes archivos electrónicos:</w:t>
      </w:r>
    </w:p>
    <w:p w:rsidR="00D9359C" w:rsidRDefault="00D9359C">
      <w:pPr>
        <w:spacing w:line="276" w:lineRule="auto"/>
        <w:ind w:right="565"/>
        <w:jc w:val="both"/>
        <w:rPr>
          <w:rFonts w:ascii="Palatino Linotype" w:eastAsia="Palatino Linotype" w:hAnsi="Palatino Linotype" w:cs="Palatino Linotype"/>
          <w:b/>
          <w:color w:val="000000"/>
          <w:sz w:val="22"/>
          <w:szCs w:val="22"/>
        </w:rPr>
      </w:pPr>
    </w:p>
    <w:p w:rsidR="00D9359C" w:rsidRDefault="008733D4">
      <w:pPr>
        <w:numPr>
          <w:ilvl w:val="0"/>
          <w:numId w:val="4"/>
        </w:numPr>
        <w:pBdr>
          <w:top w:val="nil"/>
          <w:left w:val="nil"/>
          <w:bottom w:val="nil"/>
          <w:right w:val="nil"/>
          <w:between w:val="nil"/>
        </w:pBdr>
        <w:ind w:right="565" w:hanging="15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00134/DIFTLALNE/IP/2024:</w:t>
      </w:r>
    </w:p>
    <w:p w:rsidR="00D9359C" w:rsidRDefault="008732D8">
      <w:pPr>
        <w:ind w:left="567" w:right="565"/>
        <w:jc w:val="both"/>
        <w:rPr>
          <w:rFonts w:ascii="Palatino Linotype" w:eastAsia="Palatino Linotype" w:hAnsi="Palatino Linotype" w:cs="Palatino Linotype"/>
          <w:color w:val="000000"/>
          <w:sz w:val="22"/>
          <w:szCs w:val="22"/>
        </w:rPr>
      </w:pPr>
      <w:hyperlink r:id="rId8">
        <w:r w:rsidR="008733D4">
          <w:rPr>
            <w:rFonts w:ascii="Palatino Linotype" w:eastAsia="Palatino Linotype" w:hAnsi="Palatino Linotype" w:cs="Palatino Linotype"/>
            <w:b/>
            <w:color w:val="000000"/>
            <w:sz w:val="22"/>
            <w:szCs w:val="22"/>
          </w:rPr>
          <w:t>134.pdf</w:t>
        </w:r>
      </w:hyperlink>
      <w:r w:rsidR="008733D4">
        <w:rPr>
          <w:rFonts w:ascii="Palatino Linotype" w:eastAsia="Palatino Linotype" w:hAnsi="Palatino Linotype" w:cs="Palatino Linotype"/>
          <w:color w:val="000000"/>
          <w:sz w:val="22"/>
          <w:szCs w:val="22"/>
        </w:rPr>
        <w:t>:Documento consistente en la copia digitalizada de diversos recibos de nómina correspondientes a la Coordinadora y a la Auxiliar de Departamento de la Coordinación de Transparencia.</w:t>
      </w:r>
    </w:p>
    <w:p w:rsidR="00D9359C" w:rsidRDefault="008732D8">
      <w:pPr>
        <w:ind w:left="567" w:right="565"/>
        <w:jc w:val="both"/>
        <w:rPr>
          <w:rFonts w:ascii="Palatino Linotype" w:eastAsia="Palatino Linotype" w:hAnsi="Palatino Linotype" w:cs="Palatino Linotype"/>
          <w:color w:val="000000"/>
          <w:sz w:val="22"/>
          <w:szCs w:val="22"/>
        </w:rPr>
      </w:pPr>
      <w:hyperlink r:id="rId9">
        <w:r w:rsidR="008733D4">
          <w:rPr>
            <w:rFonts w:ascii="Palatino Linotype" w:eastAsia="Palatino Linotype" w:hAnsi="Palatino Linotype" w:cs="Palatino Linotype"/>
            <w:b/>
            <w:color w:val="000000"/>
            <w:sz w:val="22"/>
            <w:szCs w:val="22"/>
          </w:rPr>
          <w:t>SAIMEX 00134 V.P..pdf</w:t>
        </w:r>
      </w:hyperlink>
      <w:r w:rsidR="008733D4">
        <w:rPr>
          <w:rFonts w:ascii="Palatino Linotype" w:eastAsia="Palatino Linotype" w:hAnsi="Palatino Linotype" w:cs="Palatino Linotype"/>
          <w:color w:val="000000"/>
          <w:sz w:val="22"/>
          <w:szCs w:val="22"/>
        </w:rPr>
        <w:t>: Oficio SMDIF/DAyF/174/2024, suscrito por el Director de Administración y Finanzas, dirigido a la Coordinadora de Transparencia, por medio del cual, solicitó convocar al Comité Interno de Transparencia con el fin de aprobar la propuesta de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10">
        <w:r w:rsidR="008733D4">
          <w:rPr>
            <w:rFonts w:ascii="Palatino Linotype" w:eastAsia="Palatino Linotype" w:hAnsi="Palatino Linotype" w:cs="Palatino Linotype"/>
            <w:b/>
            <w:color w:val="000000"/>
            <w:sz w:val="22"/>
            <w:szCs w:val="22"/>
          </w:rPr>
          <w:t>DÉCIMA TERCERA SESIÓN EXTRAORDINARIA (1).pdf</w:t>
        </w:r>
      </w:hyperlink>
      <w:r w:rsidR="008733D4">
        <w:rPr>
          <w:rFonts w:ascii="Palatino Linotype" w:eastAsia="Palatino Linotype" w:hAnsi="Palatino Linotype" w:cs="Palatino Linotype"/>
          <w:color w:val="000000"/>
          <w:sz w:val="22"/>
          <w:szCs w:val="22"/>
        </w:rPr>
        <w:t>: Acta correspondiente a la Décima Tercera Sesión Extraordinaria del Comité Interno de Transparencia, Acceso a la Información Pública y Protección de Datos Personales, por medio de la cual, se propuso y aprobó la clasificación parcial de la información solicitada, como confederal.</w:t>
      </w:r>
    </w:p>
    <w:p w:rsidR="00D9359C" w:rsidRDefault="008732D8">
      <w:pPr>
        <w:ind w:left="567" w:right="565"/>
        <w:jc w:val="both"/>
        <w:rPr>
          <w:rFonts w:ascii="Palatino Linotype" w:eastAsia="Palatino Linotype" w:hAnsi="Palatino Linotype" w:cs="Palatino Linotype"/>
          <w:b/>
          <w:color w:val="000000"/>
          <w:sz w:val="22"/>
          <w:szCs w:val="22"/>
        </w:rPr>
      </w:pPr>
      <w:hyperlink r:id="rId11">
        <w:r w:rsidR="008733D4">
          <w:rPr>
            <w:rFonts w:ascii="Palatino Linotype" w:eastAsia="Palatino Linotype" w:hAnsi="Palatino Linotype" w:cs="Palatino Linotype"/>
            <w:b/>
            <w:color w:val="000000"/>
            <w:sz w:val="22"/>
            <w:szCs w:val="22"/>
          </w:rPr>
          <w:t>Solicitud 134 2024.pdf</w:t>
        </w:r>
      </w:hyperlink>
      <w:r w:rsidR="008733D4">
        <w:rPr>
          <w:rFonts w:ascii="Palatino Linotype" w:eastAsia="Palatino Linotype" w:hAnsi="Palatino Linotype" w:cs="Palatino Linotype"/>
          <w:color w:val="000000"/>
          <w:sz w:val="22"/>
          <w:szCs w:val="22"/>
        </w:rPr>
        <w:t>: Oficio suscrito por la Titular de la Coordinación de Transparencia, por medio del cual, refirió remitir el oficio de la Dirección de Administración y Finanzas número SMDIF/DAyF/174/2024; los recibos de nómina de la Coordinación de Transparencia; y, el Acta de la Décima Tercera Sesión Extraordinaria del Comité Interno de Transparencia y Acceso a la Información Pública.</w:t>
      </w:r>
    </w:p>
    <w:p w:rsidR="00D9359C" w:rsidRDefault="00D9359C">
      <w:pPr>
        <w:ind w:left="567" w:right="565"/>
        <w:jc w:val="both"/>
        <w:rPr>
          <w:rFonts w:ascii="Palatino Linotype" w:eastAsia="Palatino Linotype" w:hAnsi="Palatino Linotype" w:cs="Palatino Linotype"/>
          <w:b/>
          <w:color w:val="000000"/>
          <w:sz w:val="22"/>
          <w:szCs w:val="22"/>
        </w:rPr>
      </w:pPr>
    </w:p>
    <w:p w:rsidR="00D9359C" w:rsidRDefault="008733D4">
      <w:pPr>
        <w:numPr>
          <w:ilvl w:val="0"/>
          <w:numId w:val="4"/>
        </w:numPr>
        <w:pBdr>
          <w:top w:val="nil"/>
          <w:left w:val="nil"/>
          <w:bottom w:val="nil"/>
          <w:right w:val="nil"/>
          <w:between w:val="nil"/>
        </w:pBdr>
        <w:ind w:right="565" w:hanging="1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00133/DIFTLALNE/IP/2024:</w:t>
      </w:r>
    </w:p>
    <w:p w:rsidR="00D9359C" w:rsidRDefault="008732D8">
      <w:pPr>
        <w:ind w:left="567" w:right="565"/>
        <w:jc w:val="both"/>
        <w:rPr>
          <w:rFonts w:ascii="Palatino Linotype" w:eastAsia="Palatino Linotype" w:hAnsi="Palatino Linotype" w:cs="Palatino Linotype"/>
          <w:color w:val="000000"/>
          <w:sz w:val="22"/>
          <w:szCs w:val="22"/>
        </w:rPr>
      </w:pPr>
      <w:hyperlink r:id="rId12">
        <w:r w:rsidR="008733D4">
          <w:rPr>
            <w:rFonts w:ascii="Palatino Linotype" w:eastAsia="Palatino Linotype" w:hAnsi="Palatino Linotype" w:cs="Palatino Linotype"/>
            <w:b/>
            <w:color w:val="000000"/>
            <w:sz w:val="22"/>
            <w:szCs w:val="22"/>
          </w:rPr>
          <w:t>SAIMEX 00133 V.P..pdf</w:t>
        </w:r>
      </w:hyperlink>
      <w:r w:rsidR="008733D4">
        <w:rPr>
          <w:rFonts w:ascii="Palatino Linotype" w:eastAsia="Palatino Linotype" w:hAnsi="Palatino Linotype" w:cs="Palatino Linotype"/>
          <w:color w:val="000000"/>
          <w:sz w:val="22"/>
          <w:szCs w:val="22"/>
        </w:rPr>
        <w:t xml:space="preserve">: Oficio SMDIF/DAyF/173/2024, suscrito por el Director de Administración y Finanzas, dirigido a la Coordinadora de Transparencia, </w:t>
      </w:r>
      <w:r w:rsidR="008733D4">
        <w:rPr>
          <w:rFonts w:ascii="Palatino Linotype" w:eastAsia="Palatino Linotype" w:hAnsi="Palatino Linotype" w:cs="Palatino Linotype"/>
          <w:color w:val="000000"/>
          <w:sz w:val="22"/>
          <w:szCs w:val="22"/>
        </w:rPr>
        <w:lastRenderedPageBreak/>
        <w:t>por medio del cual, solicitó convocar al Comité Interno de Transparencia con el fin de aprobar la propuesta de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13">
        <w:r w:rsidR="008733D4">
          <w:rPr>
            <w:rFonts w:ascii="Palatino Linotype" w:eastAsia="Palatino Linotype" w:hAnsi="Palatino Linotype" w:cs="Palatino Linotype"/>
            <w:b/>
            <w:color w:val="000000"/>
            <w:sz w:val="22"/>
            <w:szCs w:val="22"/>
          </w:rPr>
          <w:t>DÉCIMA TERCERA SESIÓN EXTRAORDINARIA (1).pdf</w:t>
        </w:r>
      </w:hyperlink>
      <w:r w:rsidR="008733D4">
        <w:rPr>
          <w:rFonts w:ascii="Palatino Linotype" w:eastAsia="Palatino Linotype" w:hAnsi="Palatino Linotype" w:cs="Palatino Linotype"/>
          <w:color w:val="000000"/>
          <w:sz w:val="22"/>
          <w:szCs w:val="22"/>
        </w:rPr>
        <w:t>: Acta correspondiente a la Décima Tercera Sesión Extraordinaria del Comité Interno de Transparencia, Acceso a la Información Pública y Protección de Datos Personales, por medio de la cual, se propuso y aprobó la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14">
        <w:r w:rsidR="008733D4">
          <w:rPr>
            <w:rFonts w:ascii="Palatino Linotype" w:eastAsia="Palatino Linotype" w:hAnsi="Palatino Linotype" w:cs="Palatino Linotype"/>
            <w:b/>
            <w:color w:val="000000"/>
            <w:sz w:val="22"/>
            <w:szCs w:val="22"/>
          </w:rPr>
          <w:t>133.pdf</w:t>
        </w:r>
      </w:hyperlink>
      <w:r w:rsidR="008733D4">
        <w:rPr>
          <w:rFonts w:ascii="Palatino Linotype" w:eastAsia="Palatino Linotype" w:hAnsi="Palatino Linotype" w:cs="Palatino Linotype"/>
          <w:color w:val="000000"/>
          <w:sz w:val="22"/>
          <w:szCs w:val="22"/>
        </w:rPr>
        <w:t>: Documento consistente en la copia digitalizada de diversos recibos de nómina correspondientes a servidores públicos adscritos a la Coordinación de Transparencia.</w:t>
      </w:r>
    </w:p>
    <w:p w:rsidR="00D9359C" w:rsidRDefault="008732D8">
      <w:pPr>
        <w:ind w:left="567" w:right="565"/>
        <w:jc w:val="both"/>
        <w:rPr>
          <w:rFonts w:ascii="Palatino Linotype" w:eastAsia="Palatino Linotype" w:hAnsi="Palatino Linotype" w:cs="Palatino Linotype"/>
          <w:b/>
          <w:color w:val="000000"/>
          <w:sz w:val="22"/>
          <w:szCs w:val="22"/>
        </w:rPr>
      </w:pPr>
      <w:hyperlink r:id="rId15">
        <w:r w:rsidR="008733D4">
          <w:rPr>
            <w:rFonts w:ascii="Palatino Linotype" w:eastAsia="Palatino Linotype" w:hAnsi="Palatino Linotype" w:cs="Palatino Linotype"/>
            <w:b/>
            <w:color w:val="000000"/>
            <w:sz w:val="22"/>
            <w:szCs w:val="22"/>
          </w:rPr>
          <w:t>Solicitud 133 2024.pdf</w:t>
        </w:r>
      </w:hyperlink>
      <w:r w:rsidR="008733D4">
        <w:rPr>
          <w:rFonts w:ascii="Palatino Linotype" w:eastAsia="Palatino Linotype" w:hAnsi="Palatino Linotype" w:cs="Palatino Linotype"/>
          <w:color w:val="000000"/>
          <w:sz w:val="22"/>
          <w:szCs w:val="22"/>
        </w:rPr>
        <w:t>: Oficio suscrito por la Titular de la Coordinación de Transparencia, por medio del cual, refirió remitir el oficio de la Dirección de Administración y Finanzas número SMDIF/DAyF/173/2024; los recibos de nómina de la Coordinación de Transparencia; y, el Acta de la Décima Tercera Sesión Extraordinaria del Comité Interno de Transparencia y Acceso a la Información Pública.</w:t>
      </w:r>
    </w:p>
    <w:p w:rsidR="00D9359C" w:rsidRDefault="00D9359C">
      <w:pPr>
        <w:ind w:left="567" w:right="565"/>
        <w:jc w:val="both"/>
        <w:rPr>
          <w:rFonts w:ascii="Palatino Linotype" w:eastAsia="Palatino Linotype" w:hAnsi="Palatino Linotype" w:cs="Palatino Linotype"/>
          <w:b/>
          <w:color w:val="000000"/>
          <w:sz w:val="22"/>
          <w:szCs w:val="22"/>
        </w:rPr>
      </w:pPr>
    </w:p>
    <w:p w:rsidR="00D9359C" w:rsidRDefault="008733D4">
      <w:pPr>
        <w:numPr>
          <w:ilvl w:val="0"/>
          <w:numId w:val="4"/>
        </w:numPr>
        <w:pBdr>
          <w:top w:val="nil"/>
          <w:left w:val="nil"/>
          <w:bottom w:val="nil"/>
          <w:right w:val="nil"/>
          <w:between w:val="nil"/>
        </w:pBdr>
        <w:ind w:right="565" w:hanging="1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00132/DIFTLALNE/IP/2024:</w:t>
      </w:r>
    </w:p>
    <w:p w:rsidR="00D9359C" w:rsidRDefault="008732D8">
      <w:pPr>
        <w:ind w:left="567" w:right="565"/>
        <w:jc w:val="both"/>
        <w:rPr>
          <w:rFonts w:ascii="Palatino Linotype" w:eastAsia="Palatino Linotype" w:hAnsi="Palatino Linotype" w:cs="Palatino Linotype"/>
          <w:color w:val="000000"/>
          <w:sz w:val="22"/>
          <w:szCs w:val="22"/>
        </w:rPr>
      </w:pPr>
      <w:hyperlink r:id="rId16">
        <w:r w:rsidR="008733D4">
          <w:rPr>
            <w:rFonts w:ascii="Palatino Linotype" w:eastAsia="Palatino Linotype" w:hAnsi="Palatino Linotype" w:cs="Palatino Linotype"/>
            <w:b/>
            <w:color w:val="000000"/>
            <w:sz w:val="22"/>
            <w:szCs w:val="22"/>
          </w:rPr>
          <w:t>SAIMEX 00132 V.P..pdf</w:t>
        </w:r>
      </w:hyperlink>
      <w:r w:rsidR="008733D4">
        <w:rPr>
          <w:rFonts w:ascii="Palatino Linotype" w:eastAsia="Palatino Linotype" w:hAnsi="Palatino Linotype" w:cs="Palatino Linotype"/>
          <w:color w:val="000000"/>
          <w:sz w:val="22"/>
          <w:szCs w:val="22"/>
        </w:rPr>
        <w:t>: Oficio SMDIF/DAyF/172/2024, suscrito por el Director de Administración y Finanzas, dirigido a la Coordinadora de Transparencia, por medio del cual, solicitó convocar al Comité Interno de Transparencia con el fin de aprobar la propuesta de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17">
        <w:r w:rsidR="008733D4">
          <w:rPr>
            <w:rFonts w:ascii="Palatino Linotype" w:eastAsia="Palatino Linotype" w:hAnsi="Palatino Linotype" w:cs="Palatino Linotype"/>
            <w:b/>
            <w:color w:val="000000"/>
            <w:sz w:val="22"/>
            <w:szCs w:val="22"/>
          </w:rPr>
          <w:t>132.pdf</w:t>
        </w:r>
      </w:hyperlink>
      <w:r w:rsidR="008733D4">
        <w:rPr>
          <w:rFonts w:ascii="Palatino Linotype" w:eastAsia="Palatino Linotype" w:hAnsi="Palatino Linotype" w:cs="Palatino Linotype"/>
          <w:color w:val="000000"/>
          <w:sz w:val="22"/>
          <w:szCs w:val="22"/>
        </w:rPr>
        <w:t>: Documento consistente en la copia digitalizada de diversos recibos de nómina correspondientes a servidores públicos adscritos a la Coordinación de Transparencia.</w:t>
      </w:r>
    </w:p>
    <w:p w:rsidR="00D9359C" w:rsidRDefault="008732D8">
      <w:pPr>
        <w:ind w:left="567" w:right="565"/>
        <w:jc w:val="both"/>
        <w:rPr>
          <w:rFonts w:ascii="Palatino Linotype" w:eastAsia="Palatino Linotype" w:hAnsi="Palatino Linotype" w:cs="Palatino Linotype"/>
          <w:color w:val="000000"/>
          <w:sz w:val="22"/>
          <w:szCs w:val="22"/>
        </w:rPr>
      </w:pPr>
      <w:hyperlink r:id="rId18">
        <w:r w:rsidR="008733D4">
          <w:rPr>
            <w:rFonts w:ascii="Palatino Linotype" w:eastAsia="Palatino Linotype" w:hAnsi="Palatino Linotype" w:cs="Palatino Linotype"/>
            <w:b/>
            <w:color w:val="000000"/>
            <w:sz w:val="22"/>
            <w:szCs w:val="22"/>
          </w:rPr>
          <w:t>DÉCIMA TERCERA SESIÓN EXTRAORDINARIA (1).pdf</w:t>
        </w:r>
      </w:hyperlink>
      <w:r w:rsidR="008733D4">
        <w:rPr>
          <w:rFonts w:ascii="Palatino Linotype" w:eastAsia="Palatino Linotype" w:hAnsi="Palatino Linotype" w:cs="Palatino Linotype"/>
          <w:color w:val="000000"/>
          <w:sz w:val="22"/>
          <w:szCs w:val="22"/>
        </w:rPr>
        <w:t>: Acta correspondiente a la Décima Tercera Sesión Extraordinaria del Comité Interno de Transparencia, Acceso a la Información Pública y Protección de Datos Personales, por medio de la cual, se propuso y aprobó la clasificación parcial de la información solicitada, como confidencial.</w:t>
      </w:r>
    </w:p>
    <w:p w:rsidR="00D9359C" w:rsidRDefault="008732D8">
      <w:pPr>
        <w:ind w:left="567" w:right="565"/>
        <w:jc w:val="both"/>
        <w:rPr>
          <w:rFonts w:ascii="Palatino Linotype" w:eastAsia="Palatino Linotype" w:hAnsi="Palatino Linotype" w:cs="Palatino Linotype"/>
          <w:b/>
          <w:color w:val="000000"/>
          <w:sz w:val="22"/>
          <w:szCs w:val="22"/>
        </w:rPr>
      </w:pPr>
      <w:hyperlink r:id="rId19">
        <w:r w:rsidR="008733D4">
          <w:rPr>
            <w:rFonts w:ascii="Palatino Linotype" w:eastAsia="Palatino Linotype" w:hAnsi="Palatino Linotype" w:cs="Palatino Linotype"/>
            <w:b/>
            <w:color w:val="000000"/>
            <w:sz w:val="22"/>
            <w:szCs w:val="22"/>
          </w:rPr>
          <w:t>Solicitud 132 2024.pdf</w:t>
        </w:r>
      </w:hyperlink>
      <w:r w:rsidR="008733D4">
        <w:rPr>
          <w:rFonts w:ascii="Palatino Linotype" w:eastAsia="Palatino Linotype" w:hAnsi="Palatino Linotype" w:cs="Palatino Linotype"/>
          <w:color w:val="000000"/>
          <w:sz w:val="22"/>
          <w:szCs w:val="22"/>
        </w:rPr>
        <w:t xml:space="preserve">: Oficio suscrito por la Titular de la Coordinación de Transparencia, por medio del cual, refirió remitir el oficio de la Dirección de </w:t>
      </w:r>
      <w:r w:rsidR="008733D4">
        <w:rPr>
          <w:rFonts w:ascii="Palatino Linotype" w:eastAsia="Palatino Linotype" w:hAnsi="Palatino Linotype" w:cs="Palatino Linotype"/>
          <w:color w:val="000000"/>
          <w:sz w:val="22"/>
          <w:szCs w:val="22"/>
        </w:rPr>
        <w:lastRenderedPageBreak/>
        <w:t>Administración y Finanzas número SMDIF/DAyF/172/2024; los recibos de nómina de la Coordinación de Transparencia; y, el Acta de la Décima Tercera Sesión Extraordinaria del Comité Interno de Transparencia y Acceso a la Información Pública.</w:t>
      </w:r>
    </w:p>
    <w:p w:rsidR="00D9359C" w:rsidRDefault="00D9359C">
      <w:pPr>
        <w:ind w:left="567" w:right="565"/>
        <w:jc w:val="both"/>
        <w:rPr>
          <w:rFonts w:ascii="Palatino Linotype" w:eastAsia="Palatino Linotype" w:hAnsi="Palatino Linotype" w:cs="Palatino Linotype"/>
          <w:b/>
          <w:color w:val="000000"/>
          <w:sz w:val="22"/>
          <w:szCs w:val="22"/>
        </w:rPr>
      </w:pPr>
    </w:p>
    <w:p w:rsidR="00D9359C" w:rsidRDefault="008733D4">
      <w:pPr>
        <w:numPr>
          <w:ilvl w:val="0"/>
          <w:numId w:val="4"/>
        </w:numPr>
        <w:pBdr>
          <w:top w:val="nil"/>
          <w:left w:val="nil"/>
          <w:bottom w:val="nil"/>
          <w:right w:val="nil"/>
          <w:between w:val="nil"/>
        </w:pBdr>
        <w:ind w:right="565" w:hanging="1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00131/DIFTLALNE/IP/2024:</w:t>
      </w:r>
    </w:p>
    <w:p w:rsidR="00D9359C" w:rsidRDefault="008732D8">
      <w:pPr>
        <w:ind w:left="567" w:right="565"/>
        <w:jc w:val="both"/>
        <w:rPr>
          <w:rFonts w:ascii="Palatino Linotype" w:eastAsia="Palatino Linotype" w:hAnsi="Palatino Linotype" w:cs="Palatino Linotype"/>
          <w:color w:val="000000"/>
          <w:sz w:val="22"/>
          <w:szCs w:val="22"/>
        </w:rPr>
      </w:pPr>
      <w:hyperlink r:id="rId20">
        <w:r w:rsidR="008733D4">
          <w:rPr>
            <w:rFonts w:ascii="Palatino Linotype" w:eastAsia="Palatino Linotype" w:hAnsi="Palatino Linotype" w:cs="Palatino Linotype"/>
            <w:b/>
            <w:color w:val="000000"/>
            <w:sz w:val="22"/>
            <w:szCs w:val="22"/>
          </w:rPr>
          <w:t>SAIMEX 00131 V.P..pdf</w:t>
        </w:r>
      </w:hyperlink>
      <w:r w:rsidR="008733D4">
        <w:rPr>
          <w:rFonts w:ascii="Palatino Linotype" w:eastAsia="Palatino Linotype" w:hAnsi="Palatino Linotype" w:cs="Palatino Linotype"/>
          <w:color w:val="000000"/>
          <w:sz w:val="22"/>
          <w:szCs w:val="22"/>
        </w:rPr>
        <w:t>: Oficio SMDIF/DAyF/171/2024, suscrito por el Director de Administración y Finanzas, dirigido a la Coordinadora de Transparencia, por medio del cual, solicitó convocar al Comité Interno de Transparencia con el fin de aprobar la propuesta de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21">
        <w:r w:rsidR="008733D4">
          <w:rPr>
            <w:rFonts w:ascii="Palatino Linotype" w:eastAsia="Palatino Linotype" w:hAnsi="Palatino Linotype" w:cs="Palatino Linotype"/>
            <w:b/>
            <w:color w:val="000000"/>
            <w:sz w:val="22"/>
            <w:szCs w:val="22"/>
          </w:rPr>
          <w:t>Solicitud 131 2024.pdf</w:t>
        </w:r>
      </w:hyperlink>
      <w:r w:rsidR="008733D4">
        <w:rPr>
          <w:rFonts w:ascii="Palatino Linotype" w:eastAsia="Palatino Linotype" w:hAnsi="Palatino Linotype" w:cs="Palatino Linotype"/>
          <w:color w:val="000000"/>
          <w:sz w:val="22"/>
          <w:szCs w:val="22"/>
        </w:rPr>
        <w:t>: Oficio suscrito por la Titular de la Coordinación de Transparencia, por medio del cual, refirió remitir el oficio de la Dirección de Administración y Finanzas número SMDIF/DAyF/171/2024; los recibos de nómina de la Coordinación de Transparencia; y, el Acta de la Décima Tercera Sesión Extraordinaria del Comité Interno de Transparencia y Acceso a la Información Pública.</w:t>
      </w:r>
    </w:p>
    <w:p w:rsidR="00D9359C" w:rsidRDefault="008732D8">
      <w:pPr>
        <w:ind w:left="567" w:right="565"/>
        <w:jc w:val="both"/>
        <w:rPr>
          <w:rFonts w:ascii="Palatino Linotype" w:eastAsia="Palatino Linotype" w:hAnsi="Palatino Linotype" w:cs="Palatino Linotype"/>
          <w:color w:val="000000"/>
          <w:sz w:val="22"/>
          <w:szCs w:val="22"/>
        </w:rPr>
      </w:pPr>
      <w:hyperlink r:id="rId22">
        <w:r w:rsidR="008733D4">
          <w:rPr>
            <w:rFonts w:ascii="Palatino Linotype" w:eastAsia="Palatino Linotype" w:hAnsi="Palatino Linotype" w:cs="Palatino Linotype"/>
            <w:b/>
            <w:color w:val="000000"/>
            <w:sz w:val="22"/>
            <w:szCs w:val="22"/>
          </w:rPr>
          <w:t>131.pdf</w:t>
        </w:r>
      </w:hyperlink>
      <w:r w:rsidR="008733D4">
        <w:rPr>
          <w:rFonts w:ascii="Palatino Linotype" w:eastAsia="Palatino Linotype" w:hAnsi="Palatino Linotype" w:cs="Palatino Linotype"/>
          <w:color w:val="000000"/>
          <w:sz w:val="22"/>
          <w:szCs w:val="22"/>
        </w:rPr>
        <w:t>: Documento consistente en la copia digitalizada de diversos recibos de nómina correspondientes a servidores públicos adscritos a la Coordinación de Transparencia.</w:t>
      </w:r>
    </w:p>
    <w:p w:rsidR="00D9359C" w:rsidRDefault="008732D8">
      <w:pPr>
        <w:ind w:left="567" w:right="565"/>
        <w:jc w:val="both"/>
        <w:rPr>
          <w:rFonts w:ascii="Palatino Linotype" w:eastAsia="Palatino Linotype" w:hAnsi="Palatino Linotype" w:cs="Palatino Linotype"/>
          <w:color w:val="000000"/>
          <w:sz w:val="22"/>
          <w:szCs w:val="22"/>
        </w:rPr>
      </w:pPr>
      <w:hyperlink r:id="rId23">
        <w:r w:rsidR="008733D4">
          <w:rPr>
            <w:rFonts w:ascii="Palatino Linotype" w:eastAsia="Palatino Linotype" w:hAnsi="Palatino Linotype" w:cs="Palatino Linotype"/>
            <w:b/>
            <w:color w:val="000000"/>
            <w:sz w:val="22"/>
            <w:szCs w:val="22"/>
          </w:rPr>
          <w:t>DÉCIMA TERCERA SESIÓN EXTRAORDINARIA (1).pdf</w:t>
        </w:r>
      </w:hyperlink>
      <w:r w:rsidR="008733D4">
        <w:rPr>
          <w:rFonts w:ascii="Palatino Linotype" w:eastAsia="Palatino Linotype" w:hAnsi="Palatino Linotype" w:cs="Palatino Linotype"/>
          <w:color w:val="000000"/>
          <w:sz w:val="22"/>
          <w:szCs w:val="22"/>
        </w:rPr>
        <w:t>: Acta correspondiente a la Décima Tercera Sesión Extraordinaria del Comité Interno de Transparencia, Acceso a la Información Pública y Protección de Datos Personales, por medio de la cual, se propuso y aprobó la clasificación parcial de la información solicitada, como confidencial.</w:t>
      </w:r>
    </w:p>
    <w:p w:rsidR="00D9359C" w:rsidRDefault="00D9359C">
      <w:pPr>
        <w:ind w:left="567" w:right="565"/>
        <w:jc w:val="both"/>
        <w:rPr>
          <w:rFonts w:ascii="Palatino Linotype" w:eastAsia="Palatino Linotype" w:hAnsi="Palatino Linotype" w:cs="Palatino Linotype"/>
          <w:b/>
          <w:color w:val="000000"/>
          <w:sz w:val="22"/>
          <w:szCs w:val="22"/>
        </w:rPr>
      </w:pPr>
    </w:p>
    <w:p w:rsidR="00D9359C" w:rsidRDefault="008733D4">
      <w:pPr>
        <w:numPr>
          <w:ilvl w:val="0"/>
          <w:numId w:val="4"/>
        </w:numPr>
        <w:pBdr>
          <w:top w:val="nil"/>
          <w:left w:val="nil"/>
          <w:bottom w:val="nil"/>
          <w:right w:val="nil"/>
          <w:between w:val="nil"/>
        </w:pBdr>
        <w:ind w:left="709" w:right="565" w:hanging="14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00130/DIFTLALNE/IP/2024:</w:t>
      </w:r>
    </w:p>
    <w:p w:rsidR="00D9359C" w:rsidRDefault="008732D8">
      <w:pPr>
        <w:ind w:left="567" w:right="565"/>
        <w:jc w:val="both"/>
        <w:rPr>
          <w:rFonts w:ascii="Palatino Linotype" w:eastAsia="Palatino Linotype" w:hAnsi="Palatino Linotype" w:cs="Palatino Linotype"/>
          <w:color w:val="000000"/>
          <w:sz w:val="22"/>
          <w:szCs w:val="22"/>
        </w:rPr>
      </w:pPr>
      <w:hyperlink r:id="rId24">
        <w:r w:rsidR="008733D4">
          <w:rPr>
            <w:rFonts w:ascii="Palatino Linotype" w:eastAsia="Palatino Linotype" w:hAnsi="Palatino Linotype" w:cs="Palatino Linotype"/>
            <w:b/>
            <w:color w:val="000000"/>
            <w:sz w:val="22"/>
            <w:szCs w:val="22"/>
          </w:rPr>
          <w:t>SAIMEX 00130 V.P..pdf</w:t>
        </w:r>
      </w:hyperlink>
      <w:r w:rsidR="008733D4">
        <w:rPr>
          <w:rFonts w:ascii="Palatino Linotype" w:eastAsia="Palatino Linotype" w:hAnsi="Palatino Linotype" w:cs="Palatino Linotype"/>
          <w:color w:val="000000"/>
          <w:sz w:val="22"/>
          <w:szCs w:val="22"/>
        </w:rPr>
        <w:t>: Oficio SMDIF/DAyF/170/2024, suscrito por el Director de Administración y Finanzas, dirigido a la Coordinadora de Transparencia, por medio del cual, solicitó convocar al Comité Interno de Transparencia con el fin de aprobar la propuesta de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25">
        <w:r w:rsidR="008733D4">
          <w:rPr>
            <w:rFonts w:ascii="Palatino Linotype" w:eastAsia="Palatino Linotype" w:hAnsi="Palatino Linotype" w:cs="Palatino Linotype"/>
            <w:b/>
            <w:color w:val="000000"/>
            <w:sz w:val="22"/>
            <w:szCs w:val="22"/>
          </w:rPr>
          <w:t>130.pdf</w:t>
        </w:r>
      </w:hyperlink>
      <w:r w:rsidR="008733D4">
        <w:rPr>
          <w:rFonts w:ascii="Palatino Linotype" w:eastAsia="Palatino Linotype" w:hAnsi="Palatino Linotype" w:cs="Palatino Linotype"/>
          <w:color w:val="000000"/>
          <w:sz w:val="22"/>
          <w:szCs w:val="22"/>
        </w:rPr>
        <w:t>: Documento consistente en la copia digitalizada de diversos recibos de nómina correspondientes a servidores públicos adscritos a la Coordinación de Transparencia.</w:t>
      </w:r>
    </w:p>
    <w:p w:rsidR="00D9359C" w:rsidRDefault="008732D8">
      <w:pPr>
        <w:ind w:left="567" w:right="565"/>
        <w:jc w:val="both"/>
        <w:rPr>
          <w:rFonts w:ascii="Palatino Linotype" w:eastAsia="Palatino Linotype" w:hAnsi="Palatino Linotype" w:cs="Palatino Linotype"/>
          <w:color w:val="000000"/>
          <w:sz w:val="22"/>
          <w:szCs w:val="22"/>
        </w:rPr>
      </w:pPr>
      <w:hyperlink r:id="rId26">
        <w:r w:rsidR="008733D4">
          <w:rPr>
            <w:rFonts w:ascii="Palatino Linotype" w:eastAsia="Palatino Linotype" w:hAnsi="Palatino Linotype" w:cs="Palatino Linotype"/>
            <w:b/>
            <w:color w:val="000000"/>
            <w:sz w:val="22"/>
            <w:szCs w:val="22"/>
          </w:rPr>
          <w:t>Solicitud 130 2024.pdf</w:t>
        </w:r>
      </w:hyperlink>
      <w:r w:rsidR="008733D4">
        <w:rPr>
          <w:rFonts w:ascii="Palatino Linotype" w:eastAsia="Palatino Linotype" w:hAnsi="Palatino Linotype" w:cs="Palatino Linotype"/>
          <w:color w:val="000000"/>
          <w:sz w:val="22"/>
          <w:szCs w:val="22"/>
        </w:rPr>
        <w:t>: Oficio SMDIF/DAyF/170/2024, suscrito por el Director de Administración y Finanzas, dirigido a la Coordinadora de Transparencia, por medio del cual, solicitó convocar al Comité Interno de Transparencia con el fin de aprobar la propuesta de clasificación parcial de la información solicitada, como confidencial.</w:t>
      </w:r>
    </w:p>
    <w:p w:rsidR="00D9359C" w:rsidRDefault="008732D8">
      <w:pPr>
        <w:ind w:left="567" w:right="565"/>
        <w:jc w:val="both"/>
        <w:rPr>
          <w:rFonts w:ascii="Palatino Linotype" w:eastAsia="Palatino Linotype" w:hAnsi="Palatino Linotype" w:cs="Palatino Linotype"/>
          <w:color w:val="000000"/>
          <w:sz w:val="22"/>
          <w:szCs w:val="22"/>
        </w:rPr>
      </w:pPr>
      <w:hyperlink r:id="rId27">
        <w:r w:rsidR="008733D4">
          <w:rPr>
            <w:rFonts w:ascii="Palatino Linotype" w:eastAsia="Palatino Linotype" w:hAnsi="Palatino Linotype" w:cs="Palatino Linotype"/>
            <w:b/>
            <w:color w:val="000000"/>
            <w:sz w:val="22"/>
            <w:szCs w:val="22"/>
          </w:rPr>
          <w:t>DÉCIMA TERCERA SESIÓN EXTRAORDINARIA (1).pdf</w:t>
        </w:r>
      </w:hyperlink>
      <w:r w:rsidR="008733D4">
        <w:rPr>
          <w:rFonts w:ascii="Palatino Linotype" w:eastAsia="Palatino Linotype" w:hAnsi="Palatino Linotype" w:cs="Palatino Linotype"/>
          <w:color w:val="000000"/>
          <w:sz w:val="22"/>
          <w:szCs w:val="22"/>
        </w:rPr>
        <w:t>: Acta correspondiente a la Décima Tercera Sesión Extraordinaria del Comité Interno de Transparencia, Acceso a la Información Pública y Protección de Datos Personales, por medio de la cual, se propuso y aprobó la clasificación parcial de la información solicitada, como confederal.</w:t>
      </w:r>
    </w:p>
    <w:p w:rsidR="00D9359C" w:rsidRDefault="00D9359C">
      <w:pPr>
        <w:ind w:right="565"/>
        <w:jc w:val="both"/>
        <w:rPr>
          <w:rFonts w:ascii="Palatino Linotype" w:eastAsia="Palatino Linotype" w:hAnsi="Palatino Linotype" w:cs="Palatino Linotype"/>
          <w:b/>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2" w:name="_heading=h.30j0zll" w:colFirst="0" w:colLast="0"/>
      <w:bookmarkEnd w:id="2"/>
      <w:r>
        <w:rPr>
          <w:rFonts w:ascii="Palatino Linotype" w:eastAsia="Palatino Linotype" w:hAnsi="Palatino Linotype" w:cs="Palatino Linotype"/>
          <w:color w:val="000000"/>
          <w:sz w:val="22"/>
          <w:szCs w:val="22"/>
        </w:rPr>
        <w:t xml:space="preserve">El quince de julio de dos mil veinticuatro, se interpuso el recurso de revisión </w:t>
      </w:r>
      <w:r>
        <w:rPr>
          <w:rFonts w:ascii="Palatino Linotype" w:eastAsia="Palatino Linotype" w:hAnsi="Palatino Linotype" w:cs="Palatino Linotype"/>
          <w:b/>
          <w:color w:val="000000"/>
          <w:sz w:val="22"/>
          <w:szCs w:val="22"/>
        </w:rPr>
        <w:t xml:space="preserve">04523/INFOEM/IP/RR/2024, 04524/INFOEM/IP/RR/2024, 04525/INFOEM/IP/RR/2024, 04526/INFOEM/IP/RR/2024 y 04527/INFOEM/IP/RR/2024 </w:t>
      </w:r>
      <w:r>
        <w:rPr>
          <w:rFonts w:ascii="Palatino Linotype" w:eastAsia="Palatino Linotype" w:hAnsi="Palatino Linotype" w:cs="Palatino Linotype"/>
          <w:color w:val="000000"/>
          <w:sz w:val="22"/>
          <w:szCs w:val="22"/>
        </w:rPr>
        <w:t>respectivamente, en los mismos términos, señalando como:</w:t>
      </w:r>
    </w:p>
    <w:p w:rsidR="00D9359C" w:rsidRDefault="00D9359C">
      <w:pPr>
        <w:tabs>
          <w:tab w:val="left" w:pos="426"/>
          <w:tab w:val="left" w:pos="567"/>
        </w:tabs>
        <w:ind w:right="565"/>
        <w:jc w:val="both"/>
        <w:rPr>
          <w:rFonts w:ascii="Palatino Linotype" w:eastAsia="Palatino Linotype" w:hAnsi="Palatino Linotype" w:cs="Palatino Linotype"/>
          <w:b/>
          <w:sz w:val="22"/>
          <w:szCs w:val="22"/>
        </w:rPr>
      </w:pPr>
    </w:p>
    <w:p w:rsidR="00D9359C" w:rsidRDefault="008733D4">
      <w:pPr>
        <w:pBdr>
          <w:top w:val="nil"/>
          <w:left w:val="nil"/>
          <w:bottom w:val="nil"/>
          <w:right w:val="nil"/>
          <w:between w:val="nil"/>
        </w:pBdr>
        <w:ind w:left="56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Acto Impugnado: </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DAN RESPUESTA COMO LA SOLICITE EVADEN DAR RESPUESTA, LA COORDINADORA EVADE DAR LA INFORMACIIÓN” (Sic)</w:t>
      </w:r>
    </w:p>
    <w:p w:rsidR="00D9359C" w:rsidRDefault="00D9359C">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Razones o Motivos de Inconformidad:</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NO DAN RESPUESTA COMO LA SOLICITE EVADEN DAR RESPUESTA, LA COORDINADORA EVADE DAR LA INFORMACIIÓN” (Sic)</w:t>
      </w:r>
    </w:p>
    <w:p w:rsidR="00D9359C" w:rsidRDefault="00D9359C">
      <w:pPr>
        <w:pBdr>
          <w:top w:val="nil"/>
          <w:left w:val="nil"/>
          <w:bottom w:val="nil"/>
          <w:right w:val="nil"/>
          <w:between w:val="nil"/>
        </w:pBdr>
        <w:spacing w:line="360" w:lineRule="auto"/>
        <w:rPr>
          <w:rFonts w:ascii="Palatino Linotype" w:eastAsia="Palatino Linotype" w:hAnsi="Palatino Linotype" w:cs="Palatino Linotype"/>
          <w:i/>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registraron los recursos de revisión bajo los números de expediente </w:t>
      </w:r>
      <w:r>
        <w:rPr>
          <w:rFonts w:ascii="Palatino Linotype" w:eastAsia="Palatino Linotype" w:hAnsi="Palatino Linotype" w:cs="Palatino Linotype"/>
          <w:b/>
          <w:color w:val="000000"/>
          <w:sz w:val="22"/>
          <w:szCs w:val="22"/>
        </w:rPr>
        <w:t>04523/INFOEM/IP/RR/2024, 04524/INFOEM/IP/RR/2024, 04525/INFOEM/IP/RR/2024, 04526/INFOEM/IP/RR/2024 y 04527/INFOEM/IP/RR/2024</w:t>
      </w:r>
      <w:r>
        <w:rPr>
          <w:rFonts w:ascii="Palatino Linotype" w:eastAsia="Palatino Linotype" w:hAnsi="Palatino Linotype" w:cs="Palatino Linotype"/>
          <w:color w:val="000000"/>
          <w:sz w:val="22"/>
          <w:szCs w:val="22"/>
        </w:rPr>
        <w:t xml:space="preserve">; asimismo, con fundamento en </w:t>
      </w:r>
      <w:r>
        <w:rPr>
          <w:rFonts w:ascii="Palatino Linotype" w:eastAsia="Palatino Linotype" w:hAnsi="Palatino Linotype" w:cs="Palatino Linotype"/>
          <w:color w:val="000000"/>
          <w:sz w:val="22"/>
          <w:szCs w:val="22"/>
        </w:rPr>
        <w:lastRenderedPageBreak/>
        <w:t xml:space="preserve">lo dispuesto por el artículo 185, fracción I, de la Ley de Transparencia y Acceso a la Información Pública del Estado de México y Municipios se turnaron a los </w:t>
      </w:r>
      <w:r>
        <w:rPr>
          <w:rFonts w:ascii="Palatino Linotype" w:eastAsia="Palatino Linotype" w:hAnsi="Palatino Linotype" w:cs="Palatino Linotype"/>
          <w:b/>
          <w:color w:val="000000"/>
          <w:sz w:val="22"/>
          <w:szCs w:val="22"/>
        </w:rPr>
        <w:t>Comisionadas María del Rosario Mejía Ayala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Guadalupe Ramírez Peña, José Martínez Vilchis, Luis Gustavo Parra Noriega y Sharon Morales Martínez </w:t>
      </w:r>
      <w:r>
        <w:rPr>
          <w:rFonts w:ascii="Palatino Linotype" w:eastAsia="Palatino Linotype" w:hAnsi="Palatino Linotype" w:cs="Palatino Linotype"/>
          <w:color w:val="000000"/>
          <w:sz w:val="22"/>
          <w:szCs w:val="22"/>
        </w:rPr>
        <w:t>respectivamente, con el objeto de su análisis.</w:t>
      </w:r>
    </w:p>
    <w:p w:rsidR="00D9359C" w:rsidRDefault="00D9359C">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Posteriormente, en la</w:t>
      </w:r>
      <w:r>
        <w:rPr>
          <w:rFonts w:ascii="Palatino Linotype" w:eastAsia="Palatino Linotype" w:hAnsi="Palatino Linotype" w:cs="Palatino Linotype"/>
          <w:b/>
          <w:color w:val="000000"/>
          <w:sz w:val="22"/>
          <w:szCs w:val="22"/>
        </w:rPr>
        <w:t xml:space="preserve"> Vigésima Séptima Sesión Ordinaria, </w:t>
      </w:r>
      <w:r>
        <w:rPr>
          <w:rFonts w:ascii="Palatino Linotype" w:eastAsia="Palatino Linotype" w:hAnsi="Palatino Linotype" w:cs="Palatino Linotype"/>
          <w:color w:val="000000"/>
          <w:sz w:val="22"/>
          <w:szCs w:val="22"/>
        </w:rPr>
        <w:t>celebrada el siete de agosto de dos mil veinticuatro, el Pleno de este Órgano Autónomo ordenó la acumulación del recurso de revisión</w:t>
      </w:r>
      <w:r>
        <w:rPr>
          <w:rFonts w:ascii="Palatino Linotype" w:eastAsia="Palatino Linotype" w:hAnsi="Palatino Linotype" w:cs="Palatino Linotype"/>
          <w:b/>
          <w:color w:val="000000"/>
          <w:sz w:val="22"/>
          <w:szCs w:val="22"/>
        </w:rPr>
        <w:t xml:space="preserve"> 04524/INFOEM/IP/RR/2024, 04525/INFOEM/IP/RR/2024, 04526/INFOEM/IP/RR/2024 y 04527/INFOEM/IP/RR/2024 </w:t>
      </w:r>
      <w:r>
        <w:rPr>
          <w:rFonts w:ascii="Palatino Linotype" w:eastAsia="Palatino Linotype" w:hAnsi="Palatino Linotype" w:cs="Palatino Linotype"/>
          <w:color w:val="000000"/>
          <w:sz w:val="22"/>
          <w:szCs w:val="22"/>
        </w:rPr>
        <w:t xml:space="preserve">al diverso </w:t>
      </w:r>
      <w:r>
        <w:rPr>
          <w:rFonts w:ascii="Palatino Linotype" w:eastAsia="Palatino Linotype" w:hAnsi="Palatino Linotype" w:cs="Palatino Linotype"/>
          <w:b/>
          <w:color w:val="000000"/>
          <w:sz w:val="22"/>
          <w:szCs w:val="22"/>
        </w:rPr>
        <w:t>04523/INFOEM/IP/RR/2024</w:t>
      </w:r>
      <w:r>
        <w:rPr>
          <w:rFonts w:ascii="Palatino Linotype" w:eastAsia="Palatino Linotype" w:hAnsi="Palatino Linotype" w:cs="Palatino Linotype"/>
          <w:color w:val="000000"/>
          <w:sz w:val="22"/>
          <w:szCs w:val="22"/>
        </w:rPr>
        <w:t>, a efecto de que está Órgano Garante formulará y presentará el proyecto de resolución correspondiente, de conformidad con el numeral ONCE, incisos b) y c), de los Lineamientos para la Recepción, Trámite y Resolución de las Solicitudes de Acceso a la Información Pública.</w:t>
      </w:r>
    </w:p>
    <w:p w:rsidR="00D9359C" w:rsidRDefault="00D9359C">
      <w:pP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Pr>
          <w:rFonts w:ascii="Palatino Linotype" w:eastAsia="Palatino Linotype" w:hAnsi="Palatino Linotype" w:cs="Palatino Linotype"/>
          <w:b/>
          <w:color w:val="000000"/>
          <w:sz w:val="22"/>
          <w:szCs w:val="22"/>
        </w:rPr>
        <w:t>Comisionada María del Rosario Mejía Ayala</w:t>
      </w:r>
      <w:r>
        <w:rPr>
          <w:rFonts w:ascii="Palatino Linotype" w:eastAsia="Palatino Linotype" w:hAnsi="Palatino Linotype" w:cs="Palatino Linotype"/>
          <w:color w:val="000000"/>
          <w:sz w:val="22"/>
          <w:szCs w:val="22"/>
        </w:rPr>
        <w:t xml:space="preserve"> con el objeto de su análisis.</w:t>
      </w:r>
    </w:p>
    <w:p w:rsidR="00D9359C" w:rsidRDefault="00D9359C">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del diecisiete y dieciocho de julio de dos mil veinticuatro, puso a disposición de las partes el expediente electrónico vía Sistema de Acceso a la Información Mexiquense </w:t>
      </w:r>
      <w:r>
        <w:rPr>
          <w:rFonts w:ascii="Palatino Linotype" w:eastAsia="Palatino Linotype" w:hAnsi="Palatino Linotype" w:cs="Palatino Linotype"/>
          <w:b/>
          <w:color w:val="000000"/>
          <w:sz w:val="22"/>
          <w:szCs w:val="22"/>
        </w:rPr>
        <w:t xml:space="preserve">SAIMEX, </w:t>
      </w:r>
      <w:r>
        <w:rPr>
          <w:rFonts w:ascii="Palatino Linotype" w:eastAsia="Palatino Linotype" w:hAnsi="Palatino Linotype" w:cs="Palatino Linotype"/>
          <w:color w:val="000000"/>
          <w:sz w:val="22"/>
          <w:szCs w:val="22"/>
        </w:rPr>
        <w:t xml:space="preserve">a efecto de que en un plazo </w:t>
      </w:r>
      <w:r>
        <w:rPr>
          <w:rFonts w:ascii="Palatino Linotype" w:eastAsia="Palatino Linotype" w:hAnsi="Palatino Linotype" w:cs="Palatino Linotype"/>
          <w:color w:val="000000"/>
          <w:sz w:val="22"/>
          <w:szCs w:val="22"/>
        </w:rPr>
        <w:lastRenderedPageBreak/>
        <w:t xml:space="preserve">máximo de siete días manifestaran lo que a su derecho conviniera, ofrecieran pruebas y alegatos según corresponda, de esta forma para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presentará el Informe Justificado procedente.</w:t>
      </w:r>
    </w:p>
    <w:p w:rsidR="00D9359C" w:rsidRDefault="00D9359C">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rindió los informes justificados correspondientes; por su parte, el</w:t>
      </w:r>
      <w:r>
        <w:rPr>
          <w:rFonts w:ascii="Palatino Linotype" w:eastAsia="Palatino Linotype" w:hAnsi="Palatino Linotype" w:cs="Palatino Linotype"/>
          <w:b/>
          <w:color w:val="000000"/>
          <w:sz w:val="22"/>
          <w:szCs w:val="22"/>
        </w:rPr>
        <w:t xml:space="preserve"> RECURRENTE</w:t>
      </w:r>
      <w:r>
        <w:rPr>
          <w:rFonts w:ascii="Palatino Linotype" w:eastAsia="Palatino Linotype" w:hAnsi="Palatino Linotype" w:cs="Palatino Linotype"/>
          <w:color w:val="000000"/>
          <w:sz w:val="22"/>
          <w:szCs w:val="22"/>
        </w:rPr>
        <w:t xml:space="preserve"> no presentó pruebas o alegatos que a su derecho convinieran.</w:t>
      </w:r>
      <w:r>
        <w:rPr>
          <w:rFonts w:ascii="Palatino Linotype" w:eastAsia="Palatino Linotype" w:hAnsi="Palatino Linotype" w:cs="Palatino Linotype"/>
          <w:i/>
          <w:color w:val="000000"/>
          <w:sz w:val="22"/>
          <w:szCs w:val="22"/>
        </w:rPr>
        <w:t xml:space="preserve">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veinticinco de septiembre y dieciséis de octubre de dos mil veinticuatro, se notificó el acuerdo mediante el cual se amplió el plazo para emitir resolución por un término de 15 días adicionales.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D9359C" w:rsidRDefault="00D9359C">
      <w:pPr>
        <w:pBdr>
          <w:top w:val="nil"/>
          <w:left w:val="nil"/>
          <w:bottom w:val="nil"/>
          <w:right w:val="nil"/>
          <w:between w:val="nil"/>
        </w:pBd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9359C" w:rsidRDefault="00D9359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9359C" w:rsidRDefault="00D9359C">
      <w:pPr>
        <w:pBdr>
          <w:top w:val="nil"/>
          <w:left w:val="nil"/>
          <w:bottom w:val="nil"/>
          <w:right w:val="nil"/>
          <w:between w:val="nil"/>
        </w:pBd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9359C" w:rsidRDefault="00D9359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D9359C" w:rsidRDefault="00D9359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D9359C" w:rsidRDefault="00D9359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Pr>
          <w:rFonts w:ascii="Palatino Linotype" w:eastAsia="Palatino Linotype" w:hAnsi="Palatino Linotype" w:cs="Palatino Linotype"/>
          <w:color w:val="000000"/>
          <w:sz w:val="22"/>
          <w:szCs w:val="22"/>
        </w:rPr>
        <w:lastRenderedPageBreak/>
        <w:t>debe concluirse que es una excluyente de responsabilidad en relación con la actuación del funcionario, como ha acontecido en el caso que nos ocupa.</w:t>
      </w: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D9359C" w:rsidRDefault="00D9359C">
      <w:pPr>
        <w:pBdr>
          <w:top w:val="nil"/>
          <w:left w:val="nil"/>
          <w:bottom w:val="nil"/>
          <w:right w:val="nil"/>
          <w:between w:val="nil"/>
        </w:pBd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9359C" w:rsidRDefault="00D9359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D9359C" w:rsidRDefault="00D9359C">
      <w:pPr>
        <w:pBdr>
          <w:top w:val="nil"/>
          <w:left w:val="nil"/>
          <w:bottom w:val="nil"/>
          <w:right w:val="nil"/>
          <w:between w:val="nil"/>
        </w:pBdr>
        <w:rPr>
          <w:rFonts w:ascii="Palatino Linotype" w:eastAsia="Palatino Linotype" w:hAnsi="Palatino Linotype" w:cs="Palatino Linotype"/>
          <w:color w:val="000000"/>
          <w:sz w:val="22"/>
          <w:szCs w:val="22"/>
        </w:rPr>
      </w:pPr>
    </w:p>
    <w:p w:rsidR="00D9359C" w:rsidRDefault="008733D4">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“PLAZO RAZONABLE PARA RESOLVER. DIMENSIÓN Y EFECTOS DE ESTE CONCEPTO CUANDO SE ADUCE EXCESIVA CARGA DE TRABAJO.” consultable en el Seminario Judicial de la Federación y su gaceta, con el registro digital 2002351.</w:t>
      </w:r>
    </w:p>
    <w:p w:rsidR="00D9359C" w:rsidRDefault="008733D4">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D9359C" w:rsidRDefault="008733D4">
      <w:pPr>
        <w:pBdr>
          <w:top w:val="nil"/>
          <w:left w:val="nil"/>
          <w:bottom w:val="nil"/>
          <w:right w:val="nil"/>
          <w:between w:val="nil"/>
        </w:pBdr>
        <w:tabs>
          <w:tab w:val="left" w:pos="8364"/>
        </w:tabs>
        <w:ind w:left="567" w:right="56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Comisionada Ponente decretó el cierre de instrucción mediante acuerdo del dieciséis de octubre de dos mil veinticuatro; por lo que se ordenó turnar el expediente a resolución, misma que ahora se pronuncia; y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Style w:val="Ttulo2"/>
        <w:jc w:val="center"/>
        <w:rPr>
          <w:rFonts w:ascii="Palatino Linotype" w:eastAsia="Palatino Linotype" w:hAnsi="Palatino Linotype" w:cs="Palatino Linotype"/>
          <w:b/>
          <w:color w:val="000000"/>
          <w:sz w:val="22"/>
          <w:szCs w:val="22"/>
        </w:rPr>
      </w:pPr>
      <w:bookmarkStart w:id="3" w:name="_heading=h.1fob9te" w:colFirst="0" w:colLast="0"/>
      <w:bookmarkEnd w:id="3"/>
      <w:r>
        <w:rPr>
          <w:rFonts w:ascii="Palatino Linotype" w:eastAsia="Palatino Linotype" w:hAnsi="Palatino Linotype" w:cs="Palatino Linotype"/>
          <w:b/>
          <w:color w:val="000000"/>
          <w:sz w:val="22"/>
          <w:szCs w:val="22"/>
        </w:rPr>
        <w:t>CONSIDERANDO</w:t>
      </w:r>
    </w:p>
    <w:p w:rsidR="00D9359C" w:rsidRDefault="00D9359C">
      <w:pPr>
        <w:rPr>
          <w:rFonts w:ascii="Palatino Linotype" w:eastAsia="Palatino Linotype" w:hAnsi="Palatino Linotype" w:cs="Palatino Linotype"/>
          <w:sz w:val="22"/>
          <w:szCs w:val="22"/>
        </w:rPr>
      </w:pPr>
    </w:p>
    <w:p w:rsidR="00D9359C" w:rsidRDefault="008733D4">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4" w:name="_heading=h.3znysh7" w:colFirst="0" w:colLast="0"/>
      <w:bookmarkEnd w:id="4"/>
      <w:r>
        <w:rPr>
          <w:rFonts w:ascii="Palatino Linotype" w:eastAsia="Palatino Linotype" w:hAnsi="Palatino Linotype" w:cs="Palatino Linotype"/>
          <w:b/>
          <w:color w:val="000000"/>
          <w:sz w:val="22"/>
          <w:szCs w:val="22"/>
        </w:rPr>
        <w:t>PRIMERO. De la competencia</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w:t>
      </w:r>
      <w:r>
        <w:rPr>
          <w:rFonts w:ascii="Palatino Linotype" w:eastAsia="Palatino Linotype" w:hAnsi="Palatino Linotype" w:cs="Palatino Linotype"/>
          <w:color w:val="000000"/>
          <w:sz w:val="22"/>
          <w:szCs w:val="22"/>
        </w:rPr>
        <w:lastRenderedPageBreak/>
        <w:t>del Instituto de Transparencia, Acceso a la Información Pública y Protección de Datos Personales del Estado de México y Municipios.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Style w:val="Ttulo2"/>
        <w:tabs>
          <w:tab w:val="left" w:pos="0"/>
        </w:tabs>
        <w:spacing w:before="0" w:line="360" w:lineRule="auto"/>
        <w:rPr>
          <w:rFonts w:ascii="Palatino Linotype" w:eastAsia="Palatino Linotype" w:hAnsi="Palatino Linotype" w:cs="Palatino Linotype"/>
          <w:b/>
          <w:color w:val="000000"/>
          <w:sz w:val="22"/>
          <w:szCs w:val="22"/>
        </w:rPr>
      </w:pPr>
      <w:bookmarkStart w:id="5" w:name="_heading=h.2et92p0" w:colFirst="0" w:colLast="0"/>
      <w:bookmarkEnd w:id="5"/>
      <w:r>
        <w:rPr>
          <w:rFonts w:ascii="Palatino Linotype" w:eastAsia="Palatino Linotype" w:hAnsi="Palatino Linotype" w:cs="Palatino Linotype"/>
          <w:b/>
          <w:color w:val="000000"/>
          <w:sz w:val="22"/>
          <w:szCs w:val="22"/>
        </w:rPr>
        <w:t>SEGUNDO. De la oportunidad y procedencia.</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bookmarkStart w:id="6" w:name="_heading=h.tyjcwt" w:colFirst="0" w:colLast="0"/>
      <w:bookmarkEnd w:id="6"/>
      <w:r>
        <w:rPr>
          <w:rFonts w:ascii="Palatino Linotype" w:eastAsia="Palatino Linotype" w:hAnsi="Palatino Linotype" w:cs="Palatino Linotype"/>
          <w:color w:val="000000"/>
          <w:sz w:val="22"/>
          <w:szCs w:val="22"/>
        </w:rPr>
        <w:t xml:space="preserve"> El medio de impugnación fue presentado a través del </w:t>
      </w:r>
      <w:r>
        <w:rPr>
          <w:rFonts w:ascii="Palatino Linotype" w:eastAsia="Palatino Linotype" w:hAnsi="Palatino Linotype" w:cs="Palatino Linotype"/>
          <w:b/>
          <w:color w:val="000000"/>
          <w:sz w:val="22"/>
          <w:szCs w:val="22"/>
        </w:rPr>
        <w:t xml:space="preserve">SAIMEX </w:t>
      </w:r>
      <w:r>
        <w:rPr>
          <w:rFonts w:ascii="Palatino Linotype" w:eastAsia="Palatino Linotype" w:hAnsi="Palatino Linotype" w:cs="Palatino Linotype"/>
          <w:color w:val="000000"/>
          <w:sz w:val="22"/>
          <w:szCs w:val="22"/>
        </w:rPr>
        <w:t xml:space="preserve">en el formato previamente aprobado para tal efecto y dentro del plazo legal de quince días hábiles otorgados; siendo así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entregó respuesta el once de julio de dos mil veinticuatro, de tal forma que el plazo para interponer el recurso de revisión transcurrió del doce de julio al quince de agosto de dos mil veinticuatro, en consecuencia, si la parte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presentó su inconformidad el quince de julio de dos mil veinticuatro, se encuentra dentro de los márgenes temporales previstos en el artículo 178 de la Ley de Transparencia y Acceso a la Información Pública del Estado de México y Municipios.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Style w:val="Ttulo2"/>
        <w:tabs>
          <w:tab w:val="left" w:pos="0"/>
        </w:tabs>
        <w:spacing w:before="0" w:line="360" w:lineRule="auto"/>
        <w:rPr>
          <w:rFonts w:ascii="Palatino Linotype" w:eastAsia="Palatino Linotype" w:hAnsi="Palatino Linotype" w:cs="Palatino Linotype"/>
          <w:b/>
          <w:i/>
          <w:color w:val="000000"/>
          <w:sz w:val="22"/>
          <w:szCs w:val="22"/>
        </w:rPr>
      </w:pPr>
      <w:bookmarkStart w:id="7" w:name="_heading=h.3dy6vkm" w:colFirst="0" w:colLast="0"/>
      <w:bookmarkEnd w:id="7"/>
      <w:r>
        <w:rPr>
          <w:rFonts w:ascii="Palatino Linotype" w:eastAsia="Palatino Linotype" w:hAnsi="Palatino Linotype" w:cs="Palatino Linotype"/>
          <w:b/>
          <w:color w:val="000000"/>
          <w:sz w:val="22"/>
          <w:szCs w:val="22"/>
        </w:rPr>
        <w:t xml:space="preserve">TERCERO. Del planteamiento de la </w:t>
      </w:r>
      <w:r>
        <w:rPr>
          <w:rFonts w:ascii="Palatino Linotype" w:eastAsia="Palatino Linotype" w:hAnsi="Palatino Linotype" w:cs="Palatino Linotype"/>
          <w:b/>
          <w:i/>
          <w:color w:val="000000"/>
          <w:sz w:val="22"/>
          <w:szCs w:val="22"/>
        </w:rPr>
        <w:t>Litis.</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bookmarkStart w:id="8" w:name="_heading=h.1t3h5sf" w:colFirst="0" w:colLast="0"/>
      <w:bookmarkEnd w:id="8"/>
      <w:r>
        <w:rPr>
          <w:rFonts w:ascii="Palatino Linotype" w:eastAsia="Palatino Linotype" w:hAnsi="Palatino Linotype" w:cs="Palatino Linotype"/>
          <w:color w:val="000000"/>
          <w:sz w:val="22"/>
          <w:szCs w:val="22"/>
        </w:rPr>
        <w:lastRenderedPageBreak/>
        <w:t xml:space="preserve">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solicitó los recibos de nómina, aguinaldo y prima vacacional de los servidores públicos adscritos a la Coordinación de Transparencia durante 2021, 2022, 2023 y del 1 de enero al 21 de junio de 2024.</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por medio de la Dirección de Administración y Finanzas, remitió diversos recibos percepciones por concepto de sueldo, prima vacacional y aguinaldo de 2021, 2022, 2023 y 2024; asimismo, el Acta del Comité de Transparencia que sustenta la versión pública de estos.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Posteriormente,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interpuso los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recursos de revisión número </w:t>
      </w:r>
      <w:r>
        <w:rPr>
          <w:rFonts w:ascii="Palatino Linotype" w:eastAsia="Palatino Linotype" w:hAnsi="Palatino Linotype" w:cs="Palatino Linotype"/>
          <w:b/>
          <w:color w:val="000000"/>
          <w:sz w:val="22"/>
          <w:szCs w:val="22"/>
        </w:rPr>
        <w:t>04523/INFOEM/IP/RR/2024, 04524/INFOEM/IP/RR/2024, 04525/INFOEM/IP/RR/2024, 04526/INFOEM/IP/RR/2024 y 04527/INFOEM/IP/RR/2024</w:t>
      </w:r>
      <w:r>
        <w:rPr>
          <w:rFonts w:ascii="Palatino Linotype" w:eastAsia="Palatino Linotype" w:hAnsi="Palatino Linotype" w:cs="Palatino Linotype"/>
          <w:color w:val="000000"/>
          <w:sz w:val="22"/>
          <w:szCs w:val="22"/>
        </w:rPr>
        <w:t xml:space="preserve">, donde manifestó como motivos de inconformidad, </w:t>
      </w:r>
      <w:r>
        <w:rPr>
          <w:rFonts w:ascii="Palatino Linotype" w:eastAsia="Palatino Linotype" w:hAnsi="Palatino Linotype" w:cs="Palatino Linotype"/>
          <w:b/>
          <w:color w:val="000000"/>
          <w:sz w:val="22"/>
          <w:szCs w:val="22"/>
        </w:rPr>
        <w:t>la negativa de la información solicitada.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dichas condiciones, la </w:t>
      </w:r>
      <w:r>
        <w:rPr>
          <w:rFonts w:ascii="Palatino Linotype" w:eastAsia="Palatino Linotype" w:hAnsi="Palatino Linotype" w:cs="Palatino Linotype"/>
          <w:i/>
          <w:color w:val="000000"/>
          <w:sz w:val="22"/>
          <w:szCs w:val="22"/>
        </w:rPr>
        <w:t>Litis</w:t>
      </w:r>
      <w:r>
        <w:rPr>
          <w:rFonts w:ascii="Palatino Linotype" w:eastAsia="Palatino Linotype" w:hAnsi="Palatino Linotype" w:cs="Palatino Linotype"/>
          <w:color w:val="000000"/>
          <w:sz w:val="22"/>
          <w:szCs w:val="22"/>
        </w:rPr>
        <w:t xml:space="preserve"> a resolver en el presente recurso de revisión se circunscribe a determinar si se actualizan la causal de procedencia prevista en el artículo 179, fracción</w:t>
      </w:r>
      <w:r>
        <w:rPr>
          <w:rFonts w:ascii="Palatino Linotype" w:eastAsia="Palatino Linotype" w:hAnsi="Palatino Linotype" w:cs="Palatino Linotype"/>
          <w:b/>
          <w:color w:val="000000"/>
          <w:sz w:val="22"/>
          <w:szCs w:val="22"/>
        </w:rPr>
        <w:t xml:space="preserve"> I </w:t>
      </w:r>
      <w:r>
        <w:rPr>
          <w:rFonts w:ascii="Palatino Linotype" w:eastAsia="Palatino Linotype" w:hAnsi="Palatino Linotype" w:cs="Palatino Linotype"/>
          <w:color w:val="000000"/>
          <w:sz w:val="22"/>
          <w:szCs w:val="22"/>
        </w:rPr>
        <w:t xml:space="preserve">de la </w:t>
      </w:r>
      <w:r>
        <w:rPr>
          <w:rFonts w:ascii="Palatino Linotype" w:eastAsia="Palatino Linotype" w:hAnsi="Palatino Linotype" w:cs="Palatino Linotype"/>
          <w:b/>
          <w:color w:val="000000"/>
          <w:sz w:val="22"/>
          <w:szCs w:val="22"/>
        </w:rPr>
        <w:t>Ley de Transparencia y Acceso a la Información Pública del Estado de México y Municipios</w:t>
      </w:r>
      <w:r>
        <w:rPr>
          <w:rFonts w:ascii="Palatino Linotype" w:eastAsia="Palatino Linotype" w:hAnsi="Palatino Linotype" w:cs="Palatino Linotype"/>
          <w:color w:val="000000"/>
          <w:sz w:val="22"/>
          <w:szCs w:val="22"/>
        </w:rPr>
        <w:t>.</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Style w:val="Ttulo2"/>
        <w:tabs>
          <w:tab w:val="left" w:pos="0"/>
        </w:tabs>
        <w:spacing w:before="0" w:line="36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CUARTO. Del estudio y resolución del asunto.</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w:t>
      </w:r>
      <w:r>
        <w:rPr>
          <w:rFonts w:ascii="Palatino Linotype" w:eastAsia="Palatino Linotype" w:hAnsi="Palatino Linotype" w:cs="Palatino Linotype"/>
          <w:color w:val="000000"/>
          <w:sz w:val="22"/>
          <w:szCs w:val="22"/>
        </w:rPr>
        <w:lastRenderedPageBreak/>
        <w:t>sobre Derechos Humanos en su artículo 13.1; en el artículo sexto de la Constitución Política de los Estados Unidos Mexicanos y en el artículo quinto de la Particular del Estado de México.</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Definiendo el Derecho de Acceso a la Información Pública como: </w:t>
      </w:r>
      <w:r>
        <w:rPr>
          <w:rFonts w:ascii="Palatino Linotype" w:eastAsia="Palatino Linotype" w:hAnsi="Palatino Linotype" w:cs="Palatino Linotype"/>
          <w:i/>
          <w:color w:val="000000"/>
          <w:sz w:val="22"/>
          <w:szCs w:val="22"/>
        </w:rPr>
        <w:t xml:space="preserve">La igualdad de </w:t>
      </w:r>
      <w:r>
        <w:rPr>
          <w:rFonts w:ascii="Palatino Linotype" w:eastAsia="Palatino Linotype" w:hAnsi="Palatino Linotype" w:cs="Palatino Linotype"/>
          <w:color w:val="000000"/>
          <w:sz w:val="22"/>
          <w:szCs w:val="22"/>
        </w:rPr>
        <w:t>oportunidades</w:t>
      </w:r>
      <w:r>
        <w:rPr>
          <w:rFonts w:ascii="Palatino Linotype" w:eastAsia="Palatino Linotype" w:hAnsi="Palatino Linotype" w:cs="Palatino Linotype"/>
          <w:i/>
          <w:color w:val="000000"/>
          <w:sz w:val="22"/>
          <w:szCs w:val="22"/>
        </w:rPr>
        <w:t xml:space="preserve"> para recibir, buscar e impartir información</w:t>
      </w:r>
      <w:r>
        <w:rPr>
          <w:rFonts w:ascii="Palatino Linotype" w:eastAsia="Palatino Linotype" w:hAnsi="Palatino Linotype" w:cs="Palatino Linotype"/>
          <w:i/>
          <w:color w:val="000000"/>
          <w:sz w:val="22"/>
          <w:szCs w:val="22"/>
          <w:vertAlign w:val="superscript"/>
        </w:rPr>
        <w:footnoteReference w:id="1"/>
      </w:r>
      <w:r>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2"/>
          <w:szCs w:val="22"/>
          <w:vertAlign w:val="superscript"/>
        </w:rPr>
        <w:footnoteReference w:id="2"/>
      </w:r>
      <w:r>
        <w:rPr>
          <w:rFonts w:ascii="Palatino Linotype" w:eastAsia="Palatino Linotype" w:hAnsi="Palatino Linotype" w:cs="Palatino Linotype"/>
          <w:color w:val="000000"/>
          <w:sz w:val="22"/>
          <w:szCs w:val="22"/>
        </w:rPr>
        <w:t>que se constituye como una herramienta fundamental para ejercer</w:t>
      </w:r>
      <w:r>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2"/>
          <w:szCs w:val="22"/>
          <w:vertAlign w:val="superscript"/>
        </w:rPr>
        <w:footnoteReference w:id="3"/>
      </w:r>
      <w:r>
        <w:rPr>
          <w:rFonts w:ascii="Palatino Linotype" w:eastAsia="Palatino Linotype" w:hAnsi="Palatino Linotype" w:cs="Palatino Linotype"/>
          <w:color w:val="000000"/>
          <w:sz w:val="22"/>
          <w:szCs w:val="22"/>
        </w:rPr>
        <w:t>fomentando</w:t>
      </w:r>
      <w:r>
        <w:rPr>
          <w:rFonts w:ascii="Palatino Linotype" w:eastAsia="Palatino Linotype" w:hAnsi="Palatino Linotype" w:cs="Palatino Linotype"/>
          <w:i/>
          <w:color w:val="000000"/>
          <w:sz w:val="22"/>
          <w:szCs w:val="22"/>
        </w:rPr>
        <w:t xml:space="preserve"> la transparencia de las actividades estatales y </w:t>
      </w:r>
      <w:r>
        <w:rPr>
          <w:rFonts w:ascii="Palatino Linotype" w:eastAsia="Palatino Linotype" w:hAnsi="Palatino Linotype" w:cs="Palatino Linotype"/>
          <w:color w:val="000000"/>
          <w:sz w:val="22"/>
          <w:szCs w:val="22"/>
        </w:rPr>
        <w:t>promoviendo</w:t>
      </w:r>
      <w:r>
        <w:rPr>
          <w:rFonts w:ascii="Palatino Linotype" w:eastAsia="Palatino Linotype" w:hAnsi="Palatino Linotype" w:cs="Palatino Linotype"/>
          <w:i/>
          <w:color w:val="000000"/>
          <w:sz w:val="22"/>
          <w:szCs w:val="22"/>
        </w:rPr>
        <w:t xml:space="preserve"> la responsabilidad de los funcionarios sobre su gestión pública,</w:t>
      </w:r>
      <w:r>
        <w:rPr>
          <w:rFonts w:ascii="Palatino Linotype" w:eastAsia="Palatino Linotype" w:hAnsi="Palatino Linotype" w:cs="Palatino Linotype"/>
          <w:i/>
          <w:color w:val="000000"/>
          <w:sz w:val="22"/>
          <w:szCs w:val="22"/>
          <w:vertAlign w:val="superscript"/>
        </w:rPr>
        <w:footnoteReference w:id="4"/>
      </w:r>
      <w:r>
        <w:rPr>
          <w:rFonts w:ascii="Palatino Linotype" w:eastAsia="Palatino Linotype" w:hAnsi="Palatino Linotype" w:cs="Palatino Linotype"/>
          <w:color w:val="000000"/>
          <w:sz w:val="22"/>
          <w:szCs w:val="22"/>
        </w:rPr>
        <w:t>que permite</w:t>
      </w:r>
      <w:r>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México, además de los derechos, están reconocidas las garantías para su protección, en ese sentido el párrafo tercero de artículo primero de la Constitución Política de los Estados Unidos Mexicanos, dispone lo siguiente:</w:t>
      </w:r>
    </w:p>
    <w:p w:rsidR="00D9359C" w:rsidRDefault="00D9359C">
      <w:pPr>
        <w:pBdr>
          <w:top w:val="nil"/>
          <w:left w:val="nil"/>
          <w:bottom w:val="nil"/>
          <w:right w:val="nil"/>
          <w:between w:val="nil"/>
        </w:pBdr>
        <w:ind w:left="567" w:right="565"/>
        <w:rPr>
          <w:rFonts w:ascii="Palatino Linotype" w:eastAsia="Palatino Linotype" w:hAnsi="Palatino Linotype" w:cs="Palatino Linotype"/>
          <w:color w:val="000000"/>
          <w:sz w:val="22"/>
          <w:szCs w:val="22"/>
        </w:rPr>
      </w:pPr>
    </w:p>
    <w:p w:rsidR="00D9359C" w:rsidRDefault="008733D4">
      <w:pPr>
        <w:pStyle w:val="Ttulo3"/>
        <w:ind w:left="567" w:right="56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“Artículo 1.- </w:t>
      </w:r>
    </w:p>
    <w:p w:rsidR="00D9359C" w:rsidRDefault="008733D4">
      <w:pPr>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D9359C" w:rsidRDefault="008733D4">
      <w:pPr>
        <w:ind w:left="567" w:right="56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D9359C" w:rsidRDefault="00D9359C">
      <w:pP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Style w:val="Ttulo4"/>
        <w:ind w:left="567" w:right="565"/>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Constitución Política de los Estados Unidos Mexicanos</w:t>
      </w:r>
    </w:p>
    <w:p w:rsidR="00D9359C" w:rsidRDefault="008733D4">
      <w:pPr>
        <w:pStyle w:val="Ttulo3"/>
        <w:ind w:left="567" w:right="565"/>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“Artículo 6. …</w:t>
      </w:r>
    </w:p>
    <w:p w:rsidR="00D9359C" w:rsidRDefault="008733D4">
      <w:pPr>
        <w:ind w:left="567" w:right="56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rsidR="00D9359C" w:rsidRDefault="008733D4">
      <w:pPr>
        <w:pBdr>
          <w:top w:val="nil"/>
          <w:left w:val="nil"/>
          <w:bottom w:val="nil"/>
          <w:right w:val="nil"/>
          <w:between w:val="nil"/>
        </w:pBdr>
        <w:spacing w:after="120"/>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efectos de lo dispuesto en el presente artículo se observará lo siguiente:</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 Para el ejercicio del derecho de acceso a la información, la Federación y las entidades federativas, en el ámbito de sus respectivas competencias, se regirán por los siguientes principios y bases:</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I. </w:t>
      </w:r>
      <w:r>
        <w:rPr>
          <w:rFonts w:ascii="Palatino Linotype" w:eastAsia="Palatino Linotype" w:hAnsi="Palatino Linotype" w:cs="Palatino Linotype"/>
          <w:b/>
          <w:i/>
          <w:color w:val="000000"/>
          <w:sz w:val="22"/>
          <w:szCs w:val="22"/>
        </w:rPr>
        <w:tab/>
        <w:t>Toda la información en posesión de cualquier</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autoridad</w:t>
      </w:r>
      <w:r>
        <w:rPr>
          <w:rFonts w:ascii="Palatino Linotype" w:eastAsia="Palatino Linotype" w:hAnsi="Palatino Linotype" w:cs="Palatino Linotype"/>
          <w:i/>
          <w:color w:val="000000"/>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color w:val="000000"/>
          <w:sz w:val="22"/>
          <w:szCs w:val="22"/>
        </w:rPr>
        <w:t>municipal</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es pública</w:t>
      </w:r>
      <w:r>
        <w:rPr>
          <w:rFonts w:ascii="Palatino Linotype" w:eastAsia="Palatino Linotype" w:hAnsi="Palatino Linotype" w:cs="Palatino Linotype"/>
          <w:i/>
          <w:color w:val="000000"/>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color w:val="000000"/>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D9359C" w:rsidRDefault="008733D4">
      <w:pPr>
        <w:pStyle w:val="Ttulo4"/>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Constitución Política del Estado Libre y Soberano de México</w:t>
      </w:r>
    </w:p>
    <w:p w:rsidR="00D9359C" w:rsidRDefault="008733D4">
      <w:pPr>
        <w:pStyle w:val="Ttulo5"/>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“Artículo 5.-…</w:t>
      </w:r>
    </w:p>
    <w:p w:rsidR="00D9359C" w:rsidRDefault="008733D4">
      <w:pPr>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El derecho a la información será garantizado por el Estado. La ley establecerá las previsiones que permitan asegurar la protección, el respeto y la difusión de este derecho.</w:t>
      </w:r>
    </w:p>
    <w:p w:rsidR="00D9359C" w:rsidRDefault="008733D4">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9359C" w:rsidRDefault="008733D4">
      <w:pPr>
        <w:pStyle w:val="Ttulo3"/>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derecho se regirá por los principios y bases siguientes:</w:t>
      </w:r>
    </w:p>
    <w:p w:rsidR="00D9359C" w:rsidRDefault="008733D4">
      <w:pPr>
        <w:numPr>
          <w:ilvl w:val="0"/>
          <w:numId w:val="6"/>
        </w:numPr>
        <w:pBdr>
          <w:top w:val="nil"/>
          <w:left w:val="nil"/>
          <w:bottom w:val="nil"/>
          <w:right w:val="nil"/>
          <w:between w:val="nil"/>
        </w:pBdr>
        <w:ind w:left="567" w:right="565"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 en posesión de cualquier autoridad, entidad, órgano y organismos de los</w:t>
      </w:r>
      <w:r>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color w:val="000000"/>
          <w:sz w:val="22"/>
          <w:szCs w:val="22"/>
        </w:rPr>
        <w:t>municipales</w:t>
      </w:r>
      <w:r>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color w:val="000000"/>
          <w:sz w:val="22"/>
          <w:szCs w:val="22"/>
        </w:rPr>
        <w:t>es pública</w:t>
      </w:r>
      <w:r>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color w:val="000000"/>
          <w:sz w:val="22"/>
          <w:szCs w:val="22"/>
        </w:rPr>
        <w:t>En la interpretación de este derecho deberá prevalecer el principio de máxima publicidad</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Los sujetos obligados deberán documentar todo acto que derive del ejercicio de sus facultades, competencias </w:t>
      </w:r>
      <w:r>
        <w:rPr>
          <w:rFonts w:ascii="Palatino Linotype" w:eastAsia="Palatino Linotype" w:hAnsi="Palatino Linotype" w:cs="Palatino Linotype"/>
          <w:b/>
          <w:i/>
          <w:color w:val="000000"/>
          <w:sz w:val="22"/>
          <w:szCs w:val="22"/>
        </w:rPr>
        <w:lastRenderedPageBreak/>
        <w:t>o funciones</w:t>
      </w:r>
      <w:r>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rsidR="00D9359C" w:rsidRDefault="00D9359C">
      <w:pPr>
        <w:pBdr>
          <w:top w:val="nil"/>
          <w:left w:val="nil"/>
          <w:bottom w:val="nil"/>
          <w:right w:val="nil"/>
          <w:between w:val="nil"/>
        </w:pBdr>
        <w:tabs>
          <w:tab w:val="left" w:pos="426"/>
          <w:tab w:val="left" w:pos="567"/>
        </w:tabs>
        <w:spacing w:line="360" w:lineRule="auto"/>
        <w:ind w:left="567" w:right="565"/>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color w:val="000000"/>
          <w:sz w:val="22"/>
          <w:szCs w:val="22"/>
        </w:rPr>
        <w:t>por los principios de simplicidad, rapidez gratuidad del procedimiento, auxilio y orientación a los particulares</w:t>
      </w:r>
      <w:r>
        <w:rPr>
          <w:rFonts w:ascii="Palatino Linotype" w:eastAsia="Palatino Linotype" w:hAnsi="Palatino Linotype" w:cs="Palatino Linotype"/>
          <w:color w:val="000000"/>
          <w:sz w:val="22"/>
          <w:szCs w:val="22"/>
        </w:rPr>
        <w:t>, contemplando el derecho de las personas con discapacidad y hablantes de lengua indígena.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Derecho de Acceso a la Información se garantiza y respeta oportunamente, y según lo que dispone la Ley, las </w:t>
      </w:r>
      <w:r>
        <w:rPr>
          <w:rFonts w:ascii="Palatino Linotype" w:eastAsia="Palatino Linotype" w:hAnsi="Palatino Linotype" w:cs="Palatino Linotype"/>
          <w:i/>
          <w:color w:val="000000"/>
          <w:sz w:val="22"/>
          <w:szCs w:val="22"/>
        </w:rPr>
        <w:t>solicitudes de acceso a la información</w:t>
      </w:r>
      <w:r>
        <w:rPr>
          <w:rFonts w:ascii="Palatino Linotype" w:eastAsia="Palatino Linotype" w:hAnsi="Palatino Linotype" w:cs="Palatino Linotype"/>
          <w:color w:val="000000"/>
          <w:sz w:val="22"/>
          <w:szCs w:val="22"/>
        </w:rPr>
        <w:t>.</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entonces, se procede analizar, en primer lugar, si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1"/>
          <w:numId w:val="7"/>
        </w:numPr>
        <w:pBdr>
          <w:top w:val="nil"/>
          <w:left w:val="nil"/>
          <w:bottom w:val="nil"/>
          <w:right w:val="nil"/>
          <w:between w:val="nil"/>
        </w:pBdr>
        <w:ind w:left="567" w:hanging="141"/>
        <w:rPr>
          <w:rFonts w:ascii="Palatino Linotype" w:eastAsia="Palatino Linotype" w:hAnsi="Palatino Linotype" w:cs="Palatino Linotype"/>
          <w:b/>
          <w:color w:val="000000"/>
          <w:sz w:val="22"/>
          <w:szCs w:val="22"/>
        </w:rPr>
      </w:pPr>
      <w:bookmarkStart w:id="9" w:name="_heading=h.4d34og8" w:colFirst="0" w:colLast="0"/>
      <w:bookmarkEnd w:id="9"/>
      <w:r>
        <w:rPr>
          <w:rFonts w:ascii="Palatino Linotype" w:eastAsia="Palatino Linotype" w:hAnsi="Palatino Linotype" w:cs="Palatino Linotype"/>
          <w:b/>
          <w:color w:val="000000"/>
          <w:sz w:val="22"/>
          <w:szCs w:val="22"/>
        </w:rPr>
        <w:t>De la información solicitada y la respuesta del SUJETO OBLIGADO.</w:t>
      </w:r>
    </w:p>
    <w:p w:rsidR="00D9359C" w:rsidRDefault="00D9359C">
      <w:pPr>
        <w:pBdr>
          <w:top w:val="nil"/>
          <w:left w:val="nil"/>
          <w:bottom w:val="nil"/>
          <w:right w:val="nil"/>
          <w:between w:val="nil"/>
        </w:pBdr>
        <w:rPr>
          <w:rFonts w:ascii="Palatino Linotype" w:eastAsia="Palatino Linotype" w:hAnsi="Palatino Linotype" w:cs="Palatino Linotype"/>
          <w:b/>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Pr>
          <w:rFonts w:ascii="Palatino Linotype" w:eastAsia="Palatino Linotype" w:hAnsi="Palatino Linotype" w:cs="Palatino Linotype"/>
          <w:color w:val="000000"/>
          <w:sz w:val="22"/>
          <w:szCs w:val="22"/>
        </w:rPr>
        <w:lastRenderedPageBreak/>
        <w:t>lo establecido en el artículo 8 de la Ley de Transparencia y Acceso a la Información Pública del Estado de México y Municipios.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debemos recapitular que 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solicitó </w:t>
      </w:r>
      <w:r>
        <w:rPr>
          <w:rFonts w:ascii="Palatino Linotype" w:eastAsia="Palatino Linotype" w:hAnsi="Palatino Linotype" w:cs="Palatino Linotype"/>
          <w:b/>
          <w:color w:val="000000"/>
          <w:sz w:val="22"/>
          <w:szCs w:val="22"/>
        </w:rPr>
        <w:t>los recibos de nómina, aguinaldo y prima vacacional de los servidores públicos adscritos a la Coordinación de Transparencia durante 2021, 2022, 2023 y del 1 de enero al 21 de junio de 2024.</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por medio de la Dirección de Administración y Finanzas, remitió diversos recibos de percepciones por concepto de sueldo, prima vacacional y aguinaldo de 2021, 2022, 2023 y 2024; asimismo, el Acta del Comité de Transparencia que sustenta la versión pública de estos.</w:t>
      </w:r>
    </w:p>
    <w:p w:rsidR="00D9359C" w:rsidRDefault="00D9359C">
      <w:pP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No obstante, el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interpuso los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recursos de revisión número </w:t>
      </w:r>
      <w:r>
        <w:rPr>
          <w:rFonts w:ascii="Palatino Linotype" w:eastAsia="Palatino Linotype" w:hAnsi="Palatino Linotype" w:cs="Palatino Linotype"/>
          <w:b/>
          <w:color w:val="000000"/>
          <w:sz w:val="22"/>
          <w:szCs w:val="22"/>
        </w:rPr>
        <w:t>04523/INFOEM/IP/RR/2024, 04524/INFOEM/IP/RR/2024, 04525/INFOEM/IP/RR/2024, 04526/INFOEM/IP/RR/2024 y 04527/INFOEM/IP/RR/2024</w:t>
      </w:r>
      <w:r>
        <w:rPr>
          <w:rFonts w:ascii="Palatino Linotype" w:eastAsia="Palatino Linotype" w:hAnsi="Palatino Linotype" w:cs="Palatino Linotype"/>
          <w:color w:val="000000"/>
          <w:sz w:val="22"/>
          <w:szCs w:val="22"/>
        </w:rPr>
        <w:t xml:space="preserve">, donde manifestó como motivos de inconformidad, </w:t>
      </w:r>
      <w:r>
        <w:rPr>
          <w:rFonts w:ascii="Palatino Linotype" w:eastAsia="Palatino Linotype" w:hAnsi="Palatino Linotype" w:cs="Palatino Linotype"/>
          <w:b/>
          <w:color w:val="000000"/>
          <w:sz w:val="22"/>
          <w:szCs w:val="22"/>
        </w:rPr>
        <w:t>la negativa de la información solicitada.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de las constancias que integran los expedientes electrónicos relacionados con el recurso de revisión materia de estudio, se colige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niega la competencia para conocer de la información solicitada, por el contrario, con la respuesta pronunciada asevera que es competente para conocer de la solicitud de información</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 xml:space="preserve">lo anterior es así, ya que el estudio enunciado tiene por objeto determinar si los Sujetos Obligados generan, poseen o administran  la información solicitada, sin embargo, en </w:t>
      </w:r>
      <w:r>
        <w:rPr>
          <w:rFonts w:ascii="Palatino Linotype" w:eastAsia="Palatino Linotype" w:hAnsi="Palatino Linotype" w:cs="Palatino Linotype"/>
          <w:color w:val="000000"/>
          <w:sz w:val="22"/>
          <w:szCs w:val="22"/>
        </w:rPr>
        <w:lastRenderedPageBreak/>
        <w:t>aquellos casos en que estos han asumido la competencia, sería ocioso y a nada práctico nos conduciría su estudio, ya que, se insiste, el ente obligado asumió la competencia referida.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consiguiente, se procede al análisis del requerimiento planteado por persona solicitante y la respuesta proporcionada por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resulta conveniente reiterar que,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en atención a las solicitudes de información hizo entrega de </w:t>
      </w:r>
      <w:r>
        <w:rPr>
          <w:rFonts w:ascii="Palatino Linotype" w:eastAsia="Palatino Linotype" w:hAnsi="Palatino Linotype" w:cs="Palatino Linotype"/>
          <w:b/>
          <w:color w:val="000000"/>
          <w:sz w:val="22"/>
          <w:szCs w:val="22"/>
        </w:rPr>
        <w:t>los recibos de percepciones por concepto de sueldo, prima vacacional y aguinaldo de 2021, 2022, 2023 y 2024 de los Servidores Públicos adscritos a la Coordinación de Transparencia; así como, el Acta del Comité de Transparencia que sustenta la versión pública de estos.</w:t>
      </w:r>
    </w:p>
    <w:p w:rsidR="00D9359C" w:rsidRDefault="00D9359C" w:rsidP="00453CD7">
      <w:pPr>
        <w:pBdr>
          <w:top w:val="nil"/>
          <w:left w:val="nil"/>
          <w:bottom w:val="nil"/>
          <w:right w:val="nil"/>
          <w:between w:val="nil"/>
        </w:pBdr>
        <w:rPr>
          <w:rFonts w:ascii="Palatino Linotype" w:eastAsia="Palatino Linotype" w:hAnsi="Palatino Linotype" w:cs="Palatino Linotype"/>
          <w:color w:val="000000"/>
          <w:sz w:val="22"/>
          <w:szCs w:val="22"/>
        </w:rPr>
      </w:pPr>
    </w:p>
    <w:p w:rsidR="00453CD7" w:rsidRPr="00453CD7" w:rsidRDefault="00453CD7" w:rsidP="00453CD7">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lang w:val="es-MX"/>
        </w:rPr>
        <mc:AlternateContent>
          <mc:Choice Requires="wps">
            <w:drawing>
              <wp:anchor distT="0" distB="0" distL="114300" distR="114300" simplePos="0" relativeHeight="251659264" behindDoc="0" locked="0" layoutInCell="1" allowOverlap="1">
                <wp:simplePos x="0" y="0"/>
                <wp:positionH relativeFrom="column">
                  <wp:posOffset>24046</wp:posOffset>
                </wp:positionH>
                <wp:positionV relativeFrom="paragraph">
                  <wp:posOffset>1075834</wp:posOffset>
                </wp:positionV>
                <wp:extent cx="5529532" cy="2907102"/>
                <wp:effectExtent l="0" t="0" r="33655" b="26670"/>
                <wp:wrapNone/>
                <wp:docPr id="2" name="Conector recto 2"/>
                <wp:cNvGraphicFramePr/>
                <a:graphic xmlns:a="http://schemas.openxmlformats.org/drawingml/2006/main">
                  <a:graphicData uri="http://schemas.microsoft.com/office/word/2010/wordprocessingShape">
                    <wps:wsp>
                      <wps:cNvCnPr/>
                      <wps:spPr>
                        <a:xfrm>
                          <a:off x="0" y="0"/>
                          <a:ext cx="5529532" cy="29071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B3F0C"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84.7pt" to="437.3pt,3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" strokecolor="#5b9bd5 [3204]" strokeweight=".5pt">
                <v:stroke joinstyle="miter"/>
              </v:line>
            </w:pict>
          </mc:Fallback>
        </mc:AlternateContent>
      </w:r>
      <w:r w:rsidR="008733D4">
        <w:rPr>
          <w:rFonts w:ascii="Palatino Linotype" w:eastAsia="Palatino Linotype" w:hAnsi="Palatino Linotype" w:cs="Palatino Linotype"/>
          <w:color w:val="000000"/>
          <w:sz w:val="22"/>
          <w:szCs w:val="22"/>
        </w:rPr>
        <w:t xml:space="preserve">No obstante, se advierte que si bien el </w:t>
      </w:r>
      <w:r w:rsidR="008733D4">
        <w:rPr>
          <w:rFonts w:ascii="Palatino Linotype" w:eastAsia="Palatino Linotype" w:hAnsi="Palatino Linotype" w:cs="Palatino Linotype"/>
          <w:b/>
          <w:color w:val="000000"/>
          <w:sz w:val="22"/>
          <w:szCs w:val="22"/>
        </w:rPr>
        <w:t>SUJETO OBLIGADO</w:t>
      </w:r>
      <w:r w:rsidR="008733D4">
        <w:rPr>
          <w:rFonts w:ascii="Palatino Linotype" w:eastAsia="Palatino Linotype" w:hAnsi="Palatino Linotype" w:cs="Palatino Linotype"/>
          <w:color w:val="000000"/>
          <w:sz w:val="22"/>
          <w:szCs w:val="22"/>
        </w:rPr>
        <w:t xml:space="preserve"> emitió las documentales requeridas por el particular, realizó una equivocada y excesiva versión pública, </w:t>
      </w:r>
      <w:r w:rsidR="008733D4" w:rsidRPr="00453CD7">
        <w:rPr>
          <w:rFonts w:ascii="Palatino Linotype" w:eastAsia="Palatino Linotype" w:hAnsi="Palatino Linotype" w:cs="Palatino Linotype"/>
          <w:b/>
          <w:color w:val="000000"/>
          <w:sz w:val="22"/>
          <w:szCs w:val="22"/>
        </w:rPr>
        <w:t>se tes</w:t>
      </w:r>
      <w:r w:rsidRPr="00453CD7">
        <w:rPr>
          <w:rFonts w:ascii="Palatino Linotype" w:eastAsia="Palatino Linotype" w:hAnsi="Palatino Linotype" w:cs="Palatino Linotype"/>
          <w:b/>
          <w:color w:val="000000"/>
          <w:sz w:val="22"/>
          <w:szCs w:val="22"/>
        </w:rPr>
        <w:t>taron datos de carácter público</w:t>
      </w:r>
      <w:r w:rsidR="008733D4">
        <w:rPr>
          <w:rFonts w:ascii="Palatino Linotype" w:eastAsia="Palatino Linotype" w:hAnsi="Palatino Linotype" w:cs="Palatino Linotype"/>
          <w:color w:val="000000"/>
          <w:sz w:val="22"/>
          <w:szCs w:val="22"/>
        </w:rPr>
        <w:t xml:space="preserve">, como lo es, de manera enunciativa más no limitativa, la </w:t>
      </w:r>
      <w:r w:rsidR="008733D4" w:rsidRPr="00453CD7">
        <w:rPr>
          <w:rFonts w:ascii="Palatino Linotype" w:eastAsia="Palatino Linotype" w:hAnsi="Palatino Linotype" w:cs="Palatino Linotype"/>
          <w:b/>
          <w:color w:val="000000"/>
          <w:sz w:val="22"/>
          <w:szCs w:val="22"/>
        </w:rPr>
        <w:t>“firma autógrafa de los servidores públicos</w:t>
      </w:r>
      <w:r w:rsidR="008733D4" w:rsidRPr="00453CD7">
        <w:rPr>
          <w:rFonts w:ascii="Palatino Linotype" w:eastAsia="Palatino Linotype" w:hAnsi="Palatino Linotype" w:cs="Palatino Linotype"/>
          <w:color w:val="000000"/>
          <w:sz w:val="22"/>
          <w:szCs w:val="22"/>
        </w:rPr>
        <w:t>”.</w:t>
      </w:r>
      <w:r w:rsidRPr="00453CD7">
        <w:rPr>
          <w:rFonts w:ascii="Palatino Linotype" w:eastAsia="Palatino Linotype" w:hAnsi="Palatino Linotype" w:cs="Palatino Linotype"/>
          <w:color w:val="000000"/>
          <w:sz w:val="22"/>
          <w:szCs w:val="22"/>
        </w:rPr>
        <w:t xml:space="preserve"> Como se observa en la siguiente captura de pantalla:</w:t>
      </w:r>
    </w:p>
    <w:p w:rsidR="00453CD7" w:rsidRDefault="00453CD7" w:rsidP="00453CD7">
      <w:pPr>
        <w:pStyle w:val="Prrafodelista"/>
        <w:ind w:left="0"/>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noProof/>
          <w:color w:val="000000"/>
          <w:sz w:val="22"/>
          <w:szCs w:val="22"/>
          <w:lang w:val="es-MX" w:eastAsia="es-MX"/>
        </w:rPr>
        <w:lastRenderedPageBreak/>
        <mc:AlternateContent>
          <mc:Choice Requires="wps">
            <w:drawing>
              <wp:anchor distT="0" distB="0" distL="114300" distR="114300" simplePos="0" relativeHeight="251660288" behindDoc="0" locked="0" layoutInCell="1" allowOverlap="1">
                <wp:simplePos x="0" y="0"/>
                <wp:positionH relativeFrom="margin">
                  <wp:posOffset>455367</wp:posOffset>
                </wp:positionH>
                <wp:positionV relativeFrom="paragraph">
                  <wp:posOffset>2743631</wp:posOffset>
                </wp:positionV>
                <wp:extent cx="4658264" cy="223053"/>
                <wp:effectExtent l="19050" t="19050" r="28575" b="24765"/>
                <wp:wrapNone/>
                <wp:docPr id="3" name="Rectángulo 3"/>
                <wp:cNvGraphicFramePr/>
                <a:graphic xmlns:a="http://schemas.openxmlformats.org/drawingml/2006/main">
                  <a:graphicData uri="http://schemas.microsoft.com/office/word/2010/wordprocessingShape">
                    <wps:wsp>
                      <wps:cNvSpPr/>
                      <wps:spPr>
                        <a:xfrm>
                          <a:off x="0" y="0"/>
                          <a:ext cx="4658264" cy="223053"/>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453C8" id="Rectángulo 3" o:spid="_x0000_s1026" style="position:absolute;margin-left:35.85pt;margin-top:216.05pt;width:366.8pt;height:17.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" filled="f" strokecolor="#c00000" strokeweight="2.25pt">
                <w10:wrap anchorx="margin"/>
              </v:rect>
            </w:pict>
          </mc:Fallback>
        </mc:AlternateContent>
      </w:r>
      <w:r w:rsidRPr="00453CD7">
        <w:rPr>
          <w:rFonts w:ascii="Palatino Linotype" w:eastAsia="Palatino Linotype" w:hAnsi="Palatino Linotype" w:cs="Palatino Linotype"/>
          <w:b/>
          <w:noProof/>
          <w:color w:val="000000"/>
          <w:sz w:val="22"/>
          <w:szCs w:val="22"/>
          <w:lang w:val="es-MX" w:eastAsia="es-MX"/>
        </w:rPr>
        <w:drawing>
          <wp:inline distT="0" distB="0" distL="0" distR="0" wp14:anchorId="2CCFE515" wp14:editId="406F642D">
            <wp:extent cx="5598543" cy="3609394"/>
            <wp:effectExtent l="19050" t="19050" r="2159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29496" cy="3629350"/>
                    </a:xfrm>
                    <a:prstGeom prst="rect">
                      <a:avLst/>
                    </a:prstGeom>
                    <a:ln>
                      <a:solidFill>
                        <a:schemeClr val="tx1"/>
                      </a:solidFill>
                    </a:ln>
                  </pic:spPr>
                </pic:pic>
              </a:graphicData>
            </a:graphic>
          </wp:inline>
        </w:drawing>
      </w:r>
    </w:p>
    <w:p w:rsidR="00D9359C" w:rsidRDefault="00D9359C" w:rsidP="00453CD7">
      <w:pPr>
        <w:pBdr>
          <w:top w:val="nil"/>
          <w:left w:val="nil"/>
          <w:bottom w:val="nil"/>
          <w:right w:val="nil"/>
          <w:between w:val="nil"/>
        </w:pBd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respecto, es de señalar que </w:t>
      </w:r>
      <w:r>
        <w:rPr>
          <w:rFonts w:ascii="Palatino Linotype" w:eastAsia="Palatino Linotype" w:hAnsi="Palatino Linotype" w:cs="Palatino Linotype"/>
          <w:b/>
          <w:color w:val="000000"/>
          <w:sz w:val="22"/>
          <w:szCs w:val="22"/>
        </w:rPr>
        <w:t xml:space="preserve">la firma </w:t>
      </w:r>
      <w:r>
        <w:rPr>
          <w:rFonts w:ascii="Palatino Linotype" w:eastAsia="Palatino Linotype" w:hAnsi="Palatino Linotype" w:cs="Palatino Linotype"/>
          <w:color w:val="000000"/>
          <w:sz w:val="22"/>
          <w:szCs w:val="22"/>
        </w:rPr>
        <w:t>es considerada un dato personal, al tratarse de información gráfica a través de la cual su titular exterioriza su voluntad en actos públicos y privados.</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obstante, este Instituto, considera que, entregar las firmas de los servidores públicos contenidas en los recibos de pago, si abona a la transparencia, dado que le da validez al documento.</w:t>
      </w:r>
    </w:p>
    <w:p w:rsidR="00D9359C" w:rsidRDefault="00D9359C" w:rsidP="00453CD7">
      <w:pPr>
        <w:pBdr>
          <w:top w:val="nil"/>
          <w:left w:val="nil"/>
          <w:bottom w:val="nil"/>
          <w:right w:val="nil"/>
          <w:between w:val="nil"/>
        </w:pBd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que, se considera que, en el presente caso, al dar validez los documentos en cuestión, la firma del servidor público guarda el carácter de público y, por lo tanto, no </w:t>
      </w:r>
      <w:r>
        <w:rPr>
          <w:rFonts w:ascii="Palatino Linotype" w:eastAsia="Palatino Linotype" w:hAnsi="Palatino Linotype" w:cs="Palatino Linotype"/>
          <w:color w:val="000000"/>
          <w:sz w:val="22"/>
          <w:szCs w:val="22"/>
        </w:rPr>
        <w:lastRenderedPageBreak/>
        <w:t>actualiza la causal de clasificación prevista en el artículo 143, fracción I, de la Ley de Transparencia y Acceso a la Información Pública del Estado de México y Municipios.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Sirve de sustento a lo anterior el Criterio de Interpretación 02/19 emitido por el Instituto Nacional de Transparencia, Acceso a la Información y Protección de Datos Personales, cuyo rubro y texto establecen lo siguiente:</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respecto, se destaca que la versión pública que elabore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r>
        <w:rPr>
          <w:rFonts w:ascii="Palatino Linotype" w:eastAsia="Palatino Linotype" w:hAnsi="Palatino Linotype" w:cs="Palatino Linotype"/>
          <w:color w:val="000000"/>
          <w:sz w:val="22"/>
          <w:szCs w:val="22"/>
          <w:highlight w:val="white"/>
        </w:rPr>
        <w:t>.</w:t>
      </w:r>
    </w:p>
    <w:p w:rsidR="00D9359C" w:rsidRDefault="00D9359C">
      <w:pPr>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Precisado lo anterior, resulta conveniente señalar que el artículo 147 de la Constitución Política del Estado Libre y Soberano de México, refiere que los trabajadores al servicio del Estado, como los miembros de los Ayuntamientos, recibirán una remuneración adecuada e </w:t>
      </w:r>
      <w:r>
        <w:rPr>
          <w:rFonts w:ascii="Palatino Linotype" w:eastAsia="Palatino Linotype" w:hAnsi="Palatino Linotype" w:cs="Palatino Linotype"/>
          <w:color w:val="000000"/>
          <w:sz w:val="22"/>
          <w:szCs w:val="22"/>
        </w:rPr>
        <w:lastRenderedPageBreak/>
        <w:t>irrenunciable por el desempeño de su empleo, cargo o comisión, que será determinada en el presupuesto de egresos que corresponda.</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Anexo IV.2 Clasificación por objeto del gasto, del Manual para la Planeación, Programación y Presupuesto de Egresos Municipal para el ejercicio fiscal dos </w:t>
      </w:r>
      <w:r>
        <w:rPr>
          <w:rFonts w:ascii="Palatino Linotype" w:eastAsia="Palatino Linotype" w:hAnsi="Palatino Linotype" w:cs="Palatino Linotype"/>
          <w:color w:val="000000"/>
          <w:sz w:val="22"/>
          <w:szCs w:val="22"/>
        </w:rPr>
        <w:lastRenderedPageBreak/>
        <w:t>mil veinte, establece que los Presupuestos de Egresos Municipales, se tendrán que generar, conforme al “Clasificador por Objeto del Gasto”, el cual se conforma de diversos capítulos, entre los cuales, se encuentra el 1000 Servicios Personales, que agrupa las remuneraciones del personal al servicio de los entes públicos, tales como el sueldo, salarios, dietas, honorarios, prestaciones, obligaciones laborales, gratificaciones, entre otras.</w:t>
      </w:r>
    </w:p>
    <w:p w:rsidR="00D9359C" w:rsidRDefault="00D9359C">
      <w:pPr>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respecto al documento solicitado, la Ley del Trabajo de los Servidores Públicos del Estado y Municipios, en su artículo 220 K, fracciones II y IV, establece los documentos que tiene la obligación de conservar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entre los que se encuentra los </w:t>
      </w:r>
      <w:r>
        <w:rPr>
          <w:rFonts w:ascii="Palatino Linotype" w:eastAsia="Palatino Linotype" w:hAnsi="Palatino Linotype" w:cs="Palatino Linotype"/>
          <w:b/>
          <w:color w:val="000000"/>
          <w:sz w:val="22"/>
          <w:szCs w:val="22"/>
        </w:rPr>
        <w:t>recibos de pago de salarios o las</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constancias documentales del pago de sueldos, </w:t>
      </w:r>
      <w:r>
        <w:rPr>
          <w:rFonts w:ascii="Palatino Linotype" w:eastAsia="Palatino Linotype" w:hAnsi="Palatino Linotype" w:cs="Palatino Linotype"/>
          <w:color w:val="000000"/>
          <w:sz w:val="22"/>
          <w:szCs w:val="22"/>
        </w:rPr>
        <w:t xml:space="preserve">cuando sea por depósito o mediante información electrónica; así como los </w:t>
      </w:r>
      <w:r>
        <w:rPr>
          <w:rFonts w:ascii="Palatino Linotype" w:eastAsia="Palatino Linotype" w:hAnsi="Palatino Linotype" w:cs="Palatino Linotype"/>
          <w:b/>
          <w:color w:val="000000"/>
          <w:sz w:val="22"/>
          <w:szCs w:val="22"/>
        </w:rPr>
        <w:t>recibos o constancias</w:t>
      </w:r>
      <w:r>
        <w:rPr>
          <w:rFonts w:ascii="Palatino Linotype" w:eastAsia="Palatino Linotype" w:hAnsi="Palatino Linotype" w:cs="Palatino Linotype"/>
          <w:color w:val="000000"/>
          <w:sz w:val="22"/>
          <w:szCs w:val="22"/>
        </w:rPr>
        <w:t xml:space="preserve"> de depósito o del medio de información magnética o electrónica que sean utilizadas para el pago de salarios, prima vacacional, aguinaldo y demás prestaciones.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“RECIBOS DE PAGO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Pr>
          <w:rFonts w:ascii="Palatino Linotype" w:eastAsia="Palatino Linotype" w:hAnsi="Palatino Linotype" w:cs="Palatino Linotype"/>
          <w:i/>
          <w:sz w:val="22"/>
          <w:szCs w:val="22"/>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w:t>
      </w:r>
      <w:r>
        <w:rPr>
          <w:rFonts w:ascii="Palatino Linotype" w:eastAsia="Palatino Linotype" w:hAnsi="Palatino Linotype" w:cs="Palatino Linotype"/>
          <w:i/>
          <w:sz w:val="22"/>
          <w:szCs w:val="22"/>
        </w:rPr>
        <w:lastRenderedPageBreak/>
        <w:t>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rsidR="00D9359C" w:rsidRDefault="00D9359C">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 tesis transcrita, se desprende que </w:t>
      </w:r>
      <w:r>
        <w:rPr>
          <w:rFonts w:ascii="Palatino Linotype" w:eastAsia="Palatino Linotype" w:hAnsi="Palatino Linotype" w:cs="Palatino Linotype"/>
          <w:b/>
          <w:color w:val="000000"/>
          <w:sz w:val="22"/>
          <w:szCs w:val="22"/>
        </w:rPr>
        <w:t>en materia burocrática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los recibos de pago acreditan los conceptos y montos que en ellos se insertan</w:t>
      </w:r>
      <w:r>
        <w:rPr>
          <w:rFonts w:ascii="Palatino Linotype" w:eastAsia="Palatino Linotype" w:hAnsi="Palatino Linotype" w:cs="Palatino Linotype"/>
          <w:color w:val="000000"/>
          <w:sz w:val="22"/>
          <w:szCs w:val="22"/>
        </w:rPr>
        <w:t>, y constituyen prueba para demostrar las percepciones y montos que reciben los servidores públicos.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este sentido,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deberá hacer entrega, </w:t>
      </w:r>
      <w:r>
        <w:rPr>
          <w:rFonts w:ascii="Palatino Linotype" w:eastAsia="Palatino Linotype" w:hAnsi="Palatino Linotype" w:cs="Palatino Linotype"/>
          <w:b/>
          <w:color w:val="000000"/>
          <w:sz w:val="22"/>
          <w:szCs w:val="22"/>
        </w:rPr>
        <w:t>en correcta versión pública:</w:t>
      </w:r>
      <w:r>
        <w:rPr>
          <w:rFonts w:ascii="Palatino Linotype" w:eastAsia="Palatino Linotype" w:hAnsi="Palatino Linotype" w:cs="Palatino Linotype"/>
          <w:color w:val="000000"/>
          <w:sz w:val="22"/>
          <w:szCs w:val="22"/>
        </w:rPr>
        <w:t xml:space="preserve"> los recibos de pago por concepto de sueldo, prima vacacional y aguinaldo de los </w:t>
      </w:r>
      <w:r w:rsidRPr="001242D4">
        <w:rPr>
          <w:rFonts w:ascii="Palatino Linotype" w:eastAsia="Palatino Linotype" w:hAnsi="Palatino Linotype" w:cs="Palatino Linotype"/>
          <w:color w:val="000000"/>
          <w:sz w:val="22"/>
          <w:szCs w:val="22"/>
        </w:rPr>
        <w:t xml:space="preserve">servidores públicos adscritos a la Coordinación de Transparencia durante 2021, 2022, 2023 y </w:t>
      </w:r>
      <w:r w:rsidR="008719A4" w:rsidRPr="001242D4">
        <w:rPr>
          <w:rFonts w:ascii="Palatino Linotype" w:eastAsia="Palatino Linotype" w:hAnsi="Palatino Linotype" w:cs="Palatino Linotype"/>
          <w:b/>
          <w:color w:val="000000"/>
          <w:sz w:val="22"/>
          <w:szCs w:val="22"/>
        </w:rPr>
        <w:t>de la primera quincena de enero a la primera quincena de junio de 2024.</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keepNext/>
        <w:keepLines/>
        <w:spacing w:before="240"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VERSIÓN PÚBLICA.</w:t>
      </w:r>
    </w:p>
    <w:p w:rsidR="00D9359C" w:rsidRDefault="008733D4">
      <w:pPr>
        <w:keepNext/>
        <w:keepLines/>
        <w:numPr>
          <w:ilvl w:val="0"/>
          <w:numId w:val="1"/>
        </w:numPr>
        <w:spacing w:line="360" w:lineRule="auto"/>
        <w:ind w:left="284" w:firstLine="0"/>
        <w:rPr>
          <w:rFonts w:ascii="Palatino Linotype" w:eastAsia="Palatino Linotype" w:hAnsi="Palatino Linotype" w:cs="Palatino Linotype"/>
          <w:b/>
          <w:color w:val="000000"/>
          <w:sz w:val="22"/>
          <w:szCs w:val="22"/>
        </w:rPr>
      </w:pPr>
      <w:bookmarkStart w:id="10" w:name="_heading=h.2s8eyo1" w:colFirst="0" w:colLast="0"/>
      <w:bookmarkEnd w:id="10"/>
      <w:r>
        <w:rPr>
          <w:rFonts w:ascii="Palatino Linotype" w:eastAsia="Palatino Linotype" w:hAnsi="Palatino Linotype" w:cs="Palatino Linotype"/>
          <w:b/>
          <w:color w:val="000000"/>
          <w:sz w:val="22"/>
          <w:szCs w:val="22"/>
        </w:rPr>
        <w:t xml:space="preserve">Nociones generales.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Debe destacarse que, debido a la naturaleza de la información solicitada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eventualmente pudiera obrar datos personales susceptibles de protegerse,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pasa desapercibido para este Órgano Garante que los Sujetos Obligados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serán responsables de los datos personales en su posesión y que, en caso de localizarse datos </w:t>
      </w:r>
      <w:r>
        <w:rPr>
          <w:rFonts w:ascii="Palatino Linotype" w:eastAsia="Palatino Linotype" w:hAnsi="Palatino Linotype" w:cs="Palatino Linotype"/>
          <w:color w:val="000000"/>
          <w:sz w:val="22"/>
          <w:szCs w:val="22"/>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D9359C" w:rsidRDefault="00D9359C">
      <w:pPr>
        <w:spacing w:line="360" w:lineRule="auto"/>
        <w:ind w:right="49"/>
        <w:jc w:val="both"/>
        <w:rPr>
          <w:rFonts w:ascii="Palatino Linotype" w:eastAsia="Palatino Linotype" w:hAnsi="Palatino Linotype" w:cs="Palatino Linotype"/>
          <w:color w:val="000000"/>
          <w:sz w:val="22"/>
          <w:szCs w:val="22"/>
        </w:rPr>
      </w:pPr>
    </w:p>
    <w:tbl>
      <w:tblPr>
        <w:tblStyle w:val="a"/>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5"/>
        <w:gridCol w:w="6942"/>
      </w:tblGrid>
      <w:tr w:rsidR="00D9359C" w:rsidTr="00D93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D9359C" w:rsidRDefault="008733D4">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Requisitos previos.</w:t>
            </w:r>
          </w:p>
        </w:tc>
        <w:tc>
          <w:tcPr>
            <w:tcW w:w="6942" w:type="dxa"/>
          </w:tcPr>
          <w:p w:rsidR="00D9359C" w:rsidRDefault="008733D4">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D9359C" w:rsidRDefault="008733D4">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b w:val="0"/>
                <w:color w:val="000000"/>
                <w:sz w:val="22"/>
                <w:szCs w:val="22"/>
              </w:rPr>
              <w:t>Al hacerlo tienen que precisar de qué información se trata, señalando el supuesto de clasificación (confidencialidad o reserva).</w:t>
            </w:r>
          </w:p>
          <w:p w:rsidR="00D9359C" w:rsidRDefault="008733D4">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b w:val="0"/>
                <w:color w:val="000000"/>
                <w:sz w:val="22"/>
                <w:szCs w:val="22"/>
              </w:rPr>
              <w:t>Además, se debe señalar el procedimiento, de los tres que establecen los artículos 132 y 106 de la Ley Estatal y General, respectivamente.</w:t>
            </w:r>
          </w:p>
          <w:p w:rsidR="00D9359C" w:rsidRDefault="008733D4">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b w:val="0"/>
                <w:color w:val="000000"/>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D9359C" w:rsidTr="00D93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D9359C" w:rsidRDefault="008733D4">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Supuestos de clasificación.</w:t>
            </w:r>
          </w:p>
        </w:tc>
        <w:tc>
          <w:tcPr>
            <w:tcW w:w="6942" w:type="dxa"/>
          </w:tcPr>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9359C" w:rsidRDefault="008733D4">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9359C" w:rsidTr="00D9359C">
        <w:tc>
          <w:tcPr>
            <w:cnfStyle w:val="001000000000" w:firstRow="0" w:lastRow="0" w:firstColumn="1" w:lastColumn="0" w:oddVBand="0" w:evenVBand="0" w:oddHBand="0" w:evenHBand="0" w:firstRowFirstColumn="0" w:firstRowLastColumn="0" w:lastRowFirstColumn="0" w:lastRowLastColumn="0"/>
            <w:tcW w:w="1835" w:type="dxa"/>
          </w:tcPr>
          <w:p w:rsidR="00D9359C" w:rsidRDefault="008733D4">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 Formalidades para emitir el acuerdo de clasificación.</w:t>
            </w:r>
          </w:p>
        </w:tc>
        <w:tc>
          <w:tcPr>
            <w:tcW w:w="6942" w:type="dxa"/>
          </w:tcPr>
          <w:p w:rsidR="00D9359C" w:rsidRDefault="008733D4">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D9359C" w:rsidRDefault="008733D4">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necesario que </w:t>
            </w:r>
            <w:r>
              <w:rPr>
                <w:rFonts w:ascii="Palatino Linotype" w:eastAsia="Palatino Linotype" w:hAnsi="Palatino Linotype" w:cs="Palatino Linotype"/>
                <w:b/>
                <w:color w:val="000000"/>
                <w:sz w:val="22"/>
                <w:szCs w:val="22"/>
                <w:u w:val="single"/>
              </w:rPr>
              <w:t>el acto reúna con los requisitos elementales</w:t>
            </w:r>
            <w:r>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D9359C" w:rsidRDefault="008733D4">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9359C" w:rsidTr="00D93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tcPr>
          <w:p w:rsidR="00D9359C" w:rsidRDefault="00D9359C">
            <w:pPr>
              <w:rPr>
                <w:rFonts w:ascii="Palatino Linotype" w:eastAsia="Palatino Linotype" w:hAnsi="Palatino Linotype" w:cs="Palatino Linotype"/>
                <w:sz w:val="22"/>
                <w:szCs w:val="22"/>
              </w:rPr>
            </w:pPr>
          </w:p>
          <w:p w:rsidR="00D9359C" w:rsidRDefault="008733D4">
            <w:pPr>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 Requisitos de fondo del acuerdo de clasificación. </w:t>
            </w:r>
          </w:p>
        </w:tc>
        <w:tc>
          <w:tcPr>
            <w:tcW w:w="6942" w:type="dxa"/>
          </w:tcPr>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2"/>
                <w:szCs w:val="22"/>
              </w:rPr>
              <w:t>Sujetos Obligados</w:t>
            </w:r>
            <w:r>
              <w:rPr>
                <w:rFonts w:ascii="Palatino Linotype" w:eastAsia="Palatino Linotype" w:hAnsi="Palatino Linotype" w:cs="Palatino Linotype"/>
                <w:color w:val="000000"/>
                <w:sz w:val="22"/>
                <w:szCs w:val="22"/>
              </w:rPr>
              <w:t xml:space="preserve">, por lo que deberán fundar y motivar debidamente la clasificación. </w:t>
            </w:r>
          </w:p>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anterior, se desprende que para una correcta </w:t>
            </w:r>
            <w:r>
              <w:rPr>
                <w:rFonts w:ascii="Palatino Linotype" w:eastAsia="Palatino Linotype" w:hAnsi="Palatino Linotype" w:cs="Palatino Linotype"/>
                <w:b/>
                <w:color w:val="000000"/>
                <w:sz w:val="22"/>
                <w:szCs w:val="22"/>
              </w:rPr>
              <w:t>clasificación total o parcial</w:t>
            </w:r>
            <w:r>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D9359C" w:rsidRDefault="008733D4">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w:t>
            </w:r>
            <w:r>
              <w:rPr>
                <w:rFonts w:ascii="Palatino Linotype" w:eastAsia="Palatino Linotype" w:hAnsi="Palatino Linotype" w:cs="Palatino Linotype"/>
                <w:b/>
                <w:color w:val="000000"/>
                <w:sz w:val="22"/>
                <w:szCs w:val="22"/>
                <w:u w:val="single"/>
              </w:rPr>
              <w:t>para cada caso además de fundar y motivar</w:t>
            </w:r>
            <w:r>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9359C" w:rsidTr="00D9359C">
        <w:tc>
          <w:tcPr>
            <w:cnfStyle w:val="001000000000" w:firstRow="0" w:lastRow="0" w:firstColumn="1" w:lastColumn="0" w:oddVBand="0" w:evenVBand="0" w:oddHBand="0" w:evenHBand="0" w:firstRowFirstColumn="0" w:firstRowLastColumn="0" w:lastRowFirstColumn="0" w:lastRowLastColumn="0"/>
            <w:tcW w:w="1835" w:type="dxa"/>
          </w:tcPr>
          <w:p w:rsidR="00D9359C" w:rsidRDefault="008733D4">
            <w:pPr>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val="0"/>
                <w:sz w:val="22"/>
                <w:szCs w:val="22"/>
              </w:rPr>
              <w:lastRenderedPageBreak/>
              <w:t>e</w:t>
            </w:r>
            <w:r>
              <w:rPr>
                <w:rFonts w:ascii="Palatino Linotype" w:eastAsia="Palatino Linotype" w:hAnsi="Palatino Linotype" w:cs="Palatino Linotype"/>
                <w:sz w:val="22"/>
                <w:szCs w:val="22"/>
              </w:rPr>
              <w:t xml:space="preserve">) Condiciones especiales de la clasificación de la información como confidencial. </w:t>
            </w:r>
          </w:p>
        </w:tc>
        <w:tc>
          <w:tcPr>
            <w:tcW w:w="6942" w:type="dxa"/>
          </w:tcPr>
          <w:p w:rsidR="00D9359C" w:rsidRDefault="008733D4">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D9359C" w:rsidRDefault="008733D4">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9359C" w:rsidRDefault="008733D4">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 análisis de los datos susceptibles de ser protegidos.</w:t>
      </w:r>
    </w:p>
    <w:p w:rsidR="00D9359C" w:rsidRDefault="00D9359C">
      <w:pPr>
        <w:tabs>
          <w:tab w:val="left" w:pos="426"/>
        </w:tabs>
        <w:spacing w:line="360" w:lineRule="auto"/>
        <w:ind w:right="51"/>
        <w:jc w:val="both"/>
        <w:rPr>
          <w:rFonts w:ascii="Palatino Linotype" w:eastAsia="Palatino Linotype" w:hAnsi="Palatino Linotype" w:cs="Palatino Linotype"/>
          <w:b/>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Bajo lo anterior, es importante analizar los datos personales susceptibles de ser protegidos, que pudieran estar contenidos en los </w:t>
      </w:r>
      <w:r>
        <w:rPr>
          <w:rFonts w:ascii="Palatino Linotype" w:eastAsia="Palatino Linotype" w:hAnsi="Palatino Linotype" w:cs="Palatino Linotype"/>
          <w:b/>
          <w:color w:val="000000"/>
          <w:sz w:val="22"/>
          <w:szCs w:val="22"/>
        </w:rPr>
        <w:t>recibos de nómina</w:t>
      </w:r>
      <w:r>
        <w:rPr>
          <w:rFonts w:ascii="Palatino Linotype" w:eastAsia="Palatino Linotype" w:hAnsi="Palatino Linotype" w:cs="Palatino Linotype"/>
          <w:color w:val="000000"/>
          <w:sz w:val="22"/>
          <w:szCs w:val="22"/>
        </w:rPr>
        <w:t xml:space="preserve">, tales como </w:t>
      </w:r>
      <w:r>
        <w:rPr>
          <w:rFonts w:ascii="Palatino Linotype" w:eastAsia="Palatino Linotype" w:hAnsi="Palatino Linotype" w:cs="Palatino Linotype"/>
          <w:b/>
          <w:color w:val="000000"/>
          <w:sz w:val="22"/>
          <w:szCs w:val="22"/>
        </w:rPr>
        <w:t xml:space="preserve">Registro Federal de Contribuyentes (RFC), </w:t>
      </w:r>
      <w:r>
        <w:rPr>
          <w:rFonts w:ascii="Palatino Linotype" w:eastAsia="Palatino Linotype" w:hAnsi="Palatino Linotype" w:cs="Palatino Linotype"/>
          <w:color w:val="000000"/>
          <w:sz w:val="22"/>
          <w:szCs w:val="22"/>
        </w:rPr>
        <w:t xml:space="preserve">la </w:t>
      </w:r>
      <w:r>
        <w:rPr>
          <w:rFonts w:ascii="Palatino Linotype" w:eastAsia="Palatino Linotype" w:hAnsi="Palatino Linotype" w:cs="Palatino Linotype"/>
          <w:b/>
          <w:color w:val="000000"/>
          <w:sz w:val="22"/>
          <w:szCs w:val="22"/>
        </w:rPr>
        <w:t>Clave Única de Registro de Población (CURP)</w:t>
      </w:r>
      <w:r>
        <w:rPr>
          <w:rFonts w:ascii="Palatino Linotype" w:eastAsia="Palatino Linotype" w:hAnsi="Palatino Linotype" w:cs="Palatino Linotype"/>
          <w:color w:val="000000"/>
          <w:sz w:val="22"/>
          <w:szCs w:val="22"/>
        </w:rPr>
        <w:t xml:space="preserve">, la </w:t>
      </w:r>
      <w:r>
        <w:rPr>
          <w:rFonts w:ascii="Palatino Linotype" w:eastAsia="Palatino Linotype" w:hAnsi="Palatino Linotype" w:cs="Palatino Linotype"/>
          <w:b/>
          <w:color w:val="000000"/>
          <w:sz w:val="22"/>
          <w:szCs w:val="22"/>
        </w:rPr>
        <w:t xml:space="preserve">Clave de ISSEMyM </w:t>
      </w:r>
      <w:r>
        <w:rPr>
          <w:rFonts w:ascii="Palatino Linotype" w:eastAsia="Palatino Linotype" w:hAnsi="Palatino Linotype" w:cs="Palatino Linotype"/>
          <w:color w:val="000000"/>
          <w:sz w:val="22"/>
          <w:szCs w:val="22"/>
        </w:rPr>
        <w:t xml:space="preserve">u análogos, </w:t>
      </w:r>
      <w:r>
        <w:rPr>
          <w:rFonts w:ascii="Palatino Linotype" w:eastAsia="Palatino Linotype" w:hAnsi="Palatino Linotype" w:cs="Palatino Linotype"/>
          <w:b/>
          <w:color w:val="000000"/>
          <w:sz w:val="22"/>
          <w:szCs w:val="22"/>
        </w:rPr>
        <w:t xml:space="preserve">préstamos o descuentos </w:t>
      </w:r>
      <w:r>
        <w:rPr>
          <w:rFonts w:ascii="Palatino Linotype" w:eastAsia="Palatino Linotype" w:hAnsi="Palatino Linotype" w:cs="Palatino Linotype"/>
          <w:color w:val="000000"/>
          <w:sz w:val="22"/>
          <w:szCs w:val="22"/>
        </w:rPr>
        <w:t xml:space="preserve">realizados al servidor público y la </w:t>
      </w:r>
      <w:r>
        <w:rPr>
          <w:rFonts w:ascii="Palatino Linotype" w:eastAsia="Palatino Linotype" w:hAnsi="Palatino Linotype" w:cs="Palatino Linotype"/>
          <w:b/>
          <w:color w:val="000000"/>
          <w:sz w:val="22"/>
          <w:szCs w:val="22"/>
        </w:rPr>
        <w:t>clave interbancaria de depósito.</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tabs>
          <w:tab w:val="left" w:pos="426"/>
        </w:tabs>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Del Registro Federal de Contribuyentes.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homoclave que es asignada por el Servicio de Administración Tributaria (SAT).</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rsidR="00D9359C" w:rsidRDefault="00D9359C">
      <w:pPr>
        <w:jc w:val="both"/>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D9359C" w:rsidRDefault="00D9359C">
      <w:pPr>
        <w:jc w:val="both"/>
        <w:rPr>
          <w:rFonts w:ascii="Palatino Linotype" w:eastAsia="Palatino Linotype" w:hAnsi="Palatino Linotype" w:cs="Palatino Linotype"/>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D9359C" w:rsidRDefault="00D9359C">
      <w:pPr>
        <w:pBdr>
          <w:top w:val="nil"/>
          <w:left w:val="nil"/>
          <w:bottom w:val="nil"/>
          <w:right w:val="nil"/>
          <w:between w:val="nil"/>
        </w:pBdr>
        <w:ind w:left="720"/>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mismo sentido, resulta aplicable el Criterio 19/17 emitido por el Instituto Nacional de Transparencia, Acceso a la Información, y Protección de Datos Personales, en el cual se señala lo siguiente:</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shd w:val="clear" w:color="auto" w:fill="FFFFFF"/>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rsidR="00D9359C" w:rsidRDefault="00D9359C">
      <w:pPr>
        <w:tabs>
          <w:tab w:val="left" w:pos="426"/>
        </w:tabs>
        <w:spacing w:line="360" w:lineRule="auto"/>
        <w:ind w:right="51"/>
        <w:jc w:val="both"/>
        <w:rPr>
          <w:rFonts w:ascii="Palatino Linotype" w:eastAsia="Palatino Linotype" w:hAnsi="Palatino Linotype" w:cs="Palatino Linotype"/>
          <w:sz w:val="22"/>
          <w:szCs w:val="22"/>
        </w:rPr>
      </w:pPr>
    </w:p>
    <w:p w:rsidR="00D9359C" w:rsidRDefault="008733D4">
      <w:pPr>
        <w:tabs>
          <w:tab w:val="left" w:pos="426"/>
        </w:tabs>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b) De la Clave Única de Registro de Población.</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w:t>
      </w:r>
      <w:r>
        <w:rPr>
          <w:rFonts w:ascii="Palatino Linotype" w:eastAsia="Palatino Linotype" w:hAnsi="Palatino Linotype" w:cs="Palatino Linotype"/>
          <w:color w:val="000000"/>
          <w:sz w:val="22"/>
          <w:szCs w:val="22"/>
        </w:rPr>
        <w:lastRenderedPageBreak/>
        <w:t>extranjeros que se encuentren en condiciones de estancia regular en el país o en trámite de ésta, se integra por dieciocho (18) caracteres, los cuales son:</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lang w:val="es-MX"/>
        </w:rPr>
        <w:drawing>
          <wp:inline distT="0" distB="0" distL="0" distR="0">
            <wp:extent cx="2590089" cy="2322149"/>
            <wp:effectExtent l="12700" t="12700" r="12700" b="12700"/>
            <wp:docPr id="18"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29"/>
                    <a:srcRect l="25748" t="8269" r="41253"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Entre las características de la CURP, se encuentra: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tabs>
          <w:tab w:val="left" w:pos="426"/>
          <w:tab w:val="left" w:pos="567"/>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Composición. </w:t>
      </w:r>
      <w:r>
        <w:rPr>
          <w:rFonts w:ascii="Palatino Linotype" w:eastAsia="Palatino Linotype" w:hAnsi="Palatino Linotype" w:cs="Palatino Linotype"/>
          <w:i/>
          <w:sz w:val="22"/>
          <w:szCs w:val="22"/>
        </w:rPr>
        <w:t>Alfanumérica.</w:t>
      </w:r>
    </w:p>
    <w:p w:rsidR="00D9359C" w:rsidRDefault="008733D4">
      <w:pPr>
        <w:tabs>
          <w:tab w:val="left" w:pos="426"/>
          <w:tab w:val="left" w:pos="567"/>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Longitud. </w:t>
      </w:r>
      <w:r>
        <w:rPr>
          <w:rFonts w:ascii="Palatino Linotype" w:eastAsia="Palatino Linotype" w:hAnsi="Palatino Linotype" w:cs="Palatino Linotype"/>
          <w:i/>
          <w:sz w:val="22"/>
          <w:szCs w:val="22"/>
        </w:rPr>
        <w:t xml:space="preserve"> 18 caracteres.</w:t>
      </w:r>
    </w:p>
    <w:p w:rsidR="00D9359C" w:rsidRDefault="008733D4">
      <w:pPr>
        <w:tabs>
          <w:tab w:val="left" w:pos="426"/>
          <w:tab w:val="left" w:pos="567"/>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Naturaleza. </w:t>
      </w:r>
      <w:r>
        <w:rPr>
          <w:rFonts w:ascii="Palatino Linotype" w:eastAsia="Palatino Linotype" w:hAnsi="Palatino Linotype" w:cs="Palatino Linotype"/>
          <w:i/>
          <w:sz w:val="22"/>
          <w:szCs w:val="22"/>
        </w:rPr>
        <w:t>Biunívoca.</w:t>
      </w:r>
    </w:p>
    <w:p w:rsidR="00D9359C" w:rsidRDefault="008733D4">
      <w:pPr>
        <w:tabs>
          <w:tab w:val="left" w:pos="426"/>
          <w:tab w:val="left" w:pos="567"/>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Universalidad. </w:t>
      </w:r>
      <w:r>
        <w:rPr>
          <w:rFonts w:ascii="Palatino Linotype" w:eastAsia="Palatino Linotype" w:hAnsi="Palatino Linotype" w:cs="Palatino Linotype"/>
          <w:i/>
          <w:sz w:val="22"/>
          <w:szCs w:val="22"/>
        </w:rPr>
        <w:t>Se asigna a todas las personas que conforman la población.</w:t>
      </w:r>
    </w:p>
    <w:p w:rsidR="00D9359C" w:rsidRDefault="008733D4">
      <w:pPr>
        <w:tabs>
          <w:tab w:val="left" w:pos="142"/>
          <w:tab w:val="left" w:pos="284"/>
          <w:tab w:val="left" w:pos="426"/>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Verificabilidad. En su estructura existen elementos que permiten comprobar si fue conformada correctamente o no, así como fecha de nacimiento, sexo, </w:t>
      </w:r>
      <w:r>
        <w:rPr>
          <w:rFonts w:ascii="Palatino Linotype" w:eastAsia="Palatino Linotype" w:hAnsi="Palatino Linotype" w:cs="Palatino Linotype"/>
          <w:b/>
          <w:i/>
          <w:sz w:val="22"/>
          <w:szCs w:val="22"/>
        </w:rPr>
        <w:lastRenderedPageBreak/>
        <w:t>identificad federativa de nacimiento y las primeras composiciones de la clave, conformadas por la letra inicial y primera vocal interna del primer apellido, la letra inicial del segundo apellido y la primera letra del nombre.</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Ante ello, resulta aplicable el Criterio 18/17 emitido por el Instituto Nacional de Transparencia, Acceso a la Información y Protección de Datos Personales, que a la literalidad señala: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shd w:val="clear" w:color="auto" w:fill="FFFFFF"/>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CLAVE ÚNICA DE REGISTRO DE POBLACIÓN (CURP). “</w:t>
      </w:r>
      <w:r>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D9359C" w:rsidRDefault="00D9359C">
      <w:pPr>
        <w:tabs>
          <w:tab w:val="left" w:pos="426"/>
        </w:tabs>
        <w:spacing w:line="360" w:lineRule="auto"/>
        <w:ind w:right="51"/>
        <w:jc w:val="both"/>
        <w:rPr>
          <w:rFonts w:ascii="Palatino Linotype" w:eastAsia="Palatino Linotype" w:hAnsi="Palatino Linotype" w:cs="Palatino Linotype"/>
          <w:sz w:val="22"/>
          <w:szCs w:val="22"/>
        </w:rPr>
      </w:pPr>
    </w:p>
    <w:p w:rsidR="00D9359C" w:rsidRDefault="008733D4">
      <w:pPr>
        <w:tabs>
          <w:tab w:val="left" w:pos="426"/>
        </w:tabs>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De la clave de identificación del Instituto de Seguridad Social del Estado de México y Municipios.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Entre los elementos que integra la credencial expedida se encuentra la Clave ISSEMyM, la cual permite identificar al servidor público que actualmente labora o laboró en alguna institución pública y que tenga vigente su derecho a recibir las prestaciones.</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advierte, este número asignado a los derechohabientes en un dato personal que permite la identificación de la persona que goza de las prestaciones que otorga la Institución y de qué prestaciones ha hecho uso. Es de destacar, que el Derecho de Seguridad </w:t>
      </w:r>
      <w:r>
        <w:rPr>
          <w:rFonts w:ascii="Palatino Linotype" w:eastAsia="Palatino Linotype" w:hAnsi="Palatino Linotype" w:cs="Palatino Linotype"/>
          <w:color w:val="000000"/>
          <w:sz w:val="22"/>
          <w:szCs w:val="22"/>
        </w:rPr>
        <w:lastRenderedPageBreak/>
        <w:t>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tabs>
          <w:tab w:val="left" w:pos="426"/>
        </w:tabs>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 Préstamos o descuentos de carácter personal.</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entender los límites y alcances de esta restricción, es oportuno traer a colación lo establecido por el artículo 84 de la Ley del Trabajo de los Servidores Públicos del Estado y Municipios, el cual señala que:</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tabs>
          <w:tab w:val="left" w:pos="426"/>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84.</w:t>
      </w:r>
      <w:r>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rsidR="00D9359C" w:rsidRDefault="008733D4">
      <w:pPr>
        <w:tabs>
          <w:tab w:val="left" w:pos="426"/>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Gravámenes fiscales relacionados con el sueldo;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Cuotas sindicales;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VII.</w:t>
      </w:r>
      <w:r>
        <w:rPr>
          <w:rFonts w:ascii="Palatino Linotype" w:eastAsia="Palatino Linotype" w:hAnsi="Palatino Linotype" w:cs="Palatino Linotype"/>
          <w:i/>
          <w:sz w:val="22"/>
          <w:szCs w:val="22"/>
        </w:rPr>
        <w:t xml:space="preserve"> Faltas de puntualidad o de asistencia injustificadas;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Pensiones alimenticias ordenadas por la autoridad judicial; o </w:t>
      </w: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Cualquier otro convenido con instituciones de servicios y aceptado por el servidor público. </w:t>
      </w:r>
    </w:p>
    <w:p w:rsidR="00D9359C" w:rsidRDefault="00D9359C">
      <w:pPr>
        <w:ind w:left="567" w:right="567"/>
        <w:jc w:val="both"/>
        <w:rPr>
          <w:rFonts w:ascii="Palatino Linotype" w:eastAsia="Palatino Linotype" w:hAnsi="Palatino Linotype" w:cs="Palatino Linotype"/>
          <w:sz w:val="22"/>
          <w:szCs w:val="22"/>
        </w:rPr>
      </w:pPr>
    </w:p>
    <w:p w:rsidR="00D9359C" w:rsidRDefault="008733D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3C67B3">
      <w:pPr>
        <w:keepNext/>
        <w:keepLines/>
        <w:spacing w:before="240" w:line="36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lastRenderedPageBreak/>
        <w:t>SEXTO</w:t>
      </w:r>
      <w:r w:rsidR="008733D4">
        <w:rPr>
          <w:rFonts w:ascii="Palatino Linotype" w:eastAsia="Palatino Linotype" w:hAnsi="Palatino Linotype" w:cs="Palatino Linotype"/>
          <w:b/>
          <w:sz w:val="22"/>
          <w:szCs w:val="22"/>
        </w:rPr>
        <w:t xml:space="preserve">. </w:t>
      </w:r>
      <w:r w:rsidR="008733D4">
        <w:rPr>
          <w:rFonts w:ascii="Palatino Linotype" w:eastAsia="Palatino Linotype" w:hAnsi="Palatino Linotype" w:cs="Palatino Linotype"/>
          <w:b/>
          <w:color w:val="000000"/>
          <w:sz w:val="22"/>
          <w:szCs w:val="22"/>
        </w:rPr>
        <w:t>Vista a la Dirección de Protección de Datos Personales.</w:t>
      </w:r>
    </w:p>
    <w:p w:rsidR="00D9359C" w:rsidRDefault="00D9359C">
      <w:pPr>
        <w:keepNext/>
        <w:keepLines/>
        <w:spacing w:before="240" w:line="360" w:lineRule="auto"/>
        <w:rPr>
          <w:rFonts w:ascii="Palatino Linotype" w:eastAsia="Palatino Linotype" w:hAnsi="Palatino Linotype" w:cs="Palatino Linotype"/>
          <w:b/>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como lo es el </w:t>
      </w:r>
      <w:r>
        <w:rPr>
          <w:rFonts w:ascii="Palatino Linotype" w:eastAsia="Palatino Linotype" w:hAnsi="Palatino Linotype" w:cs="Palatino Linotype"/>
          <w:b/>
          <w:color w:val="000000"/>
          <w:sz w:val="22"/>
          <w:szCs w:val="22"/>
        </w:rPr>
        <w:t>Código QR</w:t>
      </w:r>
      <w:r>
        <w:rPr>
          <w:rFonts w:ascii="Palatino Linotype" w:eastAsia="Palatino Linotype" w:hAnsi="Palatino Linotype" w:cs="Palatino Linotype"/>
          <w:color w:val="000000"/>
          <w:sz w:val="22"/>
          <w:szCs w:val="22"/>
        </w:rPr>
        <w:t xml:space="preserve"> en los recibos de pago o Certificados Fiscales Digitales por Internet (CFDI), por lo que, es necesario dar vista al área competente para que en ejercicio de sus atribuciones realice las investigaciones pertinentes por las omisiones detectadas atribuibles al </w:t>
      </w:r>
      <w:r>
        <w:rPr>
          <w:rFonts w:ascii="Palatino Linotype" w:eastAsia="Palatino Linotype" w:hAnsi="Palatino Linotype" w:cs="Palatino Linotype"/>
          <w:b/>
          <w:color w:val="000000"/>
          <w:sz w:val="22"/>
          <w:szCs w:val="22"/>
        </w:rPr>
        <w:t>SUJETO OBLIGADO.</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conveniente señalar las fracciones XIV, XXII, XXIII y XXV, del artículo 82, de la Ley de Protección de Datos Personales en Posesión de Sujetos Obligados del Estado de México y Municipios, que establece:</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Atribuciones del Instituto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82.</w:t>
      </w:r>
      <w:r>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XIV. Formular observaciones y recomendaciones</w:t>
      </w:r>
      <w:r>
        <w:rPr>
          <w:rFonts w:ascii="Palatino Linotype" w:eastAsia="Palatino Linotype" w:hAnsi="Palatino Linotype" w:cs="Palatino Linotype"/>
          <w:i/>
          <w:color w:val="000000"/>
          <w:sz w:val="22"/>
          <w:szCs w:val="22"/>
        </w:rPr>
        <w:t xml:space="preserve"> a los sujetos obligados que incumplan esta Ley.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XXII. Verificar el cumplimiento</w:t>
      </w:r>
      <w:r>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XXIII. Implementar los procedimientos</w:t>
      </w:r>
      <w:r>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 Investigar las posibles violaciones</w:t>
      </w:r>
      <w:r>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rsidR="00D9359C" w:rsidRDefault="008733D4">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tanto, es menester dar vista a la Dirección de Protección de Datos Personales de este Instituto para que en ejercicio de sus atribuciones atienda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rsidR="00D9359C" w:rsidRDefault="00D9359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p w:rsidR="00D9359C" w:rsidRDefault="008733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último y no menos importante, se debe enfatizar que tal y como se mencionó en este considerando,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Pr>
          <w:rFonts w:ascii="Palatino Linotype" w:eastAsia="Palatino Linotype" w:hAnsi="Palatino Linotype" w:cs="Palatino Linotype"/>
          <w:b/>
          <w:color w:val="000000"/>
          <w:sz w:val="22"/>
          <w:szCs w:val="22"/>
        </w:rPr>
        <w:t>LEY FEDERAL DE PROTECCIÓN DE DATOS PERSONALES EN POSESIÓN DE LOS PARTICULARES</w:t>
      </w:r>
      <w:r>
        <w:rPr>
          <w:rFonts w:ascii="Palatino Linotype" w:eastAsia="Palatino Linotype" w:hAnsi="Palatino Linotype" w:cs="Palatino Linotype"/>
          <w:color w:val="000000"/>
          <w:sz w:val="22"/>
          <w:szCs w:val="22"/>
        </w:rPr>
        <w:t xml:space="preserve"> que señala puntualmente en su artículo lo siguiente: </w:t>
      </w:r>
    </w:p>
    <w:p w:rsidR="00D9359C" w:rsidRDefault="00D9359C">
      <w:pPr>
        <w:tabs>
          <w:tab w:val="left" w:pos="567"/>
        </w:tabs>
        <w:spacing w:line="360" w:lineRule="auto"/>
        <w:jc w:val="both"/>
        <w:rPr>
          <w:rFonts w:ascii="Palatino Linotype" w:eastAsia="Palatino Linotype" w:hAnsi="Palatino Linotype" w:cs="Palatino Linotype"/>
          <w:b/>
          <w:i/>
          <w:sz w:val="22"/>
          <w:szCs w:val="22"/>
        </w:rPr>
      </w:pPr>
    </w:p>
    <w:p w:rsidR="00D9359C" w:rsidRDefault="008733D4" w:rsidP="00453CD7">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“Artículo 1.-</w:t>
      </w:r>
      <w:r>
        <w:rPr>
          <w:rFonts w:ascii="Palatino Linotype" w:eastAsia="Palatino Linotype" w:hAnsi="Palatino Linotype" w:cs="Palatino Linotype"/>
          <w:i/>
          <w:color w:val="000000"/>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D9359C" w:rsidRPr="001242D4" w:rsidRDefault="008733D4" w:rsidP="001242D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Por lo anteriormente expuesto y fundado, este </w:t>
      </w:r>
      <w:r>
        <w:rPr>
          <w:rFonts w:ascii="Palatino Linotype" w:eastAsia="Palatino Linotype" w:hAnsi="Palatino Linotype" w:cs="Palatino Linotype"/>
          <w:b/>
          <w:color w:val="000000"/>
          <w:sz w:val="22"/>
          <w:szCs w:val="22"/>
        </w:rPr>
        <w:t>ÓRGANO GARANTE</w:t>
      </w:r>
      <w:r>
        <w:rPr>
          <w:rFonts w:ascii="Palatino Linotype" w:eastAsia="Palatino Linotype" w:hAnsi="Palatino Linotype" w:cs="Palatino Linotype"/>
          <w:color w:val="000000"/>
          <w:sz w:val="22"/>
          <w:szCs w:val="22"/>
        </w:rPr>
        <w:t xml:space="preserve"> emite los siguientes:</w:t>
      </w:r>
    </w:p>
    <w:p w:rsidR="00D9359C" w:rsidRDefault="008733D4">
      <w:pPr>
        <w:pStyle w:val="Ttulo2"/>
        <w:tabs>
          <w:tab w:val="left" w:pos="0"/>
        </w:tabs>
        <w:spacing w:before="0" w:line="360" w:lineRule="auto"/>
        <w:jc w:val="center"/>
        <w:rPr>
          <w:rFonts w:ascii="Palatino Linotype" w:eastAsia="Palatino Linotype" w:hAnsi="Palatino Linotype" w:cs="Palatino Linotype"/>
          <w:b/>
          <w:color w:val="000000"/>
          <w:sz w:val="22"/>
          <w:szCs w:val="22"/>
        </w:rPr>
      </w:pPr>
      <w:bookmarkStart w:id="11" w:name="_heading=h.17dp8vu" w:colFirst="0" w:colLast="0"/>
      <w:bookmarkEnd w:id="11"/>
      <w:r>
        <w:rPr>
          <w:rFonts w:ascii="Palatino Linotype" w:eastAsia="Palatino Linotype" w:hAnsi="Palatino Linotype" w:cs="Palatino Linotype"/>
          <w:b/>
          <w:color w:val="000000"/>
          <w:sz w:val="22"/>
          <w:szCs w:val="22"/>
        </w:rPr>
        <w:t>R E S O L U T I V O S</w:t>
      </w:r>
    </w:p>
    <w:p w:rsidR="00D9359C" w:rsidRDefault="008733D4">
      <w:pPr>
        <w:spacing w:before="240" w:after="360" w:line="360" w:lineRule="auto"/>
        <w:ind w:right="-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 parcialmente fundadas las razones o motivos de </w:t>
      </w:r>
      <w:r w:rsidR="0074719C">
        <w:rPr>
          <w:rFonts w:ascii="Palatino Linotype" w:eastAsia="Palatino Linotype" w:hAnsi="Palatino Linotype" w:cs="Palatino Linotype"/>
          <w:sz w:val="22"/>
          <w:szCs w:val="22"/>
        </w:rPr>
        <w:t>inconformidad hechos valer en los</w:t>
      </w:r>
      <w:r>
        <w:rPr>
          <w:rFonts w:ascii="Palatino Linotype" w:eastAsia="Palatino Linotype" w:hAnsi="Palatino Linotype" w:cs="Palatino Linotype"/>
          <w:sz w:val="22"/>
          <w:szCs w:val="22"/>
        </w:rPr>
        <w:t xml:space="preserve"> Recurso</w:t>
      </w:r>
      <w:r w:rsidR="0074719C">
        <w:rPr>
          <w:rFonts w:ascii="Palatino Linotype" w:eastAsia="Palatino Linotype" w:hAnsi="Palatino Linotype" w:cs="Palatino Linotype"/>
          <w:sz w:val="22"/>
          <w:szCs w:val="22"/>
        </w:rPr>
        <w:t>s</w:t>
      </w:r>
      <w:r>
        <w:rPr>
          <w:rFonts w:ascii="Palatino Linotype" w:eastAsia="Palatino Linotype" w:hAnsi="Palatino Linotype" w:cs="Palatino Linotype"/>
          <w:sz w:val="22"/>
          <w:szCs w:val="22"/>
        </w:rPr>
        <w:t xml:space="preserve"> de Revisión </w:t>
      </w:r>
      <w:r>
        <w:rPr>
          <w:rFonts w:ascii="Palatino Linotype" w:eastAsia="Palatino Linotype" w:hAnsi="Palatino Linotype" w:cs="Palatino Linotype"/>
          <w:b/>
          <w:color w:val="000000"/>
          <w:sz w:val="22"/>
          <w:szCs w:val="22"/>
        </w:rPr>
        <w:t>04523/INFOEM/IP/RR/2024, 04524/INFOEM/IP/RR/2024, 04525/INFOEM/IP/RR/2024, 04526/INFOEM/IP/RR/2024 y 04527/INFOEM/IP/RR/2024</w:t>
      </w:r>
      <w:r>
        <w:rPr>
          <w:rFonts w:ascii="Palatino Linotype" w:eastAsia="Palatino Linotype" w:hAnsi="Palatino Linotype" w:cs="Palatino Linotype"/>
          <w:b/>
          <w:sz w:val="22"/>
          <w:szCs w:val="22"/>
        </w:rPr>
        <w:t xml:space="preserve"> acumulados</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términos de los Considerandos </w:t>
      </w:r>
      <w:r>
        <w:rPr>
          <w:rFonts w:ascii="Palatino Linotype" w:eastAsia="Palatino Linotype" w:hAnsi="Palatino Linotype" w:cs="Palatino Linotype"/>
          <w:b/>
          <w:sz w:val="22"/>
          <w:szCs w:val="22"/>
        </w:rPr>
        <w:t xml:space="preserve">CUARTO y QUINTO </w:t>
      </w:r>
      <w:r>
        <w:rPr>
          <w:rFonts w:ascii="Palatino Linotype" w:eastAsia="Palatino Linotype" w:hAnsi="Palatino Linotype" w:cs="Palatino Linotype"/>
          <w:sz w:val="22"/>
          <w:szCs w:val="22"/>
        </w:rPr>
        <w:t xml:space="preserve">de la presente resolución. </w:t>
      </w:r>
    </w:p>
    <w:p w:rsidR="00D9359C" w:rsidRDefault="008733D4">
      <w:pPr>
        <w:spacing w:before="240" w:after="360" w:line="360" w:lineRule="auto"/>
        <w:ind w:right="-2"/>
        <w:jc w:val="both"/>
        <w:rPr>
          <w:rFonts w:ascii="Palatino Linotype" w:eastAsia="Palatino Linotype" w:hAnsi="Palatino Linotype" w:cs="Palatino Linotype"/>
          <w:color w:val="000000"/>
          <w:sz w:val="22"/>
          <w:szCs w:val="22"/>
        </w:rPr>
      </w:pPr>
      <w:bookmarkStart w:id="12" w:name="_heading=h.3rdcrjn" w:colFirst="0" w:colLast="0"/>
      <w:bookmarkEnd w:id="12"/>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MODIFICA </w:t>
      </w:r>
      <w:r>
        <w:rPr>
          <w:rFonts w:ascii="Palatino Linotype" w:eastAsia="Palatino Linotype" w:hAnsi="Palatino Linotype" w:cs="Palatino Linotype"/>
          <w:color w:val="000000"/>
          <w:sz w:val="22"/>
          <w:szCs w:val="22"/>
        </w:rPr>
        <w:t xml:space="preserve">la respuesta emitida por el </w:t>
      </w:r>
      <w:r>
        <w:rPr>
          <w:rFonts w:ascii="Palatino Linotype" w:eastAsia="Palatino Linotype" w:hAnsi="Palatino Linotype" w:cs="Palatino Linotype"/>
          <w:b/>
          <w:color w:val="000000"/>
          <w:sz w:val="22"/>
          <w:szCs w:val="22"/>
        </w:rPr>
        <w:t>Sistema Municipal Para el Desarrollo Integral de la Familia de Tlalnepantla de Baz</w:t>
      </w:r>
      <w:r>
        <w:rPr>
          <w:rFonts w:ascii="Palatino Linotype" w:eastAsia="Palatino Linotype" w:hAnsi="Palatino Linotype" w:cs="Palatino Linotype"/>
          <w:color w:val="000000"/>
          <w:sz w:val="22"/>
          <w:szCs w:val="22"/>
        </w:rPr>
        <w:t xml:space="preserve"> a las solicitudes de información </w:t>
      </w:r>
      <w:r>
        <w:rPr>
          <w:rFonts w:ascii="Palatino Linotype" w:eastAsia="Palatino Linotype" w:hAnsi="Palatino Linotype" w:cs="Palatino Linotype"/>
          <w:b/>
          <w:sz w:val="22"/>
          <w:szCs w:val="22"/>
        </w:rPr>
        <w:t xml:space="preserve">00134/DIFTLALNE/IP/2024, 00133/DIFTLALNE/IP/2024, 00132/DIFTLALNE/IP/2024, 00131/DIFTLALNE/IP/2024 y 00130/DIFTLALNE/IP/2024, </w:t>
      </w:r>
      <w:r>
        <w:rPr>
          <w:rFonts w:ascii="Palatino Linotype" w:eastAsia="Palatino Linotype" w:hAnsi="Palatino Linotype" w:cs="Palatino Linotype"/>
          <w:color w:val="000000"/>
          <w:sz w:val="22"/>
          <w:szCs w:val="22"/>
        </w:rPr>
        <w:t xml:space="preserve">y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entregar vía Sistema de Acceso a la Información Mexiquense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en versión pública correcta</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lo siguiente:</w:t>
      </w:r>
    </w:p>
    <w:p w:rsidR="00D9359C" w:rsidRPr="001242D4" w:rsidRDefault="008733D4">
      <w:pPr>
        <w:numPr>
          <w:ilvl w:val="0"/>
          <w:numId w:val="2"/>
        </w:numPr>
        <w:pBdr>
          <w:top w:val="nil"/>
          <w:left w:val="nil"/>
          <w:bottom w:val="nil"/>
          <w:right w:val="nil"/>
          <w:between w:val="nil"/>
        </w:pBdr>
        <w:spacing w:before="240" w:after="360" w:line="360" w:lineRule="auto"/>
        <w:ind w:left="567" w:right="539" w:hanging="141"/>
        <w:jc w:val="both"/>
        <w:rPr>
          <w:rFonts w:ascii="Palatino Linotype" w:eastAsia="Palatino Linotype" w:hAnsi="Palatino Linotype" w:cs="Palatino Linotype"/>
          <w:color w:val="000000"/>
          <w:sz w:val="22"/>
          <w:szCs w:val="22"/>
        </w:rPr>
      </w:pPr>
      <w:bookmarkStart w:id="13" w:name="_heading=h.26in1rg" w:colFirst="0" w:colLast="0"/>
      <w:bookmarkEnd w:id="13"/>
      <w:r>
        <w:rPr>
          <w:rFonts w:ascii="Palatino Linotype" w:eastAsia="Palatino Linotype" w:hAnsi="Palatino Linotype" w:cs="Palatino Linotype"/>
          <w:b/>
          <w:color w:val="000000"/>
          <w:sz w:val="22"/>
          <w:szCs w:val="22"/>
        </w:rPr>
        <w:t xml:space="preserve">Los recibos de percepciones por </w:t>
      </w:r>
      <w:r w:rsidRPr="001242D4">
        <w:rPr>
          <w:rFonts w:ascii="Palatino Linotype" w:eastAsia="Palatino Linotype" w:hAnsi="Palatino Linotype" w:cs="Palatino Linotype"/>
          <w:b/>
          <w:color w:val="000000"/>
          <w:sz w:val="22"/>
          <w:szCs w:val="22"/>
        </w:rPr>
        <w:t>concepto de sueldo, prima vacacional y aguinaldo de los Servidores Públicos adscritos a la Coordinación de Transparencia de 2021, 2022, 2023 y de</w:t>
      </w:r>
      <w:r w:rsidR="008719A4" w:rsidRPr="001242D4">
        <w:rPr>
          <w:rFonts w:ascii="Palatino Linotype" w:eastAsia="Palatino Linotype" w:hAnsi="Palatino Linotype" w:cs="Palatino Linotype"/>
          <w:b/>
          <w:color w:val="000000"/>
          <w:sz w:val="22"/>
          <w:szCs w:val="22"/>
        </w:rPr>
        <w:t xml:space="preserve"> </w:t>
      </w:r>
      <w:r w:rsidRPr="001242D4">
        <w:rPr>
          <w:rFonts w:ascii="Palatino Linotype" w:eastAsia="Palatino Linotype" w:hAnsi="Palatino Linotype" w:cs="Palatino Linotype"/>
          <w:b/>
          <w:color w:val="000000"/>
          <w:sz w:val="22"/>
          <w:szCs w:val="22"/>
        </w:rPr>
        <w:t>l</w:t>
      </w:r>
      <w:r w:rsidR="008719A4" w:rsidRPr="001242D4">
        <w:rPr>
          <w:rFonts w:ascii="Palatino Linotype" w:eastAsia="Palatino Linotype" w:hAnsi="Palatino Linotype" w:cs="Palatino Linotype"/>
          <w:b/>
          <w:color w:val="000000"/>
          <w:sz w:val="22"/>
          <w:szCs w:val="22"/>
        </w:rPr>
        <w:t>a primera quincena de enero</w:t>
      </w:r>
      <w:r w:rsidRPr="001242D4">
        <w:rPr>
          <w:rFonts w:ascii="Palatino Linotype" w:eastAsia="Palatino Linotype" w:hAnsi="Palatino Linotype" w:cs="Palatino Linotype"/>
          <w:b/>
          <w:color w:val="000000"/>
          <w:sz w:val="22"/>
          <w:szCs w:val="22"/>
        </w:rPr>
        <w:t xml:space="preserve"> a</w:t>
      </w:r>
      <w:r w:rsidR="008719A4" w:rsidRPr="001242D4">
        <w:rPr>
          <w:rFonts w:ascii="Palatino Linotype" w:eastAsia="Palatino Linotype" w:hAnsi="Palatino Linotype" w:cs="Palatino Linotype"/>
          <w:b/>
          <w:color w:val="000000"/>
          <w:sz w:val="22"/>
          <w:szCs w:val="22"/>
        </w:rPr>
        <w:t xml:space="preserve"> </w:t>
      </w:r>
      <w:r w:rsidRPr="001242D4">
        <w:rPr>
          <w:rFonts w:ascii="Palatino Linotype" w:eastAsia="Palatino Linotype" w:hAnsi="Palatino Linotype" w:cs="Palatino Linotype"/>
          <w:b/>
          <w:color w:val="000000"/>
          <w:sz w:val="22"/>
          <w:szCs w:val="22"/>
        </w:rPr>
        <w:t>l</w:t>
      </w:r>
      <w:r w:rsidR="008719A4" w:rsidRPr="001242D4">
        <w:rPr>
          <w:rFonts w:ascii="Palatino Linotype" w:eastAsia="Palatino Linotype" w:hAnsi="Palatino Linotype" w:cs="Palatino Linotype"/>
          <w:b/>
          <w:color w:val="000000"/>
          <w:sz w:val="22"/>
          <w:szCs w:val="22"/>
        </w:rPr>
        <w:t>a primera quincena de</w:t>
      </w:r>
      <w:r w:rsidRPr="001242D4">
        <w:rPr>
          <w:rFonts w:ascii="Palatino Linotype" w:eastAsia="Palatino Linotype" w:hAnsi="Palatino Linotype" w:cs="Palatino Linotype"/>
          <w:b/>
          <w:color w:val="000000"/>
          <w:sz w:val="22"/>
          <w:szCs w:val="22"/>
        </w:rPr>
        <w:t xml:space="preserve"> junio de 2024.</w:t>
      </w:r>
    </w:p>
    <w:p w:rsidR="00D9359C" w:rsidRDefault="008733D4">
      <w:pPr>
        <w:spacing w:before="240" w:after="360" w:line="360" w:lineRule="auto"/>
        <w:ind w:right="-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w:t>
      </w:r>
      <w:r>
        <w:rPr>
          <w:rFonts w:ascii="Palatino Linotype" w:eastAsia="Palatino Linotype" w:hAnsi="Palatino Linotype" w:cs="Palatino Linotype"/>
          <w:sz w:val="22"/>
          <w:szCs w:val="22"/>
        </w:rPr>
        <w:lastRenderedPageBreak/>
        <w:t>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w:t>
      </w:r>
    </w:p>
    <w:p w:rsidR="00D9359C" w:rsidRDefault="008733D4">
      <w:pPr>
        <w:spacing w:line="360" w:lineRule="auto"/>
        <w:ind w:right="-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TERCERO.</w:t>
      </w:r>
      <w:r>
        <w:rPr>
          <w:rFonts w:ascii="Palatino Linotype" w:eastAsia="Palatino Linotype" w:hAnsi="Palatino Linotype" w:cs="Palatino Linotype"/>
          <w:color w:val="000000"/>
          <w:sz w:val="22"/>
          <w:szCs w:val="22"/>
        </w:rPr>
        <w:t xml:space="preserve"> Notifíquese al Titular de la Unidad de Transparencia </w:t>
      </w:r>
      <w:r>
        <w:rPr>
          <w:rFonts w:ascii="Palatino Linotype" w:eastAsia="Palatino Linotype" w:hAnsi="Palatino Linotype" w:cs="Palatino Linotype"/>
          <w:color w:val="222222"/>
          <w:sz w:val="22"/>
          <w:szCs w:val="22"/>
        </w:rPr>
        <w:t xml:space="preserve">del </w:t>
      </w:r>
      <w:r>
        <w:rPr>
          <w:rFonts w:ascii="Palatino Linotype" w:eastAsia="Palatino Linotype" w:hAnsi="Palatino Linotype" w:cs="Palatino Linotype"/>
          <w:b/>
          <w:color w:val="222222"/>
          <w:sz w:val="22"/>
          <w:szCs w:val="22"/>
        </w:rPr>
        <w:t xml:space="preserve">SUJETO OBLIGADO </w:t>
      </w:r>
      <w:r>
        <w:rPr>
          <w:rFonts w:ascii="Palatino Linotype" w:eastAsia="Palatino Linotype" w:hAnsi="Palatino Linotype" w:cs="Palatino Linotype"/>
          <w:color w:val="222222"/>
          <w:sz w:val="22"/>
          <w:szCs w:val="22"/>
        </w:rPr>
        <w:t>la presente resolución,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9359C" w:rsidRDefault="00D9359C">
      <w:pPr>
        <w:spacing w:line="360" w:lineRule="auto"/>
        <w:ind w:right="-2"/>
        <w:jc w:val="both"/>
        <w:rPr>
          <w:rFonts w:ascii="Palatino Linotype" w:eastAsia="Palatino Linotype" w:hAnsi="Palatino Linotype" w:cs="Palatino Linotype"/>
          <w:color w:val="000000"/>
          <w:sz w:val="22"/>
          <w:szCs w:val="22"/>
        </w:rPr>
      </w:pPr>
    </w:p>
    <w:p w:rsidR="00D9359C" w:rsidRDefault="008733D4">
      <w:pPr>
        <w:spacing w:line="360" w:lineRule="auto"/>
        <w:ind w:right="-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w:t>
      </w:r>
      <w:r w:rsidR="0074719C">
        <w:rPr>
          <w:rFonts w:ascii="Palatino Linotype" w:eastAsia="Palatino Linotype" w:hAnsi="Palatino Linotype" w:cs="Palatino Linotype"/>
          <w:sz w:val="22"/>
          <w:szCs w:val="22"/>
        </w:rPr>
        <w:t>Notifíquese al</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la presente resolución vía</w:t>
      </w:r>
      <w:r>
        <w:rPr>
          <w:rFonts w:ascii="Palatino Linotype" w:eastAsia="Palatino Linotype" w:hAnsi="Palatino Linotype" w:cs="Palatino Linotype"/>
          <w:b/>
          <w:sz w:val="22"/>
          <w:szCs w:val="22"/>
        </w:rPr>
        <w:t xml:space="preserve"> SAIMEX.</w:t>
      </w:r>
    </w:p>
    <w:p w:rsidR="0074719C" w:rsidRDefault="0074719C">
      <w:pPr>
        <w:spacing w:line="360" w:lineRule="auto"/>
        <w:ind w:right="-2"/>
        <w:jc w:val="both"/>
        <w:rPr>
          <w:rFonts w:ascii="Palatino Linotype" w:eastAsia="Palatino Linotype" w:hAnsi="Palatino Linotype" w:cs="Palatino Linotype"/>
          <w:b/>
          <w:sz w:val="22"/>
          <w:szCs w:val="22"/>
        </w:rPr>
      </w:pPr>
    </w:p>
    <w:p w:rsidR="00D9359C" w:rsidRDefault="008733D4">
      <w:pPr>
        <w:spacing w:line="360" w:lineRule="auto"/>
        <w:ind w:right="-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D9359C" w:rsidRDefault="00D9359C">
      <w:pPr>
        <w:spacing w:line="360" w:lineRule="auto"/>
        <w:ind w:right="-2"/>
        <w:jc w:val="both"/>
        <w:rPr>
          <w:rFonts w:ascii="Palatino Linotype" w:eastAsia="Palatino Linotype" w:hAnsi="Palatino Linotype" w:cs="Palatino Linotype"/>
          <w:sz w:val="22"/>
          <w:szCs w:val="22"/>
        </w:rPr>
      </w:pPr>
    </w:p>
    <w:p w:rsidR="00D9359C" w:rsidRDefault="008733D4">
      <w:pPr>
        <w:pBdr>
          <w:top w:val="nil"/>
          <w:left w:val="nil"/>
          <w:bottom w:val="nil"/>
          <w:right w:val="nil"/>
          <w:between w:val="nil"/>
        </w:pBdr>
        <w:spacing w:after="240" w:line="360" w:lineRule="auto"/>
        <w:ind w:right="-2"/>
        <w:jc w:val="both"/>
        <w:rPr>
          <w:rFonts w:ascii="Palatino Linotype" w:eastAsia="Palatino Linotype" w:hAnsi="Palatino Linotype" w:cs="Palatino Linotype"/>
          <w:color w:val="000000"/>
          <w:sz w:val="22"/>
          <w:szCs w:val="22"/>
        </w:rPr>
      </w:pPr>
      <w:bookmarkStart w:id="14" w:name="_heading=h.lnxbz9" w:colFirst="0" w:colLast="0"/>
      <w:bookmarkEnd w:id="14"/>
      <w:r>
        <w:rPr>
          <w:rFonts w:ascii="Palatino Linotype" w:eastAsia="Palatino Linotype" w:hAnsi="Palatino Linotype" w:cs="Palatino Linotype"/>
          <w:b/>
          <w:color w:val="000000"/>
          <w:sz w:val="22"/>
          <w:szCs w:val="22"/>
        </w:rPr>
        <w:lastRenderedPageBreak/>
        <w:t xml:space="preserve">SEXTO. </w:t>
      </w:r>
      <w:r>
        <w:rPr>
          <w:rFonts w:ascii="Palatino Linotype" w:eastAsia="Palatino Linotype" w:hAnsi="Palatino Linotype" w:cs="Palatino Linotype"/>
          <w:color w:val="000000"/>
          <w:sz w:val="22"/>
          <w:szCs w:val="22"/>
        </w:rPr>
        <w:t xml:space="preserve">Se hace del conocimiento de la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9359C" w:rsidRDefault="008733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SÉPTIMO. Gírese</w:t>
      </w:r>
      <w:r>
        <w:rPr>
          <w:rFonts w:ascii="Palatino Linotype" w:eastAsia="Palatino Linotype" w:hAnsi="Palatino Linotype" w:cs="Palatino Linotype"/>
          <w:sz w:val="22"/>
          <w:szCs w:val="22"/>
        </w:rPr>
        <w:t xml:space="preserve"> oficio al Titular de la Dirección General de Protección de Datos Personales, en atención al artículo 82, fracción XXVII de la Ley de Protección de Datos Personales del Estado de México y Municipios en términos de lo señalado en el </w:t>
      </w:r>
      <w:r>
        <w:rPr>
          <w:rFonts w:ascii="Palatino Linotype" w:eastAsia="Palatino Linotype" w:hAnsi="Palatino Linotype" w:cs="Palatino Linotype"/>
          <w:b/>
          <w:sz w:val="22"/>
          <w:szCs w:val="22"/>
        </w:rPr>
        <w:t>Considerando SEXTO</w:t>
      </w:r>
      <w:r>
        <w:rPr>
          <w:rFonts w:ascii="Palatino Linotype" w:eastAsia="Palatino Linotype" w:hAnsi="Palatino Linotype" w:cs="Palatino Linotype"/>
          <w:sz w:val="22"/>
          <w:szCs w:val="22"/>
        </w:rPr>
        <w:t xml:space="preserve"> de la presente resolución.</w:t>
      </w:r>
    </w:p>
    <w:p w:rsidR="00D9359C" w:rsidRDefault="00D9359C">
      <w:pPr>
        <w:pBdr>
          <w:top w:val="nil"/>
          <w:left w:val="nil"/>
          <w:bottom w:val="nil"/>
          <w:right w:val="nil"/>
          <w:between w:val="nil"/>
        </w:pBdr>
        <w:spacing w:after="240" w:line="360" w:lineRule="auto"/>
        <w:ind w:right="-2"/>
        <w:jc w:val="both"/>
        <w:rPr>
          <w:rFonts w:ascii="Palatino Linotype" w:eastAsia="Palatino Linotype" w:hAnsi="Palatino Linotype" w:cs="Palatino Linotype"/>
          <w:color w:val="000000"/>
          <w:sz w:val="22"/>
          <w:szCs w:val="22"/>
        </w:rPr>
      </w:pPr>
    </w:p>
    <w:p w:rsidR="0074719C" w:rsidRPr="003C7186" w:rsidRDefault="0074719C" w:rsidP="0074719C">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74719C" w:rsidRPr="00902BA4" w:rsidRDefault="0074719C" w:rsidP="0074719C">
      <w:pPr>
        <w:widowControl w:val="0"/>
        <w:autoSpaceDE w:val="0"/>
        <w:autoSpaceDN w:val="0"/>
        <w:adjustRightInd w:val="0"/>
        <w:spacing w:after="200" w:line="276" w:lineRule="auto"/>
        <w:ind w:left="-142" w:right="-234"/>
        <w:rPr>
          <w:rFonts w:ascii="Calibri" w:hAnsi="Calibri" w:cs="Calibri"/>
        </w:rPr>
      </w:pPr>
    </w:p>
    <w:p w:rsidR="0074719C" w:rsidRDefault="0074719C" w:rsidP="0074719C">
      <w:pPr>
        <w:spacing w:before="240" w:after="240" w:line="360" w:lineRule="auto"/>
        <w:ind w:firstLine="1"/>
        <w:jc w:val="both"/>
        <w:rPr>
          <w:rFonts w:ascii="Palatino Linotype" w:hAnsi="Palatino Linotype"/>
        </w:rPr>
      </w:pPr>
      <w:bookmarkStart w:id="15" w:name="_Hlk96506827"/>
    </w:p>
    <w:bookmarkEnd w:id="15"/>
    <w:p w:rsidR="00D9359C" w:rsidRDefault="00D9359C">
      <w:pPr>
        <w:spacing w:line="360" w:lineRule="auto"/>
        <w:jc w:val="both"/>
        <w:rPr>
          <w:rFonts w:ascii="Palatino Linotype" w:eastAsia="Palatino Linotype" w:hAnsi="Palatino Linotype" w:cs="Palatino Linotype"/>
          <w:sz w:val="22"/>
          <w:szCs w:val="22"/>
        </w:rPr>
      </w:pPr>
    </w:p>
    <w:p w:rsidR="00D9359C" w:rsidRDefault="00D9359C">
      <w:pPr>
        <w:spacing w:line="360" w:lineRule="auto"/>
        <w:jc w:val="both"/>
        <w:rPr>
          <w:rFonts w:ascii="Palatino Linotype" w:eastAsia="Palatino Linotype" w:hAnsi="Palatino Linotype" w:cs="Palatino Linotype"/>
          <w:sz w:val="22"/>
          <w:szCs w:val="22"/>
        </w:rPr>
      </w:pPr>
    </w:p>
    <w:p w:rsidR="00D9359C" w:rsidRDefault="00D9359C">
      <w:pPr>
        <w:spacing w:line="360" w:lineRule="auto"/>
        <w:jc w:val="both"/>
        <w:rPr>
          <w:rFonts w:ascii="Palatino Linotype" w:eastAsia="Palatino Linotype" w:hAnsi="Palatino Linotype" w:cs="Palatino Linotype"/>
          <w:sz w:val="22"/>
          <w:szCs w:val="22"/>
        </w:rPr>
      </w:pPr>
    </w:p>
    <w:p w:rsidR="00D9359C" w:rsidRDefault="00D9359C">
      <w:pPr>
        <w:spacing w:line="360" w:lineRule="auto"/>
        <w:jc w:val="both"/>
        <w:rPr>
          <w:rFonts w:ascii="Palatino Linotype" w:eastAsia="Palatino Linotype" w:hAnsi="Palatino Linotype" w:cs="Palatino Linotype"/>
          <w:sz w:val="22"/>
          <w:szCs w:val="22"/>
        </w:rPr>
      </w:pPr>
    </w:p>
    <w:p w:rsidR="00D9359C" w:rsidRDefault="00D9359C">
      <w:pPr>
        <w:spacing w:line="360" w:lineRule="auto"/>
        <w:jc w:val="both"/>
        <w:rPr>
          <w:rFonts w:ascii="Palatino Linotype" w:eastAsia="Palatino Linotype" w:hAnsi="Palatino Linotype" w:cs="Palatino Linotype"/>
          <w:sz w:val="22"/>
          <w:szCs w:val="22"/>
        </w:rPr>
      </w:pPr>
    </w:p>
    <w:p w:rsidR="00D9359C" w:rsidRDefault="00D9359C"/>
    <w:sectPr w:rsidR="00D9359C">
      <w:headerReference w:type="default" r:id="rId30"/>
      <w:footerReference w:type="default" r:id="rId31"/>
      <w:headerReference w:type="first" r:id="rId32"/>
      <w:footerReference w:type="first" r:id="rId33"/>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2D8" w:rsidRDefault="008732D8">
      <w:r>
        <w:separator/>
      </w:r>
    </w:p>
  </w:endnote>
  <w:endnote w:type="continuationSeparator" w:id="0">
    <w:p w:rsidR="008732D8" w:rsidRDefault="0087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9C" w:rsidRDefault="008733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026AAB">
      <w:rPr>
        <w:rFonts w:ascii="Palatino Linotype" w:eastAsia="Palatino Linotype" w:hAnsi="Palatino Linotype" w:cs="Palatino Linotype"/>
        <w:b/>
        <w:noProof/>
        <w:color w:val="000000"/>
        <w:sz w:val="22"/>
        <w:szCs w:val="22"/>
      </w:rPr>
      <w:t>42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026AAB">
      <w:rPr>
        <w:rFonts w:ascii="Palatino Linotype" w:eastAsia="Palatino Linotype" w:hAnsi="Palatino Linotype" w:cs="Palatino Linotype"/>
        <w:b/>
        <w:noProof/>
        <w:color w:val="000000"/>
        <w:sz w:val="22"/>
        <w:szCs w:val="22"/>
      </w:rPr>
      <w:t>42</w:t>
    </w:r>
    <w:r>
      <w:rPr>
        <w:rFonts w:ascii="Palatino Linotype" w:eastAsia="Palatino Linotype" w:hAnsi="Palatino Linotype" w:cs="Palatino Linotype"/>
        <w:b/>
        <w:color w:val="000000"/>
        <w:sz w:val="22"/>
        <w:szCs w:val="22"/>
      </w:rPr>
      <w:fldChar w:fldCharType="end"/>
    </w:r>
  </w:p>
  <w:p w:rsidR="00D9359C" w:rsidRDefault="00D9359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9C" w:rsidRDefault="008733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26AA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26AAB">
      <w:rPr>
        <w:rFonts w:ascii="Palatino Linotype" w:eastAsia="Palatino Linotype" w:hAnsi="Palatino Linotype" w:cs="Palatino Linotype"/>
        <w:noProof/>
        <w:color w:val="000000"/>
        <w:sz w:val="22"/>
        <w:szCs w:val="22"/>
      </w:rPr>
      <w:t>42</w:t>
    </w:r>
    <w:r>
      <w:rPr>
        <w:rFonts w:ascii="Palatino Linotype" w:eastAsia="Palatino Linotype" w:hAnsi="Palatino Linotype" w:cs="Palatino Linotype"/>
        <w:color w:val="000000"/>
        <w:sz w:val="22"/>
        <w:szCs w:val="22"/>
      </w:rPr>
      <w:fldChar w:fldCharType="end"/>
    </w:r>
  </w:p>
  <w:p w:rsidR="00D9359C" w:rsidRDefault="00D9359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2D8" w:rsidRDefault="008732D8">
      <w:r>
        <w:separator/>
      </w:r>
    </w:p>
  </w:footnote>
  <w:footnote w:type="continuationSeparator" w:id="0">
    <w:p w:rsidR="008732D8" w:rsidRDefault="008732D8">
      <w:r>
        <w:continuationSeparator/>
      </w:r>
    </w:p>
  </w:footnote>
  <w:footnote w:id="1">
    <w:p w:rsidR="00D9359C" w:rsidRDefault="008733D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D9359C" w:rsidRDefault="008733D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D9359C" w:rsidRDefault="008733D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D9359C" w:rsidRDefault="008733D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9C" w:rsidRDefault="008733D4">
    <w:pPr>
      <w:pBdr>
        <w:top w:val="nil"/>
        <w:left w:val="nil"/>
        <w:bottom w:val="nil"/>
        <w:right w:val="nil"/>
        <w:between w:val="nil"/>
      </w:pBdr>
      <w:tabs>
        <w:tab w:val="center" w:pos="4252"/>
        <w:tab w:val="right" w:pos="8504"/>
        <w:tab w:val="left" w:pos="8460"/>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-1217294</wp:posOffset>
          </wp:positionH>
          <wp:positionV relativeFrom="margin">
            <wp:posOffset>-1468119</wp:posOffset>
          </wp:positionV>
          <wp:extent cx="7490460" cy="9753600"/>
          <wp:effectExtent l="0" t="0" r="0" b="0"/>
          <wp:wrapNone/>
          <wp:docPr id="19"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Pr>
        <w:rFonts w:ascii="Calibri" w:eastAsia="Calibri" w:hAnsi="Calibri" w:cs="Calibri"/>
        <w:color w:val="000000"/>
      </w:rPr>
      <w:tab/>
    </w:r>
  </w:p>
  <w:p w:rsidR="00D9359C" w:rsidRDefault="00D9359C">
    <w:pPr>
      <w:pBdr>
        <w:top w:val="nil"/>
        <w:left w:val="nil"/>
        <w:bottom w:val="nil"/>
        <w:right w:val="nil"/>
        <w:between w:val="nil"/>
      </w:pBdr>
      <w:tabs>
        <w:tab w:val="center" w:pos="4252"/>
        <w:tab w:val="right" w:pos="8504"/>
      </w:tabs>
      <w:rPr>
        <w:rFonts w:ascii="Calibri" w:eastAsia="Calibri" w:hAnsi="Calibri" w:cs="Calibri"/>
        <w:color w:val="000000"/>
      </w:rPr>
    </w:pPr>
  </w:p>
  <w:tbl>
    <w:tblPr>
      <w:tblStyle w:val="a0"/>
      <w:tblW w:w="7795"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D9359C">
      <w:trPr>
        <w:trHeight w:val="138"/>
      </w:trPr>
      <w:tc>
        <w:tcPr>
          <w:tcW w:w="3544" w:type="dxa"/>
          <w:vAlign w:val="center"/>
        </w:tcPr>
        <w:p w:rsidR="00D9359C" w:rsidRDefault="008733D4">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252" w:type="dxa"/>
          <w:vAlign w:val="center"/>
        </w:tcPr>
        <w:p w:rsidR="00D9359C" w:rsidRDefault="008733D4">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04523/INFOEM/IP/RR/2024 y acumulados</w:t>
          </w:r>
        </w:p>
      </w:tc>
    </w:tr>
    <w:tr w:rsidR="00D9359C">
      <w:trPr>
        <w:trHeight w:val="233"/>
      </w:trPr>
      <w:tc>
        <w:tcPr>
          <w:tcW w:w="3544" w:type="dxa"/>
          <w:vAlign w:val="center"/>
        </w:tcPr>
        <w:p w:rsidR="00D9359C" w:rsidRDefault="008733D4">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52" w:type="dxa"/>
          <w:vAlign w:val="center"/>
        </w:tcPr>
        <w:p w:rsidR="00D9359C" w:rsidRDefault="008733D4">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Sistema Municipal Para el Desarrollo Integral de la Familia de Tlalnepantla de Baz</w:t>
          </w:r>
        </w:p>
      </w:tc>
    </w:tr>
    <w:tr w:rsidR="00D9359C">
      <w:trPr>
        <w:trHeight w:val="321"/>
      </w:trPr>
      <w:tc>
        <w:tcPr>
          <w:tcW w:w="3544" w:type="dxa"/>
          <w:vAlign w:val="center"/>
        </w:tcPr>
        <w:p w:rsidR="00D9359C" w:rsidRDefault="008733D4">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52" w:type="dxa"/>
          <w:vAlign w:val="center"/>
        </w:tcPr>
        <w:p w:rsidR="00D9359C" w:rsidRDefault="008733D4">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rsidR="00D9359C" w:rsidRDefault="008733D4">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9C" w:rsidRDefault="008732D8">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5.35pt;margin-top:-131.95pt;width:589.8pt;height:768pt;z-index:-251658240;mso-position-horizontal:absolute;mso-position-horizontal-relative:margin;mso-position-vertical:absolute;mso-position-vertical-relative:margin">
          <v:imagedata r:id="rId1" o:title="image1"/>
          <w10:wrap anchorx="margin" anchory="margin"/>
        </v:shape>
      </w:pict>
    </w:r>
    <w:r w:rsidR="008733D4">
      <w:rPr>
        <w:rFonts w:ascii="Calibri" w:eastAsia="Calibri" w:hAnsi="Calibri" w:cs="Calibri"/>
        <w:color w:val="000000"/>
      </w:rPr>
      <w:tab/>
    </w:r>
  </w:p>
  <w:tbl>
    <w:tblPr>
      <w:tblStyle w:val="a1"/>
      <w:tblW w:w="7372"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D9359C">
      <w:trPr>
        <w:trHeight w:val="138"/>
      </w:trPr>
      <w:tc>
        <w:tcPr>
          <w:tcW w:w="3261" w:type="dxa"/>
          <w:vAlign w:val="center"/>
        </w:tcPr>
        <w:p w:rsidR="00D9359C" w:rsidRDefault="008733D4">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111" w:type="dxa"/>
          <w:vAlign w:val="center"/>
        </w:tcPr>
        <w:p w:rsidR="00D9359C" w:rsidRDefault="008733D4">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04523/INFOEM/IP/RR/2024 y Acumulados</w:t>
          </w:r>
        </w:p>
      </w:tc>
    </w:tr>
    <w:tr w:rsidR="00D9359C">
      <w:trPr>
        <w:trHeight w:val="233"/>
      </w:trPr>
      <w:tc>
        <w:tcPr>
          <w:tcW w:w="3261" w:type="dxa"/>
          <w:vAlign w:val="center"/>
        </w:tcPr>
        <w:p w:rsidR="00D9359C" w:rsidRDefault="008733D4">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111" w:type="dxa"/>
        </w:tcPr>
        <w:p w:rsidR="00D9359C" w:rsidRDefault="00D9359C">
          <w:pPr>
            <w:pBdr>
              <w:top w:val="nil"/>
              <w:left w:val="nil"/>
              <w:bottom w:val="nil"/>
              <w:right w:val="nil"/>
              <w:between w:val="nil"/>
            </w:pBdr>
            <w:tabs>
              <w:tab w:val="center" w:pos="4252"/>
              <w:tab w:val="right" w:pos="8504"/>
            </w:tabs>
            <w:ind w:right="234"/>
            <w:jc w:val="both"/>
            <w:rPr>
              <w:rFonts w:ascii="Palatino Linotype" w:eastAsia="Palatino Linotype" w:hAnsi="Palatino Linotype" w:cs="Palatino Linotype"/>
              <w:b/>
              <w:color w:val="000000"/>
              <w:sz w:val="20"/>
              <w:szCs w:val="20"/>
            </w:rPr>
          </w:pPr>
        </w:p>
      </w:tc>
    </w:tr>
    <w:tr w:rsidR="00D9359C">
      <w:trPr>
        <w:trHeight w:val="321"/>
      </w:trPr>
      <w:tc>
        <w:tcPr>
          <w:tcW w:w="3261" w:type="dxa"/>
          <w:vAlign w:val="center"/>
        </w:tcPr>
        <w:p w:rsidR="00D9359C" w:rsidRDefault="008733D4">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111" w:type="dxa"/>
          <w:vAlign w:val="center"/>
        </w:tcPr>
        <w:p w:rsidR="00D9359C" w:rsidRDefault="008733D4">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Sistema Municipal Para el Desarrollo Integral de la Familia de Tlalnepantla de Baz</w:t>
          </w:r>
        </w:p>
      </w:tc>
    </w:tr>
    <w:tr w:rsidR="00D9359C">
      <w:trPr>
        <w:trHeight w:val="321"/>
      </w:trPr>
      <w:tc>
        <w:tcPr>
          <w:tcW w:w="3261" w:type="dxa"/>
          <w:vAlign w:val="center"/>
        </w:tcPr>
        <w:p w:rsidR="00D9359C" w:rsidRDefault="008733D4">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111" w:type="dxa"/>
          <w:vAlign w:val="center"/>
        </w:tcPr>
        <w:p w:rsidR="00D9359C" w:rsidRDefault="008733D4">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rsidR="00D9359C" w:rsidRDefault="00D9359C">
    <w:pPr>
      <w:pBdr>
        <w:top w:val="nil"/>
        <w:left w:val="nil"/>
        <w:bottom w:val="nil"/>
        <w:right w:val="nil"/>
        <w:between w:val="nil"/>
      </w:pBdr>
      <w:tabs>
        <w:tab w:val="center" w:pos="4252"/>
        <w:tab w:val="right" w:pos="8504"/>
        <w:tab w:val="left" w:pos="3103"/>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3349"/>
    <w:multiLevelType w:val="multilevel"/>
    <w:tmpl w:val="8A205670"/>
    <w:lvl w:ilvl="0">
      <w:start w:val="1"/>
      <w:numFmt w:val="decimal"/>
      <w:lvlText w:val="%1."/>
      <w:lvlJc w:val="left"/>
      <w:pPr>
        <w:ind w:left="2629"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313BA8"/>
    <w:multiLevelType w:val="multilevel"/>
    <w:tmpl w:val="CA18A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F221A9"/>
    <w:multiLevelType w:val="multilevel"/>
    <w:tmpl w:val="0F9AD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985093"/>
    <w:multiLevelType w:val="multilevel"/>
    <w:tmpl w:val="C1F6B6D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6A394B7D"/>
    <w:multiLevelType w:val="multilevel"/>
    <w:tmpl w:val="72106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B119F7"/>
    <w:multiLevelType w:val="multilevel"/>
    <w:tmpl w:val="BF1C376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766D00CB"/>
    <w:multiLevelType w:val="multilevel"/>
    <w:tmpl w:val="41E4345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C"/>
    <w:rsid w:val="00026AAB"/>
    <w:rsid w:val="00061E87"/>
    <w:rsid w:val="001242D4"/>
    <w:rsid w:val="001C7CE2"/>
    <w:rsid w:val="003C67B3"/>
    <w:rsid w:val="00453CD7"/>
    <w:rsid w:val="005350FB"/>
    <w:rsid w:val="0074719C"/>
    <w:rsid w:val="0079748F"/>
    <w:rsid w:val="008719A4"/>
    <w:rsid w:val="008732D8"/>
    <w:rsid w:val="008733D4"/>
    <w:rsid w:val="00D93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47E8D33-FF59-4654-BAA8-B652E66E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80A8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480A8F"/>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unhideWhenUsed/>
    <w:qFormat/>
    <w:rsid w:val="00480A8F"/>
    <w:pPr>
      <w:keepNext/>
      <w:keepLines/>
      <w:spacing w:before="40"/>
      <w:outlineLvl w:val="3"/>
    </w:pPr>
    <w:rPr>
      <w:rFonts w:asciiTheme="majorHAnsi" w:eastAsiaTheme="majorEastAsia" w:hAnsiTheme="majorHAnsi" w:cstheme="majorBidi"/>
      <w:i/>
      <w:iCs/>
      <w:color w:val="2E74B5" w:themeColor="accent1" w:themeShade="BF"/>
      <w:lang w:eastAsia="es-ES"/>
    </w:rPr>
  </w:style>
  <w:style w:type="paragraph" w:styleId="Ttulo5">
    <w:name w:val="heading 5"/>
    <w:basedOn w:val="Normal"/>
    <w:next w:val="Normal"/>
    <w:link w:val="Ttulo5Car"/>
    <w:uiPriority w:val="9"/>
    <w:unhideWhenUsed/>
    <w:qFormat/>
    <w:rsid w:val="00480A8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480A8F"/>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480A8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480A8F"/>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480A8F"/>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qFormat/>
    <w:rsid w:val="00480A8F"/>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qFormat/>
    <w:rsid w:val="00480A8F"/>
    <w:rPr>
      <w:rFonts w:eastAsiaTheme="minorEastAsia"/>
      <w:sz w:val="24"/>
      <w:szCs w:val="24"/>
      <w:lang w:val="es-ES_tradnl" w:eastAsia="es-ES"/>
    </w:rPr>
  </w:style>
  <w:style w:type="paragraph" w:styleId="Piedepgina">
    <w:name w:val="footer"/>
    <w:basedOn w:val="Normal"/>
    <w:link w:val="PiedepginaCar"/>
    <w:uiPriority w:val="99"/>
    <w:unhideWhenUsed/>
    <w:rsid w:val="00480A8F"/>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480A8F"/>
    <w:rPr>
      <w:rFonts w:eastAsiaTheme="minorEastAsia"/>
      <w:sz w:val="24"/>
      <w:szCs w:val="24"/>
      <w:lang w:val="es-ES_tradnl" w:eastAsia="es-ES"/>
    </w:rPr>
  </w:style>
  <w:style w:type="table" w:styleId="Tablaconcuadrcula">
    <w:name w:val="Table Grid"/>
    <w:basedOn w:val="Tablanormal"/>
    <w:uiPriority w:val="39"/>
    <w:rsid w:val="00480A8F"/>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80A8F"/>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80A8F"/>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480A8F"/>
    <w:rPr>
      <w:color w:val="0563C1" w:themeColor="hyperlink"/>
      <w:u w:val="single"/>
    </w:rPr>
  </w:style>
  <w:style w:type="paragraph" w:styleId="Textoindependiente">
    <w:name w:val="Body Text"/>
    <w:basedOn w:val="Normal"/>
    <w:link w:val="TextoindependienteCar"/>
    <w:rsid w:val="00480A8F"/>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480A8F"/>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80A8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80A8F"/>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80A8F"/>
    <w:rPr>
      <w:vertAlign w:val="superscript"/>
    </w:rPr>
  </w:style>
  <w:style w:type="paragraph" w:styleId="Lista2">
    <w:name w:val="List 2"/>
    <w:basedOn w:val="Normal"/>
    <w:uiPriority w:val="99"/>
    <w:unhideWhenUsed/>
    <w:rsid w:val="00480A8F"/>
    <w:pPr>
      <w:ind w:left="566" w:hanging="283"/>
      <w:contextualSpacing/>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rsid w:val="00480A8F"/>
    <w:pPr>
      <w:spacing w:after="120"/>
      <w:ind w:left="283"/>
    </w:pPr>
    <w:rPr>
      <w:rFonts w:asciiTheme="minorHAnsi" w:eastAsiaTheme="minorEastAsia" w:hAnsiTheme="minorHAnsi" w:cstheme="minorBidi"/>
      <w:lang w:eastAsia="es-ES"/>
    </w:rPr>
  </w:style>
  <w:style w:type="character" w:customStyle="1" w:styleId="SangradetextonormalCar">
    <w:name w:val="Sangría de texto normal Car"/>
    <w:basedOn w:val="Fuentedeprrafopredeter"/>
    <w:link w:val="Sangradetextonormal"/>
    <w:uiPriority w:val="99"/>
    <w:rsid w:val="00480A8F"/>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80A8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80A8F"/>
    <w:rPr>
      <w:rFonts w:eastAsiaTheme="minorEastAsia"/>
      <w:sz w:val="24"/>
      <w:szCs w:val="24"/>
      <w:lang w:val="es-ES_tradnl" w:eastAsia="es-ES"/>
    </w:rPr>
  </w:style>
  <w:style w:type="table" w:customStyle="1" w:styleId="Tablanormal13">
    <w:name w:val="Tabla normal 13"/>
    <w:basedOn w:val="Tablanormal"/>
    <w:next w:val="Tablanormal1"/>
    <w:uiPriority w:val="41"/>
    <w:rsid w:val="00480A8F"/>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480A8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165635.page" TargetMode="External"/><Relationship Id="rId18" Type="http://schemas.openxmlformats.org/officeDocument/2006/relationships/hyperlink" Target="https://saimex.org.mx/saimex/solicitud/downloadAttach/2165625.page" TargetMode="External"/><Relationship Id="rId26" Type="http://schemas.openxmlformats.org/officeDocument/2006/relationships/hyperlink" Target="https://saimex.org.mx/saimex/solicitud/downloadAttach/2164760.page" TargetMode="External"/><Relationship Id="rId3" Type="http://schemas.openxmlformats.org/officeDocument/2006/relationships/styles" Target="styles.xml"/><Relationship Id="rId21" Type="http://schemas.openxmlformats.org/officeDocument/2006/relationships/hyperlink" Target="https://saimex.org.mx/saimex/solicitud/downloadAttach/2165583.pag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164577.page" TargetMode="External"/><Relationship Id="rId17" Type="http://schemas.openxmlformats.org/officeDocument/2006/relationships/hyperlink" Target="https://saimex.org.mx/saimex/solicitud/downloadAttach/2164574.page" TargetMode="External"/><Relationship Id="rId25" Type="http://schemas.openxmlformats.org/officeDocument/2006/relationships/hyperlink" Target="https://saimex.org.mx/saimex/solicitud/downloadAttach/2164568.pag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aimex.org.mx/saimex/solicitud/downloadAttach/2164573.page" TargetMode="External"/><Relationship Id="rId20" Type="http://schemas.openxmlformats.org/officeDocument/2006/relationships/hyperlink" Target="https://saimex.org.mx/saimex/solicitud/downloadAttach/2164571.pag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65659.page" TargetMode="External"/><Relationship Id="rId24" Type="http://schemas.openxmlformats.org/officeDocument/2006/relationships/hyperlink" Target="https://saimex.org.mx/saimex/solicitud/downloadAttach/2164567.pag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aimex.org.mx/saimex/solicitud/downloadAttach/2165637.page" TargetMode="External"/><Relationship Id="rId23" Type="http://schemas.openxmlformats.org/officeDocument/2006/relationships/hyperlink" Target="https://saimex.org.mx/saimex/solicitud/downloadAttach/2165585.page" TargetMode="External"/><Relationship Id="rId28" Type="http://schemas.openxmlformats.org/officeDocument/2006/relationships/image" Target="media/image1.png"/><Relationship Id="rId10" Type="http://schemas.openxmlformats.org/officeDocument/2006/relationships/hyperlink" Target="https://saimex.org.mx/saimex/solicitud/downloadAttach/2165658.page" TargetMode="External"/><Relationship Id="rId19" Type="http://schemas.openxmlformats.org/officeDocument/2006/relationships/hyperlink" Target="https://saimex.org.mx/saimex/solicitud/downloadAttach/2165626.pag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164581.page" TargetMode="External"/><Relationship Id="rId14" Type="http://schemas.openxmlformats.org/officeDocument/2006/relationships/hyperlink" Target="https://saimex.org.mx/saimex/solicitud/downloadAttach/2165636.page" TargetMode="External"/><Relationship Id="rId22" Type="http://schemas.openxmlformats.org/officeDocument/2006/relationships/hyperlink" Target="https://saimex.org.mx/saimex/solicitud/downloadAttach/2165584.page" TargetMode="External"/><Relationship Id="rId27" Type="http://schemas.openxmlformats.org/officeDocument/2006/relationships/hyperlink" Target="https://saimex.org.mx/saimex/solicitud/downloadAttach/2164761.pag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saimex.org.mx/saimex/solicitud/downloadAttach/2164580.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cKzJKNWwSfEsj7COwOgG7/tSA==">CgMxLjAyCGguZ2pkZ3hzMgloLjMwajB6bGwyCWguMWZvYjl0ZTIJaC4zem55c2g3MgloLjJldDkycDAyCGgudHlqY3d0MgloLjNkeTZ2a20yCWguMXQzaDVzZjIJaC40ZDM0b2c4MgloLjJzOGV5bzEyCWguMTdkcDh2dTIJaC4zcmRjcmpuMgloLjI2aW4xcmcyCGgubG54Yno5OAByITFEMmNCUXhOMm12cmhmcjQ1cUFWaWFJQUJGSVN1WDJDVA==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42</Pages>
  <Words>10483</Words>
  <Characters>57658</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USUARIO</cp:lastModifiedBy>
  <cp:revision>7</cp:revision>
  <cp:lastPrinted>2024-11-07T18:26:00Z</cp:lastPrinted>
  <dcterms:created xsi:type="dcterms:W3CDTF">2024-10-29T00:42:00Z</dcterms:created>
  <dcterms:modified xsi:type="dcterms:W3CDTF">2024-11-07T18:26:00Z</dcterms:modified>
</cp:coreProperties>
</file>