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64550" w14:textId="79765C5C"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del </w:t>
      </w:r>
      <w:r w:rsidR="00DA21F3" w:rsidRPr="00DA21F3">
        <w:rPr>
          <w:rFonts w:ascii="Palatino Linotype" w:eastAsia="Palatino Linotype" w:hAnsi="Palatino Linotype" w:cs="Palatino Linotype"/>
          <w:color w:val="000000"/>
        </w:rPr>
        <w:t>ocho</w:t>
      </w:r>
      <w:r w:rsidRPr="00DA21F3">
        <w:rPr>
          <w:rFonts w:ascii="Palatino Linotype" w:eastAsia="Palatino Linotype" w:hAnsi="Palatino Linotype" w:cs="Palatino Linotype"/>
          <w:color w:val="000000"/>
        </w:rPr>
        <w:t xml:space="preserve"> de febrero de dos mil veinticuatro. </w:t>
      </w:r>
    </w:p>
    <w:p w14:paraId="73FDED85" w14:textId="77777777" w:rsidR="00165D6A" w:rsidRPr="00DA21F3" w:rsidRDefault="00165D6A">
      <w:pPr>
        <w:spacing w:line="360" w:lineRule="auto"/>
        <w:jc w:val="both"/>
        <w:rPr>
          <w:rFonts w:ascii="Palatino Linotype" w:eastAsia="Palatino Linotype" w:hAnsi="Palatino Linotype" w:cs="Palatino Linotype"/>
          <w:color w:val="000000"/>
        </w:rPr>
      </w:pPr>
    </w:p>
    <w:p w14:paraId="6F8DF0E3" w14:textId="18D8BD7C" w:rsidR="00165D6A" w:rsidRPr="00DA21F3" w:rsidRDefault="00311D4F">
      <w:pP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VISTO</w:t>
      </w:r>
      <w:r w:rsidRPr="00DA21F3">
        <w:rPr>
          <w:rFonts w:ascii="Palatino Linotype" w:eastAsia="Palatino Linotype" w:hAnsi="Palatino Linotype" w:cs="Palatino Linotype"/>
          <w:color w:val="000000"/>
        </w:rPr>
        <w:t xml:space="preserve"> el expediente formado con motivo del Recurso de Revisión</w:t>
      </w:r>
      <w:r w:rsidRPr="00DA21F3">
        <w:rPr>
          <w:rFonts w:ascii="Palatino Linotype" w:eastAsia="Palatino Linotype" w:hAnsi="Palatino Linotype" w:cs="Palatino Linotype"/>
          <w:b/>
          <w:color w:val="000000"/>
        </w:rPr>
        <w:t xml:space="preserve"> 00327/INFOEM/IP/RR/2023</w:t>
      </w:r>
      <w:r w:rsidRPr="00DA21F3">
        <w:rPr>
          <w:rFonts w:ascii="Palatino Linotype" w:eastAsia="Palatino Linotype" w:hAnsi="Palatino Linotype" w:cs="Palatino Linotype"/>
          <w:color w:val="000000"/>
        </w:rPr>
        <w:t xml:space="preserve">, promovido por </w:t>
      </w:r>
      <w:bookmarkStart w:id="0" w:name="_GoBack"/>
      <w:r w:rsidR="003B0FE7">
        <w:rPr>
          <w:rFonts w:ascii="Palatino Linotype" w:eastAsia="Palatino Linotype" w:hAnsi="Palatino Linotype" w:cs="Palatino Linotype"/>
          <w:b/>
          <w:i/>
        </w:rPr>
        <w:t>XXXX XXXXXX XXXXXXX XXXXXXXXX</w:t>
      </w:r>
      <w:bookmarkEnd w:id="0"/>
      <w:r w:rsidRPr="00DA21F3">
        <w:rPr>
          <w:rFonts w:ascii="Palatino Linotype" w:eastAsia="Palatino Linotype" w:hAnsi="Palatino Linotype" w:cs="Palatino Linotype"/>
          <w:b/>
          <w:i/>
          <w:shd w:val="clear" w:color="auto" w:fill="F7F7F8"/>
        </w:rPr>
        <w:t xml:space="preserve"> </w:t>
      </w:r>
      <w:r w:rsidRPr="00DA21F3">
        <w:rPr>
          <w:rFonts w:ascii="Palatino Linotype" w:eastAsia="Palatino Linotype" w:hAnsi="Palatino Linotype" w:cs="Palatino Linotype"/>
          <w:color w:val="000000"/>
        </w:rPr>
        <w:t>que</w:t>
      </w:r>
      <w:r w:rsidRPr="00DA21F3">
        <w:rPr>
          <w:rFonts w:ascii="Palatino Linotype" w:eastAsia="Palatino Linotype" w:hAnsi="Palatino Linotype" w:cs="Palatino Linotype"/>
          <w:b/>
          <w:color w:val="000000"/>
        </w:rPr>
        <w:t xml:space="preserve"> </w:t>
      </w:r>
      <w:r w:rsidRPr="00DA21F3">
        <w:rPr>
          <w:rFonts w:ascii="Palatino Linotype" w:eastAsia="Palatino Linotype" w:hAnsi="Palatino Linotype" w:cs="Palatino Linotype"/>
          <w:color w:val="000000"/>
        </w:rPr>
        <w:t xml:space="preserve">en lo sucesivo se denominará </w:t>
      </w:r>
      <w:r w:rsidRPr="00DA21F3">
        <w:rPr>
          <w:rFonts w:ascii="Palatino Linotype" w:eastAsia="Palatino Linotype" w:hAnsi="Palatino Linotype" w:cs="Palatino Linotype"/>
          <w:b/>
          <w:color w:val="000000"/>
        </w:rPr>
        <w:t>EL RECURRENTE</w:t>
      </w:r>
      <w:r w:rsidRPr="00DA21F3">
        <w:rPr>
          <w:rFonts w:ascii="Palatino Linotype" w:eastAsia="Palatino Linotype" w:hAnsi="Palatino Linotype" w:cs="Palatino Linotype"/>
          <w:color w:val="000000"/>
        </w:rPr>
        <w:t xml:space="preserve">, en contra de la respuesta emitida por el </w:t>
      </w:r>
      <w:r w:rsidRPr="00DA21F3">
        <w:rPr>
          <w:rFonts w:ascii="Palatino Linotype" w:eastAsia="Palatino Linotype" w:hAnsi="Palatino Linotype" w:cs="Palatino Linotype"/>
          <w:b/>
          <w:color w:val="000000"/>
        </w:rPr>
        <w:t>Ayuntamiento de Jiquipilco,</w:t>
      </w:r>
      <w:r w:rsidRPr="00DA21F3">
        <w:rPr>
          <w:rFonts w:ascii="Palatino Linotype" w:eastAsia="Palatino Linotype" w:hAnsi="Palatino Linotype" w:cs="Palatino Linotype"/>
          <w:color w:val="000000"/>
        </w:rPr>
        <w:t xml:space="preserve"> en lo sucesivo, </w:t>
      </w:r>
      <w:r w:rsidRPr="00DA21F3">
        <w:rPr>
          <w:rFonts w:ascii="Palatino Linotype" w:eastAsia="Palatino Linotype" w:hAnsi="Palatino Linotype" w:cs="Palatino Linotype"/>
          <w:b/>
          <w:color w:val="000000"/>
        </w:rPr>
        <w:t>EL SUJETO OBLIGADO</w:t>
      </w:r>
      <w:r w:rsidRPr="00DA21F3">
        <w:rPr>
          <w:rFonts w:ascii="Palatino Linotype" w:eastAsia="Palatino Linotype" w:hAnsi="Palatino Linotype" w:cs="Palatino Linotype"/>
          <w:color w:val="000000"/>
        </w:rPr>
        <w:t xml:space="preserve">, se procede a dictar la presente resolución con base en los siguientes: </w:t>
      </w:r>
    </w:p>
    <w:p w14:paraId="335F321F" w14:textId="77777777" w:rsidR="00165D6A" w:rsidRPr="00DA21F3" w:rsidRDefault="00165D6A">
      <w:pPr>
        <w:jc w:val="both"/>
        <w:rPr>
          <w:rFonts w:ascii="Palatino Linotype" w:eastAsia="Palatino Linotype" w:hAnsi="Palatino Linotype" w:cs="Palatino Linotype"/>
          <w:color w:val="000000"/>
        </w:rPr>
      </w:pPr>
    </w:p>
    <w:p w14:paraId="66129A43" w14:textId="77777777" w:rsidR="00165D6A" w:rsidRPr="00DA21F3" w:rsidRDefault="00311D4F">
      <w:pPr>
        <w:jc w:val="center"/>
        <w:rPr>
          <w:rFonts w:ascii="Palatino Linotype" w:eastAsia="Palatino Linotype" w:hAnsi="Palatino Linotype" w:cs="Palatino Linotype"/>
          <w:b/>
          <w:color w:val="000000"/>
          <w:sz w:val="28"/>
          <w:szCs w:val="28"/>
        </w:rPr>
      </w:pPr>
      <w:r w:rsidRPr="00DA21F3">
        <w:rPr>
          <w:rFonts w:ascii="Palatino Linotype" w:eastAsia="Palatino Linotype" w:hAnsi="Palatino Linotype" w:cs="Palatino Linotype"/>
          <w:b/>
          <w:color w:val="000000"/>
          <w:sz w:val="28"/>
          <w:szCs w:val="28"/>
        </w:rPr>
        <w:t>ANTECEDENTES</w:t>
      </w:r>
    </w:p>
    <w:p w14:paraId="72B4F5B9" w14:textId="77777777" w:rsidR="00165D6A" w:rsidRPr="00DA21F3" w:rsidRDefault="00165D6A">
      <w:pPr>
        <w:jc w:val="center"/>
        <w:rPr>
          <w:rFonts w:ascii="Palatino Linotype" w:eastAsia="Palatino Linotype" w:hAnsi="Palatino Linotype" w:cs="Palatino Linotype"/>
          <w:b/>
          <w:color w:val="000000"/>
        </w:rPr>
      </w:pPr>
    </w:p>
    <w:p w14:paraId="23439DF0" w14:textId="77777777" w:rsidR="00165D6A" w:rsidRPr="00DA21F3" w:rsidRDefault="00311D4F">
      <w:pP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sz w:val="28"/>
          <w:szCs w:val="28"/>
        </w:rPr>
        <w:t>I. De la Solicitud de Información</w:t>
      </w:r>
    </w:p>
    <w:p w14:paraId="740ED108"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1. Presentación. </w:t>
      </w:r>
      <w:r w:rsidRPr="00DA21F3">
        <w:rPr>
          <w:rFonts w:ascii="Palatino Linotype" w:eastAsia="Palatino Linotype" w:hAnsi="Palatino Linotype" w:cs="Palatino Linotype"/>
          <w:color w:val="000000"/>
        </w:rPr>
        <w:t xml:space="preserve">El cinco de diciembre de dos mil veintidós, </w:t>
      </w:r>
      <w:r w:rsidRPr="00DA21F3">
        <w:rPr>
          <w:rFonts w:ascii="Palatino Linotype" w:eastAsia="Palatino Linotype" w:hAnsi="Palatino Linotype" w:cs="Palatino Linotype"/>
          <w:b/>
          <w:color w:val="000000"/>
        </w:rPr>
        <w:t>EL RECURRENTE</w:t>
      </w:r>
      <w:r w:rsidRPr="00DA21F3">
        <w:rPr>
          <w:rFonts w:ascii="Palatino Linotype" w:eastAsia="Palatino Linotype" w:hAnsi="Palatino Linotype" w:cs="Palatino Linotype"/>
          <w:color w:val="000000"/>
        </w:rPr>
        <w:t xml:space="preserve"> presentó a través del Sistema de Acceso a la Información Mexiquense, en lo subsecuente, </w:t>
      </w:r>
      <w:r w:rsidRPr="00DA21F3">
        <w:rPr>
          <w:rFonts w:ascii="Palatino Linotype" w:eastAsia="Palatino Linotype" w:hAnsi="Palatino Linotype" w:cs="Palatino Linotype"/>
          <w:b/>
          <w:color w:val="000000"/>
        </w:rPr>
        <w:t>EL SAIMEX</w:t>
      </w:r>
      <w:r w:rsidRPr="00DA21F3">
        <w:rPr>
          <w:rFonts w:ascii="Palatino Linotype" w:eastAsia="Palatino Linotype" w:hAnsi="Palatino Linotype" w:cs="Palatino Linotype"/>
          <w:color w:val="000000"/>
        </w:rPr>
        <w:t xml:space="preserve"> ante </w:t>
      </w:r>
      <w:r w:rsidRPr="00DA21F3">
        <w:rPr>
          <w:rFonts w:ascii="Palatino Linotype" w:eastAsia="Palatino Linotype" w:hAnsi="Palatino Linotype" w:cs="Palatino Linotype"/>
          <w:b/>
          <w:color w:val="000000"/>
        </w:rPr>
        <w:t>EL SUJETO OBLIGADO</w:t>
      </w:r>
      <w:r w:rsidRPr="00DA21F3">
        <w:rPr>
          <w:rFonts w:ascii="Palatino Linotype" w:eastAsia="Palatino Linotype" w:hAnsi="Palatino Linotype" w:cs="Palatino Linotype"/>
          <w:color w:val="000000"/>
        </w:rPr>
        <w:t>, la solicitud de Acceso a la Información pública, a la que se le asignó el número de folio</w:t>
      </w:r>
      <w:r w:rsidRPr="00DA21F3">
        <w:rPr>
          <w:rFonts w:ascii="Palatino Linotype" w:eastAsia="Palatino Linotype" w:hAnsi="Palatino Linotype" w:cs="Palatino Linotype"/>
          <w:b/>
          <w:color w:val="000000"/>
        </w:rPr>
        <w:t xml:space="preserve"> 00093/JIQUIPIL/IP/2022</w:t>
      </w:r>
      <w:r w:rsidRPr="00DA21F3">
        <w:rPr>
          <w:rFonts w:ascii="Palatino Linotype" w:eastAsia="Palatino Linotype" w:hAnsi="Palatino Linotype" w:cs="Palatino Linotype"/>
          <w:b/>
          <w:color w:val="000000"/>
          <w:vertAlign w:val="superscript"/>
        </w:rPr>
        <w:footnoteReference w:id="1"/>
      </w:r>
      <w:r w:rsidRPr="00DA21F3">
        <w:rPr>
          <w:rFonts w:ascii="Palatino Linotype" w:eastAsia="Palatino Linotype" w:hAnsi="Palatino Linotype" w:cs="Palatino Linotype"/>
          <w:b/>
          <w:color w:val="000000"/>
        </w:rPr>
        <w:t>,</w:t>
      </w:r>
      <w:r w:rsidRPr="00DA21F3">
        <w:rPr>
          <w:rFonts w:ascii="Palatino Linotype" w:eastAsia="Palatino Linotype" w:hAnsi="Palatino Linotype" w:cs="Palatino Linotype"/>
          <w:color w:val="000000"/>
        </w:rPr>
        <w:t xml:space="preserve"> mediante la cual requirió lo siguiente:</w:t>
      </w:r>
    </w:p>
    <w:p w14:paraId="77761FBB" w14:textId="77777777" w:rsidR="00165D6A" w:rsidRPr="00DA21F3" w:rsidRDefault="00165D6A">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09AC44A5" w14:textId="77777777" w:rsidR="00165D6A" w:rsidRPr="00DA21F3" w:rsidRDefault="00311D4F">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bookmarkStart w:id="1" w:name="_heading=h.gjdgxs" w:colFirst="0" w:colLast="0"/>
      <w:bookmarkEnd w:id="1"/>
      <w:r w:rsidRPr="00DA21F3">
        <w:rPr>
          <w:rFonts w:ascii="Palatino Linotype" w:eastAsia="Palatino Linotype" w:hAnsi="Palatino Linotype" w:cs="Palatino Linotype"/>
          <w:i/>
          <w:color w:val="000000"/>
          <w:sz w:val="22"/>
          <w:szCs w:val="22"/>
        </w:rPr>
        <w:t>“Solicito la versión pública del documento con el cual el Ayuntamiento de Jiquipilco acredite la propiedad o posesión legal del inmueble en donde se encuentra asentada o ubicada la Delegación Municipal de la comunidad de Santa Cruz Tepexpan, municipio de Jiquipilco.” (Sic).</w:t>
      </w:r>
    </w:p>
    <w:p w14:paraId="30D21D39" w14:textId="77777777" w:rsidR="00165D6A" w:rsidRPr="00DA21F3" w:rsidRDefault="00165D6A">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07B7DECA" w14:textId="77777777" w:rsidR="00165D6A" w:rsidRPr="00DA21F3" w:rsidRDefault="00311D4F">
      <w:pP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MODALIDAD DE ENTREGA:</w:t>
      </w:r>
      <w:r w:rsidRPr="00DA21F3">
        <w:rPr>
          <w:rFonts w:ascii="Palatino Linotype" w:eastAsia="Palatino Linotype" w:hAnsi="Palatino Linotype" w:cs="Palatino Linotype"/>
          <w:color w:val="000000"/>
        </w:rPr>
        <w:t xml:space="preserve"> vía </w:t>
      </w:r>
      <w:r w:rsidRPr="00DA21F3">
        <w:rPr>
          <w:rFonts w:ascii="Palatino Linotype" w:eastAsia="Palatino Linotype" w:hAnsi="Palatino Linotype" w:cs="Palatino Linotype"/>
          <w:b/>
          <w:color w:val="000000"/>
        </w:rPr>
        <w:t xml:space="preserve">SAIMEX. </w:t>
      </w:r>
    </w:p>
    <w:p w14:paraId="4AE2EF56"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lastRenderedPageBreak/>
        <w:t xml:space="preserve">2. Turno de requerimiento del Sujeto Obligado. </w:t>
      </w:r>
      <w:r w:rsidRPr="00DA21F3">
        <w:rPr>
          <w:rFonts w:ascii="Palatino Linotype" w:eastAsia="Palatino Linotype" w:hAnsi="Palatino Linotype" w:cs="Palatino Linotype"/>
          <w:color w:val="000000"/>
        </w:rPr>
        <w:t>Con la finalidad de dar cumplimiento al artículo 162 de la Ley de Transparencia y Acceso a la Información Pública del Estado de México y Municipios</w:t>
      </w:r>
      <w:r w:rsidRPr="00DA21F3">
        <w:rPr>
          <w:rFonts w:ascii="Palatino Linotype" w:eastAsia="Palatino Linotype" w:hAnsi="Palatino Linotype" w:cs="Palatino Linotype"/>
          <w:color w:val="000000"/>
          <w:vertAlign w:val="superscript"/>
        </w:rPr>
        <w:footnoteReference w:id="2"/>
      </w:r>
      <w:r w:rsidRPr="00DA21F3">
        <w:rPr>
          <w:rFonts w:ascii="Palatino Linotype" w:eastAsia="Palatino Linotype" w:hAnsi="Palatino Linotype" w:cs="Palatino Linotype"/>
          <w:color w:val="000000"/>
        </w:rPr>
        <w:t xml:space="preserve">, el </w:t>
      </w:r>
      <w:r w:rsidRPr="00DA21F3">
        <w:rPr>
          <w:rFonts w:ascii="Palatino Linotype" w:eastAsia="Palatino Linotype" w:hAnsi="Palatino Linotype" w:cs="Palatino Linotype"/>
          <w:b/>
          <w:color w:val="000000"/>
        </w:rPr>
        <w:t>doce de diciembre de dos mil veintidós,</w:t>
      </w:r>
      <w:r w:rsidRPr="00DA21F3">
        <w:rPr>
          <w:rFonts w:ascii="Palatino Linotype" w:eastAsia="Palatino Linotype" w:hAnsi="Palatino Linotype" w:cs="Palatino Linotype"/>
          <w:color w:val="000000"/>
        </w:rPr>
        <w:t xml:space="preserve"> la Titular de la Unidad de Transparencia del </w:t>
      </w:r>
      <w:r w:rsidRPr="00DA21F3">
        <w:rPr>
          <w:rFonts w:ascii="Palatino Linotype" w:eastAsia="Palatino Linotype" w:hAnsi="Palatino Linotype" w:cs="Palatino Linotype"/>
          <w:b/>
          <w:color w:val="000000"/>
        </w:rPr>
        <w:t>SUJETO OBLIGADO</w:t>
      </w:r>
      <w:r w:rsidRPr="00DA21F3">
        <w:rPr>
          <w:rFonts w:ascii="Palatino Linotype" w:eastAsia="Palatino Linotype" w:hAnsi="Palatino Linotype" w:cs="Palatino Linotype"/>
          <w:color w:val="000000"/>
        </w:rPr>
        <w:t>, turnó el requerimiento de información al servidor público habilitado que estimó pertinente, a fin de colmar la solicitud.</w:t>
      </w:r>
    </w:p>
    <w:p w14:paraId="7F048763" w14:textId="77777777" w:rsidR="00165D6A" w:rsidRPr="00DA21F3" w:rsidRDefault="00165D6A">
      <w:pPr>
        <w:tabs>
          <w:tab w:val="left" w:pos="3226"/>
        </w:tabs>
        <w:spacing w:line="360" w:lineRule="auto"/>
        <w:jc w:val="both"/>
        <w:rPr>
          <w:rFonts w:ascii="Palatino Linotype" w:eastAsia="Palatino Linotype" w:hAnsi="Palatino Linotype" w:cs="Palatino Linotype"/>
          <w:color w:val="000000"/>
        </w:rPr>
      </w:pPr>
    </w:p>
    <w:p w14:paraId="6BCAD64D"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3.</w:t>
      </w:r>
      <w:r w:rsidRPr="00DA21F3">
        <w:rPr>
          <w:rFonts w:ascii="Palatino Linotype" w:eastAsia="Palatino Linotype" w:hAnsi="Palatino Linotype" w:cs="Palatino Linotype"/>
          <w:color w:val="000000"/>
        </w:rPr>
        <w:t xml:space="preserve"> </w:t>
      </w:r>
      <w:r w:rsidRPr="00DA21F3">
        <w:rPr>
          <w:rFonts w:ascii="Palatino Linotype" w:eastAsia="Palatino Linotype" w:hAnsi="Palatino Linotype" w:cs="Palatino Linotype"/>
          <w:b/>
          <w:color w:val="000000"/>
        </w:rPr>
        <w:t xml:space="preserve">Respuesta del Sujeto Obligado. </w:t>
      </w:r>
      <w:r w:rsidRPr="00DA21F3">
        <w:rPr>
          <w:rFonts w:ascii="Palatino Linotype" w:eastAsia="Palatino Linotype" w:hAnsi="Palatino Linotype" w:cs="Palatino Linotype"/>
          <w:color w:val="000000"/>
        </w:rPr>
        <w:t xml:space="preserve">El diez de enero de dos mil veintitrés, </w:t>
      </w:r>
      <w:r w:rsidRPr="00DA21F3">
        <w:rPr>
          <w:rFonts w:ascii="Palatino Linotype" w:eastAsia="Palatino Linotype" w:hAnsi="Palatino Linotype" w:cs="Palatino Linotype"/>
          <w:b/>
          <w:color w:val="000000"/>
        </w:rPr>
        <w:t>EL SUJETO OBLIGADO</w:t>
      </w:r>
      <w:r w:rsidRPr="00DA21F3">
        <w:rPr>
          <w:rFonts w:ascii="Palatino Linotype" w:eastAsia="Palatino Linotype" w:hAnsi="Palatino Linotype" w:cs="Palatino Linotype"/>
          <w:color w:val="000000"/>
        </w:rPr>
        <w:t xml:space="preserve"> dio respuesta a la solicitud, en los términos que a continuación se citan:</w:t>
      </w:r>
    </w:p>
    <w:p w14:paraId="5F8C3332" w14:textId="77777777" w:rsidR="00165D6A" w:rsidRDefault="00165D6A">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7F0E433F" w14:textId="77777777" w:rsidR="000B7746" w:rsidRPr="00DA21F3" w:rsidRDefault="000B7746">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2094DC4F" w14:textId="77777777" w:rsidR="00165D6A" w:rsidRPr="00DA21F3" w:rsidRDefault="00311D4F">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r w:rsidRPr="00DA21F3">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w:t>
      </w:r>
      <w:proofErr w:type="gramStart"/>
      <w:r w:rsidRPr="00DA21F3">
        <w:rPr>
          <w:rFonts w:ascii="Palatino Linotype" w:eastAsia="Palatino Linotype" w:hAnsi="Palatino Linotype" w:cs="Palatino Linotype"/>
          <w:i/>
          <w:color w:val="000000"/>
          <w:sz w:val="22"/>
          <w:szCs w:val="22"/>
        </w:rPr>
        <w:t>sic</w:t>
      </w:r>
      <w:proofErr w:type="gramEnd"/>
      <w:r w:rsidRPr="00DA21F3">
        <w:rPr>
          <w:rFonts w:ascii="Palatino Linotype" w:eastAsia="Palatino Linotype" w:hAnsi="Palatino Linotype" w:cs="Palatino Linotype"/>
          <w:i/>
          <w:color w:val="000000"/>
          <w:sz w:val="22"/>
          <w:szCs w:val="22"/>
        </w:rPr>
        <w:t xml:space="preserve">) </w:t>
      </w:r>
    </w:p>
    <w:p w14:paraId="09D47FB2" w14:textId="77777777" w:rsidR="00165D6A" w:rsidRDefault="00165D6A">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3F88D2DD" w14:textId="77777777" w:rsidR="000B7746" w:rsidRPr="00DA21F3" w:rsidRDefault="000B7746">
      <w:pPr>
        <w:pBdr>
          <w:top w:val="nil"/>
          <w:left w:val="nil"/>
          <w:bottom w:val="nil"/>
          <w:right w:val="nil"/>
          <w:between w:val="nil"/>
        </w:pBdr>
        <w:ind w:left="851" w:right="899"/>
        <w:jc w:val="both"/>
        <w:rPr>
          <w:rFonts w:ascii="Palatino Linotype" w:eastAsia="Palatino Linotype" w:hAnsi="Palatino Linotype" w:cs="Palatino Linotype"/>
          <w:i/>
          <w:color w:val="000000"/>
          <w:sz w:val="22"/>
          <w:szCs w:val="22"/>
        </w:rPr>
      </w:pPr>
    </w:p>
    <w:p w14:paraId="38337D99" w14:textId="77777777" w:rsidR="00165D6A"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Y acompañó a su respuesta los archivos que a continuación se describen: </w:t>
      </w:r>
    </w:p>
    <w:p w14:paraId="6136B55B" w14:textId="77777777" w:rsidR="000B7746" w:rsidRPr="00DA21F3" w:rsidRDefault="000B7746">
      <w:pPr>
        <w:spacing w:line="360" w:lineRule="auto"/>
        <w:jc w:val="both"/>
        <w:rPr>
          <w:rFonts w:ascii="Palatino Linotype" w:eastAsia="Palatino Linotype" w:hAnsi="Palatino Linotype" w:cs="Palatino Linotype"/>
          <w:color w:val="000000"/>
        </w:rPr>
      </w:pPr>
    </w:p>
    <w:p w14:paraId="2A661752" w14:textId="77777777" w:rsidR="00165D6A" w:rsidRPr="00DA21F3" w:rsidRDefault="00311D4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i/>
          <w:color w:val="000000"/>
        </w:rPr>
        <w:t xml:space="preserve">Contrato de donación </w:t>
      </w:r>
      <w:proofErr w:type="spellStart"/>
      <w:r w:rsidRPr="00DA21F3">
        <w:rPr>
          <w:rFonts w:ascii="Palatino Linotype" w:eastAsia="Palatino Linotype" w:hAnsi="Palatino Linotype" w:cs="Palatino Linotype"/>
          <w:b/>
          <w:i/>
          <w:color w:val="000000"/>
        </w:rPr>
        <w:t>Sta</w:t>
      </w:r>
      <w:proofErr w:type="spellEnd"/>
      <w:r w:rsidRPr="00DA21F3">
        <w:rPr>
          <w:rFonts w:ascii="Palatino Linotype" w:eastAsia="Palatino Linotype" w:hAnsi="Palatino Linotype" w:cs="Palatino Linotype"/>
          <w:b/>
          <w:i/>
          <w:color w:val="000000"/>
        </w:rPr>
        <w:t xml:space="preserve"> Cruz Tepexpan.pdf</w:t>
      </w:r>
      <w:r w:rsidRPr="00DA21F3">
        <w:rPr>
          <w:rFonts w:ascii="Palatino Linotype" w:eastAsia="Palatino Linotype" w:hAnsi="Palatino Linotype" w:cs="Palatino Linotype"/>
          <w:b/>
          <w:color w:val="000000"/>
        </w:rPr>
        <w:t xml:space="preserve">. </w:t>
      </w:r>
      <w:r w:rsidRPr="00DA21F3">
        <w:rPr>
          <w:rFonts w:ascii="Palatino Linotype" w:eastAsia="Palatino Linotype" w:hAnsi="Palatino Linotype" w:cs="Palatino Linotype"/>
          <w:color w:val="000000"/>
        </w:rPr>
        <w:t>El cual de su contenido se advierte el contrato de donación de bien inmueble.</w:t>
      </w:r>
    </w:p>
    <w:p w14:paraId="29997C3B" w14:textId="77777777" w:rsidR="00165D6A" w:rsidRPr="00DA21F3" w:rsidRDefault="00311D4F">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i/>
          <w:color w:val="000000"/>
        </w:rPr>
        <w:t>SAJ 664 22.pdf</w:t>
      </w:r>
      <w:r w:rsidRPr="00DA21F3">
        <w:rPr>
          <w:rFonts w:ascii="Palatino Linotype" w:eastAsia="Palatino Linotype" w:hAnsi="Palatino Linotype" w:cs="Palatino Linotype"/>
          <w:b/>
          <w:color w:val="000000"/>
        </w:rPr>
        <w:t xml:space="preserve">. </w:t>
      </w:r>
      <w:r w:rsidRPr="00DA21F3">
        <w:rPr>
          <w:rFonts w:ascii="Palatino Linotype" w:eastAsia="Palatino Linotype" w:hAnsi="Palatino Linotype" w:cs="Palatino Linotype"/>
          <w:color w:val="000000"/>
        </w:rPr>
        <w:t>Respuesta formal a la solicitud de información signada por el Secretario del Ayuntamiento.</w:t>
      </w:r>
    </w:p>
    <w:p w14:paraId="003FBC4E" w14:textId="77777777" w:rsidR="00165D6A" w:rsidRDefault="00165D6A">
      <w:pPr>
        <w:spacing w:line="360" w:lineRule="auto"/>
        <w:jc w:val="both"/>
        <w:rPr>
          <w:rFonts w:ascii="Palatino Linotype" w:eastAsia="Palatino Linotype" w:hAnsi="Palatino Linotype" w:cs="Palatino Linotype"/>
          <w:color w:val="000000"/>
        </w:rPr>
      </w:pPr>
    </w:p>
    <w:p w14:paraId="0AD84C70" w14:textId="77777777" w:rsidR="000B7746" w:rsidRPr="00DA21F3" w:rsidRDefault="000B7746">
      <w:pPr>
        <w:spacing w:line="360" w:lineRule="auto"/>
        <w:jc w:val="both"/>
        <w:rPr>
          <w:rFonts w:ascii="Palatino Linotype" w:eastAsia="Palatino Linotype" w:hAnsi="Palatino Linotype" w:cs="Palatino Linotype"/>
          <w:color w:val="000000"/>
        </w:rPr>
      </w:pPr>
    </w:p>
    <w:p w14:paraId="282799C9" w14:textId="77777777" w:rsidR="00165D6A" w:rsidRPr="00DA21F3" w:rsidRDefault="00311D4F">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sz w:val="28"/>
          <w:szCs w:val="28"/>
        </w:rPr>
        <w:lastRenderedPageBreak/>
        <w:t>II. Del Recurso de Revisión</w:t>
      </w:r>
    </w:p>
    <w:p w14:paraId="12437643"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1. Presentación.</w:t>
      </w:r>
      <w:r w:rsidRPr="00DA21F3">
        <w:rPr>
          <w:rFonts w:ascii="Palatino Linotype" w:eastAsia="Palatino Linotype" w:hAnsi="Palatino Linotype" w:cs="Palatino Linotype"/>
          <w:color w:val="000000"/>
        </w:rPr>
        <w:t xml:space="preserve"> Inconforme con la respuesta, el diecisiete de enero de dos mil veintitrés, </w:t>
      </w:r>
      <w:r w:rsidRPr="00DA21F3">
        <w:rPr>
          <w:rFonts w:ascii="Palatino Linotype" w:eastAsia="Palatino Linotype" w:hAnsi="Palatino Linotype" w:cs="Palatino Linotype"/>
          <w:b/>
          <w:color w:val="000000"/>
        </w:rPr>
        <w:t xml:space="preserve">EL RECURRENTE </w:t>
      </w:r>
      <w:r w:rsidRPr="00DA21F3">
        <w:rPr>
          <w:rFonts w:ascii="Palatino Linotype" w:eastAsia="Palatino Linotype" w:hAnsi="Palatino Linotype" w:cs="Palatino Linotype"/>
          <w:color w:val="000000"/>
        </w:rPr>
        <w:t xml:space="preserve">interpuso el Recurso de Revisión en </w:t>
      </w:r>
      <w:r w:rsidRPr="00DA21F3">
        <w:rPr>
          <w:rFonts w:ascii="Palatino Linotype" w:eastAsia="Palatino Linotype" w:hAnsi="Palatino Linotype" w:cs="Palatino Linotype"/>
          <w:b/>
          <w:color w:val="000000"/>
        </w:rPr>
        <w:t xml:space="preserve">EL SAIMEX </w:t>
      </w:r>
      <w:r w:rsidRPr="00DA21F3">
        <w:rPr>
          <w:rFonts w:ascii="Palatino Linotype" w:eastAsia="Palatino Linotype" w:hAnsi="Palatino Linotype" w:cs="Palatino Linotype"/>
          <w:color w:val="000000"/>
        </w:rPr>
        <w:t xml:space="preserve">y se le asignó el número de expediente </w:t>
      </w:r>
      <w:r w:rsidRPr="00DA21F3">
        <w:rPr>
          <w:rFonts w:ascii="Palatino Linotype" w:eastAsia="Palatino Linotype" w:hAnsi="Palatino Linotype" w:cs="Palatino Linotype"/>
          <w:b/>
          <w:color w:val="000000"/>
        </w:rPr>
        <w:t>00327/INFOEM/IP/RR/2023,</w:t>
      </w:r>
      <w:r w:rsidRPr="00DA21F3">
        <w:rPr>
          <w:rFonts w:ascii="Palatino Linotype" w:eastAsia="Palatino Linotype" w:hAnsi="Palatino Linotype" w:cs="Palatino Linotype"/>
          <w:color w:val="000000"/>
        </w:rPr>
        <w:t xml:space="preserve"> en el que señaló como:</w:t>
      </w:r>
    </w:p>
    <w:p w14:paraId="411C99B8" w14:textId="77777777" w:rsidR="00165D6A" w:rsidRPr="00DA21F3" w:rsidRDefault="00165D6A">
      <w:pPr>
        <w:spacing w:line="360" w:lineRule="auto"/>
        <w:ind w:right="899"/>
        <w:jc w:val="both"/>
        <w:rPr>
          <w:rFonts w:ascii="Palatino Linotype" w:eastAsia="Palatino Linotype" w:hAnsi="Palatino Linotype" w:cs="Palatino Linotype"/>
          <w:i/>
          <w:color w:val="000000"/>
          <w:sz w:val="22"/>
          <w:szCs w:val="22"/>
        </w:rPr>
      </w:pPr>
    </w:p>
    <w:p w14:paraId="0141F639"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 xml:space="preserve">Acto impugnado: </w:t>
      </w:r>
    </w:p>
    <w:p w14:paraId="5A8F9C08" w14:textId="77777777" w:rsidR="00165D6A" w:rsidRPr="00DA21F3" w:rsidRDefault="00311D4F">
      <w:pPr>
        <w:ind w:left="851" w:right="899"/>
        <w:jc w:val="both"/>
        <w:rPr>
          <w:rFonts w:ascii="Palatino Linotype" w:eastAsia="Palatino Linotype" w:hAnsi="Palatino Linotype" w:cs="Palatino Linotype"/>
          <w:i/>
          <w:color w:val="000000"/>
          <w:sz w:val="22"/>
          <w:szCs w:val="22"/>
        </w:rPr>
      </w:pPr>
      <w:r w:rsidRPr="00DA21F3">
        <w:rPr>
          <w:rFonts w:ascii="Palatino Linotype" w:eastAsia="Palatino Linotype" w:hAnsi="Palatino Linotype" w:cs="Palatino Linotype"/>
          <w:i/>
          <w:color w:val="000000"/>
          <w:sz w:val="22"/>
          <w:szCs w:val="22"/>
        </w:rPr>
        <w:t xml:space="preserve">“LA RESPUESTA GENERADA POR EL SUJETO OBLIGADO DERIVADA DE LA SOLICITUD DE INFORMACIÓN NÚMERO 00093/JIQUIPIL/IP/2022.” (sic) </w:t>
      </w:r>
    </w:p>
    <w:p w14:paraId="5261C901" w14:textId="77777777" w:rsidR="00165D6A" w:rsidRPr="00DA21F3" w:rsidRDefault="00165D6A">
      <w:pPr>
        <w:ind w:left="851" w:right="899"/>
        <w:jc w:val="both"/>
        <w:rPr>
          <w:rFonts w:ascii="Palatino Linotype" w:eastAsia="Palatino Linotype" w:hAnsi="Palatino Linotype" w:cs="Palatino Linotype"/>
          <w:i/>
          <w:color w:val="000000"/>
          <w:sz w:val="22"/>
          <w:szCs w:val="22"/>
        </w:rPr>
      </w:pPr>
    </w:p>
    <w:p w14:paraId="0C691876"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Así como, razones o motivos de inconformidad:</w:t>
      </w:r>
    </w:p>
    <w:p w14:paraId="36DC2C54" w14:textId="77777777" w:rsidR="00165D6A" w:rsidRPr="00DA21F3" w:rsidRDefault="00311D4F">
      <w:pPr>
        <w:ind w:left="851" w:right="899"/>
        <w:jc w:val="both"/>
        <w:rPr>
          <w:rFonts w:ascii="Palatino Linotype" w:eastAsia="Palatino Linotype" w:hAnsi="Palatino Linotype" w:cs="Palatino Linotype"/>
          <w:i/>
          <w:color w:val="000000"/>
          <w:sz w:val="22"/>
          <w:szCs w:val="22"/>
        </w:rPr>
      </w:pPr>
      <w:r w:rsidRPr="00DA21F3">
        <w:rPr>
          <w:rFonts w:ascii="Palatino Linotype" w:eastAsia="Palatino Linotype" w:hAnsi="Palatino Linotype" w:cs="Palatino Linotype"/>
          <w:i/>
          <w:color w:val="000000"/>
          <w:sz w:val="22"/>
          <w:szCs w:val="22"/>
        </w:rPr>
        <w:t xml:space="preserve">“El Sujeto Obligado es omiso en emitir acuerdo o resolución alguna por medio de la cual determine de manera fundada y motivada las razones, motivos y circunstancias especiales que fueron tomadas en consideración para concluir que en el caso particular se ajusta en alguno de los supuestos de clasificación de la información previstos por la ley de la materia, ya que de la lectura integra a la respuesta emitida por el Sujeto Obligado a la solicitud de información, se aprecia que parte de la información fue eliminada, suprimida o borrada sin justificación alguna. Asimismo, se señala como otro motivo de inconformidad la prevista en la fracción V del artículo 179 de la Ley de Transparencia y Acceso a la Información Pública del Estado de México y Municipios, consistente en la entrega de información incompleta, ya que de la lectura integra de la información proporcionada por el Sujeto Obligado, se aprecia que, en la </w:t>
      </w:r>
      <w:proofErr w:type="spellStart"/>
      <w:r w:rsidRPr="00DA21F3">
        <w:rPr>
          <w:rFonts w:ascii="Palatino Linotype" w:eastAsia="Palatino Linotype" w:hAnsi="Palatino Linotype" w:cs="Palatino Linotype"/>
          <w:i/>
          <w:color w:val="000000"/>
          <w:sz w:val="22"/>
          <w:szCs w:val="22"/>
        </w:rPr>
        <w:t>clausula</w:t>
      </w:r>
      <w:proofErr w:type="spellEnd"/>
      <w:r w:rsidRPr="00DA21F3">
        <w:rPr>
          <w:rFonts w:ascii="Palatino Linotype" w:eastAsia="Palatino Linotype" w:hAnsi="Palatino Linotype" w:cs="Palatino Linotype"/>
          <w:i/>
          <w:color w:val="000000"/>
          <w:sz w:val="22"/>
          <w:szCs w:val="22"/>
        </w:rPr>
        <w:t xml:space="preserve"> I del Contrato de Donación de fecha dos (02) de julio de dos mil diez (2010), se hace mención de un documento notarial anexo al contrato en mención, el cual no se aprecia en la respuesta emitida a mi solicitud de información.” (sic) </w:t>
      </w:r>
    </w:p>
    <w:p w14:paraId="379D549A" w14:textId="77777777" w:rsidR="00165D6A" w:rsidRPr="00DA21F3" w:rsidRDefault="00165D6A">
      <w:pPr>
        <w:ind w:right="899"/>
        <w:jc w:val="both"/>
        <w:rPr>
          <w:rFonts w:ascii="Palatino Linotype" w:eastAsia="Palatino Linotype" w:hAnsi="Palatino Linotype" w:cs="Palatino Linotype"/>
          <w:i/>
          <w:color w:val="000000"/>
          <w:sz w:val="22"/>
          <w:szCs w:val="22"/>
        </w:rPr>
      </w:pPr>
    </w:p>
    <w:p w14:paraId="29C379BA"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2. Del turno del Recurso de Revisión. </w:t>
      </w:r>
      <w:r w:rsidRPr="00DA21F3">
        <w:rPr>
          <w:rFonts w:ascii="Palatino Linotype" w:eastAsia="Palatino Linotype" w:hAnsi="Palatino Linotype" w:cs="Palatino Linotype"/>
          <w:color w:val="000000"/>
        </w:rPr>
        <w:t xml:space="preserve">El Recurso de que se trata se envió electrónicamente a este Instituto de Transparencia el </w:t>
      </w:r>
      <w:r w:rsidRPr="00DA21F3">
        <w:rPr>
          <w:rFonts w:ascii="Palatino Linotype" w:eastAsia="Palatino Linotype" w:hAnsi="Palatino Linotype" w:cs="Palatino Linotype"/>
          <w:b/>
          <w:color w:val="000000"/>
        </w:rPr>
        <w:t>diecisiete de enero de dos mil veintitrés</w:t>
      </w:r>
      <w:r w:rsidRPr="00DA21F3">
        <w:rPr>
          <w:rFonts w:ascii="Palatino Linotype" w:eastAsia="Palatino Linotype" w:hAnsi="Palatino Linotype" w:cs="Palatino Linotype"/>
          <w:color w:val="000000"/>
        </w:rPr>
        <w:t xml:space="preserve">; por lo que, con fundamento en el artículo 185, fracción I de la Ley de </w:t>
      </w:r>
      <w:r w:rsidRPr="00DA21F3">
        <w:rPr>
          <w:rFonts w:ascii="Palatino Linotype" w:eastAsia="Palatino Linotype" w:hAnsi="Palatino Linotype" w:cs="Palatino Linotype"/>
          <w:color w:val="000000"/>
        </w:rPr>
        <w:lastRenderedPageBreak/>
        <w:t xml:space="preserve">Transparencia Local, se turnó, a través del </w:t>
      </w:r>
      <w:r w:rsidRPr="00DA21F3">
        <w:rPr>
          <w:rFonts w:ascii="Palatino Linotype" w:eastAsia="Palatino Linotype" w:hAnsi="Palatino Linotype" w:cs="Palatino Linotype"/>
          <w:b/>
          <w:color w:val="000000"/>
        </w:rPr>
        <w:t>SAIMEX</w:t>
      </w:r>
      <w:r w:rsidRPr="00DA21F3">
        <w:rPr>
          <w:rFonts w:ascii="Palatino Linotype" w:eastAsia="Palatino Linotype" w:hAnsi="Palatino Linotype" w:cs="Palatino Linotype"/>
          <w:color w:val="000000"/>
        </w:rPr>
        <w:t xml:space="preserve">, a la comisionada </w:t>
      </w:r>
      <w:r w:rsidRPr="00DA21F3">
        <w:rPr>
          <w:rFonts w:ascii="Palatino Linotype" w:eastAsia="Palatino Linotype" w:hAnsi="Palatino Linotype" w:cs="Palatino Linotype"/>
          <w:b/>
          <w:color w:val="000000"/>
        </w:rPr>
        <w:t>Sharon Cristina Morales Martínez</w:t>
      </w:r>
      <w:r w:rsidRPr="00DA21F3">
        <w:rPr>
          <w:rFonts w:ascii="Palatino Linotype" w:eastAsia="Palatino Linotype" w:hAnsi="Palatino Linotype" w:cs="Palatino Linotype"/>
          <w:color w:val="000000"/>
        </w:rPr>
        <w:t>, a efecto de decretar su admisión o desechamiento.</w:t>
      </w:r>
    </w:p>
    <w:p w14:paraId="4B21AFFC"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692119" w14:textId="77777777" w:rsidR="00165D6A" w:rsidRPr="00DA21F3" w:rsidRDefault="00311D4F">
      <w:pPr>
        <w:tabs>
          <w:tab w:val="center" w:pos="4252"/>
          <w:tab w:val="right" w:pos="8504"/>
        </w:tabs>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 xml:space="preserve">3. Admisión del Recurso de Revisión. </w:t>
      </w:r>
      <w:r w:rsidRPr="00DA21F3">
        <w:rPr>
          <w:rFonts w:ascii="Palatino Linotype" w:eastAsia="Palatino Linotype" w:hAnsi="Palatino Linotype" w:cs="Palatino Linotype"/>
          <w:color w:val="000000"/>
        </w:rPr>
        <w:t xml:space="preserve">El </w:t>
      </w:r>
      <w:r w:rsidRPr="00DA21F3">
        <w:rPr>
          <w:rFonts w:ascii="Palatino Linotype" w:eastAsia="Palatino Linotype" w:hAnsi="Palatino Linotype" w:cs="Palatino Linotype"/>
          <w:b/>
          <w:color w:val="000000"/>
        </w:rPr>
        <w:t>dieciocho de enero de dos mil veintitrés</w:t>
      </w:r>
      <w:r w:rsidRPr="00DA21F3">
        <w:rPr>
          <w:rFonts w:ascii="Palatino Linotype" w:eastAsia="Palatino Linotype" w:hAnsi="Palatino Linotype" w:cs="Palatino Linotype"/>
          <w:color w:val="000000"/>
        </w:rPr>
        <w:t xml:space="preserve">, se acordó la admisión a trámite del Recurso de Revisión que nos ocupa; así como la integración del expediente respectivo, mismo que se puso a disposición de las partes, para que en un plazo máximo de siete días hábiles </w:t>
      </w:r>
      <w:r w:rsidRPr="00DA21F3">
        <w:rPr>
          <w:rFonts w:ascii="Palatino Linotype" w:eastAsia="Palatino Linotype" w:hAnsi="Palatino Linotype" w:cs="Palatino Linotype"/>
          <w:b/>
          <w:color w:val="000000"/>
        </w:rPr>
        <w:t xml:space="preserve">EL RECURRENTE </w:t>
      </w:r>
      <w:r w:rsidRPr="00DA21F3">
        <w:rPr>
          <w:rFonts w:ascii="Palatino Linotype" w:eastAsia="Palatino Linotype" w:hAnsi="Palatino Linotype" w:cs="Palatino Linotype"/>
          <w:color w:val="000000"/>
        </w:rPr>
        <w:t xml:space="preserve">manifestara lo que a su derecho conviniera, a efecto de presentar pruebas o alegatos y, en su caso, </w:t>
      </w:r>
      <w:r w:rsidRPr="00DA21F3">
        <w:rPr>
          <w:rFonts w:ascii="Palatino Linotype" w:eastAsia="Palatino Linotype" w:hAnsi="Palatino Linotype" w:cs="Palatino Linotype"/>
          <w:b/>
          <w:color w:val="000000"/>
        </w:rPr>
        <w:t xml:space="preserve">EL SUJETO OBLIGADO </w:t>
      </w:r>
      <w:r w:rsidRPr="00DA21F3">
        <w:rPr>
          <w:rFonts w:ascii="Palatino Linotype" w:eastAsia="Palatino Linotype" w:hAnsi="Palatino Linotype" w:cs="Palatino Linotype"/>
          <w:color w:val="000000"/>
        </w:rPr>
        <w:t xml:space="preserve">rindiera su correspondiente Informe Justificado; lo anterior, conforme a lo dispuesto por el artículo 185 de la Ley de Transparencia Local. </w:t>
      </w:r>
    </w:p>
    <w:p w14:paraId="6A27B204"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FE53FEA"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4. Manifestaciones e Informe Justificado. </w:t>
      </w:r>
      <w:r w:rsidRPr="00DA21F3">
        <w:rPr>
          <w:rFonts w:ascii="Palatino Linotype" w:eastAsia="Palatino Linotype" w:hAnsi="Palatino Linotype" w:cs="Palatino Linotype"/>
        </w:rPr>
        <w:t>D</w:t>
      </w:r>
      <w:r w:rsidRPr="00DA21F3">
        <w:rPr>
          <w:rFonts w:ascii="Palatino Linotype" w:eastAsia="Palatino Linotype" w:hAnsi="Palatino Linotype" w:cs="Palatino Linotype"/>
          <w:color w:val="000000"/>
        </w:rPr>
        <w:t xml:space="preserve">entro del término legalmente concedido al </w:t>
      </w:r>
      <w:r w:rsidRPr="00DA21F3">
        <w:rPr>
          <w:rFonts w:ascii="Palatino Linotype" w:eastAsia="Palatino Linotype" w:hAnsi="Palatino Linotype" w:cs="Palatino Linotype"/>
          <w:b/>
          <w:color w:val="000000"/>
        </w:rPr>
        <w:t>RECURRENTE</w:t>
      </w:r>
      <w:r w:rsidRPr="00DA21F3">
        <w:rPr>
          <w:rFonts w:ascii="Palatino Linotype" w:eastAsia="Palatino Linotype" w:hAnsi="Palatino Linotype" w:cs="Palatino Linotype"/>
          <w:color w:val="000000"/>
        </w:rPr>
        <w:t xml:space="preserve">, éste no realizó manifestación alguna, ni presentó pruebas o alegatos, de igual forma </w:t>
      </w:r>
      <w:r w:rsidRPr="00DA21F3">
        <w:rPr>
          <w:rFonts w:ascii="Palatino Linotype" w:eastAsia="Palatino Linotype" w:hAnsi="Palatino Linotype" w:cs="Palatino Linotype"/>
          <w:b/>
          <w:color w:val="000000"/>
        </w:rPr>
        <w:t>EL SUJETO OBLIGADO</w:t>
      </w:r>
      <w:r w:rsidRPr="00DA21F3">
        <w:rPr>
          <w:rFonts w:ascii="Palatino Linotype" w:eastAsia="Palatino Linotype" w:hAnsi="Palatino Linotype" w:cs="Palatino Linotype"/>
          <w:color w:val="000000"/>
        </w:rPr>
        <w:t xml:space="preserve"> no rindió su Informe Justificado.</w:t>
      </w:r>
    </w:p>
    <w:p w14:paraId="68D19C2B" w14:textId="77777777" w:rsidR="00165D6A" w:rsidRPr="00DA21F3" w:rsidRDefault="00165D6A">
      <w:pPr>
        <w:tabs>
          <w:tab w:val="left" w:pos="6820"/>
        </w:tabs>
        <w:spacing w:line="360" w:lineRule="auto"/>
        <w:jc w:val="both"/>
        <w:rPr>
          <w:rFonts w:ascii="Palatino Linotype" w:eastAsia="Palatino Linotype" w:hAnsi="Palatino Linotype" w:cs="Palatino Linotype"/>
          <w:color w:val="000000"/>
        </w:rPr>
      </w:pPr>
    </w:p>
    <w:p w14:paraId="4C61053F" w14:textId="77777777" w:rsidR="00165D6A" w:rsidRPr="00DA21F3" w:rsidRDefault="00311D4F">
      <w:pPr>
        <w:widowControl w:val="0"/>
        <w:tabs>
          <w:tab w:val="left" w:pos="0"/>
        </w:tabs>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rPr>
        <w:t xml:space="preserve">5. De la ampliación. </w:t>
      </w:r>
      <w:r w:rsidRPr="00DA21F3">
        <w:rPr>
          <w:rFonts w:ascii="Palatino Linotype" w:eastAsia="Palatino Linotype" w:hAnsi="Palatino Linotype" w:cs="Palatino Linotype"/>
          <w:color w:val="000000"/>
        </w:rPr>
        <w:t xml:space="preserve">El </w:t>
      </w:r>
      <w:r w:rsidRPr="00DA21F3">
        <w:rPr>
          <w:rFonts w:ascii="Palatino Linotype" w:eastAsia="Palatino Linotype" w:hAnsi="Palatino Linotype" w:cs="Palatino Linotype"/>
          <w:b/>
          <w:color w:val="000000"/>
        </w:rPr>
        <w:t>seis de marzo de dos mil veintitrés</w:t>
      </w:r>
      <w:r w:rsidRPr="00DA21F3">
        <w:rPr>
          <w:rFonts w:ascii="Palatino Linotype" w:eastAsia="Palatino Linotype" w:hAnsi="Palatino Linotype" w:cs="Palatino Linotype"/>
          <w:color w:val="000000"/>
        </w:rPr>
        <w:t>, se notificó el acuerdo de ampliación de plazo para resolver el presente Recurso de Revisión, previsto en el artículo 181, tercer párrafo de la Ley de Transparencia Local.</w:t>
      </w:r>
    </w:p>
    <w:p w14:paraId="411323BE" w14:textId="77777777" w:rsidR="00165D6A" w:rsidRPr="00DA21F3" w:rsidRDefault="00165D6A">
      <w:pPr>
        <w:spacing w:line="360" w:lineRule="auto"/>
        <w:jc w:val="both"/>
        <w:rPr>
          <w:rFonts w:ascii="Palatino Linotype" w:eastAsia="Palatino Linotype" w:hAnsi="Palatino Linotype" w:cs="Palatino Linotype"/>
          <w:color w:val="000000"/>
        </w:rPr>
      </w:pPr>
    </w:p>
    <w:p w14:paraId="164F1268"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w:t>
      </w:r>
      <w:r w:rsidRPr="00DA21F3">
        <w:rPr>
          <w:rFonts w:ascii="Palatino Linotype" w:eastAsia="Palatino Linotype" w:hAnsi="Palatino Linotype" w:cs="Palatino Linotype"/>
          <w:color w:val="000000"/>
        </w:rPr>
        <w:lastRenderedPageBreak/>
        <w:t>capacidades técnicas y humanas del personal encargado de la proyección de las resoluciones a dichos medios de impugnación.</w:t>
      </w:r>
    </w:p>
    <w:p w14:paraId="7281E636"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7C699BED"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A8FCC1B"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79960F22"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CF77C7"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0E32BA7A"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B28A21A"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70DF99BB"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Por ello, excepcionalmente, si un asunto es resuelto con posterioridad a los plazos señalados por la norma debe analizarse la razonabilidad del tiempo necesario para su resolución, atentos a los siguientes criterios:</w:t>
      </w:r>
    </w:p>
    <w:p w14:paraId="4D19966A"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69AC4788" w14:textId="77777777" w:rsidR="00165D6A" w:rsidRPr="00DA21F3" w:rsidRDefault="00311D4F">
      <w:pPr>
        <w:numPr>
          <w:ilvl w:val="0"/>
          <w:numId w:val="4"/>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lastRenderedPageBreak/>
        <w:t>Complejidad del asunto: La complejidad de la prueba, la pluralidad de sujetos procesales, el tiempo transcurrido, las características y contexto del recurso.</w:t>
      </w:r>
    </w:p>
    <w:p w14:paraId="1141233F" w14:textId="77777777" w:rsidR="00165D6A" w:rsidRPr="00DA21F3" w:rsidRDefault="00311D4F">
      <w:pPr>
        <w:numPr>
          <w:ilvl w:val="0"/>
          <w:numId w:val="4"/>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Actividad Procesal del interesado: Acciones u omisiones del interesado.</w:t>
      </w:r>
    </w:p>
    <w:p w14:paraId="0AF1DE83" w14:textId="77777777" w:rsidR="00165D6A" w:rsidRPr="00DA21F3" w:rsidRDefault="00311D4F">
      <w:pPr>
        <w:numPr>
          <w:ilvl w:val="0"/>
          <w:numId w:val="4"/>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7BF20B06" w14:textId="77777777" w:rsidR="00165D6A" w:rsidRPr="00DA21F3" w:rsidRDefault="00311D4F">
      <w:pPr>
        <w:numPr>
          <w:ilvl w:val="0"/>
          <w:numId w:val="4"/>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0F9DD14E" w14:textId="77777777" w:rsidR="00165D6A" w:rsidRPr="00DA21F3" w:rsidRDefault="00165D6A">
      <w:pPr>
        <w:shd w:val="clear" w:color="auto" w:fill="FFFFFF"/>
        <w:spacing w:line="360" w:lineRule="auto"/>
        <w:ind w:left="360"/>
        <w:jc w:val="both"/>
        <w:rPr>
          <w:rFonts w:ascii="Palatino Linotype" w:eastAsia="Palatino Linotype" w:hAnsi="Palatino Linotype" w:cs="Palatino Linotype"/>
          <w:color w:val="000000"/>
        </w:rPr>
      </w:pPr>
    </w:p>
    <w:p w14:paraId="34735502"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9105FE"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219FBA11"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Argumento que encuentra sustento en la jurisprudencia P./J. 32/92 emitida por el Pleno de la Suprema Corte de Justicia de la Nación de rubro “</w:t>
      </w:r>
      <w:r w:rsidRPr="00DA21F3">
        <w:rPr>
          <w:rFonts w:ascii="Palatino Linotype" w:eastAsia="Palatino Linotype" w:hAnsi="Palatino Linotype" w:cs="Palatino Linotype"/>
          <w:color w:val="000000"/>
          <w:sz w:val="22"/>
          <w:szCs w:val="22"/>
        </w:rPr>
        <w:t>TÉRMINOS PROCESALES. PARA DETERMINAR SI UN FUNCIONARIO JUDICIAL ACTUÓ INDEBIDAMENTE POR NO RESPETARLOS SE DEBE ATENDER AL PRESUPUESTO QUE CONSIDERÓ EL LEGISLADOR AL FIJARLOS Y LAS CARACTERÍSTICAS DEL CASO</w:t>
      </w:r>
      <w:r w:rsidRPr="00DA21F3">
        <w:rPr>
          <w:rFonts w:ascii="Palatino Linotype" w:eastAsia="Palatino Linotype" w:hAnsi="Palatino Linotype" w:cs="Palatino Linotype"/>
          <w:color w:val="000000"/>
        </w:rPr>
        <w:t>.”, visible en la Gaceta del Seminario Judicial de la Federación con el registro digital 205635.</w:t>
      </w:r>
    </w:p>
    <w:p w14:paraId="07B1DB05"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4D2C152C"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Razones por las cuales cabe concluir que, la resolución a los Recursos de Revisión se solventa hasta esta fecha, debido a que existe una excesiva carga de trabajo en desproporción a la capacidad de los recursos materiales y humanos con que cuenta este </w:t>
      </w:r>
      <w:r w:rsidRPr="00DA21F3">
        <w:rPr>
          <w:rFonts w:ascii="Palatino Linotype" w:eastAsia="Palatino Linotype" w:hAnsi="Palatino Linotype" w:cs="Palatino Linotype"/>
          <w:color w:val="000000"/>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352854"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2558F536"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0C3D229"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53625BEA"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w:t>
      </w:r>
      <w:r w:rsidRPr="00DA21F3">
        <w:rPr>
          <w:rFonts w:ascii="Palatino Linotype" w:eastAsia="Palatino Linotype" w:hAnsi="Palatino Linotype" w:cs="Palatino Linotype"/>
          <w:color w:val="000000"/>
          <w:sz w:val="22"/>
          <w:szCs w:val="22"/>
        </w:rPr>
        <w:t>PLAZO RAZONABLE PARA RESOLVER. DIMENSIÓN Y EFECTOS DE ESTE CONCEPTO CUANDO SE ADUCE EXCESIVA CARGA DE TRABAJO</w:t>
      </w:r>
      <w:r w:rsidRPr="00DA21F3">
        <w:rPr>
          <w:rFonts w:ascii="Palatino Linotype" w:eastAsia="Palatino Linotype" w:hAnsi="Palatino Linotype" w:cs="Palatino Linotype"/>
          <w:color w:val="000000"/>
        </w:rPr>
        <w:t>.” consultable en el Seminario Judicial de la Federación y su gaceta, con el registro digital 2002351.</w:t>
      </w:r>
    </w:p>
    <w:p w14:paraId="7F6D04DC"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1460587F"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w:t>
      </w:r>
      <w:r w:rsidRPr="00DA21F3">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w:t>
      </w:r>
      <w:r w:rsidRPr="00DA21F3">
        <w:rPr>
          <w:rFonts w:ascii="Palatino Linotype" w:eastAsia="Palatino Linotype" w:hAnsi="Palatino Linotype" w:cs="Palatino Linotype"/>
          <w:color w:val="000000"/>
        </w:rPr>
        <w:t>.”, visible en el Seminario Judicial de la Federación y su gaceta, con el registro digital 2002350.</w:t>
      </w:r>
    </w:p>
    <w:p w14:paraId="4F2FBB41" w14:textId="77777777" w:rsidR="00165D6A" w:rsidRPr="00DA21F3" w:rsidRDefault="00165D6A">
      <w:pPr>
        <w:shd w:val="clear" w:color="auto" w:fill="FFFFFF"/>
        <w:spacing w:line="360" w:lineRule="auto"/>
        <w:jc w:val="both"/>
        <w:rPr>
          <w:rFonts w:ascii="Palatino Linotype" w:eastAsia="Palatino Linotype" w:hAnsi="Palatino Linotype" w:cs="Palatino Linotype"/>
          <w:color w:val="000000"/>
        </w:rPr>
      </w:pPr>
    </w:p>
    <w:p w14:paraId="752F9283" w14:textId="77777777" w:rsidR="00165D6A" w:rsidRPr="00DA21F3" w:rsidRDefault="00311D4F">
      <w:pPr>
        <w:shd w:val="clear" w:color="auto" w:fill="FFFFFF"/>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5D3D5A6C" w14:textId="77777777" w:rsidR="00165D6A" w:rsidRPr="00DA21F3" w:rsidRDefault="00311D4F">
      <w:pPr>
        <w:widowControl w:val="0"/>
        <w:tabs>
          <w:tab w:val="left" w:pos="0"/>
        </w:tabs>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lastRenderedPageBreak/>
        <w:t xml:space="preserve">6. Cierre de Instrucción. </w:t>
      </w:r>
      <w:r w:rsidRPr="00DA21F3">
        <w:rPr>
          <w:rFonts w:ascii="Palatino Linotype" w:eastAsia="Palatino Linotype" w:hAnsi="Palatino Linotype" w:cs="Palatino Linotype"/>
          <w:color w:val="000000"/>
        </w:rPr>
        <w:t>Por lo que, una vez analizado el estado procesal que guarda el expediente, el</w:t>
      </w:r>
      <w:r w:rsidRPr="00DA21F3">
        <w:rPr>
          <w:rFonts w:ascii="Palatino Linotype" w:eastAsia="Palatino Linotype" w:hAnsi="Palatino Linotype" w:cs="Palatino Linotype"/>
          <w:b/>
          <w:color w:val="000000"/>
        </w:rPr>
        <w:t xml:space="preserve"> siete de febrero de dos mil veinticuatro</w:t>
      </w:r>
      <w:r w:rsidRPr="00DA21F3">
        <w:rPr>
          <w:rFonts w:ascii="Palatino Linotype" w:eastAsia="Palatino Linotype" w:hAnsi="Palatino Linotype" w:cs="Palatino Linotype"/>
          <w:color w:val="000000"/>
        </w:rPr>
        <w:t xml:space="preserve">, la </w:t>
      </w:r>
      <w:r w:rsidRPr="00DA21F3">
        <w:rPr>
          <w:rFonts w:ascii="Palatino Linotype" w:eastAsia="Palatino Linotype" w:hAnsi="Palatino Linotype" w:cs="Palatino Linotype"/>
          <w:b/>
          <w:color w:val="000000"/>
        </w:rPr>
        <w:t xml:space="preserve">Comisionada Sharon Cristina Morales Martínez </w:t>
      </w:r>
      <w:r w:rsidRPr="00DA21F3">
        <w:rPr>
          <w:rFonts w:ascii="Palatino Linotype" w:eastAsia="Palatino Linotype" w:hAnsi="Palatino Linotype" w:cs="Palatino Linotype"/>
          <w:color w:val="000000"/>
        </w:rPr>
        <w:t>acordó el cierre de instrucción, así como la remisión del mismo, a efecto de ser resuelto, de conformidad con lo establecido en el artículo 185 fracciones VI y VIII de la Ley de Transparencia Local.</w:t>
      </w:r>
    </w:p>
    <w:p w14:paraId="15C2CC62" w14:textId="77777777" w:rsidR="00165D6A" w:rsidRPr="00DA21F3" w:rsidRDefault="00165D6A">
      <w:pPr>
        <w:jc w:val="center"/>
        <w:rPr>
          <w:rFonts w:ascii="Palatino Linotype" w:eastAsia="Palatino Linotype" w:hAnsi="Palatino Linotype" w:cs="Palatino Linotype"/>
          <w:b/>
          <w:color w:val="000000"/>
          <w:sz w:val="28"/>
          <w:szCs w:val="28"/>
        </w:rPr>
      </w:pPr>
    </w:p>
    <w:p w14:paraId="6D279BB3" w14:textId="77777777" w:rsidR="00165D6A" w:rsidRPr="00DA21F3" w:rsidRDefault="00311D4F">
      <w:pPr>
        <w:spacing w:before="240" w:after="240"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38D0289" w14:textId="77777777" w:rsidR="00165D6A" w:rsidRPr="00DA21F3" w:rsidRDefault="00165D6A">
      <w:pPr>
        <w:jc w:val="center"/>
        <w:rPr>
          <w:rFonts w:ascii="Palatino Linotype" w:eastAsia="Palatino Linotype" w:hAnsi="Palatino Linotype" w:cs="Palatino Linotype"/>
          <w:b/>
          <w:color w:val="000000"/>
          <w:sz w:val="28"/>
          <w:szCs w:val="28"/>
        </w:rPr>
      </w:pPr>
    </w:p>
    <w:p w14:paraId="73A719CF" w14:textId="77777777" w:rsidR="00165D6A" w:rsidRPr="00DA21F3" w:rsidRDefault="00311D4F">
      <w:pPr>
        <w:jc w:val="center"/>
        <w:rPr>
          <w:rFonts w:ascii="Palatino Linotype" w:eastAsia="Palatino Linotype" w:hAnsi="Palatino Linotype" w:cs="Palatino Linotype"/>
          <w:b/>
          <w:color w:val="000000"/>
          <w:sz w:val="28"/>
          <w:szCs w:val="28"/>
        </w:rPr>
      </w:pPr>
      <w:r w:rsidRPr="00DA21F3">
        <w:rPr>
          <w:rFonts w:ascii="Palatino Linotype" w:eastAsia="Palatino Linotype" w:hAnsi="Palatino Linotype" w:cs="Palatino Linotype"/>
          <w:b/>
          <w:color w:val="000000"/>
          <w:sz w:val="28"/>
          <w:szCs w:val="28"/>
        </w:rPr>
        <w:t>CONSIDERANDO</w:t>
      </w:r>
    </w:p>
    <w:p w14:paraId="6C960472" w14:textId="77777777" w:rsidR="00165D6A" w:rsidRPr="00DA21F3" w:rsidRDefault="00165D6A">
      <w:pPr>
        <w:jc w:val="center"/>
        <w:rPr>
          <w:rFonts w:ascii="Palatino Linotype" w:eastAsia="Palatino Linotype" w:hAnsi="Palatino Linotype" w:cs="Palatino Linotype"/>
          <w:b/>
          <w:color w:val="000000"/>
          <w:sz w:val="28"/>
          <w:szCs w:val="28"/>
        </w:rPr>
      </w:pPr>
    </w:p>
    <w:p w14:paraId="52357922" w14:textId="77777777" w:rsidR="00165D6A" w:rsidRPr="00DA21F3" w:rsidRDefault="00311D4F">
      <w:pPr>
        <w:spacing w:line="360" w:lineRule="auto"/>
        <w:ind w:right="50"/>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sz w:val="28"/>
          <w:szCs w:val="28"/>
        </w:rPr>
        <w:t>PRIMERO</w:t>
      </w:r>
      <w:r w:rsidRPr="00DA21F3">
        <w:rPr>
          <w:rFonts w:ascii="Palatino Linotype" w:eastAsia="Palatino Linotype" w:hAnsi="Palatino Linotype" w:cs="Palatino Linotype"/>
          <w:b/>
          <w:color w:val="000000"/>
        </w:rPr>
        <w:t>.</w:t>
      </w:r>
      <w:r w:rsidRPr="00DA21F3">
        <w:rPr>
          <w:rFonts w:ascii="Palatino Linotype" w:eastAsia="Palatino Linotype" w:hAnsi="Palatino Linotype" w:cs="Palatino Linotype"/>
          <w:color w:val="000000"/>
        </w:rPr>
        <w:t xml:space="preserve"> </w:t>
      </w:r>
      <w:r w:rsidRPr="00DA21F3">
        <w:rPr>
          <w:rFonts w:ascii="Palatino Linotype" w:eastAsia="Palatino Linotype" w:hAnsi="Palatino Linotype" w:cs="Palatino Linotype"/>
          <w:b/>
          <w:color w:val="000000"/>
        </w:rPr>
        <w:t>Competencia</w:t>
      </w:r>
      <w:r w:rsidRPr="00DA21F3">
        <w:rPr>
          <w:rFonts w:ascii="Palatino Linotype" w:eastAsia="Palatino Linotype" w:hAnsi="Palatino Linotype" w:cs="Palatino Linotype"/>
          <w:color w:val="000000"/>
        </w:rPr>
        <w:t>.</w:t>
      </w:r>
      <w:r w:rsidRPr="00DA21F3">
        <w:rPr>
          <w:rFonts w:ascii="Palatino Linotype" w:eastAsia="Palatino Linotype" w:hAnsi="Palatino Linotype" w:cs="Palatino Linotype"/>
          <w:b/>
          <w:color w:val="000000"/>
        </w:rPr>
        <w:t xml:space="preserve"> </w:t>
      </w:r>
    </w:p>
    <w:p w14:paraId="6874E098" w14:textId="77777777" w:rsidR="00165D6A" w:rsidRPr="00DA21F3" w:rsidRDefault="00311D4F">
      <w:pPr>
        <w:spacing w:line="360" w:lineRule="auto"/>
        <w:ind w:right="50"/>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32A7D8F8"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sz w:val="28"/>
          <w:szCs w:val="28"/>
        </w:rPr>
      </w:pPr>
      <w:r w:rsidRPr="00DA21F3">
        <w:rPr>
          <w:rFonts w:ascii="Palatino Linotype" w:eastAsia="Palatino Linotype" w:hAnsi="Palatino Linotype" w:cs="Palatino Linotype"/>
          <w:b/>
          <w:color w:val="000000"/>
          <w:sz w:val="28"/>
          <w:szCs w:val="28"/>
        </w:rPr>
        <w:lastRenderedPageBreak/>
        <w:t xml:space="preserve">SEGUNDO. Requisitos de procedencia. </w:t>
      </w:r>
    </w:p>
    <w:p w14:paraId="6C3B75B6"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El Recurso de Revisión reúne los requisitos establecidos en los artículos 178, 179 y 180 de la ley de la materia, conforme a lo siguiente: </w:t>
      </w:r>
    </w:p>
    <w:p w14:paraId="401FBC3B"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84F9AE"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a) Forma. </w:t>
      </w:r>
      <w:r w:rsidRPr="00DA21F3">
        <w:rPr>
          <w:rFonts w:ascii="Palatino Linotype" w:eastAsia="Palatino Linotype" w:hAnsi="Palatino Linotype" w:cs="Palatino Linotype"/>
          <w:color w:val="000000"/>
        </w:rPr>
        <w:t xml:space="preserve">El Recurso de Revisión en estudio fue presentado vía </w:t>
      </w:r>
      <w:r w:rsidRPr="00DA21F3">
        <w:rPr>
          <w:rFonts w:ascii="Palatino Linotype" w:eastAsia="Palatino Linotype" w:hAnsi="Palatino Linotype" w:cs="Palatino Linotype"/>
          <w:b/>
          <w:color w:val="000000"/>
        </w:rPr>
        <w:t>SAIMEX</w:t>
      </w:r>
      <w:r w:rsidRPr="00DA21F3">
        <w:rPr>
          <w:rFonts w:ascii="Palatino Linotype" w:eastAsia="Palatino Linotype" w:hAnsi="Palatino Linotype" w:cs="Palatino Linotype"/>
          <w:color w:val="000000"/>
        </w:rPr>
        <w:t xml:space="preserve">, constando </w:t>
      </w:r>
      <w:r w:rsidRPr="00DA21F3">
        <w:rPr>
          <w:rFonts w:ascii="Palatino Linotype" w:eastAsia="Palatino Linotype" w:hAnsi="Palatino Linotype" w:cs="Palatino Linotype"/>
          <w:b/>
          <w:color w:val="000000"/>
        </w:rPr>
        <w:t>EL SUJETO OBLIGADO</w:t>
      </w:r>
      <w:r w:rsidRPr="00DA21F3">
        <w:rPr>
          <w:rFonts w:ascii="Palatino Linotype" w:eastAsia="Palatino Linotype" w:hAnsi="Palatino Linotype" w:cs="Palatino Linotype"/>
          <w:color w:val="000000"/>
        </w:rPr>
        <w:t>, el nombre del solicitante, el número de folio de respuesta, la fecha en que fue notificada al solicitante, el acto recurrido y los motivos de inconformidad.</w:t>
      </w:r>
    </w:p>
    <w:p w14:paraId="346B3E4F"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1423C16"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b) Interés. </w:t>
      </w:r>
      <w:r w:rsidRPr="00DA21F3">
        <w:rPr>
          <w:rFonts w:ascii="Palatino Linotype" w:eastAsia="Palatino Linotype" w:hAnsi="Palatino Linotype" w:cs="Palatino Linotype"/>
          <w:color w:val="000000"/>
        </w:rPr>
        <w:t xml:space="preserve">El Recurso de Revisión fue interpuesto por parte legítima, en atención a que se presentó por </w:t>
      </w:r>
      <w:r w:rsidRPr="00DA21F3">
        <w:rPr>
          <w:rFonts w:ascii="Palatino Linotype" w:eastAsia="Palatino Linotype" w:hAnsi="Palatino Linotype" w:cs="Palatino Linotype"/>
          <w:b/>
          <w:color w:val="000000"/>
        </w:rPr>
        <w:t>EL RECURRENTE,</w:t>
      </w:r>
      <w:r w:rsidRPr="00DA21F3">
        <w:rPr>
          <w:rFonts w:ascii="Palatino Linotype" w:eastAsia="Palatino Linotype" w:hAnsi="Palatino Linotype" w:cs="Palatino Linotype"/>
          <w:color w:val="000000"/>
        </w:rPr>
        <w:t xml:space="preserve"> quien es la misma persona que formuló la solicitud de acceso a la información pública al </w:t>
      </w:r>
      <w:r w:rsidRPr="00DA21F3">
        <w:rPr>
          <w:rFonts w:ascii="Palatino Linotype" w:eastAsia="Palatino Linotype" w:hAnsi="Palatino Linotype" w:cs="Palatino Linotype"/>
          <w:b/>
          <w:color w:val="000000"/>
        </w:rPr>
        <w:t xml:space="preserve">SUJETO OBLIGADO, </w:t>
      </w:r>
      <w:r w:rsidRPr="00DA21F3">
        <w:rPr>
          <w:rFonts w:ascii="Palatino Linotype" w:eastAsia="Palatino Linotype" w:hAnsi="Palatino Linotype" w:cs="Palatino Linotype"/>
          <w:color w:val="000000"/>
        </w:rPr>
        <w:t xml:space="preserve">pues para ello, es necesario que el particular ingrese al </w:t>
      </w:r>
      <w:r w:rsidRPr="00DA21F3">
        <w:rPr>
          <w:rFonts w:ascii="Palatino Linotype" w:eastAsia="Palatino Linotype" w:hAnsi="Palatino Linotype" w:cs="Palatino Linotype"/>
          <w:b/>
          <w:color w:val="000000"/>
        </w:rPr>
        <w:t xml:space="preserve">SAIMEX </w:t>
      </w:r>
      <w:r w:rsidRPr="00DA21F3">
        <w:rPr>
          <w:rFonts w:ascii="Palatino Linotype" w:eastAsia="Palatino Linotype" w:hAnsi="Palatino Linotype" w:cs="Palatino Linotype"/>
          <w:color w:val="000000"/>
        </w:rPr>
        <w:t>mediante la utilización de su clave de usuario y contraseña.</w:t>
      </w:r>
    </w:p>
    <w:p w14:paraId="3507D43C"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865DD23"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c) Oportunidad. </w:t>
      </w:r>
      <w:r w:rsidRPr="00DA21F3">
        <w:rPr>
          <w:rFonts w:ascii="Palatino Linotype" w:eastAsia="Palatino Linotype" w:hAnsi="Palatino Linotype" w:cs="Palatino Linotype"/>
          <w:color w:val="000000"/>
        </w:rPr>
        <w:t xml:space="preserve">El Recurso de Revisión fue interpuesto dentro del plazo de quince días hábiles contados a partir del día siguiente a aquel en que </w:t>
      </w:r>
      <w:r w:rsidRPr="00DA21F3">
        <w:rPr>
          <w:rFonts w:ascii="Palatino Linotype" w:eastAsia="Palatino Linotype" w:hAnsi="Palatino Linotype" w:cs="Palatino Linotype"/>
          <w:b/>
          <w:color w:val="000000"/>
        </w:rPr>
        <w:t xml:space="preserve">El Recurrente </w:t>
      </w:r>
      <w:r w:rsidRPr="00DA21F3">
        <w:rPr>
          <w:rFonts w:ascii="Palatino Linotype" w:eastAsia="Palatino Linotype" w:hAnsi="Palatino Linotype" w:cs="Palatino Linotype"/>
          <w:color w:val="000000"/>
        </w:rPr>
        <w:t>tuvo conocimiento de la respuesta ahora impugnada, como lo prevé el artículo 178 de la Ley de Transparencia local</w:t>
      </w:r>
      <w:r w:rsidRPr="00DA21F3">
        <w:rPr>
          <w:rFonts w:ascii="Palatino Linotype" w:eastAsia="Palatino Linotype" w:hAnsi="Palatino Linotype" w:cs="Palatino Linotype"/>
          <w:color w:val="000000"/>
          <w:vertAlign w:val="superscript"/>
        </w:rPr>
        <w:footnoteReference w:id="3"/>
      </w:r>
      <w:r w:rsidRPr="00DA21F3">
        <w:rPr>
          <w:rFonts w:ascii="Palatino Linotype" w:eastAsia="Palatino Linotype" w:hAnsi="Palatino Linotype" w:cs="Palatino Linotype"/>
          <w:color w:val="000000"/>
        </w:rPr>
        <w:t>.</w:t>
      </w:r>
    </w:p>
    <w:p w14:paraId="4C129CAB" w14:textId="3D463340"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lastRenderedPageBreak/>
        <w:t xml:space="preserve">En efecto, la respuesta a la solicitud de información se notificó el </w:t>
      </w:r>
      <w:r w:rsidRPr="00DA21F3">
        <w:rPr>
          <w:rFonts w:ascii="Palatino Linotype" w:eastAsia="Palatino Linotype" w:hAnsi="Palatino Linotype" w:cs="Palatino Linotype"/>
          <w:b/>
          <w:color w:val="000000"/>
        </w:rPr>
        <w:t>martes</w:t>
      </w:r>
      <w:r w:rsidRPr="00DA21F3">
        <w:rPr>
          <w:rFonts w:ascii="Palatino Linotype" w:eastAsia="Palatino Linotype" w:hAnsi="Palatino Linotype" w:cs="Palatino Linotype"/>
          <w:color w:val="000000"/>
        </w:rPr>
        <w:t xml:space="preserve"> </w:t>
      </w:r>
      <w:r w:rsidRPr="00DA21F3">
        <w:rPr>
          <w:rFonts w:ascii="Palatino Linotype" w:eastAsia="Palatino Linotype" w:hAnsi="Palatino Linotype" w:cs="Palatino Linotype"/>
          <w:b/>
          <w:color w:val="000000"/>
        </w:rPr>
        <w:t xml:space="preserve">diez de enero de dos mil veintitrés; </w:t>
      </w:r>
      <w:r w:rsidRPr="00DA21F3">
        <w:rPr>
          <w:rFonts w:ascii="Palatino Linotype" w:eastAsia="Palatino Linotype" w:hAnsi="Palatino Linotype" w:cs="Palatino Linotype"/>
          <w:color w:val="000000"/>
        </w:rPr>
        <w:t>en consecuencia, el plazo de quince días hábiles para presentar el recurso de revisión, transcurrió del</w:t>
      </w:r>
      <w:r w:rsidRPr="00DA21F3">
        <w:rPr>
          <w:rFonts w:ascii="Palatino Linotype" w:eastAsia="Palatino Linotype" w:hAnsi="Palatino Linotype" w:cs="Palatino Linotype"/>
          <w:b/>
          <w:color w:val="000000"/>
        </w:rPr>
        <w:t xml:space="preserve"> miércoles once al martes treinta y uno de enero de dos mil veintitrés</w:t>
      </w:r>
      <w:r w:rsidRPr="00DA21F3">
        <w:rPr>
          <w:rFonts w:ascii="Palatino Linotype" w:eastAsia="Palatino Linotype" w:hAnsi="Palatino Linotype" w:cs="Palatino Linotype"/>
          <w:color w:val="000000"/>
          <w:vertAlign w:val="superscript"/>
        </w:rPr>
        <w:footnoteReference w:id="4"/>
      </w:r>
      <w:r w:rsidRPr="00DA21F3">
        <w:rPr>
          <w:rFonts w:ascii="Palatino Linotype" w:eastAsia="Palatino Linotype" w:hAnsi="Palatino Linotype" w:cs="Palatino Linotype"/>
          <w:color w:val="000000"/>
        </w:rPr>
        <w:t xml:space="preserve">; si el recurso se interpuso el </w:t>
      </w:r>
      <w:r w:rsidRPr="00DA21F3">
        <w:rPr>
          <w:rFonts w:ascii="Palatino Linotype" w:eastAsia="Palatino Linotype" w:hAnsi="Palatino Linotype" w:cs="Palatino Linotype"/>
          <w:b/>
          <w:color w:val="000000"/>
        </w:rPr>
        <w:t>diecisiete de enero de dos mil veintitrés</w:t>
      </w:r>
      <w:r w:rsidRPr="00DA21F3">
        <w:rPr>
          <w:rFonts w:ascii="Palatino Linotype" w:eastAsia="Palatino Linotype" w:hAnsi="Palatino Linotype" w:cs="Palatino Linotype"/>
          <w:color w:val="000000"/>
        </w:rPr>
        <w:t>, éste se encuentra dentro de los márgenes temporales previstos en el citado precepto legal y, por tanto, se considera interpuesto en tiempo.</w:t>
      </w:r>
    </w:p>
    <w:p w14:paraId="011121D8"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94C0728"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b/>
          <w:color w:val="000000"/>
        </w:rPr>
        <w:t xml:space="preserve">d). Actualización de la procedencia. </w:t>
      </w:r>
      <w:r w:rsidRPr="00DA21F3">
        <w:rPr>
          <w:rFonts w:ascii="Palatino Linotype" w:eastAsia="Palatino Linotype" w:hAnsi="Palatino Linotype" w:cs="Palatino Linotype"/>
          <w:color w:val="000000"/>
        </w:rPr>
        <w:t xml:space="preserve">Para determinar si la causa que hace valer </w:t>
      </w:r>
      <w:r w:rsidRPr="00DA21F3">
        <w:rPr>
          <w:rFonts w:ascii="Palatino Linotype" w:eastAsia="Palatino Linotype" w:hAnsi="Palatino Linotype" w:cs="Palatino Linotype"/>
          <w:b/>
          <w:color w:val="000000"/>
        </w:rPr>
        <w:t>El Recurrente</w:t>
      </w:r>
      <w:r w:rsidRPr="00DA21F3">
        <w:rPr>
          <w:rFonts w:ascii="Palatino Linotype" w:eastAsia="Palatino Linotype" w:hAnsi="Palatino Linotype" w:cs="Palatino Linotype"/>
          <w:color w:val="000000"/>
        </w:rPr>
        <w:t xml:space="preserve"> se encuentra dentro de las hipótesis previstas en el artículo 179 de la Ley de Transparencia local, se revisa el acto impugnado y las razones de inconformidad anunciadas en los antecedentes. Así, advertimos que la acción intentada por el solicitante es</w:t>
      </w:r>
      <w:r w:rsidRPr="00DA21F3">
        <w:rPr>
          <w:rFonts w:ascii="Palatino Linotype" w:eastAsia="Palatino Linotype" w:hAnsi="Palatino Linotype" w:cs="Palatino Linotype"/>
          <w:b/>
          <w:i/>
          <w:color w:val="000000"/>
        </w:rPr>
        <w:t xml:space="preserve"> “La clasificación de la información” </w:t>
      </w:r>
      <w:r w:rsidRPr="00DA21F3">
        <w:rPr>
          <w:rFonts w:ascii="Palatino Linotype" w:eastAsia="Palatino Linotype" w:hAnsi="Palatino Linotype" w:cs="Palatino Linotype"/>
          <w:color w:val="000000"/>
        </w:rPr>
        <w:t>e</w:t>
      </w:r>
      <w:r w:rsidRPr="00DA21F3">
        <w:rPr>
          <w:rFonts w:ascii="Palatino Linotype" w:eastAsia="Palatino Linotype" w:hAnsi="Palatino Linotype" w:cs="Palatino Linotype"/>
          <w:b/>
          <w:i/>
          <w:color w:val="000000"/>
        </w:rPr>
        <w:t xml:space="preserve"> “información incompleta” </w:t>
      </w:r>
      <w:r w:rsidRPr="00DA21F3">
        <w:rPr>
          <w:rFonts w:ascii="Palatino Linotype" w:eastAsia="Palatino Linotype" w:hAnsi="Palatino Linotype" w:cs="Palatino Linotype"/>
          <w:color w:val="000000"/>
        </w:rPr>
        <w:t>en términos del citado artículo 179, en sus fracciones II y V.</w:t>
      </w:r>
    </w:p>
    <w:p w14:paraId="44BB3909"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D87F9C1" w14:textId="77777777" w:rsidR="00165D6A" w:rsidRPr="00DA21F3" w:rsidRDefault="00311D4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Analizados los requisitos de procedencia, por ser de previo y especial pronunciamiento, se advierte que no se actualiza alguna causal de improcedencia o sobreseimiento; que impida continuar con el estudio de fondo.</w:t>
      </w:r>
    </w:p>
    <w:p w14:paraId="44853D6D"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2500B" w14:textId="77777777" w:rsidR="00165D6A" w:rsidRPr="00DA21F3" w:rsidRDefault="00311D4F">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sz w:val="28"/>
          <w:szCs w:val="28"/>
        </w:rPr>
        <w:t>TERCERO</w:t>
      </w:r>
      <w:r w:rsidRPr="00DA21F3">
        <w:rPr>
          <w:rFonts w:ascii="Palatino Linotype" w:eastAsia="Palatino Linotype" w:hAnsi="Palatino Linotype" w:cs="Palatino Linotype"/>
          <w:b/>
          <w:color w:val="000000"/>
        </w:rPr>
        <w:t xml:space="preserve">. Marco Normativo General. </w:t>
      </w:r>
    </w:p>
    <w:p w14:paraId="7615A0D7" w14:textId="77777777" w:rsidR="00165D6A" w:rsidRPr="00DA21F3" w:rsidRDefault="00311D4F">
      <w:pPr>
        <w:tabs>
          <w:tab w:val="left" w:pos="2422"/>
        </w:tabs>
        <w:spacing w:line="360" w:lineRule="auto"/>
        <w:ind w:right="51"/>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Toda la información en posesión de cualquier autoridad, entidad, órgano y organismo de los Poderes Ejecutivo, Legislativo y Judicial, órganos autónomos, partidos políticos, </w:t>
      </w:r>
      <w:r w:rsidRPr="00DA21F3">
        <w:rPr>
          <w:rFonts w:ascii="Palatino Linotype" w:eastAsia="Palatino Linotype" w:hAnsi="Palatino Linotype" w:cs="Palatino Linotype"/>
        </w:rPr>
        <w:lastRenderedPageBreak/>
        <w:t>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sidRPr="00DA21F3">
        <w:rPr>
          <w:rFonts w:ascii="Palatino Linotype" w:eastAsia="Palatino Linotype" w:hAnsi="Palatino Linotype" w:cs="Palatino Linotype"/>
          <w:vertAlign w:val="superscript"/>
        </w:rPr>
        <w:footnoteReference w:id="5"/>
      </w:r>
      <w:r w:rsidRPr="00DA21F3">
        <w:rPr>
          <w:rFonts w:ascii="Palatino Linotype" w:eastAsia="Palatino Linotype" w:hAnsi="Palatino Linotype" w:cs="Palatino Linotype"/>
        </w:rPr>
        <w:t xml:space="preserve">. </w:t>
      </w:r>
    </w:p>
    <w:p w14:paraId="36C8590F" w14:textId="77777777" w:rsidR="00165D6A" w:rsidRPr="00DA21F3" w:rsidRDefault="00165D6A">
      <w:pPr>
        <w:tabs>
          <w:tab w:val="left" w:pos="2422"/>
        </w:tabs>
        <w:spacing w:line="360" w:lineRule="auto"/>
        <w:ind w:right="51"/>
        <w:jc w:val="both"/>
        <w:rPr>
          <w:rFonts w:ascii="Palatino Linotype" w:eastAsia="Palatino Linotype" w:hAnsi="Palatino Linotype" w:cs="Palatino Linotype"/>
        </w:rPr>
      </w:pPr>
    </w:p>
    <w:p w14:paraId="3F0D5F27" w14:textId="77777777" w:rsidR="00165D6A"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rPr>
        <w:t>En nuestra entidad, el derecho a la información será garantizado por el Estado, la ley establecerá las previsiones que permitan asegurar la protección, el respeto y la difusión de este derecho</w:t>
      </w:r>
      <w:r w:rsidRPr="00DA21F3">
        <w:rPr>
          <w:rFonts w:ascii="Palatino Linotype" w:eastAsia="Palatino Linotype" w:hAnsi="Palatino Linotype" w:cs="Palatino Linotype"/>
          <w:vertAlign w:val="superscript"/>
        </w:rPr>
        <w:footnoteReference w:id="6"/>
      </w:r>
      <w:r w:rsidRPr="00DA21F3">
        <w:rPr>
          <w:rFonts w:ascii="Palatino Linotype" w:eastAsia="Palatino Linotype" w:hAnsi="Palatino Linotype" w:cs="Palatino Linotype"/>
        </w:rPr>
        <w:t xml:space="preserve">. </w:t>
      </w:r>
      <w:r w:rsidRPr="00DA21F3">
        <w:rPr>
          <w:rFonts w:ascii="Palatino Linotype" w:eastAsia="Palatino Linotype" w:hAnsi="Palatino Linotype" w:cs="Palatino Linotype"/>
          <w:b/>
          <w:color w:val="000000"/>
        </w:rPr>
        <w:t>Se considera información pública al conjunto de datos que posee cualquier autoridad, obtenidos en virtud del ejercicio de sus funciones de derecho público,</w:t>
      </w:r>
      <w:r w:rsidRPr="00DA21F3">
        <w:rPr>
          <w:rFonts w:ascii="Palatino Linotype" w:eastAsia="Palatino Linotype" w:hAnsi="Palatino Linotype" w:cs="Palatino Linotype"/>
        </w:rPr>
        <w:t xml:space="preserve"> c</w:t>
      </w:r>
      <w:r w:rsidRPr="00DA21F3">
        <w:rPr>
          <w:rFonts w:ascii="Palatino Linotype" w:eastAsia="Palatino Linotype" w:hAnsi="Palatino Linotype" w:cs="Palatino Linotype"/>
          <w:color w:val="000000"/>
        </w:rPr>
        <w:t>riterio que ha sostenido la Suprema Corte de Justicia de la Nación</w:t>
      </w:r>
      <w:r w:rsidRPr="00DA21F3">
        <w:rPr>
          <w:rFonts w:ascii="Palatino Linotype" w:eastAsia="Palatino Linotype" w:hAnsi="Palatino Linotype" w:cs="Palatino Linotype"/>
          <w:color w:val="000000"/>
          <w:vertAlign w:val="superscript"/>
        </w:rPr>
        <w:footnoteReference w:id="7"/>
      </w:r>
      <w:r w:rsidRPr="00DA21F3">
        <w:rPr>
          <w:rFonts w:ascii="Palatino Linotype" w:eastAsia="Palatino Linotype" w:hAnsi="Palatino Linotype" w:cs="Palatino Linotype"/>
          <w:color w:val="000000"/>
        </w:rPr>
        <w:t>.</w:t>
      </w:r>
    </w:p>
    <w:p w14:paraId="4928E86E" w14:textId="77777777" w:rsidR="000B7746" w:rsidRPr="00DA21F3" w:rsidRDefault="000B7746">
      <w:pPr>
        <w:spacing w:line="360" w:lineRule="auto"/>
        <w:jc w:val="both"/>
        <w:rPr>
          <w:rFonts w:ascii="Palatino Linotype" w:eastAsia="Palatino Linotype" w:hAnsi="Palatino Linotype" w:cs="Palatino Linotype"/>
          <w:color w:val="000000"/>
        </w:rPr>
      </w:pPr>
    </w:p>
    <w:p w14:paraId="7F0838AD" w14:textId="77777777" w:rsidR="00165D6A" w:rsidRPr="00DA21F3" w:rsidRDefault="00311D4F">
      <w:pPr>
        <w:tabs>
          <w:tab w:val="left" w:pos="709"/>
        </w:tabs>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De acuerdo con la Ley de Transparencia local</w:t>
      </w:r>
      <w:r w:rsidRPr="00DA21F3">
        <w:rPr>
          <w:rFonts w:ascii="Palatino Linotype" w:eastAsia="Palatino Linotype" w:hAnsi="Palatino Linotype" w:cs="Palatino Linotype"/>
          <w:vertAlign w:val="superscript"/>
        </w:rPr>
        <w:footnoteReference w:id="8"/>
      </w:r>
      <w:r w:rsidRPr="00DA21F3">
        <w:rPr>
          <w:rFonts w:ascii="Palatino Linotype" w:eastAsia="Palatino Linotype" w:hAnsi="Palatino Linotype" w:cs="Palatino Linotype"/>
        </w:rPr>
        <w:t xml:space="preserve">, los Sujetos Obligados se encuentran constreñidos a entregar la información pública solicitada por los particulares que se </w:t>
      </w:r>
      <w:r w:rsidRPr="00DA21F3">
        <w:rPr>
          <w:rFonts w:ascii="Palatino Linotype" w:eastAsia="Palatino Linotype" w:hAnsi="Palatino Linotype" w:cs="Palatino Linotype"/>
        </w:rPr>
        <w:lastRenderedPageBreak/>
        <w:t>encuentre en sus archivos o que obre en su posesión, privilegiando en todo momento el principio de máxima publicidad, sin generarla, procesarla, resumirla, ni presentarla conforme al interés del solicitante.</w:t>
      </w:r>
    </w:p>
    <w:p w14:paraId="7973390F" w14:textId="77777777" w:rsidR="00165D6A" w:rsidRPr="00DA21F3" w:rsidRDefault="00165D6A">
      <w:pPr>
        <w:spacing w:line="360" w:lineRule="auto"/>
        <w:jc w:val="both"/>
        <w:rPr>
          <w:rFonts w:ascii="Palatino Linotype" w:eastAsia="Palatino Linotype" w:hAnsi="Palatino Linotype" w:cs="Palatino Linotype"/>
          <w:color w:val="000000"/>
        </w:rPr>
      </w:pPr>
    </w:p>
    <w:p w14:paraId="5460EA29"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siendo el deber de los Sujetos Obligados, garantizar a toda persona el derecho de acceso a la información pública. </w:t>
      </w:r>
    </w:p>
    <w:p w14:paraId="25040E86" w14:textId="77777777" w:rsidR="00165D6A" w:rsidRPr="00DA21F3" w:rsidRDefault="00165D6A">
      <w:pPr>
        <w:spacing w:line="360" w:lineRule="auto"/>
        <w:jc w:val="both"/>
        <w:rPr>
          <w:rFonts w:ascii="Palatino Linotype" w:eastAsia="Palatino Linotype" w:hAnsi="Palatino Linotype" w:cs="Palatino Linotype"/>
          <w:color w:val="000000"/>
        </w:rPr>
      </w:pPr>
    </w:p>
    <w:p w14:paraId="27ADE62D"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DA21F3">
        <w:rPr>
          <w:rFonts w:ascii="Palatino Linotype" w:eastAsia="Palatino Linotype" w:hAnsi="Palatino Linotype" w:cs="Palatino Linotype"/>
          <w:color w:val="000000"/>
          <w:vertAlign w:val="superscript"/>
        </w:rPr>
        <w:footnoteReference w:id="9"/>
      </w:r>
      <w:r w:rsidRPr="00DA21F3">
        <w:rPr>
          <w:rFonts w:ascii="Palatino Linotype" w:eastAsia="Palatino Linotype" w:hAnsi="Palatino Linotype" w:cs="Palatino Linotype"/>
          <w:color w:val="000000"/>
        </w:rPr>
        <w:t xml:space="preserve"> de la Ley de Transparencia local. </w:t>
      </w:r>
    </w:p>
    <w:p w14:paraId="79A1C494"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lastRenderedPageBreak/>
        <w:t>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de la Ley de Transparencia local.</w:t>
      </w:r>
    </w:p>
    <w:p w14:paraId="4DFF5814" w14:textId="77777777" w:rsidR="00165D6A" w:rsidRPr="00DA21F3" w:rsidRDefault="00165D6A">
      <w:pPr>
        <w:spacing w:line="360" w:lineRule="auto"/>
        <w:jc w:val="both"/>
        <w:rPr>
          <w:rFonts w:ascii="Palatino Linotype" w:eastAsia="Palatino Linotype" w:hAnsi="Palatino Linotype" w:cs="Palatino Linotype"/>
          <w:color w:val="000000"/>
        </w:rPr>
      </w:pPr>
    </w:p>
    <w:p w14:paraId="57E2C9E9" w14:textId="77777777" w:rsidR="00165D6A" w:rsidRPr="00DA21F3" w:rsidRDefault="00311D4F">
      <w:pPr>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Las autoridades locales se encuentran constreñidas a la observancia del </w:t>
      </w:r>
      <w:r w:rsidRPr="00DA21F3">
        <w:rPr>
          <w:rFonts w:ascii="Palatino Linotype" w:eastAsia="Palatino Linotype" w:hAnsi="Palatino Linotype" w:cs="Palatino Linotype"/>
          <w:b/>
        </w:rPr>
        <w:t>principio de máxima publicidad</w:t>
      </w:r>
      <w:r w:rsidRPr="00DA21F3">
        <w:rPr>
          <w:rFonts w:ascii="Palatino Linotype" w:eastAsia="Palatino Linotype" w:hAnsi="Palatino Linotype" w:cs="Palatino Linotype"/>
        </w:rPr>
        <w:t xml:space="preserve"> y en caso de negarse o limitarse el acceso a la información deberán motivar la clasificación de la información que consideren susceptible de tal actuación, señalando las causas especiales que los llevaron a dicha actuación. </w:t>
      </w:r>
    </w:p>
    <w:p w14:paraId="3268D6E6" w14:textId="77777777" w:rsidR="00165D6A" w:rsidRPr="00DA21F3" w:rsidRDefault="00165D6A">
      <w:pPr>
        <w:spacing w:line="360" w:lineRule="auto"/>
        <w:ind w:right="49"/>
        <w:jc w:val="both"/>
        <w:rPr>
          <w:rFonts w:ascii="Palatino Linotype" w:eastAsia="Palatino Linotype" w:hAnsi="Palatino Linotype" w:cs="Palatino Linotype"/>
        </w:rPr>
      </w:pPr>
    </w:p>
    <w:p w14:paraId="7B08F491" w14:textId="77777777" w:rsidR="00165D6A" w:rsidRPr="00DA21F3" w:rsidRDefault="00311D4F">
      <w:pPr>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Por tanto,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w:t>
      </w:r>
      <w:r w:rsidRPr="00DA21F3">
        <w:rPr>
          <w:rFonts w:ascii="Palatino Linotype" w:eastAsia="Palatino Linotype" w:hAnsi="Palatino Linotype" w:cs="Palatino Linotype"/>
          <w:i/>
        </w:rPr>
        <w:t>ad hoc</w:t>
      </w:r>
      <w:r w:rsidRPr="00DA21F3">
        <w:rPr>
          <w:rFonts w:ascii="Palatino Linotype" w:eastAsia="Palatino Linotype" w:hAnsi="Palatino Linotype" w:cs="Palatino Linotype"/>
        </w:rPr>
        <w:t xml:space="preserve"> —a modo—, para satisfacer el Derecho de Acceso a la Información Pública, pero si el deber de documentar todos sus actos que realicen derivado del ejercicio de sus atribuciones.</w:t>
      </w:r>
    </w:p>
    <w:p w14:paraId="219B55AA" w14:textId="77777777" w:rsidR="00165D6A" w:rsidRPr="00DA21F3" w:rsidRDefault="00165D6A">
      <w:pPr>
        <w:spacing w:line="360" w:lineRule="auto"/>
        <w:ind w:right="49"/>
        <w:jc w:val="both"/>
        <w:rPr>
          <w:rFonts w:ascii="Palatino Linotype" w:eastAsia="Palatino Linotype" w:hAnsi="Palatino Linotype" w:cs="Palatino Linotype"/>
        </w:rPr>
      </w:pPr>
    </w:p>
    <w:p w14:paraId="5F321F51" w14:textId="77777777" w:rsidR="00165D6A" w:rsidRPr="00DA21F3" w:rsidRDefault="00311D4F">
      <w:pPr>
        <w:spacing w:line="360" w:lineRule="auto"/>
        <w:ind w:right="49"/>
        <w:jc w:val="both"/>
        <w:rPr>
          <w:rFonts w:ascii="Palatino Linotype" w:eastAsia="Palatino Linotype" w:hAnsi="Palatino Linotype" w:cs="Palatino Linotype"/>
          <w:b/>
        </w:rPr>
      </w:pPr>
      <w:r w:rsidRPr="00DA21F3">
        <w:rPr>
          <w:rFonts w:ascii="Palatino Linotype" w:eastAsia="Palatino Linotype" w:hAnsi="Palatino Linotype" w:cs="Palatino Linotype"/>
        </w:rPr>
        <w:t>Fijado el marco constitucional y legal, procederemos al análisis</w:t>
      </w:r>
      <w:r w:rsidRPr="00DA21F3">
        <w:rPr>
          <w:rFonts w:ascii="Palatino Linotype" w:eastAsia="Palatino Linotype" w:hAnsi="Palatino Linotype" w:cs="Palatino Linotype"/>
          <w:b/>
        </w:rPr>
        <w:t>.</w:t>
      </w:r>
    </w:p>
    <w:p w14:paraId="20E847FC" w14:textId="77777777" w:rsidR="00165D6A" w:rsidRDefault="00165D6A">
      <w:pPr>
        <w:spacing w:line="360" w:lineRule="auto"/>
        <w:jc w:val="both"/>
        <w:rPr>
          <w:rFonts w:ascii="Palatino Linotype" w:eastAsia="Palatino Linotype" w:hAnsi="Palatino Linotype" w:cs="Palatino Linotype"/>
          <w:color w:val="000000"/>
        </w:rPr>
      </w:pPr>
    </w:p>
    <w:p w14:paraId="108AEFBA" w14:textId="77777777" w:rsidR="000B7746" w:rsidRDefault="000B7746">
      <w:pPr>
        <w:spacing w:line="360" w:lineRule="auto"/>
        <w:jc w:val="both"/>
        <w:rPr>
          <w:rFonts w:ascii="Palatino Linotype" w:eastAsia="Palatino Linotype" w:hAnsi="Palatino Linotype" w:cs="Palatino Linotype"/>
          <w:color w:val="000000"/>
        </w:rPr>
      </w:pPr>
    </w:p>
    <w:p w14:paraId="3D1B5CE8" w14:textId="77777777" w:rsidR="000B7746" w:rsidRPr="00DA21F3" w:rsidRDefault="000B7746">
      <w:pPr>
        <w:spacing w:line="360" w:lineRule="auto"/>
        <w:jc w:val="both"/>
        <w:rPr>
          <w:rFonts w:ascii="Palatino Linotype" w:eastAsia="Palatino Linotype" w:hAnsi="Palatino Linotype" w:cs="Palatino Linotype"/>
          <w:color w:val="000000"/>
        </w:rPr>
      </w:pPr>
    </w:p>
    <w:p w14:paraId="0A1E550F" w14:textId="77777777" w:rsidR="00165D6A" w:rsidRPr="00DA21F3" w:rsidRDefault="00311D4F">
      <w:pPr>
        <w:spacing w:line="360" w:lineRule="auto"/>
        <w:jc w:val="both"/>
        <w:rPr>
          <w:rFonts w:ascii="Palatino Linotype" w:eastAsia="Palatino Linotype" w:hAnsi="Palatino Linotype" w:cs="Palatino Linotype"/>
          <w:b/>
          <w:color w:val="000000"/>
          <w:sz w:val="28"/>
          <w:szCs w:val="28"/>
        </w:rPr>
      </w:pPr>
      <w:r w:rsidRPr="00DA21F3">
        <w:rPr>
          <w:rFonts w:ascii="Palatino Linotype" w:eastAsia="Palatino Linotype" w:hAnsi="Palatino Linotype" w:cs="Palatino Linotype"/>
          <w:b/>
          <w:color w:val="000000"/>
          <w:sz w:val="28"/>
          <w:szCs w:val="28"/>
        </w:rPr>
        <w:lastRenderedPageBreak/>
        <w:t>CUARTO. Del caso en concreto.</w:t>
      </w:r>
    </w:p>
    <w:p w14:paraId="48B1D101" w14:textId="77777777" w:rsidR="00165D6A" w:rsidRPr="00DA21F3" w:rsidRDefault="00311D4F">
      <w:pPr>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68ABE1D0" w14:textId="77777777" w:rsidR="00165D6A" w:rsidRPr="00DA21F3" w:rsidRDefault="00165D6A">
      <w:pPr>
        <w:spacing w:line="360" w:lineRule="auto"/>
        <w:jc w:val="both"/>
        <w:rPr>
          <w:rFonts w:ascii="Palatino Linotype" w:eastAsia="Palatino Linotype" w:hAnsi="Palatino Linotype" w:cs="Palatino Linotype"/>
          <w:color w:val="000000"/>
        </w:rPr>
      </w:pPr>
    </w:p>
    <w:p w14:paraId="2502C939" w14:textId="77777777" w:rsidR="00165D6A" w:rsidRPr="00DA21F3" w:rsidRDefault="00311D4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color w:val="000000"/>
        </w:rPr>
        <w:t>De la solicitud de información, respuesta del Sujeto Obligado, inconformidad del particular, manifestaciones e Informe Justificado.</w:t>
      </w:r>
    </w:p>
    <w:p w14:paraId="76EE4F51" w14:textId="77777777" w:rsidR="00165D6A" w:rsidRPr="00DA21F3" w:rsidRDefault="00165D6A">
      <w:pPr>
        <w:spacing w:line="360" w:lineRule="auto"/>
        <w:jc w:val="both"/>
        <w:rPr>
          <w:rFonts w:ascii="Palatino Linotype" w:eastAsia="Palatino Linotype" w:hAnsi="Palatino Linotype" w:cs="Palatino Linotype"/>
          <w:b/>
        </w:rPr>
      </w:pPr>
    </w:p>
    <w:p w14:paraId="2F65DECC" w14:textId="77777777" w:rsidR="00165D6A" w:rsidRPr="00DA21F3" w:rsidRDefault="00311D4F">
      <w:pPr>
        <w:tabs>
          <w:tab w:val="left" w:pos="2422"/>
        </w:tabs>
        <w:spacing w:line="360" w:lineRule="auto"/>
        <w:ind w:right="49"/>
        <w:jc w:val="both"/>
        <w:rPr>
          <w:rFonts w:ascii="Palatino Linotype" w:eastAsia="Palatino Linotype" w:hAnsi="Palatino Linotype" w:cs="Palatino Linotype"/>
          <w:b/>
          <w:sz w:val="26"/>
          <w:szCs w:val="26"/>
        </w:rPr>
      </w:pPr>
      <w:r w:rsidRPr="00DA21F3">
        <w:rPr>
          <w:rFonts w:ascii="Palatino Linotype" w:eastAsia="Palatino Linotype" w:hAnsi="Palatino Linotype" w:cs="Palatino Linotype"/>
          <w:b/>
          <w:sz w:val="26"/>
          <w:szCs w:val="26"/>
        </w:rPr>
        <w:t xml:space="preserve">¿Qué solicitó </w:t>
      </w:r>
      <w:r w:rsidRPr="00DA21F3">
        <w:rPr>
          <w:rFonts w:ascii="Palatino Linotype" w:eastAsia="Palatino Linotype" w:hAnsi="Palatino Linotype" w:cs="Palatino Linotype"/>
          <w:b/>
        </w:rPr>
        <w:t>EL RECURRENTE</w:t>
      </w:r>
      <w:r w:rsidRPr="00DA21F3">
        <w:rPr>
          <w:rFonts w:ascii="Palatino Linotype" w:eastAsia="Palatino Linotype" w:hAnsi="Palatino Linotype" w:cs="Palatino Linotype"/>
          <w:b/>
          <w:sz w:val="26"/>
          <w:szCs w:val="26"/>
        </w:rPr>
        <w:t>?</w:t>
      </w:r>
    </w:p>
    <w:p w14:paraId="72210210" w14:textId="77777777" w:rsidR="00165D6A" w:rsidRPr="00DA21F3" w:rsidRDefault="00311D4F">
      <w:pPr>
        <w:tabs>
          <w:tab w:val="left" w:pos="2422"/>
        </w:tabs>
        <w:ind w:left="851" w:right="49"/>
        <w:jc w:val="both"/>
        <w:rPr>
          <w:rFonts w:ascii="Palatino Linotype" w:eastAsia="Palatino Linotype" w:hAnsi="Palatino Linotype" w:cs="Palatino Linotype"/>
          <w:sz w:val="23"/>
          <w:szCs w:val="23"/>
        </w:rPr>
      </w:pPr>
      <w:r w:rsidRPr="00DA21F3">
        <w:rPr>
          <w:rFonts w:ascii="Palatino Linotype" w:eastAsia="Palatino Linotype" w:hAnsi="Palatino Linotype" w:cs="Palatino Linotype"/>
          <w:sz w:val="23"/>
          <w:szCs w:val="23"/>
        </w:rPr>
        <w:t>La versión pública del documento con el cual el Ayuntamiento de Jiquipilco acredite la propiedad o posesión legal del inmueble en donde se encuentra asentada o ubicada la Delegación Municipal de la comunidad de Santa Cruz Tepexpan, municipio de Jiquipilco.</w:t>
      </w:r>
    </w:p>
    <w:p w14:paraId="7759045D" w14:textId="77777777" w:rsidR="00165D6A" w:rsidRPr="00DA21F3" w:rsidRDefault="00165D6A">
      <w:pPr>
        <w:tabs>
          <w:tab w:val="left" w:pos="2422"/>
        </w:tabs>
        <w:spacing w:line="360" w:lineRule="auto"/>
        <w:ind w:right="49"/>
        <w:rPr>
          <w:rFonts w:ascii="Palatino Linotype" w:eastAsia="Palatino Linotype" w:hAnsi="Palatino Linotype" w:cs="Palatino Linotype"/>
          <w:b/>
        </w:rPr>
      </w:pPr>
    </w:p>
    <w:p w14:paraId="2D095AFF" w14:textId="77777777" w:rsidR="00165D6A" w:rsidRPr="00DA21F3" w:rsidRDefault="00311D4F">
      <w:pPr>
        <w:tabs>
          <w:tab w:val="left" w:pos="2422"/>
        </w:tabs>
        <w:spacing w:line="360" w:lineRule="auto"/>
        <w:ind w:right="49"/>
        <w:rPr>
          <w:rFonts w:ascii="Palatino Linotype" w:eastAsia="Palatino Linotype" w:hAnsi="Palatino Linotype" w:cs="Palatino Linotype"/>
          <w:b/>
          <w:sz w:val="26"/>
          <w:szCs w:val="26"/>
        </w:rPr>
      </w:pPr>
      <w:r w:rsidRPr="00DA21F3">
        <w:rPr>
          <w:rFonts w:ascii="Palatino Linotype" w:eastAsia="Palatino Linotype" w:hAnsi="Palatino Linotype" w:cs="Palatino Linotype"/>
          <w:b/>
          <w:sz w:val="26"/>
          <w:szCs w:val="26"/>
        </w:rPr>
        <w:t>¿Qué le respondió EL SUJETO OBLIGADO?</w:t>
      </w:r>
    </w:p>
    <w:p w14:paraId="5AF4C22D" w14:textId="77777777" w:rsidR="00165D6A" w:rsidRPr="00DA21F3" w:rsidRDefault="00311D4F">
      <w:pPr>
        <w:tabs>
          <w:tab w:val="left" w:pos="2422"/>
        </w:tabs>
        <w:ind w:left="851" w:right="49"/>
        <w:jc w:val="both"/>
        <w:rPr>
          <w:rFonts w:ascii="Palatino Linotype" w:eastAsia="Palatino Linotype" w:hAnsi="Palatino Linotype" w:cs="Palatino Linotype"/>
          <w:sz w:val="23"/>
          <w:szCs w:val="23"/>
        </w:rPr>
      </w:pPr>
      <w:r w:rsidRPr="00DA21F3">
        <w:rPr>
          <w:rFonts w:ascii="Palatino Linotype" w:eastAsia="Palatino Linotype" w:hAnsi="Palatino Linotype" w:cs="Palatino Linotype"/>
          <w:sz w:val="23"/>
          <w:szCs w:val="23"/>
        </w:rPr>
        <w:t>Entregó un contrato.</w:t>
      </w:r>
    </w:p>
    <w:p w14:paraId="7ACA1482" w14:textId="77777777" w:rsidR="00165D6A" w:rsidRPr="00DA21F3" w:rsidRDefault="00311D4F">
      <w:pPr>
        <w:tabs>
          <w:tab w:val="left" w:pos="2422"/>
        </w:tabs>
        <w:ind w:left="851" w:right="49"/>
        <w:jc w:val="center"/>
        <w:rPr>
          <w:rFonts w:ascii="Palatino Linotype" w:eastAsia="Palatino Linotype" w:hAnsi="Palatino Linotype" w:cs="Palatino Linotype"/>
          <w:sz w:val="23"/>
          <w:szCs w:val="23"/>
        </w:rPr>
      </w:pPr>
      <w:r w:rsidRPr="00DA21F3">
        <w:rPr>
          <w:noProof/>
          <w:lang w:eastAsia="es-MX"/>
        </w:rPr>
        <w:lastRenderedPageBreak/>
        <w:drawing>
          <wp:inline distT="0" distB="0" distL="0" distR="0" wp14:anchorId="3E80D454" wp14:editId="6F5E6C8F">
            <wp:extent cx="3521093" cy="1936199"/>
            <wp:effectExtent l="0" t="0" r="0" b="0"/>
            <wp:docPr id="2100370543" name="image3.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Word&#10;&#10;Descripción generada automáticamente"/>
                    <pic:cNvPicPr preferRelativeResize="0"/>
                  </pic:nvPicPr>
                  <pic:blipFill>
                    <a:blip r:embed="rId9"/>
                    <a:srcRect l="66279" t="13019" r="17184" b="62141"/>
                    <a:stretch>
                      <a:fillRect/>
                    </a:stretch>
                  </pic:blipFill>
                  <pic:spPr>
                    <a:xfrm>
                      <a:off x="0" y="0"/>
                      <a:ext cx="3521093" cy="1936199"/>
                    </a:xfrm>
                    <a:prstGeom prst="rect">
                      <a:avLst/>
                    </a:prstGeom>
                    <a:ln/>
                  </pic:spPr>
                </pic:pic>
              </a:graphicData>
            </a:graphic>
          </wp:inline>
        </w:drawing>
      </w:r>
    </w:p>
    <w:p w14:paraId="4CC23BFE" w14:textId="77777777" w:rsidR="00DA21F3" w:rsidRPr="00DA21F3" w:rsidRDefault="00DA21F3">
      <w:pPr>
        <w:tabs>
          <w:tab w:val="left" w:pos="2422"/>
        </w:tabs>
        <w:ind w:left="851" w:right="49"/>
        <w:jc w:val="center"/>
        <w:rPr>
          <w:rFonts w:ascii="Palatino Linotype" w:eastAsia="Palatino Linotype" w:hAnsi="Palatino Linotype" w:cs="Palatino Linotype"/>
          <w:sz w:val="23"/>
          <w:szCs w:val="23"/>
        </w:rPr>
      </w:pPr>
    </w:p>
    <w:p w14:paraId="528461CE" w14:textId="77777777" w:rsidR="00DA21F3" w:rsidRPr="00DA21F3" w:rsidRDefault="00DA21F3">
      <w:pPr>
        <w:tabs>
          <w:tab w:val="left" w:pos="2422"/>
        </w:tabs>
        <w:ind w:left="851" w:right="49"/>
        <w:jc w:val="center"/>
        <w:rPr>
          <w:rFonts w:ascii="Palatino Linotype" w:eastAsia="Palatino Linotype" w:hAnsi="Palatino Linotype" w:cs="Palatino Linotype"/>
          <w:sz w:val="23"/>
          <w:szCs w:val="23"/>
        </w:rPr>
      </w:pPr>
    </w:p>
    <w:p w14:paraId="3581A91A" w14:textId="77777777" w:rsidR="00165D6A" w:rsidRPr="00DA21F3" w:rsidRDefault="00311D4F">
      <w:pPr>
        <w:tabs>
          <w:tab w:val="left" w:pos="2422"/>
        </w:tabs>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Inconforme, </w:t>
      </w:r>
      <w:r w:rsidRPr="00DA21F3">
        <w:rPr>
          <w:rFonts w:ascii="Palatino Linotype" w:eastAsia="Palatino Linotype" w:hAnsi="Palatino Linotype" w:cs="Palatino Linotype"/>
          <w:b/>
        </w:rPr>
        <w:t xml:space="preserve">EL RECURRENTE </w:t>
      </w:r>
      <w:r w:rsidRPr="00DA21F3">
        <w:rPr>
          <w:rFonts w:ascii="Palatino Linotype" w:eastAsia="Palatino Linotype" w:hAnsi="Palatino Linotype" w:cs="Palatino Linotype"/>
        </w:rPr>
        <w:t>interpuso el presente recurso aduciendo “</w:t>
      </w:r>
      <w:r w:rsidRPr="00DA21F3">
        <w:rPr>
          <w:rFonts w:ascii="Palatino Linotype" w:eastAsia="Palatino Linotype" w:hAnsi="Palatino Linotype" w:cs="Palatino Linotype"/>
          <w:i/>
        </w:rPr>
        <w:t>se aprecia que parte de la información fue eliminada, suprimida o borrada sin justificación alguna</w:t>
      </w:r>
      <w:r w:rsidRPr="00DA21F3">
        <w:rPr>
          <w:rFonts w:ascii="Palatino Linotype" w:eastAsia="Palatino Linotype" w:hAnsi="Palatino Linotype" w:cs="Palatino Linotype"/>
        </w:rPr>
        <w:t>”</w:t>
      </w:r>
      <w:r w:rsidRPr="00DA21F3">
        <w:t xml:space="preserve"> y  la </w:t>
      </w:r>
      <w:r w:rsidRPr="00DA21F3">
        <w:rPr>
          <w:rFonts w:ascii="Palatino Linotype" w:eastAsia="Palatino Linotype" w:hAnsi="Palatino Linotype" w:cs="Palatino Linotype"/>
        </w:rPr>
        <w:t>información es incompleta “</w:t>
      </w:r>
      <w:r w:rsidRPr="00DA21F3">
        <w:rPr>
          <w:rFonts w:ascii="Palatino Linotype" w:eastAsia="Palatino Linotype" w:hAnsi="Palatino Linotype" w:cs="Palatino Linotype"/>
          <w:i/>
        </w:rPr>
        <w:t xml:space="preserve">ya que de la lectura integra de la información proporcionada por el Sujeto Obligado, se aprecia que, en la </w:t>
      </w:r>
      <w:proofErr w:type="spellStart"/>
      <w:r w:rsidRPr="00DA21F3">
        <w:rPr>
          <w:rFonts w:ascii="Palatino Linotype" w:eastAsia="Palatino Linotype" w:hAnsi="Palatino Linotype" w:cs="Palatino Linotype"/>
          <w:i/>
        </w:rPr>
        <w:t>clausula</w:t>
      </w:r>
      <w:proofErr w:type="spellEnd"/>
      <w:r w:rsidRPr="00DA21F3">
        <w:rPr>
          <w:rFonts w:ascii="Palatino Linotype" w:eastAsia="Palatino Linotype" w:hAnsi="Palatino Linotype" w:cs="Palatino Linotype"/>
          <w:i/>
        </w:rPr>
        <w:t xml:space="preserve"> I del Contrato de Donación de fecha dos (02) de julio de dos mil diez (2010), se hace mención de un documento notarial anexo al contrato en mención, el cual no se aprecia en la respuesta emitida a mi solicitud de información</w:t>
      </w:r>
      <w:r w:rsidRPr="00DA21F3">
        <w:rPr>
          <w:rFonts w:ascii="Palatino Linotype" w:eastAsia="Palatino Linotype" w:hAnsi="Palatino Linotype" w:cs="Palatino Linotype"/>
        </w:rPr>
        <w:t>”.</w:t>
      </w:r>
    </w:p>
    <w:p w14:paraId="4A41173F" w14:textId="77777777" w:rsidR="00165D6A" w:rsidRPr="00DA21F3" w:rsidRDefault="00165D6A">
      <w:pPr>
        <w:tabs>
          <w:tab w:val="left" w:pos="2422"/>
        </w:tabs>
        <w:spacing w:line="360" w:lineRule="auto"/>
        <w:ind w:right="49"/>
        <w:jc w:val="both"/>
        <w:rPr>
          <w:rFonts w:ascii="Palatino Linotype" w:eastAsia="Palatino Linotype" w:hAnsi="Palatino Linotype" w:cs="Palatino Linotype"/>
        </w:rPr>
      </w:pPr>
    </w:p>
    <w:p w14:paraId="3E25ACB2" w14:textId="77777777" w:rsidR="00165D6A" w:rsidRPr="00DA21F3" w:rsidRDefault="00311D4F">
      <w:pPr>
        <w:tabs>
          <w:tab w:val="left" w:pos="2422"/>
        </w:tabs>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rPr>
        <w:t>Las partes fueron omisas en presentar manifestaciones e informe justificado.</w:t>
      </w:r>
    </w:p>
    <w:p w14:paraId="465EF637" w14:textId="77777777" w:rsidR="00165D6A" w:rsidRPr="00DA21F3" w:rsidRDefault="00165D6A">
      <w:pPr>
        <w:tabs>
          <w:tab w:val="left" w:pos="2422"/>
        </w:tabs>
        <w:spacing w:line="360" w:lineRule="auto"/>
        <w:ind w:right="49"/>
        <w:jc w:val="both"/>
        <w:rPr>
          <w:rFonts w:ascii="Palatino Linotype" w:eastAsia="Palatino Linotype" w:hAnsi="Palatino Linotype" w:cs="Palatino Linotype"/>
        </w:rPr>
      </w:pPr>
    </w:p>
    <w:p w14:paraId="441875BF" w14:textId="77777777" w:rsidR="00165D6A" w:rsidRPr="00DA21F3" w:rsidRDefault="00311D4F">
      <w:pPr>
        <w:widowControl w:val="0"/>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Es importante mencionar que se obvia el estudio de la fuente obligacional que constriñe al </w:t>
      </w:r>
      <w:r w:rsidRPr="00DA21F3">
        <w:rPr>
          <w:rFonts w:ascii="Palatino Linotype" w:eastAsia="Palatino Linotype" w:hAnsi="Palatino Linotype" w:cs="Palatino Linotype"/>
          <w:b/>
        </w:rPr>
        <w:t>SUJETO OBLIGADO</w:t>
      </w:r>
      <w:r w:rsidRPr="00DA21F3">
        <w:rPr>
          <w:rFonts w:ascii="Palatino Linotype" w:eastAsia="Palatino Linotype" w:hAnsi="Palatino Linotype" w:cs="Palatino Linotype"/>
        </w:rPr>
        <w:t xml:space="preserve"> a pronunciarse y contar con lo solicitado por el particular, toda vez que asume contar con la información solicitada, tan es así que la información solicitada fue remitida.</w:t>
      </w:r>
    </w:p>
    <w:p w14:paraId="7969EB16" w14:textId="77777777" w:rsidR="00165D6A" w:rsidRPr="00DA21F3" w:rsidRDefault="00165D6A">
      <w:pPr>
        <w:widowControl w:val="0"/>
        <w:spacing w:line="360" w:lineRule="auto"/>
        <w:jc w:val="both"/>
        <w:rPr>
          <w:rFonts w:ascii="Palatino Linotype" w:eastAsia="Palatino Linotype" w:hAnsi="Palatino Linotype" w:cs="Palatino Linotype"/>
        </w:rPr>
      </w:pPr>
    </w:p>
    <w:p w14:paraId="6F6CAEDD"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Asimismo, no se omite comentar que debido a que existió un pronunciamiento por parte del </w:t>
      </w:r>
      <w:r w:rsidRPr="00DA21F3">
        <w:rPr>
          <w:rFonts w:ascii="Palatino Linotype" w:eastAsia="Palatino Linotype" w:hAnsi="Palatino Linotype" w:cs="Palatino Linotype"/>
          <w:b/>
        </w:rPr>
        <w:t>SUJETO OBLIGADO</w:t>
      </w:r>
      <w:r w:rsidRPr="00DA21F3">
        <w:rPr>
          <w:rFonts w:ascii="Palatino Linotype" w:eastAsia="Palatino Linotype" w:hAnsi="Palatino Linotype" w:cs="Palatino Linotype"/>
        </w:rPr>
        <w:t xml:space="preserve">, a fin de dar respuesta a la solicitud planteada, este </w:t>
      </w:r>
      <w:r w:rsidRPr="00DA21F3">
        <w:rPr>
          <w:rFonts w:ascii="Palatino Linotype" w:eastAsia="Palatino Linotype" w:hAnsi="Palatino Linotype" w:cs="Palatino Linotype"/>
        </w:rPr>
        <w:lastRenderedPageBreak/>
        <w:t>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377D4880" w14:textId="77777777" w:rsidR="00165D6A" w:rsidRPr="00DA21F3" w:rsidRDefault="00165D6A">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5C5325D9" w14:textId="77777777" w:rsidR="00165D6A" w:rsidRPr="00DA21F3" w:rsidRDefault="00311D4F">
      <w:pPr>
        <w:tabs>
          <w:tab w:val="left" w:pos="426"/>
          <w:tab w:val="left" w:pos="567"/>
        </w:tabs>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 xml:space="preserve">Pese a haber remitido el Contrato de Donación solicitado, se advierte que le asiste la razón al </w:t>
      </w:r>
      <w:r w:rsidRPr="00DA21F3">
        <w:rPr>
          <w:rFonts w:ascii="Palatino Linotype" w:eastAsia="Palatino Linotype" w:hAnsi="Palatino Linotype" w:cs="Palatino Linotype"/>
          <w:b/>
          <w:color w:val="000000"/>
        </w:rPr>
        <w:t>RECURRENTE</w:t>
      </w:r>
      <w:r w:rsidRPr="00DA21F3">
        <w:rPr>
          <w:rFonts w:ascii="Palatino Linotype" w:eastAsia="Palatino Linotype" w:hAnsi="Palatino Linotype" w:cs="Palatino Linotype"/>
          <w:color w:val="000000"/>
        </w:rPr>
        <w:t xml:space="preserve"> pues, efectivamente, en el contrato hace alusión a un anexo que no se acompaña, según se observa:</w:t>
      </w:r>
    </w:p>
    <w:p w14:paraId="5B13E8F5" w14:textId="77777777" w:rsidR="00DA21F3" w:rsidRPr="00DA21F3" w:rsidRDefault="00DA21F3">
      <w:pPr>
        <w:tabs>
          <w:tab w:val="left" w:pos="426"/>
          <w:tab w:val="left" w:pos="567"/>
        </w:tabs>
        <w:spacing w:line="360" w:lineRule="auto"/>
        <w:jc w:val="both"/>
        <w:rPr>
          <w:rFonts w:ascii="Palatino Linotype" w:eastAsia="Palatino Linotype" w:hAnsi="Palatino Linotype" w:cs="Palatino Linotype"/>
          <w:color w:val="000000"/>
        </w:rPr>
      </w:pPr>
    </w:p>
    <w:p w14:paraId="7CDFDD61" w14:textId="77777777" w:rsidR="00165D6A" w:rsidRPr="00DA21F3" w:rsidRDefault="00311D4F">
      <w:pPr>
        <w:tabs>
          <w:tab w:val="left" w:pos="426"/>
          <w:tab w:val="left" w:pos="567"/>
        </w:tabs>
        <w:spacing w:line="360" w:lineRule="auto"/>
        <w:jc w:val="center"/>
        <w:rPr>
          <w:rFonts w:ascii="Palatino Linotype" w:eastAsia="Palatino Linotype" w:hAnsi="Palatino Linotype" w:cs="Palatino Linotype"/>
          <w:color w:val="000000"/>
        </w:rPr>
      </w:pPr>
      <w:r w:rsidRPr="00DA21F3">
        <w:rPr>
          <w:noProof/>
          <w:lang w:eastAsia="es-MX"/>
        </w:rPr>
        <w:drawing>
          <wp:inline distT="0" distB="0" distL="0" distR="0" wp14:anchorId="1477A62F" wp14:editId="4D2F12D8">
            <wp:extent cx="5282468" cy="1458350"/>
            <wp:effectExtent l="0" t="0" r="0" b="0"/>
            <wp:docPr id="2100370545" name="image4.png" descr="Una captura de pantalla de una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Una captura de pantalla de una computadora&#10;&#10;Descripción generada automáticamente"/>
                    <pic:cNvPicPr preferRelativeResize="0"/>
                  </pic:nvPicPr>
                  <pic:blipFill>
                    <a:blip r:embed="rId10"/>
                    <a:srcRect l="60421" t="17614" r="11913" b="61527"/>
                    <a:stretch>
                      <a:fillRect/>
                    </a:stretch>
                  </pic:blipFill>
                  <pic:spPr>
                    <a:xfrm>
                      <a:off x="0" y="0"/>
                      <a:ext cx="5282468" cy="1458350"/>
                    </a:xfrm>
                    <a:prstGeom prst="rect">
                      <a:avLst/>
                    </a:prstGeom>
                    <a:ln/>
                  </pic:spPr>
                </pic:pic>
              </a:graphicData>
            </a:graphic>
          </wp:inline>
        </w:drawing>
      </w:r>
    </w:p>
    <w:p w14:paraId="3BA8F035" w14:textId="77777777" w:rsidR="00DA21F3" w:rsidRPr="00DA21F3" w:rsidRDefault="00DA21F3">
      <w:pPr>
        <w:tabs>
          <w:tab w:val="left" w:pos="426"/>
          <w:tab w:val="left" w:pos="567"/>
        </w:tabs>
        <w:spacing w:line="360" w:lineRule="auto"/>
        <w:jc w:val="center"/>
        <w:rPr>
          <w:rFonts w:ascii="Palatino Linotype" w:eastAsia="Palatino Linotype" w:hAnsi="Palatino Linotype" w:cs="Palatino Linotype"/>
          <w:color w:val="000000"/>
        </w:rPr>
      </w:pPr>
    </w:p>
    <w:p w14:paraId="333CD37E" w14:textId="77777777" w:rsidR="00165D6A" w:rsidRPr="00DA21F3" w:rsidRDefault="00311D4F">
      <w:pPr>
        <w:tabs>
          <w:tab w:val="left" w:pos="426"/>
          <w:tab w:val="left" w:pos="567"/>
        </w:tabs>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t>Por anexo, se entiende lo que va unido o agregado a algo</w:t>
      </w:r>
      <w:r w:rsidRPr="00DA21F3">
        <w:rPr>
          <w:rFonts w:ascii="Palatino Linotype" w:eastAsia="Palatino Linotype" w:hAnsi="Palatino Linotype" w:cs="Palatino Linotype"/>
          <w:color w:val="000000"/>
          <w:vertAlign w:val="superscript"/>
        </w:rPr>
        <w:footnoteReference w:id="10"/>
      </w:r>
      <w:r w:rsidRPr="00DA21F3">
        <w:rPr>
          <w:rFonts w:ascii="Palatino Linotype" w:eastAsia="Palatino Linotype" w:hAnsi="Palatino Linotype" w:cs="Palatino Linotype"/>
          <w:color w:val="000000"/>
        </w:rPr>
        <w:t xml:space="preserve">.  Así, el anexo es considerado parte integral del documento principal, en este caso, del Contrato de Donación. </w:t>
      </w:r>
    </w:p>
    <w:p w14:paraId="3F8A48FD" w14:textId="77777777" w:rsidR="00165D6A" w:rsidRPr="00DA21F3" w:rsidRDefault="00165D6A">
      <w:pPr>
        <w:tabs>
          <w:tab w:val="left" w:pos="426"/>
          <w:tab w:val="left" w:pos="567"/>
        </w:tabs>
        <w:spacing w:line="360" w:lineRule="auto"/>
        <w:jc w:val="both"/>
        <w:rPr>
          <w:rFonts w:ascii="Palatino Linotype" w:eastAsia="Palatino Linotype" w:hAnsi="Palatino Linotype" w:cs="Palatino Linotype"/>
          <w:color w:val="000000"/>
        </w:rPr>
      </w:pPr>
    </w:p>
    <w:p w14:paraId="371EDEF0" w14:textId="77777777" w:rsidR="00165D6A" w:rsidRPr="00DA21F3" w:rsidRDefault="00311D4F">
      <w:pPr>
        <w:tabs>
          <w:tab w:val="left" w:pos="426"/>
          <w:tab w:val="left" w:pos="567"/>
        </w:tabs>
        <w:spacing w:line="360" w:lineRule="auto"/>
        <w:jc w:val="both"/>
        <w:rPr>
          <w:rFonts w:ascii="Palatino Linotype" w:eastAsia="Palatino Linotype" w:hAnsi="Palatino Linotype" w:cs="Palatino Linotype"/>
          <w:color w:val="000000"/>
        </w:rPr>
      </w:pPr>
      <w:r w:rsidRPr="00DA21F3">
        <w:rPr>
          <w:rFonts w:ascii="Palatino Linotype" w:eastAsia="Palatino Linotype" w:hAnsi="Palatino Linotype" w:cs="Palatino Linotype"/>
          <w:color w:val="000000"/>
        </w:rPr>
        <w:lastRenderedPageBreak/>
        <w:t>En apoyo a lo anterior, resulta congruente con el Criterio 17/17 emitido por el Instituto Nacional de Transparencia, Acceso a la Información y Protección de Datos Personales, el cual se señala lo siguiente:</w:t>
      </w:r>
    </w:p>
    <w:p w14:paraId="365B6C8A" w14:textId="77777777" w:rsidR="00165D6A" w:rsidRPr="00DA21F3" w:rsidRDefault="00165D6A">
      <w:pPr>
        <w:tabs>
          <w:tab w:val="left" w:pos="426"/>
          <w:tab w:val="left" w:pos="567"/>
        </w:tabs>
        <w:spacing w:line="360" w:lineRule="auto"/>
        <w:jc w:val="both"/>
        <w:rPr>
          <w:rFonts w:ascii="Palatino Linotype" w:eastAsia="Palatino Linotype" w:hAnsi="Palatino Linotype" w:cs="Palatino Linotype"/>
          <w:color w:val="000000"/>
        </w:rPr>
      </w:pPr>
    </w:p>
    <w:p w14:paraId="6C5FAB51" w14:textId="77777777" w:rsidR="00165D6A" w:rsidRPr="00DA21F3" w:rsidRDefault="00311D4F">
      <w:pPr>
        <w:tabs>
          <w:tab w:val="left" w:pos="426"/>
          <w:tab w:val="left" w:pos="567"/>
        </w:tabs>
        <w:ind w:left="851" w:right="899"/>
        <w:jc w:val="both"/>
        <w:rPr>
          <w:rFonts w:ascii="Palatino Linotype" w:eastAsia="Palatino Linotype" w:hAnsi="Palatino Linotype" w:cs="Palatino Linotype"/>
          <w:i/>
          <w:color w:val="000000"/>
          <w:sz w:val="22"/>
          <w:szCs w:val="22"/>
        </w:rPr>
      </w:pPr>
      <w:r w:rsidRPr="00DA21F3">
        <w:rPr>
          <w:rFonts w:ascii="Palatino Linotype" w:eastAsia="Palatino Linotype" w:hAnsi="Palatino Linotype" w:cs="Palatino Linotype"/>
          <w:i/>
          <w:color w:val="000000"/>
          <w:sz w:val="22"/>
          <w:szCs w:val="22"/>
        </w:rPr>
        <w:t>“</w:t>
      </w:r>
      <w:r w:rsidRPr="00DA21F3">
        <w:rPr>
          <w:rFonts w:ascii="Palatino Linotype" w:eastAsia="Palatino Linotype" w:hAnsi="Palatino Linotype" w:cs="Palatino Linotype"/>
          <w:b/>
          <w:i/>
          <w:color w:val="000000"/>
          <w:sz w:val="22"/>
          <w:szCs w:val="22"/>
        </w:rPr>
        <w:t>Anexos de los documentos solicitados</w:t>
      </w:r>
      <w:r w:rsidRPr="00DA21F3">
        <w:rPr>
          <w:rFonts w:ascii="Palatino Linotype" w:eastAsia="Palatino Linotype" w:hAnsi="Palatino Linotype" w:cs="Palatino Linotype"/>
          <w:i/>
          <w:color w:val="000000"/>
          <w:sz w:val="22"/>
          <w:szCs w:val="22"/>
        </w:rPr>
        <w:t>.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2D3C43AE" w14:textId="77777777" w:rsidR="00165D6A" w:rsidRPr="00DA21F3" w:rsidRDefault="00311D4F">
      <w:pPr>
        <w:tabs>
          <w:tab w:val="left" w:pos="426"/>
          <w:tab w:val="left" w:pos="567"/>
        </w:tabs>
        <w:ind w:left="851" w:right="899"/>
        <w:jc w:val="both"/>
        <w:rPr>
          <w:rFonts w:ascii="Palatino Linotype" w:eastAsia="Palatino Linotype" w:hAnsi="Palatino Linotype" w:cs="Palatino Linotype"/>
          <w:i/>
          <w:color w:val="000000"/>
          <w:sz w:val="16"/>
          <w:szCs w:val="16"/>
        </w:rPr>
      </w:pPr>
      <w:r w:rsidRPr="00DA21F3">
        <w:rPr>
          <w:rFonts w:ascii="Palatino Linotype" w:eastAsia="Palatino Linotype" w:hAnsi="Palatino Linotype" w:cs="Palatino Linotype"/>
          <w:i/>
          <w:color w:val="000000"/>
          <w:sz w:val="16"/>
          <w:szCs w:val="16"/>
        </w:rPr>
        <w:t>Resoluciones:</w:t>
      </w:r>
    </w:p>
    <w:p w14:paraId="7BFD2A6C" w14:textId="77777777" w:rsidR="00165D6A" w:rsidRPr="00DA21F3" w:rsidRDefault="00311D4F">
      <w:pPr>
        <w:tabs>
          <w:tab w:val="left" w:pos="426"/>
          <w:tab w:val="left" w:pos="567"/>
        </w:tabs>
        <w:ind w:left="851" w:right="899"/>
        <w:jc w:val="both"/>
        <w:rPr>
          <w:rFonts w:ascii="Palatino Linotype" w:eastAsia="Palatino Linotype" w:hAnsi="Palatino Linotype" w:cs="Palatino Linotype"/>
          <w:i/>
          <w:color w:val="000000"/>
          <w:sz w:val="16"/>
          <w:szCs w:val="16"/>
        </w:rPr>
      </w:pPr>
      <w:r w:rsidRPr="00DA21F3">
        <w:rPr>
          <w:rFonts w:ascii="Palatino Linotype" w:eastAsia="Palatino Linotype" w:hAnsi="Palatino Linotype" w:cs="Palatino Linotype"/>
          <w:i/>
          <w:color w:val="000000"/>
          <w:sz w:val="16"/>
          <w:szCs w:val="16"/>
        </w:rPr>
        <w:t>RRA 0483/17. Universidad Nacional Autónoma de México. 22 de febrero de 2017. Por unanimidad. Comisionado Ponente Joel Salas Suárez.</w:t>
      </w:r>
    </w:p>
    <w:p w14:paraId="3A5164A0" w14:textId="77777777" w:rsidR="00165D6A" w:rsidRPr="00DA21F3" w:rsidRDefault="00311D4F">
      <w:pPr>
        <w:tabs>
          <w:tab w:val="left" w:pos="426"/>
          <w:tab w:val="left" w:pos="567"/>
        </w:tabs>
        <w:ind w:left="851" w:right="899"/>
        <w:jc w:val="both"/>
        <w:rPr>
          <w:rFonts w:ascii="Palatino Linotype" w:eastAsia="Palatino Linotype" w:hAnsi="Palatino Linotype" w:cs="Palatino Linotype"/>
          <w:i/>
          <w:color w:val="000000"/>
          <w:sz w:val="16"/>
          <w:szCs w:val="16"/>
        </w:rPr>
      </w:pPr>
      <w:r w:rsidRPr="00DA21F3">
        <w:rPr>
          <w:rFonts w:ascii="Palatino Linotype" w:eastAsia="Palatino Linotype" w:hAnsi="Palatino Linotype" w:cs="Palatino Linotype"/>
          <w:i/>
          <w:color w:val="000000"/>
          <w:sz w:val="16"/>
          <w:szCs w:val="16"/>
        </w:rPr>
        <w:t xml:space="preserve">RRA 4503/16. Secretaría de Hacienda y Crédito Público. 01 de marzo de 2017. Por unanimidad. Comisionada Ponente Areli Cano Guadiana. </w:t>
      </w:r>
    </w:p>
    <w:p w14:paraId="5F8E1D79" w14:textId="77777777" w:rsidR="00165D6A" w:rsidRPr="00DA21F3" w:rsidRDefault="00311D4F">
      <w:pPr>
        <w:tabs>
          <w:tab w:val="left" w:pos="426"/>
          <w:tab w:val="left" w:pos="567"/>
        </w:tabs>
        <w:ind w:left="851" w:right="899"/>
        <w:jc w:val="both"/>
        <w:rPr>
          <w:rFonts w:ascii="Palatino Linotype" w:eastAsia="Palatino Linotype" w:hAnsi="Palatino Linotype" w:cs="Palatino Linotype"/>
          <w:i/>
          <w:color w:val="000000"/>
          <w:sz w:val="16"/>
          <w:szCs w:val="16"/>
        </w:rPr>
      </w:pPr>
      <w:r w:rsidRPr="00DA21F3">
        <w:rPr>
          <w:rFonts w:ascii="Palatino Linotype" w:eastAsia="Palatino Linotype" w:hAnsi="Palatino Linotype" w:cs="Palatino Linotype"/>
          <w:i/>
          <w:color w:val="000000"/>
          <w:sz w:val="16"/>
          <w:szCs w:val="16"/>
        </w:rPr>
        <w:t>RRA 1639/17. Instituto Mexicano del Seguro Social. 19 de abril de 2017. Por unanimidad. Comisionado Ponente Francisco Javier Acuña Llamas</w:t>
      </w:r>
    </w:p>
    <w:p w14:paraId="6A0D9281" w14:textId="77777777" w:rsidR="008F4B84" w:rsidRPr="00DA21F3" w:rsidRDefault="008F4B84">
      <w:pPr>
        <w:tabs>
          <w:tab w:val="left" w:pos="426"/>
          <w:tab w:val="left" w:pos="567"/>
        </w:tabs>
        <w:spacing w:line="360" w:lineRule="auto"/>
        <w:jc w:val="both"/>
        <w:rPr>
          <w:rFonts w:ascii="Palatino Linotype" w:eastAsia="Palatino Linotype" w:hAnsi="Palatino Linotype" w:cs="Palatino Linotype"/>
          <w:color w:val="000000"/>
        </w:rPr>
      </w:pPr>
    </w:p>
    <w:p w14:paraId="25BA601E" w14:textId="77777777" w:rsidR="00886C7F" w:rsidRPr="00DA21F3" w:rsidRDefault="00311D4F" w:rsidP="00886C7F">
      <w:pPr>
        <w:tabs>
          <w:tab w:val="left" w:pos="426"/>
          <w:tab w:val="left" w:pos="567"/>
        </w:tabs>
        <w:spacing w:line="360" w:lineRule="auto"/>
        <w:jc w:val="both"/>
        <w:rPr>
          <w:rFonts w:ascii="Palatino Linotype" w:eastAsiaTheme="minorHAnsi" w:hAnsi="Palatino Linotype" w:cs="Arial"/>
          <w:lang w:eastAsia="es-MX"/>
        </w:rPr>
      </w:pPr>
      <w:r w:rsidRPr="00DA21F3">
        <w:rPr>
          <w:rFonts w:ascii="Palatino Linotype" w:eastAsia="Palatino Linotype" w:hAnsi="Palatino Linotype" w:cs="Palatino Linotype"/>
          <w:color w:val="000000"/>
        </w:rPr>
        <w:t xml:space="preserve">De igual forma se observa que, parte de la información fue testada sin acompañar el Acta del Comité que justifique su actuar, de manera enunciativa más no limitativa como clave catastral, nombre y firma del Delegado Municipal. Y se dejaron a la vista datos personales del donante. </w:t>
      </w:r>
      <w:r w:rsidR="00886C7F" w:rsidRPr="00DA21F3">
        <w:rPr>
          <w:rFonts w:ascii="Palatino Linotype" w:eastAsiaTheme="minorHAnsi" w:hAnsi="Palatino Linotype" w:cs="Arial"/>
          <w:lang w:eastAsia="es-MX"/>
        </w:rPr>
        <w:t xml:space="preserve">En este contexto, </w:t>
      </w:r>
      <w:r w:rsidR="00886C7F" w:rsidRPr="00DA21F3">
        <w:rPr>
          <w:rFonts w:ascii="Palatino Linotype" w:eastAsiaTheme="minorHAnsi" w:hAnsi="Palatino Linotype" w:cs="Arial"/>
          <w:b/>
          <w:lang w:eastAsia="es-MX"/>
        </w:rPr>
        <w:t>resulta procedente dar vista a la Dirección General de Protección de Datos Personales</w:t>
      </w:r>
      <w:r w:rsidR="00886C7F" w:rsidRPr="00DA21F3">
        <w:rPr>
          <w:rFonts w:ascii="Palatino Linotype" w:eastAsiaTheme="minorHAnsi" w:hAnsi="Palatino Linotype" w:cs="Arial"/>
          <w:lang w:eastAsia="es-MX"/>
        </w:rPr>
        <w:t xml:space="preserve"> de este Instituto, para que, en el ámbito de sus facultades correspondientes, resuelvan lo conducente y determine, en su caso, el grado de responsabilidad en el incumplimiento de las obligaciones establecidas en la Ley de Protección de Datos Personales en Posesión de Sujetos Obligados del Estado de México y Municipios.</w:t>
      </w:r>
    </w:p>
    <w:p w14:paraId="7A061F09" w14:textId="77777777" w:rsidR="00165D6A" w:rsidRPr="00DA21F3" w:rsidRDefault="00165D6A" w:rsidP="008F4B84">
      <w:pPr>
        <w:tabs>
          <w:tab w:val="left" w:pos="426"/>
          <w:tab w:val="left" w:pos="567"/>
        </w:tabs>
        <w:spacing w:line="360" w:lineRule="auto"/>
        <w:jc w:val="both"/>
        <w:rPr>
          <w:rFonts w:ascii="Palatino Linotype" w:eastAsia="Palatino Linotype" w:hAnsi="Palatino Linotype" w:cs="Palatino Linotype"/>
          <w:color w:val="000000"/>
        </w:rPr>
      </w:pPr>
    </w:p>
    <w:p w14:paraId="57E188B1" w14:textId="77777777" w:rsidR="008F4B84" w:rsidRPr="00DA21F3" w:rsidRDefault="00886C7F" w:rsidP="008F4B84">
      <w:pPr>
        <w:spacing w:line="360" w:lineRule="auto"/>
        <w:jc w:val="both"/>
        <w:rPr>
          <w:rFonts w:ascii="Palatino Linotype" w:hAnsi="Palatino Linotype"/>
        </w:rPr>
      </w:pPr>
      <w:r w:rsidRPr="00DA21F3">
        <w:rPr>
          <w:rFonts w:ascii="Palatino Linotype" w:hAnsi="Palatino Linotype"/>
        </w:rPr>
        <w:t>Es importante señalar que, r</w:t>
      </w:r>
      <w:r w:rsidR="008F4B84" w:rsidRPr="00DA21F3">
        <w:rPr>
          <w:rFonts w:ascii="Palatino Linotype" w:hAnsi="Palatino Linotype"/>
        </w:rPr>
        <w:t xml:space="preserve">especto de la </w:t>
      </w:r>
      <w:r w:rsidR="008F4B84" w:rsidRPr="00DA21F3">
        <w:rPr>
          <w:rFonts w:ascii="Palatino Linotype" w:hAnsi="Palatino Linotype"/>
          <w:b/>
        </w:rPr>
        <w:t>clave catastral</w:t>
      </w:r>
      <w:r w:rsidR="008F4B84" w:rsidRPr="00DA21F3">
        <w:rPr>
          <w:rFonts w:ascii="Palatino Linotype" w:hAnsi="Palatino Linotype"/>
        </w:rPr>
        <w:t xml:space="preserve">, es criterio mayoritario de este Pleno que ese elemento debe ser testado tomando en cuenta que el artículo 179 fracción I del Código Financiero del Estado de México y Municipios refiere que la clave catastral </w:t>
      </w:r>
      <w:r w:rsidR="008F4B84" w:rsidRPr="00DA21F3">
        <w:rPr>
          <w:rFonts w:ascii="Palatino Linotype" w:hAnsi="Palatino Linotype"/>
        </w:rPr>
        <w:lastRenderedPageBreak/>
        <w:t xml:space="preserve">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 en ese sentido, se advierte que el dato en comento, hace referencia a un predio determinado, en el presente caso, </w:t>
      </w:r>
      <w:r w:rsidR="009460F7" w:rsidRPr="00DA21F3">
        <w:rPr>
          <w:rFonts w:ascii="Palatino Linotype" w:hAnsi="Palatino Linotype"/>
        </w:rPr>
        <w:t>a un predio donado parcialmente al Ayuntamiento</w:t>
      </w:r>
      <w:r w:rsidR="008F4B84" w:rsidRPr="00DA21F3">
        <w:rPr>
          <w:rFonts w:ascii="Palatino Linotype" w:hAnsi="Palatino Linotype"/>
        </w:rPr>
        <w:t>.</w:t>
      </w:r>
    </w:p>
    <w:p w14:paraId="0245C1DA" w14:textId="77777777" w:rsidR="008F4B84" w:rsidRPr="00DA21F3" w:rsidRDefault="008F4B84" w:rsidP="008F4B84">
      <w:pPr>
        <w:spacing w:before="240" w:after="240" w:line="360" w:lineRule="auto"/>
        <w:jc w:val="both"/>
        <w:rPr>
          <w:rFonts w:ascii="Palatino Linotype" w:hAnsi="Palatino Linotype"/>
        </w:rPr>
      </w:pPr>
      <w:r w:rsidRPr="00DA21F3">
        <w:rPr>
          <w:rFonts w:ascii="Palatino Linotype" w:hAnsi="Palatino Linotype"/>
        </w:rPr>
        <w:t>El “Diccionario de Datos catastrales Escala 1:1000” del Instituto Nacional de Estadística y Geografía (INEGI), contempla en su Glosario la definición de la Clave Catastral, la cual, apunta lo siguiente:</w:t>
      </w:r>
    </w:p>
    <w:p w14:paraId="492A699D" w14:textId="77777777" w:rsidR="008F4B84" w:rsidRPr="00DA21F3" w:rsidRDefault="008F4B84" w:rsidP="008F4B84">
      <w:pPr>
        <w:ind w:left="709"/>
        <w:jc w:val="both"/>
        <w:rPr>
          <w:rFonts w:ascii="Palatino Linotype" w:hAnsi="Palatino Linotype"/>
          <w:i/>
          <w:iCs/>
        </w:rPr>
      </w:pPr>
      <w:r w:rsidRPr="00DA21F3">
        <w:rPr>
          <w:rFonts w:ascii="Palatino Linotype" w:hAnsi="Palatino Linotype"/>
          <w:b/>
          <w:bCs/>
          <w:i/>
          <w:iCs/>
        </w:rPr>
        <w:t>Clave Catastral:</w:t>
      </w:r>
      <w:r w:rsidRPr="00DA21F3">
        <w:rPr>
          <w:rFonts w:ascii="Palatino Linotype" w:hAnsi="Palatino Linotype"/>
          <w:i/>
          <w:iCs/>
        </w:rPr>
        <w:t xml:space="preserve"> El código que identifica al predio de forma única para su localización geográfica, mismo que es asignado a cada uno de ellos en el momento de su inscripción en el padrón catastral por las Unidades del Estado con atribuciones catastrales.</w:t>
      </w:r>
    </w:p>
    <w:p w14:paraId="7B228653" w14:textId="77777777" w:rsidR="008F4B84" w:rsidRPr="00DA21F3" w:rsidRDefault="008F4B84" w:rsidP="008F4B84">
      <w:pPr>
        <w:spacing w:before="240" w:after="240" w:line="360" w:lineRule="auto"/>
        <w:jc w:val="both"/>
        <w:rPr>
          <w:rFonts w:ascii="Palatino Linotype" w:hAnsi="Palatino Linotype"/>
        </w:rPr>
      </w:pPr>
      <w:r w:rsidRPr="00DA21F3">
        <w:rPr>
          <w:rFonts w:ascii="Palatino Linotype" w:hAnsi="Palatino Linotype"/>
        </w:rPr>
        <w:t xml:space="preserve">Asimismo, dicho diccionario hace referencia a dos tipos de Claves Catastrales, siendo éstas la Estándar y la Original, que se definen como se observa a continuación: </w:t>
      </w:r>
    </w:p>
    <w:p w14:paraId="76880A45" w14:textId="77777777" w:rsidR="008F4B84" w:rsidRPr="00DA21F3" w:rsidRDefault="008F4B84" w:rsidP="008F4B84">
      <w:pPr>
        <w:ind w:left="709"/>
        <w:jc w:val="both"/>
        <w:rPr>
          <w:rFonts w:ascii="Palatino Linotype" w:hAnsi="Palatino Linotype"/>
          <w:i/>
          <w:iCs/>
        </w:rPr>
      </w:pPr>
      <w:r w:rsidRPr="00DA21F3">
        <w:rPr>
          <w:rFonts w:ascii="Palatino Linotype" w:hAnsi="Palatino Linotype"/>
          <w:b/>
          <w:bCs/>
          <w:i/>
          <w:iCs/>
        </w:rPr>
        <w:t>CLAVE CATASTRAL ESTÁNDAR:</w:t>
      </w:r>
      <w:r w:rsidRPr="00DA21F3">
        <w:rPr>
          <w:rFonts w:ascii="Palatino Linotype" w:hAnsi="Palatino Linotype"/>
          <w:i/>
          <w:iCs/>
        </w:rPr>
        <w:t xml:space="preserve">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5BFEFD77" w14:textId="77777777" w:rsidR="008F4B84" w:rsidRPr="00DA21F3" w:rsidRDefault="008F4B84" w:rsidP="008F4B84">
      <w:pPr>
        <w:ind w:left="709"/>
        <w:jc w:val="both"/>
        <w:rPr>
          <w:rFonts w:ascii="Palatino Linotype" w:hAnsi="Palatino Linotype"/>
          <w:i/>
          <w:iCs/>
        </w:rPr>
      </w:pPr>
    </w:p>
    <w:p w14:paraId="604E9692" w14:textId="77777777" w:rsidR="008F4B84" w:rsidRPr="00DA21F3" w:rsidRDefault="008F4B84" w:rsidP="008F4B84">
      <w:pPr>
        <w:ind w:left="709"/>
        <w:jc w:val="both"/>
        <w:rPr>
          <w:rFonts w:ascii="Palatino Linotype" w:hAnsi="Palatino Linotype"/>
          <w:i/>
          <w:iCs/>
        </w:rPr>
      </w:pPr>
      <w:r w:rsidRPr="00DA21F3">
        <w:rPr>
          <w:rFonts w:ascii="Palatino Linotype" w:hAnsi="Palatino Linotype"/>
          <w:b/>
          <w:bCs/>
          <w:i/>
          <w:iCs/>
        </w:rPr>
        <w:t>CLAVE CATASTRAL ORIGINAL:</w:t>
      </w:r>
      <w:r w:rsidRPr="00DA21F3">
        <w:rPr>
          <w:rFonts w:ascii="Palatino Linotype" w:hAnsi="Palatino Linotype"/>
          <w:i/>
          <w:iCs/>
        </w:rPr>
        <w:t xml:space="preserve"> Código que identifica al objeto espacial, el cual es asignado por el Catastro Estatal, Municipal o por el Registro Agrario Nacional.</w:t>
      </w:r>
    </w:p>
    <w:p w14:paraId="41F33ECC" w14:textId="379D549A" w:rsidR="008F4B84" w:rsidRPr="00DA21F3" w:rsidRDefault="008F4B84" w:rsidP="008F4B84">
      <w:pPr>
        <w:spacing w:before="100" w:beforeAutospacing="1" w:after="100" w:afterAutospacing="1" w:line="360" w:lineRule="auto"/>
        <w:jc w:val="both"/>
        <w:rPr>
          <w:rFonts w:ascii="Palatino Linotype" w:hAnsi="Palatino Linotype"/>
        </w:rPr>
      </w:pPr>
      <w:r w:rsidRPr="00DA21F3">
        <w:rPr>
          <w:rFonts w:ascii="Palatino Linotype" w:hAnsi="Palatino Linotype"/>
        </w:rPr>
        <w:t xml:space="preserve">En ese orden de ideas, la Ley de Transparencia y Acceso a la Información Pública del Estado de México y Municipios, en el citada fracción IX del artículo 3, establece que se </w:t>
      </w:r>
      <w:r w:rsidRPr="00DA21F3">
        <w:rPr>
          <w:rFonts w:ascii="Palatino Linotype" w:hAnsi="Palatino Linotype"/>
        </w:rPr>
        <w:lastRenderedPageBreak/>
        <w:t>debe entender como datos personales a la información concerniente a una persona, identificada o identificable según lo dispuesto por la también referida Ley de Protección de Datos Personales del Estado de México. Tiene apoyo a lo expresado, lo contemplado en la siguiente tesis jurisprudencial.</w:t>
      </w:r>
    </w:p>
    <w:p w14:paraId="2BBCF732" w14:textId="77777777" w:rsidR="008F4B84" w:rsidRPr="00DA21F3" w:rsidRDefault="008F4B84" w:rsidP="008F4B84">
      <w:pPr>
        <w:ind w:left="709"/>
        <w:jc w:val="both"/>
        <w:rPr>
          <w:rFonts w:ascii="Palatino Linotype" w:hAnsi="Palatino Linotype"/>
          <w:b/>
          <w:bCs/>
          <w:i/>
          <w:iCs/>
        </w:rPr>
      </w:pPr>
      <w:r w:rsidRPr="00DA21F3">
        <w:rPr>
          <w:rFonts w:ascii="Palatino Linotype" w:hAnsi="Palatino Linotype"/>
          <w:b/>
          <w:bCs/>
          <w:i/>
          <w:iCs/>
        </w:rPr>
        <w:t xml:space="preserve">DERECHO A LA VIDA PRIVADA. ALCANCE DE SU PROTECCIÓN POR EL ESTADO. </w:t>
      </w:r>
    </w:p>
    <w:p w14:paraId="0B63FFE6" w14:textId="77777777" w:rsidR="008F4B84" w:rsidRPr="00DA21F3" w:rsidRDefault="008F4B84" w:rsidP="008F4B84">
      <w:pPr>
        <w:ind w:left="709"/>
        <w:jc w:val="both"/>
        <w:rPr>
          <w:rFonts w:ascii="Palatino Linotype" w:hAnsi="Palatino Linotype"/>
          <w:i/>
          <w:iCs/>
        </w:rPr>
      </w:pPr>
      <w:r w:rsidRPr="00DA21F3">
        <w:rPr>
          <w:rFonts w:ascii="Palatino Linotype" w:hAnsi="Palatino Linotype"/>
          <w:i/>
          <w:iCs/>
        </w:rPr>
        <w:t>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165CE004" w14:textId="77777777" w:rsidR="008F4B84" w:rsidRPr="00DA21F3" w:rsidRDefault="008F4B84" w:rsidP="008F4B84">
      <w:pPr>
        <w:ind w:left="709"/>
        <w:jc w:val="both"/>
        <w:rPr>
          <w:rFonts w:ascii="Palatino Linotype" w:hAnsi="Palatino Linotype"/>
          <w:i/>
          <w:iCs/>
        </w:rPr>
      </w:pPr>
    </w:p>
    <w:p w14:paraId="040ABB8B" w14:textId="77777777" w:rsidR="008F4B84" w:rsidRPr="00DA21F3" w:rsidRDefault="008F4B84" w:rsidP="008F4B84">
      <w:pPr>
        <w:ind w:left="709"/>
        <w:jc w:val="both"/>
        <w:rPr>
          <w:rFonts w:ascii="Palatino Linotype" w:hAnsi="Palatino Linotype"/>
          <w:b/>
          <w:bCs/>
          <w:i/>
          <w:iCs/>
        </w:rPr>
      </w:pPr>
      <w:r w:rsidRPr="00DA21F3">
        <w:rPr>
          <w:rFonts w:ascii="Palatino Linotype" w:hAnsi="Palatino Linotype"/>
          <w:b/>
          <w:bCs/>
          <w:i/>
          <w:iCs/>
        </w:rPr>
        <w:t>INFORMACIÓN CONFIDENCIAL. LÍMITE AL DERECHO DE ACCESO A LA INFORMACIÓN (LEY FEDERAL DE TRANSPARENCIA Y ACCESO A LA INFORMACIÓN PÚBLICA GUBERNAMENTAL).</w:t>
      </w:r>
    </w:p>
    <w:p w14:paraId="2AC97EEA" w14:textId="77777777" w:rsidR="008F4B84" w:rsidRPr="00DA21F3" w:rsidRDefault="008F4B84" w:rsidP="008F4B84">
      <w:pPr>
        <w:ind w:left="709"/>
        <w:jc w:val="both"/>
        <w:rPr>
          <w:rFonts w:ascii="Palatino Linotype" w:hAnsi="Palatino Linotype"/>
          <w:i/>
          <w:iCs/>
        </w:rPr>
      </w:pPr>
      <w:r w:rsidRPr="00DA21F3">
        <w:rPr>
          <w:rFonts w:ascii="Palatino Linotype" w:hAnsi="Palatino Linotype"/>
          <w:i/>
          <w:iCs/>
        </w:rPr>
        <w:lastRenderedPageBreak/>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0F16B26C" w14:textId="77777777" w:rsidR="008F4B84" w:rsidRPr="00DA21F3" w:rsidRDefault="008F4B84" w:rsidP="008F4B84">
      <w:pPr>
        <w:spacing w:before="100" w:beforeAutospacing="1" w:after="100" w:afterAutospacing="1" w:line="360" w:lineRule="auto"/>
        <w:jc w:val="both"/>
        <w:rPr>
          <w:rFonts w:ascii="Palatino Linotype" w:hAnsi="Palatino Linotype"/>
        </w:rPr>
      </w:pPr>
      <w:r w:rsidRPr="00DA21F3">
        <w:rPr>
          <w:rFonts w:ascii="Palatino Linotype" w:hAnsi="Palatino Linotype"/>
        </w:rPr>
        <w:lastRenderedPageBreak/>
        <w:t>De los conceptos antepuestos, se llega a la conclusión que la clave catastral es una serie de elementos que hacen identificable un inmueble para su localización geográfica y posterior inscripción al padrón catastral de cada Entidad Federativa, existiendo la posibilidad, incluso, de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r w:rsidR="001E17C2" w:rsidRPr="00DA21F3">
        <w:rPr>
          <w:rFonts w:ascii="Palatino Linotype" w:hAnsi="Palatino Linotype"/>
        </w:rPr>
        <w:t xml:space="preserve"> </w:t>
      </w:r>
      <w:r w:rsidRPr="00DA21F3">
        <w:rPr>
          <w:rFonts w:ascii="Palatino Linotype" w:hAnsi="Palatino Linotype"/>
        </w:rPr>
        <w:t>Por lo anterior, la clave catastral deberá ser suprimida de los documentos, en los que se localice.</w:t>
      </w:r>
    </w:p>
    <w:p w14:paraId="32808934" w14:textId="78FB0E3B" w:rsidR="00BE36BF" w:rsidRPr="00DA21F3" w:rsidRDefault="00ED76E5"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Anotado lo anterior, es importante considerar que las figuras de Comisariado Ejidal y Delegado Municipal atienden a lo siguiente:</w:t>
      </w:r>
    </w:p>
    <w:p w14:paraId="269EE9FD" w14:textId="77777777" w:rsidR="00ED76E5" w:rsidRPr="00DA21F3" w:rsidRDefault="00ED76E5" w:rsidP="00BE36BF">
      <w:pPr>
        <w:spacing w:line="360" w:lineRule="auto"/>
        <w:ind w:right="-93"/>
        <w:jc w:val="both"/>
        <w:rPr>
          <w:rFonts w:ascii="Palatino Linotype" w:eastAsia="Palatino Linotype" w:hAnsi="Palatino Linotype" w:cs="Palatino Linotype"/>
        </w:rPr>
      </w:pPr>
    </w:p>
    <w:p w14:paraId="00B566AB" w14:textId="0E3FF79A" w:rsidR="00ED76E5" w:rsidRPr="00DA21F3" w:rsidRDefault="00ED76E5"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El Delegado Municipal </w:t>
      </w:r>
      <w:r w:rsidR="00F010F3" w:rsidRPr="00DA21F3">
        <w:rPr>
          <w:rFonts w:ascii="Palatino Linotype" w:eastAsia="Palatino Linotype" w:hAnsi="Palatino Linotype" w:cs="Palatino Linotype"/>
        </w:rPr>
        <w:t>conforme a la Ley Orgánica Municipal son Autoridades Auxiliares y ejercen sus atribuciones y las que le delegue el H. Ayuntamiento, procurando mantener el orden, la tranquilidad, la paz social, la seguridad y protección de los vecinos. Los Delegados realizan los trabajos que le corresponden, en coordinación con la Secretaría del Ayuntamiento, así como con las áreas de la Administración Pública Municipal que correspondan a las actividades a realizar.</w:t>
      </w:r>
    </w:p>
    <w:p w14:paraId="5ACCB8B9" w14:textId="77777777" w:rsidR="00F010F3" w:rsidRPr="00DA21F3" w:rsidRDefault="00F010F3" w:rsidP="00BE36BF">
      <w:pPr>
        <w:spacing w:line="360" w:lineRule="auto"/>
        <w:ind w:right="-93"/>
        <w:jc w:val="both"/>
        <w:rPr>
          <w:rFonts w:ascii="Palatino Linotype" w:eastAsia="Palatino Linotype" w:hAnsi="Palatino Linotype" w:cs="Palatino Linotype"/>
        </w:rPr>
      </w:pPr>
    </w:p>
    <w:p w14:paraId="7BC0FDCE" w14:textId="69667350" w:rsidR="00F010F3" w:rsidRPr="00DA21F3" w:rsidRDefault="00F010F3"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En ese sentido, las facultades de las autoridades auxiliares municipales —Delegados– al ser concedidas por el ayuntamiento, ejercen materialmente funciones de autoridad de ahí su nombre “autoridades”.</w:t>
      </w:r>
    </w:p>
    <w:p w14:paraId="754A9C60" w14:textId="77777777" w:rsidR="00ED76E5" w:rsidRPr="00DA21F3" w:rsidRDefault="00ED76E5" w:rsidP="00BE36BF">
      <w:pPr>
        <w:spacing w:line="360" w:lineRule="auto"/>
        <w:ind w:right="-93"/>
        <w:jc w:val="both"/>
        <w:rPr>
          <w:rFonts w:ascii="Palatino Linotype" w:eastAsia="Palatino Linotype" w:hAnsi="Palatino Linotype" w:cs="Palatino Linotype"/>
        </w:rPr>
      </w:pPr>
    </w:p>
    <w:p w14:paraId="4EDC6DB5" w14:textId="2BEE736F" w:rsidR="00ED76E5" w:rsidRPr="00DA21F3" w:rsidRDefault="00ED76E5" w:rsidP="00ED76E5">
      <w:pPr>
        <w:spacing w:line="360" w:lineRule="auto"/>
        <w:contextualSpacing/>
        <w:jc w:val="both"/>
        <w:rPr>
          <w:rFonts w:ascii="Palatino Linotype" w:eastAsia="MS Mincho" w:hAnsi="Palatino Linotype"/>
          <w:lang w:val="es-ES"/>
        </w:rPr>
      </w:pPr>
      <w:r w:rsidRPr="00DA21F3">
        <w:rPr>
          <w:rFonts w:ascii="Palatino Linotype" w:eastAsia="MS Mincho" w:hAnsi="Palatino Linotype"/>
          <w:lang w:val="es-ES"/>
        </w:rPr>
        <w:lastRenderedPageBreak/>
        <w:t>Respecto del Comisariado Ejidal el artículo 32 de la Ley Agraria establece:</w:t>
      </w:r>
    </w:p>
    <w:p w14:paraId="79699A9B" w14:textId="77777777" w:rsidR="00ED76E5" w:rsidRPr="00DA21F3" w:rsidRDefault="00ED76E5" w:rsidP="00ED76E5">
      <w:pPr>
        <w:ind w:left="851" w:right="851"/>
        <w:contextualSpacing/>
        <w:jc w:val="both"/>
        <w:rPr>
          <w:rFonts w:ascii="Palatino Linotype" w:eastAsia="MS Mincho" w:hAnsi="Palatino Linotype"/>
          <w:i/>
          <w:sz w:val="22"/>
          <w:szCs w:val="22"/>
          <w:lang w:val="es-ES"/>
        </w:rPr>
      </w:pPr>
    </w:p>
    <w:p w14:paraId="635D350D" w14:textId="77777777" w:rsidR="00ED76E5" w:rsidRPr="00DA21F3" w:rsidRDefault="00ED76E5" w:rsidP="00ED76E5">
      <w:pPr>
        <w:ind w:left="851" w:right="851"/>
        <w:contextualSpacing/>
        <w:jc w:val="both"/>
        <w:rPr>
          <w:rFonts w:ascii="Palatino Linotype" w:eastAsia="MS Mincho" w:hAnsi="Palatino Linotype"/>
          <w:sz w:val="22"/>
          <w:szCs w:val="22"/>
          <w:lang w:val="es-ES"/>
        </w:rPr>
      </w:pPr>
      <w:r w:rsidRPr="00DA21F3">
        <w:rPr>
          <w:rFonts w:ascii="Palatino Linotype" w:eastAsia="MS Mincho" w:hAnsi="Palatino Linotype"/>
          <w:i/>
          <w:sz w:val="22"/>
          <w:szCs w:val="22"/>
          <w:lang w:val="es-ES"/>
        </w:rPr>
        <w:t>“</w:t>
      </w:r>
      <w:r w:rsidRPr="00DA21F3">
        <w:rPr>
          <w:rFonts w:ascii="Palatino Linotype" w:eastAsia="MS Mincho" w:hAnsi="Palatino Linotype"/>
          <w:b/>
          <w:i/>
          <w:sz w:val="22"/>
          <w:szCs w:val="22"/>
          <w:lang w:val="es-ES"/>
        </w:rPr>
        <w:t>Artículo 32.-</w:t>
      </w:r>
      <w:r w:rsidRPr="00DA21F3">
        <w:rPr>
          <w:rFonts w:ascii="Palatino Linotype" w:eastAsia="MS Mincho" w:hAnsi="Palatino Linotype"/>
          <w:i/>
          <w:sz w:val="22"/>
          <w:szCs w:val="22"/>
          <w:lang w:val="es-ES"/>
        </w:rPr>
        <w:t xml:space="preserve"> El comisariado ejidal </w:t>
      </w:r>
      <w:r w:rsidRPr="00DA21F3">
        <w:rPr>
          <w:rFonts w:ascii="Palatino Linotype" w:eastAsia="MS Mincho" w:hAnsi="Palatino Linotype"/>
          <w:b/>
          <w:i/>
          <w:sz w:val="22"/>
          <w:szCs w:val="22"/>
          <w:u w:val="single"/>
          <w:lang w:val="es-ES"/>
        </w:rPr>
        <w:t>es el órgano encargado de la ejecución de los acuerdos de la asamblea, así como de la representación y gestión administrativa del ejido</w:t>
      </w:r>
      <w:r w:rsidRPr="00DA21F3">
        <w:rPr>
          <w:rFonts w:ascii="Palatino Linotype" w:eastAsia="MS Mincho" w:hAnsi="Palatino Linotype"/>
          <w:i/>
          <w:sz w:val="22"/>
          <w:szCs w:val="22"/>
          <w:lang w:val="es-ES"/>
        </w:rPr>
        <w:t>. Estará constituido por un Presidente, un Secretario y un Tesorero, propietarios y sus respectivos suplentes…”</w:t>
      </w:r>
      <w:r w:rsidRPr="00DA21F3">
        <w:rPr>
          <w:rFonts w:ascii="Palatino Linotype" w:eastAsia="MS Mincho" w:hAnsi="Palatino Linotype"/>
          <w:sz w:val="22"/>
          <w:szCs w:val="22"/>
          <w:lang w:val="es-ES"/>
        </w:rPr>
        <w:t xml:space="preserve">  </w:t>
      </w:r>
    </w:p>
    <w:p w14:paraId="09C92099" w14:textId="77777777" w:rsidR="00ED76E5" w:rsidRPr="00DA21F3" w:rsidRDefault="00ED76E5" w:rsidP="00ED76E5">
      <w:pPr>
        <w:ind w:left="851" w:right="851"/>
        <w:contextualSpacing/>
        <w:jc w:val="both"/>
        <w:rPr>
          <w:rFonts w:ascii="Palatino Linotype" w:eastAsia="MS Mincho" w:hAnsi="Palatino Linotype"/>
          <w:i/>
          <w:sz w:val="22"/>
          <w:szCs w:val="22"/>
          <w:lang w:val="es-ES"/>
        </w:rPr>
      </w:pPr>
      <w:r w:rsidRPr="00DA21F3">
        <w:rPr>
          <w:rFonts w:ascii="Palatino Linotype" w:eastAsia="MS Mincho" w:hAnsi="Palatino Linotype"/>
          <w:i/>
          <w:sz w:val="22"/>
          <w:szCs w:val="22"/>
          <w:lang w:val="es-ES"/>
        </w:rPr>
        <w:t>Énfasis añadido.</w:t>
      </w:r>
    </w:p>
    <w:p w14:paraId="03F43E24" w14:textId="77777777" w:rsidR="00ED76E5" w:rsidRPr="00DA21F3" w:rsidRDefault="00ED76E5" w:rsidP="00ED76E5">
      <w:pPr>
        <w:spacing w:line="360" w:lineRule="auto"/>
        <w:ind w:right="49"/>
        <w:jc w:val="both"/>
        <w:rPr>
          <w:rFonts w:ascii="Palatino Linotype" w:eastAsia="MS Mincho" w:hAnsi="Palatino Linotype"/>
          <w:lang w:val="es-ES"/>
        </w:rPr>
      </w:pPr>
    </w:p>
    <w:p w14:paraId="4C00932A" w14:textId="77777777" w:rsidR="00ED76E5" w:rsidRPr="00DA21F3" w:rsidRDefault="00ED76E5" w:rsidP="00ED76E5">
      <w:pPr>
        <w:spacing w:before="240" w:after="240" w:line="360" w:lineRule="auto"/>
        <w:contextualSpacing/>
        <w:jc w:val="both"/>
        <w:rPr>
          <w:rFonts w:ascii="Palatino Linotype" w:eastAsia="MS Mincho" w:hAnsi="Palatino Linotype"/>
          <w:lang w:val="es-ES"/>
        </w:rPr>
      </w:pPr>
      <w:r w:rsidRPr="00DA21F3">
        <w:rPr>
          <w:rFonts w:ascii="Palatino Linotype" w:eastAsia="MS Mincho" w:hAnsi="Palatino Linotype"/>
          <w:lang w:val="es-ES"/>
        </w:rPr>
        <w:t xml:space="preserve">En este mismo orden de ideas es pertinente referir que nuestro más alto Tribunal en México, a fin de robustecer y aclarar la naturaleza de la figura del comisariado ejidal, ha emitido jurisprudencias al respecto, como las siguientes; </w:t>
      </w:r>
    </w:p>
    <w:p w14:paraId="4D1A92EA" w14:textId="77777777" w:rsidR="00ED76E5" w:rsidRPr="00DA21F3" w:rsidRDefault="00ED76E5" w:rsidP="00ED76E5">
      <w:pPr>
        <w:ind w:left="851" w:right="851"/>
        <w:jc w:val="both"/>
        <w:rPr>
          <w:rFonts w:ascii="Palatino Linotype" w:eastAsia="MS Mincho" w:hAnsi="Palatino Linotype"/>
          <w:lang w:val="es-ES"/>
        </w:rPr>
      </w:pPr>
    </w:p>
    <w:p w14:paraId="0F8300FD" w14:textId="77777777" w:rsidR="00ED76E5" w:rsidRPr="00DA21F3" w:rsidRDefault="00ED76E5" w:rsidP="00ED76E5">
      <w:pPr>
        <w:ind w:left="851" w:right="851"/>
        <w:jc w:val="both"/>
        <w:rPr>
          <w:rFonts w:ascii="Palatino Linotype" w:eastAsia="MS Mincho" w:hAnsi="Palatino Linotype"/>
          <w:i/>
          <w:sz w:val="22"/>
          <w:szCs w:val="22"/>
          <w:lang w:val="es-ES"/>
        </w:rPr>
      </w:pPr>
      <w:r w:rsidRPr="00DA21F3">
        <w:rPr>
          <w:rFonts w:ascii="Palatino Linotype" w:eastAsia="MS Mincho" w:hAnsi="Palatino Linotype"/>
          <w:b/>
          <w:i/>
          <w:sz w:val="22"/>
          <w:szCs w:val="22"/>
          <w:lang w:val="es-ES"/>
        </w:rPr>
        <w:t>COMISARIADO EJIDAL. CARECE DEL CARÁCTER DE AUTORIDAD AGRARIA</w:t>
      </w:r>
      <w:r w:rsidRPr="00DA21F3">
        <w:rPr>
          <w:rFonts w:ascii="Palatino Linotype" w:eastAsia="MS Mincho" w:hAnsi="Palatino Linotype"/>
          <w:i/>
          <w:sz w:val="22"/>
          <w:szCs w:val="22"/>
          <w:lang w:val="es-ES"/>
        </w:rPr>
        <w:t xml:space="preserve">. </w:t>
      </w:r>
      <w:r w:rsidRPr="00DA21F3">
        <w:rPr>
          <w:rFonts w:ascii="Palatino Linotype" w:eastAsia="MS Mincho" w:hAnsi="Palatino Linotype"/>
          <w:b/>
          <w:i/>
          <w:sz w:val="22"/>
          <w:szCs w:val="22"/>
          <w:lang w:val="es-ES"/>
        </w:rPr>
        <w:t>El comisariado ejidal es el órgano de representación y ejecución de los acuerdos de asamblea de un ejido y tiene conferidas por la ley diversas facultades;</w:t>
      </w:r>
      <w:r w:rsidRPr="00DA21F3">
        <w:rPr>
          <w:rFonts w:ascii="Palatino Linotype" w:eastAsia="MS Mincho" w:hAnsi="Palatino Linotype"/>
          <w:i/>
          <w:sz w:val="22"/>
          <w:szCs w:val="22"/>
          <w:lang w:val="es-ES"/>
        </w:rPr>
        <w:t xml:space="preserve"> sin embargo, </w:t>
      </w:r>
      <w:r w:rsidRPr="00DA21F3">
        <w:rPr>
          <w:rFonts w:ascii="Palatino Linotype" w:eastAsia="MS Mincho" w:hAnsi="Palatino Linotype"/>
          <w:b/>
          <w:i/>
          <w:sz w:val="22"/>
          <w:szCs w:val="22"/>
          <w:lang w:val="es-ES"/>
        </w:rPr>
        <w:t>ello no significa que deba considerársele una autoridad agraria</w:t>
      </w:r>
      <w:r w:rsidRPr="00DA21F3">
        <w:rPr>
          <w:rFonts w:ascii="Palatino Linotype" w:eastAsia="MS Mincho" w:hAnsi="Palatino Linotype"/>
          <w:i/>
          <w:sz w:val="22"/>
          <w:szCs w:val="22"/>
          <w:lang w:val="es-ES"/>
        </w:rPr>
        <w:t xml:space="preserve">, pues </w:t>
      </w:r>
      <w:r w:rsidRPr="00DA21F3">
        <w:rPr>
          <w:rFonts w:ascii="Palatino Linotype" w:eastAsia="MS Mincho" w:hAnsi="Palatino Linotype"/>
          <w:b/>
          <w:i/>
          <w:sz w:val="22"/>
          <w:szCs w:val="22"/>
          <w:lang w:val="es-ES"/>
        </w:rPr>
        <w:t>su carácter de órgano representativo y de ejecución son respecto del ejido y hacia su interior</w:t>
      </w:r>
      <w:r w:rsidRPr="00DA21F3">
        <w:rPr>
          <w:rFonts w:ascii="Palatino Linotype" w:eastAsia="MS Mincho" w:hAnsi="Palatino Linotype"/>
          <w:i/>
          <w:sz w:val="22"/>
          <w:szCs w:val="22"/>
          <w:lang w:val="es-ES"/>
        </w:rPr>
        <w:t xml:space="preserve">, respectivamente, </w:t>
      </w:r>
      <w:r w:rsidRPr="00DA21F3">
        <w:rPr>
          <w:rFonts w:ascii="Palatino Linotype" w:eastAsia="MS Mincho" w:hAnsi="Palatino Linotype"/>
          <w:b/>
          <w:i/>
          <w:sz w:val="22"/>
          <w:szCs w:val="22"/>
          <w:lang w:val="es-ES"/>
        </w:rPr>
        <w:t>de manera que se trata de cuestiones entre particulares sin imperio ni coerción.</w:t>
      </w:r>
      <w:r w:rsidRPr="00DA21F3">
        <w:rPr>
          <w:rFonts w:ascii="Palatino Linotype" w:eastAsia="MS Mincho" w:hAnsi="Palatino Linotype"/>
          <w:i/>
          <w:sz w:val="22"/>
          <w:szCs w:val="22"/>
          <w:lang w:val="es-ES"/>
        </w:rPr>
        <w:t xml:space="preserve"> Lo anterior encuentra apoyo en la propia exposición de motivos de la Ley Agraria presentada por el Ejecutivo Federal ante la Cámara de Diputados, que en la parte conducente señala que: "... En cuanto a la organización interna del ejido, </w:t>
      </w:r>
      <w:r w:rsidRPr="00DA21F3">
        <w:rPr>
          <w:rFonts w:ascii="Palatino Linotype" w:eastAsia="MS Mincho" w:hAnsi="Palatino Linotype"/>
          <w:b/>
          <w:i/>
          <w:sz w:val="22"/>
          <w:szCs w:val="22"/>
          <w:lang w:val="es-ES"/>
        </w:rPr>
        <w:t>la asamblea, el comisariado y el consejo de vigilancia ya no se conciben como autoridades en la iniciativa, sino como órganos de representación y ejecución; sus funciones son transparentes y sus reglas de operación sencillas</w:t>
      </w:r>
      <w:r w:rsidRPr="00DA21F3">
        <w:rPr>
          <w:rFonts w:ascii="Palatino Linotype" w:eastAsia="MS Mincho" w:hAnsi="Palatino Linotype"/>
          <w:i/>
          <w:sz w:val="22"/>
          <w:szCs w:val="22"/>
          <w:lang w:val="es-ES"/>
        </w:rPr>
        <w:t xml:space="preserve">. Estos órganos serán ahora protagonistas del cambio democrático, obligados en todo momento a respetar la voluntad de sus mandantes. ..."; es decir, la propia exposición de motivos de la Ley Agraria aclara enfáticamente que el comisariado ejidal no es una autoridad agraria. Por otro lado, y de manera destacada, la actual Segunda Sala de la Suprema Corte de Justicia de la Nación, en la ejecutoria relativa a la contradicción de tesis 48/97, publicada en la página cuatrocientos sesenta y tres del Tomo X, octubre de mil novecientos noventa y nueve, de la Novena Época del Semanario Judicial de la Federación y su Gaceta, sostuvo lo siguiente: "... si el acto de la autoridad agraria, define o da certeza a una situación legal o administrativa, y en ejercicio de su potestad, crea, reconoce, modifica o extingue algún derecho, en materia agraria, y dicha </w:t>
      </w:r>
      <w:r w:rsidRPr="00DA21F3">
        <w:rPr>
          <w:rFonts w:ascii="Palatino Linotype" w:eastAsia="MS Mincho" w:hAnsi="Palatino Linotype"/>
          <w:i/>
          <w:sz w:val="22"/>
          <w:szCs w:val="22"/>
          <w:lang w:val="es-ES"/>
        </w:rPr>
        <w:lastRenderedPageBreak/>
        <w:t xml:space="preserve">autoridad puede imponerla y ejecutarla aun en contra de la voluntad de los gobernados, ese acto es una resolución ..."; o sea que de acuerdo con el criterio de la Corte para que un acto pueda reputarse proveniente de una autoridad agraria, además de crear, reconocer, modificar o extinguir algún derecho, debe ser imponible y ejecutable aun en contra de la voluntad de los gobernados, lo que en el caso de los actos del comisariado ejidal no acontece, pues no se advierte en la ley dispositivo alguno que les otorgue esa facultad de imperio, sino </w:t>
      </w:r>
      <w:r w:rsidRPr="00DA21F3">
        <w:rPr>
          <w:rFonts w:ascii="Palatino Linotype" w:eastAsia="MS Mincho" w:hAnsi="Palatino Linotype"/>
          <w:b/>
          <w:i/>
          <w:sz w:val="22"/>
          <w:szCs w:val="22"/>
          <w:lang w:val="es-ES"/>
        </w:rPr>
        <w:t>únicamente, se insiste, de representación del ejido y ejecución de los acuerdos de asamblea.</w:t>
      </w:r>
      <w:r w:rsidRPr="00DA21F3">
        <w:rPr>
          <w:rFonts w:ascii="Palatino Linotype" w:eastAsia="MS Mincho" w:hAnsi="Palatino Linotype"/>
          <w:i/>
          <w:sz w:val="22"/>
          <w:szCs w:val="22"/>
          <w:lang w:val="es-ES"/>
        </w:rPr>
        <w:t xml:space="preserve"> TERCER TRIBUNAL COLEGIADO EN MATERIA ADMINISTRATIVA DEL SEXTO CIRCUITO. Novena Época. Registro: 189776. Instancia: Tribunales Colegiados de Circuito. Materia(s): Administrativa </w:t>
      </w:r>
    </w:p>
    <w:p w14:paraId="2FC9A58E" w14:textId="77777777" w:rsidR="00ED76E5" w:rsidRPr="00DA21F3" w:rsidRDefault="00ED76E5" w:rsidP="00ED76E5">
      <w:pPr>
        <w:ind w:left="851" w:right="851"/>
        <w:jc w:val="both"/>
        <w:rPr>
          <w:rFonts w:ascii="Palatino Linotype" w:eastAsia="MS Mincho" w:hAnsi="Palatino Linotype"/>
          <w:i/>
          <w:sz w:val="22"/>
          <w:szCs w:val="22"/>
          <w:lang w:val="es-ES"/>
        </w:rPr>
      </w:pPr>
    </w:p>
    <w:p w14:paraId="65E1028A" w14:textId="1B62D294" w:rsidR="00ED76E5" w:rsidRPr="00DA21F3" w:rsidRDefault="001A2D0B" w:rsidP="00ED76E5">
      <w:pPr>
        <w:ind w:left="851" w:right="851"/>
        <w:jc w:val="both"/>
        <w:rPr>
          <w:rFonts w:ascii="Palatino Linotype" w:eastAsia="MS Mincho" w:hAnsi="Palatino Linotype"/>
          <w:b/>
          <w:bCs/>
          <w:i/>
          <w:sz w:val="22"/>
          <w:szCs w:val="22"/>
          <w:u w:val="single"/>
          <w:lang w:val="es-ES"/>
        </w:rPr>
      </w:pPr>
      <w:r w:rsidRPr="00DA21F3">
        <w:rPr>
          <w:rFonts w:ascii="Palatino Linotype" w:eastAsia="MS Mincho" w:hAnsi="Palatino Linotype"/>
          <w:b/>
          <w:i/>
          <w:sz w:val="22"/>
          <w:szCs w:val="22"/>
          <w:lang w:val="es-ES"/>
        </w:rPr>
        <w:t>AUTORIDAD RESPONSABLE PARA EFECTOS DEL JUICIO DE AMPARO. NO LO ES LA ASAMBLEA GENERAL DE EJIDATARIOS.</w:t>
      </w:r>
      <w:r w:rsidR="00ED76E5" w:rsidRPr="00DA21F3">
        <w:rPr>
          <w:rFonts w:ascii="Palatino Linotype" w:eastAsia="MS Mincho" w:hAnsi="Palatino Linotype"/>
          <w:i/>
          <w:sz w:val="22"/>
          <w:szCs w:val="22"/>
          <w:lang w:val="es-ES"/>
        </w:rPr>
        <w:t xml:space="preserve"> </w:t>
      </w:r>
      <w:r w:rsidRPr="00DA21F3">
        <w:rPr>
          <w:rFonts w:ascii="Palatino Linotype" w:eastAsia="MS Mincho" w:hAnsi="Palatino Linotype"/>
          <w:i/>
          <w:sz w:val="22"/>
          <w:szCs w:val="22"/>
          <w:lang w:val="es-ES"/>
        </w:rPr>
        <w:t xml:space="preserve">Del artículo 5o., fracción II, de la Ley de Amparo se advierte que es autoridad responsable para efectos del juicio de amparo, el ente público cuyos actos (lato sensu) unilaterales, son susceptibles de crear, modificar o extinguir obligatoriamente situaciones jurídicas, así como los particulares que realicen actos equivalentes a los de autoridad, cuyas funciones estén determinadas por una norma general. Por su parte, del proceso legislativo de la citada ley, concretamente del dictamen de la Cámara de Origen (Senadores), publicado en la Gaceta 288 de ese órgano el 13 de octubre de 2011, en relación con el criterio sustentado por la Segunda Sala de la Suprema Corte de Justicia de la Nación en la ejecutoria de la contradicción de tesis 4/2014, cuya parte conducente aparece publicada en el Semanario Judicial de la Federación del viernes 30 de mayo de 2014 a las 10:40 horas y en su Gaceta, Décima Época, Libro 6, Tomo II, mayo de 2014, página 853, en la que se estableció que la procedencia del juicio está condicionada a que los actos de particulares "creen, modifiquen o extingan situaciones jurídicas en forma unilateral, obligatoria, y en una relación de supra subordinación", se infiere que la identificación de las autoridades responsables en el amparo se clarifica y delimita si se atiende a los tipos fundamentales de relaciones que se dan al seno del Estado, a saber, de: subordinación, </w:t>
      </w:r>
      <w:proofErr w:type="spellStart"/>
      <w:r w:rsidRPr="00DA21F3">
        <w:rPr>
          <w:rFonts w:ascii="Palatino Linotype" w:eastAsia="MS Mincho" w:hAnsi="Palatino Linotype"/>
          <w:i/>
          <w:sz w:val="22"/>
          <w:szCs w:val="22"/>
          <w:lang w:val="es-ES"/>
        </w:rPr>
        <w:t>supraordinación</w:t>
      </w:r>
      <w:proofErr w:type="spellEnd"/>
      <w:r w:rsidRPr="00DA21F3">
        <w:rPr>
          <w:rFonts w:ascii="Palatino Linotype" w:eastAsia="MS Mincho" w:hAnsi="Palatino Linotype"/>
          <w:i/>
          <w:sz w:val="22"/>
          <w:szCs w:val="22"/>
          <w:lang w:val="es-ES"/>
        </w:rPr>
        <w:t xml:space="preserve"> y coordinación. De ahí que será autoridad para efectos del juicio de amparo, el ente público y/o el particular que se ubiquen en un plano de supra a subordinación y cuyos actos, desde esa posición, creen, modifiquen o extingan situaciones jurídicas en forma unilateral y obligatoria. Ahora bien, según el artículo 21 de la Ley Agraria, la asamblea es un órgano del ejido, no del Estado, por lo cual </w:t>
      </w:r>
      <w:r w:rsidRPr="00DA21F3">
        <w:rPr>
          <w:rFonts w:ascii="Palatino Linotype" w:eastAsia="MS Mincho" w:hAnsi="Palatino Linotype"/>
          <w:b/>
          <w:bCs/>
          <w:i/>
          <w:sz w:val="22"/>
          <w:szCs w:val="22"/>
          <w:lang w:val="es-ES"/>
        </w:rPr>
        <w:t>no puede considerarse como autoridad</w:t>
      </w:r>
      <w:r w:rsidRPr="00DA21F3">
        <w:rPr>
          <w:rFonts w:ascii="Palatino Linotype" w:eastAsia="MS Mincho" w:hAnsi="Palatino Linotype"/>
          <w:i/>
          <w:sz w:val="22"/>
          <w:szCs w:val="22"/>
          <w:lang w:val="es-ES"/>
        </w:rPr>
        <w:t xml:space="preserve">, máxime que, de acuerdo con la ratio de este último ordenamiento no podría estimarse así, en estricto sentido, pues desde su iniciativa de 10 de febrero de 1992, presentada por el Ejecutivo Federal ante la Cámara de Diputados del Congreso de la Unión, se </w:t>
      </w:r>
      <w:r w:rsidRPr="00DA21F3">
        <w:rPr>
          <w:rFonts w:ascii="Palatino Linotype" w:eastAsia="MS Mincho" w:hAnsi="Palatino Linotype"/>
          <w:i/>
          <w:sz w:val="22"/>
          <w:szCs w:val="22"/>
          <w:lang w:val="es-ES"/>
        </w:rPr>
        <w:lastRenderedPageBreak/>
        <w:t xml:space="preserve">le perfiló (junto con el comisariado y el consejo de vigilancia) como mero órgano de representación y ejecución del ejido. Por otra parte, del precepto 23 de la Ley Agraria se advierte que: a) la asamblea general de ejidatarios no cuenta con atribuciones para vencer cualquier tipo de resistencia que pudiera presentar el cumplimiento voluntario de sus actos, lo cual es una característica propia de una relación de supra a subordinación, en tanto revela la existencia de un sujeto cuyos actos gozan de imperatividad, coercitividad y unilateralidad; b) sus relaciones con los sujetos del ejido, por ejemplo, los avecindados, son de coordinación, ya que las diferencias que entre ellos se susciten deben ser resueltas mediante los procedimientos jurisdiccionales, como el juicio agrario, en términos del artículo 163 de la invocada legislación; y, c) aun cuando su artículo 27 establezca que sus resoluciones son obligatorias, lo cierto es que ello es una mera declaración llana como la dada por cualquier cuerpo director de una sociedad privada, pero que no está cargada del imperio, coerción y unilateralidad de los cuales están dotados los actos de autoridad. Por tanto, la asamblea indicada, en sus relaciones con los sujetos del ejido, no se ubica en una posición de supra a subordinación, sino en una de coordinación, </w:t>
      </w:r>
      <w:r w:rsidRPr="00DA21F3">
        <w:rPr>
          <w:rFonts w:ascii="Palatino Linotype" w:eastAsia="MS Mincho" w:hAnsi="Palatino Linotype"/>
          <w:b/>
          <w:bCs/>
          <w:i/>
          <w:sz w:val="22"/>
          <w:szCs w:val="22"/>
          <w:u w:val="single"/>
          <w:lang w:val="es-ES"/>
        </w:rPr>
        <w:t xml:space="preserve">por lo que no es autoridad responsable para efectos del juicio de amparo. </w:t>
      </w:r>
    </w:p>
    <w:p w14:paraId="6F474027" w14:textId="77777777" w:rsidR="001A2D0B" w:rsidRPr="00DA21F3" w:rsidRDefault="001A2D0B" w:rsidP="001A2D0B">
      <w:pPr>
        <w:ind w:left="851" w:right="851"/>
        <w:jc w:val="both"/>
        <w:rPr>
          <w:rFonts w:ascii="Palatino Linotype" w:eastAsia="MS Mincho" w:hAnsi="Palatino Linotype"/>
          <w:i/>
          <w:sz w:val="22"/>
          <w:szCs w:val="22"/>
          <w:lang w:val="es-ES"/>
        </w:rPr>
      </w:pPr>
      <w:r w:rsidRPr="00DA21F3">
        <w:rPr>
          <w:rFonts w:ascii="Palatino Linotype" w:eastAsia="MS Mincho" w:hAnsi="Palatino Linotype"/>
          <w:i/>
          <w:sz w:val="22"/>
          <w:szCs w:val="22"/>
          <w:lang w:val="es-ES"/>
        </w:rPr>
        <w:t>TERCER TRIBUNAL COLEGIADO DEL VIGÉSIMO SÉPTIMO CIRCUITO.</w:t>
      </w:r>
    </w:p>
    <w:p w14:paraId="4C63462C" w14:textId="556DDB16" w:rsidR="001A2D0B" w:rsidRPr="00DA21F3" w:rsidRDefault="001A2D0B" w:rsidP="001A2D0B">
      <w:pPr>
        <w:ind w:left="851" w:right="851"/>
        <w:jc w:val="both"/>
        <w:rPr>
          <w:rFonts w:ascii="Palatino Linotype" w:eastAsia="MS Mincho" w:hAnsi="Palatino Linotype"/>
          <w:i/>
          <w:sz w:val="22"/>
          <w:szCs w:val="22"/>
          <w:lang w:val="es-ES"/>
        </w:rPr>
      </w:pPr>
      <w:r w:rsidRPr="00DA21F3">
        <w:rPr>
          <w:rStyle w:val="bold"/>
          <w:rFonts w:ascii="Palatino Linotype" w:hAnsi="Palatino Linotype"/>
          <w:b/>
          <w:bCs/>
          <w:i/>
          <w:sz w:val="23"/>
          <w:szCs w:val="23"/>
          <w:shd w:val="clear" w:color="auto" w:fill="FFFFFF"/>
        </w:rPr>
        <w:t>Tesis: </w:t>
      </w:r>
      <w:r w:rsidRPr="00DA21F3">
        <w:rPr>
          <w:rFonts w:ascii="Palatino Linotype" w:hAnsi="Palatino Linotype"/>
          <w:i/>
          <w:sz w:val="23"/>
          <w:szCs w:val="23"/>
          <w:shd w:val="clear" w:color="auto" w:fill="FFFFFF"/>
        </w:rPr>
        <w:t xml:space="preserve">XXVII.3o. J/18 (10a.) Décima Época. Registro digital: 2008595. Instancia: Tribunales Colegiados de Circuito. Fuente: Gaceta del Semanario Judicial de la Federación. Libro 16, </w:t>
      </w:r>
      <w:r w:rsidR="00DA21F3">
        <w:rPr>
          <w:rFonts w:ascii="Palatino Linotype" w:hAnsi="Palatino Linotype"/>
          <w:i/>
          <w:sz w:val="23"/>
          <w:szCs w:val="23"/>
          <w:shd w:val="clear" w:color="auto" w:fill="FFFFFF"/>
        </w:rPr>
        <w:t>Marzo de 2015, Tomo III</w:t>
      </w:r>
      <w:r w:rsidRPr="00DA21F3">
        <w:rPr>
          <w:rFonts w:ascii="Palatino Linotype" w:hAnsi="Palatino Linotype"/>
          <w:i/>
          <w:sz w:val="23"/>
          <w:szCs w:val="23"/>
          <w:shd w:val="clear" w:color="auto" w:fill="FFFFFF"/>
        </w:rPr>
        <w:t>, página 2184.</w:t>
      </w:r>
    </w:p>
    <w:p w14:paraId="042B4CB1" w14:textId="77777777" w:rsidR="00ED76E5" w:rsidRPr="00DA21F3" w:rsidRDefault="00ED76E5" w:rsidP="00ED76E5">
      <w:pPr>
        <w:ind w:left="851" w:right="851"/>
        <w:jc w:val="both"/>
        <w:rPr>
          <w:rFonts w:ascii="Palatino Linotype" w:eastAsia="MS Mincho" w:hAnsi="Palatino Linotype"/>
          <w:i/>
          <w:sz w:val="22"/>
          <w:szCs w:val="22"/>
          <w:lang w:val="es-ES"/>
        </w:rPr>
      </w:pPr>
    </w:p>
    <w:p w14:paraId="0C29CCA4" w14:textId="77777777" w:rsidR="00ED76E5" w:rsidRPr="00DA21F3" w:rsidRDefault="00ED76E5" w:rsidP="00ED76E5">
      <w:pPr>
        <w:ind w:left="851" w:right="851"/>
        <w:jc w:val="right"/>
        <w:rPr>
          <w:rFonts w:ascii="Palatino Linotype" w:eastAsia="MS Mincho" w:hAnsi="Palatino Linotype"/>
          <w:i/>
          <w:sz w:val="22"/>
          <w:szCs w:val="22"/>
          <w:lang w:val="es-ES"/>
        </w:rPr>
      </w:pPr>
      <w:r w:rsidRPr="00DA21F3">
        <w:rPr>
          <w:rFonts w:ascii="Palatino Linotype" w:eastAsia="MS Mincho" w:hAnsi="Palatino Linotype"/>
          <w:i/>
          <w:sz w:val="22"/>
          <w:szCs w:val="22"/>
          <w:lang w:val="es-ES"/>
        </w:rPr>
        <w:t>Énfasis añadido</w:t>
      </w:r>
    </w:p>
    <w:p w14:paraId="3A9C54BE" w14:textId="77777777" w:rsidR="00ED76E5" w:rsidRPr="00DA21F3" w:rsidRDefault="00ED76E5" w:rsidP="00ED76E5">
      <w:pPr>
        <w:spacing w:line="360" w:lineRule="auto"/>
        <w:ind w:right="49"/>
        <w:jc w:val="both"/>
        <w:rPr>
          <w:rFonts w:ascii="Palatino Linotype" w:eastAsia="MS Mincho" w:hAnsi="Palatino Linotype"/>
          <w:lang w:val="es-ES"/>
        </w:rPr>
      </w:pPr>
    </w:p>
    <w:p w14:paraId="1A6BDA76" w14:textId="52EAF79D" w:rsidR="00ED76E5" w:rsidRPr="00DA21F3" w:rsidRDefault="00ED76E5" w:rsidP="00ED76E5">
      <w:pPr>
        <w:spacing w:before="240" w:after="240" w:line="360" w:lineRule="auto"/>
        <w:contextualSpacing/>
        <w:jc w:val="both"/>
        <w:rPr>
          <w:rFonts w:ascii="Palatino Linotype" w:eastAsia="MS Mincho" w:hAnsi="Palatino Linotype"/>
          <w:lang w:val="es-ES"/>
        </w:rPr>
      </w:pPr>
      <w:r w:rsidRPr="00DA21F3">
        <w:rPr>
          <w:rFonts w:ascii="Palatino Linotype" w:eastAsia="MS Mincho" w:hAnsi="Palatino Linotype"/>
          <w:lang w:val="es-ES"/>
        </w:rPr>
        <w:t xml:space="preserve">Debido a lo anterior, se advierte que el Comisariado Ejidal es únicamente una figura de representación y ejecución de acuerdos de asamblea del ejido y hacía su interior, por lo que exclusivamente se limita a cuestiones entre particulares, sin percibirse en algún momento como autoridad. </w:t>
      </w:r>
    </w:p>
    <w:p w14:paraId="63D07319" w14:textId="77777777" w:rsidR="00ED76E5" w:rsidRPr="00DA21F3" w:rsidRDefault="00ED76E5" w:rsidP="00BE36BF">
      <w:pPr>
        <w:spacing w:line="360" w:lineRule="auto"/>
        <w:ind w:right="-93"/>
        <w:jc w:val="both"/>
        <w:rPr>
          <w:rFonts w:ascii="Palatino Linotype" w:eastAsia="Palatino Linotype" w:hAnsi="Palatino Linotype" w:cs="Palatino Linotype"/>
        </w:rPr>
      </w:pPr>
    </w:p>
    <w:p w14:paraId="081C57FA" w14:textId="1170762A" w:rsidR="00BE36BF" w:rsidRPr="00DA21F3" w:rsidRDefault="00BE36BF" w:rsidP="00BE36BF">
      <w:pPr>
        <w:spacing w:line="360" w:lineRule="auto"/>
        <w:ind w:right="-93"/>
        <w:jc w:val="both"/>
        <w:rPr>
          <w:rFonts w:ascii="Palatino Linotype" w:eastAsia="Palatino Linotype" w:hAnsi="Palatino Linotype" w:cs="Palatino Linotype"/>
          <w:b/>
          <w:bCs/>
        </w:rPr>
      </w:pPr>
      <w:r w:rsidRPr="00DA21F3">
        <w:rPr>
          <w:rFonts w:ascii="Palatino Linotype" w:eastAsia="Palatino Linotype" w:hAnsi="Palatino Linotype" w:cs="Palatino Linotype"/>
          <w:b/>
          <w:bCs/>
        </w:rPr>
        <w:t>Respecto de los nombres</w:t>
      </w:r>
      <w:r w:rsidR="00ED76E5" w:rsidRPr="00DA21F3">
        <w:rPr>
          <w:rFonts w:ascii="Palatino Linotype" w:eastAsia="Palatino Linotype" w:hAnsi="Palatino Linotype" w:cs="Palatino Linotype"/>
          <w:b/>
          <w:bCs/>
        </w:rPr>
        <w:t xml:space="preserve"> y firmas</w:t>
      </w:r>
      <w:r w:rsidRPr="00DA21F3">
        <w:rPr>
          <w:rFonts w:ascii="Palatino Linotype" w:eastAsia="Palatino Linotype" w:hAnsi="Palatino Linotype" w:cs="Palatino Linotype"/>
          <w:b/>
          <w:bCs/>
        </w:rPr>
        <w:t>.</w:t>
      </w:r>
    </w:p>
    <w:p w14:paraId="4267D242" w14:textId="77777777" w:rsidR="00BE36BF" w:rsidRPr="00DA21F3" w:rsidRDefault="00BE36BF"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El nombre se considera que el nombre se integra con el sustantivo propio y el primer apellido de los padres, en el orden que, de común acuerdo determinen; asimismo es la manifestación principal del derecho subjetivo a la personalidad y atributo de esta en </w:t>
      </w:r>
      <w:r w:rsidRPr="00DA21F3">
        <w:rPr>
          <w:rFonts w:ascii="Palatino Linotype" w:eastAsia="Palatino Linotype" w:hAnsi="Palatino Linotype" w:cs="Palatino Linotype"/>
        </w:rPr>
        <w:lastRenderedPageBreak/>
        <w:t>términos del artículo 2.3 del Código Civil del Estado de México, de tal suerte, el nombre per se es un elemento que hace a una persona física identificada o identificable, por lo que, se considera un dato personal.</w:t>
      </w:r>
    </w:p>
    <w:p w14:paraId="23FA0FE9" w14:textId="77777777" w:rsidR="00BE36BF" w:rsidRPr="00DA21F3" w:rsidRDefault="00BE36BF" w:rsidP="00BE36BF">
      <w:pPr>
        <w:spacing w:line="360" w:lineRule="auto"/>
        <w:ind w:right="-93"/>
        <w:jc w:val="both"/>
        <w:rPr>
          <w:rFonts w:ascii="Palatino Linotype" w:eastAsia="Palatino Linotype" w:hAnsi="Palatino Linotype" w:cs="Palatino Linotype"/>
        </w:rPr>
      </w:pPr>
    </w:p>
    <w:p w14:paraId="4B4120A1" w14:textId="13A36F2D" w:rsidR="00BE36BF" w:rsidRPr="00DA21F3" w:rsidRDefault="00BE36BF"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En efecto, en el caso particular, por la naturaleza de la información que se solicita el nombre de los particulares constituye un dato personal confidencial</w:t>
      </w:r>
      <w:r w:rsidR="00ED76E5" w:rsidRPr="00DA21F3">
        <w:rPr>
          <w:rFonts w:ascii="Palatino Linotype" w:eastAsia="Palatino Linotype" w:hAnsi="Palatino Linotype" w:cs="Palatino Linotype"/>
        </w:rPr>
        <w:t xml:space="preserve"> —donantes, colindantes y </w:t>
      </w:r>
      <w:r w:rsidR="004D4CDB" w:rsidRPr="00DA21F3">
        <w:rPr>
          <w:rFonts w:ascii="Palatino Linotype" w:eastAsia="Palatino Linotype" w:hAnsi="Palatino Linotype" w:cs="Palatino Linotype"/>
        </w:rPr>
        <w:t xml:space="preserve">el </w:t>
      </w:r>
      <w:r w:rsidR="00ED76E5" w:rsidRPr="00DA21F3">
        <w:rPr>
          <w:rFonts w:ascii="Palatino Linotype" w:eastAsia="Palatino Linotype" w:hAnsi="Palatino Linotype" w:cs="Palatino Linotype"/>
        </w:rPr>
        <w:t>Comisariado Ejidal—</w:t>
      </w:r>
      <w:r w:rsidRPr="00DA21F3">
        <w:rPr>
          <w:rFonts w:ascii="Palatino Linotype" w:eastAsia="Palatino Linotype" w:hAnsi="Palatino Linotype" w:cs="Palatino Linotype"/>
        </w:rPr>
        <w:t>, por lo que actualiza el supuesto previsto en el artículo 143 fracción I de la Ley de Transparencia y Acceso a la Información Pública del Estado de México y Municipios y por tanto, procede su eliminación a través de una versión pública.</w:t>
      </w:r>
    </w:p>
    <w:p w14:paraId="1C8DA92A" w14:textId="77777777" w:rsidR="00BE36BF" w:rsidRPr="00DA21F3" w:rsidRDefault="00BE36BF" w:rsidP="00BE36BF">
      <w:pPr>
        <w:spacing w:line="360" w:lineRule="auto"/>
        <w:ind w:right="-93"/>
        <w:jc w:val="both"/>
        <w:rPr>
          <w:rFonts w:ascii="Palatino Linotype" w:eastAsia="Palatino Linotype" w:hAnsi="Palatino Linotype" w:cs="Palatino Linotype"/>
        </w:rPr>
      </w:pPr>
    </w:p>
    <w:p w14:paraId="019F8096" w14:textId="0B086E1C" w:rsidR="00BE36BF" w:rsidRPr="00DA21F3" w:rsidRDefault="00ED76E5"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Respecto de </w:t>
      </w:r>
      <w:r w:rsidR="00BE36BF" w:rsidRPr="00DA21F3">
        <w:rPr>
          <w:rFonts w:ascii="Palatino Linotype" w:eastAsia="Palatino Linotype" w:hAnsi="Palatino Linotype" w:cs="Palatino Linotype"/>
        </w:rPr>
        <w:t xml:space="preserve">los nombres de los donatarios —Presidente Municipal y </w:t>
      </w:r>
      <w:r w:rsidRPr="00DA21F3">
        <w:rPr>
          <w:rFonts w:ascii="Palatino Linotype" w:eastAsia="Palatino Linotype" w:hAnsi="Palatino Linotype" w:cs="Palatino Linotype"/>
        </w:rPr>
        <w:t>Síndico</w:t>
      </w:r>
      <w:r w:rsidR="00BE36BF" w:rsidRPr="00DA21F3">
        <w:rPr>
          <w:rFonts w:ascii="Palatino Linotype" w:eastAsia="Palatino Linotype" w:hAnsi="Palatino Linotype" w:cs="Palatino Linotype"/>
        </w:rPr>
        <w:t xml:space="preserve"> Municipal— y de quien participa como testigo —Delegado Municipal— se consideran públicos ya que están firmando con su calidad de representantes </w:t>
      </w:r>
      <w:r w:rsidR="00F010F3" w:rsidRPr="00DA21F3">
        <w:rPr>
          <w:rFonts w:ascii="Palatino Linotype" w:eastAsia="Palatino Linotype" w:hAnsi="Palatino Linotype" w:cs="Palatino Linotype"/>
        </w:rPr>
        <w:t xml:space="preserve">—autoridades— </w:t>
      </w:r>
      <w:r w:rsidR="00BE36BF" w:rsidRPr="00DA21F3">
        <w:rPr>
          <w:rFonts w:ascii="Palatino Linotype" w:eastAsia="Palatino Linotype" w:hAnsi="Palatino Linotype" w:cs="Palatino Linotype"/>
        </w:rPr>
        <w:t>como se puede advertir de los cargos y sellos que se acompañan:</w:t>
      </w:r>
    </w:p>
    <w:p w14:paraId="37E16C50" w14:textId="77777777" w:rsidR="00ED76E5" w:rsidRPr="00DA21F3" w:rsidRDefault="00ED76E5" w:rsidP="00BE36BF">
      <w:pPr>
        <w:spacing w:line="360" w:lineRule="auto"/>
        <w:ind w:right="-93"/>
        <w:jc w:val="center"/>
        <w:rPr>
          <w:rFonts w:ascii="Palatino Linotype" w:eastAsia="Palatino Linotype" w:hAnsi="Palatino Linotype" w:cs="Palatino Linotype"/>
        </w:rPr>
      </w:pPr>
    </w:p>
    <w:p w14:paraId="5F14A32D" w14:textId="49A41C60" w:rsidR="00BE36BF" w:rsidRPr="00DA21F3" w:rsidRDefault="00BE36BF" w:rsidP="00BE36BF">
      <w:pPr>
        <w:spacing w:line="360" w:lineRule="auto"/>
        <w:ind w:right="-93"/>
        <w:jc w:val="center"/>
        <w:rPr>
          <w:rFonts w:ascii="Palatino Linotype" w:eastAsia="Palatino Linotype" w:hAnsi="Palatino Linotype" w:cs="Palatino Linotype"/>
        </w:rPr>
      </w:pPr>
      <w:r w:rsidRPr="00DA21F3">
        <w:rPr>
          <w:noProof/>
          <w:lang w:eastAsia="es-MX"/>
        </w:rPr>
        <w:drawing>
          <wp:inline distT="0" distB="0" distL="0" distR="0" wp14:anchorId="3EE8BB6B" wp14:editId="2CEC104C">
            <wp:extent cx="3850640" cy="2302685"/>
            <wp:effectExtent l="0" t="0" r="0" b="2540"/>
            <wp:docPr id="424538634"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834" name="Imagen 1" descr="Una captura de pantalla de una computadora&#10;&#10;Descripción generada automáticamente"/>
                    <pic:cNvPicPr/>
                  </pic:nvPicPr>
                  <pic:blipFill rotWithShape="1">
                    <a:blip r:embed="rId11"/>
                    <a:srcRect l="66605" t="28347" r="16621" b="44250"/>
                    <a:stretch/>
                  </pic:blipFill>
                  <pic:spPr bwMode="auto">
                    <a:xfrm>
                      <a:off x="0" y="0"/>
                      <a:ext cx="3879040" cy="2319668"/>
                    </a:xfrm>
                    <a:prstGeom prst="rect">
                      <a:avLst/>
                    </a:prstGeom>
                    <a:ln>
                      <a:noFill/>
                    </a:ln>
                    <a:extLst>
                      <a:ext uri="{53640926-AAD7-44D8-BBD7-CCE9431645EC}">
                        <a14:shadowObscured xmlns:a14="http://schemas.microsoft.com/office/drawing/2010/main"/>
                      </a:ext>
                    </a:extLst>
                  </pic:spPr>
                </pic:pic>
              </a:graphicData>
            </a:graphic>
          </wp:inline>
        </w:drawing>
      </w:r>
    </w:p>
    <w:p w14:paraId="5DEDB7CD" w14:textId="5E04FFF1" w:rsidR="00BE36BF" w:rsidRPr="00DA21F3" w:rsidRDefault="00BE36BF"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lastRenderedPageBreak/>
        <w:t xml:space="preserve">En ese mismo sentido, la firma es considerada un dato personal, al tratarse de información gráfica a través de la cual su titular exterioriza su voluntad en actos públicos y privados. Así, en el caso del donante, </w:t>
      </w:r>
      <w:r w:rsidR="008D5FF4" w:rsidRPr="00DA21F3">
        <w:rPr>
          <w:rFonts w:ascii="Palatino Linotype" w:eastAsia="Palatino Linotype" w:hAnsi="Palatino Linotype" w:cs="Palatino Linotype"/>
        </w:rPr>
        <w:t>la</w:t>
      </w:r>
      <w:r w:rsidRPr="00DA21F3">
        <w:rPr>
          <w:rFonts w:ascii="Palatino Linotype" w:eastAsia="Palatino Linotype" w:hAnsi="Palatino Linotype" w:cs="Palatino Linotype"/>
        </w:rPr>
        <w:t xml:space="preserve"> firma es confidencial</w:t>
      </w:r>
      <w:r w:rsidR="008D5FF4" w:rsidRPr="00DA21F3">
        <w:rPr>
          <w:rFonts w:ascii="Palatino Linotype" w:eastAsia="Palatino Linotype" w:hAnsi="Palatino Linotype" w:cs="Palatino Linotype"/>
        </w:rPr>
        <w:t>, ya que del propio contrato no se advierte que se encuentre recibiendo recursos públicos;</w:t>
      </w:r>
      <w:r w:rsidRPr="00DA21F3">
        <w:rPr>
          <w:rFonts w:ascii="Palatino Linotype" w:eastAsia="Palatino Linotype" w:hAnsi="Palatino Linotype" w:cs="Palatino Linotype"/>
        </w:rPr>
        <w:t xml:space="preserve"> en cambio, </w:t>
      </w:r>
      <w:r w:rsidR="008D5FF4" w:rsidRPr="00DA21F3">
        <w:rPr>
          <w:rFonts w:ascii="Palatino Linotype" w:eastAsia="Palatino Linotype" w:hAnsi="Palatino Linotype" w:cs="Palatino Linotype"/>
        </w:rPr>
        <w:t xml:space="preserve">la firma </w:t>
      </w:r>
      <w:r w:rsidRPr="00DA21F3">
        <w:rPr>
          <w:rFonts w:ascii="Palatino Linotype" w:eastAsia="Palatino Linotype" w:hAnsi="Palatino Linotype" w:cs="Palatino Linotype"/>
        </w:rPr>
        <w:t>de quienes actúan emitiendo un acto como autoridad, debe ser pública, como e</w:t>
      </w:r>
      <w:r w:rsidR="008D5FF4" w:rsidRPr="00DA21F3">
        <w:rPr>
          <w:rFonts w:ascii="Palatino Linotype" w:eastAsia="Palatino Linotype" w:hAnsi="Palatino Linotype" w:cs="Palatino Linotype"/>
        </w:rPr>
        <w:t>s</w:t>
      </w:r>
      <w:r w:rsidRPr="00DA21F3">
        <w:rPr>
          <w:rFonts w:ascii="Palatino Linotype" w:eastAsia="Palatino Linotype" w:hAnsi="Palatino Linotype" w:cs="Palatino Linotype"/>
        </w:rPr>
        <w:t xml:space="preserve"> el caso el Presidente Municipal y Síndico Municipal y el Delegado Municipal.</w:t>
      </w:r>
    </w:p>
    <w:p w14:paraId="03B11076" w14:textId="77777777" w:rsidR="00BE36BF" w:rsidRPr="00DA21F3" w:rsidRDefault="00BE36BF" w:rsidP="00BE36BF">
      <w:pPr>
        <w:spacing w:line="360" w:lineRule="auto"/>
        <w:ind w:right="-93"/>
        <w:jc w:val="both"/>
        <w:rPr>
          <w:rFonts w:ascii="Palatino Linotype" w:eastAsia="Palatino Linotype" w:hAnsi="Palatino Linotype" w:cs="Palatino Linotype"/>
        </w:rPr>
      </w:pPr>
    </w:p>
    <w:p w14:paraId="3AD1424E" w14:textId="77777777" w:rsidR="00BE36BF" w:rsidRPr="00DA21F3" w:rsidRDefault="00BE36BF" w:rsidP="00BE36B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14:paraId="08E97019" w14:textId="77777777" w:rsidR="00BE36BF" w:rsidRPr="00DA21F3" w:rsidRDefault="00BE36BF" w:rsidP="00BE36BF">
      <w:pPr>
        <w:ind w:left="851" w:right="899"/>
        <w:jc w:val="both"/>
        <w:rPr>
          <w:rFonts w:ascii="Palatino Linotype" w:eastAsia="Palatino Linotype" w:hAnsi="Palatino Linotype" w:cs="Palatino Linotype"/>
          <w:i/>
        </w:rPr>
      </w:pPr>
    </w:p>
    <w:p w14:paraId="7E7E26AD" w14:textId="77777777" w:rsidR="00BE36BF" w:rsidRPr="00DA21F3" w:rsidRDefault="00BE36BF" w:rsidP="00BE36BF">
      <w:pPr>
        <w:ind w:left="851" w:right="899"/>
        <w:jc w:val="both"/>
        <w:rPr>
          <w:rFonts w:ascii="Palatino Linotype" w:eastAsia="Palatino Linotype" w:hAnsi="Palatino Linotype" w:cs="Palatino Linotype"/>
          <w:i/>
        </w:rPr>
      </w:pPr>
      <w:r w:rsidRPr="00DA21F3">
        <w:rPr>
          <w:rFonts w:ascii="Palatino Linotype" w:eastAsia="Palatino Linotype" w:hAnsi="Palatino Linotype" w:cs="Palatino Linotype"/>
          <w:i/>
        </w:rPr>
        <w:t xml:space="preserve"> “</w:t>
      </w:r>
      <w:r w:rsidRPr="00DA21F3">
        <w:rPr>
          <w:rFonts w:ascii="Palatino Linotype" w:eastAsia="Palatino Linotype" w:hAnsi="Palatino Linotype" w:cs="Palatino Linotype"/>
          <w:b/>
          <w:i/>
          <w:sz w:val="22"/>
          <w:szCs w:val="22"/>
        </w:rPr>
        <w:t>FIRMA Y RÚBRICA DE SERVIDORES PÚBLICOS</w:t>
      </w:r>
      <w:r w:rsidRPr="00DA21F3">
        <w:rPr>
          <w:rFonts w:ascii="Palatino Linotype" w:eastAsia="Palatino Linotype" w:hAnsi="Palatino Linotype" w:cs="Palatino Linotype"/>
          <w:b/>
          <w:i/>
        </w:rPr>
        <w:t>.</w:t>
      </w:r>
      <w:r w:rsidRPr="00DA21F3">
        <w:rPr>
          <w:rFonts w:ascii="Palatino Linotype" w:eastAsia="Palatino Linotype" w:hAnsi="Palatino Linotype" w:cs="Palatino Linotype"/>
          <w:i/>
        </w:rPr>
        <w:t xml:space="preserve"> </w:t>
      </w:r>
      <w:r w:rsidRPr="00DA21F3">
        <w:rPr>
          <w:rFonts w:ascii="Palatino Linotype" w:eastAsia="Palatino Linotype" w:hAnsi="Palatino Linotype" w:cs="Palatino Linotype"/>
          <w:i/>
          <w:sz w:val="22"/>
          <w:szCs w:val="22"/>
        </w:rPr>
        <w:t>Si bien la firma y la rúbrica son datos personales confidenciales, cuando un servidor público emite un acto como autoridad, en ejercicio de las funciones que tiene conferidas, la firma o rúbrica mediante la cual se valida dicho acto es pública.”</w:t>
      </w:r>
    </w:p>
    <w:p w14:paraId="489EB282" w14:textId="77777777" w:rsidR="00BE36BF" w:rsidRPr="00DA21F3" w:rsidRDefault="00BE36BF" w:rsidP="00BE36BF">
      <w:pPr>
        <w:spacing w:line="360" w:lineRule="auto"/>
        <w:ind w:right="-93"/>
        <w:jc w:val="both"/>
        <w:rPr>
          <w:rFonts w:ascii="Palatino Linotype" w:eastAsia="Palatino Linotype" w:hAnsi="Palatino Linotype" w:cs="Palatino Linotype"/>
        </w:rPr>
      </w:pPr>
    </w:p>
    <w:p w14:paraId="74C7A3C9"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Al respecto, la Ley General de Transparencia y Acceso a la Información Pública, en su artículo 116, dispone que se considera información confidencial la que contenga datos personales concernientes a una persona física identificada o identificable.</w:t>
      </w:r>
    </w:p>
    <w:p w14:paraId="29E34BF5" w14:textId="77777777" w:rsidR="00165D6A" w:rsidRPr="00DA21F3" w:rsidRDefault="00165D6A">
      <w:pPr>
        <w:spacing w:line="360" w:lineRule="auto"/>
        <w:ind w:right="-93"/>
        <w:jc w:val="both"/>
        <w:rPr>
          <w:rFonts w:ascii="Palatino Linotype" w:eastAsia="Palatino Linotype" w:hAnsi="Palatino Linotype" w:cs="Palatino Linotype"/>
        </w:rPr>
      </w:pPr>
    </w:p>
    <w:p w14:paraId="0FE5CC40"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DD96958" w14:textId="77777777" w:rsidR="00165D6A" w:rsidRPr="00DA21F3" w:rsidRDefault="00165D6A">
      <w:pPr>
        <w:spacing w:line="360" w:lineRule="auto"/>
        <w:ind w:right="-93"/>
        <w:jc w:val="both"/>
        <w:rPr>
          <w:rFonts w:ascii="Palatino Linotype" w:eastAsia="Palatino Linotype" w:hAnsi="Palatino Linotype" w:cs="Palatino Linotype"/>
        </w:rPr>
      </w:pPr>
    </w:p>
    <w:p w14:paraId="18AB5AB8"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0C4012A" w14:textId="77777777" w:rsidR="00165D6A" w:rsidRPr="00DA21F3" w:rsidRDefault="00165D6A">
      <w:pPr>
        <w:spacing w:line="360" w:lineRule="auto"/>
        <w:ind w:right="-93"/>
        <w:jc w:val="both"/>
        <w:rPr>
          <w:rFonts w:ascii="Palatino Linotype" w:eastAsia="Palatino Linotype" w:hAnsi="Palatino Linotype" w:cs="Palatino Linotype"/>
        </w:rPr>
      </w:pPr>
    </w:p>
    <w:p w14:paraId="7A6D6432"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51A9DE5B" w14:textId="77777777" w:rsidR="00165D6A" w:rsidRPr="00DA21F3" w:rsidRDefault="00165D6A">
      <w:pPr>
        <w:spacing w:line="360" w:lineRule="auto"/>
        <w:ind w:right="-93"/>
        <w:jc w:val="both"/>
        <w:rPr>
          <w:rFonts w:ascii="Palatino Linotype" w:eastAsia="Palatino Linotype" w:hAnsi="Palatino Linotype" w:cs="Palatino Linotype"/>
        </w:rPr>
      </w:pPr>
    </w:p>
    <w:p w14:paraId="7CC428BD"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C5BD925" w14:textId="77777777" w:rsidR="00165D6A" w:rsidRPr="00DA21F3" w:rsidRDefault="00165D6A">
      <w:pPr>
        <w:spacing w:line="360" w:lineRule="auto"/>
        <w:ind w:right="-93"/>
        <w:jc w:val="both"/>
        <w:rPr>
          <w:rFonts w:ascii="Palatino Linotype" w:eastAsia="Palatino Linotype" w:hAnsi="Palatino Linotype" w:cs="Palatino Linotype"/>
        </w:rPr>
      </w:pPr>
    </w:p>
    <w:p w14:paraId="3AA604EF"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0E1809E9" w14:textId="77777777" w:rsidR="00165D6A" w:rsidRPr="00DA21F3" w:rsidRDefault="00165D6A">
      <w:pPr>
        <w:spacing w:line="360" w:lineRule="auto"/>
        <w:ind w:right="-93"/>
        <w:jc w:val="both"/>
        <w:rPr>
          <w:rFonts w:ascii="Palatino Linotype" w:eastAsia="Palatino Linotype" w:hAnsi="Palatino Linotype" w:cs="Palatino Linotype"/>
        </w:rPr>
      </w:pPr>
    </w:p>
    <w:p w14:paraId="4B40F541" w14:textId="77777777" w:rsidR="00165D6A" w:rsidRPr="00DA21F3" w:rsidRDefault="00311D4F">
      <w:pPr>
        <w:numPr>
          <w:ilvl w:val="0"/>
          <w:numId w:val="1"/>
        </w:num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lastRenderedPageBreak/>
        <w:t xml:space="preserve">Se trate de datos personales o información privada; esto es, información concerniente a una persona física o jurídico colectiva y que esta sea identificada o identificable. </w:t>
      </w:r>
    </w:p>
    <w:p w14:paraId="160D8EA4" w14:textId="77777777" w:rsidR="00165D6A" w:rsidRPr="00DA21F3" w:rsidRDefault="00165D6A">
      <w:pPr>
        <w:spacing w:line="360" w:lineRule="auto"/>
        <w:ind w:right="-93"/>
        <w:jc w:val="both"/>
        <w:rPr>
          <w:rFonts w:ascii="Palatino Linotype" w:eastAsia="Palatino Linotype" w:hAnsi="Palatino Linotype" w:cs="Palatino Linotype"/>
        </w:rPr>
      </w:pPr>
    </w:p>
    <w:p w14:paraId="2125DCC2" w14:textId="77777777" w:rsidR="00165D6A" w:rsidRPr="00DA21F3" w:rsidRDefault="00311D4F">
      <w:pPr>
        <w:numPr>
          <w:ilvl w:val="0"/>
          <w:numId w:val="1"/>
        </w:num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Para la difusión de los datos, se requiera el consentimiento del titular. </w:t>
      </w:r>
    </w:p>
    <w:p w14:paraId="4492B446" w14:textId="77777777" w:rsidR="00165D6A" w:rsidRPr="00DA21F3" w:rsidRDefault="00165D6A">
      <w:pPr>
        <w:spacing w:line="360" w:lineRule="auto"/>
        <w:ind w:right="-93"/>
        <w:jc w:val="both"/>
        <w:rPr>
          <w:rFonts w:ascii="Palatino Linotype" w:eastAsia="Palatino Linotype" w:hAnsi="Palatino Linotype" w:cs="Palatino Linotype"/>
        </w:rPr>
      </w:pPr>
    </w:p>
    <w:p w14:paraId="4B1ACB4E"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DF63C10" w14:textId="77777777" w:rsidR="00165D6A" w:rsidRPr="00DA21F3" w:rsidRDefault="00165D6A">
      <w:pPr>
        <w:spacing w:line="360" w:lineRule="auto"/>
        <w:ind w:right="-93"/>
        <w:jc w:val="both"/>
        <w:rPr>
          <w:rFonts w:ascii="Palatino Linotype" w:eastAsia="Palatino Linotype" w:hAnsi="Palatino Linotype" w:cs="Palatino Linotype"/>
        </w:rPr>
      </w:pPr>
    </w:p>
    <w:p w14:paraId="4A6B0BA7"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Además, en el artículo 5° de dicho ordenamiento jurídico, establece que es la Ley aplicable para todo tratamiento de datos personales.</w:t>
      </w:r>
    </w:p>
    <w:p w14:paraId="07AAD758" w14:textId="77777777" w:rsidR="00165D6A" w:rsidRPr="00DA21F3" w:rsidRDefault="00165D6A">
      <w:pPr>
        <w:spacing w:line="360" w:lineRule="auto"/>
        <w:ind w:right="-93"/>
        <w:jc w:val="both"/>
        <w:rPr>
          <w:rFonts w:ascii="Palatino Linotype" w:eastAsia="Palatino Linotype" w:hAnsi="Palatino Linotype" w:cs="Palatino Linotype"/>
        </w:rPr>
      </w:pPr>
    </w:p>
    <w:p w14:paraId="4013FDFF" w14:textId="77777777" w:rsidR="00165D6A"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w:t>
      </w:r>
      <w:r w:rsidRPr="00DA21F3">
        <w:rPr>
          <w:rFonts w:ascii="Palatino Linotype" w:eastAsia="Palatino Linotype" w:hAnsi="Palatino Linotype" w:cs="Palatino Linotype"/>
        </w:rPr>
        <w:lastRenderedPageBreak/>
        <w:t>exclusivamente a sus atribuciones legales y con el consentimiento de su titular, además de que debe estar justificado en ley (principio de finalidad).</w:t>
      </w:r>
    </w:p>
    <w:p w14:paraId="5A03EDDC" w14:textId="77777777" w:rsidR="00165D6A" w:rsidRPr="00DA21F3" w:rsidRDefault="00165D6A">
      <w:pPr>
        <w:spacing w:line="360" w:lineRule="auto"/>
        <w:ind w:right="-93"/>
        <w:jc w:val="both"/>
        <w:rPr>
          <w:rFonts w:ascii="Palatino Linotype" w:eastAsia="Palatino Linotype" w:hAnsi="Palatino Linotype" w:cs="Palatino Linotype"/>
        </w:rPr>
      </w:pPr>
    </w:p>
    <w:p w14:paraId="65C281E7" w14:textId="77777777" w:rsidR="004C1B49" w:rsidRPr="00DA21F3"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Por tales situaciones, un dato personal es cualquier información que pueda hacer a una persona física identificada e identificable, </w:t>
      </w:r>
      <w:r w:rsidRPr="00DA21F3">
        <w:rPr>
          <w:rFonts w:ascii="Palatino Linotype" w:eastAsia="Palatino Linotype" w:hAnsi="Palatino Linotype" w:cs="Palatino Linotype"/>
          <w:b/>
        </w:rPr>
        <w:t>como su nombre</w:t>
      </w:r>
      <w:r w:rsidRPr="00DA21F3">
        <w:rPr>
          <w:rFonts w:ascii="Palatino Linotype" w:eastAsia="Palatino Linotype" w:hAnsi="Palatino Linotype" w:cs="Palatino Linotype"/>
        </w:rPr>
        <w:t xml:space="preserve"> o imagen y </w:t>
      </w:r>
      <w:r w:rsidRPr="00DA21F3">
        <w:rPr>
          <w:rFonts w:ascii="Palatino Linotype" w:eastAsia="Palatino Linotype" w:hAnsi="Palatino Linotype" w:cs="Palatino Linotype"/>
          <w:b/>
        </w:rPr>
        <w:t>la firma</w:t>
      </w:r>
      <w:r w:rsidRPr="00DA21F3">
        <w:rPr>
          <w:rFonts w:ascii="Palatino Linotype" w:eastAsia="Palatino Linotype" w:hAnsi="Palatino Linotype" w:cs="Palatino Linotype"/>
        </w:rPr>
        <w:t xml:space="preserve">. </w:t>
      </w:r>
    </w:p>
    <w:p w14:paraId="47B5693D" w14:textId="77777777" w:rsidR="004C1B49" w:rsidRPr="00DA21F3" w:rsidRDefault="004C1B49">
      <w:pPr>
        <w:spacing w:line="360" w:lineRule="auto"/>
        <w:ind w:right="-93"/>
        <w:jc w:val="both"/>
        <w:rPr>
          <w:rFonts w:ascii="Palatino Linotype" w:eastAsia="Palatino Linotype" w:hAnsi="Palatino Linotype" w:cs="Palatino Linotype"/>
        </w:rPr>
      </w:pPr>
    </w:p>
    <w:p w14:paraId="63C90309" w14:textId="71FE66AA" w:rsidR="00165D6A" w:rsidRDefault="00311D4F">
      <w:pPr>
        <w:spacing w:line="360" w:lineRule="auto"/>
        <w:ind w:right="-93"/>
        <w:jc w:val="both"/>
        <w:rPr>
          <w:rFonts w:ascii="Palatino Linotype" w:eastAsia="Palatino Linotype" w:hAnsi="Palatino Linotype" w:cs="Palatino Linotype"/>
        </w:rPr>
      </w:pPr>
      <w:r w:rsidRPr="00DA21F3">
        <w:rPr>
          <w:rFonts w:ascii="Palatino Linotype" w:eastAsia="Palatino Linotype" w:hAnsi="Palatino Linotype" w:cs="Palatino Linotype"/>
        </w:rPr>
        <w:t>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2C22C93" w14:textId="77777777" w:rsidR="000B7746" w:rsidRPr="00DA21F3" w:rsidRDefault="000B7746">
      <w:pPr>
        <w:spacing w:line="360" w:lineRule="auto"/>
        <w:ind w:right="-93"/>
        <w:jc w:val="both"/>
        <w:rPr>
          <w:rFonts w:ascii="Palatino Linotype" w:eastAsia="Palatino Linotype" w:hAnsi="Palatino Linotype" w:cs="Palatino Linotype"/>
        </w:rPr>
      </w:pPr>
    </w:p>
    <w:p w14:paraId="0B81DB8F" w14:textId="77777777" w:rsidR="00165D6A" w:rsidRPr="00DA21F3" w:rsidRDefault="00311D4F">
      <w:pPr>
        <w:spacing w:line="360" w:lineRule="auto"/>
        <w:ind w:right="51"/>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Por lo motivos anteriores es que este órgano garante determina modificar la respuesta y ordenar se entregue la información solicitada </w:t>
      </w:r>
      <w:r w:rsidRPr="00DA21F3">
        <w:rPr>
          <w:rFonts w:ascii="Palatino Linotype" w:eastAsia="Palatino Linotype" w:hAnsi="Palatino Linotype" w:cs="Palatino Linotype"/>
          <w:b/>
        </w:rPr>
        <w:t>en correcta versión pública</w:t>
      </w:r>
      <w:r w:rsidRPr="00DA21F3">
        <w:rPr>
          <w:rFonts w:ascii="Palatino Linotype" w:eastAsia="Palatino Linotype" w:hAnsi="Palatino Linotype" w:cs="Palatino Linotype"/>
        </w:rPr>
        <w:t>. Siendo importante señalar que, la clasificación de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FD0AB1C" w14:textId="77777777" w:rsidR="00165D6A" w:rsidRPr="00DA21F3" w:rsidRDefault="00165D6A">
      <w:pPr>
        <w:ind w:right="51"/>
        <w:jc w:val="both"/>
        <w:rPr>
          <w:rFonts w:ascii="Palatino Linotype" w:eastAsia="Palatino Linotype" w:hAnsi="Palatino Linotype" w:cs="Palatino Linotype"/>
        </w:rPr>
      </w:pPr>
    </w:p>
    <w:p w14:paraId="53410073"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“Artículo 49.</w:t>
      </w:r>
      <w:r w:rsidRPr="00DA21F3">
        <w:rPr>
          <w:rFonts w:ascii="Palatino Linotype" w:eastAsia="Palatino Linotype" w:hAnsi="Palatino Linotype" w:cs="Palatino Linotype"/>
          <w:i/>
          <w:sz w:val="22"/>
          <w:szCs w:val="22"/>
        </w:rPr>
        <w:t xml:space="preserve"> </w:t>
      </w:r>
      <w:r w:rsidRPr="00DA21F3">
        <w:rPr>
          <w:rFonts w:ascii="Palatino Linotype" w:eastAsia="Palatino Linotype" w:hAnsi="Palatino Linotype" w:cs="Palatino Linotype"/>
          <w:b/>
          <w:i/>
          <w:sz w:val="22"/>
          <w:szCs w:val="22"/>
        </w:rPr>
        <w:t>Los Comités de Transparencia</w:t>
      </w:r>
      <w:r w:rsidRPr="00DA21F3">
        <w:rPr>
          <w:rFonts w:ascii="Palatino Linotype" w:eastAsia="Palatino Linotype" w:hAnsi="Palatino Linotype" w:cs="Palatino Linotype"/>
          <w:i/>
          <w:sz w:val="22"/>
          <w:szCs w:val="22"/>
        </w:rPr>
        <w:t xml:space="preserve"> tendrán las siguientes atribuciones:</w:t>
      </w:r>
    </w:p>
    <w:p w14:paraId="7FBB2D37"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VIII. Aprobar, modificar o revocar la clasificación de la información</w:t>
      </w:r>
      <w:r w:rsidRPr="00DA21F3">
        <w:rPr>
          <w:rFonts w:ascii="Palatino Linotype" w:eastAsia="Palatino Linotype" w:hAnsi="Palatino Linotype" w:cs="Palatino Linotype"/>
          <w:i/>
          <w:sz w:val="22"/>
          <w:szCs w:val="22"/>
        </w:rPr>
        <w:t>…”</w:t>
      </w:r>
    </w:p>
    <w:p w14:paraId="4AC29755"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w:t>
      </w:r>
      <w:r w:rsidRPr="00DA21F3">
        <w:rPr>
          <w:rFonts w:ascii="Palatino Linotype" w:eastAsia="Palatino Linotype" w:hAnsi="Palatino Linotype" w:cs="Palatino Linotype"/>
          <w:b/>
          <w:i/>
          <w:sz w:val="22"/>
          <w:szCs w:val="22"/>
        </w:rPr>
        <w:t>Artículo 53.</w:t>
      </w:r>
      <w:r w:rsidRPr="00DA21F3">
        <w:rPr>
          <w:rFonts w:ascii="Palatino Linotype" w:eastAsia="Palatino Linotype" w:hAnsi="Palatino Linotype" w:cs="Palatino Linotype"/>
          <w:i/>
          <w:sz w:val="22"/>
          <w:szCs w:val="22"/>
        </w:rPr>
        <w:t xml:space="preserve"> Las </w:t>
      </w:r>
      <w:r w:rsidRPr="00DA21F3">
        <w:rPr>
          <w:rFonts w:ascii="Palatino Linotype" w:eastAsia="Palatino Linotype" w:hAnsi="Palatino Linotype" w:cs="Palatino Linotype"/>
          <w:b/>
          <w:i/>
          <w:sz w:val="22"/>
          <w:szCs w:val="22"/>
        </w:rPr>
        <w:t>Unidades de Transparencia</w:t>
      </w:r>
      <w:r w:rsidRPr="00DA21F3">
        <w:rPr>
          <w:rFonts w:ascii="Palatino Linotype" w:eastAsia="Palatino Linotype" w:hAnsi="Palatino Linotype" w:cs="Palatino Linotype"/>
          <w:i/>
          <w:sz w:val="22"/>
          <w:szCs w:val="22"/>
        </w:rPr>
        <w:t xml:space="preserve"> tendrán las siguientes </w:t>
      </w:r>
      <w:r w:rsidRPr="00DA21F3">
        <w:rPr>
          <w:rFonts w:ascii="Palatino Linotype" w:eastAsia="Palatino Linotype" w:hAnsi="Palatino Linotype" w:cs="Palatino Linotype"/>
          <w:b/>
          <w:i/>
          <w:sz w:val="22"/>
          <w:szCs w:val="22"/>
        </w:rPr>
        <w:t>funciones</w:t>
      </w:r>
      <w:r w:rsidRPr="00DA21F3">
        <w:rPr>
          <w:rFonts w:ascii="Palatino Linotype" w:eastAsia="Palatino Linotype" w:hAnsi="Palatino Linotype" w:cs="Palatino Linotype"/>
          <w:i/>
          <w:sz w:val="22"/>
          <w:szCs w:val="22"/>
        </w:rPr>
        <w:t>:</w:t>
      </w:r>
    </w:p>
    <w:p w14:paraId="26347790"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X. Presentar ante el Comité, el proyecto de clasificación de información</w:t>
      </w:r>
      <w:r w:rsidRPr="00DA21F3">
        <w:rPr>
          <w:rFonts w:ascii="Palatino Linotype" w:eastAsia="Palatino Linotype" w:hAnsi="Palatino Linotype" w:cs="Palatino Linotype"/>
          <w:i/>
          <w:sz w:val="22"/>
          <w:szCs w:val="22"/>
        </w:rPr>
        <w:t xml:space="preserve">…” </w:t>
      </w:r>
    </w:p>
    <w:p w14:paraId="45DBA76E"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lastRenderedPageBreak/>
        <w:t>“Artículo 59.</w:t>
      </w:r>
      <w:r w:rsidRPr="00DA21F3">
        <w:rPr>
          <w:rFonts w:ascii="Palatino Linotype" w:eastAsia="Palatino Linotype" w:hAnsi="Palatino Linotype" w:cs="Palatino Linotype"/>
          <w:i/>
          <w:sz w:val="22"/>
          <w:szCs w:val="22"/>
        </w:rPr>
        <w:t xml:space="preserve"> Los </w:t>
      </w:r>
      <w:r w:rsidRPr="00DA21F3">
        <w:rPr>
          <w:rFonts w:ascii="Palatino Linotype" w:eastAsia="Palatino Linotype" w:hAnsi="Palatino Linotype" w:cs="Palatino Linotype"/>
          <w:b/>
          <w:i/>
          <w:sz w:val="22"/>
          <w:szCs w:val="22"/>
        </w:rPr>
        <w:t>servidores públicos habilitados</w:t>
      </w:r>
      <w:r w:rsidRPr="00DA21F3">
        <w:rPr>
          <w:rFonts w:ascii="Palatino Linotype" w:eastAsia="Palatino Linotype" w:hAnsi="Palatino Linotype" w:cs="Palatino Linotype"/>
          <w:i/>
          <w:sz w:val="22"/>
          <w:szCs w:val="22"/>
        </w:rPr>
        <w:t xml:space="preserve"> tendrán las </w:t>
      </w:r>
      <w:r w:rsidRPr="00DA21F3">
        <w:rPr>
          <w:rFonts w:ascii="Palatino Linotype" w:eastAsia="Palatino Linotype" w:hAnsi="Palatino Linotype" w:cs="Palatino Linotype"/>
          <w:b/>
          <w:i/>
          <w:sz w:val="22"/>
          <w:szCs w:val="22"/>
        </w:rPr>
        <w:t>funciones</w:t>
      </w:r>
      <w:r w:rsidRPr="00DA21F3">
        <w:rPr>
          <w:rFonts w:ascii="Palatino Linotype" w:eastAsia="Palatino Linotype" w:hAnsi="Palatino Linotype" w:cs="Palatino Linotype"/>
          <w:i/>
          <w:sz w:val="22"/>
          <w:szCs w:val="22"/>
        </w:rPr>
        <w:t xml:space="preserve"> siguientes:</w:t>
      </w:r>
    </w:p>
    <w:p w14:paraId="16B2F1D1"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A21F3">
        <w:rPr>
          <w:rFonts w:ascii="Palatino Linotype" w:eastAsia="Palatino Linotype" w:hAnsi="Palatino Linotype" w:cs="Palatino Linotype"/>
          <w:i/>
          <w:sz w:val="22"/>
          <w:szCs w:val="22"/>
        </w:rPr>
        <w:t>, la cual tendrá los fundamentos y argumentos en que se basa dicha propuesta…”</w:t>
      </w:r>
    </w:p>
    <w:p w14:paraId="69F3A402" w14:textId="77777777" w:rsidR="00165D6A" w:rsidRPr="00DA21F3" w:rsidRDefault="00165D6A">
      <w:pPr>
        <w:ind w:left="992" w:right="1043"/>
        <w:jc w:val="both"/>
        <w:rPr>
          <w:rFonts w:ascii="Palatino Linotype" w:eastAsia="Palatino Linotype" w:hAnsi="Palatino Linotype" w:cs="Palatino Linotype"/>
          <w:i/>
          <w:sz w:val="22"/>
          <w:szCs w:val="22"/>
        </w:rPr>
      </w:pPr>
    </w:p>
    <w:p w14:paraId="42E7CCB3"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1A4BF0D" w14:textId="77777777" w:rsidR="00165D6A" w:rsidRPr="00DA21F3" w:rsidRDefault="00165D6A">
      <w:pPr>
        <w:spacing w:line="360" w:lineRule="auto"/>
        <w:jc w:val="both"/>
        <w:rPr>
          <w:rFonts w:ascii="Palatino Linotype" w:eastAsia="Palatino Linotype" w:hAnsi="Palatino Linotype" w:cs="Palatino Linotype"/>
        </w:rPr>
      </w:pPr>
    </w:p>
    <w:p w14:paraId="38422F43"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E1BF980" w14:textId="77777777" w:rsidR="00165D6A" w:rsidRPr="00DA21F3" w:rsidRDefault="00311D4F">
      <w:pPr>
        <w:ind w:left="993" w:right="1041"/>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w:t>
      </w:r>
      <w:r w:rsidRPr="00DA21F3">
        <w:rPr>
          <w:rFonts w:ascii="Palatino Linotype" w:eastAsia="Palatino Linotype" w:hAnsi="Palatino Linotype" w:cs="Palatino Linotype"/>
          <w:b/>
          <w:i/>
          <w:sz w:val="22"/>
          <w:szCs w:val="22"/>
        </w:rPr>
        <w:t>Artículo 149.</w:t>
      </w:r>
      <w:r w:rsidRPr="00DA21F3">
        <w:rPr>
          <w:rFonts w:ascii="Palatino Linotype" w:eastAsia="Palatino Linotype" w:hAnsi="Palatino Linotype" w:cs="Palatino Linotype"/>
          <w:i/>
          <w:sz w:val="22"/>
          <w:szCs w:val="22"/>
        </w:rPr>
        <w:t xml:space="preserve"> El </w:t>
      </w:r>
      <w:r w:rsidRPr="00DA21F3">
        <w:rPr>
          <w:rFonts w:ascii="Palatino Linotype" w:eastAsia="Palatino Linotype" w:hAnsi="Palatino Linotype" w:cs="Palatino Linotype"/>
          <w:b/>
          <w:i/>
          <w:sz w:val="22"/>
          <w:szCs w:val="22"/>
        </w:rPr>
        <w:t>acuerdo que clasifique la información como confidencial</w:t>
      </w:r>
      <w:r w:rsidRPr="00DA21F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723F8D5F" w14:textId="77777777" w:rsidR="00165D6A" w:rsidRPr="00DA21F3" w:rsidRDefault="00165D6A">
      <w:pPr>
        <w:ind w:left="993" w:right="1041"/>
        <w:jc w:val="both"/>
        <w:rPr>
          <w:rFonts w:ascii="Palatino Linotype" w:eastAsia="Palatino Linotype" w:hAnsi="Palatino Linotype" w:cs="Palatino Linotype"/>
          <w:i/>
          <w:sz w:val="22"/>
          <w:szCs w:val="22"/>
        </w:rPr>
      </w:pPr>
    </w:p>
    <w:p w14:paraId="0B1F689B" w14:textId="77777777" w:rsidR="00165D6A" w:rsidRPr="00DA21F3" w:rsidRDefault="00311D4F">
      <w:pPr>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ya que de lo contrario, se crearía la incertidumbre jurídica en relación a si lo entregado es formalmente una versión pública, o un documento ilegible, incompleto o tachado; en </w:t>
      </w:r>
      <w:r w:rsidRPr="00DA21F3">
        <w:rPr>
          <w:rFonts w:ascii="Palatino Linotype" w:eastAsia="Palatino Linotype" w:hAnsi="Palatino Linotype" w:cs="Palatino Linotype"/>
        </w:rPr>
        <w:lastRenderedPageBreak/>
        <w:t>otras palabras si no se exponen de manera puntual las razones de la versión pública de la documentación entregada se estaría violentando el derecho de acceso a la información de la parte solicitante.</w:t>
      </w:r>
    </w:p>
    <w:p w14:paraId="4EFCB5C9" w14:textId="77777777" w:rsidR="00165D6A" w:rsidRPr="00DA21F3" w:rsidRDefault="00165D6A">
      <w:pPr>
        <w:spacing w:line="360" w:lineRule="auto"/>
        <w:ind w:right="-93"/>
        <w:jc w:val="both"/>
        <w:rPr>
          <w:rFonts w:ascii="Palatino Linotype" w:eastAsia="Palatino Linotype" w:hAnsi="Palatino Linotype" w:cs="Palatino Linotype"/>
        </w:rPr>
      </w:pPr>
    </w:p>
    <w:p w14:paraId="4FD6B1B1" w14:textId="77777777" w:rsidR="00165D6A" w:rsidRPr="00DA21F3" w:rsidRDefault="00311D4F">
      <w:pPr>
        <w:spacing w:line="360" w:lineRule="auto"/>
        <w:jc w:val="both"/>
        <w:rPr>
          <w:rFonts w:ascii="Palatino Linotype" w:eastAsia="Palatino Linotype" w:hAnsi="Palatino Linotype" w:cs="Palatino Linotype"/>
          <w:b/>
        </w:rPr>
      </w:pPr>
      <w:r w:rsidRPr="00DA21F3">
        <w:rPr>
          <w:rFonts w:ascii="Palatino Linotype" w:eastAsia="Palatino Linotype" w:hAnsi="Palatino Linotype" w:cs="Palatino Linotype"/>
          <w:b/>
        </w:rPr>
        <w:t>De la Versión Pública.</w:t>
      </w:r>
    </w:p>
    <w:p w14:paraId="7A6BACB0"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FCCD087" w14:textId="77777777" w:rsidR="00165D6A" w:rsidRPr="00DA21F3" w:rsidRDefault="00165D6A">
      <w:pPr>
        <w:ind w:right="899"/>
        <w:jc w:val="both"/>
        <w:rPr>
          <w:rFonts w:ascii="Palatino Linotype" w:eastAsia="Palatino Linotype" w:hAnsi="Palatino Linotype" w:cs="Palatino Linotype"/>
        </w:rPr>
      </w:pPr>
    </w:p>
    <w:p w14:paraId="3F6896CC" w14:textId="77777777" w:rsidR="00165D6A" w:rsidRPr="00DA21F3" w:rsidRDefault="00311D4F">
      <w:pPr>
        <w:ind w:left="851" w:right="901"/>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 xml:space="preserve">“Artículo 3. </w:t>
      </w:r>
      <w:r w:rsidRPr="00DA21F3">
        <w:rPr>
          <w:rFonts w:ascii="Palatino Linotype" w:eastAsia="Palatino Linotype" w:hAnsi="Palatino Linotype" w:cs="Palatino Linotype"/>
          <w:i/>
          <w:sz w:val="22"/>
          <w:szCs w:val="22"/>
        </w:rPr>
        <w:t xml:space="preserve">Para los efectos de la presente Ley se entenderá por: </w:t>
      </w:r>
    </w:p>
    <w:p w14:paraId="2A6DDC17"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IX.</w:t>
      </w:r>
      <w:r w:rsidRPr="00DA21F3">
        <w:rPr>
          <w:rFonts w:ascii="Palatino Linotype" w:eastAsia="Palatino Linotype" w:hAnsi="Palatino Linotype" w:cs="Palatino Linotype"/>
          <w:i/>
          <w:sz w:val="22"/>
          <w:szCs w:val="22"/>
        </w:rPr>
        <w:t xml:space="preserve"> </w:t>
      </w:r>
      <w:r w:rsidRPr="00DA21F3">
        <w:rPr>
          <w:rFonts w:ascii="Palatino Linotype" w:eastAsia="Palatino Linotype" w:hAnsi="Palatino Linotype" w:cs="Palatino Linotype"/>
          <w:b/>
          <w:i/>
          <w:sz w:val="22"/>
          <w:szCs w:val="22"/>
        </w:rPr>
        <w:t xml:space="preserve">Datos personales: </w:t>
      </w:r>
      <w:r w:rsidRPr="00DA21F3">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53A118E0"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XX.</w:t>
      </w:r>
      <w:r w:rsidRPr="00DA21F3">
        <w:rPr>
          <w:rFonts w:ascii="Palatino Linotype" w:eastAsia="Palatino Linotype" w:hAnsi="Palatino Linotype" w:cs="Palatino Linotype"/>
          <w:i/>
          <w:sz w:val="22"/>
          <w:szCs w:val="22"/>
        </w:rPr>
        <w:t xml:space="preserve"> </w:t>
      </w:r>
      <w:r w:rsidRPr="00DA21F3">
        <w:rPr>
          <w:rFonts w:ascii="Palatino Linotype" w:eastAsia="Palatino Linotype" w:hAnsi="Palatino Linotype" w:cs="Palatino Linotype"/>
          <w:b/>
          <w:i/>
          <w:sz w:val="22"/>
          <w:szCs w:val="22"/>
        </w:rPr>
        <w:t>Información clasificada:</w:t>
      </w:r>
      <w:r w:rsidRPr="00DA21F3">
        <w:rPr>
          <w:rFonts w:ascii="Palatino Linotype" w:eastAsia="Palatino Linotype" w:hAnsi="Palatino Linotype" w:cs="Palatino Linotype"/>
          <w:i/>
          <w:sz w:val="22"/>
          <w:szCs w:val="22"/>
        </w:rPr>
        <w:t xml:space="preserve"> Aquella considerada por la presente Ley como reservada o confidencial; </w:t>
      </w:r>
    </w:p>
    <w:p w14:paraId="66441DE4"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XXI.</w:t>
      </w:r>
      <w:r w:rsidRPr="00DA21F3">
        <w:rPr>
          <w:rFonts w:ascii="Palatino Linotype" w:eastAsia="Palatino Linotype" w:hAnsi="Palatino Linotype" w:cs="Palatino Linotype"/>
          <w:i/>
          <w:sz w:val="22"/>
          <w:szCs w:val="22"/>
        </w:rPr>
        <w:t xml:space="preserve"> </w:t>
      </w:r>
      <w:r w:rsidRPr="00DA21F3">
        <w:rPr>
          <w:rFonts w:ascii="Palatino Linotype" w:eastAsia="Palatino Linotype" w:hAnsi="Palatino Linotype" w:cs="Palatino Linotype"/>
          <w:b/>
          <w:i/>
          <w:sz w:val="22"/>
          <w:szCs w:val="22"/>
        </w:rPr>
        <w:t>Información confidencial</w:t>
      </w:r>
      <w:r w:rsidRPr="00DA21F3">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E3BAFD5"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XLV. Versión pública:</w:t>
      </w:r>
      <w:r w:rsidRPr="00DA21F3">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32D56FD2" w14:textId="77777777" w:rsidR="00165D6A" w:rsidRPr="00DA21F3" w:rsidRDefault="00165D6A">
      <w:pPr>
        <w:ind w:left="851" w:right="899"/>
        <w:jc w:val="both"/>
        <w:rPr>
          <w:rFonts w:ascii="Palatino Linotype" w:eastAsia="Palatino Linotype" w:hAnsi="Palatino Linotype" w:cs="Palatino Linotype"/>
          <w:b/>
          <w:i/>
          <w:sz w:val="22"/>
          <w:szCs w:val="22"/>
        </w:rPr>
      </w:pPr>
    </w:p>
    <w:p w14:paraId="412FA547"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Artículo 51.</w:t>
      </w:r>
      <w:r w:rsidRPr="00DA21F3">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w:t>
      </w:r>
      <w:r w:rsidRPr="00DA21F3">
        <w:rPr>
          <w:rFonts w:ascii="Palatino Linotype" w:eastAsia="Palatino Linotype" w:hAnsi="Palatino Linotype" w:cs="Palatino Linotype"/>
          <w:i/>
          <w:sz w:val="22"/>
          <w:szCs w:val="22"/>
        </w:rPr>
        <w:lastRenderedPageBreak/>
        <w:t xml:space="preserve">Dicha Unidad será la encargada de tramitar internamente la solicitud de información </w:t>
      </w:r>
      <w:r w:rsidRPr="00DA21F3">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DA21F3">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5BE47466" w14:textId="77777777" w:rsidR="00165D6A" w:rsidRPr="00DA21F3" w:rsidRDefault="00165D6A">
      <w:pPr>
        <w:ind w:left="851" w:right="899"/>
        <w:jc w:val="both"/>
        <w:rPr>
          <w:rFonts w:ascii="Palatino Linotype" w:eastAsia="Palatino Linotype" w:hAnsi="Palatino Linotype" w:cs="Palatino Linotype"/>
          <w:b/>
          <w:i/>
          <w:sz w:val="22"/>
          <w:szCs w:val="22"/>
        </w:rPr>
      </w:pPr>
    </w:p>
    <w:p w14:paraId="66526490"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Artículo 52.</w:t>
      </w:r>
      <w:r w:rsidRPr="00DA21F3">
        <w:rPr>
          <w:rFonts w:ascii="Palatino Linotype" w:eastAsia="Palatino Linotype" w:hAnsi="Palatino Linotype" w:cs="Palatino Linotype"/>
          <w:i/>
          <w:sz w:val="22"/>
          <w:szCs w:val="22"/>
        </w:rPr>
        <w:t xml:space="preserve"> Las solicitudes de acceso a la información y las respuestas que se les dé, incluyendo, en su caso, </w:t>
      </w:r>
      <w:r w:rsidRPr="00DA21F3">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A21F3">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01E8DDA8" w14:textId="77777777" w:rsidR="00165D6A" w:rsidRPr="00DA21F3" w:rsidRDefault="00311D4F">
      <w:pPr>
        <w:ind w:right="899" w:firstLine="708"/>
        <w:jc w:val="right"/>
        <w:rPr>
          <w:rFonts w:ascii="Palatino Linotype" w:eastAsia="Palatino Linotype" w:hAnsi="Palatino Linotype" w:cs="Palatino Linotype"/>
          <w:sz w:val="16"/>
          <w:szCs w:val="16"/>
        </w:rPr>
      </w:pPr>
      <w:r w:rsidRPr="00DA21F3">
        <w:rPr>
          <w:rFonts w:ascii="Palatino Linotype" w:eastAsia="Palatino Linotype" w:hAnsi="Palatino Linotype" w:cs="Palatino Linotype"/>
          <w:sz w:val="16"/>
          <w:szCs w:val="16"/>
        </w:rPr>
        <w:t>(Énfasis añadido)</w:t>
      </w:r>
    </w:p>
    <w:p w14:paraId="5D8C1460" w14:textId="77777777" w:rsidR="00165D6A" w:rsidRPr="00DA21F3" w:rsidRDefault="00165D6A">
      <w:pPr>
        <w:ind w:right="899" w:firstLine="708"/>
        <w:jc w:val="both"/>
        <w:rPr>
          <w:rFonts w:ascii="Palatino Linotype" w:eastAsia="Palatino Linotype" w:hAnsi="Palatino Linotype" w:cs="Palatino Linotype"/>
        </w:rPr>
      </w:pPr>
    </w:p>
    <w:p w14:paraId="61F6965E"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BF38FC8" w14:textId="77777777" w:rsidR="00165D6A" w:rsidRPr="00DA21F3" w:rsidRDefault="00165D6A">
      <w:pPr>
        <w:jc w:val="both"/>
        <w:rPr>
          <w:rFonts w:ascii="Palatino Linotype" w:eastAsia="Palatino Linotype" w:hAnsi="Palatino Linotype" w:cs="Palatino Linotype"/>
        </w:rPr>
      </w:pPr>
    </w:p>
    <w:p w14:paraId="59DFBA41"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“Artículo 22.</w:t>
      </w:r>
      <w:r w:rsidRPr="00DA21F3">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6F93E34"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 xml:space="preserve"> </w:t>
      </w:r>
    </w:p>
    <w:p w14:paraId="52D454FD"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Artículo 38.</w:t>
      </w:r>
      <w:r w:rsidRPr="00DA21F3">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DA21F3">
        <w:rPr>
          <w:rFonts w:ascii="Palatino Linotype" w:eastAsia="Palatino Linotype" w:hAnsi="Palatino Linotype" w:cs="Palatino Linotype"/>
          <w:i/>
          <w:sz w:val="22"/>
          <w:szCs w:val="22"/>
        </w:rPr>
        <w:lastRenderedPageBreak/>
        <w:t>tratamiento no autorizado o ilícito, de conformidad con lo dispuesto en los lineamientos que al efecto se expidan.</w:t>
      </w:r>
      <w:r w:rsidRPr="00DA21F3">
        <w:rPr>
          <w:rFonts w:ascii="Palatino Linotype" w:eastAsia="Palatino Linotype" w:hAnsi="Palatino Linotype" w:cs="Palatino Linotype"/>
          <w:b/>
          <w:i/>
          <w:sz w:val="22"/>
          <w:szCs w:val="22"/>
        </w:rPr>
        <w:t>”</w:t>
      </w:r>
      <w:r w:rsidRPr="00DA21F3">
        <w:rPr>
          <w:rFonts w:ascii="Palatino Linotype" w:eastAsia="Palatino Linotype" w:hAnsi="Palatino Linotype" w:cs="Palatino Linotype"/>
          <w:i/>
          <w:sz w:val="22"/>
          <w:szCs w:val="22"/>
        </w:rPr>
        <w:t xml:space="preserve"> </w:t>
      </w:r>
    </w:p>
    <w:p w14:paraId="36CD50BE" w14:textId="77777777" w:rsidR="00165D6A" w:rsidRPr="00DA21F3" w:rsidRDefault="00165D6A">
      <w:pPr>
        <w:ind w:left="851" w:right="850"/>
        <w:jc w:val="both"/>
        <w:rPr>
          <w:rFonts w:ascii="Palatino Linotype" w:eastAsia="Palatino Linotype" w:hAnsi="Palatino Linotype" w:cs="Palatino Linotype"/>
          <w:i/>
          <w:sz w:val="22"/>
          <w:szCs w:val="22"/>
        </w:rPr>
      </w:pPr>
    </w:p>
    <w:p w14:paraId="7D9F52E6"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DA21F3">
        <w:rPr>
          <w:rFonts w:ascii="Palatino Linotype" w:eastAsia="Palatino Linotype" w:hAnsi="Palatino Linotype" w:cs="Palatino Linotype"/>
          <w:b/>
        </w:rPr>
        <w:t>confidencial</w:t>
      </w:r>
      <w:r w:rsidRPr="00DA21F3">
        <w:rPr>
          <w:rFonts w:ascii="Palatino Linotype" w:eastAsia="Palatino Linotype" w:hAnsi="Palatino Linotype" w:cs="Palatino Linotype"/>
        </w:rPr>
        <w:t xml:space="preserve">. </w:t>
      </w:r>
    </w:p>
    <w:p w14:paraId="643C4580" w14:textId="77777777" w:rsidR="00165D6A" w:rsidRPr="00DA21F3" w:rsidRDefault="00165D6A">
      <w:pPr>
        <w:spacing w:line="360" w:lineRule="auto"/>
        <w:jc w:val="both"/>
        <w:rPr>
          <w:rFonts w:ascii="Palatino Linotype" w:eastAsia="Palatino Linotype" w:hAnsi="Palatino Linotype" w:cs="Palatino Linotype"/>
        </w:rPr>
      </w:pPr>
    </w:p>
    <w:p w14:paraId="77433AC1"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931F699" w14:textId="77777777" w:rsidR="00165D6A" w:rsidRPr="00DA21F3" w:rsidRDefault="00165D6A">
      <w:pPr>
        <w:spacing w:line="360" w:lineRule="auto"/>
        <w:jc w:val="both"/>
        <w:rPr>
          <w:rFonts w:ascii="Palatino Linotype" w:eastAsia="Palatino Linotype" w:hAnsi="Palatino Linotype" w:cs="Palatino Linotype"/>
        </w:rPr>
      </w:pPr>
    </w:p>
    <w:p w14:paraId="3CCE286B"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A21F3">
        <w:rPr>
          <w:rFonts w:ascii="Palatino Linotype" w:eastAsia="Palatino Linotype" w:hAnsi="Palatino Linotype" w:cs="Palatino Linotype"/>
          <w:b/>
        </w:rPr>
        <w:t>el Sujeto Obligado,</w:t>
      </w:r>
      <w:r w:rsidRPr="00DA21F3">
        <w:rPr>
          <w:rFonts w:ascii="Palatino Linotype" w:eastAsia="Palatino Linotype" w:hAnsi="Palatino Linotype" w:cs="Palatino Linotype"/>
        </w:rPr>
        <w:t xml:space="preserve"> por lo que, todo dato personal susceptible de clasificación debe ser protegido.</w:t>
      </w:r>
    </w:p>
    <w:p w14:paraId="4BF16CBC" w14:textId="77777777" w:rsidR="00165D6A" w:rsidRPr="00DA21F3" w:rsidRDefault="00165D6A">
      <w:pPr>
        <w:spacing w:line="360" w:lineRule="auto"/>
        <w:jc w:val="both"/>
        <w:rPr>
          <w:rFonts w:ascii="Palatino Linotype" w:eastAsia="Palatino Linotype" w:hAnsi="Palatino Linotype" w:cs="Palatino Linotype"/>
        </w:rPr>
      </w:pPr>
    </w:p>
    <w:p w14:paraId="07E5364D"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 xml:space="preserve">La finalidad de la versión pública de la información es salvaguardar la vida, integridad, seguridad, patrimonio y privacidad de las personas; de tal manera que todo aquello que no tenga por objeto proteger lo anterior, es susceptible de ser entregado; en otras </w:t>
      </w:r>
      <w:r w:rsidRPr="00DA21F3">
        <w:rPr>
          <w:rFonts w:ascii="Palatino Linotype" w:eastAsia="Palatino Linotype" w:hAnsi="Palatino Linotype" w:cs="Palatino Linotype"/>
        </w:rPr>
        <w:lastRenderedPageBreak/>
        <w:t>palabras, la protección de datos personales, entre ellos el del patrimonio y su confidencialidad, es una derivación del derecho a la intimidad.</w:t>
      </w:r>
    </w:p>
    <w:p w14:paraId="7F60DED1" w14:textId="77777777" w:rsidR="00165D6A" w:rsidRPr="00DA21F3" w:rsidRDefault="00165D6A">
      <w:pPr>
        <w:spacing w:line="360" w:lineRule="auto"/>
        <w:rPr>
          <w:rFonts w:ascii="Palatino Linotype" w:eastAsia="Palatino Linotype" w:hAnsi="Palatino Linotype" w:cs="Palatino Linotype"/>
        </w:rPr>
      </w:pPr>
    </w:p>
    <w:p w14:paraId="4250F6A1"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Ley de Transparencia local.</w:t>
      </w:r>
    </w:p>
    <w:p w14:paraId="37125E53" w14:textId="77777777" w:rsidR="00165D6A" w:rsidRPr="00DA21F3" w:rsidRDefault="00165D6A">
      <w:pPr>
        <w:spacing w:line="360" w:lineRule="auto"/>
        <w:jc w:val="both"/>
        <w:rPr>
          <w:rFonts w:ascii="Palatino Linotype" w:eastAsia="Palatino Linotype" w:hAnsi="Palatino Linotype" w:cs="Palatino Linotype"/>
        </w:rPr>
      </w:pPr>
    </w:p>
    <w:p w14:paraId="56B955D7" w14:textId="77777777" w:rsidR="00165D6A" w:rsidRPr="00DA21F3" w:rsidRDefault="00311D4F">
      <w:pPr>
        <w:spacing w:line="360" w:lineRule="auto"/>
        <w:jc w:val="both"/>
        <w:rPr>
          <w:rFonts w:ascii="Palatino Linotype" w:eastAsia="Palatino Linotype" w:hAnsi="Palatino Linotype" w:cs="Palatino Linotype"/>
        </w:rPr>
      </w:pPr>
      <w:bookmarkStart w:id="2" w:name="_heading=h.30j0zll" w:colFirst="0" w:colLast="0"/>
      <w:bookmarkEnd w:id="2"/>
      <w:r w:rsidRPr="00DA21F3">
        <w:rPr>
          <w:rFonts w:ascii="Palatino Linotype" w:eastAsia="Palatino Linotype" w:hAnsi="Palatino Linotype" w:cs="Palatino Linotype"/>
        </w:rPr>
        <w:t>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Lineamientos Generales en materia de Clasificación y Desclasificación de la Información</w:t>
      </w:r>
      <w:r w:rsidRPr="00DA21F3">
        <w:rPr>
          <w:rFonts w:ascii="Palatino Linotype" w:eastAsia="Palatino Linotype" w:hAnsi="Palatino Linotype" w:cs="Palatino Linotype"/>
          <w:vertAlign w:val="superscript"/>
        </w:rPr>
        <w:footnoteReference w:id="11"/>
      </w:r>
      <w:r w:rsidRPr="00DA21F3">
        <w:rPr>
          <w:rFonts w:ascii="Palatino Linotype" w:eastAsia="Palatino Linotype" w:hAnsi="Palatino Linotype" w:cs="Palatino Linotype"/>
        </w:rPr>
        <w:t xml:space="preserve">, así como para la elaboración de Versiones Públicas, que literalmente expresan: </w:t>
      </w:r>
    </w:p>
    <w:p w14:paraId="1F1F0215" w14:textId="77777777" w:rsidR="00165D6A" w:rsidRPr="00DA21F3" w:rsidRDefault="00165D6A">
      <w:pPr>
        <w:ind w:left="851" w:right="902"/>
        <w:jc w:val="both"/>
        <w:rPr>
          <w:rFonts w:ascii="Palatino Linotype" w:eastAsia="Palatino Linotype" w:hAnsi="Palatino Linotype" w:cs="Palatino Linotype"/>
          <w:b/>
          <w:i/>
          <w:sz w:val="22"/>
          <w:szCs w:val="22"/>
        </w:rPr>
      </w:pPr>
    </w:p>
    <w:p w14:paraId="039FA577" w14:textId="77777777" w:rsidR="00165D6A" w:rsidRPr="00DA21F3" w:rsidRDefault="00311D4F">
      <w:pPr>
        <w:ind w:left="851" w:right="902"/>
        <w:jc w:val="both"/>
        <w:rPr>
          <w:rFonts w:ascii="Palatino Linotype" w:eastAsia="Palatino Linotype" w:hAnsi="Palatino Linotype" w:cs="Palatino Linotype"/>
          <w:b/>
          <w:i/>
          <w:sz w:val="22"/>
          <w:szCs w:val="22"/>
        </w:rPr>
      </w:pPr>
      <w:r w:rsidRPr="00DA21F3">
        <w:rPr>
          <w:rFonts w:ascii="Palatino Linotype" w:eastAsia="Palatino Linotype" w:hAnsi="Palatino Linotype" w:cs="Palatino Linotype"/>
          <w:b/>
          <w:i/>
          <w:sz w:val="22"/>
          <w:szCs w:val="22"/>
        </w:rPr>
        <w:t>Ley de Transparencia local.</w:t>
      </w:r>
    </w:p>
    <w:p w14:paraId="1E9B84CC" w14:textId="77777777" w:rsidR="00165D6A" w:rsidRPr="00DA21F3" w:rsidRDefault="00165D6A">
      <w:pPr>
        <w:ind w:left="851" w:right="902"/>
        <w:jc w:val="both"/>
        <w:rPr>
          <w:rFonts w:ascii="Palatino Linotype" w:eastAsia="Palatino Linotype" w:hAnsi="Palatino Linotype" w:cs="Palatino Linotype"/>
          <w:b/>
          <w:i/>
          <w:sz w:val="22"/>
          <w:szCs w:val="22"/>
        </w:rPr>
      </w:pPr>
    </w:p>
    <w:p w14:paraId="4F425349"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 xml:space="preserve">Artículo 49. </w:t>
      </w:r>
      <w:r w:rsidRPr="00DA21F3">
        <w:rPr>
          <w:rFonts w:ascii="Palatino Linotype" w:eastAsia="Palatino Linotype" w:hAnsi="Palatino Linotype" w:cs="Palatino Linotype"/>
          <w:i/>
          <w:sz w:val="22"/>
          <w:szCs w:val="22"/>
        </w:rPr>
        <w:t>Los Comités de Transparencia tendrán las siguientes atribuciones:</w:t>
      </w:r>
    </w:p>
    <w:p w14:paraId="3E81F4CE"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VIII. Aprobar, modificar o revocar la clasificación de la información;</w:t>
      </w:r>
    </w:p>
    <w:p w14:paraId="1A996226" w14:textId="77777777" w:rsidR="00165D6A" w:rsidRPr="00DA21F3" w:rsidRDefault="00165D6A">
      <w:pPr>
        <w:ind w:left="851" w:right="902"/>
        <w:jc w:val="both"/>
        <w:rPr>
          <w:rFonts w:ascii="Palatino Linotype" w:eastAsia="Palatino Linotype" w:hAnsi="Palatino Linotype" w:cs="Palatino Linotype"/>
          <w:i/>
          <w:sz w:val="22"/>
          <w:szCs w:val="22"/>
        </w:rPr>
      </w:pPr>
    </w:p>
    <w:p w14:paraId="09570115"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lastRenderedPageBreak/>
        <w:t>Artículo 132.</w:t>
      </w:r>
      <w:r w:rsidRPr="00DA21F3">
        <w:rPr>
          <w:rFonts w:ascii="Palatino Linotype" w:eastAsia="Palatino Linotype" w:hAnsi="Palatino Linotype" w:cs="Palatino Linotype"/>
          <w:i/>
          <w:sz w:val="22"/>
          <w:szCs w:val="22"/>
        </w:rPr>
        <w:t xml:space="preserve"> La clasificación de la información se llevará a cabo en el momento en que:</w:t>
      </w:r>
    </w:p>
    <w:p w14:paraId="69D13BB9"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I. Se reciba una solicitud de acceso a la información;</w:t>
      </w:r>
    </w:p>
    <w:p w14:paraId="1AED11C9"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II. Se determine mediante resolución de autoridad competente; o</w:t>
      </w:r>
    </w:p>
    <w:p w14:paraId="13CFFCE0"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D24E156" w14:textId="77777777" w:rsidR="00165D6A" w:rsidRPr="00DA21F3" w:rsidRDefault="00165D6A">
      <w:pPr>
        <w:ind w:left="851" w:right="902"/>
        <w:jc w:val="both"/>
        <w:rPr>
          <w:rFonts w:ascii="Palatino Linotype" w:eastAsia="Palatino Linotype" w:hAnsi="Palatino Linotype" w:cs="Palatino Linotype"/>
          <w:i/>
          <w:sz w:val="22"/>
          <w:szCs w:val="22"/>
        </w:rPr>
      </w:pPr>
    </w:p>
    <w:p w14:paraId="7AE5706A"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Lineamientos Generales en materia de Clasificación y Desclasificación de la Información.</w:t>
      </w:r>
    </w:p>
    <w:p w14:paraId="4F1679FC"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w:t>
      </w:r>
      <w:r w:rsidRPr="00DA21F3">
        <w:rPr>
          <w:rFonts w:ascii="Palatino Linotype" w:eastAsia="Palatino Linotype" w:hAnsi="Palatino Linotype" w:cs="Palatino Linotype"/>
          <w:b/>
          <w:i/>
          <w:sz w:val="22"/>
          <w:szCs w:val="22"/>
        </w:rPr>
        <w:t>Segundo</w:t>
      </w:r>
      <w:r w:rsidRPr="00DA21F3">
        <w:rPr>
          <w:rFonts w:ascii="Palatino Linotype" w:eastAsia="Palatino Linotype" w:hAnsi="Palatino Linotype" w:cs="Palatino Linotype"/>
          <w:i/>
          <w:sz w:val="22"/>
          <w:szCs w:val="22"/>
        </w:rPr>
        <w:t>.- Para efectos de los presentes Lineamientos Generales, se entenderá por:</w:t>
      </w:r>
    </w:p>
    <w:p w14:paraId="2C528C8B"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XVIII.  Versión pública:</w:t>
      </w:r>
      <w:r w:rsidRPr="00DA21F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5E67BB9"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Tercero: Derogado.</w:t>
      </w:r>
    </w:p>
    <w:p w14:paraId="26255022"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Cuarto.</w:t>
      </w:r>
      <w:r w:rsidRPr="00DA21F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7FFFCC"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984E79C"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Quinto.</w:t>
      </w:r>
      <w:r w:rsidRPr="00DA21F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AB635DA"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Sexto: Derogado.</w:t>
      </w:r>
    </w:p>
    <w:p w14:paraId="0B3C9389"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Séptimo.</w:t>
      </w:r>
      <w:r w:rsidRPr="00DA21F3">
        <w:rPr>
          <w:rFonts w:ascii="Palatino Linotype" w:eastAsia="Palatino Linotype" w:hAnsi="Palatino Linotype" w:cs="Palatino Linotype"/>
          <w:i/>
          <w:sz w:val="22"/>
          <w:szCs w:val="22"/>
        </w:rPr>
        <w:t xml:space="preserve"> La clasificación de la informaci6n se llevara a cabo en el momento en que:</w:t>
      </w:r>
    </w:p>
    <w:p w14:paraId="2DF4B01C"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I. Se reciba una solicitud de acceso a la información;</w:t>
      </w:r>
    </w:p>
    <w:p w14:paraId="1F14E4A3"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7F93F91C"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6AC89457"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lastRenderedPageBreak/>
        <w:t>Los titulares de las áreas deberán revisar la informaci6n requerida al momento de la recepci6n de una solicitud de acceso, para verificar, conforme a su naturaleza, si encuadra en una causal de reserva o de confidencialidad.</w:t>
      </w:r>
    </w:p>
    <w:p w14:paraId="2BEFC079"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Octavo.</w:t>
      </w:r>
      <w:r w:rsidRPr="00DA21F3">
        <w:rPr>
          <w:rFonts w:ascii="Palatino Linotype" w:eastAsia="Palatino Linotype" w:hAnsi="Palatino Linotype" w:cs="Palatino Linotype"/>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27B7A6F8"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Para motivar la clasificaci6n se deberán señalar las razones o circunstancias especiales que lo llevaron a concluir que el caso particular se ajusta al supuesto previsto por la norma legal invocada como fundamento.</w:t>
      </w:r>
    </w:p>
    <w:p w14:paraId="4B8D36BC"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03799E72"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Noveno.</w:t>
      </w:r>
      <w:r w:rsidRPr="00DA21F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BC02E37"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Décimo.</w:t>
      </w:r>
      <w:r w:rsidRPr="00DA21F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6B9D3AA"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61F9F8F2" w14:textId="77777777" w:rsidR="00165D6A" w:rsidRPr="00DA21F3" w:rsidRDefault="00311D4F">
      <w:pPr>
        <w:ind w:left="851" w:right="902"/>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b/>
          <w:i/>
          <w:sz w:val="22"/>
          <w:szCs w:val="22"/>
        </w:rPr>
        <w:t>Décimo primero.</w:t>
      </w:r>
      <w:r w:rsidRPr="00DA21F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DD05419" w14:textId="77777777" w:rsidR="00165D6A" w:rsidRPr="00DA21F3" w:rsidRDefault="00165D6A">
      <w:pPr>
        <w:ind w:left="851" w:right="899"/>
        <w:jc w:val="both"/>
        <w:rPr>
          <w:rFonts w:ascii="Palatino Linotype" w:eastAsia="Palatino Linotype" w:hAnsi="Palatino Linotype" w:cs="Palatino Linotype"/>
          <w:b/>
          <w:i/>
        </w:rPr>
      </w:pPr>
    </w:p>
    <w:p w14:paraId="4C372A68"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70AF27E" w14:textId="6EB72EF3" w:rsidR="00165D6A" w:rsidRPr="00DA21F3" w:rsidRDefault="00311D4F">
      <w:pPr>
        <w:spacing w:line="360" w:lineRule="auto"/>
        <w:ind w:right="-91"/>
        <w:jc w:val="both"/>
        <w:rPr>
          <w:rFonts w:ascii="Palatino Linotype" w:eastAsia="Palatino Linotype" w:hAnsi="Palatino Linotype" w:cs="Palatino Linotype"/>
        </w:rPr>
      </w:pPr>
      <w:r w:rsidRPr="00DA21F3">
        <w:rPr>
          <w:rFonts w:ascii="Palatino Linotype" w:eastAsia="Palatino Linotype" w:hAnsi="Palatino Linotype" w:cs="Palatino Linotype"/>
        </w:rPr>
        <w:lastRenderedPageBreak/>
        <w:t xml:space="preserve">Consecuentemente, se destaca que la versión pública que elabore </w:t>
      </w:r>
      <w:r w:rsidR="000B7746" w:rsidRPr="00DA21F3">
        <w:rPr>
          <w:rFonts w:ascii="Palatino Linotype" w:eastAsia="Palatino Linotype" w:hAnsi="Palatino Linotype" w:cs="Palatino Linotype"/>
          <w:b/>
        </w:rPr>
        <w:t>EL SUJETO OBLIGADO</w:t>
      </w:r>
      <w:r w:rsidR="000B7746" w:rsidRPr="00DA21F3">
        <w:rPr>
          <w:rFonts w:ascii="Palatino Linotype" w:eastAsia="Palatino Linotype" w:hAnsi="Palatino Linotype" w:cs="Palatino Linotype"/>
        </w:rPr>
        <w:t xml:space="preserve"> </w:t>
      </w:r>
      <w:r w:rsidRPr="00DA21F3">
        <w:rPr>
          <w:rFonts w:ascii="Palatino Linotype" w:eastAsia="Palatino Linotype" w:hAnsi="Palatino Linotype" w:cs="Palatino Linotype"/>
        </w:rPr>
        <w:t xml:space="preserve">debe cumplir con las formalidades exigidas en la Ley, por lo que para tal efecto emitirá el </w:t>
      </w:r>
      <w:r w:rsidRPr="00DA21F3">
        <w:rPr>
          <w:rFonts w:ascii="Palatino Linotype" w:eastAsia="Palatino Linotype" w:hAnsi="Palatino Linotype" w:cs="Palatino Linotype"/>
          <w:b/>
        </w:rPr>
        <w:t>Acuerdo del Comité de Transparencia</w:t>
      </w:r>
      <w:r w:rsidRPr="00DA21F3">
        <w:rPr>
          <w:rFonts w:ascii="Palatino Linotype" w:eastAsia="Palatino Linotype" w:hAnsi="Palatino Linotype" w:cs="Palatino Linotype"/>
        </w:rPr>
        <w:t xml:space="preserve"> en términos de los artículos 122 y 124 de la Ley de Transparencia local,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1A0590C9"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Así, con fundamento en lo prescrito en los artículos 5, párrafos trigésimo segundo, trigésimo tercero y trigésimo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2902DA8" w14:textId="77777777" w:rsidR="00165D6A" w:rsidRPr="00DA21F3" w:rsidRDefault="00165D6A">
      <w:pPr>
        <w:rPr>
          <w:rFonts w:ascii="Palatino Linotype" w:eastAsia="Palatino Linotype" w:hAnsi="Palatino Linotype" w:cs="Palatino Linotype"/>
          <w:b/>
          <w:sz w:val="26"/>
          <w:szCs w:val="26"/>
        </w:rPr>
      </w:pPr>
    </w:p>
    <w:p w14:paraId="5034808A" w14:textId="6FD8A924" w:rsidR="00165D6A" w:rsidRPr="00DA21F3" w:rsidRDefault="00311D4F">
      <w:pPr>
        <w:jc w:val="center"/>
        <w:rPr>
          <w:rFonts w:ascii="Palatino Linotype" w:eastAsia="Palatino Linotype" w:hAnsi="Palatino Linotype" w:cs="Palatino Linotype"/>
          <w:b/>
          <w:sz w:val="26"/>
          <w:szCs w:val="26"/>
        </w:rPr>
      </w:pPr>
      <w:r w:rsidRPr="00DA21F3">
        <w:rPr>
          <w:rFonts w:ascii="Palatino Linotype" w:eastAsia="Palatino Linotype" w:hAnsi="Palatino Linotype" w:cs="Palatino Linotype"/>
          <w:b/>
          <w:sz w:val="26"/>
          <w:szCs w:val="26"/>
        </w:rPr>
        <w:t>R</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E</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S</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U</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E</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L</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V</w:t>
      </w:r>
      <w:r w:rsidR="000B7746">
        <w:rPr>
          <w:rFonts w:ascii="Palatino Linotype" w:eastAsia="Palatino Linotype" w:hAnsi="Palatino Linotype" w:cs="Palatino Linotype"/>
          <w:b/>
          <w:sz w:val="26"/>
          <w:szCs w:val="26"/>
        </w:rPr>
        <w:t xml:space="preserve"> </w:t>
      </w:r>
      <w:r w:rsidRPr="00DA21F3">
        <w:rPr>
          <w:rFonts w:ascii="Palatino Linotype" w:eastAsia="Palatino Linotype" w:hAnsi="Palatino Linotype" w:cs="Palatino Linotype"/>
          <w:b/>
          <w:sz w:val="26"/>
          <w:szCs w:val="26"/>
        </w:rPr>
        <w:t>E</w:t>
      </w:r>
    </w:p>
    <w:p w14:paraId="0934074D" w14:textId="77777777" w:rsidR="00165D6A" w:rsidRPr="00DA21F3" w:rsidRDefault="00165D6A">
      <w:pPr>
        <w:ind w:right="49"/>
        <w:jc w:val="both"/>
        <w:rPr>
          <w:rFonts w:ascii="Palatino Linotype" w:eastAsia="Palatino Linotype" w:hAnsi="Palatino Linotype" w:cs="Palatino Linotype"/>
          <w:b/>
        </w:rPr>
      </w:pPr>
    </w:p>
    <w:p w14:paraId="2C08CE4B"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b/>
          <w:sz w:val="28"/>
          <w:szCs w:val="28"/>
        </w:rPr>
        <w:t>PRIMERO</w:t>
      </w:r>
      <w:r w:rsidRPr="00DA21F3">
        <w:rPr>
          <w:rFonts w:ascii="Palatino Linotype" w:eastAsia="Palatino Linotype" w:hAnsi="Palatino Linotype" w:cs="Palatino Linotype"/>
          <w:b/>
        </w:rPr>
        <w:t xml:space="preserve">. </w:t>
      </w:r>
      <w:r w:rsidRPr="00DA21F3">
        <w:rPr>
          <w:rFonts w:ascii="Palatino Linotype" w:eastAsia="Palatino Linotype" w:hAnsi="Palatino Linotype" w:cs="Palatino Linotype"/>
        </w:rPr>
        <w:t xml:space="preserve">Resultan </w:t>
      </w:r>
      <w:r w:rsidRPr="00DA21F3">
        <w:rPr>
          <w:rFonts w:ascii="Palatino Linotype" w:eastAsia="Palatino Linotype" w:hAnsi="Palatino Linotype" w:cs="Palatino Linotype"/>
          <w:b/>
        </w:rPr>
        <w:t>fundadas</w:t>
      </w:r>
      <w:r w:rsidRPr="00DA21F3">
        <w:rPr>
          <w:rFonts w:ascii="Palatino Linotype" w:eastAsia="Palatino Linotype" w:hAnsi="Palatino Linotype" w:cs="Palatino Linotype"/>
        </w:rPr>
        <w:t xml:space="preserve"> las razones o motivos de inconformidad planteadas por </w:t>
      </w:r>
      <w:r w:rsidRPr="00DA21F3">
        <w:rPr>
          <w:rFonts w:ascii="Palatino Linotype" w:eastAsia="Palatino Linotype" w:hAnsi="Palatino Linotype" w:cs="Palatino Linotype"/>
          <w:b/>
        </w:rPr>
        <w:t>EL RECURRENTE</w:t>
      </w:r>
      <w:r w:rsidRPr="00DA21F3">
        <w:rPr>
          <w:rFonts w:ascii="Palatino Linotype" w:eastAsia="Palatino Linotype" w:hAnsi="Palatino Linotype" w:cs="Palatino Linotype"/>
        </w:rPr>
        <w:t xml:space="preserve">, en términos del Considerando </w:t>
      </w:r>
      <w:r w:rsidRPr="00DA21F3">
        <w:rPr>
          <w:rFonts w:ascii="Palatino Linotype" w:eastAsia="Palatino Linotype" w:hAnsi="Palatino Linotype" w:cs="Palatino Linotype"/>
          <w:b/>
        </w:rPr>
        <w:t>CUARTO</w:t>
      </w:r>
      <w:r w:rsidRPr="00DA21F3">
        <w:rPr>
          <w:rFonts w:ascii="Palatino Linotype" w:eastAsia="Palatino Linotype" w:hAnsi="Palatino Linotype" w:cs="Palatino Linotype"/>
        </w:rPr>
        <w:t xml:space="preserve"> de la presente resolución.</w:t>
      </w:r>
    </w:p>
    <w:p w14:paraId="68DEEB5C" w14:textId="77777777" w:rsidR="00165D6A" w:rsidRPr="00DA21F3" w:rsidRDefault="00165D6A">
      <w:pPr>
        <w:spacing w:line="360" w:lineRule="auto"/>
        <w:jc w:val="both"/>
        <w:rPr>
          <w:rFonts w:ascii="Palatino Linotype" w:eastAsia="Palatino Linotype" w:hAnsi="Palatino Linotype" w:cs="Palatino Linotype"/>
        </w:rPr>
      </w:pPr>
    </w:p>
    <w:p w14:paraId="4AF819A3" w14:textId="1B56A066" w:rsidR="00165D6A" w:rsidRPr="00DA21F3" w:rsidRDefault="00311D4F">
      <w:pPr>
        <w:spacing w:line="360" w:lineRule="auto"/>
        <w:jc w:val="both"/>
        <w:rPr>
          <w:rFonts w:ascii="Palatino Linotype" w:eastAsia="Palatino Linotype" w:hAnsi="Palatino Linotype" w:cs="Palatino Linotype"/>
          <w:b/>
          <w:color w:val="000000"/>
        </w:rPr>
      </w:pPr>
      <w:r w:rsidRPr="00DA21F3">
        <w:rPr>
          <w:rFonts w:ascii="Palatino Linotype" w:eastAsia="Palatino Linotype" w:hAnsi="Palatino Linotype" w:cs="Palatino Linotype"/>
          <w:b/>
          <w:sz w:val="28"/>
          <w:szCs w:val="28"/>
        </w:rPr>
        <w:lastRenderedPageBreak/>
        <w:t>SEGUNDO</w:t>
      </w:r>
      <w:r w:rsidRPr="00DA21F3">
        <w:rPr>
          <w:rFonts w:ascii="Palatino Linotype" w:eastAsia="Palatino Linotype" w:hAnsi="Palatino Linotype" w:cs="Palatino Linotype"/>
          <w:b/>
        </w:rPr>
        <w:t xml:space="preserve">. </w:t>
      </w:r>
      <w:r w:rsidRPr="00DA21F3">
        <w:rPr>
          <w:rFonts w:ascii="Palatino Linotype" w:eastAsia="Palatino Linotype" w:hAnsi="Palatino Linotype" w:cs="Palatino Linotype"/>
          <w:color w:val="000000"/>
        </w:rPr>
        <w:t>Se</w:t>
      </w:r>
      <w:r w:rsidRPr="00DA21F3">
        <w:rPr>
          <w:rFonts w:ascii="Palatino Linotype" w:eastAsia="Palatino Linotype" w:hAnsi="Palatino Linotype" w:cs="Palatino Linotype"/>
          <w:b/>
          <w:color w:val="000000"/>
        </w:rPr>
        <w:t xml:space="preserve"> modifica </w:t>
      </w:r>
      <w:r w:rsidRPr="00DA21F3">
        <w:rPr>
          <w:rFonts w:ascii="Palatino Linotype" w:eastAsia="Palatino Linotype" w:hAnsi="Palatino Linotype" w:cs="Palatino Linotype"/>
          <w:color w:val="000000"/>
        </w:rPr>
        <w:t xml:space="preserve">la respuesta del </w:t>
      </w:r>
      <w:r w:rsidRPr="00DA21F3">
        <w:rPr>
          <w:rFonts w:ascii="Palatino Linotype" w:eastAsia="Palatino Linotype" w:hAnsi="Palatino Linotype" w:cs="Palatino Linotype"/>
          <w:b/>
          <w:color w:val="000000"/>
        </w:rPr>
        <w:t xml:space="preserve">SUJETO OBLIGADO </w:t>
      </w:r>
      <w:r w:rsidRPr="00DA21F3">
        <w:rPr>
          <w:rFonts w:ascii="Palatino Linotype" w:eastAsia="Palatino Linotype" w:hAnsi="Palatino Linotype" w:cs="Palatino Linotype"/>
          <w:color w:val="000000"/>
        </w:rPr>
        <w:t xml:space="preserve">que dio origen al Recurso de Revisión número </w:t>
      </w:r>
      <w:r w:rsidR="00305677" w:rsidRPr="00DA21F3">
        <w:rPr>
          <w:rFonts w:ascii="Palatino Linotype" w:eastAsia="Palatino Linotype" w:hAnsi="Palatino Linotype" w:cs="Palatino Linotype"/>
          <w:b/>
          <w:color w:val="000000"/>
        </w:rPr>
        <w:t>00327/INFOEM/IP/RR/2023</w:t>
      </w:r>
      <w:r w:rsidRPr="00DA21F3">
        <w:rPr>
          <w:rFonts w:ascii="Palatino Linotype" w:eastAsia="Palatino Linotype" w:hAnsi="Palatino Linotype" w:cs="Palatino Linotype"/>
          <w:color w:val="000000"/>
        </w:rPr>
        <w:t xml:space="preserve">, en términos del Considerando </w:t>
      </w:r>
      <w:r w:rsidRPr="00DA21F3">
        <w:rPr>
          <w:rFonts w:ascii="Palatino Linotype" w:eastAsia="Palatino Linotype" w:hAnsi="Palatino Linotype" w:cs="Palatino Linotype"/>
          <w:b/>
          <w:color w:val="000000"/>
        </w:rPr>
        <w:t>CUARTO</w:t>
      </w:r>
      <w:r w:rsidRPr="00DA21F3">
        <w:rPr>
          <w:rFonts w:ascii="Palatino Linotype" w:eastAsia="Palatino Linotype" w:hAnsi="Palatino Linotype" w:cs="Palatino Linotype"/>
          <w:color w:val="000000"/>
        </w:rPr>
        <w:t xml:space="preserve"> y, haga entrega al </w:t>
      </w:r>
      <w:r w:rsidRPr="00DA21F3">
        <w:rPr>
          <w:rFonts w:ascii="Palatino Linotype" w:eastAsia="Palatino Linotype" w:hAnsi="Palatino Linotype" w:cs="Palatino Linotype"/>
          <w:b/>
          <w:color w:val="000000"/>
        </w:rPr>
        <w:t>RECURRENTE</w:t>
      </w:r>
      <w:r w:rsidRPr="00DA21F3">
        <w:rPr>
          <w:rFonts w:ascii="Palatino Linotype" w:eastAsia="Palatino Linotype" w:hAnsi="Palatino Linotype" w:cs="Palatino Linotype"/>
          <w:color w:val="000000"/>
        </w:rPr>
        <w:t xml:space="preserve">, vía </w:t>
      </w:r>
      <w:r w:rsidRPr="00DA21F3">
        <w:rPr>
          <w:rFonts w:ascii="Palatino Linotype" w:eastAsia="Palatino Linotype" w:hAnsi="Palatino Linotype" w:cs="Palatino Linotype"/>
          <w:b/>
          <w:color w:val="000000"/>
        </w:rPr>
        <w:t xml:space="preserve">SAIMEX, </w:t>
      </w:r>
      <w:r w:rsidRPr="00DA21F3">
        <w:rPr>
          <w:rFonts w:ascii="Palatino Linotype" w:eastAsia="Palatino Linotype" w:hAnsi="Palatino Linotype" w:cs="Palatino Linotype"/>
          <w:color w:val="000000"/>
        </w:rPr>
        <w:t xml:space="preserve">en </w:t>
      </w:r>
      <w:r w:rsidRPr="00DA21F3">
        <w:rPr>
          <w:rFonts w:ascii="Palatino Linotype" w:eastAsia="Palatino Linotype" w:hAnsi="Palatino Linotype" w:cs="Palatino Linotype"/>
          <w:b/>
          <w:color w:val="000000"/>
        </w:rPr>
        <w:t xml:space="preserve">versión pública </w:t>
      </w:r>
      <w:r w:rsidRPr="00DA21F3">
        <w:rPr>
          <w:rFonts w:ascii="Palatino Linotype" w:eastAsia="Palatino Linotype" w:hAnsi="Palatino Linotype" w:cs="Palatino Linotype"/>
          <w:color w:val="000000"/>
        </w:rPr>
        <w:t>de lo siguiente:</w:t>
      </w:r>
    </w:p>
    <w:p w14:paraId="2AFC6DAA" w14:textId="77777777" w:rsidR="00165D6A" w:rsidRPr="00DA21F3" w:rsidRDefault="00165D6A">
      <w:pPr>
        <w:spacing w:line="276" w:lineRule="auto"/>
        <w:jc w:val="both"/>
        <w:rPr>
          <w:rFonts w:ascii="Palatino Linotype" w:eastAsia="Palatino Linotype" w:hAnsi="Palatino Linotype" w:cs="Palatino Linotype"/>
          <w:b/>
          <w:sz w:val="22"/>
          <w:szCs w:val="22"/>
        </w:rPr>
      </w:pPr>
    </w:p>
    <w:p w14:paraId="3107D85E" w14:textId="77777777" w:rsidR="00165D6A" w:rsidRPr="00DA21F3" w:rsidRDefault="00311D4F">
      <w:pPr>
        <w:numPr>
          <w:ilvl w:val="1"/>
          <w:numId w:val="3"/>
        </w:numPr>
        <w:pBdr>
          <w:top w:val="nil"/>
          <w:left w:val="nil"/>
          <w:bottom w:val="nil"/>
          <w:right w:val="nil"/>
          <w:between w:val="nil"/>
        </w:pBdr>
        <w:ind w:right="899" w:hanging="229"/>
        <w:jc w:val="both"/>
        <w:rPr>
          <w:rFonts w:ascii="Palatino Linotype" w:eastAsia="Palatino Linotype" w:hAnsi="Palatino Linotype" w:cs="Palatino Linotype"/>
          <w:i/>
          <w:color w:val="000000"/>
          <w:sz w:val="22"/>
          <w:szCs w:val="22"/>
        </w:rPr>
      </w:pPr>
      <w:r w:rsidRPr="00DA21F3">
        <w:rPr>
          <w:rFonts w:ascii="Palatino Linotype" w:eastAsia="Palatino Linotype" w:hAnsi="Palatino Linotype" w:cs="Palatino Linotype"/>
          <w:i/>
          <w:color w:val="000000"/>
          <w:sz w:val="22"/>
          <w:szCs w:val="22"/>
        </w:rPr>
        <w:t>Anexo del Contrato de Donación —documento notarial que describe el inmueble objeto del contrato–.</w:t>
      </w:r>
    </w:p>
    <w:p w14:paraId="15045E2D" w14:textId="77777777" w:rsidR="00165D6A" w:rsidRPr="00DA21F3" w:rsidRDefault="00165D6A">
      <w:pPr>
        <w:ind w:left="851" w:right="899" w:hanging="229"/>
        <w:jc w:val="both"/>
        <w:rPr>
          <w:rFonts w:ascii="Palatino Linotype" w:eastAsia="Palatino Linotype" w:hAnsi="Palatino Linotype" w:cs="Palatino Linotype"/>
          <w:i/>
          <w:sz w:val="22"/>
          <w:szCs w:val="22"/>
        </w:rPr>
      </w:pPr>
    </w:p>
    <w:p w14:paraId="639D9786" w14:textId="77777777" w:rsidR="00165D6A" w:rsidRPr="00DA21F3" w:rsidRDefault="00311D4F">
      <w:pPr>
        <w:numPr>
          <w:ilvl w:val="0"/>
          <w:numId w:val="3"/>
        </w:numPr>
        <w:pBdr>
          <w:top w:val="nil"/>
          <w:left w:val="nil"/>
          <w:bottom w:val="nil"/>
          <w:right w:val="nil"/>
          <w:between w:val="nil"/>
        </w:pBdr>
        <w:ind w:left="1134" w:right="899" w:hanging="229"/>
        <w:jc w:val="both"/>
        <w:rPr>
          <w:rFonts w:ascii="Palatino Linotype" w:eastAsia="Palatino Linotype" w:hAnsi="Palatino Linotype" w:cs="Palatino Linotype"/>
          <w:i/>
          <w:color w:val="000000"/>
          <w:sz w:val="22"/>
          <w:szCs w:val="22"/>
        </w:rPr>
      </w:pPr>
      <w:r w:rsidRPr="00DA21F3">
        <w:rPr>
          <w:rFonts w:ascii="Palatino Linotype" w:eastAsia="Palatino Linotype" w:hAnsi="Palatino Linotype" w:cs="Palatino Linotype"/>
          <w:i/>
          <w:color w:val="000000"/>
          <w:sz w:val="22"/>
          <w:szCs w:val="22"/>
        </w:rPr>
        <w:t>Contrato de Donación remitido en respuesta en correcta versión pública.</w:t>
      </w:r>
    </w:p>
    <w:p w14:paraId="2FCACBD8" w14:textId="77777777" w:rsidR="00165D6A" w:rsidRPr="00DA21F3" w:rsidRDefault="00165D6A">
      <w:pPr>
        <w:ind w:left="851" w:right="899"/>
        <w:jc w:val="both"/>
        <w:rPr>
          <w:rFonts w:ascii="Palatino Linotype" w:eastAsia="Palatino Linotype" w:hAnsi="Palatino Linotype" w:cs="Palatino Linotype"/>
          <w:i/>
          <w:sz w:val="22"/>
          <w:szCs w:val="22"/>
        </w:rPr>
      </w:pPr>
    </w:p>
    <w:p w14:paraId="11FAE0FB" w14:textId="77777777" w:rsidR="00165D6A" w:rsidRPr="00DA21F3" w:rsidRDefault="00311D4F">
      <w:pPr>
        <w:ind w:left="851" w:right="899"/>
        <w:jc w:val="both"/>
        <w:rPr>
          <w:rFonts w:ascii="Palatino Linotype" w:eastAsia="Palatino Linotype" w:hAnsi="Palatino Linotype" w:cs="Palatino Linotype"/>
          <w:i/>
          <w:sz w:val="22"/>
          <w:szCs w:val="22"/>
        </w:rPr>
      </w:pPr>
      <w:r w:rsidRPr="00DA21F3">
        <w:rPr>
          <w:rFonts w:ascii="Palatino Linotype" w:eastAsia="Palatino Linotype" w:hAnsi="Palatino Linotype" w:cs="Palatino Linotype"/>
          <w:i/>
          <w:color w:val="000000"/>
          <w:sz w:val="22"/>
          <w:szCs w:val="22"/>
        </w:rPr>
        <w:t>Debiendo</w:t>
      </w:r>
      <w:r w:rsidRPr="00DA21F3">
        <w:rPr>
          <w:rFonts w:ascii="Palatino Linotype" w:eastAsia="Palatino Linotype" w:hAnsi="Palatino Linotype" w:cs="Palatino Linotype"/>
          <w:i/>
          <w:sz w:val="22"/>
          <w:szCs w:val="22"/>
        </w:rPr>
        <w:t xml:space="preserve"> notificar al </w:t>
      </w:r>
      <w:r w:rsidRPr="00DA21F3">
        <w:rPr>
          <w:rFonts w:ascii="Palatino Linotype" w:eastAsia="Palatino Linotype" w:hAnsi="Palatino Linotype" w:cs="Palatino Linotype"/>
          <w:b/>
          <w:i/>
          <w:sz w:val="22"/>
          <w:szCs w:val="22"/>
        </w:rPr>
        <w:t>RECURRENTE</w:t>
      </w:r>
      <w:r w:rsidRPr="00DA21F3">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 ante la eliminación de los datos confidenciales.</w:t>
      </w:r>
    </w:p>
    <w:p w14:paraId="6D6FC97B" w14:textId="77777777" w:rsidR="00165D6A" w:rsidRPr="00DA21F3" w:rsidRDefault="00165D6A">
      <w:pPr>
        <w:spacing w:line="276" w:lineRule="auto"/>
        <w:ind w:right="-28"/>
        <w:jc w:val="both"/>
        <w:rPr>
          <w:rFonts w:ascii="Palatino Linotype" w:eastAsia="Palatino Linotype" w:hAnsi="Palatino Linotype" w:cs="Palatino Linotype"/>
          <w:b/>
          <w:sz w:val="22"/>
          <w:szCs w:val="22"/>
        </w:rPr>
      </w:pPr>
    </w:p>
    <w:p w14:paraId="74916BB7" w14:textId="77777777" w:rsidR="00165D6A" w:rsidRPr="00DA21F3" w:rsidRDefault="00311D4F">
      <w:pPr>
        <w:widowControl w:val="0"/>
        <w:tabs>
          <w:tab w:val="left" w:pos="1701"/>
        </w:tabs>
        <w:spacing w:line="360" w:lineRule="auto"/>
        <w:jc w:val="both"/>
        <w:rPr>
          <w:rFonts w:ascii="Palatino Linotype" w:eastAsia="Palatino Linotype" w:hAnsi="Palatino Linotype" w:cs="Palatino Linotype"/>
          <w:b/>
        </w:rPr>
      </w:pPr>
      <w:r w:rsidRPr="00DA21F3">
        <w:rPr>
          <w:rFonts w:ascii="Palatino Linotype" w:eastAsia="Palatino Linotype" w:hAnsi="Palatino Linotype" w:cs="Palatino Linotype"/>
          <w:b/>
          <w:sz w:val="28"/>
          <w:szCs w:val="28"/>
        </w:rPr>
        <w:t>TERCERO</w:t>
      </w:r>
      <w:r w:rsidRPr="00DA21F3">
        <w:rPr>
          <w:rFonts w:ascii="Palatino Linotype" w:eastAsia="Palatino Linotype" w:hAnsi="Palatino Linotype" w:cs="Palatino Linotype"/>
          <w:b/>
        </w:rPr>
        <w:t xml:space="preserve">. Notifíquese </w:t>
      </w:r>
      <w:r w:rsidRPr="00DA21F3">
        <w:rPr>
          <w:rFonts w:ascii="Palatino Linotype" w:eastAsia="Palatino Linotype" w:hAnsi="Palatino Linotype" w:cs="Palatino Linotype"/>
        </w:rPr>
        <w:t>la presente resolución al Titular de la Unidad de Transparencia del</w:t>
      </w:r>
      <w:r w:rsidRPr="00DA21F3">
        <w:rPr>
          <w:rFonts w:ascii="Palatino Linotype" w:eastAsia="Palatino Linotype" w:hAnsi="Palatino Linotype" w:cs="Palatino Linotype"/>
          <w:b/>
        </w:rPr>
        <w:t xml:space="preserve"> SUJETO OBLIGADO</w:t>
      </w:r>
      <w:r w:rsidRPr="00DA21F3">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w:t>
      </w:r>
      <w:r w:rsidRPr="00DA21F3">
        <w:rPr>
          <w:rFonts w:ascii="Palatino Linotype" w:eastAsia="Palatino Linotype" w:hAnsi="Palatino Linotype" w:cs="Palatino Linotype"/>
          <w:b/>
        </w:rPr>
        <w:t>de diez días hábiles</w:t>
      </w:r>
      <w:r w:rsidRPr="00DA21F3">
        <w:rPr>
          <w:rFonts w:ascii="Palatino Linotype" w:eastAsia="Palatino Linotype" w:hAnsi="Palatino Linotype" w:cs="Palatino Linotype"/>
        </w:rPr>
        <w:t>, e informe a este Instituto en un plazo de tres días hábiles siguientes sobre el cumplimiento dado a la presente</w:t>
      </w:r>
      <w:r w:rsidRPr="00DA21F3">
        <w:rPr>
          <w:rFonts w:ascii="Palatino Linotype" w:eastAsia="Palatino Linotype" w:hAnsi="Palatino Linotype" w:cs="Palatino Linotype"/>
          <w:b/>
        </w:rPr>
        <w:t xml:space="preserv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9DE4B63" w14:textId="77777777" w:rsidR="00165D6A" w:rsidRPr="00DA21F3" w:rsidRDefault="00165D6A">
      <w:pPr>
        <w:widowControl w:val="0"/>
        <w:tabs>
          <w:tab w:val="left" w:pos="1701"/>
        </w:tabs>
        <w:spacing w:line="360" w:lineRule="auto"/>
        <w:jc w:val="both"/>
        <w:rPr>
          <w:rFonts w:ascii="Palatino Linotype" w:eastAsia="Palatino Linotype" w:hAnsi="Palatino Linotype" w:cs="Palatino Linotype"/>
          <w:b/>
          <w:u w:val="single"/>
        </w:rPr>
      </w:pPr>
    </w:p>
    <w:p w14:paraId="2FFECAD7" w14:textId="77777777" w:rsidR="00165D6A" w:rsidRPr="00DA21F3" w:rsidRDefault="00311D4F">
      <w:pPr>
        <w:widowControl w:val="0"/>
        <w:tabs>
          <w:tab w:val="left" w:pos="1701"/>
        </w:tabs>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b/>
          <w:sz w:val="28"/>
          <w:szCs w:val="28"/>
        </w:rPr>
        <w:t>CUARTO.</w:t>
      </w:r>
      <w:r w:rsidRPr="00DA21F3">
        <w:rPr>
          <w:rFonts w:ascii="Palatino Linotype" w:eastAsia="Palatino Linotype" w:hAnsi="Palatino Linotype" w:cs="Palatino Linotype"/>
          <w:b/>
        </w:rPr>
        <w:t xml:space="preserve"> Notifíquese</w:t>
      </w:r>
      <w:r w:rsidRPr="00DA21F3">
        <w:rPr>
          <w:rFonts w:ascii="Palatino Linotype" w:eastAsia="Palatino Linotype" w:hAnsi="Palatino Linotype" w:cs="Palatino Linotype"/>
        </w:rPr>
        <w:t xml:space="preserve"> al </w:t>
      </w:r>
      <w:r w:rsidRPr="00DA21F3">
        <w:rPr>
          <w:rFonts w:ascii="Palatino Linotype" w:eastAsia="Palatino Linotype" w:hAnsi="Palatino Linotype" w:cs="Palatino Linotype"/>
          <w:b/>
        </w:rPr>
        <w:t>RECURRENTE</w:t>
      </w:r>
      <w:r w:rsidRPr="00DA21F3">
        <w:rPr>
          <w:rFonts w:ascii="Palatino Linotype" w:eastAsia="Palatino Linotype" w:hAnsi="Palatino Linotype" w:cs="Palatino Linotype"/>
        </w:rPr>
        <w:t xml:space="preserve"> la presente resolución vía Sistema de Acceso a la Información Mexiquense </w:t>
      </w:r>
      <w:r w:rsidRPr="00DA21F3">
        <w:rPr>
          <w:rFonts w:ascii="Palatino Linotype" w:eastAsia="Palatino Linotype" w:hAnsi="Palatino Linotype" w:cs="Palatino Linotype"/>
          <w:b/>
        </w:rPr>
        <w:t>SAIMEX</w:t>
      </w:r>
      <w:r w:rsidRPr="00DA21F3">
        <w:rPr>
          <w:rFonts w:ascii="Palatino Linotype" w:eastAsia="Palatino Linotype" w:hAnsi="Palatino Linotype" w:cs="Palatino Linotype"/>
        </w:rPr>
        <w:t>.</w:t>
      </w:r>
    </w:p>
    <w:p w14:paraId="28F79719" w14:textId="77777777" w:rsidR="00165D6A" w:rsidRPr="00DA21F3" w:rsidRDefault="00311D4F">
      <w:pPr>
        <w:widowControl w:val="0"/>
        <w:tabs>
          <w:tab w:val="left" w:pos="1276"/>
        </w:tabs>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b/>
          <w:sz w:val="28"/>
          <w:szCs w:val="28"/>
        </w:rPr>
        <w:lastRenderedPageBreak/>
        <w:t>QUINTO.</w:t>
      </w:r>
      <w:r w:rsidRPr="00DA21F3">
        <w:rPr>
          <w:rFonts w:ascii="Palatino Linotype" w:eastAsia="Palatino Linotype" w:hAnsi="Palatino Linotype" w:cs="Palatino Linotype"/>
        </w:rPr>
        <w:t xml:space="preserve"> </w:t>
      </w:r>
      <w:r w:rsidRPr="00DA21F3">
        <w:rPr>
          <w:rFonts w:ascii="Palatino Linotype" w:eastAsia="Palatino Linotype" w:hAnsi="Palatino Linotype" w:cs="Palatino Linotype"/>
          <w:b/>
        </w:rPr>
        <w:t>Hágase</w:t>
      </w:r>
      <w:r w:rsidRPr="00DA21F3">
        <w:rPr>
          <w:rFonts w:ascii="Palatino Linotype" w:eastAsia="Palatino Linotype" w:hAnsi="Palatino Linotype" w:cs="Palatino Linotype"/>
        </w:rPr>
        <w:t xml:space="preserve"> </w:t>
      </w:r>
      <w:r w:rsidRPr="00DA21F3">
        <w:rPr>
          <w:rFonts w:ascii="Palatino Linotype" w:eastAsia="Palatino Linotype" w:hAnsi="Palatino Linotype" w:cs="Palatino Linotype"/>
          <w:b/>
        </w:rPr>
        <w:t>del conocimiento</w:t>
      </w:r>
      <w:r w:rsidRPr="00DA21F3">
        <w:rPr>
          <w:rFonts w:ascii="Palatino Linotype" w:eastAsia="Palatino Linotype" w:hAnsi="Palatino Linotype" w:cs="Palatino Linotype"/>
        </w:rPr>
        <w:t xml:space="preserve"> del </w:t>
      </w:r>
      <w:r w:rsidRPr="00DA21F3">
        <w:rPr>
          <w:rFonts w:ascii="Palatino Linotype" w:eastAsia="Palatino Linotype" w:hAnsi="Palatino Linotype" w:cs="Palatino Linotype"/>
          <w:b/>
        </w:rPr>
        <w:t>RECURRENTE</w:t>
      </w:r>
      <w:r w:rsidRPr="00DA21F3">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 la vía Juicio de Amparo en los términos de las leyes aplicables.</w:t>
      </w:r>
    </w:p>
    <w:p w14:paraId="3D6C744C" w14:textId="77777777" w:rsidR="00165D6A" w:rsidRPr="000B7746" w:rsidRDefault="00165D6A">
      <w:pPr>
        <w:widowControl w:val="0"/>
        <w:tabs>
          <w:tab w:val="left" w:pos="1701"/>
        </w:tabs>
        <w:spacing w:line="360" w:lineRule="auto"/>
        <w:ind w:right="49"/>
        <w:jc w:val="both"/>
        <w:rPr>
          <w:rFonts w:ascii="Palatino Linotype" w:eastAsia="Palatino Linotype" w:hAnsi="Palatino Linotype" w:cs="Palatino Linotype"/>
          <w:b/>
          <w:sz w:val="10"/>
          <w:szCs w:val="20"/>
        </w:rPr>
      </w:pPr>
    </w:p>
    <w:p w14:paraId="04B655C3" w14:textId="77777777" w:rsidR="00886C7F" w:rsidRPr="00DA21F3" w:rsidRDefault="00311D4F">
      <w:pPr>
        <w:widowControl w:val="0"/>
        <w:tabs>
          <w:tab w:val="left" w:pos="1701"/>
        </w:tabs>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b/>
          <w:sz w:val="28"/>
          <w:szCs w:val="28"/>
        </w:rPr>
        <w:t>SEXTO.</w:t>
      </w:r>
      <w:r w:rsidRPr="00DA21F3">
        <w:rPr>
          <w:rFonts w:ascii="Palatino Linotype" w:eastAsia="Palatino Linotype" w:hAnsi="Palatino Linotype" w:cs="Palatino Linotype"/>
        </w:rPr>
        <w:t xml:space="preserve"> </w:t>
      </w:r>
      <w:r w:rsidR="00886C7F" w:rsidRPr="00DA21F3">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00886C7F" w:rsidRPr="00DA21F3">
        <w:rPr>
          <w:rFonts w:ascii="Palatino Linotype" w:hAnsi="Palatino Linotype"/>
          <w:b/>
          <w:szCs w:val="17"/>
          <w:lang w:eastAsia="es-ES_tradnl"/>
        </w:rPr>
        <w:t>EL SUJETO OBLIGADO</w:t>
      </w:r>
      <w:r w:rsidR="00886C7F" w:rsidRPr="00DA21F3">
        <w:rPr>
          <w:rFonts w:ascii="Palatino Linotype" w:hAnsi="Palatino Linotype"/>
          <w:szCs w:val="17"/>
          <w:lang w:eastAsia="es-ES_tradnl"/>
        </w:rPr>
        <w:t xml:space="preserve"> de manera fundada y motivada, podrá solicitar una ampliación de plazo para el cumplimiento de la presente resolución.</w:t>
      </w:r>
    </w:p>
    <w:p w14:paraId="6204DE9F" w14:textId="77777777" w:rsidR="00886C7F" w:rsidRPr="000B7746" w:rsidRDefault="00886C7F">
      <w:pPr>
        <w:widowControl w:val="0"/>
        <w:tabs>
          <w:tab w:val="left" w:pos="1701"/>
        </w:tabs>
        <w:spacing w:line="360" w:lineRule="auto"/>
        <w:ind w:right="49"/>
        <w:jc w:val="both"/>
        <w:rPr>
          <w:rFonts w:ascii="Palatino Linotype" w:eastAsia="Palatino Linotype" w:hAnsi="Palatino Linotype" w:cs="Palatino Linotype"/>
          <w:sz w:val="18"/>
        </w:rPr>
      </w:pPr>
    </w:p>
    <w:p w14:paraId="6FDD7039" w14:textId="77777777" w:rsidR="00165D6A" w:rsidRPr="00DA21F3" w:rsidRDefault="00886C7F">
      <w:pPr>
        <w:widowControl w:val="0"/>
        <w:tabs>
          <w:tab w:val="left" w:pos="1701"/>
        </w:tabs>
        <w:spacing w:line="360" w:lineRule="auto"/>
        <w:ind w:right="49"/>
        <w:jc w:val="both"/>
        <w:rPr>
          <w:rFonts w:ascii="Palatino Linotype" w:eastAsia="Palatino Linotype" w:hAnsi="Palatino Linotype" w:cs="Palatino Linotype"/>
        </w:rPr>
      </w:pPr>
      <w:r w:rsidRPr="00DA21F3">
        <w:rPr>
          <w:rFonts w:ascii="Palatino Linotype" w:eastAsia="Palatino Linotype" w:hAnsi="Palatino Linotype" w:cs="Palatino Linotype"/>
          <w:b/>
          <w:sz w:val="28"/>
          <w:szCs w:val="28"/>
        </w:rPr>
        <w:t>SÉPTIMO</w:t>
      </w:r>
      <w:r w:rsidRPr="00DA21F3">
        <w:rPr>
          <w:rFonts w:ascii="Palatino Linotype" w:eastAsia="Palatino Linotype" w:hAnsi="Palatino Linotype" w:cs="Palatino Linotype"/>
          <w:b/>
        </w:rPr>
        <w:t>.</w:t>
      </w:r>
      <w:r w:rsidRPr="00DA21F3">
        <w:rPr>
          <w:rFonts w:ascii="Palatino Linotype" w:eastAsia="Palatino Linotype" w:hAnsi="Palatino Linotype" w:cs="Palatino Linotype"/>
        </w:rPr>
        <w:t xml:space="preserve"> </w:t>
      </w:r>
      <w:r w:rsidR="00311D4F" w:rsidRPr="00DA21F3">
        <w:rPr>
          <w:rFonts w:ascii="Palatino Linotype" w:eastAsia="Palatino Linotype" w:hAnsi="Palatino Linotype" w:cs="Palatino Linotype"/>
          <w:b/>
          <w:color w:val="000000"/>
        </w:rPr>
        <w:t>Gírese</w:t>
      </w:r>
      <w:r w:rsidR="00311D4F" w:rsidRPr="00DA21F3">
        <w:rPr>
          <w:rFonts w:ascii="Palatino Linotype" w:eastAsia="Palatino Linotype" w:hAnsi="Palatino Linotype" w:cs="Palatino Linotype"/>
          <w:color w:val="000000"/>
        </w:rPr>
        <w:t xml:space="preserve"> oficio al </w:t>
      </w:r>
      <w:r w:rsidR="00311D4F" w:rsidRPr="00DA21F3">
        <w:rPr>
          <w:rFonts w:ascii="Palatino Linotype" w:eastAsia="Palatino Linotype" w:hAnsi="Palatino Linotype" w:cs="Palatino Linotype"/>
          <w:b/>
          <w:color w:val="000000"/>
        </w:rPr>
        <w:t>Titular de la Dirección General de Protección de Datos Personales</w:t>
      </w:r>
      <w:r w:rsidR="00311D4F" w:rsidRPr="00DA21F3">
        <w:rPr>
          <w:rFonts w:ascii="Palatino Linotype" w:eastAsia="Palatino Linotype" w:hAnsi="Palatino Linotype" w:cs="Palatino Linotype"/>
          <w:color w:val="000000"/>
        </w:rPr>
        <w:t>, en atención al artículo 82, fracción XXVII de la Ley de Protección de Datos Personales del Estado de México y Municipios, en términos del Considerando CUARTO de la presente resolución.</w:t>
      </w:r>
    </w:p>
    <w:p w14:paraId="004BE507" w14:textId="77777777" w:rsidR="00165D6A" w:rsidRPr="000B7746" w:rsidRDefault="00165D6A">
      <w:pPr>
        <w:spacing w:line="360" w:lineRule="auto"/>
        <w:jc w:val="both"/>
        <w:rPr>
          <w:rFonts w:ascii="Palatino Linotype" w:eastAsia="Palatino Linotype" w:hAnsi="Palatino Linotype" w:cs="Palatino Linotype"/>
          <w:sz w:val="16"/>
        </w:rPr>
      </w:pPr>
    </w:p>
    <w:p w14:paraId="7A9DDB10" w14:textId="77777777" w:rsidR="00165D6A" w:rsidRPr="00DA21F3" w:rsidRDefault="00311D4F">
      <w:pPr>
        <w:spacing w:line="360" w:lineRule="auto"/>
        <w:jc w:val="both"/>
        <w:rPr>
          <w:rFonts w:ascii="Palatino Linotype" w:eastAsia="Palatino Linotype" w:hAnsi="Palatino Linotype" w:cs="Palatino Linotype"/>
        </w:rPr>
      </w:pPr>
      <w:r w:rsidRPr="00DA21F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OCHO DE FEBRERO DE DOS MIL VEINTICUATRO, ANTE EL SECRETARIO TÉCNICO DEL PLENO, ALEXIS TAPIA RAMÍREZ.</w:t>
      </w:r>
    </w:p>
    <w:p w14:paraId="6BEB574B" w14:textId="77777777" w:rsidR="00165D6A" w:rsidRDefault="00311D4F">
      <w:pPr>
        <w:spacing w:line="360" w:lineRule="auto"/>
        <w:jc w:val="both"/>
        <w:rPr>
          <w:rFonts w:ascii="Palatino Linotype" w:eastAsia="Palatino Linotype" w:hAnsi="Palatino Linotype" w:cs="Palatino Linotype"/>
          <w:sz w:val="20"/>
          <w:szCs w:val="20"/>
        </w:rPr>
      </w:pPr>
      <w:r w:rsidRPr="00DA21F3">
        <w:rPr>
          <w:rFonts w:ascii="Palatino Linotype" w:eastAsia="Palatino Linotype" w:hAnsi="Palatino Linotype" w:cs="Palatino Linotype"/>
          <w:sz w:val="20"/>
          <w:szCs w:val="20"/>
        </w:rPr>
        <w:t>SCMM/AGZ/DEMF/ESS</w:t>
      </w:r>
    </w:p>
    <w:p w14:paraId="65DDB54C" w14:textId="73F26102" w:rsidR="000B7746" w:rsidRDefault="000B7746" w:rsidP="00B17729">
      <w:pPr>
        <w:spacing w:line="360" w:lineRule="auto"/>
        <w:jc w:val="both"/>
        <w:rPr>
          <w:rFonts w:ascii="Palatino Linotype" w:eastAsia="Palatino Linotype" w:hAnsi="Palatino Linotype" w:cs="Palatino Linotype"/>
          <w:sz w:val="20"/>
          <w:szCs w:val="20"/>
        </w:rPr>
      </w:pPr>
    </w:p>
    <w:sectPr w:rsidR="000B7746">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66E33" w14:textId="77777777" w:rsidR="006B4B29" w:rsidRDefault="006B4B29">
      <w:r>
        <w:separator/>
      </w:r>
    </w:p>
  </w:endnote>
  <w:endnote w:type="continuationSeparator" w:id="0">
    <w:p w14:paraId="0DF8A00E" w14:textId="77777777" w:rsidR="006B4B29" w:rsidRDefault="006B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C70A" w14:textId="77777777" w:rsidR="00165D6A" w:rsidRDefault="00311D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B0FE7">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B0FE7">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8DED2" w14:textId="77777777" w:rsidR="00165D6A" w:rsidRDefault="00311D4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B0FE7">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B0FE7">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B5145" w14:textId="77777777" w:rsidR="006B4B29" w:rsidRDefault="006B4B29">
      <w:r>
        <w:separator/>
      </w:r>
    </w:p>
  </w:footnote>
  <w:footnote w:type="continuationSeparator" w:id="0">
    <w:p w14:paraId="63D3F3D8" w14:textId="77777777" w:rsidR="006B4B29" w:rsidRDefault="006B4B29">
      <w:r>
        <w:continuationSeparator/>
      </w:r>
    </w:p>
  </w:footnote>
  <w:footnote w:id="1">
    <w:p w14:paraId="08715E54"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 importante señalar que, todas las constancias que integran el expediente 00327/INFOEM/IP/RR/2023 que en esta resolución se resuelve obran en electrónico en el SAIMEX, incluyendo la solicitud en análisis —</w:t>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00093/JIQUIPIL/IP/2022—.</w:t>
      </w:r>
    </w:p>
  </w:footnote>
  <w:footnote w:id="2">
    <w:p w14:paraId="003C6714" w14:textId="77777777" w:rsidR="00165D6A" w:rsidRDefault="00311D4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adelante, Ley de Transparencia local o Ley de la materia.</w:t>
      </w:r>
    </w:p>
  </w:footnote>
  <w:footnote w:id="3">
    <w:p w14:paraId="284B2456"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5BDC850"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CBAA1D2"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4">
    <w:p w14:paraId="5EDEB953"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Sin contemplar en el cómputo los días sábados y domingos, y periodo vacacional considerados como días inhábiles,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5">
    <w:p w14:paraId="21787C4C" w14:textId="77777777" w:rsidR="00165D6A" w:rsidRDefault="00311D4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6°, Apartado A de la Constitución Política de los Estados Unidos Mexicanos.</w:t>
      </w:r>
    </w:p>
  </w:footnote>
  <w:footnote w:id="6">
    <w:p w14:paraId="26452C9A" w14:textId="77777777" w:rsidR="00165D6A" w:rsidRDefault="00311D4F">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5°Constitución Política del Estado Libre y Soberano de México. </w:t>
      </w:r>
    </w:p>
  </w:footnote>
  <w:footnote w:id="7">
    <w:p w14:paraId="46CCE43D"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8">
    <w:p w14:paraId="3D5CDF43"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EEDE4C8"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6EA585"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sujetos obligados deben poner en práctica, políticas y programas de acceso a la información que se apeguen a criterios de publicidad, veracidad, oportunidad, precisión y suficiencia en beneficio de los solicitantes.”</w:t>
      </w:r>
    </w:p>
  </w:footnote>
  <w:footnote w:id="9">
    <w:p w14:paraId="6AD0C97D"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w:t>
      </w:r>
    </w:p>
    <w:p w14:paraId="66CEA915" w14:textId="77777777" w:rsidR="00165D6A" w:rsidRDefault="00311D4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0">
    <w:p w14:paraId="21398164" w14:textId="77777777" w:rsidR="00165D6A" w:rsidRDefault="00311D4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 acuerdo con el Diccionario de la Lengua Española, De anexo. En su primera connotación es 1. </w:t>
      </w:r>
      <w:proofErr w:type="spellStart"/>
      <w:r>
        <w:rPr>
          <w:rFonts w:ascii="Calibri" w:eastAsia="Calibri" w:hAnsi="Calibri" w:cs="Calibri"/>
          <w:color w:val="000000"/>
          <w:sz w:val="20"/>
          <w:szCs w:val="20"/>
        </w:rPr>
        <w:t>tr</w:t>
      </w:r>
      <w:proofErr w:type="spellEnd"/>
      <w:r>
        <w:rPr>
          <w:rFonts w:ascii="Calibri" w:eastAsia="Calibri" w:hAnsi="Calibri" w:cs="Calibri"/>
          <w:color w:val="000000"/>
          <w:sz w:val="20"/>
          <w:szCs w:val="20"/>
        </w:rPr>
        <w:t xml:space="preserve">. Unir o agregar algo a otra cosa con dependencia de ella.  </w:t>
      </w:r>
      <w:hyperlink r:id="rId1">
        <w:r>
          <w:rPr>
            <w:rFonts w:ascii="Calibri" w:eastAsia="Calibri" w:hAnsi="Calibri" w:cs="Calibri"/>
            <w:color w:val="035899"/>
            <w:sz w:val="20"/>
            <w:szCs w:val="20"/>
          </w:rPr>
          <w:t>https://dle.rae.es/anexar</w:t>
        </w:r>
      </w:hyperlink>
      <w:r>
        <w:rPr>
          <w:rFonts w:ascii="Calibri" w:eastAsia="Calibri" w:hAnsi="Calibri" w:cs="Calibri"/>
          <w:color w:val="000000"/>
          <w:sz w:val="20"/>
          <w:szCs w:val="20"/>
        </w:rPr>
        <w:t xml:space="preserve"> </w:t>
      </w:r>
    </w:p>
    <w:p w14:paraId="3625AF59" w14:textId="77777777" w:rsidR="00165D6A" w:rsidRDefault="00165D6A">
      <w:pPr>
        <w:pBdr>
          <w:top w:val="nil"/>
          <w:left w:val="nil"/>
          <w:bottom w:val="nil"/>
          <w:right w:val="nil"/>
          <w:between w:val="nil"/>
        </w:pBdr>
        <w:rPr>
          <w:rFonts w:ascii="Calibri" w:eastAsia="Calibri" w:hAnsi="Calibri" w:cs="Calibri"/>
          <w:color w:val="000000"/>
          <w:sz w:val="20"/>
          <w:szCs w:val="20"/>
        </w:rPr>
      </w:pPr>
    </w:p>
  </w:footnote>
  <w:footnote w:id="11">
    <w:p w14:paraId="5EC4B0E3" w14:textId="77777777" w:rsidR="00165D6A" w:rsidRDefault="00311D4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Lineamientos expedidos el 15 de abril de 2016, por el Consejo Nacional del Sistema Nacional de Transparencia, Acceso a la Información Pública y Protección de Datos Personales, consultable en </w:t>
      </w:r>
      <w:hyperlink r:id="rId2" w:anchor="gsc.tab=0">
        <w:r>
          <w:rPr>
            <w:rFonts w:ascii="Palatino Linotype" w:eastAsia="Palatino Linotype" w:hAnsi="Palatino Linotype" w:cs="Palatino Linotype"/>
            <w:color w:val="035899"/>
            <w:sz w:val="18"/>
            <w:szCs w:val="18"/>
          </w:rPr>
          <w:t>https://www.dof.gob.mx/nota_detalle.php?codigo=5433280&amp;fecha=15/04/2016#gsc.tab=0</w:t>
        </w:r>
      </w:hyperlink>
      <w:r>
        <w:rPr>
          <w:rFonts w:ascii="Palatino Linotype" w:eastAsia="Palatino Linotype" w:hAnsi="Palatino Linotype" w:cs="Palatino Linotype"/>
          <w:color w:val="000000"/>
          <w:sz w:val="18"/>
          <w:szCs w:val="18"/>
        </w:rPr>
        <w:t xml:space="preserve">; modificados en cuanto a los artículos Sexagésimo segundo, Sexagésimo tercero y Quinto Transitorio el 29 de julio de 2016, visible </w:t>
      </w:r>
      <w:hyperlink r:id="rId3" w:anchor="gsc.tab=0">
        <w:r>
          <w:rPr>
            <w:rFonts w:ascii="Palatino Linotype" w:eastAsia="Palatino Linotype" w:hAnsi="Palatino Linotype" w:cs="Palatino Linotype"/>
            <w:color w:val="035899"/>
            <w:sz w:val="18"/>
            <w:szCs w:val="18"/>
          </w:rPr>
          <w:t>https://www.dof.gob.mx/nota_detalle.php?codigo=5446230&amp;fecha=29/07/2016#gsc.tab=0</w:t>
        </w:r>
      </w:hyperlink>
      <w:r>
        <w:rPr>
          <w:rFonts w:ascii="Palatino Linotype" w:eastAsia="Palatino Linotype" w:hAnsi="Palatino Linotype" w:cs="Palatino Linotype"/>
          <w:color w:val="000000"/>
          <w:sz w:val="18"/>
          <w:szCs w:val="18"/>
        </w:rPr>
        <w:t xml:space="preserve"> y, posteriormente el 18 de noviembre de 2022, se modificaron diversos numerales, entrando en vigor a partir del 17 de enero de 2023, consultable en </w:t>
      </w:r>
      <w:hyperlink r:id="rId4" w:anchor="gsc.tab=0">
        <w:r>
          <w:rPr>
            <w:rFonts w:ascii="Palatino Linotype" w:eastAsia="Palatino Linotype" w:hAnsi="Palatino Linotype" w:cs="Palatino Linotype"/>
            <w:color w:val="035899"/>
            <w:sz w:val="18"/>
            <w:szCs w:val="18"/>
          </w:rPr>
          <w:t>https://www.dof.gob.mx/nota_detalle.php?codigo=5671860&amp;fecha=18/11/2022#gsc.tab=0</w:t>
        </w:r>
      </w:hyperlink>
      <w:r>
        <w:rPr>
          <w:rFonts w:ascii="Palatino Linotype" w:eastAsia="Palatino Linotype" w:hAnsi="Palatino Linotype" w:cs="Palatino Linotype"/>
          <w:color w:val="000000"/>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FAF59" w14:textId="77777777" w:rsidR="00165D6A" w:rsidRDefault="006B4B29">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16429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40pt;height:10in;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BD0C0" w14:textId="77777777" w:rsidR="00165D6A" w:rsidRDefault="00165D6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
      <w:tblW w:w="9534" w:type="dxa"/>
      <w:tblInd w:w="-142" w:type="dxa"/>
      <w:tblLayout w:type="fixed"/>
      <w:tblLook w:val="0400" w:firstRow="0" w:lastRow="0" w:firstColumn="0" w:lastColumn="0" w:noHBand="0" w:noVBand="1"/>
    </w:tblPr>
    <w:tblGrid>
      <w:gridCol w:w="2977"/>
      <w:gridCol w:w="2552"/>
      <w:gridCol w:w="4005"/>
    </w:tblGrid>
    <w:tr w:rsidR="00165D6A" w14:paraId="36EFFA1A" w14:textId="77777777">
      <w:tc>
        <w:tcPr>
          <w:tcW w:w="2977" w:type="dxa"/>
          <w:vMerge w:val="restart"/>
        </w:tcPr>
        <w:p w14:paraId="751426F8"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14FD36F0" wp14:editId="51315CBE">
                <wp:extent cx="1692162" cy="852673"/>
                <wp:effectExtent l="0" t="0" r="0" b="0"/>
                <wp:docPr id="21003705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2127F467"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05" w:type="dxa"/>
          <w:shd w:val="clear" w:color="auto" w:fill="auto"/>
          <w:vAlign w:val="center"/>
        </w:tcPr>
        <w:p w14:paraId="14D7D416" w14:textId="77777777" w:rsidR="00165D6A" w:rsidRDefault="00311D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00327/INFOEM/IP/RR/2023</w:t>
          </w:r>
        </w:p>
      </w:tc>
    </w:tr>
    <w:tr w:rsidR="00165D6A" w14:paraId="3A23428B" w14:textId="77777777">
      <w:tc>
        <w:tcPr>
          <w:tcW w:w="2977" w:type="dxa"/>
          <w:vMerge/>
        </w:tcPr>
        <w:p w14:paraId="2F5A946F" w14:textId="77777777" w:rsidR="00165D6A" w:rsidRDefault="00165D6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0FD29C3"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05" w:type="dxa"/>
          <w:shd w:val="clear" w:color="auto" w:fill="auto"/>
          <w:vAlign w:val="center"/>
        </w:tcPr>
        <w:p w14:paraId="4B37E399" w14:textId="77777777" w:rsidR="00165D6A" w:rsidRDefault="00311D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Jiquipilco</w:t>
          </w:r>
        </w:p>
      </w:tc>
    </w:tr>
    <w:tr w:rsidR="00165D6A" w14:paraId="5545FE2A" w14:textId="77777777">
      <w:trPr>
        <w:trHeight w:val="228"/>
      </w:trPr>
      <w:tc>
        <w:tcPr>
          <w:tcW w:w="2977" w:type="dxa"/>
          <w:vMerge/>
        </w:tcPr>
        <w:p w14:paraId="75BC9FCA" w14:textId="77777777" w:rsidR="00165D6A" w:rsidRDefault="00165D6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04B0BA8"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05" w:type="dxa"/>
          <w:shd w:val="clear" w:color="auto" w:fill="auto"/>
        </w:tcPr>
        <w:p w14:paraId="3A0B0EDD" w14:textId="77777777" w:rsidR="00165D6A" w:rsidRDefault="00311D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9346ED7" w14:textId="77777777" w:rsidR="00165D6A" w:rsidRDefault="00165D6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3BD6E" w14:textId="77777777" w:rsidR="00165D6A" w:rsidRDefault="006B4B29">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6DBFD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49.6pt;margin-top:-88.05pt;width:540pt;height:10in;z-index:-251659264;mso-position-horizontal:absolute;mso-position-horizontal-relative:margin;mso-position-vertical:absolute;mso-position-vertical-relative:margin">
          <v:imagedata r:id="rId1" o:title="image1"/>
          <w10:wrap anchorx="margin" anchory="margin"/>
        </v:shape>
      </w:pict>
    </w:r>
  </w:p>
  <w:tbl>
    <w:tblPr>
      <w:tblStyle w:val="a0"/>
      <w:tblW w:w="10631" w:type="dxa"/>
      <w:tblInd w:w="-1276" w:type="dxa"/>
      <w:tblLayout w:type="fixed"/>
      <w:tblLook w:val="0400" w:firstRow="0" w:lastRow="0" w:firstColumn="0" w:lastColumn="0" w:noHBand="0" w:noVBand="1"/>
    </w:tblPr>
    <w:tblGrid>
      <w:gridCol w:w="4110"/>
      <w:gridCol w:w="2552"/>
      <w:gridCol w:w="3969"/>
    </w:tblGrid>
    <w:tr w:rsidR="00165D6A" w14:paraId="2F9B5BF2" w14:textId="77777777">
      <w:tc>
        <w:tcPr>
          <w:tcW w:w="4111" w:type="dxa"/>
          <w:vMerge w:val="restart"/>
          <w:shd w:val="clear" w:color="auto" w:fill="auto"/>
        </w:tcPr>
        <w:p w14:paraId="47C6F25D"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noProof/>
              <w:sz w:val="28"/>
              <w:szCs w:val="28"/>
              <w:lang w:eastAsia="es-MX"/>
            </w:rPr>
            <w:drawing>
              <wp:inline distT="0" distB="0" distL="0" distR="0" wp14:anchorId="72B8F70C" wp14:editId="3CEA6D56">
                <wp:extent cx="1692162" cy="852673"/>
                <wp:effectExtent l="0" t="0" r="0" b="0"/>
                <wp:docPr id="21003705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r>
            <w:rPr>
              <w:rFonts w:ascii="Palatino Linotype" w:eastAsia="Palatino Linotype" w:hAnsi="Palatino Linotype" w:cs="Palatino Linotype"/>
              <w:b/>
              <w:sz w:val="22"/>
              <w:szCs w:val="22"/>
            </w:rPr>
            <w:t xml:space="preserve">       </w:t>
          </w:r>
        </w:p>
      </w:tc>
      <w:tc>
        <w:tcPr>
          <w:tcW w:w="2552" w:type="dxa"/>
          <w:shd w:val="clear" w:color="auto" w:fill="auto"/>
        </w:tcPr>
        <w:p w14:paraId="364CA59D"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357A4AFB" w14:textId="77777777" w:rsidR="00165D6A" w:rsidRDefault="00311D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00327/INFOEM/IP/RR/2023</w:t>
          </w:r>
        </w:p>
      </w:tc>
    </w:tr>
    <w:tr w:rsidR="00165D6A" w14:paraId="353A35FD" w14:textId="77777777">
      <w:tc>
        <w:tcPr>
          <w:tcW w:w="4111" w:type="dxa"/>
          <w:vMerge/>
          <w:shd w:val="clear" w:color="auto" w:fill="auto"/>
        </w:tcPr>
        <w:p w14:paraId="762327CE" w14:textId="77777777" w:rsidR="00165D6A" w:rsidRDefault="00165D6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DBB0252"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A54E0A0" w14:textId="0722A785" w:rsidR="00165D6A" w:rsidRDefault="003B0FE7">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XXXX XXXXXX XXXXXXX XXXXXXXXX</w:t>
          </w:r>
        </w:p>
      </w:tc>
    </w:tr>
    <w:tr w:rsidR="00165D6A" w14:paraId="5517D350" w14:textId="77777777">
      <w:trPr>
        <w:trHeight w:val="228"/>
      </w:trPr>
      <w:tc>
        <w:tcPr>
          <w:tcW w:w="4111" w:type="dxa"/>
          <w:vMerge/>
          <w:shd w:val="clear" w:color="auto" w:fill="auto"/>
        </w:tcPr>
        <w:p w14:paraId="1535F8EA" w14:textId="77777777" w:rsidR="00165D6A" w:rsidRDefault="00165D6A">
          <w:pPr>
            <w:widowControl w:val="0"/>
            <w:pBdr>
              <w:top w:val="nil"/>
              <w:left w:val="nil"/>
              <w:bottom w:val="nil"/>
              <w:right w:val="nil"/>
              <w:between w:val="nil"/>
            </w:pBdr>
            <w:spacing w:line="276" w:lineRule="auto"/>
            <w:rPr>
              <w:rFonts w:ascii="Palatino Linotype" w:eastAsia="Palatino Linotype" w:hAnsi="Palatino Linotype" w:cs="Palatino Linotype"/>
              <w:b/>
              <w:i/>
              <w:sz w:val="20"/>
              <w:szCs w:val="20"/>
            </w:rPr>
          </w:pPr>
        </w:p>
      </w:tc>
      <w:tc>
        <w:tcPr>
          <w:tcW w:w="2552" w:type="dxa"/>
          <w:shd w:val="clear" w:color="auto" w:fill="auto"/>
        </w:tcPr>
        <w:p w14:paraId="529ADFDB"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1A8AACE7" w14:textId="77777777" w:rsidR="00165D6A" w:rsidRDefault="00311D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Jiquipilco</w:t>
          </w:r>
        </w:p>
      </w:tc>
    </w:tr>
    <w:tr w:rsidR="00165D6A" w14:paraId="0F291762" w14:textId="77777777">
      <w:tc>
        <w:tcPr>
          <w:tcW w:w="4111" w:type="dxa"/>
          <w:vMerge/>
          <w:shd w:val="clear" w:color="auto" w:fill="auto"/>
        </w:tcPr>
        <w:p w14:paraId="0E128326" w14:textId="77777777" w:rsidR="00165D6A" w:rsidRDefault="00165D6A">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73E0F89" w14:textId="77777777" w:rsidR="00165D6A" w:rsidRDefault="00311D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22E6E698" w14:textId="77777777" w:rsidR="00165D6A" w:rsidRDefault="00311D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672CCFD" w14:textId="77777777" w:rsidR="00165D6A" w:rsidRDefault="00165D6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A2C7F"/>
    <w:multiLevelType w:val="multilevel"/>
    <w:tmpl w:val="5F8AA798"/>
    <w:lvl w:ilvl="0">
      <w:start w:val="1"/>
      <w:numFmt w:val="lowerLetter"/>
      <w:lvlText w:val="%1."/>
      <w:lvlJc w:val="left"/>
      <w:pPr>
        <w:ind w:left="360" w:hanging="360"/>
      </w:pPr>
      <w:rPr>
        <w:b/>
      </w:rPr>
    </w:lvl>
    <w:lvl w:ilvl="1">
      <w:start w:val="1"/>
      <w:numFmt w:val="lowerLetter"/>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36A0140"/>
    <w:multiLevelType w:val="multilevel"/>
    <w:tmpl w:val="40A451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A55BCA"/>
    <w:multiLevelType w:val="multilevel"/>
    <w:tmpl w:val="359627D2"/>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ED3ADA"/>
    <w:multiLevelType w:val="multilevel"/>
    <w:tmpl w:val="0AAA68B4"/>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D6A"/>
    <w:rsid w:val="00027A75"/>
    <w:rsid w:val="00095C10"/>
    <w:rsid w:val="000B7746"/>
    <w:rsid w:val="00165D6A"/>
    <w:rsid w:val="001A2D0B"/>
    <w:rsid w:val="001E17C2"/>
    <w:rsid w:val="00305677"/>
    <w:rsid w:val="00311D4F"/>
    <w:rsid w:val="003853CC"/>
    <w:rsid w:val="003B0FE7"/>
    <w:rsid w:val="004C1B49"/>
    <w:rsid w:val="004D4CDB"/>
    <w:rsid w:val="0058343E"/>
    <w:rsid w:val="006B4B29"/>
    <w:rsid w:val="00886C7F"/>
    <w:rsid w:val="008C24FF"/>
    <w:rsid w:val="008D5FF4"/>
    <w:rsid w:val="008F4B84"/>
    <w:rsid w:val="009460F7"/>
    <w:rsid w:val="009A6CC4"/>
    <w:rsid w:val="009A6FF3"/>
    <w:rsid w:val="00A127A4"/>
    <w:rsid w:val="00A43F75"/>
    <w:rsid w:val="00B17729"/>
    <w:rsid w:val="00BA7A05"/>
    <w:rsid w:val="00BE36BF"/>
    <w:rsid w:val="00DA21F3"/>
    <w:rsid w:val="00DB672B"/>
    <w:rsid w:val="00E40731"/>
    <w:rsid w:val="00E90F02"/>
    <w:rsid w:val="00ED76E5"/>
    <w:rsid w:val="00F010F3"/>
    <w:rsid w:val="00FA2A22"/>
    <w:rsid w:val="00FB45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06F9FC"/>
  <w15:docId w15:val="{39A2011D-606D-4324-ADDA-B571F6444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780"/>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5678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56780"/>
    <w:rPr>
      <w:rFonts w:eastAsiaTheme="minorEastAsia"/>
      <w:kern w:val="0"/>
      <w:sz w:val="24"/>
      <w:szCs w:val="24"/>
      <w:lang w:val="es-ES_tradnl" w:eastAsia="es-ES"/>
    </w:rPr>
  </w:style>
  <w:style w:type="paragraph" w:styleId="Piedepgina">
    <w:name w:val="footer"/>
    <w:basedOn w:val="Normal"/>
    <w:link w:val="PiedepginaCar"/>
    <w:uiPriority w:val="99"/>
    <w:unhideWhenUsed/>
    <w:rsid w:val="0055678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56780"/>
    <w:rPr>
      <w:rFonts w:eastAsiaTheme="minorEastAsia"/>
      <w:kern w:val="0"/>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678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6780"/>
    <w:rPr>
      <w:rFonts w:ascii="Times New Roman" w:eastAsia="Times New Roman" w:hAnsi="Times New Roman" w:cs="Times New Roman"/>
      <w:kern w:val="0"/>
      <w:sz w:val="24"/>
      <w:szCs w:val="24"/>
      <w:lang w:eastAsia="es-ES"/>
    </w:rPr>
  </w:style>
  <w:style w:type="character" w:styleId="Refdecomentario">
    <w:name w:val="annotation reference"/>
    <w:basedOn w:val="Fuentedeprrafopredeter"/>
    <w:uiPriority w:val="99"/>
    <w:semiHidden/>
    <w:unhideWhenUsed/>
    <w:rsid w:val="00556780"/>
    <w:rPr>
      <w:sz w:val="16"/>
      <w:szCs w:val="1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5678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56780"/>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56780"/>
    <w:rPr>
      <w:vertAlign w:val="superscript"/>
    </w:rPr>
  </w:style>
  <w:style w:type="paragraph" w:styleId="Textocomentario">
    <w:name w:val="annotation text"/>
    <w:basedOn w:val="Normal"/>
    <w:link w:val="TextocomentarioCar"/>
    <w:uiPriority w:val="99"/>
    <w:unhideWhenUsed/>
    <w:rsid w:val="00556780"/>
    <w:rPr>
      <w:sz w:val="20"/>
      <w:szCs w:val="20"/>
    </w:rPr>
  </w:style>
  <w:style w:type="character" w:customStyle="1" w:styleId="TextocomentarioCar">
    <w:name w:val="Texto comentario Car"/>
    <w:basedOn w:val="Fuentedeprrafopredeter"/>
    <w:link w:val="Textocomentario"/>
    <w:uiPriority w:val="99"/>
    <w:rsid w:val="00556780"/>
    <w:rPr>
      <w:rFonts w:ascii="Times New Roman" w:eastAsia="Times New Roman" w:hAnsi="Times New Roman" w:cs="Times New Roman"/>
      <w:kern w:val="0"/>
      <w:sz w:val="20"/>
      <w:szCs w:val="20"/>
      <w:lang w:eastAsia="es-ES"/>
    </w:rPr>
  </w:style>
  <w:style w:type="paragraph" w:customStyle="1" w:styleId="pf0">
    <w:name w:val="pf0"/>
    <w:basedOn w:val="Normal"/>
    <w:rsid w:val="00556780"/>
    <w:pPr>
      <w:spacing w:before="100" w:beforeAutospacing="1" w:after="100" w:afterAutospacing="1"/>
    </w:pPr>
    <w:rPr>
      <w:lang w:eastAsia="es-MX"/>
    </w:rPr>
  </w:style>
  <w:style w:type="character" w:customStyle="1" w:styleId="cf01">
    <w:name w:val="cf01"/>
    <w:basedOn w:val="Fuentedeprrafopredeter"/>
    <w:rsid w:val="00556780"/>
    <w:rPr>
      <w:rFonts w:ascii="Segoe UI" w:hAnsi="Segoe UI" w:cs="Segoe UI" w:hint="default"/>
      <w:b/>
      <w:bCs/>
      <w:sz w:val="18"/>
      <w:szCs w:val="18"/>
    </w:rPr>
  </w:style>
  <w:style w:type="character" w:customStyle="1" w:styleId="cf11">
    <w:name w:val="cf11"/>
    <w:basedOn w:val="Fuentedeprrafopredeter"/>
    <w:rsid w:val="00556780"/>
    <w:rPr>
      <w:rFonts w:ascii="Segoe UI" w:hAnsi="Segoe UI" w:cs="Segoe UI" w:hint="default"/>
      <w:sz w:val="18"/>
      <w:szCs w:val="18"/>
    </w:rPr>
  </w:style>
  <w:style w:type="character" w:customStyle="1" w:styleId="cf21">
    <w:name w:val="cf21"/>
    <w:basedOn w:val="Fuentedeprrafopredeter"/>
    <w:rsid w:val="00556780"/>
    <w:rPr>
      <w:rFonts w:ascii="Segoe UI" w:hAnsi="Segoe UI" w:cs="Segoe UI" w:hint="default"/>
      <w:sz w:val="18"/>
      <w:szCs w:val="18"/>
    </w:rPr>
  </w:style>
  <w:style w:type="character" w:customStyle="1" w:styleId="cf31">
    <w:name w:val="cf31"/>
    <w:basedOn w:val="Fuentedeprrafopredeter"/>
    <w:rsid w:val="00556780"/>
    <w:rPr>
      <w:rFonts w:ascii="Segoe UI" w:hAnsi="Segoe UI" w:cs="Segoe UI" w:hint="default"/>
      <w:b/>
      <w:bCs/>
      <w:sz w:val="18"/>
      <w:szCs w:val="18"/>
    </w:rPr>
  </w:style>
  <w:style w:type="character" w:customStyle="1" w:styleId="cf41">
    <w:name w:val="cf41"/>
    <w:basedOn w:val="Fuentedeprrafopredeter"/>
    <w:rsid w:val="00556780"/>
    <w:rPr>
      <w:rFonts w:ascii="Segoe UI" w:hAnsi="Segoe UI" w:cs="Segoe UI" w:hint="default"/>
      <w:sz w:val="18"/>
      <w:szCs w:val="18"/>
    </w:rPr>
  </w:style>
  <w:style w:type="character" w:customStyle="1" w:styleId="cf51">
    <w:name w:val="cf51"/>
    <w:basedOn w:val="Fuentedeprrafopredeter"/>
    <w:rsid w:val="00556780"/>
    <w:rPr>
      <w:rFonts w:ascii="Segoe UI" w:hAnsi="Segoe UI" w:cs="Segoe UI" w:hint="default"/>
      <w:b/>
      <w:bCs/>
      <w:sz w:val="18"/>
      <w:szCs w:val="18"/>
    </w:rPr>
  </w:style>
  <w:style w:type="character" w:customStyle="1" w:styleId="cf61">
    <w:name w:val="cf61"/>
    <w:basedOn w:val="Fuentedeprrafopredeter"/>
    <w:rsid w:val="00556780"/>
    <w:rPr>
      <w:rFonts w:ascii="Segoe UI" w:hAnsi="Segoe UI" w:cs="Segoe UI" w:hint="default"/>
      <w:b/>
      <w:bCs/>
      <w:i/>
      <w:iCs/>
      <w:sz w:val="18"/>
      <w:szCs w:val="18"/>
    </w:rPr>
  </w:style>
  <w:style w:type="paragraph" w:customStyle="1" w:styleId="ADB1">
    <w:name w:val="ADB1"/>
    <w:basedOn w:val="Normal"/>
    <w:next w:val="Textonotapie"/>
    <w:uiPriority w:val="99"/>
    <w:unhideWhenUsed/>
    <w:qFormat/>
    <w:rsid w:val="003418F6"/>
    <w:rPr>
      <w:rFonts w:asciiTheme="minorHAnsi" w:eastAsiaTheme="minorHAnsi" w:hAnsiTheme="minorHAnsi" w:cstheme="minorBidi"/>
      <w:kern w:val="2"/>
      <w:sz w:val="20"/>
      <w:szCs w:val="20"/>
      <w:lang w:eastAsia="en-US"/>
    </w:rPr>
  </w:style>
  <w:style w:type="character" w:styleId="Hipervnculo">
    <w:name w:val="Hyperlink"/>
    <w:uiPriority w:val="99"/>
    <w:unhideWhenUsed/>
    <w:rsid w:val="00055417"/>
    <w:rPr>
      <w:strike w:val="0"/>
      <w:dstrike w:val="0"/>
      <w:color w:val="035899"/>
      <w:u w:val="none"/>
      <w:effect w:val="none"/>
    </w:rPr>
  </w:style>
  <w:style w:type="character" w:customStyle="1" w:styleId="Mencinsinresolver1">
    <w:name w:val="Mención sin resolver1"/>
    <w:basedOn w:val="Fuentedeprrafopredeter"/>
    <w:uiPriority w:val="99"/>
    <w:semiHidden/>
    <w:unhideWhenUsed/>
    <w:rsid w:val="006C28FB"/>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bold">
    <w:name w:val="bold"/>
    <w:basedOn w:val="Fuentedeprrafopredeter"/>
    <w:rsid w:val="001A2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dle.rae.es/anexar"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Nh7KLUTFoj2RRYkLVH+V0ZDxvQ==">CgMxLjAyCGguZ2pkZ3hzMgloLjMwajB6bGw4AHIhMS1GUmVTWmVVUDEwWWRza1FGajA4ZGUyclROUHNFc2lj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D1CDC4-BC3C-472A-BDEA-070242B28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40</Pages>
  <Words>9982</Words>
  <Characters>54903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Souza Santana</dc:creator>
  <cp:lastModifiedBy>INFOEM381</cp:lastModifiedBy>
  <cp:revision>8</cp:revision>
  <cp:lastPrinted>2024-02-12T20:37:00Z</cp:lastPrinted>
  <dcterms:created xsi:type="dcterms:W3CDTF">2024-02-07T19:59:00Z</dcterms:created>
  <dcterms:modified xsi:type="dcterms:W3CDTF">2024-02-27T19:06:00Z</dcterms:modified>
</cp:coreProperties>
</file>