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63F697CE" w:rsidR="00942616" w:rsidRPr="00A238C2" w:rsidRDefault="00942616" w:rsidP="002A027B">
      <w:pPr>
        <w:tabs>
          <w:tab w:val="left" w:pos="3465"/>
        </w:tabs>
        <w:spacing w:line="360" w:lineRule="auto"/>
        <w:jc w:val="both"/>
        <w:rPr>
          <w:rFonts w:ascii="Palatino Linotype" w:hAnsi="Palatino Linotype"/>
        </w:rPr>
      </w:pPr>
      <w:r w:rsidRPr="00A238C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D96EB5" w:rsidRPr="00A238C2">
        <w:rPr>
          <w:rFonts w:ascii="Palatino Linotype" w:hAnsi="Palatino Linotype"/>
        </w:rPr>
        <w:t>veint</w:t>
      </w:r>
      <w:r w:rsidR="00A238C2">
        <w:rPr>
          <w:rFonts w:ascii="Palatino Linotype" w:hAnsi="Palatino Linotype"/>
        </w:rPr>
        <w:t>isiete (27)</w:t>
      </w:r>
      <w:r w:rsidR="00112714" w:rsidRPr="00A238C2">
        <w:rPr>
          <w:rFonts w:ascii="Palatino Linotype" w:hAnsi="Palatino Linotype"/>
        </w:rPr>
        <w:t xml:space="preserve"> de noviembre</w:t>
      </w:r>
      <w:r w:rsidR="00844CA2" w:rsidRPr="00A238C2">
        <w:rPr>
          <w:rFonts w:ascii="Palatino Linotype" w:hAnsi="Palatino Linotype"/>
        </w:rPr>
        <w:t xml:space="preserve"> </w:t>
      </w:r>
      <w:r w:rsidRPr="00A238C2">
        <w:rPr>
          <w:rFonts w:ascii="Palatino Linotype" w:hAnsi="Palatino Linotype"/>
        </w:rPr>
        <w:t>de dos mil veinticuatro.</w:t>
      </w:r>
    </w:p>
    <w:p w14:paraId="7A47408F" w14:textId="77777777" w:rsidR="00942616" w:rsidRPr="00A238C2" w:rsidRDefault="00942616" w:rsidP="002A027B">
      <w:pPr>
        <w:tabs>
          <w:tab w:val="left" w:pos="3465"/>
        </w:tabs>
        <w:spacing w:line="360" w:lineRule="auto"/>
        <w:jc w:val="both"/>
        <w:rPr>
          <w:rFonts w:ascii="Palatino Linotype" w:hAnsi="Palatino Linotype"/>
        </w:rPr>
      </w:pPr>
    </w:p>
    <w:p w14:paraId="1A849A4C" w14:textId="35ABB2F6" w:rsidR="00942616" w:rsidRPr="00A238C2" w:rsidRDefault="001125D8" w:rsidP="002A027B">
      <w:pPr>
        <w:spacing w:line="360" w:lineRule="auto"/>
        <w:jc w:val="both"/>
        <w:rPr>
          <w:rFonts w:ascii="Palatino Linotype" w:hAnsi="Palatino Linotype"/>
        </w:rPr>
      </w:pPr>
      <w:r w:rsidRPr="00A238C2">
        <w:rPr>
          <w:rFonts w:ascii="Palatino Linotype" w:hAnsi="Palatino Linotype"/>
          <w:b/>
        </w:rPr>
        <w:t xml:space="preserve">VISTAS </w:t>
      </w:r>
      <w:r w:rsidRPr="00A238C2">
        <w:rPr>
          <w:rFonts w:ascii="Palatino Linotype" w:hAnsi="Palatino Linotype"/>
        </w:rPr>
        <w:t>las constancias para resolver el recurso de revi</w:t>
      </w:r>
      <w:r w:rsidR="00D05A0E" w:rsidRPr="00A238C2">
        <w:rPr>
          <w:rFonts w:ascii="Palatino Linotype" w:hAnsi="Palatino Linotype"/>
        </w:rPr>
        <w:t>sión</w:t>
      </w:r>
      <w:r w:rsidR="00650FBD">
        <w:rPr>
          <w:rFonts w:ascii="Palatino Linotype" w:hAnsi="Palatino Linotype"/>
        </w:rPr>
        <w:t xml:space="preserve"> </w:t>
      </w:r>
      <w:r w:rsidR="00650FBD" w:rsidRPr="00650FBD">
        <w:rPr>
          <w:rFonts w:ascii="Palatino Linotype" w:hAnsi="Palatino Linotype" w:cs="Arial"/>
          <w:b/>
          <w:bCs/>
          <w:sz w:val="22"/>
          <w:szCs w:val="22"/>
          <w:lang w:eastAsia="es-MX"/>
        </w:rPr>
        <w:t>03708/INFOEM/IP/RR/2024</w:t>
      </w:r>
      <w:r w:rsidR="00650FBD">
        <w:rPr>
          <w:rFonts w:ascii="Palatino Linotype" w:hAnsi="Palatino Linotype" w:cs="Arial"/>
          <w:bCs/>
          <w:sz w:val="22"/>
          <w:szCs w:val="22"/>
          <w:lang w:eastAsia="es-MX"/>
        </w:rPr>
        <w:t>,</w:t>
      </w:r>
      <w:r w:rsidR="00D05A0E" w:rsidRPr="00A238C2">
        <w:rPr>
          <w:rFonts w:ascii="Palatino Linotype" w:hAnsi="Palatino Linotype"/>
        </w:rPr>
        <w:t xml:space="preserve"> presentado por </w:t>
      </w:r>
      <w:r w:rsidR="00A238C2" w:rsidRPr="00A238C2">
        <w:rPr>
          <w:rFonts w:ascii="Palatino Linotype" w:hAnsi="Palatino Linotype"/>
          <w:b/>
        </w:rPr>
        <w:t>un usuario que no registró nombre alguno,</w:t>
      </w:r>
      <w:r w:rsidR="00A238C2">
        <w:rPr>
          <w:rFonts w:ascii="Palatino Linotype" w:hAnsi="Palatino Linotype"/>
        </w:rPr>
        <w:t xml:space="preserve"> a quien </w:t>
      </w:r>
      <w:r w:rsidR="00D05A0E" w:rsidRPr="00A238C2">
        <w:rPr>
          <w:rFonts w:ascii="Palatino Linotype" w:hAnsi="Palatino Linotype"/>
        </w:rPr>
        <w:t xml:space="preserve">en lo sucesivo </w:t>
      </w:r>
      <w:r w:rsidR="00A238C2">
        <w:rPr>
          <w:rFonts w:ascii="Palatino Linotype" w:hAnsi="Palatino Linotype"/>
        </w:rPr>
        <w:t xml:space="preserve">denominaremos como </w:t>
      </w:r>
      <w:r w:rsidR="00D05A0E" w:rsidRPr="00A238C2">
        <w:rPr>
          <w:rFonts w:ascii="Palatino Linotype" w:hAnsi="Palatino Linotype"/>
        </w:rPr>
        <w:t xml:space="preserve">el </w:t>
      </w:r>
      <w:r w:rsidR="00A238C2" w:rsidRPr="00A238C2">
        <w:rPr>
          <w:rFonts w:ascii="Palatino Linotype" w:hAnsi="Palatino Linotype"/>
          <w:b/>
        </w:rPr>
        <w:t>RECURRENTE</w:t>
      </w:r>
      <w:r w:rsidR="00A731FE" w:rsidRPr="00A238C2">
        <w:rPr>
          <w:rFonts w:ascii="Palatino Linotype" w:hAnsi="Palatino Linotype"/>
        </w:rPr>
        <w:t>, en contra de la respuesta otorgada a la solicitud de información</w:t>
      </w:r>
      <w:r w:rsidR="00F70101" w:rsidRPr="00A238C2">
        <w:rPr>
          <w:rFonts w:ascii="Palatino Linotype" w:hAnsi="Palatino Linotype"/>
        </w:rPr>
        <w:t xml:space="preserve"> con </w:t>
      </w:r>
      <w:r w:rsidR="00566C95" w:rsidRPr="00A238C2">
        <w:rPr>
          <w:rFonts w:ascii="Palatino Linotype" w:hAnsi="Palatino Linotype"/>
        </w:rPr>
        <w:t>número</w:t>
      </w:r>
      <w:r w:rsidR="00F70101" w:rsidRPr="00A238C2">
        <w:rPr>
          <w:rFonts w:ascii="Palatino Linotype" w:hAnsi="Palatino Linotype"/>
        </w:rPr>
        <w:t xml:space="preserve"> de folio</w:t>
      </w:r>
      <w:r w:rsidR="00A731FE" w:rsidRPr="00A238C2">
        <w:rPr>
          <w:rFonts w:ascii="Palatino Linotype" w:hAnsi="Palatino Linotype"/>
        </w:rPr>
        <w:t xml:space="preserve"> </w:t>
      </w:r>
      <w:r w:rsidR="00D96EB5" w:rsidRPr="00A238C2">
        <w:rPr>
          <w:rFonts w:ascii="Palatino Linotype" w:hAnsi="Palatino Linotype" w:cs="Arial"/>
          <w:b/>
          <w:bCs/>
          <w:lang w:eastAsia="es-MX"/>
        </w:rPr>
        <w:t>00160/SCTUR/IP/2024</w:t>
      </w:r>
      <w:r w:rsidRPr="00A238C2">
        <w:rPr>
          <w:rFonts w:ascii="Palatino Linotype" w:hAnsi="Palatino Linotype"/>
        </w:rPr>
        <w:t xml:space="preserve">, </w:t>
      </w:r>
      <w:r w:rsidR="00A731FE" w:rsidRPr="00A238C2">
        <w:rPr>
          <w:rFonts w:ascii="Palatino Linotype" w:hAnsi="Palatino Linotype"/>
        </w:rPr>
        <w:t>por parte</w:t>
      </w:r>
      <w:r w:rsidRPr="00A238C2">
        <w:rPr>
          <w:rFonts w:ascii="Palatino Linotype" w:hAnsi="Palatino Linotype"/>
        </w:rPr>
        <w:t xml:space="preserve"> de la </w:t>
      </w:r>
      <w:r w:rsidR="00D96EB5" w:rsidRPr="00A238C2">
        <w:rPr>
          <w:rFonts w:ascii="Palatino Linotype" w:hAnsi="Palatino Linotype"/>
          <w:b/>
        </w:rPr>
        <w:t>Secretaría de Cultura y Turismo</w:t>
      </w:r>
      <w:r w:rsidRPr="00A238C2">
        <w:rPr>
          <w:rFonts w:ascii="Palatino Linotype" w:hAnsi="Palatino Linotype"/>
          <w:b/>
        </w:rPr>
        <w:t xml:space="preserve"> </w:t>
      </w:r>
      <w:r w:rsidRPr="00A238C2">
        <w:rPr>
          <w:rFonts w:ascii="Palatino Linotype" w:hAnsi="Palatino Linotype"/>
        </w:rPr>
        <w:t xml:space="preserve">en adelante </w:t>
      </w:r>
      <w:r w:rsidR="00A238C2" w:rsidRPr="00A238C2">
        <w:rPr>
          <w:rFonts w:ascii="Palatino Linotype" w:hAnsi="Palatino Linotype"/>
          <w:b/>
        </w:rPr>
        <w:t>EL SUJETO OBLIGADO</w:t>
      </w:r>
      <w:r w:rsidR="00A238C2">
        <w:rPr>
          <w:rFonts w:ascii="Palatino Linotype" w:hAnsi="Palatino Linotype"/>
          <w:b/>
        </w:rPr>
        <w:t>,</w:t>
      </w:r>
      <w:r w:rsidRPr="00A238C2">
        <w:rPr>
          <w:rFonts w:ascii="Palatino Linotype" w:hAnsi="Palatino Linotype"/>
        </w:rPr>
        <w:t xml:space="preserve"> </w:t>
      </w:r>
      <w:r w:rsidR="00A238C2">
        <w:rPr>
          <w:rFonts w:ascii="Palatino Linotype" w:hAnsi="Palatino Linotype"/>
        </w:rPr>
        <w:t>s</w:t>
      </w:r>
      <w:r w:rsidRPr="00A238C2">
        <w:rPr>
          <w:rFonts w:ascii="Palatino Linotype" w:hAnsi="Palatino Linotype"/>
        </w:rPr>
        <w:t>e emite la presente resolución</w:t>
      </w:r>
      <w:r w:rsidR="0074431C" w:rsidRPr="00A238C2">
        <w:rPr>
          <w:rFonts w:ascii="Palatino Linotype" w:hAnsi="Palatino Linotype"/>
        </w:rPr>
        <w:t xml:space="preserve"> con base en los siguientes</w:t>
      </w:r>
      <w:r w:rsidRPr="00A238C2">
        <w:rPr>
          <w:rFonts w:ascii="Palatino Linotype" w:hAnsi="Palatino Linotype"/>
        </w:rPr>
        <w:t>:</w:t>
      </w:r>
    </w:p>
    <w:p w14:paraId="27CF3736" w14:textId="6015A57A" w:rsidR="00942616" w:rsidRPr="00A238C2" w:rsidRDefault="00942616" w:rsidP="002A027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A238C2">
        <w:rPr>
          <w:rFonts w:ascii="Palatino Linotype" w:hAnsi="Palatino Linotype"/>
          <w:b/>
          <w:color w:val="000000" w:themeColor="text1"/>
          <w:sz w:val="24"/>
          <w:szCs w:val="24"/>
        </w:rPr>
        <w:t>A</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N</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T</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E</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C</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E</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D</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E</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N</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T</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E</w:t>
      </w:r>
      <w:r w:rsidR="00A238C2">
        <w:rPr>
          <w:rFonts w:ascii="Palatino Linotype" w:hAnsi="Palatino Linotype"/>
          <w:b/>
          <w:color w:val="000000" w:themeColor="text1"/>
          <w:sz w:val="24"/>
          <w:szCs w:val="24"/>
        </w:rPr>
        <w:t xml:space="preserve"> </w:t>
      </w:r>
      <w:r w:rsidRPr="00A238C2">
        <w:rPr>
          <w:rFonts w:ascii="Palatino Linotype" w:hAnsi="Palatino Linotype"/>
          <w:b/>
          <w:color w:val="000000" w:themeColor="text1"/>
          <w:sz w:val="24"/>
          <w:szCs w:val="24"/>
        </w:rPr>
        <w:t>S</w:t>
      </w:r>
      <w:bookmarkEnd w:id="0"/>
      <w:bookmarkEnd w:id="1"/>
      <w:bookmarkEnd w:id="2"/>
    </w:p>
    <w:p w14:paraId="5385E88F" w14:textId="77777777" w:rsidR="00942616" w:rsidRPr="00A238C2" w:rsidRDefault="00942616" w:rsidP="002A027B">
      <w:pPr>
        <w:spacing w:line="360" w:lineRule="auto"/>
        <w:rPr>
          <w:rFonts w:ascii="Palatino Linotype" w:hAnsi="Palatino Linotype"/>
        </w:rPr>
      </w:pPr>
    </w:p>
    <w:p w14:paraId="53379CE6" w14:textId="38F40D85" w:rsidR="00942616" w:rsidRPr="00A238C2" w:rsidRDefault="00942616" w:rsidP="002A027B">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A238C2">
        <w:rPr>
          <w:rFonts w:ascii="Palatino Linotype" w:eastAsia="Calibri" w:hAnsi="Palatino Linotype" w:cs="Arial"/>
          <w:lang w:val="es-ES"/>
        </w:rPr>
        <w:t>El día</w:t>
      </w:r>
      <w:r w:rsidR="00133699" w:rsidRPr="00A238C2">
        <w:rPr>
          <w:rFonts w:ascii="Palatino Linotype" w:eastAsia="Calibri" w:hAnsi="Palatino Linotype" w:cs="Arial"/>
          <w:b/>
          <w:lang w:val="es-ES"/>
        </w:rPr>
        <w:t xml:space="preserve"> </w:t>
      </w:r>
      <w:r w:rsidR="00D96EB5" w:rsidRPr="00A238C2">
        <w:rPr>
          <w:rFonts w:ascii="Palatino Linotype" w:eastAsia="Calibri" w:hAnsi="Palatino Linotype" w:cs="Arial"/>
          <w:b/>
          <w:lang w:val="es-ES"/>
        </w:rPr>
        <w:t>veintisiete</w:t>
      </w:r>
      <w:r w:rsidR="00112714" w:rsidRPr="00A238C2">
        <w:rPr>
          <w:rFonts w:ascii="Palatino Linotype" w:eastAsia="Calibri" w:hAnsi="Palatino Linotype" w:cs="Arial"/>
          <w:b/>
          <w:lang w:val="es-ES"/>
        </w:rPr>
        <w:t xml:space="preserve"> de </w:t>
      </w:r>
      <w:r w:rsidR="00D96EB5" w:rsidRPr="00A238C2">
        <w:rPr>
          <w:rFonts w:ascii="Palatino Linotype" w:eastAsia="Calibri" w:hAnsi="Palatino Linotype" w:cs="Arial"/>
          <w:b/>
          <w:lang w:val="es-ES"/>
        </w:rPr>
        <w:t>mayo</w:t>
      </w:r>
      <w:r w:rsidR="001E27D8" w:rsidRPr="00A238C2">
        <w:rPr>
          <w:rFonts w:ascii="Palatino Linotype" w:eastAsia="Calibri" w:hAnsi="Palatino Linotype" w:cs="Arial"/>
          <w:b/>
          <w:lang w:val="es-ES"/>
        </w:rPr>
        <w:t xml:space="preserve"> de dos mil </w:t>
      </w:r>
      <w:r w:rsidR="00112714" w:rsidRPr="00A238C2">
        <w:rPr>
          <w:rFonts w:ascii="Palatino Linotype" w:eastAsia="Calibri" w:hAnsi="Palatino Linotype" w:cs="Arial"/>
          <w:b/>
          <w:lang w:val="es-ES"/>
        </w:rPr>
        <w:t>veinticuatro</w:t>
      </w:r>
      <w:r w:rsidRPr="00A238C2">
        <w:rPr>
          <w:rFonts w:ascii="Palatino Linotype" w:hAnsi="Palatino Linotype"/>
        </w:rPr>
        <w:t>,</w:t>
      </w:r>
      <w:r w:rsidRPr="00A238C2">
        <w:rPr>
          <w:rFonts w:ascii="Palatino Linotype" w:hAnsi="Palatino Linotype"/>
          <w:b/>
        </w:rPr>
        <w:t xml:space="preserve"> </w:t>
      </w:r>
      <w:r w:rsidRPr="00A238C2">
        <w:rPr>
          <w:rFonts w:ascii="Palatino Linotype" w:eastAsia="Calibri" w:hAnsi="Palatino Linotype" w:cs="Arial"/>
          <w:lang w:val="es-ES"/>
        </w:rPr>
        <w:t xml:space="preserve">se presentó ante el </w:t>
      </w:r>
      <w:r w:rsidR="001125D8" w:rsidRPr="00A238C2">
        <w:rPr>
          <w:rFonts w:ascii="Palatino Linotype" w:eastAsia="Calibri" w:hAnsi="Palatino Linotype" w:cs="Arial"/>
          <w:lang w:val="es-ES"/>
        </w:rPr>
        <w:t>Sujeto Obligado</w:t>
      </w:r>
      <w:r w:rsidR="001125D8" w:rsidRPr="00A238C2">
        <w:rPr>
          <w:rFonts w:ascii="Palatino Linotype" w:eastAsia="Calibri" w:hAnsi="Palatino Linotype" w:cs="Arial"/>
        </w:rPr>
        <w:t xml:space="preserve"> </w:t>
      </w:r>
      <w:r w:rsidRPr="00A238C2">
        <w:rPr>
          <w:rFonts w:ascii="Palatino Linotype" w:eastAsia="Calibri" w:hAnsi="Palatino Linotype" w:cs="Arial"/>
        </w:rPr>
        <w:t>vía</w:t>
      </w:r>
      <w:r w:rsidR="001125D8" w:rsidRPr="00A238C2">
        <w:rPr>
          <w:rFonts w:ascii="Palatino Linotype" w:eastAsia="Calibri" w:hAnsi="Palatino Linotype" w:cs="Arial"/>
        </w:rPr>
        <w:t xml:space="preserve"> Sistema </w:t>
      </w:r>
      <w:r w:rsidR="001125D8" w:rsidRPr="00A238C2">
        <w:rPr>
          <w:rFonts w:ascii="Palatino Linotype" w:eastAsia="Times New Roman" w:hAnsi="Palatino Linotype" w:cs="Arial"/>
          <w:color w:val="000000" w:themeColor="text1"/>
          <w:lang w:val="es-ES"/>
        </w:rPr>
        <w:t>de</w:t>
      </w:r>
      <w:r w:rsidR="001125D8" w:rsidRPr="00A238C2">
        <w:rPr>
          <w:rFonts w:ascii="Palatino Linotype" w:eastAsia="Calibri" w:hAnsi="Palatino Linotype" w:cs="Arial"/>
        </w:rPr>
        <w:t xml:space="preserve"> Acceso a la Información Mexiquense</w:t>
      </w:r>
      <w:r w:rsidR="0074431C" w:rsidRPr="00A238C2">
        <w:rPr>
          <w:rFonts w:ascii="Palatino Linotype" w:eastAsia="Calibri" w:hAnsi="Palatino Linotype" w:cs="Arial"/>
        </w:rPr>
        <w:t xml:space="preserve">, en adelante </w:t>
      </w:r>
      <w:r w:rsidRPr="00A238C2">
        <w:rPr>
          <w:rFonts w:ascii="Palatino Linotype" w:eastAsia="Calibri" w:hAnsi="Palatino Linotype" w:cs="Arial"/>
          <w:lang w:val="es-ES"/>
        </w:rPr>
        <w:t xml:space="preserve">SAIMEX, la </w:t>
      </w:r>
      <w:r w:rsidR="001125D8" w:rsidRPr="00A238C2">
        <w:rPr>
          <w:rFonts w:ascii="Palatino Linotype" w:eastAsia="Calibri" w:hAnsi="Palatino Linotype" w:cs="Arial"/>
          <w:lang w:val="es-ES"/>
        </w:rPr>
        <w:t xml:space="preserve">siguiente </w:t>
      </w:r>
      <w:r w:rsidRPr="00A238C2">
        <w:rPr>
          <w:rFonts w:ascii="Palatino Linotype" w:eastAsia="Calibri" w:hAnsi="Palatino Linotype" w:cs="Arial"/>
          <w:lang w:val="es-ES"/>
        </w:rPr>
        <w:t>solicitud de información pública:</w:t>
      </w:r>
    </w:p>
    <w:p w14:paraId="178B136D" w14:textId="77777777" w:rsidR="00942616" w:rsidRPr="00A238C2" w:rsidRDefault="00942616" w:rsidP="002A027B">
      <w:pPr>
        <w:pStyle w:val="Prrafodelista"/>
        <w:spacing w:line="360" w:lineRule="auto"/>
        <w:ind w:left="0"/>
        <w:jc w:val="both"/>
        <w:rPr>
          <w:rFonts w:ascii="Palatino Linotype" w:eastAsia="Calibri" w:hAnsi="Palatino Linotype" w:cs="Arial"/>
          <w:lang w:val="es-ES"/>
        </w:rPr>
      </w:pPr>
    </w:p>
    <w:p w14:paraId="4D74F757" w14:textId="0F37E843" w:rsidR="00942616" w:rsidRPr="00A238C2" w:rsidRDefault="00942616" w:rsidP="002A027B">
      <w:pPr>
        <w:pStyle w:val="Prrafodelista"/>
        <w:spacing w:line="360" w:lineRule="auto"/>
        <w:ind w:left="425" w:right="476"/>
        <w:jc w:val="both"/>
        <w:rPr>
          <w:rFonts w:ascii="Palatino Linotype" w:hAnsi="Palatino Linotype"/>
        </w:rPr>
      </w:pPr>
      <w:r w:rsidRPr="00A238C2">
        <w:rPr>
          <w:rFonts w:ascii="Palatino Linotype" w:hAnsi="Palatino Linotype"/>
          <w:i/>
        </w:rPr>
        <w:t>“</w:t>
      </w:r>
      <w:r w:rsidR="00D96EB5" w:rsidRPr="00A238C2">
        <w:rPr>
          <w:rFonts w:ascii="Palatino Linotype" w:hAnsi="Palatino Linotype"/>
          <w:i/>
        </w:rPr>
        <w:t>Solicito la partitura de Rimsky-Korsakov. Obertura La gran pascua rusa, Op. 36, interpretada por la Orquesta Sinfónica del Estado de México</w:t>
      </w:r>
      <w:r w:rsidRPr="00A238C2">
        <w:rPr>
          <w:rFonts w:ascii="Palatino Linotype" w:hAnsi="Palatino Linotype"/>
          <w:i/>
        </w:rPr>
        <w:t>”</w:t>
      </w:r>
    </w:p>
    <w:p w14:paraId="1B41AE08" w14:textId="77777777" w:rsidR="00942616" w:rsidRPr="00A238C2" w:rsidRDefault="00942616" w:rsidP="002A027B">
      <w:pPr>
        <w:pStyle w:val="Prrafodelista"/>
        <w:spacing w:line="360" w:lineRule="auto"/>
        <w:ind w:left="851" w:right="34"/>
        <w:jc w:val="both"/>
        <w:rPr>
          <w:rFonts w:ascii="Palatino Linotype" w:hAnsi="Palatino Linotype"/>
        </w:rPr>
      </w:pPr>
    </w:p>
    <w:p w14:paraId="41BE3230" w14:textId="0C4261CD" w:rsidR="00942616" w:rsidRPr="00A238C2" w:rsidRDefault="00942616" w:rsidP="002A027B">
      <w:pPr>
        <w:pStyle w:val="Prrafodelista"/>
        <w:numPr>
          <w:ilvl w:val="0"/>
          <w:numId w:val="23"/>
        </w:numPr>
        <w:tabs>
          <w:tab w:val="left" w:pos="0"/>
        </w:tabs>
        <w:spacing w:line="360" w:lineRule="auto"/>
        <w:ind w:left="709" w:right="51"/>
        <w:jc w:val="both"/>
        <w:rPr>
          <w:rFonts w:ascii="Palatino Linotype" w:hAnsi="Palatino Linotype"/>
        </w:rPr>
      </w:pPr>
      <w:r w:rsidRPr="00A238C2">
        <w:rPr>
          <w:rFonts w:ascii="Palatino Linotype" w:eastAsia="Times New Roman" w:hAnsi="Palatino Linotype" w:cs="Arial"/>
          <w:lang w:val="es-ES"/>
        </w:rPr>
        <w:t xml:space="preserve">Se eligió como </w:t>
      </w:r>
      <w:r w:rsidRPr="00A238C2">
        <w:rPr>
          <w:rFonts w:ascii="Palatino Linotype" w:hAnsi="Palatino Linotype"/>
        </w:rPr>
        <w:t>modalidad</w:t>
      </w:r>
      <w:r w:rsidRPr="00A238C2">
        <w:rPr>
          <w:rFonts w:ascii="Palatino Linotype" w:eastAsia="Times New Roman" w:hAnsi="Palatino Linotype" w:cs="Arial"/>
          <w:lang w:val="es-ES"/>
        </w:rPr>
        <w:t xml:space="preserve"> de entrega de la información</w:t>
      </w:r>
      <w:r w:rsidRPr="00A238C2">
        <w:rPr>
          <w:rFonts w:ascii="Palatino Linotype" w:hAnsi="Palatino Linotype"/>
        </w:rPr>
        <w:t>: A través del</w:t>
      </w:r>
      <w:r w:rsidR="00833269" w:rsidRPr="00A238C2">
        <w:rPr>
          <w:rFonts w:ascii="Palatino Linotype" w:hAnsi="Palatino Linotype"/>
        </w:rPr>
        <w:t xml:space="preserve"> </w:t>
      </w:r>
      <w:r w:rsidRPr="00A238C2">
        <w:rPr>
          <w:rFonts w:ascii="Palatino Linotype" w:hAnsi="Palatino Linotype"/>
          <w:b/>
        </w:rPr>
        <w:t>SAIMEX.</w:t>
      </w:r>
    </w:p>
    <w:p w14:paraId="6A37E7BA" w14:textId="77777777" w:rsidR="00F70101" w:rsidRPr="00A238C2" w:rsidRDefault="00F70101" w:rsidP="002A027B">
      <w:pPr>
        <w:pStyle w:val="Prrafodelista"/>
        <w:tabs>
          <w:tab w:val="left" w:pos="0"/>
        </w:tabs>
        <w:spacing w:line="360" w:lineRule="auto"/>
        <w:ind w:left="709" w:right="51"/>
        <w:jc w:val="both"/>
        <w:rPr>
          <w:rFonts w:ascii="Palatino Linotype" w:hAnsi="Palatino Linotype"/>
        </w:rPr>
      </w:pPr>
    </w:p>
    <w:p w14:paraId="25112C50" w14:textId="15F05201" w:rsidR="00844CA2" w:rsidRPr="00A238C2" w:rsidRDefault="00942616" w:rsidP="002A027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A238C2">
        <w:rPr>
          <w:rFonts w:ascii="Palatino Linotype" w:hAnsi="Palatino Linotype" w:cs="Arial"/>
          <w:color w:val="000000" w:themeColor="text1"/>
        </w:rPr>
        <w:t>El</w:t>
      </w:r>
      <w:r w:rsidR="00133699" w:rsidRPr="00A238C2">
        <w:rPr>
          <w:rFonts w:ascii="Palatino Linotype" w:hAnsi="Palatino Linotype" w:cs="Arial"/>
          <w:b/>
          <w:color w:val="000000" w:themeColor="text1"/>
        </w:rPr>
        <w:t xml:space="preserve"> </w:t>
      </w:r>
      <w:r w:rsidR="00D96EB5" w:rsidRPr="00A238C2">
        <w:rPr>
          <w:rFonts w:ascii="Palatino Linotype" w:hAnsi="Palatino Linotype" w:cs="Arial"/>
          <w:b/>
          <w:color w:val="000000" w:themeColor="text1"/>
        </w:rPr>
        <w:t>seis de junio</w:t>
      </w:r>
      <w:r w:rsidR="00BD6261" w:rsidRPr="00A238C2">
        <w:rPr>
          <w:rFonts w:ascii="Palatino Linotype" w:hAnsi="Palatino Linotype" w:cs="Arial"/>
          <w:b/>
          <w:color w:val="000000" w:themeColor="text1"/>
        </w:rPr>
        <w:t xml:space="preserve"> de dos mil veinticuatro</w:t>
      </w:r>
      <w:r w:rsidRPr="00A238C2">
        <w:rPr>
          <w:rFonts w:ascii="Palatino Linotype" w:hAnsi="Palatino Linotype" w:cs="Arial"/>
          <w:color w:val="000000" w:themeColor="text1"/>
        </w:rPr>
        <w:t xml:space="preserve">, el </w:t>
      </w:r>
      <w:r w:rsidR="001125D8" w:rsidRPr="00A238C2">
        <w:rPr>
          <w:rFonts w:ascii="Palatino Linotype" w:hAnsi="Palatino Linotype" w:cs="Arial"/>
          <w:color w:val="000000" w:themeColor="text1"/>
        </w:rPr>
        <w:t>Sujeto Obligado</w:t>
      </w:r>
      <w:r w:rsidRPr="00A238C2">
        <w:rPr>
          <w:rFonts w:ascii="Palatino Linotype" w:hAnsi="Palatino Linotype" w:cs="Arial"/>
          <w:b/>
          <w:color w:val="000000" w:themeColor="text1"/>
        </w:rPr>
        <w:t>,</w:t>
      </w:r>
      <w:r w:rsidRPr="00A238C2">
        <w:rPr>
          <w:rFonts w:ascii="Palatino Linotype" w:hAnsi="Palatino Linotype" w:cs="Arial"/>
          <w:color w:val="000000" w:themeColor="text1"/>
        </w:rPr>
        <w:t xml:space="preserve"> dio respuesta a través </w:t>
      </w:r>
      <w:r w:rsidR="001125D8" w:rsidRPr="00A238C2">
        <w:rPr>
          <w:rFonts w:ascii="Palatino Linotype" w:hAnsi="Palatino Linotype" w:cs="Arial"/>
          <w:color w:val="000000" w:themeColor="text1"/>
        </w:rPr>
        <w:t>de</w:t>
      </w:r>
      <w:r w:rsidR="00BD6261" w:rsidRPr="00A238C2">
        <w:rPr>
          <w:rFonts w:ascii="Palatino Linotype" w:hAnsi="Palatino Linotype" w:cs="Arial"/>
          <w:color w:val="000000" w:themeColor="text1"/>
        </w:rPr>
        <w:t xml:space="preserve"> </w:t>
      </w:r>
      <w:r w:rsidR="001125D8" w:rsidRPr="00A238C2">
        <w:rPr>
          <w:rFonts w:ascii="Palatino Linotype" w:hAnsi="Palatino Linotype" w:cs="Arial"/>
          <w:color w:val="000000" w:themeColor="text1"/>
        </w:rPr>
        <w:t>l</w:t>
      </w:r>
      <w:r w:rsidR="00BD6261" w:rsidRPr="00A238C2">
        <w:rPr>
          <w:rFonts w:ascii="Palatino Linotype" w:hAnsi="Palatino Linotype" w:cs="Arial"/>
          <w:color w:val="000000" w:themeColor="text1"/>
        </w:rPr>
        <w:t>os</w:t>
      </w:r>
      <w:r w:rsidR="001125D8" w:rsidRPr="00A238C2">
        <w:rPr>
          <w:rFonts w:ascii="Palatino Linotype" w:hAnsi="Palatino Linotype" w:cs="Arial"/>
          <w:color w:val="000000" w:themeColor="text1"/>
        </w:rPr>
        <w:t xml:space="preserve"> </w:t>
      </w:r>
      <w:r w:rsidR="001125D8" w:rsidRPr="00A238C2">
        <w:rPr>
          <w:rFonts w:ascii="Palatino Linotype" w:eastAsia="Calibri" w:hAnsi="Palatino Linotype" w:cs="Arial"/>
          <w:lang w:val="es-ES"/>
        </w:rPr>
        <w:t>siguiente</w:t>
      </w:r>
      <w:r w:rsidR="00BD6261" w:rsidRPr="00A238C2">
        <w:rPr>
          <w:rFonts w:ascii="Palatino Linotype" w:eastAsia="Calibri" w:hAnsi="Palatino Linotype" w:cs="Arial"/>
          <w:lang w:val="es-ES"/>
        </w:rPr>
        <w:t>s</w:t>
      </w:r>
      <w:r w:rsidR="001125D8" w:rsidRPr="00A238C2">
        <w:rPr>
          <w:rFonts w:ascii="Palatino Linotype" w:hAnsi="Palatino Linotype" w:cs="Arial"/>
          <w:color w:val="000000" w:themeColor="text1"/>
        </w:rPr>
        <w:t xml:space="preserve"> archivo</w:t>
      </w:r>
      <w:r w:rsidR="00BD6261" w:rsidRPr="00A238C2">
        <w:rPr>
          <w:rFonts w:ascii="Palatino Linotype" w:hAnsi="Palatino Linotype" w:cs="Arial"/>
          <w:color w:val="000000" w:themeColor="text1"/>
        </w:rPr>
        <w:t>s</w:t>
      </w:r>
      <w:r w:rsidR="001125D8" w:rsidRPr="00A238C2">
        <w:rPr>
          <w:rFonts w:ascii="Palatino Linotype" w:hAnsi="Palatino Linotype" w:cs="Arial"/>
          <w:color w:val="000000" w:themeColor="text1"/>
        </w:rPr>
        <w:t xml:space="preserve"> electrónico</w:t>
      </w:r>
      <w:r w:rsidR="00BD6261" w:rsidRPr="00A238C2">
        <w:rPr>
          <w:rFonts w:ascii="Palatino Linotype" w:hAnsi="Palatino Linotype" w:cs="Arial"/>
          <w:color w:val="000000" w:themeColor="text1"/>
        </w:rPr>
        <w:t>s</w:t>
      </w:r>
      <w:r w:rsidR="00844CA2" w:rsidRPr="00A238C2">
        <w:rPr>
          <w:rFonts w:ascii="Palatino Linotype" w:hAnsi="Palatino Linotype" w:cs="Arial"/>
          <w:color w:val="000000" w:themeColor="text1"/>
        </w:rPr>
        <w:t xml:space="preserve">: </w:t>
      </w:r>
    </w:p>
    <w:p w14:paraId="5BED0D5D" w14:textId="7E29F73A" w:rsidR="00942616" w:rsidRPr="00A238C2" w:rsidRDefault="00112714" w:rsidP="002A027B">
      <w:pPr>
        <w:pStyle w:val="Prrafodelista"/>
        <w:numPr>
          <w:ilvl w:val="0"/>
          <w:numId w:val="20"/>
        </w:numPr>
        <w:tabs>
          <w:tab w:val="left" w:pos="0"/>
        </w:tabs>
        <w:spacing w:line="360" w:lineRule="auto"/>
        <w:ind w:right="616"/>
        <w:jc w:val="both"/>
        <w:rPr>
          <w:rFonts w:ascii="Palatino Linotype" w:hAnsi="Palatino Linotype" w:cs="Arial"/>
          <w:color w:val="000000" w:themeColor="text1"/>
          <w:sz w:val="22"/>
        </w:rPr>
      </w:pPr>
      <w:r w:rsidRPr="00A238C2">
        <w:rPr>
          <w:rFonts w:ascii="Palatino Linotype" w:hAnsi="Palatino Linotype" w:cs="Arial"/>
          <w:b/>
          <w:color w:val="000000" w:themeColor="text1"/>
          <w:sz w:val="22"/>
        </w:rPr>
        <w:lastRenderedPageBreak/>
        <w:t>ANEXO1.pdf</w:t>
      </w:r>
      <w:r w:rsidR="00BD6261" w:rsidRPr="00A238C2">
        <w:rPr>
          <w:rFonts w:ascii="Palatino Linotype" w:hAnsi="Palatino Linotype" w:cs="Arial"/>
          <w:color w:val="000000" w:themeColor="text1"/>
          <w:sz w:val="22"/>
        </w:rPr>
        <w:t xml:space="preserve">: </w:t>
      </w:r>
      <w:r w:rsidR="00D96EB5" w:rsidRPr="00A238C2">
        <w:rPr>
          <w:rFonts w:ascii="Palatino Linotype" w:hAnsi="Palatino Linotype" w:cs="Arial"/>
          <w:color w:val="000000" w:themeColor="text1"/>
          <w:sz w:val="22"/>
        </w:rPr>
        <w:t xml:space="preserve">22600004L/231/2024 suscrito por el Director de la Orquesta Sinfónica del Estado de México, a través del cual informa que la Dirección de la Orquesta Sinfónica del Estado de </w:t>
      </w:r>
      <w:r w:rsidR="003337B2" w:rsidRPr="00A238C2">
        <w:rPr>
          <w:rFonts w:ascii="Palatino Linotype" w:hAnsi="Palatino Linotype" w:cs="Arial"/>
          <w:color w:val="000000" w:themeColor="text1"/>
          <w:sz w:val="22"/>
        </w:rPr>
        <w:t>México</w:t>
      </w:r>
      <w:r w:rsidR="00D96EB5" w:rsidRPr="00A238C2">
        <w:rPr>
          <w:rFonts w:ascii="Palatino Linotype" w:hAnsi="Palatino Linotype" w:cs="Arial"/>
          <w:color w:val="000000" w:themeColor="text1"/>
          <w:sz w:val="22"/>
        </w:rPr>
        <w:t xml:space="preserve"> no cuenta con facultad expresa de remitir copias de </w:t>
      </w:r>
      <w:r w:rsidR="003337B2" w:rsidRPr="00A238C2">
        <w:rPr>
          <w:rFonts w:ascii="Palatino Linotype" w:hAnsi="Palatino Linotype" w:cs="Arial"/>
          <w:color w:val="000000" w:themeColor="text1"/>
          <w:sz w:val="22"/>
        </w:rPr>
        <w:t>partituras</w:t>
      </w:r>
      <w:r w:rsidR="00D96EB5" w:rsidRPr="00A238C2">
        <w:rPr>
          <w:rFonts w:ascii="Palatino Linotype" w:hAnsi="Palatino Linotype" w:cs="Arial"/>
          <w:color w:val="000000" w:themeColor="text1"/>
          <w:sz w:val="22"/>
        </w:rPr>
        <w:t xml:space="preserve"> originales que obren en su biblioteca por motivos de derecho de autor.</w:t>
      </w:r>
      <w:r w:rsidR="00F405F2" w:rsidRPr="00A238C2">
        <w:rPr>
          <w:rFonts w:ascii="Palatino Linotype" w:hAnsi="Palatino Linotype" w:cs="Arial"/>
          <w:color w:val="000000" w:themeColor="text1"/>
          <w:sz w:val="22"/>
        </w:rPr>
        <w:t>.</w:t>
      </w:r>
    </w:p>
    <w:p w14:paraId="71FCCE90" w14:textId="77777777" w:rsidR="007C50BE" w:rsidRPr="00A238C2" w:rsidRDefault="007C50BE" w:rsidP="002A027B">
      <w:pPr>
        <w:pStyle w:val="Prrafodelista"/>
        <w:tabs>
          <w:tab w:val="left" w:pos="0"/>
        </w:tabs>
        <w:spacing w:line="360" w:lineRule="auto"/>
        <w:ind w:left="709" w:right="51"/>
        <w:jc w:val="both"/>
        <w:rPr>
          <w:rFonts w:ascii="Palatino Linotype" w:hAnsi="Palatino Linotype" w:cs="Arial"/>
          <w:i/>
          <w:color w:val="000000" w:themeColor="text1"/>
        </w:rPr>
      </w:pPr>
    </w:p>
    <w:p w14:paraId="30268E17" w14:textId="212BB1BE" w:rsidR="00942616" w:rsidRPr="00A238C2" w:rsidRDefault="00942616" w:rsidP="002A027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238C2">
        <w:rPr>
          <w:rFonts w:ascii="Palatino Linotype" w:eastAsia="Times New Roman" w:hAnsi="Palatino Linotype" w:cs="Arial"/>
          <w:color w:val="000000" w:themeColor="text1"/>
          <w:lang w:val="es-ES"/>
        </w:rPr>
        <w:t>El</w:t>
      </w:r>
      <w:r w:rsidR="00722086" w:rsidRPr="00A238C2">
        <w:rPr>
          <w:rFonts w:ascii="Palatino Linotype" w:eastAsia="Times New Roman" w:hAnsi="Palatino Linotype" w:cs="Arial"/>
          <w:b/>
          <w:color w:val="000000" w:themeColor="text1"/>
          <w:lang w:val="es-ES"/>
        </w:rPr>
        <w:t xml:space="preserve"> </w:t>
      </w:r>
      <w:r w:rsidR="003337B2" w:rsidRPr="00A238C2">
        <w:rPr>
          <w:rFonts w:ascii="Palatino Linotype" w:eastAsia="Times New Roman" w:hAnsi="Palatino Linotype" w:cs="Arial"/>
          <w:b/>
          <w:color w:val="000000" w:themeColor="text1"/>
          <w:lang w:val="es-ES"/>
        </w:rPr>
        <w:t>diecisiete de junio</w:t>
      </w:r>
      <w:r w:rsidR="001E27D8" w:rsidRPr="00A238C2">
        <w:rPr>
          <w:rFonts w:ascii="Palatino Linotype" w:eastAsia="Times New Roman" w:hAnsi="Palatino Linotype" w:cs="Arial"/>
          <w:b/>
          <w:color w:val="000000" w:themeColor="text1"/>
          <w:lang w:val="es-ES"/>
        </w:rPr>
        <w:t xml:space="preserve"> de dos mil </w:t>
      </w:r>
      <w:r w:rsidR="00112714" w:rsidRPr="00A238C2">
        <w:rPr>
          <w:rFonts w:ascii="Palatino Linotype" w:eastAsia="Times New Roman" w:hAnsi="Palatino Linotype" w:cs="Arial"/>
          <w:b/>
          <w:color w:val="000000" w:themeColor="text1"/>
          <w:lang w:val="es-ES"/>
        </w:rPr>
        <w:t>veinticuatro</w:t>
      </w:r>
      <w:r w:rsidRPr="00A238C2">
        <w:rPr>
          <w:rFonts w:ascii="Palatino Linotype" w:eastAsia="Times New Roman" w:hAnsi="Palatino Linotype" w:cs="Arial"/>
          <w:color w:val="000000" w:themeColor="text1"/>
          <w:lang w:val="es-ES"/>
        </w:rPr>
        <w:t xml:space="preserve">, el particular interpuso el recurso de revisión en contra de la respuesta, </w:t>
      </w:r>
      <w:r w:rsidR="003C236F" w:rsidRPr="00A238C2">
        <w:rPr>
          <w:rFonts w:ascii="Palatino Linotype" w:eastAsia="Times New Roman" w:hAnsi="Palatino Linotype" w:cs="Arial"/>
          <w:color w:val="000000" w:themeColor="text1"/>
          <w:lang w:val="es-ES"/>
        </w:rPr>
        <w:t>realizando las siguientes manifestaciones</w:t>
      </w:r>
      <w:r w:rsidRPr="00A238C2">
        <w:rPr>
          <w:rFonts w:ascii="Palatino Linotype" w:eastAsia="Times New Roman" w:hAnsi="Palatino Linotype" w:cs="Arial"/>
          <w:color w:val="000000" w:themeColor="text1"/>
          <w:lang w:val="es-ES"/>
        </w:rPr>
        <w:t>:</w:t>
      </w:r>
    </w:p>
    <w:p w14:paraId="0FF685C6" w14:textId="1EF56B5D" w:rsidR="00942616" w:rsidRPr="00A238C2" w:rsidRDefault="00942616" w:rsidP="00A238C2">
      <w:pPr>
        <w:pStyle w:val="Prrafodelista"/>
        <w:numPr>
          <w:ilvl w:val="0"/>
          <w:numId w:val="20"/>
        </w:numPr>
        <w:spacing w:line="360" w:lineRule="auto"/>
        <w:ind w:right="567"/>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A238C2">
        <w:rPr>
          <w:rStyle w:val="Ttulo2Car"/>
          <w:rFonts w:ascii="Palatino Linotype" w:hAnsi="Palatino Linotype"/>
          <w:b/>
          <w:color w:val="auto"/>
          <w:sz w:val="22"/>
          <w:szCs w:val="24"/>
        </w:rPr>
        <w:t>Acto impugnado</w:t>
      </w:r>
      <w:bookmarkEnd w:id="3"/>
      <w:r w:rsidRPr="00A238C2">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A238C2">
        <w:rPr>
          <w:rStyle w:val="Ttulo2Car"/>
          <w:rFonts w:ascii="Palatino Linotype" w:hAnsi="Palatino Linotype"/>
          <w:i/>
          <w:color w:val="000000" w:themeColor="text1"/>
          <w:sz w:val="22"/>
          <w:szCs w:val="24"/>
        </w:rPr>
        <w:t>“</w:t>
      </w:r>
      <w:r w:rsidR="003337B2" w:rsidRPr="00A238C2">
        <w:rPr>
          <w:rStyle w:val="Ttulo2Car"/>
          <w:rFonts w:ascii="Palatino Linotype" w:hAnsi="Palatino Linotype"/>
          <w:i/>
          <w:color w:val="000000" w:themeColor="text1"/>
          <w:sz w:val="22"/>
          <w:szCs w:val="24"/>
        </w:rPr>
        <w:t>La respuesta otorgada</w:t>
      </w:r>
      <w:r w:rsidR="009304C1" w:rsidRPr="00A238C2">
        <w:rPr>
          <w:rStyle w:val="Ttulo2Car"/>
          <w:rFonts w:ascii="Palatino Linotype" w:hAnsi="Palatino Linotype"/>
          <w:i/>
          <w:color w:val="000000" w:themeColor="text1"/>
          <w:sz w:val="22"/>
          <w:szCs w:val="24"/>
        </w:rPr>
        <w:t>”</w:t>
      </w:r>
    </w:p>
    <w:p w14:paraId="08740AC8" w14:textId="7ECF8A89" w:rsidR="00942616" w:rsidRPr="00A238C2" w:rsidRDefault="00942616" w:rsidP="00A238C2">
      <w:pPr>
        <w:pStyle w:val="Prrafodelista"/>
        <w:numPr>
          <w:ilvl w:val="0"/>
          <w:numId w:val="20"/>
        </w:numPr>
        <w:spacing w:line="360" w:lineRule="auto"/>
        <w:ind w:right="567"/>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A238C2">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A238C2">
        <w:rPr>
          <w:rFonts w:ascii="Palatino Linotype" w:hAnsi="Palatino Linotype"/>
          <w:b/>
          <w:color w:val="000000" w:themeColor="text1"/>
          <w:sz w:val="22"/>
        </w:rPr>
        <w:t xml:space="preserve"> </w:t>
      </w:r>
      <w:r w:rsidRPr="00A238C2">
        <w:rPr>
          <w:rFonts w:ascii="Palatino Linotype" w:hAnsi="Palatino Linotype"/>
          <w:i/>
          <w:color w:val="000000" w:themeColor="text1"/>
          <w:sz w:val="22"/>
        </w:rPr>
        <w:t>“</w:t>
      </w:r>
      <w:r w:rsidR="003337B2" w:rsidRPr="00A238C2">
        <w:rPr>
          <w:rFonts w:ascii="Palatino Linotype" w:hAnsi="Palatino Linotype"/>
          <w:i/>
          <w:color w:val="000000" w:themeColor="text1"/>
          <w:sz w:val="22"/>
        </w:rPr>
        <w:t>Solo recibí un oficio en el cual me comentan: que por derechos de autor no e pueden remitir la partitura, sin embargo, en términos del artículo 16 constitucional no me fundan ni me motivan su respuesta, tampoco en su caso realizan la clasificación de la información correspondiente.</w:t>
      </w:r>
      <w:r w:rsidRPr="00A238C2">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A238C2">
        <w:rPr>
          <w:rFonts w:ascii="Palatino Linotype" w:hAnsi="Palatino Linotype"/>
          <w:i/>
          <w:color w:val="000000" w:themeColor="text1"/>
          <w:sz w:val="22"/>
        </w:rPr>
        <w:t xml:space="preserve"> </w:t>
      </w:r>
      <w:r w:rsidR="003C236F" w:rsidRPr="00A238C2">
        <w:rPr>
          <w:rFonts w:ascii="Palatino Linotype" w:hAnsi="Palatino Linotype"/>
          <w:color w:val="000000" w:themeColor="text1"/>
          <w:sz w:val="22"/>
        </w:rPr>
        <w:t>(Sic)</w:t>
      </w:r>
    </w:p>
    <w:p w14:paraId="3F211AAF" w14:textId="77777777" w:rsidR="000B03F3" w:rsidRPr="00A238C2" w:rsidRDefault="000B03F3" w:rsidP="002A027B">
      <w:pPr>
        <w:pStyle w:val="Prrafodelista"/>
        <w:spacing w:line="360" w:lineRule="auto"/>
        <w:rPr>
          <w:rFonts w:ascii="Palatino Linotype" w:hAnsi="Palatino Linotype"/>
          <w:i/>
          <w:color w:val="000000" w:themeColor="text1"/>
        </w:rPr>
      </w:pPr>
    </w:p>
    <w:p w14:paraId="163EA181" w14:textId="42F530C9" w:rsidR="00942616" w:rsidRPr="00A238C2" w:rsidRDefault="000B03F3" w:rsidP="002A027B">
      <w:pPr>
        <w:pStyle w:val="Prrafodelista"/>
        <w:numPr>
          <w:ilvl w:val="0"/>
          <w:numId w:val="1"/>
        </w:numPr>
        <w:spacing w:line="360" w:lineRule="auto"/>
        <w:ind w:left="0" w:firstLine="0"/>
        <w:jc w:val="both"/>
        <w:rPr>
          <w:rFonts w:ascii="Palatino Linotype" w:hAnsi="Palatino Linotype"/>
          <w:i/>
        </w:rPr>
      </w:pPr>
      <w:r w:rsidRPr="00A238C2">
        <w:rPr>
          <w:rFonts w:ascii="Palatino Linotype" w:eastAsia="Calibri" w:hAnsi="Palatino Linotype" w:cs="Arial"/>
          <w:lang w:val="es-ES"/>
        </w:rPr>
        <w:t>C</w:t>
      </w:r>
      <w:r w:rsidR="00942616" w:rsidRPr="00A238C2">
        <w:rPr>
          <w:rFonts w:ascii="Palatino Linotype" w:eastAsia="Calibri" w:hAnsi="Palatino Linotype" w:cs="Arial"/>
          <w:lang w:val="es-ES"/>
        </w:rPr>
        <w:t xml:space="preserve">on fundamento en lo dispuesto por el artículo 185 fracción II de la ley de la materia, </w:t>
      </w:r>
      <w:r w:rsidRPr="00A238C2">
        <w:rPr>
          <w:rFonts w:ascii="Palatino Linotype" w:eastAsia="Calibri" w:hAnsi="Palatino Linotype" w:cs="Arial"/>
          <w:lang w:val="es-ES"/>
        </w:rPr>
        <w:t>se acordó a</w:t>
      </w:r>
      <w:r w:rsidR="00942616" w:rsidRPr="00A238C2">
        <w:rPr>
          <w:rFonts w:ascii="Palatino Linotype" w:eastAsia="Calibri" w:hAnsi="Palatino Linotype" w:cs="Arial"/>
          <w:lang w:val="es-ES"/>
        </w:rPr>
        <w:t xml:space="preserve"> las partes a efecto de que e</w:t>
      </w:r>
      <w:r w:rsidRPr="00A238C2">
        <w:rPr>
          <w:rFonts w:ascii="Palatino Linotype" w:eastAsia="Calibri" w:hAnsi="Palatino Linotype" w:cs="Arial"/>
          <w:lang w:val="es-ES"/>
        </w:rPr>
        <w:t xml:space="preserve">n un plazo máximo de siete días, el Recurrente </w:t>
      </w:r>
      <w:r w:rsidR="00942616" w:rsidRPr="00A238C2">
        <w:rPr>
          <w:rFonts w:ascii="Palatino Linotype" w:eastAsia="Calibri" w:hAnsi="Palatino Linotype" w:cs="Arial"/>
          <w:lang w:val="es-ES"/>
        </w:rPr>
        <w:t xml:space="preserve">manifestara lo que a su derecho conviniera, ofrecieran pruebas y alegatos, y el </w:t>
      </w:r>
      <w:r w:rsidR="00D05A0E" w:rsidRPr="00A238C2">
        <w:rPr>
          <w:rFonts w:ascii="Palatino Linotype" w:eastAsia="Calibri" w:hAnsi="Palatino Linotype" w:cs="Arial"/>
          <w:lang w:val="es-ES"/>
        </w:rPr>
        <w:t xml:space="preserve">Sujeto Obligado </w:t>
      </w:r>
      <w:r w:rsidR="00942616" w:rsidRPr="00A238C2">
        <w:rPr>
          <w:rFonts w:ascii="Palatino Linotype" w:eastAsia="Calibri" w:hAnsi="Palatino Linotype" w:cs="Arial"/>
          <w:lang w:val="es-ES"/>
        </w:rPr>
        <w:t>pr</w:t>
      </w:r>
      <w:r w:rsidRPr="00A238C2">
        <w:rPr>
          <w:rFonts w:ascii="Palatino Linotype" w:eastAsia="Calibri" w:hAnsi="Palatino Linotype" w:cs="Arial"/>
          <w:lang w:val="es-ES"/>
        </w:rPr>
        <w:t>esentará el Informe Justificado.</w:t>
      </w:r>
    </w:p>
    <w:p w14:paraId="33DDAC62" w14:textId="77777777" w:rsidR="00D05A0E" w:rsidRPr="00A238C2" w:rsidRDefault="00D05A0E" w:rsidP="002A027B">
      <w:pPr>
        <w:pStyle w:val="Prrafodelista"/>
        <w:spacing w:line="360" w:lineRule="auto"/>
        <w:ind w:left="0"/>
        <w:jc w:val="both"/>
        <w:rPr>
          <w:rFonts w:ascii="Palatino Linotype" w:hAnsi="Palatino Linotype"/>
          <w:i/>
        </w:rPr>
      </w:pPr>
    </w:p>
    <w:p w14:paraId="4571EE86" w14:textId="3CC77D63" w:rsidR="003E76A0" w:rsidRPr="00A238C2" w:rsidRDefault="00D05A0E" w:rsidP="002A027B">
      <w:pPr>
        <w:pStyle w:val="Prrafodelista"/>
        <w:numPr>
          <w:ilvl w:val="0"/>
          <w:numId w:val="1"/>
        </w:numPr>
        <w:spacing w:line="360" w:lineRule="auto"/>
        <w:ind w:left="0" w:firstLine="0"/>
        <w:jc w:val="both"/>
        <w:rPr>
          <w:rFonts w:ascii="Palatino Linotype" w:hAnsi="Palatino Linotype"/>
        </w:rPr>
      </w:pPr>
      <w:r w:rsidRPr="00A238C2">
        <w:rPr>
          <w:rFonts w:ascii="Palatino Linotype" w:hAnsi="Palatino Linotype"/>
          <w:color w:val="000000"/>
        </w:rPr>
        <w:t>El Recurrente</w:t>
      </w:r>
      <w:r w:rsidRPr="00A238C2">
        <w:rPr>
          <w:rFonts w:ascii="Palatino Linotype" w:hAnsi="Palatino Linotype"/>
          <w:b/>
          <w:color w:val="000000"/>
        </w:rPr>
        <w:t xml:space="preserve"> </w:t>
      </w:r>
      <w:r w:rsidRPr="00A238C2">
        <w:rPr>
          <w:rFonts w:ascii="Palatino Linotype" w:hAnsi="Palatino Linotype"/>
          <w:color w:val="000000"/>
        </w:rPr>
        <w:t xml:space="preserve">dejó de realizar manifestaciones que a su derecho conviniera y asistiera. </w:t>
      </w:r>
      <w:r w:rsidR="000B03F3" w:rsidRPr="00A238C2">
        <w:rPr>
          <w:rFonts w:ascii="Palatino Linotype" w:hAnsi="Palatino Linotype"/>
          <w:color w:val="000000"/>
        </w:rPr>
        <w:t>Por su parte</w:t>
      </w:r>
      <w:r w:rsidR="003E76A0" w:rsidRPr="00A238C2">
        <w:rPr>
          <w:rFonts w:ascii="Palatino Linotype" w:hAnsi="Palatino Linotype"/>
          <w:color w:val="000000"/>
        </w:rPr>
        <w:t xml:space="preserve">, el </w:t>
      </w:r>
      <w:r w:rsidR="000B03F3" w:rsidRPr="00A238C2">
        <w:rPr>
          <w:rFonts w:ascii="Palatino Linotype" w:hAnsi="Palatino Linotype"/>
          <w:color w:val="000000"/>
        </w:rPr>
        <w:t>Sujeto Obligado</w:t>
      </w:r>
      <w:r w:rsidR="00670DFC" w:rsidRPr="00A238C2">
        <w:rPr>
          <w:rFonts w:ascii="Palatino Linotype" w:hAnsi="Palatino Linotype"/>
          <w:color w:val="000000"/>
        </w:rPr>
        <w:t>,</w:t>
      </w:r>
      <w:r w:rsidR="000B03F3" w:rsidRPr="00A238C2">
        <w:rPr>
          <w:rFonts w:ascii="Palatino Linotype" w:hAnsi="Palatino Linotype"/>
          <w:b/>
          <w:color w:val="000000"/>
        </w:rPr>
        <w:t xml:space="preserve"> </w:t>
      </w:r>
      <w:r w:rsidR="003337B2" w:rsidRPr="00A238C2">
        <w:rPr>
          <w:rFonts w:ascii="Palatino Linotype" w:hAnsi="Palatino Linotype"/>
          <w:color w:val="000000"/>
        </w:rPr>
        <w:t xml:space="preserve">fue omiso en presentar el </w:t>
      </w:r>
      <w:r w:rsidR="003E76A0" w:rsidRPr="00A238C2">
        <w:rPr>
          <w:rFonts w:ascii="Palatino Linotype" w:eastAsia="Calibri" w:hAnsi="Palatino Linotype" w:cs="Arial"/>
          <w:lang w:val="es-ES"/>
        </w:rPr>
        <w:t>informe</w:t>
      </w:r>
      <w:r w:rsidR="003E76A0" w:rsidRPr="00A238C2">
        <w:rPr>
          <w:rFonts w:ascii="Palatino Linotype" w:hAnsi="Palatino Linotype"/>
          <w:color w:val="000000"/>
        </w:rPr>
        <w:t xml:space="preserve"> justificado</w:t>
      </w:r>
      <w:r w:rsidR="003337B2" w:rsidRPr="00A238C2">
        <w:rPr>
          <w:rFonts w:ascii="Palatino Linotype" w:hAnsi="Palatino Linotype"/>
          <w:color w:val="000000"/>
        </w:rPr>
        <w:t xml:space="preserve"> correspondiente.</w:t>
      </w:r>
    </w:p>
    <w:p w14:paraId="7D69AF23" w14:textId="77777777" w:rsidR="002B540C" w:rsidRPr="00A238C2" w:rsidRDefault="002B540C" w:rsidP="002A027B">
      <w:pPr>
        <w:pStyle w:val="Prrafodelista"/>
        <w:spacing w:line="360" w:lineRule="auto"/>
        <w:ind w:left="360"/>
        <w:jc w:val="both"/>
        <w:rPr>
          <w:rFonts w:ascii="Palatino Linotype" w:hAnsi="Palatino Linotype"/>
        </w:rPr>
      </w:pPr>
    </w:p>
    <w:p w14:paraId="601355BB"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En fecha diecinueve de marzo del año en curso, se amplió el término para resolver el Recurso de Revisión por un periodo de quince días hábiles adicionales al lapso </w:t>
      </w:r>
      <w:r w:rsidRPr="00A238C2">
        <w:rPr>
          <w:rFonts w:ascii="Palatino Linotype" w:eastAsia="Palatino Linotype" w:hAnsi="Palatino Linotype" w:cs="Palatino Linotype"/>
          <w:color w:val="000000" w:themeColor="text1"/>
        </w:rPr>
        <w:lastRenderedPageBreak/>
        <w:t xml:space="preserve">ordinario en términos del artículo 133 de la Ley de Protección de Datos </w:t>
      </w:r>
      <w:r w:rsidRPr="00A238C2">
        <w:rPr>
          <w:rFonts w:ascii="Palatino Linotype" w:hAnsi="Palatino Linotype"/>
        </w:rPr>
        <w:t>Personales</w:t>
      </w:r>
      <w:r w:rsidRPr="00A238C2">
        <w:rPr>
          <w:rFonts w:ascii="Palatino Linotype" w:eastAsia="Palatino Linotype" w:hAnsi="Palatino Linotype" w:cs="Palatino Linotype"/>
          <w:color w:val="000000" w:themeColor="text1"/>
        </w:rPr>
        <w:t xml:space="preserve"> en Posesión de Sujetos Obligados del Estado de México y Municipios. </w:t>
      </w:r>
    </w:p>
    <w:p w14:paraId="60CCC44B" w14:textId="77777777" w:rsidR="003337B2" w:rsidRPr="00A238C2" w:rsidRDefault="003337B2" w:rsidP="002A027B">
      <w:pPr>
        <w:spacing w:line="360" w:lineRule="auto"/>
        <w:rPr>
          <w:rFonts w:ascii="Palatino Linotype" w:hAnsi="Palatino Linotype"/>
        </w:rPr>
      </w:pPr>
    </w:p>
    <w:p w14:paraId="2A935786"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0ABB806F" w14:textId="77777777" w:rsidR="003337B2" w:rsidRPr="00A238C2" w:rsidRDefault="003337B2" w:rsidP="002A027B">
      <w:pPr>
        <w:pStyle w:val="Prrafodelista"/>
        <w:spacing w:line="360" w:lineRule="auto"/>
        <w:rPr>
          <w:rFonts w:ascii="Palatino Linotype" w:eastAsia="Palatino Linotype" w:hAnsi="Palatino Linotype" w:cs="Palatino Linotype"/>
          <w:color w:val="000000" w:themeColor="text1"/>
        </w:rPr>
      </w:pPr>
    </w:p>
    <w:p w14:paraId="71918731"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el plazo</w:t>
      </w:r>
      <w:r w:rsidRPr="00A238C2">
        <w:rPr>
          <w:rFonts w:ascii="Palatino Linotype" w:hAnsi="Palatino Linotype"/>
          <w:color w:val="000000" w:themeColor="text1"/>
        </w:rPr>
        <w:t xml:space="preserve"> </w:t>
      </w:r>
      <w:r w:rsidRPr="00A238C2">
        <w:rPr>
          <w:rFonts w:ascii="Palatino Linotype" w:eastAsia="Palatino Linotype" w:hAnsi="Palatino Linotype" w:cs="Palatino Linotype"/>
          <w:color w:val="000000" w:themeColor="text1"/>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76FC68FF" w14:textId="77777777" w:rsidR="003337B2" w:rsidRPr="00A238C2" w:rsidRDefault="003337B2" w:rsidP="002A027B">
      <w:pPr>
        <w:spacing w:line="360" w:lineRule="auto"/>
        <w:jc w:val="both"/>
        <w:rPr>
          <w:rFonts w:ascii="Palatino Linotype" w:eastAsia="Palatino Linotype" w:hAnsi="Palatino Linotype" w:cs="Palatino Linotype"/>
          <w:color w:val="000000" w:themeColor="text1"/>
        </w:rPr>
      </w:pPr>
    </w:p>
    <w:p w14:paraId="4C54E4C3"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6FD8FCDB" w14:textId="77777777" w:rsidR="003337B2" w:rsidRPr="00A238C2" w:rsidRDefault="003337B2" w:rsidP="002A027B">
      <w:pPr>
        <w:pStyle w:val="Prrafodelista"/>
        <w:spacing w:line="360" w:lineRule="auto"/>
        <w:rPr>
          <w:rFonts w:ascii="Palatino Linotype" w:eastAsia="Palatino Linotype" w:hAnsi="Palatino Linotype" w:cs="Palatino Linotype"/>
          <w:color w:val="000000" w:themeColor="text1"/>
        </w:rPr>
      </w:pPr>
    </w:p>
    <w:p w14:paraId="72694C99"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34E28D6"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5F1B2B1" w14:textId="77777777" w:rsidR="003337B2" w:rsidRPr="00A238C2" w:rsidRDefault="003337B2" w:rsidP="00A238C2">
      <w:pPr>
        <w:spacing w:line="360" w:lineRule="auto"/>
        <w:ind w:left="708" w:right="567"/>
        <w:jc w:val="both"/>
        <w:rPr>
          <w:rFonts w:ascii="Palatino Linotype" w:eastAsia="Palatino Linotype" w:hAnsi="Palatino Linotype" w:cs="Palatino Linotype"/>
          <w:color w:val="000000" w:themeColor="text1"/>
          <w:sz w:val="22"/>
        </w:rPr>
      </w:pPr>
      <w:r w:rsidRPr="00A238C2">
        <w:rPr>
          <w:rFonts w:ascii="Palatino Linotype" w:eastAsia="Palatino Linotype" w:hAnsi="Palatino Linotype" w:cs="Palatino Linotype"/>
          <w:color w:val="000000" w:themeColor="text1"/>
          <w:sz w:val="22"/>
        </w:rPr>
        <w:t xml:space="preserve">a) Complejidad del Asunto: La complejidad de la prueba, la pluralidad de sujetos procesales, el tiempo transcurrido, las características y contexto del recurso. </w:t>
      </w:r>
    </w:p>
    <w:p w14:paraId="34611BE6" w14:textId="77777777" w:rsidR="003337B2" w:rsidRPr="00A238C2" w:rsidRDefault="003337B2" w:rsidP="00A238C2">
      <w:pPr>
        <w:spacing w:line="360" w:lineRule="auto"/>
        <w:ind w:left="708" w:right="567"/>
        <w:jc w:val="both"/>
        <w:rPr>
          <w:rFonts w:ascii="Palatino Linotype" w:eastAsia="Palatino Linotype" w:hAnsi="Palatino Linotype" w:cs="Palatino Linotype"/>
          <w:color w:val="000000" w:themeColor="text1"/>
          <w:sz w:val="22"/>
        </w:rPr>
      </w:pPr>
      <w:r w:rsidRPr="00A238C2">
        <w:rPr>
          <w:rFonts w:ascii="Palatino Linotype" w:eastAsia="Palatino Linotype" w:hAnsi="Palatino Linotype" w:cs="Palatino Linotype"/>
          <w:color w:val="000000" w:themeColor="text1"/>
          <w:sz w:val="22"/>
        </w:rPr>
        <w:t>b) Actividad Procesal del interesado. Acciones u omisiones del interesado.</w:t>
      </w:r>
    </w:p>
    <w:p w14:paraId="768E1F39" w14:textId="77777777" w:rsidR="003337B2" w:rsidRPr="00A238C2" w:rsidRDefault="003337B2" w:rsidP="00A238C2">
      <w:pPr>
        <w:spacing w:line="360" w:lineRule="auto"/>
        <w:ind w:left="708" w:right="567"/>
        <w:jc w:val="both"/>
        <w:rPr>
          <w:rFonts w:ascii="Palatino Linotype" w:eastAsia="Palatino Linotype" w:hAnsi="Palatino Linotype" w:cs="Palatino Linotype"/>
          <w:color w:val="000000" w:themeColor="text1"/>
          <w:sz w:val="22"/>
        </w:rPr>
      </w:pPr>
      <w:r w:rsidRPr="00A238C2">
        <w:rPr>
          <w:rFonts w:ascii="Palatino Linotype" w:eastAsia="Palatino Linotype" w:hAnsi="Palatino Linotype" w:cs="Palatino Linotype"/>
          <w:color w:val="000000" w:themeColor="text1"/>
          <w:sz w:val="22"/>
        </w:rPr>
        <w:t xml:space="preserve">c) Conducta de la Autoridad: Las Acciones u omisiones realizadas en el procedimiento. Así como si la autoridad actuó con la debida diligencia. </w:t>
      </w:r>
    </w:p>
    <w:p w14:paraId="4809749D" w14:textId="77777777" w:rsidR="003337B2" w:rsidRPr="00A238C2" w:rsidRDefault="003337B2" w:rsidP="00A238C2">
      <w:pPr>
        <w:spacing w:line="360" w:lineRule="auto"/>
        <w:ind w:left="708" w:right="567"/>
        <w:jc w:val="both"/>
        <w:rPr>
          <w:rFonts w:ascii="Palatino Linotype" w:eastAsia="Palatino Linotype" w:hAnsi="Palatino Linotype" w:cs="Palatino Linotype"/>
          <w:color w:val="000000" w:themeColor="text1"/>
          <w:sz w:val="22"/>
        </w:rPr>
      </w:pPr>
      <w:r w:rsidRPr="00A238C2">
        <w:rPr>
          <w:rFonts w:ascii="Palatino Linotype" w:eastAsia="Palatino Linotype" w:hAnsi="Palatino Linotype" w:cs="Palatino Linotype"/>
          <w:color w:val="000000" w:themeColor="text1"/>
          <w:sz w:val="22"/>
        </w:rPr>
        <w:t xml:space="preserve">d) La afectación generada en la situación jurídica de la persona involucrada en el proceso: Violación a sus derechos humanos. </w:t>
      </w:r>
    </w:p>
    <w:p w14:paraId="2DCB9908" w14:textId="77777777" w:rsidR="003337B2" w:rsidRPr="00A238C2" w:rsidRDefault="003337B2" w:rsidP="002A027B">
      <w:pPr>
        <w:spacing w:line="360" w:lineRule="auto"/>
        <w:jc w:val="both"/>
        <w:rPr>
          <w:rFonts w:ascii="Palatino Linotype" w:eastAsia="Palatino Linotype" w:hAnsi="Palatino Linotype" w:cs="Palatino Linotype"/>
          <w:color w:val="000000" w:themeColor="text1"/>
        </w:rPr>
      </w:pPr>
    </w:p>
    <w:p w14:paraId="76BA9441"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6ED68556" w14:textId="77777777" w:rsidR="003337B2" w:rsidRPr="00A238C2" w:rsidRDefault="003337B2" w:rsidP="002A027B">
      <w:pPr>
        <w:spacing w:line="360" w:lineRule="auto"/>
        <w:jc w:val="both"/>
        <w:rPr>
          <w:rFonts w:ascii="Palatino Linotype" w:eastAsia="Palatino Linotype" w:hAnsi="Palatino Linotype" w:cs="Palatino Linotype"/>
          <w:color w:val="000000" w:themeColor="text1"/>
        </w:rPr>
      </w:pPr>
    </w:p>
    <w:p w14:paraId="36C61AAC" w14:textId="7913790F"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w:t>
      </w:r>
      <w:r w:rsidR="001A29A4">
        <w:rPr>
          <w:rFonts w:ascii="Palatino Linotype" w:eastAsia="Palatino Linotype" w:hAnsi="Palatino Linotype" w:cs="Palatino Linotype"/>
          <w:color w:val="000000" w:themeColor="text1"/>
        </w:rPr>
        <w:t>a</w:t>
      </w:r>
      <w:r w:rsidRPr="00A238C2">
        <w:rPr>
          <w:rFonts w:ascii="Palatino Linotype" w:eastAsia="Palatino Linotype" w:hAnsi="Palatino Linotype" w:cs="Palatino Linotype"/>
          <w:color w:val="000000" w:themeColor="text1"/>
        </w:rPr>
        <w:t xml:space="preserve">nario Judicial de la Federación con el registro digital 205635. </w:t>
      </w:r>
    </w:p>
    <w:p w14:paraId="68F9F7A6" w14:textId="77777777" w:rsidR="003337B2" w:rsidRPr="00A238C2" w:rsidRDefault="003337B2" w:rsidP="002A027B">
      <w:pPr>
        <w:spacing w:line="360" w:lineRule="auto"/>
        <w:jc w:val="both"/>
        <w:rPr>
          <w:rFonts w:ascii="Palatino Linotype" w:eastAsia="Palatino Linotype" w:hAnsi="Palatino Linotype" w:cs="Palatino Linotype"/>
          <w:color w:val="000000" w:themeColor="text1"/>
        </w:rPr>
      </w:pPr>
    </w:p>
    <w:p w14:paraId="589E79DD"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A238C2">
        <w:rPr>
          <w:rFonts w:ascii="Palatino Linotype" w:hAnsi="Palatino Linotype"/>
          <w:color w:val="000000" w:themeColor="text1"/>
        </w:rPr>
        <w:t xml:space="preserve"> </w:t>
      </w:r>
      <w:r w:rsidRPr="00A238C2">
        <w:rPr>
          <w:rFonts w:ascii="Palatino Linotype" w:eastAsia="Palatino Linotype" w:hAnsi="Palatino Linotype" w:cs="Palatino Linotype"/>
          <w:color w:val="000000" w:themeColor="text1"/>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2B5F5F7" w14:textId="77777777" w:rsidR="003337B2" w:rsidRPr="00A238C2" w:rsidRDefault="003337B2" w:rsidP="002A027B">
      <w:pPr>
        <w:spacing w:line="360" w:lineRule="auto"/>
        <w:jc w:val="both"/>
        <w:rPr>
          <w:rFonts w:ascii="Palatino Linotype" w:eastAsia="Palatino Linotype" w:hAnsi="Palatino Linotype" w:cs="Palatino Linotype"/>
          <w:color w:val="000000" w:themeColor="text1"/>
        </w:rPr>
      </w:pPr>
    </w:p>
    <w:p w14:paraId="29A9E70A"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0B88D528" w14:textId="77CD04EE" w:rsidR="003337B2" w:rsidRPr="00A238C2" w:rsidRDefault="003337B2" w:rsidP="002A027B">
      <w:pPr>
        <w:spacing w:line="360" w:lineRule="auto"/>
        <w:ind w:left="567" w:right="616"/>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t xml:space="preserve">“PLAZO RAZONABLE PARA RESOLVER. DIMENSIÓN Y EFECTOS DE ESTE CONCEPTO CUANDO SE ADUCE EXCESIVA CARGA DE </w:t>
      </w:r>
      <w:r w:rsidR="00A238C2">
        <w:rPr>
          <w:rFonts w:ascii="Palatino Linotype" w:eastAsia="Palatino Linotype" w:hAnsi="Palatino Linotype" w:cs="Palatino Linotype"/>
          <w:i/>
          <w:color w:val="000000" w:themeColor="text1"/>
          <w:sz w:val="22"/>
        </w:rPr>
        <w:t>TRABAJO.” consultable en el Sema</w:t>
      </w:r>
      <w:r w:rsidRPr="00A238C2">
        <w:rPr>
          <w:rFonts w:ascii="Palatino Linotype" w:eastAsia="Palatino Linotype" w:hAnsi="Palatino Linotype" w:cs="Palatino Linotype"/>
          <w:i/>
          <w:color w:val="000000" w:themeColor="text1"/>
          <w:sz w:val="22"/>
        </w:rPr>
        <w:t xml:space="preserve">nario Judicial de la Federación y su gaceta, con el registro digital 2002351. </w:t>
      </w:r>
    </w:p>
    <w:p w14:paraId="1B660B84" w14:textId="77777777" w:rsidR="003337B2" w:rsidRPr="00A238C2" w:rsidRDefault="003337B2" w:rsidP="002A027B">
      <w:pPr>
        <w:spacing w:line="360" w:lineRule="auto"/>
        <w:ind w:left="567" w:right="616"/>
        <w:jc w:val="both"/>
        <w:rPr>
          <w:rFonts w:ascii="Palatino Linotype" w:eastAsia="Palatino Linotype" w:hAnsi="Palatino Linotype" w:cs="Palatino Linotype"/>
          <w:i/>
          <w:color w:val="000000" w:themeColor="text1"/>
          <w:sz w:val="22"/>
        </w:rPr>
      </w:pPr>
    </w:p>
    <w:p w14:paraId="34D49255" w14:textId="02CCE1B7" w:rsidR="003337B2" w:rsidRPr="00A238C2" w:rsidRDefault="003337B2" w:rsidP="002A027B">
      <w:pPr>
        <w:spacing w:line="360" w:lineRule="auto"/>
        <w:ind w:left="567" w:right="616"/>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w:t>
      </w:r>
      <w:r w:rsidR="00A238C2">
        <w:rPr>
          <w:rFonts w:ascii="Palatino Linotype" w:eastAsia="Palatino Linotype" w:hAnsi="Palatino Linotype" w:cs="Palatino Linotype"/>
          <w:i/>
          <w:color w:val="000000" w:themeColor="text1"/>
          <w:sz w:val="22"/>
        </w:rPr>
        <w:t>OS HUMANOS.”, visible en el Sema</w:t>
      </w:r>
      <w:r w:rsidRPr="00A238C2">
        <w:rPr>
          <w:rFonts w:ascii="Palatino Linotype" w:eastAsia="Palatino Linotype" w:hAnsi="Palatino Linotype" w:cs="Palatino Linotype"/>
          <w:i/>
          <w:color w:val="000000" w:themeColor="text1"/>
          <w:sz w:val="22"/>
        </w:rPr>
        <w:t xml:space="preserve">nario Judicial de la Federación y su gaceta, con el registro digital 2002350. </w:t>
      </w:r>
    </w:p>
    <w:p w14:paraId="64AD380A" w14:textId="77777777" w:rsidR="003337B2" w:rsidRPr="00A238C2" w:rsidRDefault="003337B2" w:rsidP="002A027B">
      <w:pPr>
        <w:spacing w:line="360" w:lineRule="auto"/>
        <w:ind w:right="616"/>
        <w:jc w:val="both"/>
        <w:rPr>
          <w:rFonts w:ascii="Palatino Linotype" w:eastAsia="Palatino Linotype" w:hAnsi="Palatino Linotype" w:cs="Palatino Linotype"/>
          <w:i/>
          <w:color w:val="000000" w:themeColor="text1"/>
        </w:rPr>
      </w:pPr>
    </w:p>
    <w:p w14:paraId="59FE9660" w14:textId="77777777" w:rsidR="003337B2" w:rsidRPr="00A238C2" w:rsidRDefault="003337B2" w:rsidP="002A027B">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Por ello, este Organismo Garante comprometido con la tutela de los derechos humanos confiados, señala que este exceso del plazo legal para resolver el presente asunto, resulta de carácter excepcional. </w:t>
      </w:r>
    </w:p>
    <w:p w14:paraId="0A60B96A" w14:textId="39568163" w:rsidR="00942616" w:rsidRPr="00A238C2" w:rsidRDefault="003337B2" w:rsidP="002A027B">
      <w:pPr>
        <w:pStyle w:val="Prrafodelista"/>
        <w:numPr>
          <w:ilvl w:val="0"/>
          <w:numId w:val="1"/>
        </w:numPr>
        <w:spacing w:line="360" w:lineRule="auto"/>
        <w:ind w:left="0" w:firstLine="0"/>
        <w:jc w:val="both"/>
        <w:rPr>
          <w:rFonts w:ascii="Palatino Linotype" w:hAnsi="Palatino Linotype"/>
          <w:b/>
          <w:color w:val="000000" w:themeColor="text1"/>
        </w:rPr>
      </w:pPr>
      <w:r w:rsidRPr="00A238C2">
        <w:rPr>
          <w:rFonts w:ascii="Palatino Linotype" w:hAnsi="Palatino Linotype"/>
        </w:rPr>
        <w:lastRenderedPageBreak/>
        <w:t xml:space="preserve">Finalmente, al no </w:t>
      </w:r>
      <w:r w:rsidR="006B0428" w:rsidRPr="00A238C2">
        <w:rPr>
          <w:rFonts w:ascii="Palatino Linotype" w:hAnsi="Palatino Linotype"/>
        </w:rPr>
        <w:t xml:space="preserve"> existir diligencias o prueba alguna por desahogar, e</w:t>
      </w:r>
      <w:r w:rsidR="003D7FD3" w:rsidRPr="00A238C2">
        <w:rPr>
          <w:rFonts w:ascii="Palatino Linotype" w:hAnsi="Palatino Linotype"/>
        </w:rPr>
        <w:t>n</w:t>
      </w:r>
      <w:r w:rsidR="00942616" w:rsidRPr="00A238C2">
        <w:rPr>
          <w:rFonts w:ascii="Palatino Linotype" w:hAnsi="Palatino Linotype"/>
        </w:rPr>
        <w:t xml:space="preserve"> fecha </w:t>
      </w:r>
      <w:r w:rsidRPr="00A238C2">
        <w:rPr>
          <w:rFonts w:ascii="Palatino Linotype" w:hAnsi="Palatino Linotype"/>
          <w:b/>
        </w:rPr>
        <w:t>catorce</w:t>
      </w:r>
      <w:r w:rsidR="00341F6F" w:rsidRPr="00A238C2">
        <w:rPr>
          <w:rFonts w:ascii="Palatino Linotype" w:hAnsi="Palatino Linotype"/>
          <w:b/>
        </w:rPr>
        <w:t xml:space="preserve"> de noviembre</w:t>
      </w:r>
      <w:r w:rsidR="002B540C" w:rsidRPr="00A238C2">
        <w:rPr>
          <w:rFonts w:ascii="Palatino Linotype" w:hAnsi="Palatino Linotype"/>
          <w:b/>
        </w:rPr>
        <w:t xml:space="preserve"> </w:t>
      </w:r>
      <w:r w:rsidR="00923E55" w:rsidRPr="00A238C2">
        <w:rPr>
          <w:rFonts w:ascii="Palatino Linotype" w:hAnsi="Palatino Linotype"/>
          <w:b/>
        </w:rPr>
        <w:t>de dos mil veinticuatro</w:t>
      </w:r>
      <w:r w:rsidR="003D7FD3" w:rsidRPr="00A238C2">
        <w:rPr>
          <w:rFonts w:ascii="Palatino Linotype" w:hAnsi="Palatino Linotype"/>
        </w:rPr>
        <w:t>,</w:t>
      </w:r>
      <w:r w:rsidR="00923E55" w:rsidRPr="00A238C2">
        <w:rPr>
          <w:rFonts w:ascii="Palatino Linotype" w:hAnsi="Palatino Linotype"/>
        </w:rPr>
        <w:t xml:space="preserve"> </w:t>
      </w:r>
      <w:bookmarkStart w:id="133" w:name="_Toc491791302"/>
      <w:bookmarkStart w:id="134" w:name="_Toc83128578"/>
      <w:r w:rsidR="003D7FD3" w:rsidRPr="00A238C2">
        <w:rPr>
          <w:rFonts w:ascii="Palatino Linotype" w:hAnsi="Palatino Linotype"/>
        </w:rPr>
        <w:t xml:space="preserve">la Comisionada Ponente dictó el cierre del periodo de </w:t>
      </w:r>
      <w:r w:rsidR="003D7FD3" w:rsidRPr="00A238C2">
        <w:rPr>
          <w:rFonts w:ascii="Palatino Linotype" w:hAnsi="Palatino Linotype"/>
          <w:color w:val="000000" w:themeColor="text1"/>
        </w:rPr>
        <w:t>instrucción</w:t>
      </w:r>
      <w:r w:rsidR="003D7FD3" w:rsidRPr="00A238C2">
        <w:rPr>
          <w:rFonts w:ascii="Palatino Linotype" w:hAnsi="Palatino Linotype"/>
        </w:rPr>
        <w:t xml:space="preserve"> y, ordenó la resolución que conforme a Derecho proceda, de </w:t>
      </w:r>
      <w:r w:rsidR="00E9244F" w:rsidRPr="00A238C2">
        <w:rPr>
          <w:rFonts w:ascii="Palatino Linotype" w:hAnsi="Palatino Linotype"/>
        </w:rPr>
        <w:t>acuerdo a la</w:t>
      </w:r>
      <w:r w:rsidR="003D7FD3" w:rsidRPr="00A238C2">
        <w:rPr>
          <w:rFonts w:ascii="Palatino Linotype" w:hAnsi="Palatino Linotype"/>
        </w:rPr>
        <w:t>s siguientes:</w:t>
      </w:r>
    </w:p>
    <w:p w14:paraId="5A5E011F" w14:textId="77777777" w:rsidR="007C50BE" w:rsidRPr="00A238C2" w:rsidRDefault="007C50BE" w:rsidP="002A027B">
      <w:pPr>
        <w:pStyle w:val="Prrafodelista"/>
        <w:spacing w:line="360" w:lineRule="auto"/>
        <w:ind w:left="0"/>
        <w:jc w:val="center"/>
        <w:rPr>
          <w:rFonts w:ascii="Palatino Linotype" w:hAnsi="Palatino Linotype"/>
          <w:b/>
          <w:color w:val="000000" w:themeColor="text1"/>
        </w:rPr>
      </w:pPr>
    </w:p>
    <w:p w14:paraId="3BB5D241" w14:textId="545DFCFA" w:rsidR="00942616" w:rsidRPr="00A238C2" w:rsidRDefault="00942616" w:rsidP="002A027B">
      <w:pPr>
        <w:pStyle w:val="Prrafodelista"/>
        <w:spacing w:line="360" w:lineRule="auto"/>
        <w:ind w:left="0"/>
        <w:jc w:val="center"/>
        <w:rPr>
          <w:rFonts w:ascii="Palatino Linotype" w:hAnsi="Palatino Linotype"/>
          <w:b/>
          <w:color w:val="000000" w:themeColor="text1"/>
        </w:rPr>
      </w:pPr>
      <w:r w:rsidRPr="00A238C2">
        <w:rPr>
          <w:rFonts w:ascii="Palatino Linotype" w:hAnsi="Palatino Linotype"/>
          <w:b/>
          <w:color w:val="000000" w:themeColor="text1"/>
        </w:rPr>
        <w:t>C</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O</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N</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S</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I</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D</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E</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R</w:t>
      </w:r>
      <w:r w:rsidR="003D7FD3" w:rsidRPr="00A238C2">
        <w:rPr>
          <w:rFonts w:ascii="Palatino Linotype" w:hAnsi="Palatino Linotype"/>
          <w:b/>
          <w:color w:val="000000" w:themeColor="text1"/>
        </w:rPr>
        <w:t xml:space="preserve"> </w:t>
      </w:r>
      <w:r w:rsidRPr="00A238C2">
        <w:rPr>
          <w:rFonts w:ascii="Palatino Linotype" w:hAnsi="Palatino Linotype"/>
          <w:b/>
          <w:color w:val="000000" w:themeColor="text1"/>
        </w:rPr>
        <w:t>A</w:t>
      </w:r>
      <w:bookmarkEnd w:id="133"/>
      <w:bookmarkEnd w:id="134"/>
      <w:r w:rsidR="003D7FD3" w:rsidRPr="00A238C2">
        <w:rPr>
          <w:rFonts w:ascii="Palatino Linotype" w:hAnsi="Palatino Linotype"/>
          <w:b/>
          <w:color w:val="000000" w:themeColor="text1"/>
        </w:rPr>
        <w:t xml:space="preserve"> C I O N E S</w:t>
      </w:r>
    </w:p>
    <w:p w14:paraId="494FCAAD" w14:textId="77777777" w:rsidR="00942616" w:rsidRPr="00A238C2" w:rsidRDefault="00942616" w:rsidP="002A027B">
      <w:pPr>
        <w:pStyle w:val="Prrafodelista"/>
        <w:spacing w:line="360" w:lineRule="auto"/>
        <w:ind w:left="0"/>
        <w:jc w:val="center"/>
        <w:rPr>
          <w:rFonts w:ascii="Palatino Linotype" w:hAnsi="Palatino Linotype"/>
          <w:b/>
          <w:color w:val="000000" w:themeColor="text1"/>
        </w:rPr>
      </w:pPr>
    </w:p>
    <w:p w14:paraId="151F1821" w14:textId="76D68414" w:rsidR="00942616" w:rsidRPr="00A238C2" w:rsidRDefault="003D7FD3" w:rsidP="002A027B">
      <w:pPr>
        <w:pStyle w:val="Ttulo2"/>
        <w:spacing w:before="0" w:line="360" w:lineRule="auto"/>
        <w:rPr>
          <w:rFonts w:ascii="Palatino Linotype" w:hAnsi="Palatino Linotype"/>
          <w:b/>
          <w:color w:val="auto"/>
          <w:sz w:val="24"/>
          <w:szCs w:val="24"/>
        </w:rPr>
      </w:pPr>
      <w:bookmarkStart w:id="135" w:name="_Toc491791303"/>
      <w:bookmarkStart w:id="136" w:name="_Toc83128579"/>
      <w:r w:rsidRPr="00A238C2">
        <w:rPr>
          <w:rFonts w:ascii="Palatino Linotype" w:hAnsi="Palatino Linotype"/>
          <w:b/>
          <w:color w:val="auto"/>
          <w:sz w:val="24"/>
          <w:szCs w:val="24"/>
        </w:rPr>
        <w:t>PRIMERA. C</w:t>
      </w:r>
      <w:r w:rsidR="00942616" w:rsidRPr="00A238C2">
        <w:rPr>
          <w:rFonts w:ascii="Palatino Linotype" w:hAnsi="Palatino Linotype"/>
          <w:b/>
          <w:color w:val="auto"/>
          <w:sz w:val="24"/>
          <w:szCs w:val="24"/>
        </w:rPr>
        <w:t>ompetencia</w:t>
      </w:r>
      <w:bookmarkEnd w:id="135"/>
      <w:bookmarkEnd w:id="136"/>
    </w:p>
    <w:p w14:paraId="0216B23E" w14:textId="77777777" w:rsidR="00952475" w:rsidRPr="00A238C2" w:rsidRDefault="00952475" w:rsidP="002A027B">
      <w:pPr>
        <w:pStyle w:val="Prrafodelista"/>
        <w:numPr>
          <w:ilvl w:val="0"/>
          <w:numId w:val="1"/>
        </w:numPr>
        <w:spacing w:line="360" w:lineRule="auto"/>
        <w:ind w:left="0" w:firstLine="0"/>
        <w:jc w:val="both"/>
        <w:rPr>
          <w:rFonts w:ascii="Palatino Linotype" w:hAnsi="Palatino Linotype" w:cs="Tahoma"/>
        </w:rPr>
      </w:pPr>
      <w:r w:rsidRPr="00A238C2">
        <w:rPr>
          <w:rFonts w:ascii="Palatino Linotype" w:hAnsi="Palatino Linotype" w:cs="Tahoma"/>
        </w:rPr>
        <w:t xml:space="preserve">El Instituto de Transparencia, Acceso a la Información Pública y Protección de Datos Personales del </w:t>
      </w:r>
      <w:r w:rsidRPr="00A238C2">
        <w:rPr>
          <w:rFonts w:ascii="Palatino Linotype" w:hAnsi="Palatino Linotype"/>
        </w:rPr>
        <w:t>Estado</w:t>
      </w:r>
      <w:r w:rsidRPr="00A238C2">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A238C2" w:rsidRDefault="00942616" w:rsidP="002A027B">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A238C2" w:rsidRDefault="00952475" w:rsidP="002A027B">
      <w:pPr>
        <w:pStyle w:val="Ttulo2"/>
        <w:spacing w:before="0" w:line="360" w:lineRule="auto"/>
        <w:rPr>
          <w:rFonts w:ascii="Palatino Linotype" w:hAnsi="Palatino Linotype"/>
          <w:b/>
          <w:color w:val="auto"/>
          <w:sz w:val="24"/>
          <w:szCs w:val="24"/>
        </w:rPr>
      </w:pPr>
      <w:bookmarkStart w:id="137" w:name="_Toc491791304"/>
      <w:bookmarkStart w:id="138" w:name="_Toc83128580"/>
      <w:r w:rsidRPr="00A238C2">
        <w:rPr>
          <w:rFonts w:ascii="Palatino Linotype" w:hAnsi="Palatino Linotype"/>
          <w:b/>
          <w:color w:val="auto"/>
          <w:sz w:val="24"/>
          <w:szCs w:val="24"/>
        </w:rPr>
        <w:t>SEGUNDA</w:t>
      </w:r>
      <w:r w:rsidR="00942616" w:rsidRPr="00A238C2">
        <w:rPr>
          <w:rFonts w:ascii="Palatino Linotype" w:hAnsi="Palatino Linotype"/>
          <w:b/>
          <w:color w:val="auto"/>
          <w:sz w:val="24"/>
          <w:szCs w:val="24"/>
        </w:rPr>
        <w:t xml:space="preserve">. </w:t>
      </w:r>
      <w:r w:rsidRPr="00A238C2">
        <w:rPr>
          <w:rFonts w:ascii="Palatino Linotype" w:hAnsi="Palatino Linotype"/>
          <w:b/>
          <w:color w:val="auto"/>
          <w:sz w:val="24"/>
          <w:szCs w:val="24"/>
        </w:rPr>
        <w:t>P</w:t>
      </w:r>
      <w:r w:rsidR="00942616" w:rsidRPr="00A238C2">
        <w:rPr>
          <w:rFonts w:ascii="Palatino Linotype" w:hAnsi="Palatino Linotype"/>
          <w:b/>
          <w:color w:val="auto"/>
          <w:sz w:val="24"/>
          <w:szCs w:val="24"/>
        </w:rPr>
        <w:t>rocedencia.</w:t>
      </w:r>
      <w:bookmarkEnd w:id="137"/>
      <w:bookmarkEnd w:id="138"/>
    </w:p>
    <w:p w14:paraId="2F731F4D" w14:textId="763D8618" w:rsidR="00942616" w:rsidRPr="00A238C2" w:rsidRDefault="00952475" w:rsidP="002A027B">
      <w:pPr>
        <w:numPr>
          <w:ilvl w:val="0"/>
          <w:numId w:val="1"/>
        </w:numPr>
        <w:spacing w:line="360" w:lineRule="auto"/>
        <w:ind w:left="0" w:firstLine="0"/>
        <w:contextualSpacing/>
        <w:jc w:val="both"/>
        <w:rPr>
          <w:rFonts w:ascii="Palatino Linotype" w:hAnsi="Palatino Linotype"/>
        </w:rPr>
      </w:pPr>
      <w:r w:rsidRPr="00A238C2">
        <w:rPr>
          <w:rFonts w:ascii="Palatino Linotype" w:eastAsia="Calibri" w:hAnsi="Palatino Linotype" w:cs="Arial"/>
        </w:rPr>
        <w:t xml:space="preserve">Este Órgano Garante considera que el medio de impugnación reúne los requisitos de procedencia </w:t>
      </w:r>
      <w:r w:rsidRPr="00A238C2">
        <w:rPr>
          <w:rFonts w:ascii="Palatino Linotype" w:eastAsia="Calibri" w:hAnsi="Palatino Linotype" w:cs="Tahoma"/>
          <w:color w:val="000000"/>
          <w:lang w:eastAsia="es-MX"/>
        </w:rPr>
        <w:t xml:space="preserve">toda vez que: el recurso fue presentado dentro del plazo establecido en el </w:t>
      </w:r>
      <w:r w:rsidRPr="00A238C2">
        <w:rPr>
          <w:rFonts w:ascii="Palatino Linotype" w:eastAsia="Calibri" w:hAnsi="Palatino Linotype" w:cs="Tahoma"/>
          <w:color w:val="000000"/>
          <w:lang w:eastAsia="es-MX"/>
        </w:rPr>
        <w:lastRenderedPageBreak/>
        <w:t xml:space="preserve">artículo 178 de la Ley de Transparencia y Acceso a la Información Pública del Estado de México y Municipios; asimismo </w:t>
      </w:r>
      <w:r w:rsidR="00E9244F" w:rsidRPr="00A238C2">
        <w:rPr>
          <w:rFonts w:ascii="Palatino Linotype" w:eastAsia="Calibri" w:hAnsi="Palatino Linotype" w:cs="Tahoma"/>
          <w:color w:val="000000"/>
          <w:lang w:eastAsia="es-MX"/>
        </w:rPr>
        <w:t xml:space="preserve">no se tiene </w:t>
      </w:r>
      <w:r w:rsidRPr="00A238C2">
        <w:rPr>
          <w:rFonts w:ascii="Palatino Linotype" w:eastAsia="Calibri" w:hAnsi="Palatino Linotype" w:cs="Tahoma"/>
          <w:color w:val="000000"/>
          <w:lang w:eastAsia="es-MX"/>
        </w:rPr>
        <w:t>conocimiento de que se encuentre en trámite algún medio de defensa presentado por el Recurrente ante otra instancia.</w:t>
      </w:r>
    </w:p>
    <w:p w14:paraId="368851DF" w14:textId="77777777" w:rsidR="00341F6F" w:rsidRPr="00A238C2" w:rsidRDefault="00341F6F" w:rsidP="002A027B">
      <w:pPr>
        <w:spacing w:line="360" w:lineRule="auto"/>
        <w:contextualSpacing/>
        <w:jc w:val="both"/>
        <w:rPr>
          <w:rFonts w:ascii="Palatino Linotype" w:hAnsi="Palatino Linotype"/>
        </w:rPr>
      </w:pPr>
    </w:p>
    <w:p w14:paraId="70B1788E" w14:textId="66F76B5E" w:rsidR="00942616" w:rsidRPr="00A238C2" w:rsidRDefault="00952475" w:rsidP="002A027B">
      <w:pPr>
        <w:numPr>
          <w:ilvl w:val="0"/>
          <w:numId w:val="1"/>
        </w:numPr>
        <w:spacing w:line="360" w:lineRule="auto"/>
        <w:ind w:left="0" w:firstLine="0"/>
        <w:contextualSpacing/>
        <w:jc w:val="both"/>
        <w:rPr>
          <w:rFonts w:ascii="Palatino Linotype" w:eastAsia="Calibri" w:hAnsi="Palatino Linotype" w:cs="Arial"/>
        </w:rPr>
      </w:pPr>
      <w:r w:rsidRPr="00A238C2">
        <w:rPr>
          <w:rFonts w:ascii="Palatino Linotype" w:eastAsia="Calibri" w:hAnsi="Palatino Linotype" w:cs="Arial"/>
        </w:rPr>
        <w:t>Por otro lado</w:t>
      </w:r>
      <w:r w:rsidR="00942616" w:rsidRPr="00A238C2">
        <w:rPr>
          <w:rFonts w:ascii="Palatino Linotype" w:eastAsia="Calibri" w:hAnsi="Palatino Linotype" w:cs="Arial"/>
        </w:rPr>
        <w:t xml:space="preserve">, el escrito contiene las formalidades previstas por el artículo 180 último párrafo de la </w:t>
      </w:r>
      <w:r w:rsidR="00066953" w:rsidRPr="00A238C2">
        <w:rPr>
          <w:rFonts w:ascii="Palatino Linotype" w:eastAsia="Calibri" w:hAnsi="Palatino Linotype" w:cs="Arial"/>
        </w:rPr>
        <w:t xml:space="preserve">citada </w:t>
      </w:r>
      <w:r w:rsidR="00942616" w:rsidRPr="00A238C2">
        <w:rPr>
          <w:rFonts w:ascii="Palatino Linotype" w:eastAsia="Calibri" w:hAnsi="Palatino Linotype" w:cs="Arial"/>
        </w:rPr>
        <w:t>Ley de la materia, por lo que es procedente que este Instituto conozca y resuelva el presente recurso.</w:t>
      </w:r>
    </w:p>
    <w:p w14:paraId="636AC809" w14:textId="77777777" w:rsidR="00942616" w:rsidRPr="00A238C2" w:rsidRDefault="00942616" w:rsidP="002A027B">
      <w:pPr>
        <w:pStyle w:val="Prrafodelista"/>
        <w:spacing w:line="360" w:lineRule="auto"/>
        <w:ind w:left="0"/>
        <w:rPr>
          <w:rFonts w:ascii="Palatino Linotype" w:eastAsia="Calibri" w:hAnsi="Palatino Linotype" w:cs="Arial"/>
        </w:rPr>
      </w:pPr>
    </w:p>
    <w:p w14:paraId="1288E334" w14:textId="0CED6418" w:rsidR="00942616" w:rsidRPr="00A238C2" w:rsidRDefault="00942616" w:rsidP="002A027B">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A238C2">
        <w:rPr>
          <w:rFonts w:ascii="Palatino Linotype" w:hAnsi="Palatino Linotype"/>
          <w:b/>
          <w:color w:val="auto"/>
          <w:sz w:val="24"/>
          <w:szCs w:val="24"/>
        </w:rPr>
        <w:t>TERCER</w:t>
      </w:r>
      <w:r w:rsidR="00952475" w:rsidRPr="00A238C2">
        <w:rPr>
          <w:rFonts w:ascii="Palatino Linotype" w:hAnsi="Palatino Linotype"/>
          <w:b/>
          <w:color w:val="auto"/>
          <w:sz w:val="24"/>
          <w:szCs w:val="24"/>
        </w:rPr>
        <w:t>A</w:t>
      </w:r>
      <w:r w:rsidRPr="00A238C2">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A238C2">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A238C2" w:rsidRDefault="00942616" w:rsidP="002A027B">
      <w:pPr>
        <w:pStyle w:val="Prrafodelista"/>
        <w:numPr>
          <w:ilvl w:val="0"/>
          <w:numId w:val="1"/>
        </w:numPr>
        <w:spacing w:line="360" w:lineRule="auto"/>
        <w:ind w:left="0" w:firstLine="0"/>
        <w:jc w:val="both"/>
        <w:rPr>
          <w:rFonts w:ascii="Palatino Linotype" w:hAnsi="Palatino Linotype" w:cs="Arial"/>
        </w:rPr>
      </w:pPr>
      <w:r w:rsidRPr="00A238C2">
        <w:rPr>
          <w:rFonts w:ascii="Palatino Linotype" w:hAnsi="Palatino Linotype" w:cs="Arial"/>
        </w:rPr>
        <w:t xml:space="preserve">Se </w:t>
      </w:r>
      <w:r w:rsidRPr="00A238C2">
        <w:rPr>
          <w:rFonts w:ascii="Palatino Linotype" w:eastAsia="Calibri" w:hAnsi="Palatino Linotype" w:cs="Arial"/>
        </w:rPr>
        <w:t>solicitó</w:t>
      </w:r>
      <w:r w:rsidRPr="00A238C2">
        <w:rPr>
          <w:rFonts w:ascii="Palatino Linotype" w:hAnsi="Palatino Linotype" w:cs="Arial"/>
        </w:rPr>
        <w:t xml:space="preserve"> tener acceso, a la información que a continuación se </w:t>
      </w:r>
      <w:r w:rsidR="00E9244F" w:rsidRPr="00A238C2">
        <w:rPr>
          <w:rFonts w:ascii="Palatino Linotype" w:hAnsi="Palatino Linotype" w:cs="Arial"/>
        </w:rPr>
        <w:t>simplifica</w:t>
      </w:r>
      <w:r w:rsidRPr="00A238C2">
        <w:rPr>
          <w:rFonts w:ascii="Palatino Linotype" w:hAnsi="Palatino Linotype" w:cs="Arial"/>
        </w:rPr>
        <w:t>:</w:t>
      </w:r>
    </w:p>
    <w:p w14:paraId="7934BD20" w14:textId="43FF5AC5" w:rsidR="00341F6F" w:rsidRPr="00A238C2" w:rsidRDefault="003337B2" w:rsidP="002A027B">
      <w:pPr>
        <w:pStyle w:val="Prrafodelista"/>
        <w:numPr>
          <w:ilvl w:val="0"/>
          <w:numId w:val="6"/>
        </w:numPr>
        <w:spacing w:line="360" w:lineRule="auto"/>
        <w:ind w:right="616"/>
        <w:jc w:val="both"/>
        <w:rPr>
          <w:rFonts w:ascii="Palatino Linotype" w:hAnsi="Palatino Linotype" w:cs="Arial"/>
          <w:b/>
          <w:sz w:val="22"/>
        </w:rPr>
      </w:pPr>
      <w:r w:rsidRPr="00A238C2">
        <w:rPr>
          <w:rFonts w:ascii="Palatino Linotype" w:hAnsi="Palatino Linotype" w:cs="Arial"/>
          <w:b/>
          <w:sz w:val="22"/>
        </w:rPr>
        <w:t>La partitura</w:t>
      </w:r>
      <w:r w:rsidR="0038317D" w:rsidRPr="00A238C2">
        <w:rPr>
          <w:rFonts w:ascii="Palatino Linotype" w:hAnsi="Palatino Linotype" w:cs="Arial"/>
          <w:b/>
          <w:sz w:val="22"/>
        </w:rPr>
        <w:t xml:space="preserve"> de la</w:t>
      </w:r>
      <w:r w:rsidRPr="00A238C2">
        <w:rPr>
          <w:rFonts w:ascii="Palatino Linotype" w:hAnsi="Palatino Linotype" w:cs="Arial"/>
          <w:b/>
          <w:sz w:val="22"/>
        </w:rPr>
        <w:t xml:space="preserve"> Obertura La </w:t>
      </w:r>
      <w:r w:rsidR="0038317D" w:rsidRPr="00A238C2">
        <w:rPr>
          <w:rFonts w:ascii="Palatino Linotype" w:hAnsi="Palatino Linotype" w:cs="Arial"/>
          <w:b/>
          <w:sz w:val="22"/>
        </w:rPr>
        <w:t>G</w:t>
      </w:r>
      <w:r w:rsidRPr="00A238C2">
        <w:rPr>
          <w:rFonts w:ascii="Palatino Linotype" w:hAnsi="Palatino Linotype" w:cs="Arial"/>
          <w:b/>
          <w:sz w:val="22"/>
        </w:rPr>
        <w:t xml:space="preserve">ran </w:t>
      </w:r>
      <w:r w:rsidR="0038317D" w:rsidRPr="00A238C2">
        <w:rPr>
          <w:rFonts w:ascii="Palatino Linotype" w:hAnsi="Palatino Linotype" w:cs="Arial"/>
          <w:b/>
          <w:sz w:val="22"/>
        </w:rPr>
        <w:t>P</w:t>
      </w:r>
      <w:r w:rsidRPr="00A238C2">
        <w:rPr>
          <w:rFonts w:ascii="Palatino Linotype" w:hAnsi="Palatino Linotype" w:cs="Arial"/>
          <w:b/>
          <w:sz w:val="22"/>
        </w:rPr>
        <w:t xml:space="preserve">ascua </w:t>
      </w:r>
      <w:r w:rsidR="0038317D" w:rsidRPr="00A238C2">
        <w:rPr>
          <w:rFonts w:ascii="Palatino Linotype" w:hAnsi="Palatino Linotype" w:cs="Arial"/>
          <w:b/>
          <w:sz w:val="22"/>
        </w:rPr>
        <w:t>Rusa, Op. 36, de Rimsky-Korsakov</w:t>
      </w:r>
    </w:p>
    <w:p w14:paraId="33128B0A" w14:textId="77777777" w:rsidR="00341F6F" w:rsidRPr="00A238C2" w:rsidRDefault="00341F6F" w:rsidP="002A027B">
      <w:pPr>
        <w:pStyle w:val="Prrafodelista"/>
        <w:spacing w:line="360" w:lineRule="auto"/>
        <w:rPr>
          <w:rFonts w:ascii="Palatino Linotype" w:hAnsi="Palatino Linotype" w:cs="Arial"/>
          <w:b/>
        </w:rPr>
      </w:pPr>
    </w:p>
    <w:p w14:paraId="59F937B2" w14:textId="4102EB14" w:rsidR="001A1023" w:rsidRPr="00A238C2" w:rsidRDefault="00942616" w:rsidP="002A027B">
      <w:pPr>
        <w:numPr>
          <w:ilvl w:val="0"/>
          <w:numId w:val="1"/>
        </w:numPr>
        <w:spacing w:line="360" w:lineRule="auto"/>
        <w:ind w:left="0" w:firstLine="0"/>
        <w:contextualSpacing/>
        <w:jc w:val="both"/>
        <w:rPr>
          <w:rFonts w:ascii="Palatino Linotype" w:hAnsi="Palatino Linotype" w:cs="Arial"/>
          <w:i/>
          <w:color w:val="000000" w:themeColor="text1"/>
        </w:rPr>
      </w:pPr>
      <w:r w:rsidRPr="00A238C2">
        <w:rPr>
          <w:rFonts w:ascii="Palatino Linotype" w:hAnsi="Palatino Linotype" w:cs="Arial"/>
        </w:rPr>
        <w:t xml:space="preserve">En </w:t>
      </w:r>
      <w:r w:rsidRPr="00A238C2">
        <w:rPr>
          <w:rFonts w:ascii="Palatino Linotype" w:eastAsia="Calibri" w:hAnsi="Palatino Linotype" w:cs="Arial"/>
        </w:rPr>
        <w:t>respuesta</w:t>
      </w:r>
      <w:r w:rsidRPr="00A238C2">
        <w:rPr>
          <w:rFonts w:ascii="Palatino Linotype" w:hAnsi="Palatino Linotype" w:cs="Arial"/>
        </w:rPr>
        <w:t xml:space="preserve">, el </w:t>
      </w:r>
      <w:r w:rsidR="00066953" w:rsidRPr="00A238C2">
        <w:rPr>
          <w:rFonts w:ascii="Palatino Linotype" w:hAnsi="Palatino Linotype" w:cs="Arial"/>
        </w:rPr>
        <w:t>Sujeto Obligado</w:t>
      </w:r>
      <w:r w:rsidR="00066953" w:rsidRPr="00A238C2">
        <w:rPr>
          <w:rFonts w:ascii="Palatino Linotype" w:hAnsi="Palatino Linotype" w:cs="Arial"/>
          <w:b/>
        </w:rPr>
        <w:t xml:space="preserve"> </w:t>
      </w:r>
      <w:r w:rsidRPr="00A238C2">
        <w:rPr>
          <w:rFonts w:ascii="Palatino Linotype" w:hAnsi="Palatino Linotype" w:cs="Arial"/>
        </w:rPr>
        <w:t>remitió</w:t>
      </w:r>
      <w:r w:rsidR="00EE5D31" w:rsidRPr="00A238C2">
        <w:rPr>
          <w:rFonts w:ascii="Palatino Linotype" w:hAnsi="Palatino Linotype" w:cs="Arial"/>
        </w:rPr>
        <w:t xml:space="preserve"> </w:t>
      </w:r>
      <w:r w:rsidR="00A5352D" w:rsidRPr="00A238C2">
        <w:rPr>
          <w:rFonts w:ascii="Palatino Linotype" w:hAnsi="Palatino Linotype" w:cs="Arial"/>
        </w:rPr>
        <w:t xml:space="preserve">el archivo ya descrito en el anterior Párrafo 2. Inconforme con la respuesta, se interpuso recurso de revisión argumentando sustancialmente </w:t>
      </w:r>
      <w:r w:rsidR="00947D1F" w:rsidRPr="00A238C2">
        <w:rPr>
          <w:rFonts w:ascii="Palatino Linotype" w:hAnsi="Palatino Linotype" w:cs="Arial"/>
        </w:rPr>
        <w:t xml:space="preserve">la </w:t>
      </w:r>
      <w:r w:rsidR="0038317D" w:rsidRPr="00A238C2">
        <w:rPr>
          <w:rFonts w:ascii="Palatino Linotype" w:hAnsi="Palatino Linotype" w:cs="Arial"/>
        </w:rPr>
        <w:t>falta de fundamentación en la respuesta</w:t>
      </w:r>
      <w:r w:rsidR="00341F6F" w:rsidRPr="00A238C2">
        <w:rPr>
          <w:rFonts w:ascii="Palatino Linotype" w:hAnsi="Palatino Linotype" w:cs="Arial"/>
        </w:rPr>
        <w:t>.</w:t>
      </w:r>
    </w:p>
    <w:p w14:paraId="4697688D" w14:textId="77777777" w:rsidR="00066B5D" w:rsidRPr="00A238C2" w:rsidRDefault="00066B5D" w:rsidP="002A027B">
      <w:pPr>
        <w:spacing w:line="360" w:lineRule="auto"/>
        <w:contextualSpacing/>
        <w:jc w:val="both"/>
        <w:rPr>
          <w:rFonts w:ascii="Palatino Linotype" w:hAnsi="Palatino Linotype" w:cs="Arial"/>
          <w:i/>
          <w:color w:val="000000" w:themeColor="text1"/>
        </w:rPr>
      </w:pPr>
    </w:p>
    <w:p w14:paraId="5AA4EABD" w14:textId="6F176A83" w:rsidR="00942616" w:rsidRPr="00A238C2" w:rsidRDefault="00942616" w:rsidP="002A027B">
      <w:pPr>
        <w:numPr>
          <w:ilvl w:val="0"/>
          <w:numId w:val="1"/>
        </w:numPr>
        <w:spacing w:line="360" w:lineRule="auto"/>
        <w:ind w:left="0" w:firstLine="0"/>
        <w:contextualSpacing/>
        <w:jc w:val="both"/>
        <w:rPr>
          <w:rFonts w:ascii="Palatino Linotype" w:eastAsia="MS Mincho" w:hAnsi="Palatino Linotype" w:cs="Arial"/>
        </w:rPr>
      </w:pPr>
      <w:r w:rsidRPr="00A238C2">
        <w:rPr>
          <w:rFonts w:ascii="Palatino Linotype" w:eastAsia="MS Mincho" w:hAnsi="Palatino Linotype" w:cs="Arial"/>
        </w:rPr>
        <w:t xml:space="preserve">En </w:t>
      </w:r>
      <w:r w:rsidRPr="00A238C2">
        <w:rPr>
          <w:rFonts w:ascii="Palatino Linotype" w:hAnsi="Palatino Linotype" w:cs="Arial"/>
          <w:lang w:eastAsia="es-MX"/>
        </w:rPr>
        <w:t>dichas</w:t>
      </w:r>
      <w:r w:rsidRPr="00A238C2">
        <w:rPr>
          <w:rFonts w:ascii="Palatino Linotype" w:eastAsia="Times New Roman" w:hAnsi="Palatino Linotype" w:cs="Arial"/>
        </w:rPr>
        <w:t xml:space="preserve"> condiciones, la </w:t>
      </w:r>
      <w:r w:rsidR="00A5352D" w:rsidRPr="00A238C2">
        <w:rPr>
          <w:rFonts w:ascii="Palatino Linotype" w:eastAsia="Times New Roman" w:hAnsi="Palatino Linotype" w:cs="Arial"/>
        </w:rPr>
        <w:t>controversia</w:t>
      </w:r>
      <w:r w:rsidRPr="00A238C2">
        <w:rPr>
          <w:rFonts w:ascii="Palatino Linotype" w:eastAsia="Times New Roman" w:hAnsi="Palatino Linotype" w:cs="Arial"/>
        </w:rPr>
        <w:t xml:space="preserve"> a resolver en </w:t>
      </w:r>
      <w:r w:rsidR="00A5352D" w:rsidRPr="00A238C2">
        <w:rPr>
          <w:rFonts w:ascii="Palatino Linotype" w:eastAsia="Times New Roman" w:hAnsi="Palatino Linotype" w:cs="Arial"/>
        </w:rPr>
        <w:t>el presente</w:t>
      </w:r>
      <w:r w:rsidRPr="00A238C2">
        <w:rPr>
          <w:rFonts w:ascii="Palatino Linotype" w:eastAsia="Times New Roman" w:hAnsi="Palatino Linotype" w:cs="Arial"/>
        </w:rPr>
        <w:t xml:space="preserve"> </w:t>
      </w:r>
      <w:r w:rsidR="00A5352D" w:rsidRPr="00A238C2">
        <w:rPr>
          <w:rFonts w:ascii="Palatino Linotype" w:eastAsia="Times New Roman" w:hAnsi="Palatino Linotype" w:cs="Arial"/>
        </w:rPr>
        <w:t>proveído</w:t>
      </w:r>
      <w:r w:rsidR="00866A8C" w:rsidRPr="00A238C2">
        <w:rPr>
          <w:rFonts w:ascii="Palatino Linotype" w:eastAsia="Times New Roman" w:hAnsi="Palatino Linotype" w:cs="Arial"/>
        </w:rPr>
        <w:t>,</w:t>
      </w:r>
      <w:r w:rsidRPr="00A238C2">
        <w:rPr>
          <w:rFonts w:ascii="Palatino Linotype" w:eastAsia="Times New Roman" w:hAnsi="Palatino Linotype" w:cs="Arial"/>
        </w:rPr>
        <w:t xml:space="preserve"> </w:t>
      </w:r>
      <w:r w:rsidR="00866A8C" w:rsidRPr="00A238C2">
        <w:rPr>
          <w:rFonts w:ascii="Palatino Linotype" w:eastAsia="Times New Roman" w:hAnsi="Palatino Linotype" w:cs="Arial"/>
        </w:rPr>
        <w:t>corresponde</w:t>
      </w:r>
      <w:r w:rsidRPr="00A238C2">
        <w:rPr>
          <w:rFonts w:ascii="Palatino Linotype" w:eastAsia="Times New Roman" w:hAnsi="Palatino Linotype" w:cs="Arial"/>
        </w:rPr>
        <w:t xml:space="preserve"> a determinar si </w:t>
      </w:r>
      <w:r w:rsidRPr="00A238C2">
        <w:rPr>
          <w:rFonts w:ascii="Palatino Linotype" w:eastAsia="MS Mincho" w:hAnsi="Palatino Linotype" w:cs="Arial"/>
        </w:rPr>
        <w:t xml:space="preserve">se actualiza la causal de procedencia prevista en el artículo 179, </w:t>
      </w:r>
      <w:r w:rsidR="001A1023" w:rsidRPr="00A238C2">
        <w:rPr>
          <w:rFonts w:ascii="Palatino Linotype" w:eastAsia="MS Mincho" w:hAnsi="Palatino Linotype" w:cs="Arial"/>
        </w:rPr>
        <w:t xml:space="preserve">fracción </w:t>
      </w:r>
      <w:r w:rsidR="0038317D" w:rsidRPr="00A238C2">
        <w:rPr>
          <w:rFonts w:ascii="Palatino Linotype" w:eastAsia="MS Mincho" w:hAnsi="Palatino Linotype" w:cs="Arial"/>
        </w:rPr>
        <w:t>XII</w:t>
      </w:r>
      <w:r w:rsidR="001A1023" w:rsidRPr="00A238C2">
        <w:rPr>
          <w:rFonts w:ascii="Palatino Linotype" w:eastAsia="MS Mincho" w:hAnsi="Palatino Linotype" w:cs="Arial"/>
        </w:rPr>
        <w:t>I</w:t>
      </w:r>
      <w:r w:rsidRPr="00A238C2">
        <w:rPr>
          <w:rFonts w:ascii="Palatino Linotype" w:eastAsia="MS Mincho" w:hAnsi="Palatino Linotype" w:cs="Arial"/>
          <w:b/>
        </w:rPr>
        <w:t xml:space="preserve"> </w:t>
      </w:r>
      <w:r w:rsidRPr="00A238C2">
        <w:rPr>
          <w:rFonts w:ascii="Palatino Linotype" w:eastAsia="MS Mincho" w:hAnsi="Palatino Linotype" w:cs="Arial"/>
        </w:rPr>
        <w:t>de la Ley de Transparencia y Acceso a la Información Pública del Estado de</w:t>
      </w:r>
      <w:r w:rsidRPr="00A238C2">
        <w:rPr>
          <w:rFonts w:ascii="Palatino Linotype" w:eastAsia="MS Mincho" w:hAnsi="Palatino Linotype" w:cs="Arial"/>
          <w:b/>
        </w:rPr>
        <w:t xml:space="preserve"> </w:t>
      </w:r>
      <w:r w:rsidRPr="00A238C2">
        <w:rPr>
          <w:rFonts w:ascii="Palatino Linotype" w:hAnsi="Palatino Linotype" w:cs="Arial"/>
        </w:rPr>
        <w:t>México</w:t>
      </w:r>
      <w:r w:rsidRPr="00A238C2">
        <w:rPr>
          <w:rFonts w:ascii="Palatino Linotype" w:eastAsia="MS Mincho" w:hAnsi="Palatino Linotype" w:cs="Arial"/>
          <w:b/>
        </w:rPr>
        <w:t xml:space="preserve"> </w:t>
      </w:r>
      <w:r w:rsidRPr="00A238C2">
        <w:rPr>
          <w:rFonts w:ascii="Palatino Linotype" w:eastAsia="MS Mincho" w:hAnsi="Palatino Linotype" w:cs="Arial"/>
        </w:rPr>
        <w:t>y</w:t>
      </w:r>
      <w:r w:rsidRPr="00A238C2">
        <w:rPr>
          <w:rFonts w:ascii="Palatino Linotype" w:eastAsia="MS Mincho" w:hAnsi="Palatino Linotype" w:cs="Arial"/>
          <w:b/>
        </w:rPr>
        <w:t xml:space="preserve"> </w:t>
      </w:r>
      <w:r w:rsidRPr="00A238C2">
        <w:rPr>
          <w:rFonts w:ascii="Palatino Linotype" w:hAnsi="Palatino Linotype" w:cs="Arial"/>
        </w:rPr>
        <w:t>Municipios</w:t>
      </w:r>
      <w:r w:rsidRPr="00A238C2">
        <w:rPr>
          <w:rFonts w:ascii="Palatino Linotype" w:eastAsia="MS Mincho" w:hAnsi="Palatino Linotype" w:cs="Arial"/>
        </w:rPr>
        <w:t xml:space="preserve">; </w:t>
      </w:r>
      <w:r w:rsidRPr="00A238C2">
        <w:rPr>
          <w:rFonts w:ascii="Palatino Linotype" w:eastAsia="Times New Roman" w:hAnsi="Palatino Linotype" w:cs="Arial"/>
          <w:color w:val="000000" w:themeColor="text1"/>
          <w:lang w:val="es-ES" w:eastAsia="es-MX"/>
        </w:rPr>
        <w:t xml:space="preserve">fracción que determina la hipótesis relativa a </w:t>
      </w:r>
      <w:r w:rsidR="0038317D" w:rsidRPr="00A238C2">
        <w:rPr>
          <w:rFonts w:ascii="Palatino Linotype" w:eastAsia="Times New Roman" w:hAnsi="Palatino Linotype" w:cs="Arial"/>
          <w:color w:val="000000" w:themeColor="text1"/>
          <w:lang w:val="es-ES" w:eastAsia="es-MX"/>
        </w:rPr>
        <w:t>la falta, deficiencia o insuficiencia de la fundamentación y/o motivación en la respuesta;</w:t>
      </w:r>
      <w:r w:rsidRPr="00A238C2">
        <w:rPr>
          <w:rFonts w:ascii="Palatino Linotype" w:eastAsia="Times New Roman" w:hAnsi="Palatino Linotype" w:cs="Arial"/>
          <w:color w:val="000000" w:themeColor="text1"/>
          <w:lang w:val="es-ES" w:eastAsia="es-MX"/>
        </w:rPr>
        <w:t xml:space="preserve"> </w:t>
      </w:r>
      <w:r w:rsidR="0038317D" w:rsidRPr="00A238C2">
        <w:rPr>
          <w:rFonts w:ascii="Palatino Linotype" w:eastAsia="Times New Roman" w:hAnsi="Palatino Linotype" w:cs="Arial"/>
          <w:color w:val="000000" w:themeColor="text1"/>
          <w:lang w:val="es-ES" w:eastAsia="es-MX"/>
        </w:rPr>
        <w:t>d</w:t>
      </w:r>
      <w:r w:rsidRPr="00A238C2">
        <w:rPr>
          <w:rFonts w:ascii="Palatino Linotype" w:eastAsia="Times New Roman" w:hAnsi="Palatino Linotype" w:cs="Arial"/>
          <w:color w:val="000000" w:themeColor="text1"/>
          <w:lang w:val="es-ES" w:eastAsia="es-MX"/>
        </w:rPr>
        <w:t xml:space="preserve">e modo tal </w:t>
      </w:r>
      <w:r w:rsidR="0038317D" w:rsidRPr="00A238C2">
        <w:rPr>
          <w:rFonts w:ascii="Palatino Linotype" w:hAnsi="Palatino Linotype" w:cs="Arial"/>
          <w:color w:val="000000" w:themeColor="text1"/>
        </w:rPr>
        <w:t>que el presente R</w:t>
      </w:r>
      <w:r w:rsidRPr="00A238C2">
        <w:rPr>
          <w:rFonts w:ascii="Palatino Linotype" w:hAnsi="Palatino Linotype" w:cs="Arial"/>
          <w:color w:val="000000" w:themeColor="text1"/>
        </w:rPr>
        <w:t xml:space="preserve">ecurso de </w:t>
      </w:r>
      <w:r w:rsidR="0038317D" w:rsidRPr="00A238C2">
        <w:rPr>
          <w:rFonts w:ascii="Palatino Linotype" w:hAnsi="Palatino Linotype" w:cs="Arial"/>
          <w:color w:val="000000" w:themeColor="text1"/>
        </w:rPr>
        <w:t>R</w:t>
      </w:r>
      <w:r w:rsidRPr="00A238C2">
        <w:rPr>
          <w:rFonts w:ascii="Palatino Linotype" w:hAnsi="Palatino Linotype" w:cs="Arial"/>
          <w:color w:val="000000" w:themeColor="text1"/>
        </w:rPr>
        <w:t xml:space="preserve">evisión se abocara en determinar si el </w:t>
      </w:r>
      <w:r w:rsidR="00A5352D" w:rsidRPr="00A238C2">
        <w:rPr>
          <w:rFonts w:ascii="Palatino Linotype" w:hAnsi="Palatino Linotype" w:cs="Arial"/>
          <w:color w:val="000000" w:themeColor="text1"/>
        </w:rPr>
        <w:t xml:space="preserve">Sujeto Obligado </w:t>
      </w:r>
      <w:r w:rsidRPr="00A238C2">
        <w:rPr>
          <w:rFonts w:ascii="Palatino Linotype" w:hAnsi="Palatino Linotype" w:cs="Arial"/>
          <w:color w:val="000000" w:themeColor="text1"/>
        </w:rPr>
        <w:t xml:space="preserve">con su respuesta ciertamente </w:t>
      </w:r>
      <w:r w:rsidRPr="00A238C2">
        <w:rPr>
          <w:rFonts w:ascii="Palatino Linotype" w:eastAsia="Times New Roman" w:hAnsi="Palatino Linotype"/>
          <w:color w:val="000000" w:themeColor="text1"/>
        </w:rPr>
        <w:t>actualiza la causal de procedencia</w:t>
      </w:r>
      <w:r w:rsidRPr="00A238C2">
        <w:rPr>
          <w:rFonts w:ascii="Palatino Linotype" w:eastAsia="Times New Roman" w:hAnsi="Palatino Linotype"/>
          <w:b/>
          <w:color w:val="000000" w:themeColor="text1"/>
        </w:rPr>
        <w:t xml:space="preserve"> </w:t>
      </w:r>
      <w:r w:rsidRPr="00A238C2">
        <w:rPr>
          <w:rFonts w:ascii="Palatino Linotype" w:eastAsia="Times New Roman" w:hAnsi="Palatino Linotype" w:cs="Arial"/>
          <w:color w:val="000000" w:themeColor="text1"/>
          <w:lang w:eastAsia="es-MX"/>
        </w:rPr>
        <w:t xml:space="preserve">señalada. </w:t>
      </w:r>
    </w:p>
    <w:p w14:paraId="03CE46EE" w14:textId="77777777" w:rsidR="00942616" w:rsidRPr="00A238C2" w:rsidRDefault="00942616" w:rsidP="002A027B">
      <w:pPr>
        <w:spacing w:line="360" w:lineRule="auto"/>
        <w:rPr>
          <w:rFonts w:ascii="Palatino Linotype" w:eastAsia="MS Mincho" w:hAnsi="Palatino Linotype" w:cs="Arial"/>
        </w:rPr>
      </w:pPr>
    </w:p>
    <w:p w14:paraId="1B83CC04" w14:textId="18FE58A6" w:rsidR="00942616" w:rsidRPr="00A238C2" w:rsidRDefault="00A5352D" w:rsidP="002A027B">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A238C2">
        <w:rPr>
          <w:rFonts w:ascii="Palatino Linotype" w:hAnsi="Palatino Linotype"/>
          <w:b/>
          <w:color w:val="000000" w:themeColor="text1"/>
          <w:sz w:val="24"/>
          <w:szCs w:val="24"/>
        </w:rPr>
        <w:lastRenderedPageBreak/>
        <w:t>CUARTA</w:t>
      </w:r>
      <w:r w:rsidR="00942616" w:rsidRPr="00A238C2">
        <w:rPr>
          <w:rFonts w:ascii="Palatino Linotype" w:hAnsi="Palatino Linotype"/>
          <w:b/>
          <w:color w:val="000000" w:themeColor="text1"/>
          <w:sz w:val="24"/>
          <w:szCs w:val="24"/>
        </w:rPr>
        <w:t xml:space="preserve">. </w:t>
      </w:r>
      <w:bookmarkEnd w:id="146"/>
      <w:bookmarkEnd w:id="147"/>
      <w:bookmarkEnd w:id="148"/>
      <w:bookmarkEnd w:id="149"/>
      <w:bookmarkEnd w:id="150"/>
      <w:r w:rsidRPr="00A238C2">
        <w:rPr>
          <w:rFonts w:ascii="Palatino Linotype" w:hAnsi="Palatino Linotype"/>
          <w:b/>
          <w:color w:val="000000" w:themeColor="text1"/>
          <w:sz w:val="24"/>
          <w:szCs w:val="24"/>
        </w:rPr>
        <w:t>Estudio de la controversia.</w:t>
      </w:r>
    </w:p>
    <w:p w14:paraId="16A88284" w14:textId="1E801916" w:rsidR="00E120A9" w:rsidRPr="00A238C2" w:rsidRDefault="00866A8C" w:rsidP="002A027B">
      <w:pPr>
        <w:numPr>
          <w:ilvl w:val="0"/>
          <w:numId w:val="1"/>
        </w:numPr>
        <w:spacing w:line="360" w:lineRule="auto"/>
        <w:ind w:left="0" w:firstLine="0"/>
        <w:contextualSpacing/>
        <w:jc w:val="both"/>
        <w:rPr>
          <w:rFonts w:ascii="Palatino Linotype" w:hAnsi="Palatino Linotype" w:cs="Tahoma"/>
          <w:bCs/>
          <w:iCs/>
        </w:rPr>
      </w:pPr>
      <w:r w:rsidRPr="00A238C2">
        <w:rPr>
          <w:rFonts w:ascii="Palatino Linotype" w:eastAsia="MS Mincho" w:hAnsi="Palatino Linotype" w:cs="Arial"/>
        </w:rPr>
        <w:t>Determinado lo anterior; revisaremos la atención otorgada por el Sujeto Obligado a la solicitud</w:t>
      </w:r>
      <w:r w:rsidR="00570E37" w:rsidRPr="00A238C2">
        <w:rPr>
          <w:rFonts w:ascii="Palatino Linotype" w:eastAsia="MS Mincho" w:hAnsi="Palatino Linotype" w:cs="Arial"/>
        </w:rPr>
        <w:t xml:space="preserve"> que dio origen a este recurso, considerando </w:t>
      </w:r>
      <w:r w:rsidRPr="00A238C2">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A238C2">
        <w:rPr>
          <w:rFonts w:ascii="Palatino Linotype" w:eastAsia="MS Mincho" w:hAnsi="Palatino Linotype" w:cs="Arial"/>
        </w:rPr>
        <w:t xml:space="preserve">su artículo </w:t>
      </w:r>
      <w:r w:rsidR="00E120A9" w:rsidRPr="00A238C2">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37D3C9F" w14:textId="77777777" w:rsidR="009240E8" w:rsidRPr="00A238C2" w:rsidRDefault="009240E8" w:rsidP="002A027B">
      <w:pPr>
        <w:spacing w:line="360" w:lineRule="auto"/>
        <w:contextualSpacing/>
        <w:jc w:val="both"/>
        <w:rPr>
          <w:rFonts w:ascii="Palatino Linotype" w:hAnsi="Palatino Linotype" w:cs="Tahoma"/>
          <w:bCs/>
          <w:iCs/>
        </w:rPr>
      </w:pPr>
    </w:p>
    <w:p w14:paraId="7A45B9AE" w14:textId="732B23FC" w:rsidR="00E120A9" w:rsidRPr="00A238C2" w:rsidRDefault="00570E37" w:rsidP="002A027B">
      <w:pPr>
        <w:numPr>
          <w:ilvl w:val="0"/>
          <w:numId w:val="1"/>
        </w:numPr>
        <w:spacing w:line="360" w:lineRule="auto"/>
        <w:ind w:left="0" w:firstLine="0"/>
        <w:contextualSpacing/>
        <w:jc w:val="both"/>
        <w:rPr>
          <w:rFonts w:ascii="Palatino Linotype" w:hAnsi="Palatino Linotype" w:cs="Tahoma"/>
          <w:bCs/>
          <w:iCs/>
        </w:rPr>
      </w:pPr>
      <w:r w:rsidRPr="00A238C2">
        <w:rPr>
          <w:rFonts w:ascii="Palatino Linotype" w:hAnsi="Palatino Linotype" w:cs="Tahoma"/>
          <w:bCs/>
          <w:iCs/>
        </w:rPr>
        <w:t>Asimismo</w:t>
      </w:r>
      <w:r w:rsidR="00E120A9" w:rsidRPr="00A238C2">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A238C2" w:rsidRDefault="00E120A9" w:rsidP="002A027B">
      <w:pPr>
        <w:pStyle w:val="Prrafodelista"/>
        <w:spacing w:line="360" w:lineRule="auto"/>
        <w:rPr>
          <w:rFonts w:ascii="Palatino Linotype" w:hAnsi="Palatino Linotype" w:cs="Tahoma"/>
          <w:bCs/>
          <w:iCs/>
        </w:rPr>
      </w:pPr>
    </w:p>
    <w:p w14:paraId="14E74658" w14:textId="5C392385" w:rsidR="00E120A9" w:rsidRPr="00A238C2" w:rsidRDefault="00570E37" w:rsidP="002A027B">
      <w:pPr>
        <w:numPr>
          <w:ilvl w:val="0"/>
          <w:numId w:val="1"/>
        </w:numPr>
        <w:spacing w:line="360" w:lineRule="auto"/>
        <w:ind w:left="0" w:firstLine="0"/>
        <w:contextualSpacing/>
        <w:jc w:val="both"/>
        <w:rPr>
          <w:rFonts w:ascii="Palatino Linotype" w:hAnsi="Palatino Linotype" w:cs="Tahoma"/>
          <w:bCs/>
          <w:iCs/>
        </w:rPr>
      </w:pPr>
      <w:r w:rsidRPr="00A238C2">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w:t>
      </w:r>
      <w:r w:rsidRPr="00A238C2">
        <w:rPr>
          <w:rFonts w:ascii="Palatino Linotype" w:hAnsi="Palatino Linotype" w:cs="Tahoma"/>
          <w:bCs/>
          <w:iCs/>
        </w:rPr>
        <w:lastRenderedPageBreak/>
        <w:t>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A238C2" w:rsidRDefault="00570E37" w:rsidP="002A027B">
      <w:pPr>
        <w:pStyle w:val="Prrafodelista"/>
        <w:spacing w:line="360" w:lineRule="auto"/>
        <w:rPr>
          <w:rFonts w:ascii="Palatino Linotype" w:hAnsi="Palatino Linotype" w:cs="Tahoma"/>
          <w:bCs/>
          <w:iCs/>
        </w:rPr>
      </w:pPr>
    </w:p>
    <w:p w14:paraId="6D3C3611" w14:textId="4363F8CC" w:rsidR="00462801" w:rsidRPr="00A238C2" w:rsidRDefault="004E7BFD"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Luego entonces. </w:t>
      </w:r>
      <w:r w:rsidR="0038317D" w:rsidRPr="00A238C2">
        <w:rPr>
          <w:rFonts w:ascii="Palatino Linotype" w:eastAsia="Palatino Linotype" w:hAnsi="Palatino Linotype" w:cs="Palatino Linotype"/>
          <w:color w:val="000000" w:themeColor="text1"/>
        </w:rPr>
        <w:t xml:space="preserve">Como se señaló en los antecedentes del presente proveído, el </w:t>
      </w:r>
      <w:r w:rsidR="0038317D" w:rsidRPr="00A238C2">
        <w:rPr>
          <w:rFonts w:ascii="Palatino Linotype" w:eastAsia="Palatino Linotype" w:hAnsi="Palatino Linotype" w:cs="Palatino Linotype"/>
          <w:b/>
          <w:color w:val="000000" w:themeColor="text1"/>
        </w:rPr>
        <w:t xml:space="preserve">SUJETO OBLIGADO </w:t>
      </w:r>
      <w:r w:rsidR="0038317D" w:rsidRPr="00A238C2">
        <w:rPr>
          <w:rFonts w:ascii="Palatino Linotype" w:eastAsia="Palatino Linotype" w:hAnsi="Palatino Linotype" w:cs="Palatino Linotype"/>
          <w:color w:val="000000" w:themeColor="text1"/>
        </w:rPr>
        <w:t xml:space="preserve"> refiere una imposibilidad para entregar la información en virtud de </w:t>
      </w:r>
      <w:r w:rsidR="002065BA" w:rsidRPr="00A238C2">
        <w:rPr>
          <w:rFonts w:ascii="Palatino Linotype" w:eastAsia="Palatino Linotype" w:hAnsi="Palatino Linotype" w:cs="Palatino Linotype"/>
          <w:color w:val="000000" w:themeColor="text1"/>
        </w:rPr>
        <w:t>corresponder a documentos originales y, por derecho de autor; contexto que se desestima por las siguientes consideraciones.</w:t>
      </w:r>
    </w:p>
    <w:p w14:paraId="466258FF" w14:textId="77777777" w:rsidR="002065BA" w:rsidRPr="00A238C2" w:rsidRDefault="002065BA" w:rsidP="002A027B">
      <w:pPr>
        <w:spacing w:line="360" w:lineRule="auto"/>
        <w:contextualSpacing/>
        <w:jc w:val="both"/>
        <w:rPr>
          <w:rFonts w:ascii="Palatino Linotype" w:eastAsia="Palatino Linotype" w:hAnsi="Palatino Linotype" w:cs="Palatino Linotype"/>
          <w:color w:val="000000" w:themeColor="text1"/>
        </w:rPr>
      </w:pPr>
    </w:p>
    <w:p w14:paraId="6673C333" w14:textId="29B9E69C" w:rsidR="00FC1601" w:rsidRPr="00A238C2" w:rsidRDefault="00FC1601"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Relativo a que corresponda a un documento original, no es posible en virtud que el autor de la partitura no es propiamente la Orquesta Sinfónica del Estado de México, en la inteligencia que el autor de una partitura es el compositor, en el caso concreto </w:t>
      </w:r>
      <w:r w:rsidR="004E7BFD" w:rsidRPr="00A238C2">
        <w:rPr>
          <w:rFonts w:ascii="Palatino Linotype" w:eastAsia="Palatino Linotype" w:hAnsi="Palatino Linotype" w:cs="Palatino Linotype"/>
          <w:color w:val="000000" w:themeColor="text1"/>
        </w:rPr>
        <w:t>-</w:t>
      </w:r>
      <w:r w:rsidRPr="00A238C2">
        <w:rPr>
          <w:rFonts w:ascii="Palatino Linotype" w:eastAsia="Palatino Linotype" w:hAnsi="Palatino Linotype" w:cs="Palatino Linotype"/>
          <w:color w:val="000000" w:themeColor="text1"/>
        </w:rPr>
        <w:t>Rimsky-Korsakov</w:t>
      </w:r>
      <w:r w:rsidR="004E7BFD" w:rsidRPr="00A238C2">
        <w:rPr>
          <w:rFonts w:ascii="Palatino Linotype" w:eastAsia="Palatino Linotype" w:hAnsi="Palatino Linotype" w:cs="Palatino Linotype"/>
          <w:color w:val="000000" w:themeColor="text1"/>
        </w:rPr>
        <w:t>-</w:t>
      </w:r>
      <w:r w:rsidRPr="00A238C2">
        <w:rPr>
          <w:rFonts w:ascii="Palatino Linotype" w:eastAsia="Palatino Linotype" w:hAnsi="Palatino Linotype" w:cs="Palatino Linotype"/>
          <w:color w:val="000000" w:themeColor="text1"/>
        </w:rPr>
        <w:t>, quien es la persona que creó la obra musical, definiendo la melodía, armonía, ritmo y estructura de la obertura, siendo la partitura la representación escrita de esa obra, que puede incluir detalles específicos para cada instrumento o voz en una composición orquestal o coral.</w:t>
      </w:r>
    </w:p>
    <w:p w14:paraId="02147C2F" w14:textId="77777777" w:rsidR="00FC1601" w:rsidRPr="00A238C2" w:rsidRDefault="00FC1601" w:rsidP="002A027B">
      <w:pPr>
        <w:spacing w:line="360" w:lineRule="auto"/>
        <w:ind w:left="360"/>
        <w:contextualSpacing/>
        <w:jc w:val="both"/>
        <w:rPr>
          <w:rFonts w:ascii="Palatino Linotype" w:eastAsia="Palatino Linotype" w:hAnsi="Palatino Linotype" w:cs="Palatino Linotype"/>
          <w:color w:val="000000" w:themeColor="text1"/>
        </w:rPr>
      </w:pPr>
    </w:p>
    <w:p w14:paraId="56F08FDF" w14:textId="64188F26" w:rsidR="002065BA" w:rsidRPr="00A238C2" w:rsidRDefault="00FC1601"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Si bien es cierto existen arreglistas u orquestadores, que pueden realizar versiones o adaptaciones de la obra original para diferentes conjuntos o instrumentos; también lo es que el compositor (Rimsky-Korsakov) es el autor original de la partitura.</w:t>
      </w:r>
    </w:p>
    <w:p w14:paraId="1FC61EEB" w14:textId="77777777" w:rsidR="00FC1601" w:rsidRPr="00A238C2" w:rsidRDefault="00FC1601" w:rsidP="002A027B">
      <w:pPr>
        <w:pStyle w:val="Prrafodelista"/>
        <w:spacing w:line="360" w:lineRule="auto"/>
        <w:rPr>
          <w:rFonts w:ascii="Palatino Linotype" w:eastAsia="Palatino Linotype" w:hAnsi="Palatino Linotype" w:cs="Palatino Linotype"/>
          <w:color w:val="000000" w:themeColor="text1"/>
        </w:rPr>
      </w:pPr>
    </w:p>
    <w:p w14:paraId="1D389C05" w14:textId="57C8D5F8" w:rsidR="00FC1601" w:rsidRPr="00A238C2" w:rsidRDefault="00FC1601"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En esa tesitura, dicho autor de nombre completo Nikolái Rimski-Kórsakov, de acuerdo al sitio de la Orquesta Sinfónica de Dallas (</w:t>
      </w:r>
      <w:hyperlink r:id="rId8" w:history="1">
        <w:r w:rsidRPr="00A238C2">
          <w:rPr>
            <w:rStyle w:val="Hipervnculo"/>
            <w:rFonts w:ascii="Palatino Linotype" w:eastAsia="Palatino Linotype" w:hAnsi="Palatino Linotype" w:cs="Palatino Linotype"/>
          </w:rPr>
          <w:t>https://www.dallassymphony.org/es/community-education/dso-kids/listen-</w:t>
        </w:r>
        <w:r w:rsidRPr="00A238C2">
          <w:rPr>
            <w:rStyle w:val="Hipervnculo"/>
            <w:rFonts w:ascii="Palatino Linotype" w:eastAsia="Palatino Linotype" w:hAnsi="Palatino Linotype" w:cs="Palatino Linotype"/>
          </w:rPr>
          <w:lastRenderedPageBreak/>
          <w:t>watch/composers/nikolai-rimsky-korsakov/</w:t>
        </w:r>
      </w:hyperlink>
      <w:r w:rsidRPr="00A238C2">
        <w:rPr>
          <w:rFonts w:ascii="Palatino Linotype" w:eastAsia="Palatino Linotype" w:hAnsi="Palatino Linotype" w:cs="Palatino Linotype"/>
          <w:color w:val="000000" w:themeColor="text1"/>
        </w:rPr>
        <w:t>) consultado el catorce de noviembre del año en curso, es un compositor de nacionalidad rusa, quien falleció el 21 de junio de 1908.</w:t>
      </w:r>
    </w:p>
    <w:p w14:paraId="0997EA24" w14:textId="77777777" w:rsidR="00FC1601" w:rsidRPr="00A238C2" w:rsidRDefault="00FC1601" w:rsidP="002A027B">
      <w:pPr>
        <w:pStyle w:val="Prrafodelista"/>
        <w:spacing w:line="360" w:lineRule="auto"/>
        <w:rPr>
          <w:rFonts w:ascii="Palatino Linotype" w:eastAsia="Palatino Linotype" w:hAnsi="Palatino Linotype" w:cs="Palatino Linotype"/>
          <w:color w:val="000000" w:themeColor="text1"/>
        </w:rPr>
      </w:pPr>
    </w:p>
    <w:p w14:paraId="4EC57EA2" w14:textId="2C841F2A" w:rsidR="00FC1601" w:rsidRPr="00A238C2" w:rsidRDefault="00FC1601"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Dicho dato resulta relevante traerlo a colación; toda vez que el </w:t>
      </w:r>
      <w:r w:rsidRPr="00A238C2">
        <w:rPr>
          <w:rFonts w:ascii="Palatino Linotype" w:eastAsia="Palatino Linotype" w:hAnsi="Palatino Linotype" w:cs="Palatino Linotype"/>
          <w:b/>
          <w:color w:val="000000" w:themeColor="text1"/>
        </w:rPr>
        <w:t>SUJETO OBLIGADO</w:t>
      </w:r>
      <w:r w:rsidRPr="00A238C2">
        <w:rPr>
          <w:rFonts w:ascii="Palatino Linotype" w:eastAsia="Palatino Linotype" w:hAnsi="Palatino Linotype" w:cs="Palatino Linotype"/>
          <w:color w:val="000000" w:themeColor="text1"/>
        </w:rPr>
        <w:t xml:space="preserve"> invoca el derecho de autor como un factor que impide su entrega</w:t>
      </w:r>
      <w:r w:rsidR="00043EE0" w:rsidRPr="00A238C2">
        <w:rPr>
          <w:rFonts w:ascii="Palatino Linotype" w:eastAsia="Palatino Linotype" w:hAnsi="Palatino Linotype" w:cs="Palatino Linotype"/>
          <w:color w:val="000000" w:themeColor="text1"/>
        </w:rPr>
        <w:t>; sin embargo, es de explorado derecho que los derechos de autor se extinguen y tratándose de obras musicales, como lo es una obertura, culmina después de cierto periodo de fallecido el autor, quedando vigente solo el derecho moral, el cual protege el derecho del compositor a ser reconocido como el creador de la obertura y a mantener la integridad de su obra, el derecho moral es perpetuo e inalienables, lo que significa que el compositor siempre será reconocido como el autor, independientemente del tiempo transcurrido.</w:t>
      </w:r>
    </w:p>
    <w:p w14:paraId="674502B6" w14:textId="77777777" w:rsidR="00043EE0" w:rsidRPr="00A238C2" w:rsidRDefault="00043EE0" w:rsidP="002A027B">
      <w:pPr>
        <w:pStyle w:val="Prrafodelista"/>
        <w:spacing w:line="360" w:lineRule="auto"/>
        <w:rPr>
          <w:rFonts w:ascii="Palatino Linotype" w:eastAsia="Palatino Linotype" w:hAnsi="Palatino Linotype" w:cs="Palatino Linotype"/>
          <w:color w:val="000000" w:themeColor="text1"/>
        </w:rPr>
      </w:pPr>
    </w:p>
    <w:p w14:paraId="35BE469F" w14:textId="04F334A7" w:rsidR="00043EE0" w:rsidRPr="00A238C2" w:rsidRDefault="00043EE0"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No obstante los derechos de autor </w:t>
      </w:r>
      <w:r w:rsidR="004E7BFD" w:rsidRPr="00A238C2">
        <w:rPr>
          <w:rFonts w:ascii="Palatino Linotype" w:eastAsia="Palatino Linotype" w:hAnsi="Palatino Linotype" w:cs="Palatino Linotype"/>
          <w:color w:val="000000" w:themeColor="text1"/>
        </w:rPr>
        <w:t xml:space="preserve">o patrimoniales </w:t>
      </w:r>
      <w:r w:rsidRPr="00A238C2">
        <w:rPr>
          <w:rFonts w:ascii="Palatino Linotype" w:eastAsia="Palatino Linotype" w:hAnsi="Palatino Linotype" w:cs="Palatino Linotype"/>
          <w:color w:val="000000" w:themeColor="text1"/>
        </w:rPr>
        <w:t xml:space="preserve">que pretende invocar el </w:t>
      </w:r>
      <w:r w:rsidRPr="00A238C2">
        <w:rPr>
          <w:rFonts w:ascii="Palatino Linotype" w:eastAsia="Palatino Linotype" w:hAnsi="Palatino Linotype" w:cs="Palatino Linotype"/>
          <w:b/>
          <w:color w:val="000000" w:themeColor="text1"/>
        </w:rPr>
        <w:t>SUJETO OBLIGADO</w:t>
      </w:r>
      <w:r w:rsidRPr="00A238C2">
        <w:rPr>
          <w:rFonts w:ascii="Palatino Linotype" w:eastAsia="Palatino Linotype" w:hAnsi="Palatino Linotype" w:cs="Palatino Linotype"/>
          <w:color w:val="000000" w:themeColor="text1"/>
        </w:rPr>
        <w:t xml:space="preserve"> no son aplicables</w:t>
      </w:r>
      <w:r w:rsidR="004E7BFD" w:rsidRPr="00A238C2">
        <w:rPr>
          <w:rFonts w:ascii="Palatino Linotype" w:eastAsia="Palatino Linotype" w:hAnsi="Palatino Linotype" w:cs="Palatino Linotype"/>
          <w:color w:val="000000" w:themeColor="text1"/>
        </w:rPr>
        <w:t>;</w:t>
      </w:r>
      <w:r w:rsidRPr="00A238C2">
        <w:rPr>
          <w:rFonts w:ascii="Palatino Linotype" w:eastAsia="Palatino Linotype" w:hAnsi="Palatino Linotype" w:cs="Palatino Linotype"/>
          <w:color w:val="000000" w:themeColor="text1"/>
        </w:rPr>
        <w:t xml:space="preserve"> en México, el derecho de autor o </w:t>
      </w:r>
      <w:r w:rsidRPr="00A238C2">
        <w:rPr>
          <w:rFonts w:ascii="Palatino Linotype" w:eastAsia="Palatino Linotype" w:hAnsi="Palatino Linotype" w:cs="Palatino Linotype"/>
          <w:i/>
          <w:color w:val="000000" w:themeColor="text1"/>
        </w:rPr>
        <w:t>copyright</w:t>
      </w:r>
      <w:r w:rsidRPr="00A238C2">
        <w:rPr>
          <w:rFonts w:ascii="Palatino Linotype" w:eastAsia="Palatino Linotype" w:hAnsi="Palatino Linotype" w:cs="Palatino Linotype"/>
          <w:color w:val="000000" w:themeColor="text1"/>
        </w:rPr>
        <w:t xml:space="preserve"> de una pieza musical tiene una duración de la vida del autor más 100 años a partir de su fallecimiento, esto quiere decir que el autor (o sus herederos) tiene el derecho exclusivo de autorizar la explotación de la obra durante este tiempo. </w:t>
      </w:r>
    </w:p>
    <w:p w14:paraId="6FF9AB90" w14:textId="77777777" w:rsidR="00043EE0" w:rsidRPr="00A238C2" w:rsidRDefault="00043EE0" w:rsidP="002A027B">
      <w:pPr>
        <w:pStyle w:val="Prrafodelista"/>
        <w:spacing w:line="360" w:lineRule="auto"/>
        <w:rPr>
          <w:rFonts w:ascii="Palatino Linotype" w:eastAsia="Palatino Linotype" w:hAnsi="Palatino Linotype" w:cs="Palatino Linotype"/>
          <w:color w:val="000000" w:themeColor="text1"/>
        </w:rPr>
      </w:pPr>
    </w:p>
    <w:p w14:paraId="017E93D3" w14:textId="6DBA8EC0" w:rsidR="00043EE0" w:rsidRPr="00A238C2" w:rsidRDefault="00043EE0"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En ese contexto, si el autor falleció el 21 de junio de 1908, resulta evidente que se ha superado dicho periodo. Lo anterior encuentra sustento en la Ley Federal del Derecho de Autor en México, en su artículo 29, a saber:</w:t>
      </w:r>
    </w:p>
    <w:p w14:paraId="46353A0A" w14:textId="31153DB7" w:rsidR="00043EE0" w:rsidRPr="00A238C2" w:rsidRDefault="00043EE0" w:rsidP="002A027B">
      <w:pPr>
        <w:spacing w:line="360" w:lineRule="auto"/>
        <w:ind w:left="426" w:right="474"/>
        <w:contextualSpacing/>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t>“Artículo 29.- Los derechos patrimoniales estarán vigentes durante:</w:t>
      </w:r>
    </w:p>
    <w:p w14:paraId="03007092" w14:textId="77777777" w:rsidR="00043EE0" w:rsidRPr="00A238C2" w:rsidRDefault="00043EE0" w:rsidP="002A027B">
      <w:pPr>
        <w:spacing w:line="360" w:lineRule="auto"/>
        <w:ind w:left="426" w:right="474"/>
        <w:contextualSpacing/>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t xml:space="preserve">I. </w:t>
      </w:r>
      <w:r w:rsidRPr="00A238C2">
        <w:rPr>
          <w:rFonts w:ascii="Palatino Linotype" w:eastAsia="Palatino Linotype" w:hAnsi="Palatino Linotype" w:cs="Palatino Linotype"/>
          <w:b/>
          <w:i/>
          <w:color w:val="000000" w:themeColor="text1"/>
          <w:sz w:val="22"/>
        </w:rPr>
        <w:t>La vida del autor y, a partir de su muerte, cien años más</w:t>
      </w:r>
      <w:r w:rsidRPr="00A238C2">
        <w:rPr>
          <w:rFonts w:ascii="Palatino Linotype" w:eastAsia="Palatino Linotype" w:hAnsi="Palatino Linotype" w:cs="Palatino Linotype"/>
          <w:i/>
          <w:color w:val="000000" w:themeColor="text1"/>
          <w:sz w:val="22"/>
        </w:rPr>
        <w:t xml:space="preserve">. </w:t>
      </w:r>
    </w:p>
    <w:p w14:paraId="42EB49D6" w14:textId="77777777" w:rsidR="00043EE0" w:rsidRPr="00A238C2" w:rsidRDefault="00043EE0" w:rsidP="002A027B">
      <w:pPr>
        <w:spacing w:line="360" w:lineRule="auto"/>
        <w:ind w:left="426" w:right="474"/>
        <w:contextualSpacing/>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t xml:space="preserve">II. Cien años después de divulgadas. </w:t>
      </w:r>
    </w:p>
    <w:p w14:paraId="62271E14" w14:textId="403B270B" w:rsidR="00043EE0" w:rsidRDefault="00043EE0" w:rsidP="002A027B">
      <w:pPr>
        <w:spacing w:line="360" w:lineRule="auto"/>
        <w:ind w:left="426" w:right="474"/>
        <w:contextualSpacing/>
        <w:jc w:val="both"/>
        <w:rPr>
          <w:rFonts w:ascii="Palatino Linotype" w:eastAsia="Palatino Linotype" w:hAnsi="Palatino Linotype" w:cs="Palatino Linotype"/>
          <w:i/>
          <w:color w:val="000000" w:themeColor="text1"/>
          <w:sz w:val="22"/>
        </w:rPr>
      </w:pPr>
      <w:r w:rsidRPr="00A238C2">
        <w:rPr>
          <w:rFonts w:ascii="Palatino Linotype" w:eastAsia="Palatino Linotype" w:hAnsi="Palatino Linotype" w:cs="Palatino Linotype"/>
          <w:i/>
          <w:color w:val="000000" w:themeColor="text1"/>
          <w:sz w:val="22"/>
        </w:rPr>
        <w:lastRenderedPageBreak/>
        <w:t>Si el titular del derecho patrimonial distinto del autor muere sin herederos la facultad de explotar o autorizar la explotación de la obra corresponderá al autor y, a falta de éste, corresponderá al Estado por conducto del Instituto, quien respetará los derechos adquiridos por terceros con anterioridad. Pasados los términos previstos en las fracciones de este artículo, la obra pasará al dominio público.”</w:t>
      </w:r>
    </w:p>
    <w:p w14:paraId="08FBD46B" w14:textId="77777777" w:rsidR="00A238C2" w:rsidRPr="00A238C2" w:rsidRDefault="00A238C2" w:rsidP="002A027B">
      <w:pPr>
        <w:spacing w:line="360" w:lineRule="auto"/>
        <w:ind w:left="426" w:right="474"/>
        <w:contextualSpacing/>
        <w:jc w:val="both"/>
        <w:rPr>
          <w:rFonts w:ascii="Palatino Linotype" w:eastAsia="Palatino Linotype" w:hAnsi="Palatino Linotype" w:cs="Palatino Linotype"/>
          <w:i/>
          <w:color w:val="000000" w:themeColor="text1"/>
          <w:sz w:val="22"/>
        </w:rPr>
      </w:pPr>
    </w:p>
    <w:p w14:paraId="3AB22182" w14:textId="09A86122" w:rsidR="00024333" w:rsidRPr="00A238C2" w:rsidRDefault="00554B47" w:rsidP="00024333">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Lo anterior encuentra congruencia en que dicha obertura </w:t>
      </w:r>
      <w:r w:rsidRPr="00A238C2">
        <w:rPr>
          <w:rFonts w:ascii="Palatino Linotype" w:eastAsia="Palatino Linotype" w:hAnsi="Palatino Linotype" w:cs="Palatino Linotype"/>
          <w:b/>
          <w:color w:val="000000" w:themeColor="text1"/>
        </w:rPr>
        <w:t>sea interpretada por múltiples orquestas a nivel mundial</w:t>
      </w:r>
      <w:r w:rsidR="00024333" w:rsidRPr="00A238C2">
        <w:rPr>
          <w:rFonts w:ascii="Palatino Linotype" w:eastAsia="Palatino Linotype" w:hAnsi="Palatino Linotype" w:cs="Palatino Linotype"/>
          <w:b/>
          <w:color w:val="000000" w:themeColor="text1"/>
        </w:rPr>
        <w:t xml:space="preserve"> de manera </w:t>
      </w:r>
      <w:r w:rsidR="00024333" w:rsidRPr="00A238C2">
        <w:rPr>
          <w:rFonts w:ascii="Palatino Linotype" w:eastAsia="Palatino Linotype" w:hAnsi="Palatino Linotype" w:cs="Palatino Linotype"/>
          <w:b/>
          <w:color w:val="000000" w:themeColor="text1"/>
          <w:u w:val="single"/>
        </w:rPr>
        <w:t>libre</w:t>
      </w:r>
      <w:r w:rsidRPr="00A238C2">
        <w:rPr>
          <w:rFonts w:ascii="Palatino Linotype" w:eastAsia="Palatino Linotype" w:hAnsi="Palatino Linotype" w:cs="Palatino Linotype"/>
          <w:color w:val="000000" w:themeColor="text1"/>
        </w:rPr>
        <w:t xml:space="preserve">, incluida la del Estado de México. </w:t>
      </w:r>
      <w:r w:rsidR="00024333" w:rsidRPr="00A238C2">
        <w:rPr>
          <w:rFonts w:ascii="Palatino Linotype" w:eastAsia="Palatino Linotype" w:hAnsi="Palatino Linotype" w:cs="Palatino Linotype"/>
          <w:color w:val="000000" w:themeColor="text1"/>
        </w:rPr>
        <w:t>Lo anterior, toda vez que una de sus funciones es ofrecer a la población del Estado de México la cultura a través de la música clásica por medio de la presentación de conciertos en el interior del estado, en el país y en el extranjero contribuyendo de esta manera al desarrollo cultural y espiritual de la población; como se desprende del Manual General de Organización de la Secretaría de Cultura y Deporte, a saber:</w:t>
      </w:r>
    </w:p>
    <w:p w14:paraId="5EBC58A8" w14:textId="77777777" w:rsidR="00024333" w:rsidRPr="00A238C2" w:rsidRDefault="00024333" w:rsidP="00024333">
      <w:pPr>
        <w:spacing w:line="360" w:lineRule="auto"/>
        <w:contextualSpacing/>
        <w:jc w:val="both"/>
        <w:rPr>
          <w:rFonts w:ascii="Palatino Linotype" w:eastAsia="Palatino Linotype" w:hAnsi="Palatino Linotype" w:cs="Palatino Linotype"/>
          <w:color w:val="000000" w:themeColor="text1"/>
        </w:rPr>
      </w:pPr>
    </w:p>
    <w:p w14:paraId="3B156356" w14:textId="2DA05D28" w:rsidR="00024333" w:rsidRPr="00A238C2" w:rsidRDefault="0090670B" w:rsidP="00024333">
      <w:pPr>
        <w:spacing w:line="360" w:lineRule="auto"/>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noProof/>
          <w:color w:val="000000" w:themeColor="text1"/>
          <w:lang w:val="es-MX" w:eastAsia="es-MX"/>
        </w:rPr>
        <w:lastRenderedPageBreak/>
        <w:drawing>
          <wp:inline distT="0" distB="0" distL="0" distR="0" wp14:anchorId="7C2284AB" wp14:editId="2E8B79D3">
            <wp:extent cx="5612130" cy="40462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046220"/>
                    </a:xfrm>
                    <a:prstGeom prst="rect">
                      <a:avLst/>
                    </a:prstGeom>
                  </pic:spPr>
                </pic:pic>
              </a:graphicData>
            </a:graphic>
          </wp:inline>
        </w:drawing>
      </w:r>
    </w:p>
    <w:p w14:paraId="3DA9EDD2" w14:textId="77777777" w:rsidR="00024333" w:rsidRDefault="00024333" w:rsidP="00024333">
      <w:pPr>
        <w:spacing w:line="360" w:lineRule="auto"/>
        <w:contextualSpacing/>
        <w:jc w:val="both"/>
        <w:rPr>
          <w:rFonts w:ascii="Palatino Linotype" w:eastAsia="Palatino Linotype" w:hAnsi="Palatino Linotype" w:cs="Palatino Linotype"/>
          <w:color w:val="000000" w:themeColor="text1"/>
        </w:rPr>
      </w:pPr>
    </w:p>
    <w:p w14:paraId="4010C36C" w14:textId="77777777" w:rsidR="00A238C2" w:rsidRPr="00A238C2" w:rsidRDefault="00A238C2" w:rsidP="00024333">
      <w:pPr>
        <w:spacing w:line="360" w:lineRule="auto"/>
        <w:contextualSpacing/>
        <w:jc w:val="both"/>
        <w:rPr>
          <w:rFonts w:ascii="Palatino Linotype" w:eastAsia="Palatino Linotype" w:hAnsi="Palatino Linotype" w:cs="Palatino Linotype"/>
          <w:color w:val="000000" w:themeColor="text1"/>
        </w:rPr>
      </w:pPr>
    </w:p>
    <w:p w14:paraId="75C41EF8" w14:textId="759D9D8D" w:rsidR="00554B47" w:rsidRPr="00A238C2" w:rsidRDefault="00554B47"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En esa tesitura resulta relevante también subrayar que como bien el particular señaló en su solicitud, requiere una partitura de una obra que es </w:t>
      </w:r>
      <w:r w:rsidRPr="00A238C2">
        <w:rPr>
          <w:rFonts w:ascii="Palatino Linotype" w:eastAsia="Palatino Linotype" w:hAnsi="Palatino Linotype" w:cs="Palatino Linotype"/>
          <w:b/>
          <w:color w:val="000000" w:themeColor="text1"/>
        </w:rPr>
        <w:t>interpretada</w:t>
      </w:r>
      <w:r w:rsidRPr="00A238C2">
        <w:rPr>
          <w:rFonts w:ascii="Palatino Linotype" w:eastAsia="Palatino Linotype" w:hAnsi="Palatino Linotype" w:cs="Palatino Linotype"/>
          <w:color w:val="000000" w:themeColor="text1"/>
        </w:rPr>
        <w:t xml:space="preserve"> por la Orquesta Sinfónica del Estado de México.</w:t>
      </w:r>
    </w:p>
    <w:p w14:paraId="01378B31" w14:textId="77777777" w:rsidR="004E7BFD" w:rsidRPr="00A238C2" w:rsidRDefault="004E7BFD" w:rsidP="004E7BFD">
      <w:pPr>
        <w:spacing w:line="360" w:lineRule="auto"/>
        <w:contextualSpacing/>
        <w:jc w:val="both"/>
        <w:rPr>
          <w:rFonts w:ascii="Palatino Linotype" w:eastAsia="Palatino Linotype" w:hAnsi="Palatino Linotype" w:cs="Palatino Linotype"/>
          <w:color w:val="000000" w:themeColor="text1"/>
        </w:rPr>
      </w:pPr>
    </w:p>
    <w:p w14:paraId="28374F7A" w14:textId="7B9E74C2" w:rsidR="00554B47" w:rsidRPr="00A238C2" w:rsidRDefault="00554B47"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En la inteligencia que interpretar se refiere a la ejecución de una obra por músicos, cantantes o actores que la presentan al público y, en el caso concreto, significa que una orquesta, toca una composición musical (por ejemplo, una sinfonía, una canción o una obertura) con sus instrumentos o voz, de la obra escrita por el compositor, por lo que al no ser de su propiedad</w:t>
      </w:r>
      <w:r w:rsidR="0090670B" w:rsidRPr="00A238C2">
        <w:rPr>
          <w:rFonts w:ascii="Palatino Linotype" w:eastAsia="Palatino Linotype" w:hAnsi="Palatino Linotype" w:cs="Palatino Linotype"/>
          <w:color w:val="000000" w:themeColor="text1"/>
        </w:rPr>
        <w:t xml:space="preserve"> la representación escrita de la obra</w:t>
      </w:r>
      <w:r w:rsidRPr="00A238C2">
        <w:rPr>
          <w:rFonts w:ascii="Palatino Linotype" w:eastAsia="Palatino Linotype" w:hAnsi="Palatino Linotype" w:cs="Palatino Linotype"/>
          <w:color w:val="000000" w:themeColor="text1"/>
        </w:rPr>
        <w:t xml:space="preserve"> –se insiste– no es procedente </w:t>
      </w:r>
      <w:r w:rsidRPr="00A238C2">
        <w:rPr>
          <w:rFonts w:ascii="Palatino Linotype" w:eastAsia="Palatino Linotype" w:hAnsi="Palatino Linotype" w:cs="Palatino Linotype"/>
          <w:color w:val="000000" w:themeColor="text1"/>
        </w:rPr>
        <w:lastRenderedPageBreak/>
        <w:t>traer a contexto los derechos de autor</w:t>
      </w:r>
      <w:r w:rsidR="00E1510B" w:rsidRPr="00A238C2">
        <w:rPr>
          <w:rFonts w:ascii="Palatino Linotype" w:eastAsia="Palatino Linotype" w:hAnsi="Palatino Linotype" w:cs="Palatino Linotype"/>
          <w:color w:val="000000" w:themeColor="text1"/>
        </w:rPr>
        <w:t>, por lo que se desestima la respuesta inicial resultando dable ordenar el soporte documental requerido.</w:t>
      </w:r>
    </w:p>
    <w:p w14:paraId="7102F5D9" w14:textId="77777777" w:rsidR="00E1510B" w:rsidRPr="00A238C2" w:rsidRDefault="00E1510B" w:rsidP="002A027B">
      <w:pPr>
        <w:spacing w:line="360" w:lineRule="auto"/>
        <w:contextualSpacing/>
        <w:jc w:val="both"/>
        <w:rPr>
          <w:rFonts w:ascii="Palatino Linotype" w:eastAsia="Palatino Linotype" w:hAnsi="Palatino Linotype" w:cs="Palatino Linotype"/>
          <w:color w:val="000000" w:themeColor="text1"/>
        </w:rPr>
      </w:pPr>
    </w:p>
    <w:p w14:paraId="5AF12AC7" w14:textId="53B3D394" w:rsidR="00E1510B" w:rsidRPr="00A238C2" w:rsidRDefault="00E1510B" w:rsidP="002A027B">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A238C2">
        <w:rPr>
          <w:rFonts w:ascii="Palatino Linotype" w:eastAsia="Palatino Linotype" w:hAnsi="Palatino Linotype" w:cs="Palatino Linotype"/>
          <w:color w:val="000000" w:themeColor="text1"/>
        </w:rPr>
        <w:t xml:space="preserve">No pasa desapercibido que con su respuesta el </w:t>
      </w:r>
      <w:r w:rsidRPr="00A238C2">
        <w:rPr>
          <w:rFonts w:ascii="Palatino Linotype" w:eastAsia="Palatino Linotype" w:hAnsi="Palatino Linotype" w:cs="Palatino Linotype"/>
          <w:b/>
          <w:color w:val="000000" w:themeColor="text1"/>
        </w:rPr>
        <w:t>SUJETO OBLIGADO</w:t>
      </w:r>
      <w:r w:rsidRPr="00A238C2">
        <w:rPr>
          <w:rFonts w:ascii="Palatino Linotype" w:eastAsia="Palatino Linotype" w:hAnsi="Palatino Linotype" w:cs="Palatino Linotype"/>
          <w:color w:val="000000" w:themeColor="text1"/>
        </w:rPr>
        <w:t xml:space="preserve"> acepta que si genera, posee y administra lo solicitado, por lo que resulta innecesario realizar un estudio más abundante para arribar a la conclusión de si puede o no contar con lo solicitado, derivado que ya la asumió.</w:t>
      </w:r>
    </w:p>
    <w:p w14:paraId="7FE50A86" w14:textId="77777777" w:rsidR="00554B47" w:rsidRPr="00A238C2" w:rsidRDefault="00554B47" w:rsidP="002A027B">
      <w:pPr>
        <w:spacing w:line="360" w:lineRule="auto"/>
        <w:contextualSpacing/>
        <w:jc w:val="both"/>
        <w:rPr>
          <w:rFonts w:ascii="Palatino Linotype" w:eastAsia="Palatino Linotype" w:hAnsi="Palatino Linotype" w:cs="Palatino Linotype"/>
          <w:color w:val="000000" w:themeColor="text1"/>
        </w:rPr>
      </w:pPr>
    </w:p>
    <w:p w14:paraId="7D485C6E" w14:textId="15233F36"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rPr>
      </w:pPr>
      <w:r w:rsidRPr="00A238C2">
        <w:rPr>
          <w:rFonts w:ascii="Palatino Linotype" w:eastAsia="Palatino Linotype" w:hAnsi="Palatino Linotype" w:cs="Palatino Linotype"/>
          <w:color w:val="000000"/>
        </w:rPr>
        <w:t>No obstante, no es óbice para mencionar que e</w:t>
      </w:r>
      <w:r w:rsidRPr="00A238C2">
        <w:rPr>
          <w:rFonts w:ascii="Palatino Linotype" w:eastAsia="MS Mincho" w:hAnsi="Palatino Linotype" w:cs="Times New Roman"/>
        </w:rPr>
        <w:t xml:space="preserv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5C0EE5B0" w14:textId="77777777" w:rsidR="002A027B" w:rsidRPr="00A238C2" w:rsidRDefault="002A027B" w:rsidP="002A027B">
      <w:pPr>
        <w:spacing w:line="360" w:lineRule="auto"/>
        <w:contextualSpacing/>
        <w:jc w:val="both"/>
        <w:rPr>
          <w:rFonts w:ascii="Palatino Linotype" w:eastAsia="MS Mincho" w:hAnsi="Palatino Linotype" w:cs="Times New Roman"/>
        </w:rPr>
      </w:pPr>
    </w:p>
    <w:p w14:paraId="428E8959" w14:textId="77777777"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rPr>
      </w:pPr>
      <w:r w:rsidRPr="00A238C2">
        <w:rPr>
          <w:rFonts w:ascii="Palatino Linotype" w:eastAsia="MS Mincho" w:hAnsi="Palatino Linotype" w:cs="Times New Roman"/>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7137F132" w14:textId="77777777" w:rsidR="002A027B" w:rsidRPr="00A238C2" w:rsidRDefault="002A027B" w:rsidP="002A027B">
      <w:pPr>
        <w:spacing w:line="360" w:lineRule="auto"/>
        <w:contextualSpacing/>
        <w:jc w:val="both"/>
        <w:rPr>
          <w:rFonts w:ascii="Palatino Linotype" w:eastAsia="MS Mincho" w:hAnsi="Palatino Linotype" w:cs="Times New Roman"/>
        </w:rPr>
      </w:pPr>
    </w:p>
    <w:p w14:paraId="0A2D1184" w14:textId="77777777"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bCs/>
        </w:rPr>
      </w:pPr>
      <w:r w:rsidRPr="00A238C2">
        <w:rPr>
          <w:rFonts w:ascii="Palatino Linotype" w:eastAsia="MS Mincho" w:hAnsi="Palatino Linotype" w:cs="Times New Roman"/>
        </w:rPr>
        <w:t>En ese sentido, no hay que perder de vista el principio de máxima publicidad establecido en el artículo 8 de la Ley de Transparencia y Acceso a la Información Pública del Estado de México y Municipios que señala:</w:t>
      </w:r>
    </w:p>
    <w:p w14:paraId="3849AA96" w14:textId="77777777" w:rsidR="002A027B" w:rsidRPr="00A238C2" w:rsidRDefault="002A027B" w:rsidP="002A027B">
      <w:pPr>
        <w:spacing w:line="360" w:lineRule="auto"/>
        <w:ind w:left="567" w:right="615"/>
        <w:contextualSpacing/>
        <w:jc w:val="both"/>
        <w:rPr>
          <w:rFonts w:ascii="Palatino Linotype" w:eastAsia="MS Mincho" w:hAnsi="Palatino Linotype" w:cs="Times New Roman"/>
          <w:i/>
          <w:sz w:val="22"/>
        </w:rPr>
      </w:pPr>
      <w:r w:rsidRPr="00A238C2">
        <w:rPr>
          <w:rFonts w:ascii="Palatino Linotype" w:eastAsia="MS Mincho" w:hAnsi="Palatino Linotype" w:cs="Times New Roman"/>
          <w:i/>
          <w:sz w:val="22"/>
        </w:rPr>
        <w:t>“</w:t>
      </w:r>
      <w:r w:rsidRPr="00A238C2">
        <w:rPr>
          <w:rFonts w:ascii="Palatino Linotype" w:eastAsia="MS Mincho" w:hAnsi="Palatino Linotype" w:cs="Times New Roman"/>
          <w:b/>
          <w:i/>
          <w:sz w:val="22"/>
        </w:rPr>
        <w:t>Artículo 8</w:t>
      </w:r>
      <w:r w:rsidRPr="00A238C2">
        <w:rPr>
          <w:rFonts w:ascii="Palatino Linotype" w:eastAsia="MS Mincho" w:hAnsi="Palatino Linotype" w:cs="Times New Roman"/>
          <w:i/>
          <w:sz w:val="22"/>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1C3EB4E7" w14:textId="77777777" w:rsidR="002A027B" w:rsidRPr="00A238C2" w:rsidRDefault="002A027B" w:rsidP="002A027B">
      <w:pPr>
        <w:spacing w:line="360" w:lineRule="auto"/>
        <w:ind w:left="567" w:right="615"/>
        <w:contextualSpacing/>
        <w:jc w:val="both"/>
        <w:rPr>
          <w:rFonts w:ascii="Palatino Linotype" w:eastAsia="MS Mincho" w:hAnsi="Palatino Linotype" w:cs="Times New Roman"/>
          <w:i/>
          <w:sz w:val="22"/>
        </w:rPr>
      </w:pPr>
      <w:r w:rsidRPr="00A238C2">
        <w:rPr>
          <w:rFonts w:ascii="Palatino Linotype" w:eastAsia="MS Mincho" w:hAnsi="Palatino Linotype" w:cs="Times New Roman"/>
          <w:i/>
          <w:sz w:val="22"/>
        </w:rPr>
        <w:lastRenderedPageBreak/>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2CAEC8E0" w14:textId="77777777" w:rsidR="002A027B" w:rsidRPr="00A238C2" w:rsidRDefault="002A027B" w:rsidP="002A027B">
      <w:pPr>
        <w:spacing w:line="360" w:lineRule="auto"/>
        <w:ind w:left="567" w:right="615"/>
        <w:contextualSpacing/>
        <w:jc w:val="both"/>
        <w:rPr>
          <w:rFonts w:ascii="Palatino Linotype" w:eastAsia="MS Mincho" w:hAnsi="Palatino Linotype" w:cs="Times New Roman"/>
          <w:i/>
        </w:rPr>
      </w:pPr>
    </w:p>
    <w:p w14:paraId="485D13BD" w14:textId="77777777"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rPr>
      </w:pPr>
      <w:r w:rsidRPr="00A238C2">
        <w:rPr>
          <w:rFonts w:ascii="Palatino Linotype" w:eastAsia="MS Mincho" w:hAnsi="Palatino Linotype" w:cs="Times New Roman"/>
        </w:rPr>
        <w:t xml:space="preserve">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35CB15BF" w14:textId="77777777" w:rsidR="002A027B" w:rsidRPr="00A238C2" w:rsidRDefault="002A027B" w:rsidP="002A027B">
      <w:pPr>
        <w:spacing w:line="360" w:lineRule="auto"/>
        <w:contextualSpacing/>
        <w:jc w:val="both"/>
        <w:rPr>
          <w:rFonts w:ascii="Palatino Linotype" w:eastAsia="MS Mincho" w:hAnsi="Palatino Linotype" w:cs="Times New Roman"/>
        </w:rPr>
      </w:pPr>
    </w:p>
    <w:p w14:paraId="4B0E234B" w14:textId="77777777"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rPr>
      </w:pPr>
      <w:r w:rsidRPr="00A238C2">
        <w:rPr>
          <w:rFonts w:ascii="Palatino Linotype" w:eastAsia="MS Mincho" w:hAnsi="Palatino Linotype" w:cs="Times New Roman"/>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786CC517" w14:textId="77777777" w:rsidR="002A027B" w:rsidRPr="00A238C2" w:rsidRDefault="002A027B" w:rsidP="002A027B">
      <w:pPr>
        <w:spacing w:line="360" w:lineRule="auto"/>
        <w:contextualSpacing/>
        <w:jc w:val="both"/>
        <w:rPr>
          <w:rFonts w:ascii="Palatino Linotype" w:eastAsia="MS Mincho" w:hAnsi="Palatino Linotype" w:cs="Times New Roman"/>
        </w:rPr>
      </w:pPr>
    </w:p>
    <w:p w14:paraId="7FD2032E" w14:textId="77777777" w:rsidR="002A027B" w:rsidRPr="00A238C2" w:rsidRDefault="002A027B" w:rsidP="002A027B">
      <w:pPr>
        <w:numPr>
          <w:ilvl w:val="0"/>
          <w:numId w:val="1"/>
        </w:numPr>
        <w:spacing w:line="360" w:lineRule="auto"/>
        <w:ind w:left="0" w:firstLine="0"/>
        <w:contextualSpacing/>
        <w:jc w:val="both"/>
        <w:rPr>
          <w:rFonts w:ascii="Palatino Linotype" w:eastAsia="MS Mincho" w:hAnsi="Palatino Linotype" w:cs="Times New Roman"/>
          <w:bCs/>
        </w:rPr>
      </w:pPr>
      <w:r w:rsidRPr="00A238C2">
        <w:rPr>
          <w:rFonts w:ascii="Palatino Linotype" w:eastAsia="MS Mincho" w:hAnsi="Palatino Linotype" w:cs="Times New Roman"/>
        </w:rPr>
        <w:t>En ese sentido, no hay que perder de vista el principio de máxima publicidad establecido en el artículo 8 de la Ley de Transparencia y Acceso a la Información Pública del Estado de México y Municipios que señala:</w:t>
      </w:r>
    </w:p>
    <w:p w14:paraId="09B09985" w14:textId="77777777" w:rsidR="002A027B" w:rsidRPr="00A238C2" w:rsidRDefault="002A027B" w:rsidP="002A027B">
      <w:pPr>
        <w:spacing w:line="360" w:lineRule="auto"/>
        <w:ind w:left="567" w:right="615"/>
        <w:contextualSpacing/>
        <w:jc w:val="both"/>
        <w:rPr>
          <w:rFonts w:ascii="Palatino Linotype" w:eastAsia="MS Mincho" w:hAnsi="Palatino Linotype" w:cs="Times New Roman"/>
          <w:i/>
          <w:sz w:val="22"/>
        </w:rPr>
      </w:pPr>
      <w:r w:rsidRPr="00A238C2">
        <w:rPr>
          <w:rFonts w:ascii="Palatino Linotype" w:eastAsia="MS Mincho" w:hAnsi="Palatino Linotype" w:cs="Times New Roman"/>
          <w:i/>
          <w:sz w:val="22"/>
        </w:rPr>
        <w:t>“</w:t>
      </w:r>
      <w:r w:rsidRPr="00A238C2">
        <w:rPr>
          <w:rFonts w:ascii="Palatino Linotype" w:eastAsia="MS Mincho" w:hAnsi="Palatino Linotype" w:cs="Times New Roman"/>
          <w:b/>
          <w:i/>
          <w:sz w:val="22"/>
        </w:rPr>
        <w:t>Artículo 8</w:t>
      </w:r>
      <w:r w:rsidRPr="00A238C2">
        <w:rPr>
          <w:rFonts w:ascii="Palatino Linotype" w:eastAsia="MS Mincho" w:hAnsi="Palatino Linotype" w:cs="Times New Roman"/>
          <w:i/>
          <w:sz w:val="22"/>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56FE2808" w14:textId="77777777" w:rsidR="002A027B" w:rsidRPr="00A238C2" w:rsidRDefault="002A027B" w:rsidP="002A027B">
      <w:pPr>
        <w:spacing w:line="360" w:lineRule="auto"/>
        <w:ind w:left="567" w:right="615"/>
        <w:contextualSpacing/>
        <w:jc w:val="both"/>
        <w:rPr>
          <w:rFonts w:ascii="Palatino Linotype" w:eastAsia="MS Mincho" w:hAnsi="Palatino Linotype" w:cs="Times New Roman"/>
          <w:i/>
          <w:sz w:val="22"/>
        </w:rPr>
      </w:pPr>
    </w:p>
    <w:p w14:paraId="6F5294E4" w14:textId="77777777" w:rsidR="002A027B" w:rsidRDefault="002A027B" w:rsidP="002A027B">
      <w:pPr>
        <w:spacing w:line="360" w:lineRule="auto"/>
        <w:ind w:left="567" w:right="615"/>
        <w:contextualSpacing/>
        <w:jc w:val="both"/>
        <w:rPr>
          <w:rFonts w:ascii="Palatino Linotype" w:eastAsia="MS Mincho" w:hAnsi="Palatino Linotype" w:cs="Times New Roman"/>
          <w:i/>
          <w:sz w:val="22"/>
        </w:rPr>
      </w:pPr>
      <w:r w:rsidRPr="00A238C2">
        <w:rPr>
          <w:rFonts w:ascii="Palatino Linotype" w:eastAsia="MS Mincho" w:hAnsi="Palatino Linotype" w:cs="Times New Roman"/>
          <w:i/>
          <w:sz w:val="22"/>
        </w:rPr>
        <w:lastRenderedPageBreak/>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5E25D9B2" w14:textId="77777777" w:rsidR="00A238C2" w:rsidRPr="00A238C2" w:rsidRDefault="00A238C2" w:rsidP="002A027B">
      <w:pPr>
        <w:spacing w:line="360" w:lineRule="auto"/>
        <w:ind w:left="567" w:right="615"/>
        <w:contextualSpacing/>
        <w:jc w:val="both"/>
        <w:rPr>
          <w:rFonts w:ascii="Palatino Linotype" w:eastAsia="MS Mincho" w:hAnsi="Palatino Linotype" w:cs="Times New Roman"/>
          <w:i/>
          <w:sz w:val="22"/>
        </w:rPr>
      </w:pPr>
    </w:p>
    <w:p w14:paraId="35662E90" w14:textId="07512111" w:rsidR="002A027B" w:rsidRPr="00A238C2" w:rsidRDefault="002A027B" w:rsidP="002A027B">
      <w:pPr>
        <w:pStyle w:val="Prrafodelista"/>
        <w:numPr>
          <w:ilvl w:val="0"/>
          <w:numId w:val="1"/>
        </w:numPr>
        <w:spacing w:line="360" w:lineRule="auto"/>
        <w:ind w:left="0" w:firstLine="0"/>
        <w:jc w:val="both"/>
        <w:rPr>
          <w:rFonts w:ascii="Palatino Linotype" w:eastAsia="MS Mincho" w:hAnsi="Palatino Linotype" w:cs="Times New Roman"/>
        </w:rPr>
      </w:pPr>
      <w:r w:rsidRPr="00A238C2">
        <w:rPr>
          <w:rFonts w:ascii="Palatino Linotype" w:eastAsia="MS Mincho" w:hAnsi="Palatino Linotype" w:cs="Times New Roman"/>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r w:rsidR="001A29A4">
        <w:rPr>
          <w:rFonts w:ascii="Palatino Linotype" w:eastAsia="MS Mincho" w:hAnsi="Palatino Linotype" w:cs="Times New Roman"/>
        </w:rPr>
        <w:t xml:space="preserve">Villanueva </w:t>
      </w:r>
      <w:r w:rsidRPr="00A238C2">
        <w:rPr>
          <w:rFonts w:ascii="Palatino Linotype" w:eastAsia="MS Mincho" w:hAnsi="Palatino Linotype" w:cs="Times New Roman"/>
        </w:rPr>
        <w:t xml:space="preserve">que dice: </w:t>
      </w:r>
      <w:r w:rsidRPr="00A238C2">
        <w:rPr>
          <w:rFonts w:ascii="Palatino Linotype" w:eastAsia="MS Mincho" w:hAnsi="Palatino Linotype" w:cs="Times New Roman"/>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A238C2">
        <w:rPr>
          <w:rFonts w:ascii="Palatino Linotype" w:eastAsia="MS Mincho" w:hAnsi="Palatino Linotype" w:cs="Times New Roman"/>
          <w:i/>
          <w:vertAlign w:val="superscript"/>
        </w:rPr>
        <w:t xml:space="preserve"> </w:t>
      </w:r>
      <w:r w:rsidRPr="00A238C2">
        <w:rPr>
          <w:rFonts w:ascii="Palatino Linotype" w:hAnsi="Palatino Linotype"/>
          <w:i/>
          <w:vertAlign w:val="superscript"/>
        </w:rPr>
        <w:footnoteReference w:id="1"/>
      </w:r>
      <w:r w:rsidRPr="00A238C2">
        <w:rPr>
          <w:rFonts w:ascii="Palatino Linotype" w:eastAsia="MS Mincho" w:hAnsi="Palatino Linotype" w:cs="Times New Roman"/>
          <w:i/>
        </w:rPr>
        <w:t>” (Sic)</w:t>
      </w:r>
      <w:r w:rsidRPr="00A238C2">
        <w:rPr>
          <w:rFonts w:ascii="Palatino Linotype" w:eastAsia="MS Mincho" w:hAnsi="Palatino Linotype" w:cs="Times New Roman"/>
        </w:rPr>
        <w:t xml:space="preserve">  </w:t>
      </w:r>
    </w:p>
    <w:p w14:paraId="2C1517DD" w14:textId="77777777" w:rsidR="002A027B" w:rsidRPr="00A238C2" w:rsidRDefault="002A027B" w:rsidP="002A027B">
      <w:pPr>
        <w:pStyle w:val="Prrafodelista"/>
        <w:spacing w:line="360" w:lineRule="auto"/>
        <w:ind w:left="0"/>
        <w:jc w:val="both"/>
        <w:rPr>
          <w:rFonts w:ascii="Palatino Linotype" w:eastAsia="MS Mincho" w:hAnsi="Palatino Linotype" w:cs="Times New Roman"/>
        </w:rPr>
      </w:pPr>
    </w:p>
    <w:p w14:paraId="4041530D" w14:textId="77777777" w:rsidR="002A027B" w:rsidRPr="00A238C2" w:rsidRDefault="002A027B" w:rsidP="002A027B">
      <w:pPr>
        <w:pStyle w:val="Prrafodelista"/>
        <w:numPr>
          <w:ilvl w:val="0"/>
          <w:numId w:val="1"/>
        </w:numPr>
        <w:spacing w:line="360" w:lineRule="auto"/>
        <w:ind w:left="0" w:firstLine="0"/>
        <w:jc w:val="both"/>
        <w:rPr>
          <w:rFonts w:ascii="Palatino Linotype" w:eastAsia="MS Mincho" w:hAnsi="Palatino Linotype" w:cs="Times New Roman"/>
        </w:rPr>
      </w:pPr>
      <w:r w:rsidRPr="00A238C2">
        <w:rPr>
          <w:rFonts w:ascii="Palatino Linotype" w:eastAsia="MS Mincho" w:hAnsi="Palatino Linotype" w:cs="Times New Roman"/>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A17071C" w14:textId="77777777" w:rsidR="002A027B" w:rsidRPr="001A29A4" w:rsidRDefault="002A027B" w:rsidP="001A29A4">
      <w:pPr>
        <w:pStyle w:val="Prrafodelista"/>
        <w:spacing w:line="360" w:lineRule="auto"/>
        <w:ind w:left="0" w:right="567"/>
        <w:jc w:val="center"/>
        <w:rPr>
          <w:rFonts w:ascii="Palatino Linotype" w:eastAsia="MS Mincho" w:hAnsi="Palatino Linotype" w:cs="Times New Roman"/>
          <w:b/>
          <w:i/>
          <w:sz w:val="22"/>
        </w:rPr>
      </w:pPr>
      <w:r w:rsidRPr="001A29A4">
        <w:rPr>
          <w:rFonts w:ascii="Palatino Linotype" w:eastAsia="MS Mincho" w:hAnsi="Palatino Linotype" w:cs="Times New Roman"/>
          <w:b/>
          <w:i/>
          <w:sz w:val="22"/>
        </w:rPr>
        <w:t>“CRITERIO 0002-11</w:t>
      </w:r>
    </w:p>
    <w:p w14:paraId="20788B06"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r w:rsidRPr="001A29A4">
        <w:rPr>
          <w:rFonts w:ascii="Palatino Linotype" w:eastAsia="MS Mincho" w:hAnsi="Palatino Linotype" w:cs="Times New Roman"/>
          <w:b/>
          <w:i/>
          <w:sz w:val="22"/>
        </w:rPr>
        <w:t xml:space="preserve">INFORMACIÓN PÚBLICA, CONCEPTO DE, EN MATERIA DE TRANSPARENCIA. INTERPRETACIÓN TEMÁTICA DE LOS ARTÍCULOS 2, </w:t>
      </w:r>
      <w:r w:rsidRPr="001A29A4">
        <w:rPr>
          <w:rFonts w:ascii="Palatino Linotype" w:eastAsia="MS Mincho" w:hAnsi="Palatino Linotype" w:cs="Times New Roman"/>
          <w:b/>
          <w:i/>
          <w:sz w:val="22"/>
        </w:rPr>
        <w:lastRenderedPageBreak/>
        <w:t>FRACCIÓN V, XV, Y XVI, 3, 4, 11 Y 41</w:t>
      </w:r>
      <w:r w:rsidRPr="001A29A4">
        <w:rPr>
          <w:rFonts w:ascii="Palatino Linotype" w:eastAsia="MS Mincho" w:hAnsi="Palatino Linotype" w:cs="Times New Roman"/>
          <w:i/>
          <w:sz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B7A3474"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p>
    <w:p w14:paraId="2A3B26BA"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r w:rsidRPr="001A29A4">
        <w:rPr>
          <w:rFonts w:ascii="Palatino Linotype" w:eastAsia="MS Mincho" w:hAnsi="Palatino Linotype" w:cs="Times New Roman"/>
          <w:i/>
          <w:sz w:val="22"/>
        </w:rPr>
        <w:t>En consecuencia el acceso a la información se refiere a que se cumplan cualquiera de los siguientes tres supuestos:</w:t>
      </w:r>
    </w:p>
    <w:p w14:paraId="3A496637"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p>
    <w:p w14:paraId="2CE3321C"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r w:rsidRPr="001A29A4">
        <w:rPr>
          <w:rFonts w:ascii="Palatino Linotype" w:eastAsia="MS Mincho" w:hAnsi="Palatino Linotype" w:cs="Times New Roman"/>
          <w:i/>
          <w:sz w:val="22"/>
        </w:rPr>
        <w:t>Que se trate de información registrada en cualquier soporte documental, que en ejercicio de las atribuciones conferidas, sea generada por los Sujetos Obligados;</w:t>
      </w:r>
    </w:p>
    <w:p w14:paraId="230625C1"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p>
    <w:p w14:paraId="3DE31ED3"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r w:rsidRPr="001A29A4">
        <w:rPr>
          <w:rFonts w:ascii="Palatino Linotype" w:eastAsia="MS Mincho" w:hAnsi="Palatino Linotype" w:cs="Times New Roman"/>
          <w:i/>
          <w:sz w:val="22"/>
        </w:rPr>
        <w:t>Que se trate de información registrada en cualquier soporte documental, que en ejercicio de las atribuciones conferidas, sea administrada por los Sujetos Obligados, y</w:t>
      </w:r>
    </w:p>
    <w:p w14:paraId="4D2269F4"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p>
    <w:p w14:paraId="3C47A5A9" w14:textId="77777777" w:rsidR="002A027B" w:rsidRPr="001A29A4" w:rsidRDefault="002A027B" w:rsidP="001A29A4">
      <w:pPr>
        <w:pStyle w:val="Prrafodelista"/>
        <w:spacing w:line="360" w:lineRule="auto"/>
        <w:ind w:left="567" w:right="567"/>
        <w:jc w:val="both"/>
        <w:rPr>
          <w:rFonts w:ascii="Palatino Linotype" w:eastAsia="MS Mincho" w:hAnsi="Palatino Linotype" w:cs="Times New Roman"/>
          <w:i/>
          <w:sz w:val="22"/>
        </w:rPr>
      </w:pPr>
      <w:r w:rsidRPr="001A29A4">
        <w:rPr>
          <w:rFonts w:ascii="Palatino Linotype" w:eastAsia="MS Mincho" w:hAnsi="Palatino Linotype" w:cs="Times New Roman"/>
          <w:i/>
          <w:sz w:val="22"/>
        </w:rPr>
        <w:t>Que se trate de información registrada en cualquier soporte documental, que en ejercicio de las atribuciones conferidas, se encuentre en posesión de los Sujetos Obligados.”</w:t>
      </w:r>
    </w:p>
    <w:p w14:paraId="23AB0D14" w14:textId="77777777" w:rsidR="002A027B" w:rsidRPr="00A238C2" w:rsidRDefault="002A027B" w:rsidP="002A027B">
      <w:pPr>
        <w:pStyle w:val="Prrafodelista"/>
        <w:spacing w:line="360" w:lineRule="auto"/>
        <w:ind w:left="0"/>
        <w:rPr>
          <w:rFonts w:ascii="Palatino Linotype" w:eastAsia="MS Mincho" w:hAnsi="Palatino Linotype" w:cs="Times New Roman"/>
          <w:i/>
        </w:rPr>
      </w:pPr>
    </w:p>
    <w:p w14:paraId="74217315" w14:textId="77777777" w:rsidR="002A027B" w:rsidRPr="00A238C2" w:rsidRDefault="002A027B" w:rsidP="002A027B">
      <w:pPr>
        <w:pStyle w:val="Prrafodelista"/>
        <w:numPr>
          <w:ilvl w:val="0"/>
          <w:numId w:val="1"/>
        </w:numPr>
        <w:spacing w:line="360" w:lineRule="auto"/>
        <w:ind w:left="0" w:firstLine="0"/>
        <w:jc w:val="both"/>
        <w:rPr>
          <w:rFonts w:ascii="Palatino Linotype" w:eastAsia="MS Mincho" w:hAnsi="Palatino Linotype" w:cs="Times New Roman"/>
        </w:rPr>
      </w:pPr>
      <w:r w:rsidRPr="00A238C2">
        <w:rPr>
          <w:rFonts w:ascii="Palatino Linotype" w:eastAsia="MS Mincho" w:hAnsi="Palatino Linotype" w:cs="Times New Roman"/>
        </w:rPr>
        <w:t xml:space="preserve">De 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 </w:t>
      </w:r>
    </w:p>
    <w:p w14:paraId="1C0BD9CC" w14:textId="77777777" w:rsidR="006B0428" w:rsidRPr="00A238C2" w:rsidRDefault="006B0428" w:rsidP="002A027B">
      <w:pPr>
        <w:numPr>
          <w:ilvl w:val="0"/>
          <w:numId w:val="1"/>
        </w:numPr>
        <w:spacing w:line="360" w:lineRule="auto"/>
        <w:ind w:left="0" w:firstLine="0"/>
        <w:contextualSpacing/>
        <w:jc w:val="both"/>
        <w:rPr>
          <w:rFonts w:ascii="Palatino Linotype" w:eastAsia="Calibri" w:hAnsi="Palatino Linotype" w:cs="Arial"/>
        </w:rPr>
      </w:pPr>
      <w:r w:rsidRPr="00A238C2">
        <w:rPr>
          <w:rFonts w:ascii="Palatino Linotype" w:hAnsi="Palatino Linotype" w:cs="Arial"/>
          <w:color w:val="222222"/>
        </w:rPr>
        <w:lastRenderedPageBreak/>
        <w:t xml:space="preserve">Por lo anteriormente expuesto y fundado, este </w:t>
      </w:r>
      <w:r w:rsidRPr="00A238C2">
        <w:rPr>
          <w:rFonts w:ascii="Palatino Linotype" w:hAnsi="Palatino Linotype" w:cs="Arial"/>
          <w:b/>
          <w:bCs/>
          <w:color w:val="222222"/>
        </w:rPr>
        <w:t>ÓRGANO GARANTE</w:t>
      </w:r>
      <w:r w:rsidRPr="00A238C2">
        <w:rPr>
          <w:rFonts w:ascii="Palatino Linotype" w:hAnsi="Palatino Linotype" w:cs="Arial"/>
          <w:color w:val="222222"/>
        </w:rPr>
        <w:t xml:space="preserve"> emite los siguientes:</w:t>
      </w:r>
    </w:p>
    <w:p w14:paraId="52AAF95C" w14:textId="77777777" w:rsidR="00AC5C39" w:rsidRPr="00A238C2" w:rsidRDefault="00AC5C39" w:rsidP="002A027B">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A238C2">
        <w:rPr>
          <w:rFonts w:ascii="Palatino Linotype" w:eastAsiaTheme="majorEastAsia" w:hAnsi="Palatino Linotype" w:cstheme="majorBidi"/>
          <w:b/>
          <w:color w:val="000000" w:themeColor="text1"/>
          <w:lang w:eastAsia="en-US"/>
        </w:rPr>
        <w:t>R E S O L U T I V O S</w:t>
      </w:r>
    </w:p>
    <w:p w14:paraId="042D2B13" w14:textId="77777777" w:rsidR="00AC5C39" w:rsidRPr="00A238C2" w:rsidRDefault="00AC5C39" w:rsidP="002A027B">
      <w:pPr>
        <w:spacing w:line="360" w:lineRule="auto"/>
        <w:ind w:right="48"/>
        <w:jc w:val="both"/>
        <w:rPr>
          <w:rFonts w:ascii="Palatino Linotype" w:hAnsi="Palatino Linotype" w:cs="Arial"/>
          <w:b/>
        </w:rPr>
      </w:pPr>
    </w:p>
    <w:p w14:paraId="28DE6322" w14:textId="7BA12C8D" w:rsidR="00F9477D" w:rsidRPr="00A238C2" w:rsidRDefault="00F9477D" w:rsidP="002A027B">
      <w:pPr>
        <w:spacing w:line="360" w:lineRule="auto"/>
        <w:jc w:val="both"/>
        <w:rPr>
          <w:rFonts w:ascii="Palatino Linotype" w:eastAsia="Times New Roman" w:hAnsi="Palatino Linotype" w:cs="Arial"/>
          <w:lang w:val="es-ES"/>
        </w:rPr>
      </w:pPr>
      <w:r w:rsidRPr="00A238C2">
        <w:rPr>
          <w:rFonts w:ascii="Palatino Linotype" w:eastAsia="Times New Roman" w:hAnsi="Palatino Linotype" w:cs="Arial"/>
          <w:b/>
        </w:rPr>
        <w:t>PRIMERO</w:t>
      </w:r>
      <w:r w:rsidRPr="00A238C2">
        <w:rPr>
          <w:rFonts w:ascii="Palatino Linotype" w:eastAsia="Times New Roman" w:hAnsi="Palatino Linotype" w:cs="Arial"/>
          <w:lang w:val="es-ES"/>
        </w:rPr>
        <w:t>. Resultan</w:t>
      </w:r>
      <w:r w:rsidR="00192968" w:rsidRPr="00A238C2">
        <w:rPr>
          <w:rFonts w:ascii="Palatino Linotype" w:eastAsia="Times New Roman" w:hAnsi="Palatino Linotype" w:cs="Arial"/>
          <w:lang w:val="es-ES"/>
        </w:rPr>
        <w:t xml:space="preserve"> </w:t>
      </w:r>
      <w:r w:rsidRPr="00A238C2">
        <w:rPr>
          <w:rFonts w:ascii="Palatino Linotype" w:eastAsia="Times New Roman" w:hAnsi="Palatino Linotype" w:cs="Arial"/>
          <w:lang w:val="es-ES"/>
        </w:rPr>
        <w:t xml:space="preserve">fundadas las razones o motivos de inconformidad hechos valer en el Recurso de Revisión </w:t>
      </w:r>
      <w:r w:rsidR="002A027B" w:rsidRPr="00A238C2">
        <w:rPr>
          <w:rFonts w:ascii="Palatino Linotype" w:hAnsi="Palatino Linotype" w:cs="Arial"/>
          <w:b/>
          <w:bCs/>
          <w:lang w:eastAsia="es-MX"/>
        </w:rPr>
        <w:t>03708</w:t>
      </w:r>
      <w:r w:rsidR="00F17CD9" w:rsidRPr="00A238C2">
        <w:rPr>
          <w:rFonts w:ascii="Palatino Linotype" w:hAnsi="Palatino Linotype" w:cs="Arial"/>
          <w:b/>
          <w:bCs/>
          <w:lang w:eastAsia="es-MX"/>
        </w:rPr>
        <w:t>/INFOEM/IP/RR/2024</w:t>
      </w:r>
      <w:r w:rsidRPr="00A238C2">
        <w:rPr>
          <w:rFonts w:ascii="Palatino Linotype" w:hAnsi="Palatino Linotype"/>
        </w:rPr>
        <w:t>,</w:t>
      </w:r>
      <w:r w:rsidRPr="00A238C2">
        <w:rPr>
          <w:rFonts w:ascii="Palatino Linotype" w:eastAsia="Times New Roman" w:hAnsi="Palatino Linotype" w:cs="Arial"/>
          <w:b/>
          <w:lang w:val="es-ES"/>
        </w:rPr>
        <w:t xml:space="preserve"> </w:t>
      </w:r>
      <w:r w:rsidRPr="00A238C2">
        <w:rPr>
          <w:rFonts w:ascii="Palatino Linotype" w:eastAsia="Times New Roman" w:hAnsi="Palatino Linotype" w:cs="Arial"/>
          <w:lang w:val="es-ES"/>
        </w:rPr>
        <w:t xml:space="preserve">en términos del Considerando </w:t>
      </w:r>
      <w:r w:rsidRPr="00A238C2">
        <w:rPr>
          <w:rFonts w:ascii="Palatino Linotype" w:eastAsia="Times New Roman" w:hAnsi="Palatino Linotype" w:cs="Arial"/>
          <w:b/>
          <w:lang w:val="es-ES"/>
        </w:rPr>
        <w:t>Cuarto</w:t>
      </w:r>
      <w:r w:rsidR="003B7DE2" w:rsidRPr="00A238C2">
        <w:rPr>
          <w:rFonts w:ascii="Palatino Linotype" w:eastAsia="Times New Roman" w:hAnsi="Palatino Linotype" w:cs="Arial"/>
          <w:b/>
          <w:lang w:val="es-ES"/>
        </w:rPr>
        <w:t xml:space="preserve"> </w:t>
      </w:r>
      <w:r w:rsidR="003B7DE2" w:rsidRPr="00A238C2">
        <w:rPr>
          <w:rFonts w:ascii="Palatino Linotype" w:eastAsia="Times New Roman" w:hAnsi="Palatino Linotype" w:cs="Arial"/>
          <w:lang w:val="es-ES"/>
        </w:rPr>
        <w:t>de la presente R</w:t>
      </w:r>
      <w:r w:rsidRPr="00A238C2">
        <w:rPr>
          <w:rFonts w:ascii="Palatino Linotype" w:eastAsia="Times New Roman" w:hAnsi="Palatino Linotype" w:cs="Arial"/>
          <w:lang w:val="es-ES"/>
        </w:rPr>
        <w:t xml:space="preserve">esolución. </w:t>
      </w:r>
    </w:p>
    <w:p w14:paraId="768DDA94" w14:textId="77777777" w:rsidR="00F9477D" w:rsidRPr="00A238C2" w:rsidRDefault="00F9477D" w:rsidP="002A027B">
      <w:pPr>
        <w:spacing w:line="360" w:lineRule="auto"/>
        <w:jc w:val="both"/>
        <w:rPr>
          <w:rFonts w:ascii="Palatino Linotype" w:eastAsia="Times New Roman" w:hAnsi="Palatino Linotype" w:cs="Arial"/>
          <w:lang w:val="es-ES"/>
        </w:rPr>
      </w:pPr>
    </w:p>
    <w:p w14:paraId="3B0747B1" w14:textId="723A63EA" w:rsidR="00F9477D" w:rsidRPr="00A238C2" w:rsidRDefault="00F9477D" w:rsidP="002A027B">
      <w:pPr>
        <w:spacing w:line="360" w:lineRule="auto"/>
        <w:jc w:val="both"/>
        <w:rPr>
          <w:rFonts w:ascii="Palatino Linotype" w:hAnsi="Palatino Linotype" w:cs="Arial"/>
        </w:rPr>
      </w:pPr>
      <w:bookmarkStart w:id="151" w:name="_Toc503891607"/>
      <w:bookmarkStart w:id="152" w:name="_Toc511647757"/>
      <w:bookmarkStart w:id="153" w:name="_Toc511647818"/>
      <w:bookmarkStart w:id="154" w:name="_Toc477891768"/>
      <w:bookmarkStart w:id="155" w:name="_Toc477891858"/>
      <w:bookmarkStart w:id="156" w:name="_Toc481576259"/>
      <w:bookmarkStart w:id="157" w:name="_Toc492590391"/>
      <w:bookmarkStart w:id="158" w:name="_Toc462653937"/>
      <w:bookmarkStart w:id="159" w:name="_Toc453696502"/>
      <w:bookmarkStart w:id="160" w:name="_Toc454301155"/>
      <w:r w:rsidRPr="00A238C2">
        <w:rPr>
          <w:rFonts w:ascii="Palatino Linotype" w:eastAsia="Times New Roman" w:hAnsi="Palatino Linotype" w:cs="Times New Roman"/>
          <w:b/>
        </w:rPr>
        <w:t>SEGUNDO.</w:t>
      </w:r>
      <w:bookmarkEnd w:id="151"/>
      <w:bookmarkEnd w:id="152"/>
      <w:bookmarkEnd w:id="153"/>
      <w:r w:rsidRPr="00A238C2">
        <w:rPr>
          <w:rFonts w:ascii="Palatino Linotype" w:eastAsia="Times New Roman" w:hAnsi="Palatino Linotype" w:cs="Times New Roman"/>
          <w:b/>
        </w:rPr>
        <w:t xml:space="preserve"> </w:t>
      </w:r>
      <w:bookmarkEnd w:id="154"/>
      <w:bookmarkEnd w:id="155"/>
      <w:bookmarkEnd w:id="156"/>
      <w:bookmarkEnd w:id="157"/>
      <w:bookmarkEnd w:id="158"/>
      <w:bookmarkEnd w:id="159"/>
      <w:bookmarkEnd w:id="160"/>
      <w:r w:rsidRPr="00A238C2">
        <w:rPr>
          <w:rFonts w:ascii="Palatino Linotype" w:eastAsia="MS Mincho" w:hAnsi="Palatino Linotype" w:cs="Times New Roman"/>
          <w:color w:val="000000" w:themeColor="text1"/>
        </w:rPr>
        <w:t xml:space="preserve">Se </w:t>
      </w:r>
      <w:r w:rsidR="00F17CD9" w:rsidRPr="00A238C2">
        <w:rPr>
          <w:rFonts w:ascii="Palatino Linotype" w:eastAsia="MS Mincho" w:hAnsi="Palatino Linotype" w:cs="Times New Roman"/>
          <w:b/>
          <w:color w:val="000000" w:themeColor="text1"/>
        </w:rPr>
        <w:t>REVO</w:t>
      </w:r>
      <w:r w:rsidRPr="00A238C2">
        <w:rPr>
          <w:rFonts w:ascii="Palatino Linotype" w:eastAsia="MS Mincho" w:hAnsi="Palatino Linotype" w:cs="Times New Roman"/>
          <w:b/>
          <w:color w:val="000000" w:themeColor="text1"/>
        </w:rPr>
        <w:t xml:space="preserve">CA </w:t>
      </w:r>
      <w:r w:rsidR="00650FBD">
        <w:rPr>
          <w:rFonts w:ascii="Palatino Linotype" w:eastAsia="MS Mincho" w:hAnsi="Palatino Linotype" w:cs="Times New Roman"/>
          <w:color w:val="000000" w:themeColor="text1"/>
        </w:rPr>
        <w:t>la respuesta emitida por la</w:t>
      </w:r>
      <w:r w:rsidRPr="00A238C2">
        <w:rPr>
          <w:rFonts w:ascii="Palatino Linotype" w:eastAsia="MS Mincho" w:hAnsi="Palatino Linotype" w:cs="Times New Roman"/>
          <w:color w:val="000000" w:themeColor="text1"/>
        </w:rPr>
        <w:t xml:space="preserve"> </w:t>
      </w:r>
      <w:r w:rsidR="002A027B" w:rsidRPr="00A238C2">
        <w:rPr>
          <w:rFonts w:ascii="Palatino Linotype" w:hAnsi="Palatino Linotype"/>
          <w:b/>
          <w:bCs/>
          <w:color w:val="000000"/>
        </w:rPr>
        <w:t>Secretaría de Cultura y Turismo</w:t>
      </w:r>
      <w:r w:rsidRPr="00A238C2">
        <w:rPr>
          <w:rFonts w:ascii="Palatino Linotype" w:eastAsia="MS Mincho" w:hAnsi="Palatino Linotype" w:cs="Times New Roman"/>
          <w:b/>
          <w:color w:val="000000" w:themeColor="text1"/>
        </w:rPr>
        <w:t xml:space="preserve"> </w:t>
      </w:r>
      <w:r w:rsidRPr="00A238C2">
        <w:rPr>
          <w:rFonts w:ascii="Palatino Linotype" w:eastAsia="MS Mincho" w:hAnsi="Palatino Linotype" w:cs="Times New Roman"/>
          <w:color w:val="000000" w:themeColor="text1"/>
        </w:rPr>
        <w:t xml:space="preserve">y se </w:t>
      </w:r>
      <w:r w:rsidRPr="00A238C2">
        <w:rPr>
          <w:rFonts w:ascii="Palatino Linotype" w:eastAsia="MS Mincho" w:hAnsi="Palatino Linotype" w:cs="Times New Roman"/>
          <w:b/>
          <w:color w:val="000000" w:themeColor="text1"/>
        </w:rPr>
        <w:t>ORDENA</w:t>
      </w:r>
      <w:r w:rsidRPr="00A238C2">
        <w:rPr>
          <w:rFonts w:ascii="Palatino Linotype" w:eastAsia="MS Mincho" w:hAnsi="Palatino Linotype" w:cs="Times New Roman"/>
          <w:color w:val="000000" w:themeColor="text1"/>
        </w:rPr>
        <w:t xml:space="preserve"> </w:t>
      </w:r>
      <w:bookmarkStart w:id="161" w:name="_Toc503891610"/>
      <w:bookmarkStart w:id="162" w:name="_Toc453696503"/>
      <w:bookmarkStart w:id="163" w:name="_Toc454301156"/>
      <w:bookmarkStart w:id="164" w:name="_Toc462653938"/>
      <w:bookmarkStart w:id="165" w:name="_Toc477891769"/>
      <w:bookmarkStart w:id="166" w:name="_Toc477891859"/>
      <w:bookmarkStart w:id="167" w:name="_Toc481576260"/>
      <w:bookmarkStart w:id="168" w:name="_Toc492590392"/>
      <w:r w:rsidRPr="00A238C2">
        <w:rPr>
          <w:rFonts w:ascii="Palatino Linotype" w:eastAsia="MS Mincho" w:hAnsi="Palatino Linotype" w:cs="Times New Roman"/>
          <w:color w:val="000000" w:themeColor="text1"/>
        </w:rPr>
        <w:t>entregar a través del Sistema de Acceso a la Información Mexiquense (SAIMEX), la siguiente información</w:t>
      </w:r>
      <w:r w:rsidR="00F17CD9" w:rsidRPr="00A238C2">
        <w:rPr>
          <w:rFonts w:ascii="Palatino Linotype" w:eastAsia="MS Mincho" w:hAnsi="Palatino Linotype" w:cs="Times New Roman"/>
          <w:color w:val="000000" w:themeColor="text1"/>
        </w:rPr>
        <w:t xml:space="preserve"> </w:t>
      </w:r>
      <w:r w:rsidR="003B7DE2" w:rsidRPr="00A238C2">
        <w:rPr>
          <w:rFonts w:ascii="Palatino Linotype" w:eastAsia="MS Mincho" w:hAnsi="Palatino Linotype" w:cs="Times New Roman"/>
          <w:color w:val="000000" w:themeColor="text1"/>
        </w:rPr>
        <w:t xml:space="preserve">al </w:t>
      </w:r>
      <w:r w:rsidR="004E7BFD" w:rsidRPr="00A238C2">
        <w:rPr>
          <w:rFonts w:ascii="Palatino Linotype" w:eastAsia="MS Mincho" w:hAnsi="Palatino Linotype" w:cs="Times New Roman"/>
          <w:color w:val="000000" w:themeColor="text1"/>
        </w:rPr>
        <w:t>27</w:t>
      </w:r>
      <w:r w:rsidR="003B7DE2" w:rsidRPr="00A238C2">
        <w:rPr>
          <w:rFonts w:ascii="Palatino Linotype" w:eastAsia="MS Mincho" w:hAnsi="Palatino Linotype" w:cs="Times New Roman"/>
          <w:b/>
          <w:color w:val="000000" w:themeColor="text1"/>
        </w:rPr>
        <w:t xml:space="preserve"> </w:t>
      </w:r>
      <w:r w:rsidR="003B7DE2" w:rsidRPr="00A238C2">
        <w:rPr>
          <w:rFonts w:ascii="Palatino Linotype" w:eastAsia="MS Mincho" w:hAnsi="Palatino Linotype" w:cs="Times New Roman"/>
          <w:color w:val="000000" w:themeColor="text1"/>
        </w:rPr>
        <w:t xml:space="preserve">de </w:t>
      </w:r>
      <w:r w:rsidR="004E7BFD" w:rsidRPr="00A238C2">
        <w:rPr>
          <w:rFonts w:ascii="Palatino Linotype" w:eastAsia="MS Mincho" w:hAnsi="Palatino Linotype" w:cs="Times New Roman"/>
          <w:color w:val="000000" w:themeColor="text1"/>
        </w:rPr>
        <w:t>mayo</w:t>
      </w:r>
      <w:r w:rsidR="003B7DE2" w:rsidRPr="00A238C2">
        <w:rPr>
          <w:rFonts w:ascii="Palatino Linotype" w:eastAsia="MS Mincho" w:hAnsi="Palatino Linotype" w:cs="Times New Roman"/>
          <w:color w:val="000000" w:themeColor="text1"/>
        </w:rPr>
        <w:t xml:space="preserve"> de 2024</w:t>
      </w:r>
      <w:r w:rsidRPr="00A238C2">
        <w:rPr>
          <w:rFonts w:ascii="Palatino Linotype" w:hAnsi="Palatino Linotype" w:cs="Arial"/>
        </w:rPr>
        <w:t>:</w:t>
      </w:r>
    </w:p>
    <w:p w14:paraId="731E96FB" w14:textId="77777777" w:rsidR="00F9477D" w:rsidRPr="00A238C2" w:rsidRDefault="00F9477D" w:rsidP="002A027B">
      <w:pPr>
        <w:spacing w:line="360" w:lineRule="auto"/>
        <w:jc w:val="both"/>
        <w:rPr>
          <w:rFonts w:ascii="Palatino Linotype" w:hAnsi="Palatino Linotype" w:cs="Arial"/>
          <w:b/>
        </w:rPr>
      </w:pPr>
    </w:p>
    <w:p w14:paraId="022E8889" w14:textId="6D7E9D8F" w:rsidR="003B7DE2" w:rsidRPr="00A238C2" w:rsidRDefault="004E7BFD" w:rsidP="004E7BFD">
      <w:pPr>
        <w:pStyle w:val="Prrafodelista"/>
        <w:numPr>
          <w:ilvl w:val="0"/>
          <w:numId w:val="34"/>
        </w:numPr>
        <w:spacing w:line="360" w:lineRule="auto"/>
        <w:ind w:left="993" w:right="474"/>
        <w:jc w:val="both"/>
        <w:rPr>
          <w:rFonts w:ascii="Palatino Linotype" w:hAnsi="Palatino Linotype"/>
          <w:b/>
        </w:rPr>
      </w:pPr>
      <w:r w:rsidRPr="00A238C2">
        <w:rPr>
          <w:rFonts w:ascii="Palatino Linotype" w:hAnsi="Palatino Linotype"/>
          <w:b/>
        </w:rPr>
        <w:t xml:space="preserve">Partitura de Rimsky-Korsakov. Obertura La </w:t>
      </w:r>
      <w:r w:rsidR="008D4666" w:rsidRPr="00A238C2">
        <w:rPr>
          <w:rFonts w:ascii="Palatino Linotype" w:hAnsi="Palatino Linotype"/>
          <w:b/>
        </w:rPr>
        <w:t>G</w:t>
      </w:r>
      <w:r w:rsidRPr="00A238C2">
        <w:rPr>
          <w:rFonts w:ascii="Palatino Linotype" w:hAnsi="Palatino Linotype"/>
          <w:b/>
        </w:rPr>
        <w:t xml:space="preserve">ran Pascua Rusa, Op. 36. </w:t>
      </w:r>
      <w:r w:rsidR="00D11C79" w:rsidRPr="00A238C2">
        <w:rPr>
          <w:rFonts w:ascii="Palatino Linotype" w:hAnsi="Palatino Linotype"/>
          <w:b/>
        </w:rPr>
        <w:t>i</w:t>
      </w:r>
      <w:r w:rsidRPr="00A238C2">
        <w:rPr>
          <w:rFonts w:ascii="Palatino Linotype" w:hAnsi="Palatino Linotype"/>
          <w:b/>
        </w:rPr>
        <w:t>nterpretada por la Orquesta Sinfónica del Estado de México.</w:t>
      </w:r>
    </w:p>
    <w:p w14:paraId="09A9F2CB" w14:textId="77777777" w:rsidR="006548AD" w:rsidRPr="00A238C2" w:rsidRDefault="006548AD" w:rsidP="002A027B">
      <w:pPr>
        <w:spacing w:line="360" w:lineRule="auto"/>
        <w:ind w:right="284"/>
        <w:jc w:val="both"/>
        <w:rPr>
          <w:rFonts w:ascii="Palatino Linotype" w:hAnsi="Palatino Linotype" w:cs="Arial"/>
          <w:b/>
        </w:rPr>
      </w:pPr>
    </w:p>
    <w:bookmarkEnd w:id="161"/>
    <w:bookmarkEnd w:id="162"/>
    <w:bookmarkEnd w:id="163"/>
    <w:bookmarkEnd w:id="164"/>
    <w:bookmarkEnd w:id="165"/>
    <w:bookmarkEnd w:id="166"/>
    <w:bookmarkEnd w:id="167"/>
    <w:bookmarkEnd w:id="168"/>
    <w:p w14:paraId="3B64C3A4" w14:textId="77777777" w:rsidR="00F9477D" w:rsidRPr="00A238C2" w:rsidRDefault="00F9477D" w:rsidP="002A027B">
      <w:pPr>
        <w:spacing w:line="360" w:lineRule="auto"/>
        <w:jc w:val="both"/>
        <w:rPr>
          <w:rFonts w:ascii="Palatino Linotype" w:eastAsia="Times New Roman" w:hAnsi="Palatino Linotype" w:cs="Times New Roman"/>
          <w:lang w:val="es-MX"/>
        </w:rPr>
      </w:pPr>
      <w:r w:rsidRPr="00A238C2">
        <w:rPr>
          <w:rFonts w:ascii="Palatino Linotype" w:eastAsia="Times New Roman" w:hAnsi="Palatino Linotype" w:cs="Arial"/>
          <w:b/>
          <w:bCs/>
          <w:lang w:val="es-MX"/>
        </w:rPr>
        <w:t>TERCERO</w:t>
      </w:r>
      <w:r w:rsidRPr="00A238C2">
        <w:rPr>
          <w:rFonts w:ascii="Palatino Linotype" w:eastAsia="Times New Roman" w:hAnsi="Palatino Linotype" w:cs="Arial"/>
          <w:b/>
          <w:lang w:val="es-MX"/>
        </w:rPr>
        <w:t>.</w:t>
      </w:r>
      <w:r w:rsidRPr="00A238C2">
        <w:rPr>
          <w:rFonts w:ascii="Palatino Linotype" w:eastAsia="Palatino Linotype" w:hAnsi="Palatino Linotype" w:cs="Palatino Linotype"/>
          <w:b/>
          <w:lang w:val="es-MX"/>
        </w:rPr>
        <w:t xml:space="preserve"> </w:t>
      </w:r>
      <w:r w:rsidRPr="00A238C2">
        <w:rPr>
          <w:rFonts w:ascii="Palatino Linotype" w:eastAsia="Times New Roman" w:hAnsi="Palatino Linotype" w:cs="Times New Roman"/>
          <w:b/>
          <w:lang w:val="es-MX"/>
        </w:rPr>
        <w:t xml:space="preserve">Notifíquese </w:t>
      </w:r>
      <w:r w:rsidRPr="00A238C2">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1A29A4">
        <w:rPr>
          <w:rFonts w:ascii="Palatino Linotype" w:eastAsia="Times New Roman" w:hAnsi="Palatino Linotype" w:cs="Times New Roman"/>
          <w:b/>
          <w:lang w:val="es-MX"/>
        </w:rPr>
        <w:t xml:space="preserve">dé cumplimiento a lo ordenado dentro del plazo de diez días hábiles, </w:t>
      </w:r>
      <w:r w:rsidRPr="00A238C2">
        <w:rPr>
          <w:rFonts w:ascii="Palatino Linotype" w:eastAsia="Times New Roman" w:hAnsi="Palatino Linotype" w:cs="Times New Roman"/>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A238C2">
        <w:rPr>
          <w:rFonts w:ascii="Palatino Linotype" w:eastAsia="Times New Roman" w:hAnsi="Palatino Linotype" w:cs="Times New Roman"/>
          <w:lang w:val="es-MX"/>
        </w:rPr>
        <w:lastRenderedPageBreak/>
        <w:t>y 216 de la Ley  de Transparencia y Acceso a la Información Pública del Estado de México y Municipios.</w:t>
      </w:r>
    </w:p>
    <w:p w14:paraId="23B22CD1" w14:textId="77777777" w:rsidR="00F9477D" w:rsidRPr="00A238C2" w:rsidRDefault="00F9477D" w:rsidP="002A027B">
      <w:pPr>
        <w:spacing w:line="360" w:lineRule="auto"/>
        <w:jc w:val="both"/>
        <w:rPr>
          <w:rFonts w:ascii="Palatino Linotype" w:eastAsia="Times New Roman" w:hAnsi="Palatino Linotype" w:cs="Times New Roman"/>
          <w:lang w:val="es-MX"/>
        </w:rPr>
      </w:pPr>
    </w:p>
    <w:p w14:paraId="056E22C0" w14:textId="15456297" w:rsidR="00F9477D" w:rsidRPr="00A238C2" w:rsidRDefault="00F9477D" w:rsidP="002A027B">
      <w:pPr>
        <w:spacing w:line="360" w:lineRule="auto"/>
        <w:jc w:val="both"/>
        <w:rPr>
          <w:rFonts w:ascii="Palatino Linotype" w:eastAsia="Calibri" w:hAnsi="Palatino Linotype" w:cs="Arial"/>
          <w:bCs/>
        </w:rPr>
      </w:pPr>
      <w:r w:rsidRPr="00A238C2">
        <w:rPr>
          <w:rFonts w:ascii="Palatino Linotype" w:hAnsi="Palatino Linotype" w:cs="Arial"/>
          <w:b/>
        </w:rPr>
        <w:t xml:space="preserve">CUARTO. </w:t>
      </w:r>
      <w:r w:rsidRPr="00A238C2">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4F097D" w:rsidRPr="00A238C2">
        <w:rPr>
          <w:rFonts w:ascii="Palatino Linotype" w:eastAsia="Calibri" w:hAnsi="Palatino Linotype" w:cs="Arial"/>
          <w:b/>
          <w:bCs/>
        </w:rPr>
        <w:t>Sujeto Obligado</w:t>
      </w:r>
      <w:r w:rsidR="004F097D" w:rsidRPr="00A238C2">
        <w:rPr>
          <w:rFonts w:ascii="Palatino Linotype" w:eastAsia="Calibri" w:hAnsi="Palatino Linotype" w:cs="Arial"/>
          <w:bCs/>
        </w:rPr>
        <w:t xml:space="preserve"> </w:t>
      </w:r>
      <w:r w:rsidRPr="00A238C2">
        <w:rPr>
          <w:rFonts w:ascii="Palatino Linotype" w:eastAsia="Calibri" w:hAnsi="Palatino Linotype" w:cs="Arial"/>
          <w:bCs/>
        </w:rPr>
        <w:t xml:space="preserve">de manera fundada y motivada, podrá solicitar una ampliación de plazo para el cumplimiento de la presente </w:t>
      </w:r>
      <w:r w:rsidR="004E7BFD" w:rsidRPr="00A238C2">
        <w:rPr>
          <w:rFonts w:ascii="Palatino Linotype" w:eastAsia="Calibri" w:hAnsi="Palatino Linotype" w:cs="Arial"/>
          <w:bCs/>
        </w:rPr>
        <w:t>R</w:t>
      </w:r>
      <w:r w:rsidRPr="00A238C2">
        <w:rPr>
          <w:rFonts w:ascii="Palatino Linotype" w:eastAsia="Calibri" w:hAnsi="Palatino Linotype" w:cs="Arial"/>
          <w:bCs/>
        </w:rPr>
        <w:t>esolución.</w:t>
      </w:r>
    </w:p>
    <w:p w14:paraId="6D37C48A" w14:textId="77777777" w:rsidR="00F9477D" w:rsidRPr="00A238C2" w:rsidRDefault="00F9477D" w:rsidP="002A027B">
      <w:pPr>
        <w:spacing w:line="360" w:lineRule="auto"/>
        <w:jc w:val="both"/>
        <w:rPr>
          <w:rFonts w:ascii="Palatino Linotype" w:eastAsia="Calibri" w:hAnsi="Palatino Linotype" w:cs="Arial"/>
          <w:bCs/>
        </w:rPr>
      </w:pPr>
    </w:p>
    <w:p w14:paraId="0F7BC318" w14:textId="137AD2B1" w:rsidR="00F9477D" w:rsidRPr="00A238C2" w:rsidRDefault="00F9477D" w:rsidP="002A027B">
      <w:pPr>
        <w:tabs>
          <w:tab w:val="left" w:pos="8080"/>
        </w:tabs>
        <w:spacing w:line="360" w:lineRule="auto"/>
        <w:ind w:right="49"/>
        <w:jc w:val="both"/>
        <w:rPr>
          <w:rFonts w:ascii="Palatino Linotype" w:eastAsia="Times New Roman" w:hAnsi="Palatino Linotype" w:cs="Times New Roman"/>
          <w:lang w:val="es-ES" w:eastAsia="es-MX"/>
        </w:rPr>
      </w:pPr>
      <w:bookmarkStart w:id="169" w:name="_Toc492590393"/>
      <w:bookmarkStart w:id="170" w:name="_Toc503891611"/>
      <w:bookmarkStart w:id="171" w:name="_Toc511647759"/>
      <w:bookmarkStart w:id="172" w:name="_Toc511647820"/>
      <w:r w:rsidRPr="00A238C2">
        <w:rPr>
          <w:rFonts w:ascii="Palatino Linotype" w:eastAsia="Times New Roman" w:hAnsi="Palatino Linotype" w:cs="Times New Roman"/>
          <w:b/>
        </w:rPr>
        <w:t xml:space="preserve">QUINTO. </w:t>
      </w:r>
      <w:r w:rsidRPr="00A238C2">
        <w:rPr>
          <w:rFonts w:ascii="Palatino Linotype" w:eastAsia="Times New Roman" w:hAnsi="Palatino Linotype" w:cs="Times New Roman"/>
        </w:rPr>
        <w:t>Notifíquese</w:t>
      </w:r>
      <w:bookmarkEnd w:id="169"/>
      <w:bookmarkEnd w:id="170"/>
      <w:bookmarkEnd w:id="171"/>
      <w:bookmarkEnd w:id="172"/>
      <w:r w:rsidRPr="00A238C2">
        <w:rPr>
          <w:rFonts w:ascii="Palatino Linotype" w:eastAsia="Times New Roman" w:hAnsi="Palatino Linotype" w:cs="Times New Roman"/>
        </w:rPr>
        <w:t xml:space="preserve"> </w:t>
      </w:r>
      <w:r w:rsidR="004F097D" w:rsidRPr="00A238C2">
        <w:rPr>
          <w:rFonts w:ascii="Palatino Linotype" w:eastAsia="Times New Roman" w:hAnsi="Palatino Linotype" w:cs="Times New Roman"/>
        </w:rPr>
        <w:t>al Recurrente</w:t>
      </w:r>
      <w:r w:rsidRPr="00A238C2">
        <w:rPr>
          <w:rFonts w:ascii="Palatino Linotype" w:eastAsia="Times New Roman" w:hAnsi="Palatino Linotype" w:cs="Times New Roman"/>
        </w:rPr>
        <w:t xml:space="preserve"> la presente</w:t>
      </w:r>
      <w:r w:rsidRPr="00A238C2">
        <w:rPr>
          <w:rFonts w:ascii="Palatino Linotype" w:eastAsia="Times New Roman" w:hAnsi="Palatino Linotype" w:cs="Times New Roman"/>
          <w:lang w:val="es-ES" w:eastAsia="es-MX"/>
        </w:rPr>
        <w:t xml:space="preserve"> resolución, vía </w:t>
      </w:r>
      <w:r w:rsidRPr="00A238C2">
        <w:rPr>
          <w:rFonts w:ascii="Palatino Linotype" w:eastAsia="Times New Roman" w:hAnsi="Palatino Linotype" w:cs="Times New Roman"/>
          <w:b/>
          <w:lang w:val="es-ES" w:eastAsia="es-MX"/>
        </w:rPr>
        <w:t>SAIMEX</w:t>
      </w:r>
      <w:r w:rsidRPr="00A238C2">
        <w:rPr>
          <w:rFonts w:ascii="Palatino Linotype" w:eastAsia="Times New Roman" w:hAnsi="Palatino Linotype" w:cs="Times New Roman"/>
          <w:lang w:val="es-ES" w:eastAsia="es-MX"/>
        </w:rPr>
        <w:t>.</w:t>
      </w:r>
    </w:p>
    <w:p w14:paraId="4A71FEEB" w14:textId="77777777" w:rsidR="003B7DE2" w:rsidRPr="00A238C2" w:rsidRDefault="003B7DE2" w:rsidP="002A027B">
      <w:pPr>
        <w:tabs>
          <w:tab w:val="left" w:pos="8080"/>
        </w:tabs>
        <w:spacing w:line="360" w:lineRule="auto"/>
        <w:ind w:right="49"/>
        <w:jc w:val="both"/>
        <w:rPr>
          <w:rFonts w:ascii="Palatino Linotype" w:eastAsia="Times New Roman" w:hAnsi="Palatino Linotype" w:cs="Times New Roman"/>
          <w:lang w:val="es-ES" w:eastAsia="es-MX"/>
        </w:rPr>
      </w:pPr>
    </w:p>
    <w:p w14:paraId="5FB003BB" w14:textId="49D8B160" w:rsidR="00F9477D" w:rsidRPr="00A238C2" w:rsidRDefault="00F9477D" w:rsidP="002A027B">
      <w:pPr>
        <w:shd w:val="clear" w:color="auto" w:fill="FFFFFF"/>
        <w:spacing w:line="360" w:lineRule="auto"/>
        <w:jc w:val="both"/>
        <w:rPr>
          <w:rFonts w:ascii="Palatino Linotype" w:eastAsia="Calibri" w:hAnsi="Palatino Linotype"/>
          <w:lang w:val="es-MX" w:eastAsia="en-US"/>
        </w:rPr>
      </w:pPr>
      <w:r w:rsidRPr="00A238C2">
        <w:rPr>
          <w:rFonts w:ascii="Palatino Linotype" w:eastAsia="Calibri" w:hAnsi="Palatino Linotype"/>
          <w:b/>
          <w:lang w:eastAsia="en-US"/>
        </w:rPr>
        <w:t xml:space="preserve">SEXTO. </w:t>
      </w:r>
      <w:r w:rsidR="004F097D" w:rsidRPr="00A238C2">
        <w:rPr>
          <w:rFonts w:ascii="Palatino Linotype" w:eastAsia="Calibri" w:hAnsi="Palatino Linotype"/>
          <w:lang w:eastAsia="en-US"/>
        </w:rPr>
        <w:t>Se hace del conocimiento del</w:t>
      </w:r>
      <w:r w:rsidR="004F097D" w:rsidRPr="00A238C2">
        <w:rPr>
          <w:rFonts w:ascii="Palatino Linotype" w:eastAsia="Calibri" w:hAnsi="Palatino Linotype"/>
          <w:b/>
          <w:lang w:eastAsia="en-US"/>
        </w:rPr>
        <w:t xml:space="preserve"> Recurrente </w:t>
      </w:r>
      <w:r w:rsidRPr="00A238C2">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BC13C14" w14:textId="77777777" w:rsidR="00F231CC" w:rsidRPr="00A238C2" w:rsidRDefault="00F231CC" w:rsidP="002A027B">
      <w:pPr>
        <w:shd w:val="clear" w:color="auto" w:fill="FFFFFF"/>
        <w:spacing w:line="360" w:lineRule="auto"/>
        <w:jc w:val="both"/>
        <w:rPr>
          <w:rFonts w:ascii="Palatino Linotype" w:eastAsia="MS Mincho" w:hAnsi="Palatino Linotype"/>
          <w:lang w:val="es-ES"/>
        </w:rPr>
      </w:pPr>
    </w:p>
    <w:p w14:paraId="0C0603C1" w14:textId="77777777" w:rsidR="00650FBD" w:rsidRPr="003C7186" w:rsidRDefault="00650FBD" w:rsidP="00650FB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14:paraId="3584962A" w14:textId="77777777" w:rsidR="00942616" w:rsidRPr="00A238C2" w:rsidRDefault="00942616" w:rsidP="002A027B">
      <w:pPr>
        <w:spacing w:line="360" w:lineRule="auto"/>
        <w:rPr>
          <w:rFonts w:ascii="Palatino Linotype" w:hAnsi="Palatino Linotype"/>
        </w:rPr>
      </w:pPr>
      <w:bookmarkStart w:id="173" w:name="_GoBack"/>
      <w:bookmarkEnd w:id="173"/>
    </w:p>
    <w:p w14:paraId="3A818EB8" w14:textId="77777777" w:rsidR="00942616" w:rsidRPr="00A238C2" w:rsidRDefault="00942616" w:rsidP="002A027B">
      <w:pPr>
        <w:spacing w:line="360" w:lineRule="auto"/>
        <w:rPr>
          <w:rFonts w:ascii="Palatino Linotype" w:hAnsi="Palatino Linotype"/>
        </w:rPr>
      </w:pPr>
    </w:p>
    <w:p w14:paraId="174CEAEF" w14:textId="77777777" w:rsidR="00942616" w:rsidRPr="00A238C2" w:rsidRDefault="00942616" w:rsidP="002A027B">
      <w:pPr>
        <w:spacing w:line="360" w:lineRule="auto"/>
        <w:rPr>
          <w:rFonts w:ascii="Palatino Linotype" w:hAnsi="Palatino Linotype"/>
        </w:rPr>
      </w:pPr>
    </w:p>
    <w:p w14:paraId="7CDD8E3D" w14:textId="77777777" w:rsidR="00942616" w:rsidRPr="00A238C2" w:rsidRDefault="00942616" w:rsidP="002A027B">
      <w:pPr>
        <w:spacing w:line="360" w:lineRule="auto"/>
        <w:rPr>
          <w:rFonts w:ascii="Palatino Linotype" w:hAnsi="Palatino Linotype"/>
        </w:rPr>
      </w:pPr>
    </w:p>
    <w:p w14:paraId="5AA6BBEF" w14:textId="77777777" w:rsidR="00942616" w:rsidRPr="00A238C2" w:rsidRDefault="00942616" w:rsidP="002A027B">
      <w:pPr>
        <w:spacing w:line="360" w:lineRule="auto"/>
        <w:rPr>
          <w:rFonts w:ascii="Palatino Linotype" w:hAnsi="Palatino Linotype"/>
        </w:rPr>
      </w:pPr>
    </w:p>
    <w:p w14:paraId="4984B0BE" w14:textId="77777777" w:rsidR="00942616" w:rsidRPr="00A238C2" w:rsidRDefault="00942616" w:rsidP="002A027B">
      <w:pPr>
        <w:spacing w:line="360" w:lineRule="auto"/>
        <w:rPr>
          <w:rFonts w:ascii="Palatino Linotype" w:hAnsi="Palatino Linotype"/>
        </w:rPr>
      </w:pPr>
    </w:p>
    <w:p w14:paraId="027D389A" w14:textId="77777777" w:rsidR="00942616" w:rsidRPr="00A238C2" w:rsidRDefault="00942616" w:rsidP="002A027B">
      <w:pPr>
        <w:tabs>
          <w:tab w:val="left" w:pos="3374"/>
        </w:tabs>
        <w:spacing w:line="360" w:lineRule="auto"/>
        <w:rPr>
          <w:rFonts w:ascii="Palatino Linotype" w:hAnsi="Palatino Linotype"/>
        </w:rPr>
      </w:pPr>
      <w:r w:rsidRPr="00A238C2">
        <w:rPr>
          <w:rFonts w:ascii="Palatino Linotype" w:hAnsi="Palatino Linotype"/>
        </w:rPr>
        <w:tab/>
      </w:r>
    </w:p>
    <w:p w14:paraId="18F11BAD" w14:textId="77777777" w:rsidR="00942616" w:rsidRPr="00A238C2" w:rsidRDefault="00942616" w:rsidP="002A027B">
      <w:pPr>
        <w:tabs>
          <w:tab w:val="left" w:pos="3374"/>
        </w:tabs>
        <w:spacing w:line="360" w:lineRule="auto"/>
        <w:rPr>
          <w:rFonts w:ascii="Palatino Linotype" w:hAnsi="Palatino Linotype"/>
        </w:rPr>
      </w:pPr>
    </w:p>
    <w:p w14:paraId="74BF8A5F" w14:textId="77777777" w:rsidR="00942616" w:rsidRPr="00A238C2" w:rsidRDefault="00942616" w:rsidP="002A027B">
      <w:pPr>
        <w:tabs>
          <w:tab w:val="left" w:pos="3374"/>
        </w:tabs>
        <w:spacing w:line="360" w:lineRule="auto"/>
        <w:rPr>
          <w:rFonts w:ascii="Palatino Linotype" w:hAnsi="Palatino Linotype"/>
        </w:rPr>
      </w:pPr>
    </w:p>
    <w:p w14:paraId="732C5D23" w14:textId="77777777" w:rsidR="00942616" w:rsidRPr="00A238C2" w:rsidRDefault="00942616" w:rsidP="002A027B">
      <w:pPr>
        <w:tabs>
          <w:tab w:val="left" w:pos="3374"/>
        </w:tabs>
        <w:spacing w:line="360" w:lineRule="auto"/>
        <w:rPr>
          <w:rFonts w:ascii="Palatino Linotype" w:hAnsi="Palatino Linotype"/>
        </w:rPr>
      </w:pPr>
    </w:p>
    <w:p w14:paraId="07FE0706" w14:textId="77777777" w:rsidR="00942616" w:rsidRPr="00A238C2" w:rsidRDefault="00942616" w:rsidP="002A027B">
      <w:pPr>
        <w:tabs>
          <w:tab w:val="left" w:pos="3374"/>
        </w:tabs>
        <w:spacing w:line="360" w:lineRule="auto"/>
        <w:rPr>
          <w:rFonts w:ascii="Palatino Linotype" w:hAnsi="Palatino Linotype"/>
        </w:rPr>
      </w:pPr>
    </w:p>
    <w:p w14:paraId="376015AC" w14:textId="77777777" w:rsidR="00942616" w:rsidRPr="00A238C2" w:rsidRDefault="00942616" w:rsidP="002A027B">
      <w:pPr>
        <w:tabs>
          <w:tab w:val="left" w:pos="3374"/>
        </w:tabs>
        <w:spacing w:line="360" w:lineRule="auto"/>
        <w:rPr>
          <w:rFonts w:ascii="Palatino Linotype" w:hAnsi="Palatino Linotype"/>
        </w:rPr>
      </w:pPr>
    </w:p>
    <w:p w14:paraId="7C2C2C91" w14:textId="77777777" w:rsidR="00942616" w:rsidRPr="00A238C2" w:rsidRDefault="00942616" w:rsidP="002A027B">
      <w:pPr>
        <w:tabs>
          <w:tab w:val="left" w:pos="3374"/>
        </w:tabs>
        <w:spacing w:line="360" w:lineRule="auto"/>
        <w:rPr>
          <w:rFonts w:ascii="Palatino Linotype" w:hAnsi="Palatino Linotype"/>
        </w:rPr>
      </w:pPr>
    </w:p>
    <w:p w14:paraId="45B6A2A6" w14:textId="77777777" w:rsidR="00942616" w:rsidRPr="00A238C2" w:rsidRDefault="00942616" w:rsidP="002A027B">
      <w:pPr>
        <w:tabs>
          <w:tab w:val="left" w:pos="3374"/>
        </w:tabs>
        <w:spacing w:line="360" w:lineRule="auto"/>
        <w:rPr>
          <w:rFonts w:ascii="Palatino Linotype" w:hAnsi="Palatino Linotype"/>
        </w:rPr>
      </w:pPr>
    </w:p>
    <w:p w14:paraId="0A8A8A68" w14:textId="77777777" w:rsidR="00942616" w:rsidRPr="00A238C2" w:rsidRDefault="00942616" w:rsidP="002A027B">
      <w:pPr>
        <w:tabs>
          <w:tab w:val="left" w:pos="3374"/>
        </w:tabs>
        <w:spacing w:line="360" w:lineRule="auto"/>
        <w:rPr>
          <w:rFonts w:ascii="Palatino Linotype" w:hAnsi="Palatino Linotype"/>
        </w:rPr>
      </w:pPr>
    </w:p>
    <w:p w14:paraId="7FEC71EC" w14:textId="77777777" w:rsidR="00942616" w:rsidRPr="00A238C2" w:rsidRDefault="00942616" w:rsidP="002A027B">
      <w:pPr>
        <w:tabs>
          <w:tab w:val="left" w:pos="3374"/>
        </w:tabs>
        <w:spacing w:line="360" w:lineRule="auto"/>
        <w:rPr>
          <w:rFonts w:ascii="Palatino Linotype" w:hAnsi="Palatino Linotype"/>
        </w:rPr>
      </w:pPr>
    </w:p>
    <w:p w14:paraId="24CE3BD5" w14:textId="77777777" w:rsidR="00942616" w:rsidRPr="00A238C2" w:rsidRDefault="00942616" w:rsidP="002A027B">
      <w:pPr>
        <w:tabs>
          <w:tab w:val="left" w:pos="3374"/>
        </w:tabs>
        <w:spacing w:line="360" w:lineRule="auto"/>
        <w:rPr>
          <w:rFonts w:ascii="Palatino Linotype" w:hAnsi="Palatino Linotype"/>
        </w:rPr>
      </w:pPr>
    </w:p>
    <w:sectPr w:rsidR="00942616" w:rsidRPr="00A238C2" w:rsidSect="00A238C2">
      <w:headerReference w:type="even" r:id="rId10"/>
      <w:headerReference w:type="default" r:id="rId11"/>
      <w:footerReference w:type="default" r:id="rId12"/>
      <w:headerReference w:type="first" r:id="rId13"/>
      <w:footerReference w:type="first" r:id="rId14"/>
      <w:pgSz w:w="12240" w:h="15840"/>
      <w:pgMar w:top="2268" w:right="1183"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51B74" w14:textId="77777777" w:rsidR="00666616" w:rsidRDefault="00666616" w:rsidP="00942616">
      <w:r>
        <w:separator/>
      </w:r>
    </w:p>
  </w:endnote>
  <w:endnote w:type="continuationSeparator" w:id="0">
    <w:p w14:paraId="47FE2695" w14:textId="77777777" w:rsidR="00666616" w:rsidRDefault="00666616"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2A027B" w:rsidRPr="002D6DD8" w:rsidRDefault="002A027B"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50FBD">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50FBD">
              <w:rPr>
                <w:rFonts w:ascii="Palatino Linotype" w:hAnsi="Palatino Linotype"/>
                <w:bCs/>
                <w:noProof/>
                <w:sz w:val="20"/>
              </w:rPr>
              <w:t>19</w:t>
            </w:r>
            <w:r>
              <w:rPr>
                <w:rFonts w:ascii="Palatino Linotype" w:hAnsi="Palatino Linotype"/>
                <w:bCs/>
                <w:noProof/>
                <w:sz w:val="20"/>
              </w:rPr>
              <w:fldChar w:fldCharType="end"/>
            </w:r>
          </w:p>
        </w:sdtContent>
      </w:sdt>
    </w:sdtContent>
  </w:sdt>
  <w:p w14:paraId="4B3C5062" w14:textId="77777777" w:rsidR="002A027B" w:rsidRDefault="002A02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2A027B" w:rsidRPr="000B69FA" w:rsidRDefault="002A027B"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50FB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50FBD">
      <w:rPr>
        <w:rFonts w:ascii="Palatino Linotype" w:hAnsi="Palatino Linotype"/>
        <w:bCs/>
        <w:noProof/>
        <w:sz w:val="20"/>
      </w:rPr>
      <w:t>19</w:t>
    </w:r>
    <w:r>
      <w:rPr>
        <w:rFonts w:ascii="Palatino Linotype" w:hAnsi="Palatino Linotype"/>
        <w:bCs/>
        <w:noProof/>
        <w:sz w:val="20"/>
      </w:rPr>
      <w:fldChar w:fldCharType="end"/>
    </w:r>
  </w:p>
  <w:p w14:paraId="5FDB238B" w14:textId="77777777" w:rsidR="002A027B" w:rsidRDefault="002A02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BDE24" w14:textId="77777777" w:rsidR="00666616" w:rsidRDefault="00666616" w:rsidP="00942616">
      <w:r>
        <w:separator/>
      </w:r>
    </w:p>
  </w:footnote>
  <w:footnote w:type="continuationSeparator" w:id="0">
    <w:p w14:paraId="485DA4F3" w14:textId="77777777" w:rsidR="00666616" w:rsidRDefault="00666616" w:rsidP="00942616">
      <w:r>
        <w:continuationSeparator/>
      </w:r>
    </w:p>
  </w:footnote>
  <w:footnote w:id="1">
    <w:p w14:paraId="4248DD06" w14:textId="77777777" w:rsidR="002A027B" w:rsidRDefault="002A027B" w:rsidP="002A027B">
      <w:pPr>
        <w:pStyle w:val="Textonotapie"/>
      </w:pPr>
      <w:r>
        <w:rPr>
          <w:rStyle w:val="Refdenotaalpie"/>
        </w:rPr>
        <w:footnoteRef/>
      </w:r>
      <w:r>
        <w:t xml:space="preserve"> </w:t>
      </w:r>
      <w:r>
        <w:rPr>
          <w:rFonts w:ascii="Palatino Linotype" w:eastAsia="MS Mincho" w:hAnsi="Palatino Linotype" w:cs="Arial"/>
          <w:sz w:val="16"/>
          <w:szCs w:val="16"/>
        </w:rPr>
        <w:t xml:space="preserve">VILLANUEVA VILLANUEVA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2A027B" w:rsidRDefault="00666616">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402" w:type="dxa"/>
      <w:tblCellMar>
        <w:left w:w="70" w:type="dxa"/>
        <w:right w:w="70" w:type="dxa"/>
      </w:tblCellMar>
      <w:tblLook w:val="04A0" w:firstRow="1" w:lastRow="0" w:firstColumn="1" w:lastColumn="0" w:noHBand="0" w:noVBand="1"/>
    </w:tblPr>
    <w:tblGrid>
      <w:gridCol w:w="2976"/>
      <w:gridCol w:w="3543"/>
    </w:tblGrid>
    <w:tr w:rsidR="002A027B" w14:paraId="6291E73B" w14:textId="77777777" w:rsidTr="00A238C2">
      <w:trPr>
        <w:trHeight w:val="227"/>
      </w:trPr>
      <w:tc>
        <w:tcPr>
          <w:tcW w:w="2976" w:type="dxa"/>
          <w:vAlign w:val="center"/>
          <w:hideMark/>
        </w:tcPr>
        <w:p w14:paraId="785910C1" w14:textId="77777777" w:rsidR="002A027B" w:rsidRPr="00674A46" w:rsidRDefault="002A027B"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2DD4A2F" w:rsidR="002A027B" w:rsidRPr="00A238C2" w:rsidRDefault="002A027B" w:rsidP="00A238C2">
          <w:pPr>
            <w:pStyle w:val="Encabezado"/>
            <w:tabs>
              <w:tab w:val="clear" w:pos="4419"/>
            </w:tabs>
            <w:rPr>
              <w:rFonts w:ascii="Palatino Linotype" w:hAnsi="Palatino Linotype"/>
              <w:sz w:val="22"/>
              <w:szCs w:val="22"/>
              <w:highlight w:val="green"/>
            </w:rPr>
          </w:pPr>
          <w:r w:rsidRPr="00A238C2">
            <w:rPr>
              <w:rFonts w:ascii="Palatino Linotype" w:hAnsi="Palatino Linotype" w:cs="Arial"/>
              <w:bCs/>
              <w:sz w:val="22"/>
              <w:szCs w:val="22"/>
              <w:lang w:eastAsia="es-MX"/>
            </w:rPr>
            <w:t>03708/INFOEM/IP/RR/2024</w:t>
          </w:r>
        </w:p>
      </w:tc>
    </w:tr>
    <w:tr w:rsidR="002A027B" w14:paraId="0495579F" w14:textId="77777777" w:rsidTr="00A238C2">
      <w:trPr>
        <w:trHeight w:val="242"/>
      </w:trPr>
      <w:tc>
        <w:tcPr>
          <w:tcW w:w="2976" w:type="dxa"/>
          <w:vAlign w:val="center"/>
          <w:hideMark/>
        </w:tcPr>
        <w:p w14:paraId="1260BD52" w14:textId="77777777" w:rsidR="002A027B" w:rsidRPr="00674A46" w:rsidRDefault="002A027B"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764E797B" w:rsidR="002A027B" w:rsidRPr="00A238C2" w:rsidRDefault="002A027B" w:rsidP="00A238C2">
          <w:pPr>
            <w:pStyle w:val="Encabezado"/>
            <w:tabs>
              <w:tab w:val="clear" w:pos="4419"/>
            </w:tabs>
            <w:jc w:val="both"/>
            <w:rPr>
              <w:rFonts w:ascii="Palatino Linotype" w:hAnsi="Palatino Linotype"/>
              <w:bCs/>
              <w:color w:val="000000"/>
              <w:sz w:val="22"/>
              <w:szCs w:val="22"/>
              <w:highlight w:val="green"/>
            </w:rPr>
          </w:pPr>
          <w:r w:rsidRPr="00A238C2">
            <w:rPr>
              <w:rFonts w:ascii="Palatino Linotype" w:hAnsi="Palatino Linotype"/>
              <w:bCs/>
              <w:color w:val="000000"/>
              <w:sz w:val="22"/>
              <w:szCs w:val="22"/>
            </w:rPr>
            <w:t>Secretaría de Cultura y Turismo</w:t>
          </w:r>
        </w:p>
      </w:tc>
    </w:tr>
    <w:tr w:rsidR="002A027B" w14:paraId="094D4B8E" w14:textId="77777777" w:rsidTr="00A238C2">
      <w:trPr>
        <w:trHeight w:val="342"/>
      </w:trPr>
      <w:tc>
        <w:tcPr>
          <w:tcW w:w="2976" w:type="dxa"/>
          <w:vAlign w:val="center"/>
          <w:hideMark/>
        </w:tcPr>
        <w:p w14:paraId="704F2262" w14:textId="77777777" w:rsidR="002A027B" w:rsidRPr="00674A46" w:rsidRDefault="002A027B"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2A027B" w:rsidRPr="00A238C2" w:rsidRDefault="002A027B" w:rsidP="00A238C2">
          <w:pPr>
            <w:pStyle w:val="Encabezado"/>
            <w:tabs>
              <w:tab w:val="clear" w:pos="4419"/>
            </w:tabs>
            <w:rPr>
              <w:rFonts w:ascii="Palatino Linotype" w:hAnsi="Palatino Linotype"/>
              <w:sz w:val="22"/>
              <w:szCs w:val="22"/>
            </w:rPr>
          </w:pPr>
          <w:r w:rsidRPr="00A238C2">
            <w:rPr>
              <w:rFonts w:ascii="Palatino Linotype" w:hAnsi="Palatino Linotype"/>
              <w:sz w:val="22"/>
              <w:szCs w:val="22"/>
            </w:rPr>
            <w:t>María del Rosario Mejía Ayala</w:t>
          </w:r>
        </w:p>
      </w:tc>
    </w:tr>
  </w:tbl>
  <w:p w14:paraId="75582F32" w14:textId="77777777" w:rsidR="002A027B" w:rsidRPr="00AE046A" w:rsidRDefault="00666616"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64.3pt;margin-top:-121.3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119" w:type="dxa"/>
      <w:tblCellMar>
        <w:left w:w="70" w:type="dxa"/>
        <w:right w:w="70" w:type="dxa"/>
      </w:tblCellMar>
      <w:tblLook w:val="04A0" w:firstRow="1" w:lastRow="0" w:firstColumn="1" w:lastColumn="0" w:noHBand="0" w:noVBand="1"/>
    </w:tblPr>
    <w:tblGrid>
      <w:gridCol w:w="2977"/>
      <w:gridCol w:w="3684"/>
    </w:tblGrid>
    <w:tr w:rsidR="002A027B" w14:paraId="109D31C7" w14:textId="77777777" w:rsidTr="00A238C2">
      <w:trPr>
        <w:trHeight w:val="227"/>
      </w:trPr>
      <w:tc>
        <w:tcPr>
          <w:tcW w:w="2977" w:type="dxa"/>
          <w:vAlign w:val="center"/>
          <w:hideMark/>
        </w:tcPr>
        <w:p w14:paraId="52EDE096" w14:textId="77777777" w:rsidR="002A027B" w:rsidRPr="00674A46" w:rsidRDefault="002A027B"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4F2231F" w:rsidR="002A027B" w:rsidRPr="00A238C2" w:rsidRDefault="002A027B" w:rsidP="00D96EB5">
          <w:pPr>
            <w:pStyle w:val="Encabezado"/>
            <w:rPr>
              <w:rFonts w:ascii="Palatino Linotype" w:hAnsi="Palatino Linotype"/>
              <w:sz w:val="22"/>
              <w:szCs w:val="22"/>
              <w:highlight w:val="green"/>
            </w:rPr>
          </w:pPr>
          <w:r w:rsidRPr="00A238C2">
            <w:rPr>
              <w:rFonts w:ascii="Palatino Linotype" w:hAnsi="Palatino Linotype" w:cs="Arial"/>
              <w:bCs/>
              <w:sz w:val="22"/>
              <w:szCs w:val="22"/>
              <w:lang w:eastAsia="es-MX"/>
            </w:rPr>
            <w:t>03708/INFOEM/IP/RR/2024</w:t>
          </w:r>
        </w:p>
      </w:tc>
    </w:tr>
    <w:tr w:rsidR="002A027B" w14:paraId="0AB7C776" w14:textId="77777777" w:rsidTr="00A238C2">
      <w:trPr>
        <w:trHeight w:val="242"/>
      </w:trPr>
      <w:tc>
        <w:tcPr>
          <w:tcW w:w="2977" w:type="dxa"/>
          <w:vAlign w:val="center"/>
          <w:hideMark/>
        </w:tcPr>
        <w:p w14:paraId="798B5FF4" w14:textId="77777777" w:rsidR="002A027B" w:rsidRPr="00674A46" w:rsidRDefault="002A027B"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27AE7831" w:rsidR="002A027B" w:rsidRPr="00A238C2" w:rsidRDefault="002A027B" w:rsidP="00A238C2">
          <w:pPr>
            <w:pStyle w:val="Encabezado"/>
            <w:tabs>
              <w:tab w:val="clear" w:pos="4419"/>
            </w:tabs>
            <w:rPr>
              <w:rFonts w:ascii="Palatino Linotype" w:hAnsi="Palatino Linotype"/>
              <w:sz w:val="22"/>
              <w:szCs w:val="22"/>
              <w:highlight w:val="green"/>
            </w:rPr>
          </w:pPr>
        </w:p>
      </w:tc>
    </w:tr>
    <w:tr w:rsidR="002A027B" w14:paraId="36334B37" w14:textId="77777777" w:rsidTr="00A238C2">
      <w:trPr>
        <w:trHeight w:val="342"/>
      </w:trPr>
      <w:tc>
        <w:tcPr>
          <w:tcW w:w="2977" w:type="dxa"/>
          <w:vAlign w:val="center"/>
        </w:tcPr>
        <w:p w14:paraId="476BA4F3" w14:textId="77777777" w:rsidR="002A027B" w:rsidRPr="00674A46" w:rsidRDefault="002A027B"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14E625A" w:rsidR="002A027B" w:rsidRPr="00A238C2" w:rsidRDefault="002A027B" w:rsidP="00833269">
          <w:pPr>
            <w:pStyle w:val="Encabezado"/>
            <w:jc w:val="both"/>
            <w:rPr>
              <w:rFonts w:ascii="Palatino Linotype" w:hAnsi="Palatino Linotype"/>
              <w:sz w:val="22"/>
              <w:szCs w:val="22"/>
              <w:highlight w:val="green"/>
            </w:rPr>
          </w:pPr>
          <w:r w:rsidRPr="00A238C2">
            <w:rPr>
              <w:rFonts w:ascii="Palatino Linotype" w:hAnsi="Palatino Linotype"/>
              <w:bCs/>
              <w:color w:val="000000"/>
              <w:sz w:val="22"/>
              <w:szCs w:val="22"/>
            </w:rPr>
            <w:t>Secretaría de Cultura y Turismo</w:t>
          </w:r>
        </w:p>
      </w:tc>
    </w:tr>
    <w:tr w:rsidR="002A027B" w14:paraId="0C6AC9F5" w14:textId="77777777" w:rsidTr="00A238C2">
      <w:trPr>
        <w:trHeight w:val="342"/>
      </w:trPr>
      <w:tc>
        <w:tcPr>
          <w:tcW w:w="2977" w:type="dxa"/>
          <w:vAlign w:val="center"/>
        </w:tcPr>
        <w:p w14:paraId="68D9479B" w14:textId="77777777" w:rsidR="002A027B" w:rsidRPr="00674A46" w:rsidRDefault="002A027B"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2A027B" w:rsidRPr="00A238C2" w:rsidRDefault="002A027B" w:rsidP="00B5153D">
          <w:pPr>
            <w:pStyle w:val="Encabezado"/>
            <w:rPr>
              <w:rFonts w:ascii="Palatino Linotype" w:hAnsi="Palatino Linotype"/>
              <w:sz w:val="22"/>
              <w:szCs w:val="22"/>
            </w:rPr>
          </w:pPr>
          <w:r w:rsidRPr="00A238C2">
            <w:rPr>
              <w:rFonts w:ascii="Palatino Linotype" w:hAnsi="Palatino Linotype"/>
              <w:sz w:val="22"/>
              <w:szCs w:val="21"/>
            </w:rPr>
            <w:t>María del Rosario Mejía Ayala</w:t>
          </w:r>
        </w:p>
      </w:tc>
    </w:tr>
  </w:tbl>
  <w:p w14:paraId="77D264B0" w14:textId="77777777" w:rsidR="002A027B" w:rsidRPr="00C222C0" w:rsidRDefault="00666616">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3.9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1F232A4A"/>
    <w:multiLevelType w:val="multilevel"/>
    <w:tmpl w:val="4D82D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D313E"/>
    <w:multiLevelType w:val="hybridMultilevel"/>
    <w:tmpl w:val="5ECAD5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9A402DE"/>
    <w:multiLevelType w:val="hybridMultilevel"/>
    <w:tmpl w:val="7F1CC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6" w15:restartNumberingAfterBreak="0">
    <w:nsid w:val="3D9F2F66"/>
    <w:multiLevelType w:val="hybridMultilevel"/>
    <w:tmpl w:val="309A14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823442"/>
    <w:multiLevelType w:val="multilevel"/>
    <w:tmpl w:val="128848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0839D1"/>
    <w:multiLevelType w:val="hybridMultilevel"/>
    <w:tmpl w:val="334C5C00"/>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F1B34"/>
    <w:multiLevelType w:val="hybridMultilevel"/>
    <w:tmpl w:val="2B4673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0C33EC"/>
    <w:multiLevelType w:val="hybridMultilevel"/>
    <w:tmpl w:val="303A8C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2" w15:restartNumberingAfterBreak="0">
    <w:nsid w:val="70C6305A"/>
    <w:multiLevelType w:val="multilevel"/>
    <w:tmpl w:val="3FD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6"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7"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
  </w:num>
  <w:num w:numId="2">
    <w:abstractNumId w:val="37"/>
  </w:num>
  <w:num w:numId="3">
    <w:abstractNumId w:val="39"/>
  </w:num>
  <w:num w:numId="4">
    <w:abstractNumId w:val="2"/>
  </w:num>
  <w:num w:numId="5">
    <w:abstractNumId w:val="1"/>
  </w:num>
  <w:num w:numId="6">
    <w:abstractNumId w:val="24"/>
  </w:num>
  <w:num w:numId="7">
    <w:abstractNumId w:val="8"/>
  </w:num>
  <w:num w:numId="8">
    <w:abstractNumId w:val="5"/>
  </w:num>
  <w:num w:numId="9">
    <w:abstractNumId w:val="11"/>
  </w:num>
  <w:num w:numId="10">
    <w:abstractNumId w:val="0"/>
  </w:num>
  <w:num w:numId="11">
    <w:abstractNumId w:val="35"/>
  </w:num>
  <w:num w:numId="12">
    <w:abstractNumId w:val="4"/>
  </w:num>
  <w:num w:numId="13">
    <w:abstractNumId w:val="17"/>
  </w:num>
  <w:num w:numId="14">
    <w:abstractNumId w:val="9"/>
  </w:num>
  <w:num w:numId="15">
    <w:abstractNumId w:val="28"/>
  </w:num>
  <w:num w:numId="16">
    <w:abstractNumId w:val="27"/>
  </w:num>
  <w:num w:numId="17">
    <w:abstractNumId w:val="3"/>
  </w:num>
  <w:num w:numId="18">
    <w:abstractNumId w:val="19"/>
  </w:num>
  <w:num w:numId="19">
    <w:abstractNumId w:val="20"/>
  </w:num>
  <w:num w:numId="20">
    <w:abstractNumId w:val="13"/>
  </w:num>
  <w:num w:numId="21">
    <w:abstractNumId w:val="33"/>
  </w:num>
  <w:num w:numId="22">
    <w:abstractNumId w:val="26"/>
  </w:num>
  <w:num w:numId="23">
    <w:abstractNumId w:val="6"/>
  </w:num>
  <w:num w:numId="24">
    <w:abstractNumId w:val="30"/>
  </w:num>
  <w:num w:numId="25">
    <w:abstractNumId w:val="34"/>
  </w:num>
  <w:num w:numId="26">
    <w:abstractNumId w:val="21"/>
  </w:num>
  <w:num w:numId="27">
    <w:abstractNumId w:val="25"/>
  </w:num>
  <w:num w:numId="28">
    <w:abstractNumId w:val="38"/>
  </w:num>
  <w:num w:numId="29">
    <w:abstractNumId w:val="10"/>
  </w:num>
  <w:num w:numId="30">
    <w:abstractNumId w:val="31"/>
  </w:num>
  <w:num w:numId="31">
    <w:abstractNumId w:val="15"/>
  </w:num>
  <w:num w:numId="32">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6"/>
  </w:num>
  <w:num w:numId="35">
    <w:abstractNumId w:val="23"/>
  </w:num>
  <w:num w:numId="36">
    <w:abstractNumId w:val="29"/>
  </w:num>
  <w:num w:numId="37">
    <w:abstractNumId w:val="22"/>
  </w:num>
  <w:num w:numId="38">
    <w:abstractNumId w:val="7"/>
  </w:num>
  <w:num w:numId="39">
    <w:abstractNumId w:val="18"/>
  </w:num>
  <w:num w:numId="40">
    <w:abstractNumId w:val="14"/>
  </w:num>
  <w:num w:numId="41">
    <w:abstractNumId w:val="3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0A78"/>
    <w:rsid w:val="00024333"/>
    <w:rsid w:val="00040E54"/>
    <w:rsid w:val="00043EE0"/>
    <w:rsid w:val="00052F1C"/>
    <w:rsid w:val="000624A9"/>
    <w:rsid w:val="00064325"/>
    <w:rsid w:val="00066953"/>
    <w:rsid w:val="00066B5D"/>
    <w:rsid w:val="000A6F69"/>
    <w:rsid w:val="000B03F3"/>
    <w:rsid w:val="000D2DAF"/>
    <w:rsid w:val="000D662C"/>
    <w:rsid w:val="000D6692"/>
    <w:rsid w:val="000F29F0"/>
    <w:rsid w:val="000F30BC"/>
    <w:rsid w:val="000F78C3"/>
    <w:rsid w:val="001125D8"/>
    <w:rsid w:val="00112714"/>
    <w:rsid w:val="00113410"/>
    <w:rsid w:val="00117DAF"/>
    <w:rsid w:val="00133699"/>
    <w:rsid w:val="001546F8"/>
    <w:rsid w:val="001752AE"/>
    <w:rsid w:val="00177927"/>
    <w:rsid w:val="0018393D"/>
    <w:rsid w:val="0018456D"/>
    <w:rsid w:val="00192968"/>
    <w:rsid w:val="001A1023"/>
    <w:rsid w:val="001A29A4"/>
    <w:rsid w:val="001B24AC"/>
    <w:rsid w:val="001D39F6"/>
    <w:rsid w:val="001E27D8"/>
    <w:rsid w:val="001E7732"/>
    <w:rsid w:val="001F3DF0"/>
    <w:rsid w:val="0020101F"/>
    <w:rsid w:val="002065BA"/>
    <w:rsid w:val="00217A91"/>
    <w:rsid w:val="00222293"/>
    <w:rsid w:val="0022467E"/>
    <w:rsid w:val="00233B83"/>
    <w:rsid w:val="00262C1E"/>
    <w:rsid w:val="00264692"/>
    <w:rsid w:val="00270BB6"/>
    <w:rsid w:val="002765D6"/>
    <w:rsid w:val="00282598"/>
    <w:rsid w:val="002847CD"/>
    <w:rsid w:val="00292ACC"/>
    <w:rsid w:val="002943FC"/>
    <w:rsid w:val="002A027B"/>
    <w:rsid w:val="002A1DCF"/>
    <w:rsid w:val="002B540C"/>
    <w:rsid w:val="00324823"/>
    <w:rsid w:val="003337B2"/>
    <w:rsid w:val="00341F6F"/>
    <w:rsid w:val="003441EF"/>
    <w:rsid w:val="00360150"/>
    <w:rsid w:val="00361600"/>
    <w:rsid w:val="0038317D"/>
    <w:rsid w:val="003B7DE2"/>
    <w:rsid w:val="003C236F"/>
    <w:rsid w:val="003D26D9"/>
    <w:rsid w:val="003D649A"/>
    <w:rsid w:val="003D7FD3"/>
    <w:rsid w:val="003E76A0"/>
    <w:rsid w:val="00411EE1"/>
    <w:rsid w:val="004278C7"/>
    <w:rsid w:val="00432766"/>
    <w:rsid w:val="00437A3C"/>
    <w:rsid w:val="00462801"/>
    <w:rsid w:val="00470EDD"/>
    <w:rsid w:val="004968BD"/>
    <w:rsid w:val="004B07FE"/>
    <w:rsid w:val="004B65C0"/>
    <w:rsid w:val="004C67A5"/>
    <w:rsid w:val="004D1B9C"/>
    <w:rsid w:val="004D3CDC"/>
    <w:rsid w:val="004E7BFD"/>
    <w:rsid w:val="004F003E"/>
    <w:rsid w:val="004F097D"/>
    <w:rsid w:val="00522F39"/>
    <w:rsid w:val="00527700"/>
    <w:rsid w:val="00535787"/>
    <w:rsid w:val="00537651"/>
    <w:rsid w:val="005432BF"/>
    <w:rsid w:val="00554B47"/>
    <w:rsid w:val="00566C95"/>
    <w:rsid w:val="00570E37"/>
    <w:rsid w:val="005B0B59"/>
    <w:rsid w:val="005D63E1"/>
    <w:rsid w:val="00626E5B"/>
    <w:rsid w:val="006373D0"/>
    <w:rsid w:val="00644735"/>
    <w:rsid w:val="00650FBD"/>
    <w:rsid w:val="006548AD"/>
    <w:rsid w:val="006603F1"/>
    <w:rsid w:val="00666616"/>
    <w:rsid w:val="00670DFC"/>
    <w:rsid w:val="0067244C"/>
    <w:rsid w:val="0069334B"/>
    <w:rsid w:val="006977CD"/>
    <w:rsid w:val="006B0428"/>
    <w:rsid w:val="006B70B1"/>
    <w:rsid w:val="006C5DB2"/>
    <w:rsid w:val="006C770E"/>
    <w:rsid w:val="006D1AEA"/>
    <w:rsid w:val="006D5102"/>
    <w:rsid w:val="006E6FFC"/>
    <w:rsid w:val="006E76C7"/>
    <w:rsid w:val="006F3B6A"/>
    <w:rsid w:val="006F7D26"/>
    <w:rsid w:val="007154C4"/>
    <w:rsid w:val="00722086"/>
    <w:rsid w:val="00727550"/>
    <w:rsid w:val="0074082A"/>
    <w:rsid w:val="0074431C"/>
    <w:rsid w:val="007505E5"/>
    <w:rsid w:val="00754944"/>
    <w:rsid w:val="007563F2"/>
    <w:rsid w:val="00786A35"/>
    <w:rsid w:val="00790E1F"/>
    <w:rsid w:val="007B21AE"/>
    <w:rsid w:val="007C0931"/>
    <w:rsid w:val="007C50BE"/>
    <w:rsid w:val="007D2D12"/>
    <w:rsid w:val="007E0F24"/>
    <w:rsid w:val="007E4599"/>
    <w:rsid w:val="00833269"/>
    <w:rsid w:val="00836515"/>
    <w:rsid w:val="0084030D"/>
    <w:rsid w:val="00844CA2"/>
    <w:rsid w:val="00852DB7"/>
    <w:rsid w:val="00866A8C"/>
    <w:rsid w:val="008A7701"/>
    <w:rsid w:val="008D4666"/>
    <w:rsid w:val="008E2610"/>
    <w:rsid w:val="008E52E6"/>
    <w:rsid w:val="008E5CCE"/>
    <w:rsid w:val="0090670B"/>
    <w:rsid w:val="009123F1"/>
    <w:rsid w:val="00923E55"/>
    <w:rsid w:val="009240E8"/>
    <w:rsid w:val="009304C1"/>
    <w:rsid w:val="009330EC"/>
    <w:rsid w:val="00937641"/>
    <w:rsid w:val="00942616"/>
    <w:rsid w:val="00947D1F"/>
    <w:rsid w:val="00952475"/>
    <w:rsid w:val="0098690D"/>
    <w:rsid w:val="009D2E60"/>
    <w:rsid w:val="009D694F"/>
    <w:rsid w:val="009E6AAA"/>
    <w:rsid w:val="009E6CAC"/>
    <w:rsid w:val="00A03370"/>
    <w:rsid w:val="00A238C2"/>
    <w:rsid w:val="00A23C77"/>
    <w:rsid w:val="00A5352D"/>
    <w:rsid w:val="00A56ECD"/>
    <w:rsid w:val="00A60C3E"/>
    <w:rsid w:val="00A6168B"/>
    <w:rsid w:val="00A727B4"/>
    <w:rsid w:val="00A731FE"/>
    <w:rsid w:val="00A742BF"/>
    <w:rsid w:val="00A81EAE"/>
    <w:rsid w:val="00AA409D"/>
    <w:rsid w:val="00AC5C39"/>
    <w:rsid w:val="00AD44A3"/>
    <w:rsid w:val="00AF6678"/>
    <w:rsid w:val="00B26740"/>
    <w:rsid w:val="00B461E4"/>
    <w:rsid w:val="00B5153D"/>
    <w:rsid w:val="00B65A03"/>
    <w:rsid w:val="00B722DF"/>
    <w:rsid w:val="00B96015"/>
    <w:rsid w:val="00BC1A99"/>
    <w:rsid w:val="00BD6261"/>
    <w:rsid w:val="00C16196"/>
    <w:rsid w:val="00C259CE"/>
    <w:rsid w:val="00C36675"/>
    <w:rsid w:val="00C455AB"/>
    <w:rsid w:val="00C479BF"/>
    <w:rsid w:val="00C76CB2"/>
    <w:rsid w:val="00C92688"/>
    <w:rsid w:val="00CA3460"/>
    <w:rsid w:val="00CB3AAC"/>
    <w:rsid w:val="00CC56ED"/>
    <w:rsid w:val="00CC57A5"/>
    <w:rsid w:val="00CD40B6"/>
    <w:rsid w:val="00CF6FE8"/>
    <w:rsid w:val="00D00D74"/>
    <w:rsid w:val="00D02172"/>
    <w:rsid w:val="00D05A0E"/>
    <w:rsid w:val="00D11C79"/>
    <w:rsid w:val="00D23459"/>
    <w:rsid w:val="00D45631"/>
    <w:rsid w:val="00D7279B"/>
    <w:rsid w:val="00D77A40"/>
    <w:rsid w:val="00D806CA"/>
    <w:rsid w:val="00D96EB5"/>
    <w:rsid w:val="00D97091"/>
    <w:rsid w:val="00DB3F48"/>
    <w:rsid w:val="00E06F7D"/>
    <w:rsid w:val="00E120A9"/>
    <w:rsid w:val="00E1510B"/>
    <w:rsid w:val="00E43724"/>
    <w:rsid w:val="00E43DBB"/>
    <w:rsid w:val="00E620F7"/>
    <w:rsid w:val="00E626A4"/>
    <w:rsid w:val="00E82518"/>
    <w:rsid w:val="00E91E53"/>
    <w:rsid w:val="00E9244F"/>
    <w:rsid w:val="00E929D5"/>
    <w:rsid w:val="00E96B5C"/>
    <w:rsid w:val="00E9762F"/>
    <w:rsid w:val="00EB377D"/>
    <w:rsid w:val="00EE5D31"/>
    <w:rsid w:val="00F01855"/>
    <w:rsid w:val="00F103AC"/>
    <w:rsid w:val="00F17CD9"/>
    <w:rsid w:val="00F231CC"/>
    <w:rsid w:val="00F321A7"/>
    <w:rsid w:val="00F3329F"/>
    <w:rsid w:val="00F37AFB"/>
    <w:rsid w:val="00F405F2"/>
    <w:rsid w:val="00F50589"/>
    <w:rsid w:val="00F626F3"/>
    <w:rsid w:val="00F66E32"/>
    <w:rsid w:val="00F70101"/>
    <w:rsid w:val="00F85628"/>
    <w:rsid w:val="00F9477D"/>
    <w:rsid w:val="00FB2B34"/>
    <w:rsid w:val="00FC1601"/>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pPr>
      <w:spacing w:after="0" w:line="240" w:lineRule="auto"/>
    </w:pPr>
    <w:rPr>
      <w:rFonts w:eastAsiaTheme="minorEastAsia"/>
      <w:sz w:val="24"/>
      <w:szCs w:val="24"/>
      <w:lang w:val="es-ES_tradnl"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qFormat/>
    <w:rsid w:val="00AC5C39"/>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6B0428"/>
    <w:rPr>
      <w:i/>
      <w:iCs/>
    </w:rPr>
  </w:style>
  <w:style w:type="paragraph" w:styleId="NormalWeb">
    <w:name w:val="Normal (Web)"/>
    <w:basedOn w:val="Normal"/>
    <w:uiPriority w:val="99"/>
    <w:rsid w:val="000F30BC"/>
    <w:pPr>
      <w:spacing w:before="100" w:beforeAutospacing="1" w:after="100" w:afterAutospacing="1"/>
    </w:pPr>
    <w:rPr>
      <w:rFonts w:ascii="Times New Roman" w:eastAsia="Times New Roman" w:hAnsi="Times New Roman" w:cs="Times New Roman"/>
      <w:lang w:val="es-ES" w:eastAsia="es-MX"/>
    </w:rPr>
  </w:style>
  <w:style w:type="character" w:styleId="Textoennegrita">
    <w:name w:val="Strong"/>
    <w:basedOn w:val="Fuentedeprrafopredeter"/>
    <w:uiPriority w:val="22"/>
    <w:qFormat/>
    <w:rsid w:val="00DB3F48"/>
    <w:rPr>
      <w:b/>
      <w:bCs/>
    </w:rPr>
  </w:style>
  <w:style w:type="character" w:styleId="Referenciasutil">
    <w:name w:val="Subtle Reference"/>
    <w:basedOn w:val="Fuentedeprrafopredeter"/>
    <w:uiPriority w:val="31"/>
    <w:qFormat/>
    <w:rsid w:val="001A29A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6685">
      <w:bodyDiv w:val="1"/>
      <w:marLeft w:val="0"/>
      <w:marRight w:val="0"/>
      <w:marTop w:val="0"/>
      <w:marBottom w:val="0"/>
      <w:divBdr>
        <w:top w:val="none" w:sz="0" w:space="0" w:color="auto"/>
        <w:left w:val="none" w:sz="0" w:space="0" w:color="auto"/>
        <w:bottom w:val="none" w:sz="0" w:space="0" w:color="auto"/>
        <w:right w:val="none" w:sz="0" w:space="0" w:color="auto"/>
      </w:divBdr>
    </w:div>
    <w:div w:id="1201897373">
      <w:bodyDiv w:val="1"/>
      <w:marLeft w:val="0"/>
      <w:marRight w:val="0"/>
      <w:marTop w:val="0"/>
      <w:marBottom w:val="0"/>
      <w:divBdr>
        <w:top w:val="none" w:sz="0" w:space="0" w:color="auto"/>
        <w:left w:val="none" w:sz="0" w:space="0" w:color="auto"/>
        <w:bottom w:val="none" w:sz="0" w:space="0" w:color="auto"/>
        <w:right w:val="none" w:sz="0" w:space="0" w:color="auto"/>
      </w:divBdr>
    </w:div>
    <w:div w:id="2141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assymphony.org/es/community-education/dso-kids/listen-watch/composers/nikolai-rimsky-korsak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7802-77B5-4F61-AA40-2C1A7E8F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4077</Words>
  <Characters>22425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10</cp:revision>
  <dcterms:created xsi:type="dcterms:W3CDTF">2024-11-14T19:54:00Z</dcterms:created>
  <dcterms:modified xsi:type="dcterms:W3CDTF">2024-11-27T20:18:00Z</dcterms:modified>
</cp:coreProperties>
</file>