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0AEBEEFA" w:rsidR="00942616" w:rsidRPr="00697170" w:rsidRDefault="00942616" w:rsidP="00066B5D">
      <w:pPr>
        <w:tabs>
          <w:tab w:val="left" w:pos="3465"/>
        </w:tabs>
        <w:spacing w:line="360" w:lineRule="auto"/>
        <w:jc w:val="both"/>
        <w:rPr>
          <w:rFonts w:ascii="Palatino Linotype" w:hAnsi="Palatino Linotype"/>
        </w:rPr>
      </w:pPr>
      <w:r w:rsidRPr="00697170">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1B1D3E" w:rsidRPr="00697170">
        <w:rPr>
          <w:rFonts w:ascii="Palatino Linotype" w:hAnsi="Palatino Linotype"/>
        </w:rPr>
        <w:t>catorce</w:t>
      </w:r>
      <w:r w:rsidR="00133699" w:rsidRPr="00697170">
        <w:rPr>
          <w:rFonts w:ascii="Palatino Linotype" w:hAnsi="Palatino Linotype"/>
        </w:rPr>
        <w:t xml:space="preserve"> </w:t>
      </w:r>
      <w:r w:rsidR="008E338F" w:rsidRPr="00697170">
        <w:rPr>
          <w:rFonts w:ascii="Palatino Linotype" w:hAnsi="Palatino Linotype"/>
        </w:rPr>
        <w:t xml:space="preserve">(14) </w:t>
      </w:r>
      <w:r w:rsidR="00133699" w:rsidRPr="00697170">
        <w:rPr>
          <w:rFonts w:ascii="Palatino Linotype" w:hAnsi="Palatino Linotype"/>
        </w:rPr>
        <w:t xml:space="preserve">de </w:t>
      </w:r>
      <w:r w:rsidR="006E285D" w:rsidRPr="00697170">
        <w:rPr>
          <w:rFonts w:ascii="Palatino Linotype" w:hAnsi="Palatino Linotype"/>
        </w:rPr>
        <w:t>agost</w:t>
      </w:r>
      <w:r w:rsidR="00D05A0E" w:rsidRPr="00697170">
        <w:rPr>
          <w:rFonts w:ascii="Palatino Linotype" w:hAnsi="Palatino Linotype"/>
        </w:rPr>
        <w:t>o</w:t>
      </w:r>
      <w:r w:rsidR="00844CA2" w:rsidRPr="00697170">
        <w:rPr>
          <w:rFonts w:ascii="Palatino Linotype" w:hAnsi="Palatino Linotype"/>
        </w:rPr>
        <w:t xml:space="preserve"> </w:t>
      </w:r>
      <w:r w:rsidRPr="00697170">
        <w:rPr>
          <w:rFonts w:ascii="Palatino Linotype" w:hAnsi="Palatino Linotype"/>
        </w:rPr>
        <w:t>de dos mil veinticuatro.</w:t>
      </w:r>
    </w:p>
    <w:p w14:paraId="7A47408F" w14:textId="77777777" w:rsidR="00942616" w:rsidRPr="00697170" w:rsidRDefault="00942616" w:rsidP="00066B5D">
      <w:pPr>
        <w:tabs>
          <w:tab w:val="left" w:pos="3465"/>
        </w:tabs>
        <w:spacing w:line="360" w:lineRule="auto"/>
        <w:jc w:val="both"/>
        <w:rPr>
          <w:rFonts w:ascii="Palatino Linotype" w:hAnsi="Palatino Linotype"/>
        </w:rPr>
      </w:pPr>
    </w:p>
    <w:p w14:paraId="1A849A4C" w14:textId="13686FAF" w:rsidR="00942616" w:rsidRPr="00697170" w:rsidRDefault="001125D8" w:rsidP="00066B5D">
      <w:pPr>
        <w:spacing w:line="360" w:lineRule="auto"/>
        <w:jc w:val="both"/>
        <w:rPr>
          <w:rFonts w:ascii="Palatino Linotype" w:hAnsi="Palatino Linotype"/>
        </w:rPr>
      </w:pPr>
      <w:r w:rsidRPr="00697170">
        <w:rPr>
          <w:rFonts w:ascii="Palatino Linotype" w:hAnsi="Palatino Linotype"/>
          <w:b/>
        </w:rPr>
        <w:t xml:space="preserve">VISTAS </w:t>
      </w:r>
      <w:r w:rsidRPr="00697170">
        <w:rPr>
          <w:rFonts w:ascii="Palatino Linotype" w:hAnsi="Palatino Linotype"/>
        </w:rPr>
        <w:t>las constancias para resolver el recurso de revi</w:t>
      </w:r>
      <w:r w:rsidR="00D05A0E" w:rsidRPr="00697170">
        <w:rPr>
          <w:rFonts w:ascii="Palatino Linotype" w:hAnsi="Palatino Linotype"/>
        </w:rPr>
        <w:t>sión</w:t>
      </w:r>
      <w:r w:rsidR="008E338F" w:rsidRPr="00697170">
        <w:rPr>
          <w:rFonts w:ascii="Palatino Linotype" w:hAnsi="Palatino Linotype"/>
        </w:rPr>
        <w:t xml:space="preserve"> </w:t>
      </w:r>
      <w:r w:rsidR="008E338F" w:rsidRPr="00697170">
        <w:rPr>
          <w:rFonts w:ascii="Palatino Linotype" w:hAnsi="Palatino Linotype" w:cs="Arial"/>
          <w:b/>
          <w:bCs/>
          <w:sz w:val="22"/>
          <w:szCs w:val="22"/>
          <w:lang w:eastAsia="es-MX"/>
        </w:rPr>
        <w:t>06998/INFOEM/IP/RR/2023,</w:t>
      </w:r>
      <w:r w:rsidR="00D05A0E" w:rsidRPr="00697170">
        <w:rPr>
          <w:rFonts w:ascii="Palatino Linotype" w:hAnsi="Palatino Linotype"/>
        </w:rPr>
        <w:t xml:space="preserve"> presentado</w:t>
      </w:r>
      <w:r w:rsidR="008E338F" w:rsidRPr="00697170">
        <w:rPr>
          <w:rFonts w:ascii="Palatino Linotype" w:hAnsi="Palatino Linotype"/>
        </w:rPr>
        <w:t xml:space="preserve"> por</w:t>
      </w:r>
      <w:r w:rsidR="00D05A0E" w:rsidRPr="00697170">
        <w:rPr>
          <w:rFonts w:ascii="Palatino Linotype" w:hAnsi="Palatino Linotype"/>
        </w:rPr>
        <w:t xml:space="preserve"> </w:t>
      </w:r>
      <w:r w:rsidR="000110D2" w:rsidRPr="00697170">
        <w:rPr>
          <w:rFonts w:ascii="Palatino Linotype" w:hAnsi="Palatino Linotype"/>
          <w:b/>
          <w:bCs/>
          <w:color w:val="000000" w:themeColor="text1"/>
          <w:sz w:val="22"/>
          <w:szCs w:val="22"/>
        </w:rPr>
        <w:t xml:space="preserve">XXX </w:t>
      </w:r>
      <w:proofErr w:type="spellStart"/>
      <w:r w:rsidR="000110D2" w:rsidRPr="00697170">
        <w:rPr>
          <w:rFonts w:ascii="Palatino Linotype" w:hAnsi="Palatino Linotype"/>
          <w:b/>
          <w:bCs/>
          <w:color w:val="000000" w:themeColor="text1"/>
          <w:sz w:val="22"/>
          <w:szCs w:val="22"/>
        </w:rPr>
        <w:t>XXX</w:t>
      </w:r>
      <w:proofErr w:type="spellEnd"/>
      <w:r w:rsidR="008E338F" w:rsidRPr="00697170">
        <w:rPr>
          <w:rFonts w:ascii="Palatino Linotype" w:hAnsi="Palatino Linotype"/>
          <w:b/>
          <w:bCs/>
          <w:color w:val="000000" w:themeColor="text1"/>
          <w:sz w:val="22"/>
          <w:szCs w:val="22"/>
        </w:rPr>
        <w:t>,</w:t>
      </w:r>
      <w:r w:rsidR="008E338F" w:rsidRPr="00697170">
        <w:rPr>
          <w:rFonts w:ascii="Palatino Linotype" w:hAnsi="Palatino Linotype"/>
        </w:rPr>
        <w:t xml:space="preserve"> </w:t>
      </w:r>
      <w:r w:rsidR="00D05A0E" w:rsidRPr="00697170">
        <w:rPr>
          <w:rFonts w:ascii="Palatino Linotype" w:hAnsi="Palatino Linotype"/>
        </w:rPr>
        <w:t>en lo sucesivo el R</w:t>
      </w:r>
      <w:r w:rsidRPr="00697170">
        <w:rPr>
          <w:rFonts w:ascii="Palatino Linotype" w:hAnsi="Palatino Linotype"/>
        </w:rPr>
        <w:t>ecurrente</w:t>
      </w:r>
      <w:r w:rsidR="00A731FE" w:rsidRPr="00697170">
        <w:rPr>
          <w:rFonts w:ascii="Palatino Linotype" w:hAnsi="Palatino Linotype"/>
        </w:rPr>
        <w:t xml:space="preserve">, en contra de la respuesta otorgada a la solicitud de información </w:t>
      </w:r>
      <w:r w:rsidR="00581E40" w:rsidRPr="00697170">
        <w:rPr>
          <w:rFonts w:ascii="Palatino Linotype" w:hAnsi="Palatino Linotype" w:cs="Arial"/>
          <w:b/>
          <w:bCs/>
          <w:lang w:eastAsia="es-MX"/>
        </w:rPr>
        <w:t>00064/RAYON/IP/2023</w:t>
      </w:r>
      <w:r w:rsidRPr="00697170">
        <w:rPr>
          <w:rFonts w:ascii="Palatino Linotype" w:hAnsi="Palatino Linotype"/>
        </w:rPr>
        <w:t xml:space="preserve">, </w:t>
      </w:r>
      <w:r w:rsidR="00A731FE" w:rsidRPr="00697170">
        <w:rPr>
          <w:rFonts w:ascii="Palatino Linotype" w:hAnsi="Palatino Linotype"/>
        </w:rPr>
        <w:t>por parte</w:t>
      </w:r>
      <w:r w:rsidR="00CE263C" w:rsidRPr="00697170">
        <w:rPr>
          <w:rFonts w:ascii="Palatino Linotype" w:hAnsi="Palatino Linotype"/>
        </w:rPr>
        <w:t xml:space="preserve"> del</w:t>
      </w:r>
      <w:r w:rsidRPr="00697170">
        <w:rPr>
          <w:rFonts w:ascii="Palatino Linotype" w:hAnsi="Palatino Linotype"/>
        </w:rPr>
        <w:t xml:space="preserve"> </w:t>
      </w:r>
      <w:r w:rsidR="00581E40" w:rsidRPr="00697170">
        <w:rPr>
          <w:rFonts w:ascii="Palatino Linotype" w:hAnsi="Palatino Linotype"/>
          <w:b/>
        </w:rPr>
        <w:t>Ayuntamiento de Rayón</w:t>
      </w:r>
      <w:r w:rsidRPr="00697170">
        <w:rPr>
          <w:rFonts w:ascii="Palatino Linotype" w:hAnsi="Palatino Linotype"/>
          <w:b/>
        </w:rPr>
        <w:t xml:space="preserve"> </w:t>
      </w:r>
      <w:r w:rsidRPr="00697170">
        <w:rPr>
          <w:rFonts w:ascii="Palatino Linotype" w:hAnsi="Palatino Linotype"/>
        </w:rPr>
        <w:t>en adelante el Sujeto Obligado; Se emite la presente resolución</w:t>
      </w:r>
      <w:r w:rsidR="0074431C" w:rsidRPr="00697170">
        <w:rPr>
          <w:rFonts w:ascii="Palatino Linotype" w:hAnsi="Palatino Linotype"/>
        </w:rPr>
        <w:t xml:space="preserve"> con base en los siguientes</w:t>
      </w:r>
      <w:r w:rsidRPr="00697170">
        <w:rPr>
          <w:rFonts w:ascii="Palatino Linotype" w:hAnsi="Palatino Linotype"/>
        </w:rPr>
        <w:t>:</w:t>
      </w:r>
    </w:p>
    <w:p w14:paraId="27CF3736" w14:textId="77777777" w:rsidR="00942616" w:rsidRPr="00697170"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697170">
        <w:rPr>
          <w:rFonts w:ascii="Palatino Linotype" w:hAnsi="Palatino Linotype"/>
          <w:b/>
          <w:color w:val="000000" w:themeColor="text1"/>
          <w:sz w:val="24"/>
          <w:szCs w:val="24"/>
        </w:rPr>
        <w:t>ANTECEDENTES</w:t>
      </w:r>
      <w:bookmarkEnd w:id="0"/>
      <w:bookmarkEnd w:id="1"/>
      <w:bookmarkEnd w:id="2"/>
    </w:p>
    <w:p w14:paraId="5385E88F" w14:textId="77777777" w:rsidR="00942616" w:rsidRPr="00697170" w:rsidRDefault="00942616" w:rsidP="00066B5D">
      <w:pPr>
        <w:spacing w:line="360" w:lineRule="auto"/>
        <w:rPr>
          <w:rFonts w:ascii="Palatino Linotype" w:hAnsi="Palatino Linotype"/>
        </w:rPr>
      </w:pPr>
    </w:p>
    <w:p w14:paraId="0173BD2D" w14:textId="1B8B335E" w:rsidR="001125D8" w:rsidRPr="00697170" w:rsidRDefault="000B03F3" w:rsidP="00066B5D">
      <w:pPr>
        <w:pStyle w:val="Prrafodelista"/>
        <w:numPr>
          <w:ilvl w:val="0"/>
          <w:numId w:val="19"/>
        </w:numPr>
        <w:spacing w:line="360" w:lineRule="auto"/>
        <w:jc w:val="both"/>
        <w:rPr>
          <w:rFonts w:ascii="Palatino Linotype" w:eastAsia="Calibri" w:hAnsi="Palatino Linotype" w:cs="Arial"/>
          <w:b/>
          <w:u w:val="single"/>
          <w:lang w:val="es-ES"/>
        </w:rPr>
      </w:pPr>
      <w:r w:rsidRPr="00697170">
        <w:rPr>
          <w:rFonts w:ascii="Palatino Linotype" w:eastAsia="Calibri" w:hAnsi="Palatino Linotype" w:cs="Arial"/>
          <w:b/>
          <w:u w:val="single"/>
          <w:lang w:val="es-ES"/>
        </w:rPr>
        <w:t>Solicitud de acceso a la información pública.</w:t>
      </w:r>
    </w:p>
    <w:p w14:paraId="53379CE6" w14:textId="502E5CF2" w:rsidR="00942616" w:rsidRPr="00697170"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697170">
        <w:rPr>
          <w:rFonts w:ascii="Palatino Linotype" w:eastAsia="Calibri" w:hAnsi="Palatino Linotype" w:cs="Arial"/>
          <w:lang w:val="es-ES"/>
        </w:rPr>
        <w:t>El día</w:t>
      </w:r>
      <w:r w:rsidR="00133699" w:rsidRPr="00697170">
        <w:rPr>
          <w:rFonts w:ascii="Palatino Linotype" w:eastAsia="Calibri" w:hAnsi="Palatino Linotype" w:cs="Arial"/>
          <w:b/>
          <w:lang w:val="es-ES"/>
        </w:rPr>
        <w:t xml:space="preserve"> </w:t>
      </w:r>
      <w:r w:rsidR="00581E40" w:rsidRPr="00697170">
        <w:rPr>
          <w:rFonts w:ascii="Palatino Linotype" w:eastAsia="Calibri" w:hAnsi="Palatino Linotype" w:cs="Arial"/>
          <w:b/>
          <w:lang w:val="es-ES"/>
        </w:rPr>
        <w:t>veintidós</w:t>
      </w:r>
      <w:r w:rsidR="00AD54BF" w:rsidRPr="00697170">
        <w:rPr>
          <w:rFonts w:ascii="Palatino Linotype" w:eastAsia="Calibri" w:hAnsi="Palatino Linotype" w:cs="Arial"/>
          <w:b/>
          <w:lang w:val="es-ES"/>
        </w:rPr>
        <w:t xml:space="preserve"> de </w:t>
      </w:r>
      <w:r w:rsidR="00581E40" w:rsidRPr="00697170">
        <w:rPr>
          <w:rFonts w:ascii="Palatino Linotype" w:eastAsia="Calibri" w:hAnsi="Palatino Linotype" w:cs="Arial"/>
          <w:b/>
          <w:lang w:val="es-ES"/>
        </w:rPr>
        <w:t>septiem</w:t>
      </w:r>
      <w:r w:rsidR="00AD54BF" w:rsidRPr="00697170">
        <w:rPr>
          <w:rFonts w:ascii="Palatino Linotype" w:eastAsia="Calibri" w:hAnsi="Palatino Linotype" w:cs="Arial"/>
          <w:b/>
          <w:lang w:val="es-ES"/>
        </w:rPr>
        <w:t>bre</w:t>
      </w:r>
      <w:r w:rsidR="001E27D8" w:rsidRPr="00697170">
        <w:rPr>
          <w:rFonts w:ascii="Palatino Linotype" w:eastAsia="Calibri" w:hAnsi="Palatino Linotype" w:cs="Arial"/>
          <w:b/>
          <w:lang w:val="es-ES"/>
        </w:rPr>
        <w:t xml:space="preserve"> de dos mil veintitrés</w:t>
      </w:r>
      <w:r w:rsidRPr="00697170">
        <w:rPr>
          <w:rFonts w:ascii="Palatino Linotype" w:hAnsi="Palatino Linotype"/>
        </w:rPr>
        <w:t>,</w:t>
      </w:r>
      <w:r w:rsidRPr="00697170">
        <w:rPr>
          <w:rFonts w:ascii="Palatino Linotype" w:hAnsi="Palatino Linotype"/>
          <w:b/>
        </w:rPr>
        <w:t xml:space="preserve"> </w:t>
      </w:r>
      <w:r w:rsidRPr="00697170">
        <w:rPr>
          <w:rFonts w:ascii="Palatino Linotype" w:eastAsia="Calibri" w:hAnsi="Palatino Linotype" w:cs="Arial"/>
          <w:lang w:val="es-ES"/>
        </w:rPr>
        <w:t xml:space="preserve">se presentó ante el </w:t>
      </w:r>
      <w:r w:rsidR="001125D8" w:rsidRPr="00697170">
        <w:rPr>
          <w:rFonts w:ascii="Palatino Linotype" w:eastAsia="Calibri" w:hAnsi="Palatino Linotype" w:cs="Arial"/>
          <w:lang w:val="es-ES"/>
        </w:rPr>
        <w:t>Sujeto Obligado</w:t>
      </w:r>
      <w:r w:rsidR="001125D8" w:rsidRPr="00697170">
        <w:rPr>
          <w:rFonts w:ascii="Palatino Linotype" w:eastAsia="Calibri" w:hAnsi="Palatino Linotype" w:cs="Arial"/>
        </w:rPr>
        <w:t xml:space="preserve"> </w:t>
      </w:r>
      <w:r w:rsidRPr="00697170">
        <w:rPr>
          <w:rFonts w:ascii="Palatino Linotype" w:eastAsia="Calibri" w:hAnsi="Palatino Linotype" w:cs="Arial"/>
        </w:rPr>
        <w:t>vía</w:t>
      </w:r>
      <w:r w:rsidR="001125D8" w:rsidRPr="00697170">
        <w:rPr>
          <w:rFonts w:ascii="Palatino Linotype" w:eastAsia="Calibri" w:hAnsi="Palatino Linotype" w:cs="Arial"/>
        </w:rPr>
        <w:t xml:space="preserve"> Sistema </w:t>
      </w:r>
      <w:r w:rsidR="001125D8" w:rsidRPr="00697170">
        <w:rPr>
          <w:rFonts w:ascii="Palatino Linotype" w:eastAsia="Times New Roman" w:hAnsi="Palatino Linotype" w:cs="Arial"/>
          <w:color w:val="000000" w:themeColor="text1"/>
          <w:lang w:val="es-ES"/>
        </w:rPr>
        <w:t>de</w:t>
      </w:r>
      <w:r w:rsidR="001125D8" w:rsidRPr="00697170">
        <w:rPr>
          <w:rFonts w:ascii="Palatino Linotype" w:eastAsia="Calibri" w:hAnsi="Palatino Linotype" w:cs="Arial"/>
        </w:rPr>
        <w:t xml:space="preserve"> Acceso a la Información Mexiquense</w:t>
      </w:r>
      <w:r w:rsidR="0074431C" w:rsidRPr="00697170">
        <w:rPr>
          <w:rFonts w:ascii="Palatino Linotype" w:eastAsia="Calibri" w:hAnsi="Palatino Linotype" w:cs="Arial"/>
        </w:rPr>
        <w:t xml:space="preserve">, en adelante </w:t>
      </w:r>
      <w:r w:rsidRPr="00697170">
        <w:rPr>
          <w:rFonts w:ascii="Palatino Linotype" w:eastAsia="Calibri" w:hAnsi="Palatino Linotype" w:cs="Arial"/>
          <w:lang w:val="es-ES"/>
        </w:rPr>
        <w:t xml:space="preserve">SAIMEX, la </w:t>
      </w:r>
      <w:r w:rsidR="001125D8" w:rsidRPr="00697170">
        <w:rPr>
          <w:rFonts w:ascii="Palatino Linotype" w:eastAsia="Calibri" w:hAnsi="Palatino Linotype" w:cs="Arial"/>
          <w:lang w:val="es-ES"/>
        </w:rPr>
        <w:t xml:space="preserve">siguiente </w:t>
      </w:r>
      <w:r w:rsidRPr="00697170">
        <w:rPr>
          <w:rFonts w:ascii="Palatino Linotype" w:eastAsia="Calibri" w:hAnsi="Palatino Linotype" w:cs="Arial"/>
          <w:lang w:val="es-ES"/>
        </w:rPr>
        <w:t>solicitud de información pública:</w:t>
      </w:r>
    </w:p>
    <w:p w14:paraId="178B136D" w14:textId="77777777" w:rsidR="00942616" w:rsidRPr="00697170" w:rsidRDefault="00942616" w:rsidP="00066B5D">
      <w:pPr>
        <w:pStyle w:val="Prrafodelista"/>
        <w:spacing w:line="360" w:lineRule="auto"/>
        <w:ind w:left="0"/>
        <w:jc w:val="both"/>
        <w:rPr>
          <w:rFonts w:ascii="Palatino Linotype" w:eastAsia="Calibri" w:hAnsi="Palatino Linotype" w:cs="Arial"/>
          <w:lang w:val="es-ES"/>
        </w:rPr>
      </w:pPr>
    </w:p>
    <w:p w14:paraId="4D74F757" w14:textId="789C6798" w:rsidR="00942616" w:rsidRPr="00697170" w:rsidRDefault="00AD54BF" w:rsidP="00066B5D">
      <w:pPr>
        <w:pStyle w:val="Prrafodelista"/>
        <w:ind w:left="425" w:right="476"/>
        <w:jc w:val="both"/>
        <w:rPr>
          <w:rFonts w:ascii="Palatino Linotype" w:hAnsi="Palatino Linotype"/>
        </w:rPr>
      </w:pPr>
      <w:r w:rsidRPr="00697170">
        <w:rPr>
          <w:rFonts w:ascii="Palatino Linotype" w:hAnsi="Palatino Linotype"/>
          <w:i/>
        </w:rPr>
        <w:t>“</w:t>
      </w:r>
      <w:r w:rsidR="00581E40" w:rsidRPr="00697170">
        <w:rPr>
          <w:rFonts w:ascii="Palatino Linotype" w:hAnsi="Palatino Linotype"/>
          <w:i/>
        </w:rPr>
        <w:t xml:space="preserve">Solicito del Ayuntamiento de Rayón, Estado de México y de las dependencias que lo integran, la siguiente información: - Saber si existen solicitudes para la incorporación al padrón catastral, obtención de certificaciones de clave y valor catastral, plano manzanero, levantamiento topográfico, visita técnica u otros actos relacionados con las atribuciones del área de catastro de dicho ayuntamiento, respecto del bien inmueble localizado en la Carretera Toluca - Tenango, sin número, con las coordenadas: 19°08'52.3"N 99°35'07.4"W, del cual también se adjunta referencia gráfica para evitar dilaciones innecesarias en una aclaración por la ubicación. - Solicito saber si a la fecha existen OFICIOS, COMUNICADOS, CIRCULARES, INSTRUCCIONES DIVERSAS o algún documento que limite a dicho predio para realizar trámites catastrales municipales. - Solicito saber si dicho </w:t>
      </w:r>
      <w:r w:rsidR="00581E40" w:rsidRPr="00697170">
        <w:rPr>
          <w:rFonts w:ascii="Palatino Linotype" w:hAnsi="Palatino Linotype"/>
          <w:i/>
        </w:rPr>
        <w:lastRenderedPageBreak/>
        <w:t xml:space="preserve">predio a la fecha, cuenta con clave catastral - Solicito saber si dicho predio a la fecha, se encuentra al corriente del impuesto predial - Solicito saber si dicho predio a la fecha, cuenta con multas, infracciones u obligaciones pendientes de pago. - Solicito saber si dicho predio a la fecha, se encuentra sujeto a algún procedimiento administrativo en el ámbito de su competencia. - Solicito saber si dicho predio a la fecha, se encuentra sujeto al catálogo de bienes inmuebles del Ayuntamiento de Rayón. (propiedad del </w:t>
      </w:r>
      <w:proofErr w:type="spellStart"/>
      <w:r w:rsidR="00581E40" w:rsidRPr="00697170">
        <w:rPr>
          <w:rFonts w:ascii="Palatino Linotype" w:hAnsi="Palatino Linotype"/>
          <w:i/>
        </w:rPr>
        <w:t>mpio</w:t>
      </w:r>
      <w:proofErr w:type="spellEnd"/>
      <w:r w:rsidR="00581E40" w:rsidRPr="00697170">
        <w:rPr>
          <w:rFonts w:ascii="Palatino Linotype" w:hAnsi="Palatino Linotype"/>
          <w:i/>
        </w:rPr>
        <w:t>) - Solicito saber si dicho predio a la fecha, se encuentra sujeto a conflicto entre particulares o entre el municipio y particulares. - Solicito saber si dicho predio a la fecha, se encuentra bajo conflicto de interés por parte de los servidores públicos del Ayuntamiento de Rayón. De lo solicitado, se solicita que dicha información sea notificada de manera electrónica a través del SAIMEX, con la posibilidad de solicitar copias certificadas a mi costa, de la respuesta y documentos que exhiba. En observancia de la LEY DE TRANSPARENCIA DE LA ENTIDAD y LA LEY DE PROTECCIÓN DE DATOS PERSONALES EN POSESIÓN DE SUJETOS OBLIGADOS DEL ESTADO DE MÉXICO Y MUNICIPIOS, solicito en versión pública toda y cada una de la información solicitada. Lo anterior con excepción de las comunicaciones oficiales, tales como OFICIOS, donde deberá prevalecer la información a la vista del solicitante.</w:t>
      </w:r>
      <w:r w:rsidR="00942616" w:rsidRPr="00697170">
        <w:rPr>
          <w:rFonts w:ascii="Palatino Linotype" w:hAnsi="Palatino Linotype"/>
          <w:i/>
        </w:rPr>
        <w:t>”</w:t>
      </w:r>
    </w:p>
    <w:p w14:paraId="1B41AE08" w14:textId="77777777" w:rsidR="00942616" w:rsidRPr="00697170" w:rsidRDefault="00942616" w:rsidP="00066B5D">
      <w:pPr>
        <w:pStyle w:val="Prrafodelista"/>
        <w:spacing w:line="360" w:lineRule="auto"/>
        <w:ind w:left="851" w:right="34"/>
        <w:jc w:val="both"/>
        <w:rPr>
          <w:rFonts w:ascii="Palatino Linotype" w:hAnsi="Palatino Linotype"/>
        </w:rPr>
      </w:pPr>
    </w:p>
    <w:p w14:paraId="77E75950" w14:textId="65461224" w:rsidR="00581E40" w:rsidRPr="00697170" w:rsidRDefault="00581E40" w:rsidP="00581E40">
      <w:pPr>
        <w:pStyle w:val="Prrafodelista"/>
        <w:numPr>
          <w:ilvl w:val="0"/>
          <w:numId w:val="23"/>
        </w:numPr>
        <w:tabs>
          <w:tab w:val="left" w:pos="0"/>
        </w:tabs>
        <w:spacing w:line="360" w:lineRule="auto"/>
        <w:ind w:left="709" w:right="616"/>
        <w:jc w:val="both"/>
        <w:rPr>
          <w:rFonts w:ascii="Palatino Linotype" w:hAnsi="Palatino Linotype"/>
        </w:rPr>
      </w:pPr>
      <w:r w:rsidRPr="00697170">
        <w:rPr>
          <w:rFonts w:ascii="Palatino Linotype" w:hAnsi="Palatino Linotype"/>
        </w:rPr>
        <w:t xml:space="preserve">Se </w:t>
      </w:r>
      <w:r w:rsidRPr="00697170">
        <w:rPr>
          <w:rFonts w:ascii="Palatino Linotype" w:eastAsia="Times New Roman" w:hAnsi="Palatino Linotype" w:cs="Arial"/>
          <w:lang w:val="es-ES"/>
        </w:rPr>
        <w:t>adjuntó</w:t>
      </w:r>
      <w:r w:rsidRPr="00697170">
        <w:rPr>
          <w:rFonts w:ascii="Palatino Linotype" w:hAnsi="Palatino Linotype"/>
        </w:rPr>
        <w:t xml:space="preserve"> el archivo denominado </w:t>
      </w:r>
      <w:r w:rsidRPr="00697170">
        <w:rPr>
          <w:rFonts w:ascii="Palatino Linotype" w:hAnsi="Palatino Linotype"/>
          <w:b/>
          <w:i/>
        </w:rPr>
        <w:t>PREDIO.pdf</w:t>
      </w:r>
      <w:r w:rsidRPr="00697170">
        <w:rPr>
          <w:rFonts w:ascii="Palatino Linotype" w:hAnsi="Palatino Linotype"/>
        </w:rPr>
        <w:t>, cuyo contenido corresponde a una imagen satelital del predio referido por el particular.</w:t>
      </w:r>
    </w:p>
    <w:p w14:paraId="41BE3230" w14:textId="77777777" w:rsidR="00942616" w:rsidRPr="00697170" w:rsidRDefault="00942616" w:rsidP="00AD54BF">
      <w:pPr>
        <w:pStyle w:val="Prrafodelista"/>
        <w:numPr>
          <w:ilvl w:val="0"/>
          <w:numId w:val="23"/>
        </w:numPr>
        <w:tabs>
          <w:tab w:val="left" w:pos="0"/>
        </w:tabs>
        <w:spacing w:line="360" w:lineRule="auto"/>
        <w:ind w:left="709" w:right="616"/>
        <w:jc w:val="both"/>
        <w:rPr>
          <w:rFonts w:ascii="Palatino Linotype" w:hAnsi="Palatino Linotype"/>
        </w:rPr>
      </w:pPr>
      <w:r w:rsidRPr="00697170">
        <w:rPr>
          <w:rFonts w:ascii="Palatino Linotype" w:eastAsia="Times New Roman" w:hAnsi="Palatino Linotype" w:cs="Arial"/>
          <w:lang w:val="es-ES"/>
        </w:rPr>
        <w:t xml:space="preserve">Se eligió como </w:t>
      </w:r>
      <w:r w:rsidRPr="00697170">
        <w:rPr>
          <w:rFonts w:ascii="Palatino Linotype" w:hAnsi="Palatino Linotype"/>
        </w:rPr>
        <w:t>modalidad</w:t>
      </w:r>
      <w:r w:rsidRPr="00697170">
        <w:rPr>
          <w:rFonts w:ascii="Palatino Linotype" w:eastAsia="Times New Roman" w:hAnsi="Palatino Linotype" w:cs="Arial"/>
          <w:lang w:val="es-ES"/>
        </w:rPr>
        <w:t xml:space="preserve"> de entrega de la información</w:t>
      </w:r>
      <w:r w:rsidRPr="00697170">
        <w:rPr>
          <w:rFonts w:ascii="Palatino Linotype" w:hAnsi="Palatino Linotype"/>
        </w:rPr>
        <w:t xml:space="preserve">: A través del </w:t>
      </w:r>
      <w:r w:rsidRPr="00697170">
        <w:rPr>
          <w:rFonts w:ascii="Palatino Linotype" w:hAnsi="Palatino Linotype"/>
          <w:b/>
        </w:rPr>
        <w:t>SAIMEX.</w:t>
      </w:r>
    </w:p>
    <w:p w14:paraId="7C56B93F" w14:textId="77777777" w:rsidR="0075791C" w:rsidRPr="00697170" w:rsidRDefault="0075791C" w:rsidP="0075791C">
      <w:pPr>
        <w:pStyle w:val="Prrafodelista"/>
        <w:tabs>
          <w:tab w:val="left" w:pos="0"/>
        </w:tabs>
        <w:spacing w:line="360" w:lineRule="auto"/>
        <w:ind w:left="709" w:right="616"/>
        <w:jc w:val="both"/>
        <w:rPr>
          <w:rFonts w:ascii="Palatino Linotype" w:hAnsi="Palatino Linotype"/>
        </w:rPr>
      </w:pPr>
    </w:p>
    <w:p w14:paraId="72E3469D" w14:textId="605C5E12" w:rsidR="001125D8" w:rsidRPr="00697170" w:rsidRDefault="000B03F3" w:rsidP="00066B5D">
      <w:pPr>
        <w:pStyle w:val="Prrafodelista"/>
        <w:numPr>
          <w:ilvl w:val="0"/>
          <w:numId w:val="2"/>
        </w:numPr>
        <w:tabs>
          <w:tab w:val="left" w:pos="0"/>
        </w:tabs>
        <w:spacing w:line="360" w:lineRule="auto"/>
        <w:ind w:left="709" w:right="51"/>
        <w:jc w:val="both"/>
        <w:rPr>
          <w:rFonts w:ascii="Palatino Linotype" w:hAnsi="Palatino Linotype"/>
          <w:b/>
          <w:u w:val="single"/>
        </w:rPr>
      </w:pPr>
      <w:r w:rsidRPr="00697170">
        <w:rPr>
          <w:rFonts w:ascii="Palatino Linotype" w:hAnsi="Palatino Linotype"/>
          <w:b/>
          <w:u w:val="single"/>
        </w:rPr>
        <w:t>Respuesta del Sujeto Obligado</w:t>
      </w:r>
      <w:r w:rsidR="003C236F" w:rsidRPr="00697170">
        <w:rPr>
          <w:rFonts w:ascii="Palatino Linotype" w:hAnsi="Palatino Linotype"/>
          <w:b/>
          <w:u w:val="single"/>
        </w:rPr>
        <w:t xml:space="preserve">. </w:t>
      </w:r>
    </w:p>
    <w:p w14:paraId="25112C50" w14:textId="4C273BAC" w:rsidR="00844CA2" w:rsidRPr="00697170" w:rsidRDefault="00942616" w:rsidP="00DF2E42">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697170">
        <w:rPr>
          <w:rFonts w:ascii="Palatino Linotype" w:hAnsi="Palatino Linotype" w:cs="Arial"/>
          <w:color w:val="000000" w:themeColor="text1"/>
        </w:rPr>
        <w:t>El</w:t>
      </w:r>
      <w:r w:rsidR="00133699" w:rsidRPr="00697170">
        <w:rPr>
          <w:rFonts w:ascii="Palatino Linotype" w:hAnsi="Palatino Linotype" w:cs="Arial"/>
          <w:b/>
          <w:color w:val="000000" w:themeColor="text1"/>
        </w:rPr>
        <w:t xml:space="preserve"> </w:t>
      </w:r>
      <w:r w:rsidR="00581E40" w:rsidRPr="00697170">
        <w:rPr>
          <w:rFonts w:ascii="Palatino Linotype" w:hAnsi="Palatino Linotype" w:cs="Arial"/>
          <w:b/>
          <w:color w:val="000000" w:themeColor="text1"/>
        </w:rPr>
        <w:t>once de octubre</w:t>
      </w:r>
      <w:r w:rsidR="001E27D8" w:rsidRPr="00697170">
        <w:rPr>
          <w:rFonts w:ascii="Palatino Linotype" w:hAnsi="Palatino Linotype" w:cs="Arial"/>
          <w:b/>
          <w:color w:val="000000" w:themeColor="text1"/>
        </w:rPr>
        <w:t xml:space="preserve"> de dos mil veintitrés</w:t>
      </w:r>
      <w:r w:rsidRPr="00697170">
        <w:rPr>
          <w:rFonts w:ascii="Palatino Linotype" w:hAnsi="Palatino Linotype" w:cs="Arial"/>
          <w:color w:val="000000" w:themeColor="text1"/>
        </w:rPr>
        <w:t xml:space="preserve">, el </w:t>
      </w:r>
      <w:r w:rsidR="001125D8" w:rsidRPr="00697170">
        <w:rPr>
          <w:rFonts w:ascii="Palatino Linotype" w:hAnsi="Palatino Linotype" w:cs="Arial"/>
          <w:color w:val="000000" w:themeColor="text1"/>
        </w:rPr>
        <w:t>Sujeto Obligado</w:t>
      </w:r>
      <w:r w:rsidRPr="00697170">
        <w:rPr>
          <w:rFonts w:ascii="Palatino Linotype" w:hAnsi="Palatino Linotype" w:cs="Arial"/>
          <w:b/>
          <w:color w:val="000000" w:themeColor="text1"/>
        </w:rPr>
        <w:t>,</w:t>
      </w:r>
      <w:r w:rsidRPr="00697170">
        <w:rPr>
          <w:rFonts w:ascii="Palatino Linotype" w:hAnsi="Palatino Linotype" w:cs="Arial"/>
          <w:color w:val="000000" w:themeColor="text1"/>
        </w:rPr>
        <w:t xml:space="preserve"> dio respuesta a través </w:t>
      </w:r>
      <w:r w:rsidR="00EF4C98" w:rsidRPr="00697170">
        <w:rPr>
          <w:rFonts w:ascii="Palatino Linotype" w:hAnsi="Palatino Linotype" w:cs="Arial"/>
          <w:color w:val="000000" w:themeColor="text1"/>
        </w:rPr>
        <w:t>del</w:t>
      </w:r>
      <w:r w:rsidR="00581E40" w:rsidRPr="00697170">
        <w:rPr>
          <w:rFonts w:ascii="Palatino Linotype" w:hAnsi="Palatino Linotype" w:cs="Arial"/>
          <w:color w:val="000000" w:themeColor="text1"/>
        </w:rPr>
        <w:t xml:space="preserve"> archivo denominado </w:t>
      </w:r>
      <w:r w:rsidR="00581E40" w:rsidRPr="00697170">
        <w:rPr>
          <w:rFonts w:ascii="Palatino Linotype" w:hAnsi="Palatino Linotype" w:cs="Arial"/>
          <w:b/>
          <w:i/>
          <w:color w:val="000000" w:themeColor="text1"/>
        </w:rPr>
        <w:t>Escaneo0028.pdf</w:t>
      </w:r>
      <w:r w:rsidR="00EF4C98" w:rsidRPr="00697170">
        <w:rPr>
          <w:rFonts w:ascii="Palatino Linotype" w:hAnsi="Palatino Linotype" w:cs="Arial"/>
          <w:color w:val="000000" w:themeColor="text1"/>
        </w:rPr>
        <w:t xml:space="preserve"> </w:t>
      </w:r>
      <w:r w:rsidR="00581E40" w:rsidRPr="00697170">
        <w:rPr>
          <w:rFonts w:ascii="Palatino Linotype" w:hAnsi="Palatino Linotype" w:cs="Arial"/>
          <w:color w:val="000000" w:themeColor="text1"/>
        </w:rPr>
        <w:t>cuyo contenido corresponde</w:t>
      </w:r>
      <w:r w:rsidR="00DF2E42" w:rsidRPr="00697170">
        <w:rPr>
          <w:rFonts w:ascii="Palatino Linotype" w:hAnsi="Palatino Linotype" w:cs="Arial"/>
          <w:color w:val="000000" w:themeColor="text1"/>
        </w:rPr>
        <w:t xml:space="preserve"> a un escrito suscrito por el Titular de la Unidad de Transparencia, a través del cual informa al particular, que la información que es de su interés tiene el carácter de confidencial y que solo podrán acceder a los datos sus titulares.</w:t>
      </w:r>
    </w:p>
    <w:p w14:paraId="4272B8E3" w14:textId="77777777" w:rsidR="001125D8" w:rsidRPr="00697170" w:rsidRDefault="001125D8" w:rsidP="00066B5D">
      <w:pPr>
        <w:tabs>
          <w:tab w:val="left" w:pos="0"/>
        </w:tabs>
        <w:spacing w:line="360" w:lineRule="auto"/>
        <w:ind w:right="51"/>
        <w:jc w:val="both"/>
        <w:rPr>
          <w:rFonts w:ascii="Palatino Linotype" w:hAnsi="Palatino Linotype" w:cs="Arial"/>
          <w:i/>
          <w:color w:val="000000" w:themeColor="text1"/>
        </w:rPr>
      </w:pPr>
    </w:p>
    <w:p w14:paraId="5949AA68" w14:textId="77777777" w:rsidR="000B03F3" w:rsidRPr="00697170" w:rsidRDefault="000B03F3"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697170">
        <w:rPr>
          <w:rFonts w:ascii="Palatino Linotype" w:hAnsi="Palatino Linotype"/>
          <w:b/>
          <w:u w:val="single"/>
        </w:rPr>
        <w:t>Recurso de Revisión (razones o motivos de inconformidad)</w:t>
      </w:r>
    </w:p>
    <w:p w14:paraId="30268E17" w14:textId="0D830AC5" w:rsidR="00942616" w:rsidRPr="00697170" w:rsidRDefault="00942616" w:rsidP="00990819">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697170">
        <w:rPr>
          <w:rFonts w:ascii="Palatino Linotype" w:eastAsia="Times New Roman" w:hAnsi="Palatino Linotype" w:cs="Arial"/>
          <w:color w:val="000000" w:themeColor="text1"/>
          <w:lang w:val="es-ES"/>
        </w:rPr>
        <w:t>El</w:t>
      </w:r>
      <w:r w:rsidR="00722086" w:rsidRPr="00697170">
        <w:rPr>
          <w:rFonts w:ascii="Palatino Linotype" w:eastAsia="Times New Roman" w:hAnsi="Palatino Linotype" w:cs="Arial"/>
          <w:b/>
          <w:color w:val="000000" w:themeColor="text1"/>
          <w:lang w:val="es-ES"/>
        </w:rPr>
        <w:t xml:space="preserve"> </w:t>
      </w:r>
      <w:r w:rsidR="00DF2E42" w:rsidRPr="00697170">
        <w:rPr>
          <w:rFonts w:ascii="Palatino Linotype" w:eastAsia="Times New Roman" w:hAnsi="Palatino Linotype" w:cs="Arial"/>
          <w:b/>
          <w:color w:val="000000" w:themeColor="text1"/>
          <w:lang w:val="es-ES"/>
        </w:rPr>
        <w:t>doce de octubre</w:t>
      </w:r>
      <w:r w:rsidR="001E27D8" w:rsidRPr="00697170">
        <w:rPr>
          <w:rFonts w:ascii="Palatino Linotype" w:eastAsia="Times New Roman" w:hAnsi="Palatino Linotype" w:cs="Arial"/>
          <w:b/>
          <w:color w:val="000000" w:themeColor="text1"/>
          <w:lang w:val="es-ES"/>
        </w:rPr>
        <w:t xml:space="preserve"> de dos mil veintitrés</w:t>
      </w:r>
      <w:r w:rsidRPr="00697170">
        <w:rPr>
          <w:rFonts w:ascii="Palatino Linotype" w:eastAsia="Times New Roman" w:hAnsi="Palatino Linotype" w:cs="Arial"/>
          <w:color w:val="000000" w:themeColor="text1"/>
          <w:lang w:val="es-ES"/>
        </w:rPr>
        <w:t xml:space="preserve">, el particular interpuso el recurso de revisión en contra de la respuesta, </w:t>
      </w:r>
      <w:r w:rsidR="003C236F" w:rsidRPr="00697170">
        <w:rPr>
          <w:rFonts w:ascii="Palatino Linotype" w:eastAsia="Times New Roman" w:hAnsi="Palatino Linotype" w:cs="Arial"/>
          <w:color w:val="000000" w:themeColor="text1"/>
          <w:lang w:val="es-ES"/>
        </w:rPr>
        <w:t>realizando las siguientes manifestaciones</w:t>
      </w:r>
      <w:r w:rsidRPr="00697170">
        <w:rPr>
          <w:rFonts w:ascii="Palatino Linotype" w:eastAsia="Times New Roman" w:hAnsi="Palatino Linotype" w:cs="Arial"/>
          <w:color w:val="000000" w:themeColor="text1"/>
          <w:lang w:val="es-ES"/>
        </w:rPr>
        <w:t>:</w:t>
      </w:r>
    </w:p>
    <w:p w14:paraId="5225D202" w14:textId="77777777" w:rsidR="00942616" w:rsidRPr="00697170" w:rsidRDefault="00942616" w:rsidP="00066B5D">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32E07A6B" w:rsidR="00942616" w:rsidRPr="00697170" w:rsidRDefault="00942616" w:rsidP="00DF2E42">
      <w:pPr>
        <w:pStyle w:val="Prrafodelista"/>
        <w:numPr>
          <w:ilvl w:val="0"/>
          <w:numId w:val="20"/>
        </w:numPr>
        <w:ind w:left="709"/>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697170">
        <w:rPr>
          <w:rStyle w:val="Ttulo2Car"/>
          <w:rFonts w:ascii="Palatino Linotype" w:hAnsi="Palatino Linotype"/>
          <w:b/>
          <w:color w:val="auto"/>
          <w:sz w:val="24"/>
          <w:szCs w:val="24"/>
        </w:rPr>
        <w:t>Acto impugnado</w:t>
      </w:r>
      <w:bookmarkEnd w:id="3"/>
      <w:r w:rsidRPr="00697170">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697170">
        <w:rPr>
          <w:rStyle w:val="Ttulo2Car"/>
          <w:rFonts w:ascii="Palatino Linotype" w:hAnsi="Palatino Linotype"/>
          <w:i/>
          <w:color w:val="000000" w:themeColor="text1"/>
          <w:sz w:val="24"/>
          <w:szCs w:val="24"/>
        </w:rPr>
        <w:t>“</w:t>
      </w:r>
      <w:r w:rsidR="00DF2E42" w:rsidRPr="00697170">
        <w:rPr>
          <w:rStyle w:val="Ttulo2Car"/>
          <w:rFonts w:ascii="Palatino Linotype" w:hAnsi="Palatino Linotype"/>
          <w:i/>
          <w:color w:val="000000" w:themeColor="text1"/>
          <w:sz w:val="24"/>
          <w:szCs w:val="24"/>
        </w:rPr>
        <w:t>La respuesta recaída a la solicitud de acceso a la información con número 00064/RAYON/IP/2023, la cual de manera incorrecta, imprecisa e infundada responde a través del oficio sin número, de fecha 11 de octubre de 2023, notificada a mi persona en la fecha en que se actúa.</w:t>
      </w:r>
      <w:r w:rsidR="009304C1" w:rsidRPr="00697170">
        <w:rPr>
          <w:rStyle w:val="Ttulo2Car"/>
          <w:rFonts w:ascii="Palatino Linotype" w:hAnsi="Palatino Linotype"/>
          <w:i/>
          <w:color w:val="000000" w:themeColor="text1"/>
          <w:sz w:val="24"/>
          <w:szCs w:val="24"/>
        </w:rPr>
        <w:t>”</w:t>
      </w:r>
    </w:p>
    <w:p w14:paraId="7F76B7BF" w14:textId="5861CD46" w:rsidR="00942616" w:rsidRPr="00697170" w:rsidRDefault="004F003E" w:rsidP="00DF2E42">
      <w:pPr>
        <w:pStyle w:val="Prrafodelista"/>
        <w:tabs>
          <w:tab w:val="left" w:pos="7020"/>
        </w:tabs>
        <w:ind w:left="709"/>
        <w:jc w:val="both"/>
        <w:rPr>
          <w:rStyle w:val="Ttulo2Car"/>
          <w:rFonts w:ascii="Palatino Linotype" w:hAnsi="Palatino Linotype"/>
          <w:i/>
          <w:color w:val="000000" w:themeColor="text1"/>
          <w:sz w:val="24"/>
          <w:szCs w:val="24"/>
        </w:rPr>
      </w:pPr>
      <w:r w:rsidRPr="00697170">
        <w:rPr>
          <w:rStyle w:val="Ttulo2Car"/>
          <w:rFonts w:ascii="Palatino Linotype" w:hAnsi="Palatino Linotype"/>
          <w:i/>
          <w:color w:val="000000" w:themeColor="text1"/>
          <w:sz w:val="24"/>
          <w:szCs w:val="24"/>
        </w:rPr>
        <w:tab/>
      </w:r>
    </w:p>
    <w:p w14:paraId="08740AC8" w14:textId="3EBA1A5E" w:rsidR="00942616" w:rsidRPr="00697170" w:rsidRDefault="00942616" w:rsidP="00DF2E42">
      <w:pPr>
        <w:pStyle w:val="Prrafodelista"/>
        <w:numPr>
          <w:ilvl w:val="0"/>
          <w:numId w:val="20"/>
        </w:numPr>
        <w:ind w:left="709"/>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697170">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697170">
        <w:rPr>
          <w:rFonts w:ascii="Palatino Linotype" w:hAnsi="Palatino Linotype"/>
          <w:b/>
          <w:color w:val="000000" w:themeColor="text1"/>
        </w:rPr>
        <w:t xml:space="preserve"> </w:t>
      </w:r>
      <w:r w:rsidR="004B1C4A" w:rsidRPr="00697170">
        <w:rPr>
          <w:rFonts w:ascii="Palatino Linotype" w:hAnsi="Palatino Linotype"/>
          <w:color w:val="000000" w:themeColor="text1"/>
        </w:rPr>
        <w:t>“</w:t>
      </w:r>
      <w:r w:rsidR="00DF2E42" w:rsidRPr="00697170">
        <w:rPr>
          <w:rFonts w:ascii="Palatino Linotype" w:hAnsi="Palatino Linotype"/>
          <w:i/>
          <w:color w:val="000000" w:themeColor="text1"/>
        </w:rPr>
        <w:t xml:space="preserve">La respuesta recaída a la solicitud de acceso a la información con número 00064/RAYON/IP/2023, la cual de manera incorrecta, imprecisa e infundada responde a través del oficio sin número, de fecha 11 de octubre de 2023. Causándome perjuicio al responder de manera general a todas y cada una de mis solicitudes, bajo la premisa de tratarse de supuesta información confidencial, sin </w:t>
      </w:r>
      <w:proofErr w:type="gramStart"/>
      <w:r w:rsidR="00DF2E42" w:rsidRPr="00697170">
        <w:rPr>
          <w:rFonts w:ascii="Palatino Linotype" w:hAnsi="Palatino Linotype"/>
          <w:i/>
          <w:color w:val="000000" w:themeColor="text1"/>
        </w:rPr>
        <w:t>embargo</w:t>
      </w:r>
      <w:proofErr w:type="gramEnd"/>
      <w:r w:rsidR="00DF2E42" w:rsidRPr="00697170">
        <w:rPr>
          <w:rFonts w:ascii="Palatino Linotype" w:hAnsi="Palatino Linotype"/>
          <w:i/>
          <w:color w:val="000000" w:themeColor="text1"/>
        </w:rPr>
        <w:t xml:space="preserve"> en ninguna parte de la solicitud solicito datos personales de particulares. Ahora bien, suponiendo sin conceder que parte de la información solicitada se vuelva de tipo confidencial, no se adjunta a la respuesta el acuerdo por medio del cual se clasifica y </w:t>
      </w:r>
      <w:proofErr w:type="spellStart"/>
      <w:r w:rsidR="00DF2E42" w:rsidRPr="00697170">
        <w:rPr>
          <w:rFonts w:ascii="Palatino Linotype" w:hAnsi="Palatino Linotype"/>
          <w:i/>
          <w:color w:val="000000" w:themeColor="text1"/>
        </w:rPr>
        <w:t>detemina</w:t>
      </w:r>
      <w:proofErr w:type="spellEnd"/>
      <w:r w:rsidR="00DF2E42" w:rsidRPr="00697170">
        <w:rPr>
          <w:rFonts w:ascii="Palatino Linotype" w:hAnsi="Palatino Linotype"/>
          <w:i/>
          <w:color w:val="000000" w:themeColor="text1"/>
        </w:rPr>
        <w:t xml:space="preserve"> tal carácter. Es omiso el Ayuntamiento de Rayón en estudiar, comprender y responder de manera particular a todos y cada uno de mis solicitudes, ya que no solamente solicito información del bien inmueble, sino que también se solicita información respecto de actos administrativos dictados por autoridades, situación que evidentemente NO es parte de los supuestos datos personales, tal como lo manifesté de origen en mi solicitud de información.</w:t>
      </w:r>
      <w:r w:rsidRPr="00697170">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697170">
        <w:rPr>
          <w:rFonts w:ascii="Palatino Linotype" w:hAnsi="Palatino Linotype"/>
          <w:i/>
          <w:color w:val="000000" w:themeColor="text1"/>
        </w:rPr>
        <w:t xml:space="preserve"> </w:t>
      </w:r>
      <w:r w:rsidR="003C236F" w:rsidRPr="00697170">
        <w:rPr>
          <w:rFonts w:ascii="Palatino Linotype" w:hAnsi="Palatino Linotype"/>
          <w:color w:val="000000" w:themeColor="text1"/>
        </w:rPr>
        <w:t>(Sic)</w:t>
      </w:r>
    </w:p>
    <w:p w14:paraId="3F211AAF" w14:textId="77777777" w:rsidR="000B03F3" w:rsidRPr="00697170" w:rsidRDefault="000B03F3" w:rsidP="00DF2E42">
      <w:pPr>
        <w:spacing w:line="360" w:lineRule="auto"/>
        <w:rPr>
          <w:rFonts w:ascii="Palatino Linotype" w:hAnsi="Palatino Linotype"/>
          <w:i/>
          <w:color w:val="000000" w:themeColor="text1"/>
        </w:rPr>
      </w:pPr>
    </w:p>
    <w:p w14:paraId="3D87600F" w14:textId="608565EE" w:rsidR="00DF2E42" w:rsidRPr="00697170" w:rsidRDefault="00DF2E42" w:rsidP="00DF2E42">
      <w:pPr>
        <w:pStyle w:val="Prrafodelista"/>
        <w:numPr>
          <w:ilvl w:val="0"/>
          <w:numId w:val="20"/>
        </w:numPr>
        <w:spacing w:line="360" w:lineRule="auto"/>
        <w:ind w:left="709"/>
        <w:jc w:val="both"/>
        <w:rPr>
          <w:rFonts w:ascii="Palatino Linotype" w:hAnsi="Palatino Linotype"/>
          <w:color w:val="000000" w:themeColor="text1"/>
        </w:rPr>
      </w:pPr>
      <w:proofErr w:type="gramStart"/>
      <w:r w:rsidRPr="00697170">
        <w:rPr>
          <w:rFonts w:ascii="Palatino Linotype" w:hAnsi="Palatino Linotype"/>
          <w:color w:val="000000" w:themeColor="text1"/>
        </w:rPr>
        <w:t>Asimismo</w:t>
      </w:r>
      <w:proofErr w:type="gramEnd"/>
      <w:r w:rsidRPr="00697170">
        <w:rPr>
          <w:rFonts w:ascii="Palatino Linotype" w:hAnsi="Palatino Linotype"/>
          <w:color w:val="000000" w:themeColor="text1"/>
        </w:rPr>
        <w:t xml:space="preserve"> adjunto un archivo de nombre </w:t>
      </w:r>
      <w:r w:rsidRPr="00697170">
        <w:rPr>
          <w:rFonts w:ascii="Palatino Linotype" w:hAnsi="Palatino Linotype"/>
          <w:b/>
          <w:i/>
          <w:color w:val="000000" w:themeColor="text1"/>
        </w:rPr>
        <w:t>Escaneo0028.pdf</w:t>
      </w:r>
      <w:r w:rsidRPr="00697170">
        <w:rPr>
          <w:rFonts w:ascii="Palatino Linotype" w:hAnsi="Palatino Linotype"/>
          <w:b/>
          <w:color w:val="000000" w:themeColor="text1"/>
        </w:rPr>
        <w:t xml:space="preserve">, </w:t>
      </w:r>
      <w:r w:rsidRPr="00697170">
        <w:rPr>
          <w:rFonts w:ascii="Palatino Linotype" w:hAnsi="Palatino Linotype"/>
          <w:color w:val="000000" w:themeColor="text1"/>
        </w:rPr>
        <w:t>cuyo contenido corresponde al escrito de respuesta remitido por el Sujeto Obligado anteriormente descrito</w:t>
      </w:r>
      <w:r w:rsidR="009F7BD4" w:rsidRPr="00697170">
        <w:rPr>
          <w:rFonts w:ascii="Palatino Linotype" w:hAnsi="Palatino Linotype"/>
          <w:color w:val="000000" w:themeColor="text1"/>
        </w:rPr>
        <w:t>, que en obvio de repeticiones innecesarias se tiene por reproducido como si a la letra se insertare</w:t>
      </w:r>
      <w:r w:rsidRPr="00697170">
        <w:rPr>
          <w:rFonts w:ascii="Palatino Linotype" w:hAnsi="Palatino Linotype"/>
          <w:color w:val="000000" w:themeColor="text1"/>
        </w:rPr>
        <w:t>.</w:t>
      </w:r>
    </w:p>
    <w:p w14:paraId="20ED63AF" w14:textId="77777777" w:rsidR="00DF2E42" w:rsidRPr="00697170" w:rsidRDefault="00DF2E42" w:rsidP="00DF2E42">
      <w:pPr>
        <w:pStyle w:val="Prrafodelista"/>
        <w:rPr>
          <w:rFonts w:ascii="Palatino Linotype" w:hAnsi="Palatino Linotype"/>
          <w:color w:val="000000" w:themeColor="text1"/>
        </w:rPr>
      </w:pPr>
    </w:p>
    <w:p w14:paraId="6DB8725A" w14:textId="078F0360" w:rsidR="000B03F3" w:rsidRPr="00697170" w:rsidRDefault="000B03F3"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697170">
        <w:rPr>
          <w:rFonts w:ascii="Palatino Linotype" w:hAnsi="Palatino Linotype"/>
          <w:b/>
          <w:u w:val="single"/>
        </w:rPr>
        <w:t>Manifestaciones, alegatos y respuesta complementaría.</w:t>
      </w:r>
    </w:p>
    <w:p w14:paraId="163EA181" w14:textId="42F530C9" w:rsidR="00942616" w:rsidRPr="00697170" w:rsidRDefault="000B03F3" w:rsidP="00066B5D">
      <w:pPr>
        <w:pStyle w:val="Prrafodelista"/>
        <w:numPr>
          <w:ilvl w:val="0"/>
          <w:numId w:val="1"/>
        </w:numPr>
        <w:spacing w:line="360" w:lineRule="auto"/>
        <w:ind w:left="0" w:firstLine="0"/>
        <w:jc w:val="both"/>
        <w:rPr>
          <w:rFonts w:ascii="Palatino Linotype" w:hAnsi="Palatino Linotype"/>
          <w:i/>
        </w:rPr>
      </w:pPr>
      <w:r w:rsidRPr="00697170">
        <w:rPr>
          <w:rFonts w:ascii="Palatino Linotype" w:eastAsia="Calibri" w:hAnsi="Palatino Linotype" w:cs="Arial"/>
          <w:lang w:val="es-ES"/>
        </w:rPr>
        <w:lastRenderedPageBreak/>
        <w:t>C</w:t>
      </w:r>
      <w:r w:rsidR="00942616" w:rsidRPr="00697170">
        <w:rPr>
          <w:rFonts w:ascii="Palatino Linotype" w:eastAsia="Calibri" w:hAnsi="Palatino Linotype" w:cs="Arial"/>
          <w:lang w:val="es-ES"/>
        </w:rPr>
        <w:t xml:space="preserve">on fundamento en lo dispuesto por el artículo 185 fracción II de la ley de la materia, </w:t>
      </w:r>
      <w:r w:rsidRPr="00697170">
        <w:rPr>
          <w:rFonts w:ascii="Palatino Linotype" w:eastAsia="Calibri" w:hAnsi="Palatino Linotype" w:cs="Arial"/>
          <w:lang w:val="es-ES"/>
        </w:rPr>
        <w:t>se acordó a</w:t>
      </w:r>
      <w:r w:rsidR="00942616" w:rsidRPr="00697170">
        <w:rPr>
          <w:rFonts w:ascii="Palatino Linotype" w:eastAsia="Calibri" w:hAnsi="Palatino Linotype" w:cs="Arial"/>
          <w:lang w:val="es-ES"/>
        </w:rPr>
        <w:t xml:space="preserve"> las partes a efecto de </w:t>
      </w:r>
      <w:proofErr w:type="gramStart"/>
      <w:r w:rsidR="00942616" w:rsidRPr="00697170">
        <w:rPr>
          <w:rFonts w:ascii="Palatino Linotype" w:eastAsia="Calibri" w:hAnsi="Palatino Linotype" w:cs="Arial"/>
          <w:lang w:val="es-ES"/>
        </w:rPr>
        <w:t>que</w:t>
      </w:r>
      <w:proofErr w:type="gramEnd"/>
      <w:r w:rsidR="00942616" w:rsidRPr="00697170">
        <w:rPr>
          <w:rFonts w:ascii="Palatino Linotype" w:eastAsia="Calibri" w:hAnsi="Palatino Linotype" w:cs="Arial"/>
          <w:lang w:val="es-ES"/>
        </w:rPr>
        <w:t xml:space="preserve"> e</w:t>
      </w:r>
      <w:r w:rsidRPr="00697170">
        <w:rPr>
          <w:rFonts w:ascii="Palatino Linotype" w:eastAsia="Calibri" w:hAnsi="Palatino Linotype" w:cs="Arial"/>
          <w:lang w:val="es-ES"/>
        </w:rPr>
        <w:t xml:space="preserve">n un plazo máximo de siete días, el Recurrente </w:t>
      </w:r>
      <w:r w:rsidR="00942616" w:rsidRPr="00697170">
        <w:rPr>
          <w:rFonts w:ascii="Palatino Linotype" w:eastAsia="Calibri" w:hAnsi="Palatino Linotype" w:cs="Arial"/>
          <w:lang w:val="es-ES"/>
        </w:rPr>
        <w:t xml:space="preserve">manifestara lo que a su derecho conviniera, ofrecieran pruebas y alegatos, y el </w:t>
      </w:r>
      <w:r w:rsidR="00D05A0E" w:rsidRPr="00697170">
        <w:rPr>
          <w:rFonts w:ascii="Palatino Linotype" w:eastAsia="Calibri" w:hAnsi="Palatino Linotype" w:cs="Arial"/>
          <w:lang w:val="es-ES"/>
        </w:rPr>
        <w:t xml:space="preserve">Sujeto Obligado </w:t>
      </w:r>
      <w:r w:rsidR="00942616" w:rsidRPr="00697170">
        <w:rPr>
          <w:rFonts w:ascii="Palatino Linotype" w:eastAsia="Calibri" w:hAnsi="Palatino Linotype" w:cs="Arial"/>
          <w:lang w:val="es-ES"/>
        </w:rPr>
        <w:t>pr</w:t>
      </w:r>
      <w:r w:rsidRPr="00697170">
        <w:rPr>
          <w:rFonts w:ascii="Palatino Linotype" w:eastAsia="Calibri" w:hAnsi="Palatino Linotype" w:cs="Arial"/>
          <w:lang w:val="es-ES"/>
        </w:rPr>
        <w:t>esentará el Informe Justificado.</w:t>
      </w:r>
    </w:p>
    <w:p w14:paraId="33DDAC62" w14:textId="77777777" w:rsidR="00D05A0E" w:rsidRPr="00697170" w:rsidRDefault="00D05A0E" w:rsidP="00066B5D">
      <w:pPr>
        <w:pStyle w:val="Prrafodelista"/>
        <w:spacing w:line="360" w:lineRule="auto"/>
        <w:ind w:left="0"/>
        <w:jc w:val="both"/>
        <w:rPr>
          <w:rFonts w:ascii="Palatino Linotype" w:hAnsi="Palatino Linotype"/>
          <w:i/>
        </w:rPr>
      </w:pPr>
    </w:p>
    <w:p w14:paraId="4571EE86" w14:textId="05DB502F" w:rsidR="003E76A0" w:rsidRPr="00697170" w:rsidRDefault="00D05A0E" w:rsidP="00DF2E42">
      <w:pPr>
        <w:pStyle w:val="Prrafodelista"/>
        <w:numPr>
          <w:ilvl w:val="0"/>
          <w:numId w:val="1"/>
        </w:numPr>
        <w:spacing w:line="360" w:lineRule="auto"/>
        <w:ind w:left="0" w:firstLine="0"/>
        <w:jc w:val="both"/>
        <w:rPr>
          <w:rFonts w:ascii="Palatino Linotype" w:hAnsi="Palatino Linotype"/>
        </w:rPr>
      </w:pPr>
      <w:r w:rsidRPr="00697170">
        <w:rPr>
          <w:rFonts w:ascii="Palatino Linotype" w:hAnsi="Palatino Linotype"/>
          <w:color w:val="000000"/>
        </w:rPr>
        <w:t>El Recurrente</w:t>
      </w:r>
      <w:r w:rsidRPr="00697170">
        <w:rPr>
          <w:rFonts w:ascii="Palatino Linotype" w:hAnsi="Palatino Linotype"/>
          <w:b/>
          <w:color w:val="000000"/>
        </w:rPr>
        <w:t xml:space="preserve"> </w:t>
      </w:r>
      <w:r w:rsidRPr="00697170">
        <w:rPr>
          <w:rFonts w:ascii="Palatino Linotype" w:hAnsi="Palatino Linotype"/>
          <w:color w:val="000000"/>
        </w:rPr>
        <w:t xml:space="preserve">dejó de realizar </w:t>
      </w:r>
      <w:r w:rsidRPr="00697170">
        <w:rPr>
          <w:rFonts w:ascii="Palatino Linotype" w:hAnsi="Palatino Linotype"/>
          <w:color w:val="000000" w:themeColor="text1"/>
        </w:rPr>
        <w:t>manifestaciones</w:t>
      </w:r>
      <w:r w:rsidRPr="00697170">
        <w:rPr>
          <w:rFonts w:ascii="Palatino Linotype" w:hAnsi="Palatino Linotype"/>
          <w:color w:val="000000"/>
        </w:rPr>
        <w:t xml:space="preserve"> que a su derecho conviniera y asistiera. </w:t>
      </w:r>
      <w:r w:rsidR="000B03F3" w:rsidRPr="00697170">
        <w:rPr>
          <w:rFonts w:ascii="Palatino Linotype" w:hAnsi="Palatino Linotype"/>
          <w:color w:val="000000"/>
        </w:rPr>
        <w:t>Por su parte</w:t>
      </w:r>
      <w:r w:rsidR="003E76A0" w:rsidRPr="00697170">
        <w:rPr>
          <w:rFonts w:ascii="Palatino Linotype" w:hAnsi="Palatino Linotype"/>
          <w:color w:val="000000"/>
        </w:rPr>
        <w:t xml:space="preserve">, el </w:t>
      </w:r>
      <w:r w:rsidR="000B03F3" w:rsidRPr="00697170">
        <w:rPr>
          <w:rFonts w:ascii="Palatino Linotype" w:hAnsi="Palatino Linotype"/>
          <w:color w:val="000000"/>
        </w:rPr>
        <w:t xml:space="preserve">Sujeto </w:t>
      </w:r>
      <w:r w:rsidR="000B03F3" w:rsidRPr="00697170">
        <w:rPr>
          <w:rFonts w:ascii="Palatino Linotype" w:eastAsia="Calibri" w:hAnsi="Palatino Linotype" w:cs="Arial"/>
          <w:lang w:val="es-ES"/>
        </w:rPr>
        <w:t>Obligado</w:t>
      </w:r>
      <w:r w:rsidR="00670DFC" w:rsidRPr="00697170">
        <w:rPr>
          <w:rFonts w:ascii="Palatino Linotype" w:hAnsi="Palatino Linotype"/>
          <w:color w:val="000000"/>
        </w:rPr>
        <w:t>,</w:t>
      </w:r>
      <w:r w:rsidR="000B03F3" w:rsidRPr="00697170">
        <w:rPr>
          <w:rFonts w:ascii="Palatino Linotype" w:hAnsi="Palatino Linotype"/>
          <w:b/>
          <w:color w:val="000000"/>
        </w:rPr>
        <w:t xml:space="preserve"> </w:t>
      </w:r>
      <w:r w:rsidR="00DF2E42" w:rsidRPr="00697170">
        <w:rPr>
          <w:rFonts w:ascii="Palatino Linotype" w:hAnsi="Palatino Linotype"/>
          <w:color w:val="000000"/>
        </w:rPr>
        <w:t xml:space="preserve">rindió su informe justificado a través de dos archivos denominados </w:t>
      </w:r>
      <w:r w:rsidR="00DF2E42" w:rsidRPr="00697170">
        <w:rPr>
          <w:rFonts w:ascii="Palatino Linotype" w:hAnsi="Palatino Linotype"/>
          <w:b/>
          <w:i/>
          <w:color w:val="000000"/>
        </w:rPr>
        <w:t>Escaneo0034.pdf</w:t>
      </w:r>
      <w:r w:rsidR="00DF2E42" w:rsidRPr="00697170">
        <w:rPr>
          <w:rFonts w:ascii="Palatino Linotype" w:hAnsi="Palatino Linotype"/>
          <w:color w:val="000000"/>
        </w:rPr>
        <w:t xml:space="preserve"> y </w:t>
      </w:r>
      <w:r w:rsidR="00DF2E42" w:rsidRPr="00697170">
        <w:rPr>
          <w:rFonts w:ascii="Palatino Linotype" w:hAnsi="Palatino Linotype"/>
          <w:b/>
          <w:i/>
          <w:color w:val="000000"/>
        </w:rPr>
        <w:t>Escaneo0035.pdf</w:t>
      </w:r>
      <w:r w:rsidR="00DF2E42" w:rsidRPr="00697170">
        <w:rPr>
          <w:rFonts w:ascii="Palatino Linotype" w:hAnsi="Palatino Linotype"/>
          <w:color w:val="000000"/>
        </w:rPr>
        <w:t>, a través de los cuales el Titular de la Unidad de Transparencia, confirma su respuesta inicial e insiste en que lo solicitado tiene el carácter de confidencial por referirse a la información privada y los datos personales concernientes a una persona física, al patrimonio de un titular de los datos.</w:t>
      </w:r>
    </w:p>
    <w:p w14:paraId="7D69AF23" w14:textId="77777777" w:rsidR="002B540C" w:rsidRPr="00697170" w:rsidRDefault="002B540C" w:rsidP="00066B5D">
      <w:pPr>
        <w:pStyle w:val="Prrafodelista"/>
        <w:spacing w:line="360" w:lineRule="auto"/>
        <w:ind w:left="360"/>
        <w:jc w:val="both"/>
        <w:rPr>
          <w:rFonts w:ascii="Palatino Linotype" w:hAnsi="Palatino Linotype"/>
        </w:rPr>
      </w:pPr>
    </w:p>
    <w:p w14:paraId="3C1D7401" w14:textId="4550C31D" w:rsidR="00670DFC" w:rsidRPr="00697170" w:rsidRDefault="00670DFC"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697170">
        <w:rPr>
          <w:rFonts w:ascii="Palatino Linotype" w:hAnsi="Palatino Linotype"/>
          <w:b/>
          <w:u w:val="single"/>
        </w:rPr>
        <w:t>Ampliación para resolver y cierre de instrucción.</w:t>
      </w:r>
    </w:p>
    <w:p w14:paraId="071CF068" w14:textId="7372B487" w:rsidR="00942616" w:rsidRPr="00697170" w:rsidRDefault="00670DFC" w:rsidP="00066B5D">
      <w:pPr>
        <w:pStyle w:val="Prrafodelista"/>
        <w:numPr>
          <w:ilvl w:val="0"/>
          <w:numId w:val="1"/>
        </w:numPr>
        <w:spacing w:line="360" w:lineRule="auto"/>
        <w:ind w:left="0" w:firstLine="0"/>
        <w:jc w:val="both"/>
        <w:rPr>
          <w:rFonts w:ascii="Palatino Linotype" w:hAnsi="Palatino Linotype"/>
          <w:color w:val="000000" w:themeColor="text1"/>
        </w:rPr>
      </w:pPr>
      <w:r w:rsidRPr="00697170">
        <w:rPr>
          <w:rFonts w:ascii="Palatino Linotype" w:hAnsi="Palatino Linotype"/>
          <w:color w:val="000000" w:themeColor="text1"/>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w:t>
      </w:r>
      <w:r w:rsidR="003D7FD3" w:rsidRPr="00697170">
        <w:rPr>
          <w:rFonts w:ascii="Palatino Linotype" w:hAnsi="Palatino Linotype"/>
          <w:color w:val="000000" w:themeColor="text1"/>
        </w:rPr>
        <w:t xml:space="preserve"> a dichos medios de impugnación, motivo por el que se </w:t>
      </w:r>
      <w:r w:rsidR="003D7FD3" w:rsidRPr="00697170">
        <w:rPr>
          <w:rFonts w:ascii="Palatino Linotype" w:hAnsi="Palatino Linotype"/>
        </w:rPr>
        <w:t>acordó</w:t>
      </w:r>
      <w:r w:rsidR="00942616" w:rsidRPr="00697170">
        <w:rPr>
          <w:rFonts w:ascii="Palatino Linotype" w:hAnsi="Palatino Linotype"/>
        </w:rPr>
        <w:t xml:space="preserve"> ampli</w:t>
      </w:r>
      <w:r w:rsidR="003D7FD3" w:rsidRPr="00697170">
        <w:rPr>
          <w:rFonts w:ascii="Palatino Linotype" w:hAnsi="Palatino Linotype"/>
        </w:rPr>
        <w:t>ar</w:t>
      </w:r>
      <w:r w:rsidR="00942616" w:rsidRPr="00697170">
        <w:rPr>
          <w:rFonts w:ascii="Palatino Linotype" w:hAnsi="Palatino Linotype"/>
        </w:rPr>
        <w:t xml:space="preserve"> el término para resolver</w:t>
      </w:r>
      <w:r w:rsidR="003D7FD3" w:rsidRPr="00697170">
        <w:rPr>
          <w:rFonts w:ascii="Palatino Linotype" w:hAnsi="Palatino Linotype"/>
        </w:rPr>
        <w:t xml:space="preserve"> el presente asunto.</w:t>
      </w:r>
    </w:p>
    <w:p w14:paraId="7E1E821E" w14:textId="77777777" w:rsidR="00021171" w:rsidRPr="00697170" w:rsidRDefault="00021171" w:rsidP="00021171">
      <w:pPr>
        <w:pStyle w:val="Prrafodelista"/>
        <w:spacing w:line="360" w:lineRule="auto"/>
        <w:ind w:left="0"/>
        <w:jc w:val="both"/>
        <w:rPr>
          <w:rFonts w:ascii="Palatino Linotype" w:hAnsi="Palatino Linotype"/>
          <w:color w:val="000000" w:themeColor="text1"/>
        </w:rPr>
      </w:pPr>
    </w:p>
    <w:p w14:paraId="0D6C755B" w14:textId="77777777" w:rsidR="00021171" w:rsidRPr="00697170" w:rsidRDefault="00021171" w:rsidP="00021171">
      <w:pPr>
        <w:pStyle w:val="Prrafodelista"/>
        <w:numPr>
          <w:ilvl w:val="0"/>
          <w:numId w:val="1"/>
        </w:numPr>
        <w:spacing w:line="360" w:lineRule="auto"/>
        <w:ind w:left="0" w:firstLine="0"/>
        <w:jc w:val="both"/>
        <w:rPr>
          <w:rFonts w:ascii="Palatino Linotype" w:hAnsi="Palatino Linotype"/>
        </w:rPr>
      </w:pPr>
      <w:r w:rsidRPr="00697170">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w:t>
      </w:r>
      <w:r w:rsidRPr="00697170">
        <w:rPr>
          <w:rFonts w:ascii="Palatino Linotype" w:hAnsi="Palatino Linotype"/>
        </w:rPr>
        <w:lastRenderedPageBreak/>
        <w:t>medir la razonabilidad del plazo de resolución de asuntos conforme a los parámetros establecidos por diversos órganos jurisdiccionales federales, aplicables también en procedimientos análogos, como el que nos ocupa.</w:t>
      </w:r>
    </w:p>
    <w:p w14:paraId="14DEE9D2" w14:textId="77777777" w:rsidR="00021171" w:rsidRPr="00697170" w:rsidRDefault="00021171" w:rsidP="00021171">
      <w:pPr>
        <w:pStyle w:val="Prrafodelista"/>
        <w:spacing w:line="360" w:lineRule="auto"/>
        <w:rPr>
          <w:rFonts w:ascii="Palatino Linotype" w:hAnsi="Palatino Linotype"/>
        </w:rPr>
      </w:pPr>
    </w:p>
    <w:p w14:paraId="46BCD4E3" w14:textId="77777777" w:rsidR="00021171" w:rsidRPr="00697170" w:rsidRDefault="00021171" w:rsidP="00021171">
      <w:pPr>
        <w:pStyle w:val="Prrafodelista"/>
        <w:numPr>
          <w:ilvl w:val="0"/>
          <w:numId w:val="1"/>
        </w:numPr>
        <w:spacing w:line="360" w:lineRule="auto"/>
        <w:ind w:left="0" w:firstLine="0"/>
        <w:jc w:val="both"/>
        <w:rPr>
          <w:rFonts w:ascii="Palatino Linotype" w:hAnsi="Palatino Linotype"/>
        </w:rPr>
      </w:pPr>
      <w:r w:rsidRPr="00697170">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0FD11C" w14:textId="77777777" w:rsidR="00021171" w:rsidRPr="00697170" w:rsidRDefault="00021171" w:rsidP="00021171">
      <w:pPr>
        <w:pStyle w:val="Prrafodelista"/>
        <w:rPr>
          <w:rFonts w:ascii="Palatino Linotype" w:hAnsi="Palatino Linotype"/>
        </w:rPr>
      </w:pPr>
    </w:p>
    <w:p w14:paraId="553FD9C3" w14:textId="77777777" w:rsidR="00021171" w:rsidRPr="00697170" w:rsidRDefault="00021171" w:rsidP="00021171">
      <w:pPr>
        <w:pStyle w:val="Prrafodelista"/>
        <w:numPr>
          <w:ilvl w:val="0"/>
          <w:numId w:val="1"/>
        </w:numPr>
        <w:spacing w:line="360" w:lineRule="auto"/>
        <w:ind w:left="0" w:firstLine="0"/>
        <w:jc w:val="both"/>
        <w:rPr>
          <w:rFonts w:ascii="Palatino Linotype" w:hAnsi="Palatino Linotype"/>
        </w:rPr>
      </w:pPr>
      <w:r w:rsidRPr="00697170">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D91EAC1" w14:textId="77777777" w:rsidR="00021171" w:rsidRPr="00697170" w:rsidRDefault="00021171" w:rsidP="00021171">
      <w:pPr>
        <w:pStyle w:val="Prrafodelista"/>
        <w:spacing w:line="360" w:lineRule="auto"/>
        <w:rPr>
          <w:rFonts w:ascii="Palatino Linotype" w:hAnsi="Palatino Linotype"/>
        </w:rPr>
      </w:pPr>
    </w:p>
    <w:p w14:paraId="31E7AA95" w14:textId="77777777" w:rsidR="00021171" w:rsidRPr="00697170" w:rsidRDefault="00021171" w:rsidP="00021171">
      <w:pPr>
        <w:pStyle w:val="Prrafodelista"/>
        <w:numPr>
          <w:ilvl w:val="0"/>
          <w:numId w:val="1"/>
        </w:numPr>
        <w:spacing w:line="360" w:lineRule="auto"/>
        <w:ind w:left="0" w:firstLine="0"/>
        <w:jc w:val="both"/>
        <w:rPr>
          <w:rFonts w:ascii="Palatino Linotype" w:hAnsi="Palatino Linotype"/>
        </w:rPr>
      </w:pPr>
      <w:r w:rsidRPr="00697170">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AA98A50" w14:textId="77777777" w:rsidR="00021171" w:rsidRPr="00697170" w:rsidRDefault="00021171" w:rsidP="00021171">
      <w:pPr>
        <w:pStyle w:val="Prrafodelista"/>
        <w:numPr>
          <w:ilvl w:val="0"/>
          <w:numId w:val="3"/>
        </w:numPr>
        <w:jc w:val="both"/>
        <w:rPr>
          <w:rFonts w:ascii="Palatino Linotype" w:hAnsi="Palatino Linotype"/>
        </w:rPr>
      </w:pPr>
      <w:r w:rsidRPr="00697170">
        <w:rPr>
          <w:rFonts w:ascii="Palatino Linotype" w:hAnsi="Palatino Linotype"/>
        </w:rPr>
        <w:t xml:space="preserve">Complejidad del Asunto: La complejidad de la prueba, la pluralidad de sujetos procesales, el tiempo transcurrido, las características y contexto del recurso. </w:t>
      </w:r>
    </w:p>
    <w:p w14:paraId="152BF3E2" w14:textId="77777777" w:rsidR="00021171" w:rsidRPr="00697170" w:rsidRDefault="00021171" w:rsidP="00021171">
      <w:pPr>
        <w:pStyle w:val="Prrafodelista"/>
        <w:numPr>
          <w:ilvl w:val="0"/>
          <w:numId w:val="3"/>
        </w:numPr>
        <w:jc w:val="both"/>
        <w:rPr>
          <w:rFonts w:ascii="Palatino Linotype" w:hAnsi="Palatino Linotype"/>
        </w:rPr>
      </w:pPr>
      <w:r w:rsidRPr="00697170">
        <w:rPr>
          <w:rFonts w:ascii="Palatino Linotype" w:hAnsi="Palatino Linotype"/>
        </w:rPr>
        <w:t>Actividad Procesal del interesado. Acciones u omisiones del interesado.</w:t>
      </w:r>
    </w:p>
    <w:p w14:paraId="5237F041" w14:textId="77777777" w:rsidR="00021171" w:rsidRPr="00697170" w:rsidRDefault="00021171" w:rsidP="00021171">
      <w:pPr>
        <w:pStyle w:val="Prrafodelista"/>
        <w:numPr>
          <w:ilvl w:val="0"/>
          <w:numId w:val="3"/>
        </w:numPr>
        <w:jc w:val="both"/>
        <w:rPr>
          <w:rFonts w:ascii="Palatino Linotype" w:hAnsi="Palatino Linotype"/>
        </w:rPr>
      </w:pPr>
      <w:r w:rsidRPr="00697170">
        <w:rPr>
          <w:rFonts w:ascii="Palatino Linotype" w:hAnsi="Palatino Linotype"/>
        </w:rPr>
        <w:t>Conducta de la Autoridad: Las Acciones u omisiones realizadas en el procedimiento. Así como si la autoridad actuó con la debida diligencia.</w:t>
      </w:r>
    </w:p>
    <w:p w14:paraId="4708CE92" w14:textId="77777777" w:rsidR="00021171" w:rsidRPr="00697170" w:rsidRDefault="00021171" w:rsidP="00021171">
      <w:pPr>
        <w:ind w:left="851" w:hanging="284"/>
        <w:jc w:val="both"/>
        <w:rPr>
          <w:rFonts w:ascii="Palatino Linotype" w:hAnsi="Palatino Linotype"/>
        </w:rPr>
      </w:pPr>
      <w:r w:rsidRPr="00697170">
        <w:rPr>
          <w:rFonts w:ascii="Palatino Linotype" w:hAnsi="Palatino Linotype"/>
        </w:rPr>
        <w:t>d) La afectación generada en la situación jurídica de la persona involucrada en el proceso: Violación a sus derechos humanos.</w:t>
      </w:r>
    </w:p>
    <w:p w14:paraId="37E99287" w14:textId="77777777" w:rsidR="00021171" w:rsidRPr="00697170" w:rsidRDefault="00021171" w:rsidP="00021171">
      <w:pPr>
        <w:spacing w:line="360" w:lineRule="auto"/>
        <w:ind w:left="851" w:hanging="284"/>
        <w:jc w:val="both"/>
        <w:rPr>
          <w:rFonts w:ascii="Palatino Linotype" w:hAnsi="Palatino Linotype"/>
        </w:rPr>
      </w:pPr>
    </w:p>
    <w:p w14:paraId="16A71691" w14:textId="77777777" w:rsidR="00021171" w:rsidRPr="00697170" w:rsidRDefault="00021171" w:rsidP="00021171">
      <w:pPr>
        <w:pStyle w:val="Prrafodelista"/>
        <w:numPr>
          <w:ilvl w:val="0"/>
          <w:numId w:val="1"/>
        </w:numPr>
        <w:spacing w:line="360" w:lineRule="auto"/>
        <w:ind w:left="0" w:firstLine="0"/>
        <w:jc w:val="both"/>
        <w:rPr>
          <w:rFonts w:ascii="Palatino Linotype" w:hAnsi="Palatino Linotype"/>
        </w:rPr>
      </w:pPr>
      <w:r w:rsidRPr="00697170">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3198421" w14:textId="77777777" w:rsidR="00021171" w:rsidRPr="00697170" w:rsidRDefault="00021171" w:rsidP="00021171">
      <w:pPr>
        <w:pStyle w:val="Prrafodelista"/>
        <w:spacing w:line="360" w:lineRule="auto"/>
        <w:ind w:left="0"/>
        <w:jc w:val="both"/>
        <w:rPr>
          <w:rFonts w:ascii="Palatino Linotype" w:hAnsi="Palatino Linotype"/>
        </w:rPr>
      </w:pPr>
    </w:p>
    <w:p w14:paraId="7F8E33F7" w14:textId="3E490034" w:rsidR="00021171" w:rsidRPr="00697170" w:rsidRDefault="00021171" w:rsidP="00021171">
      <w:pPr>
        <w:pStyle w:val="Prrafodelista"/>
        <w:numPr>
          <w:ilvl w:val="0"/>
          <w:numId w:val="1"/>
        </w:numPr>
        <w:spacing w:line="360" w:lineRule="auto"/>
        <w:ind w:left="0" w:firstLine="0"/>
        <w:jc w:val="both"/>
        <w:rPr>
          <w:rFonts w:ascii="Palatino Linotype" w:hAnsi="Palatino Linotype"/>
          <w:b/>
        </w:rPr>
      </w:pPr>
      <w:r w:rsidRPr="00697170">
        <w:rPr>
          <w:rFonts w:ascii="Palatino Linotype" w:hAnsi="Palatino Linotype"/>
        </w:rPr>
        <w:t xml:space="preserve">Argumento que encuentra sustento en la jurisprudencia P./J. 32/92 emitida por el Pleno de la Suprema Corte de Justicia de la Nación de rubro </w:t>
      </w:r>
      <w:r w:rsidRPr="00697170">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697170">
        <w:rPr>
          <w:rFonts w:ascii="Palatino Linotype" w:hAnsi="Palatino Linotype"/>
        </w:rPr>
        <w:t>, visible en la Gaceta del Seminario Judicial de la Federación con el registro digital 205635.</w:t>
      </w:r>
    </w:p>
    <w:p w14:paraId="730EA835" w14:textId="77777777" w:rsidR="00942616" w:rsidRPr="00697170" w:rsidRDefault="00942616" w:rsidP="00066B5D">
      <w:pPr>
        <w:pStyle w:val="Prrafodelista"/>
        <w:spacing w:line="360" w:lineRule="auto"/>
        <w:rPr>
          <w:rFonts w:ascii="Palatino Linotype" w:hAnsi="Palatino Linotype"/>
        </w:rPr>
      </w:pPr>
    </w:p>
    <w:p w14:paraId="0A60B96A" w14:textId="58F4C4B3" w:rsidR="00942616" w:rsidRPr="00697170" w:rsidRDefault="00021171" w:rsidP="00066B5D">
      <w:pPr>
        <w:pStyle w:val="Prrafodelista"/>
        <w:numPr>
          <w:ilvl w:val="0"/>
          <w:numId w:val="1"/>
        </w:numPr>
        <w:spacing w:line="360" w:lineRule="auto"/>
        <w:ind w:left="0" w:firstLine="0"/>
        <w:jc w:val="both"/>
        <w:rPr>
          <w:rFonts w:ascii="Palatino Linotype" w:hAnsi="Palatino Linotype"/>
          <w:b/>
          <w:color w:val="000000" w:themeColor="text1"/>
        </w:rPr>
      </w:pPr>
      <w:r w:rsidRPr="00697170">
        <w:rPr>
          <w:rFonts w:ascii="Palatino Linotype" w:hAnsi="Palatino Linotype"/>
        </w:rPr>
        <w:t>Seguidamente, e</w:t>
      </w:r>
      <w:r w:rsidR="003D7FD3" w:rsidRPr="00697170">
        <w:rPr>
          <w:rFonts w:ascii="Palatino Linotype" w:hAnsi="Palatino Linotype"/>
        </w:rPr>
        <w:t>n</w:t>
      </w:r>
      <w:r w:rsidR="00942616" w:rsidRPr="00697170">
        <w:rPr>
          <w:rFonts w:ascii="Palatino Linotype" w:hAnsi="Palatino Linotype"/>
        </w:rPr>
        <w:t xml:space="preserve"> fecha </w:t>
      </w:r>
      <w:r w:rsidR="00DF2E42" w:rsidRPr="00697170">
        <w:rPr>
          <w:rFonts w:ascii="Palatino Linotype" w:hAnsi="Palatino Linotype"/>
          <w:b/>
          <w:color w:val="000000" w:themeColor="text1"/>
        </w:rPr>
        <w:t>catorce</w:t>
      </w:r>
      <w:r w:rsidR="002B540C" w:rsidRPr="00697170">
        <w:rPr>
          <w:rFonts w:ascii="Palatino Linotype" w:hAnsi="Palatino Linotype"/>
          <w:b/>
        </w:rPr>
        <w:t xml:space="preserve"> de </w:t>
      </w:r>
      <w:r w:rsidR="000B0F98" w:rsidRPr="00697170">
        <w:rPr>
          <w:rFonts w:ascii="Palatino Linotype" w:hAnsi="Palatino Linotype"/>
          <w:b/>
        </w:rPr>
        <w:t>agost</w:t>
      </w:r>
      <w:r w:rsidR="002B540C" w:rsidRPr="00697170">
        <w:rPr>
          <w:rFonts w:ascii="Palatino Linotype" w:hAnsi="Palatino Linotype"/>
          <w:b/>
        </w:rPr>
        <w:t xml:space="preserve">o </w:t>
      </w:r>
      <w:r w:rsidR="00923E55" w:rsidRPr="00697170">
        <w:rPr>
          <w:rFonts w:ascii="Palatino Linotype" w:hAnsi="Palatino Linotype"/>
          <w:b/>
        </w:rPr>
        <w:t>de dos mil veinticuatro</w:t>
      </w:r>
      <w:r w:rsidR="003D7FD3" w:rsidRPr="00697170">
        <w:rPr>
          <w:rFonts w:ascii="Palatino Linotype" w:hAnsi="Palatino Linotype"/>
        </w:rPr>
        <w:t>,</w:t>
      </w:r>
      <w:r w:rsidR="00923E55" w:rsidRPr="00697170">
        <w:rPr>
          <w:rFonts w:ascii="Palatino Linotype" w:hAnsi="Palatino Linotype"/>
        </w:rPr>
        <w:t xml:space="preserve"> </w:t>
      </w:r>
      <w:bookmarkStart w:id="133" w:name="_Toc491791302"/>
      <w:bookmarkStart w:id="134" w:name="_Toc83128578"/>
      <w:r w:rsidR="003D7FD3" w:rsidRPr="00697170">
        <w:rPr>
          <w:rFonts w:ascii="Palatino Linotype" w:hAnsi="Palatino Linotype"/>
        </w:rPr>
        <w:t xml:space="preserve">la Comisionada Ponente dictó el cierre del periodo de </w:t>
      </w:r>
      <w:r w:rsidR="003D7FD3" w:rsidRPr="00697170">
        <w:rPr>
          <w:rFonts w:ascii="Palatino Linotype" w:hAnsi="Palatino Linotype"/>
          <w:color w:val="000000" w:themeColor="text1"/>
        </w:rPr>
        <w:t>instrucción</w:t>
      </w:r>
      <w:r w:rsidR="003D7FD3" w:rsidRPr="00697170">
        <w:rPr>
          <w:rFonts w:ascii="Palatino Linotype" w:hAnsi="Palatino Linotype"/>
        </w:rPr>
        <w:t xml:space="preserve"> y, ordenó la resolución que conforme a Derecho proceda, de </w:t>
      </w:r>
      <w:r w:rsidR="00E9244F" w:rsidRPr="00697170">
        <w:rPr>
          <w:rFonts w:ascii="Palatino Linotype" w:hAnsi="Palatino Linotype"/>
        </w:rPr>
        <w:t>acuerdo a la</w:t>
      </w:r>
      <w:r w:rsidR="003D7FD3" w:rsidRPr="00697170">
        <w:rPr>
          <w:rFonts w:ascii="Palatino Linotype" w:hAnsi="Palatino Linotype"/>
        </w:rPr>
        <w:t>s siguientes:</w:t>
      </w:r>
    </w:p>
    <w:p w14:paraId="7A82D968" w14:textId="77777777" w:rsidR="001108CF" w:rsidRPr="00697170" w:rsidRDefault="001108CF" w:rsidP="001108CF">
      <w:pPr>
        <w:pStyle w:val="Prrafodelista"/>
        <w:rPr>
          <w:rFonts w:ascii="Palatino Linotype" w:hAnsi="Palatino Linotype"/>
          <w:b/>
          <w:color w:val="000000" w:themeColor="text1"/>
        </w:rPr>
      </w:pPr>
    </w:p>
    <w:p w14:paraId="3BB5D241" w14:textId="545DFCFA" w:rsidR="00942616" w:rsidRPr="00697170" w:rsidRDefault="00942616" w:rsidP="00066B5D">
      <w:pPr>
        <w:pStyle w:val="Prrafodelista"/>
        <w:spacing w:line="360" w:lineRule="auto"/>
        <w:ind w:left="0"/>
        <w:jc w:val="center"/>
        <w:rPr>
          <w:rFonts w:ascii="Palatino Linotype" w:hAnsi="Palatino Linotype"/>
          <w:b/>
          <w:color w:val="000000" w:themeColor="text1"/>
        </w:rPr>
      </w:pPr>
      <w:r w:rsidRPr="00697170">
        <w:rPr>
          <w:rFonts w:ascii="Palatino Linotype" w:hAnsi="Palatino Linotype"/>
          <w:b/>
          <w:color w:val="000000" w:themeColor="text1"/>
        </w:rPr>
        <w:t>C</w:t>
      </w:r>
      <w:r w:rsidR="003D7FD3" w:rsidRPr="00697170">
        <w:rPr>
          <w:rFonts w:ascii="Palatino Linotype" w:hAnsi="Palatino Linotype"/>
          <w:b/>
          <w:color w:val="000000" w:themeColor="text1"/>
        </w:rPr>
        <w:t xml:space="preserve"> </w:t>
      </w:r>
      <w:r w:rsidRPr="00697170">
        <w:rPr>
          <w:rFonts w:ascii="Palatino Linotype" w:hAnsi="Palatino Linotype"/>
          <w:b/>
          <w:color w:val="000000" w:themeColor="text1"/>
        </w:rPr>
        <w:t>O</w:t>
      </w:r>
      <w:r w:rsidR="003D7FD3" w:rsidRPr="00697170">
        <w:rPr>
          <w:rFonts w:ascii="Palatino Linotype" w:hAnsi="Palatino Linotype"/>
          <w:b/>
          <w:color w:val="000000" w:themeColor="text1"/>
        </w:rPr>
        <w:t xml:space="preserve"> </w:t>
      </w:r>
      <w:r w:rsidRPr="00697170">
        <w:rPr>
          <w:rFonts w:ascii="Palatino Linotype" w:hAnsi="Palatino Linotype"/>
          <w:b/>
          <w:color w:val="000000" w:themeColor="text1"/>
        </w:rPr>
        <w:t>N</w:t>
      </w:r>
      <w:r w:rsidR="003D7FD3" w:rsidRPr="00697170">
        <w:rPr>
          <w:rFonts w:ascii="Palatino Linotype" w:hAnsi="Palatino Linotype"/>
          <w:b/>
          <w:color w:val="000000" w:themeColor="text1"/>
        </w:rPr>
        <w:t xml:space="preserve"> </w:t>
      </w:r>
      <w:r w:rsidRPr="00697170">
        <w:rPr>
          <w:rFonts w:ascii="Palatino Linotype" w:hAnsi="Palatino Linotype"/>
          <w:b/>
          <w:color w:val="000000" w:themeColor="text1"/>
        </w:rPr>
        <w:t>S</w:t>
      </w:r>
      <w:r w:rsidR="003D7FD3" w:rsidRPr="00697170">
        <w:rPr>
          <w:rFonts w:ascii="Palatino Linotype" w:hAnsi="Palatino Linotype"/>
          <w:b/>
          <w:color w:val="000000" w:themeColor="text1"/>
        </w:rPr>
        <w:t xml:space="preserve"> </w:t>
      </w:r>
      <w:r w:rsidRPr="00697170">
        <w:rPr>
          <w:rFonts w:ascii="Palatino Linotype" w:hAnsi="Palatino Linotype"/>
          <w:b/>
          <w:color w:val="000000" w:themeColor="text1"/>
        </w:rPr>
        <w:t>I</w:t>
      </w:r>
      <w:r w:rsidR="003D7FD3" w:rsidRPr="00697170">
        <w:rPr>
          <w:rFonts w:ascii="Palatino Linotype" w:hAnsi="Palatino Linotype"/>
          <w:b/>
          <w:color w:val="000000" w:themeColor="text1"/>
        </w:rPr>
        <w:t xml:space="preserve"> </w:t>
      </w:r>
      <w:r w:rsidRPr="00697170">
        <w:rPr>
          <w:rFonts w:ascii="Palatino Linotype" w:hAnsi="Palatino Linotype"/>
          <w:b/>
          <w:color w:val="000000" w:themeColor="text1"/>
        </w:rPr>
        <w:t>D</w:t>
      </w:r>
      <w:r w:rsidR="003D7FD3" w:rsidRPr="00697170">
        <w:rPr>
          <w:rFonts w:ascii="Palatino Linotype" w:hAnsi="Palatino Linotype"/>
          <w:b/>
          <w:color w:val="000000" w:themeColor="text1"/>
        </w:rPr>
        <w:t xml:space="preserve"> </w:t>
      </w:r>
      <w:r w:rsidRPr="00697170">
        <w:rPr>
          <w:rFonts w:ascii="Palatino Linotype" w:hAnsi="Palatino Linotype"/>
          <w:b/>
          <w:color w:val="000000" w:themeColor="text1"/>
        </w:rPr>
        <w:t>E</w:t>
      </w:r>
      <w:r w:rsidR="003D7FD3" w:rsidRPr="00697170">
        <w:rPr>
          <w:rFonts w:ascii="Palatino Linotype" w:hAnsi="Palatino Linotype"/>
          <w:b/>
          <w:color w:val="000000" w:themeColor="text1"/>
        </w:rPr>
        <w:t xml:space="preserve"> </w:t>
      </w:r>
      <w:r w:rsidRPr="00697170">
        <w:rPr>
          <w:rFonts w:ascii="Palatino Linotype" w:hAnsi="Palatino Linotype"/>
          <w:b/>
          <w:color w:val="000000" w:themeColor="text1"/>
        </w:rPr>
        <w:t>R</w:t>
      </w:r>
      <w:r w:rsidR="003D7FD3" w:rsidRPr="00697170">
        <w:rPr>
          <w:rFonts w:ascii="Palatino Linotype" w:hAnsi="Palatino Linotype"/>
          <w:b/>
          <w:color w:val="000000" w:themeColor="text1"/>
        </w:rPr>
        <w:t xml:space="preserve"> </w:t>
      </w:r>
      <w:r w:rsidRPr="00697170">
        <w:rPr>
          <w:rFonts w:ascii="Palatino Linotype" w:hAnsi="Palatino Linotype"/>
          <w:b/>
          <w:color w:val="000000" w:themeColor="text1"/>
        </w:rPr>
        <w:t>A</w:t>
      </w:r>
      <w:bookmarkEnd w:id="133"/>
      <w:bookmarkEnd w:id="134"/>
      <w:r w:rsidR="003D7FD3" w:rsidRPr="00697170">
        <w:rPr>
          <w:rFonts w:ascii="Palatino Linotype" w:hAnsi="Palatino Linotype"/>
          <w:b/>
          <w:color w:val="000000" w:themeColor="text1"/>
        </w:rPr>
        <w:t xml:space="preserve"> C I O N E S</w:t>
      </w:r>
    </w:p>
    <w:p w14:paraId="494FCAAD" w14:textId="77777777" w:rsidR="00942616" w:rsidRPr="00697170" w:rsidRDefault="00942616"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697170" w:rsidRDefault="003D7FD3" w:rsidP="00066B5D">
      <w:pPr>
        <w:pStyle w:val="Ttulo2"/>
        <w:spacing w:before="0" w:line="360" w:lineRule="auto"/>
        <w:rPr>
          <w:rFonts w:ascii="Palatino Linotype" w:hAnsi="Palatino Linotype"/>
          <w:b/>
          <w:color w:val="auto"/>
          <w:sz w:val="24"/>
          <w:szCs w:val="24"/>
        </w:rPr>
      </w:pPr>
      <w:bookmarkStart w:id="135" w:name="_Toc491791303"/>
      <w:bookmarkStart w:id="136" w:name="_Toc83128579"/>
      <w:r w:rsidRPr="00697170">
        <w:rPr>
          <w:rFonts w:ascii="Palatino Linotype" w:hAnsi="Palatino Linotype"/>
          <w:b/>
          <w:color w:val="auto"/>
          <w:sz w:val="24"/>
          <w:szCs w:val="24"/>
        </w:rPr>
        <w:t>PRIMERA. C</w:t>
      </w:r>
      <w:r w:rsidR="00942616" w:rsidRPr="00697170">
        <w:rPr>
          <w:rFonts w:ascii="Palatino Linotype" w:hAnsi="Palatino Linotype"/>
          <w:b/>
          <w:color w:val="auto"/>
          <w:sz w:val="24"/>
          <w:szCs w:val="24"/>
        </w:rPr>
        <w:t>ompetencia</w:t>
      </w:r>
      <w:bookmarkEnd w:id="135"/>
      <w:bookmarkEnd w:id="136"/>
    </w:p>
    <w:p w14:paraId="0216B23E" w14:textId="77777777" w:rsidR="00952475" w:rsidRPr="00697170" w:rsidRDefault="00952475" w:rsidP="00066B5D">
      <w:pPr>
        <w:pStyle w:val="Prrafodelista"/>
        <w:numPr>
          <w:ilvl w:val="0"/>
          <w:numId w:val="1"/>
        </w:numPr>
        <w:spacing w:line="360" w:lineRule="auto"/>
        <w:ind w:left="0" w:firstLine="0"/>
        <w:jc w:val="both"/>
        <w:rPr>
          <w:rFonts w:ascii="Palatino Linotype" w:hAnsi="Palatino Linotype" w:cs="Tahoma"/>
        </w:rPr>
      </w:pPr>
      <w:r w:rsidRPr="00697170">
        <w:rPr>
          <w:rFonts w:ascii="Palatino Linotype" w:hAnsi="Palatino Linotype" w:cs="Tahoma"/>
        </w:rPr>
        <w:t xml:space="preserve">El Instituto de Transparencia, Acceso a la Información Pública y Protección de Datos Personales del </w:t>
      </w:r>
      <w:r w:rsidRPr="00697170">
        <w:rPr>
          <w:rFonts w:ascii="Palatino Linotype" w:hAnsi="Palatino Linotype"/>
        </w:rPr>
        <w:t>Estado</w:t>
      </w:r>
      <w:r w:rsidRPr="00697170">
        <w:rPr>
          <w:rFonts w:ascii="Palatino Linotype" w:hAnsi="Palatino Linotype" w:cs="Tahoma"/>
        </w:rPr>
        <w:t xml:space="preserve"> de México y Municipios, es competente para conocer y resolver el presente recurso de revisión interpuesto por la parte recurrente, </w:t>
      </w:r>
      <w:r w:rsidRPr="00697170">
        <w:rPr>
          <w:rFonts w:ascii="Palatino Linotype" w:hAnsi="Palatino Linotype" w:cs="Tahoma"/>
        </w:rPr>
        <w:lastRenderedPageBreak/>
        <w:t>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12AF0FA" w14:textId="77777777" w:rsidR="00DF2E42" w:rsidRPr="00697170" w:rsidRDefault="00DF2E42" w:rsidP="00DF2E42">
      <w:pPr>
        <w:pStyle w:val="Prrafodelista"/>
        <w:spacing w:line="360" w:lineRule="auto"/>
        <w:ind w:left="0"/>
        <w:jc w:val="both"/>
        <w:rPr>
          <w:rFonts w:ascii="Palatino Linotype" w:hAnsi="Palatino Linotype" w:cs="Tahoma"/>
        </w:rPr>
      </w:pPr>
    </w:p>
    <w:p w14:paraId="1D4969D7" w14:textId="7E24C419" w:rsidR="00942616" w:rsidRPr="00697170" w:rsidRDefault="00952475" w:rsidP="00066B5D">
      <w:pPr>
        <w:pStyle w:val="Ttulo2"/>
        <w:spacing w:before="0" w:line="360" w:lineRule="auto"/>
        <w:rPr>
          <w:rFonts w:ascii="Palatino Linotype" w:hAnsi="Palatino Linotype"/>
          <w:b/>
          <w:color w:val="auto"/>
          <w:sz w:val="24"/>
          <w:szCs w:val="24"/>
        </w:rPr>
      </w:pPr>
      <w:bookmarkStart w:id="137" w:name="_Toc491791304"/>
      <w:bookmarkStart w:id="138" w:name="_Toc83128580"/>
      <w:r w:rsidRPr="00697170">
        <w:rPr>
          <w:rFonts w:ascii="Palatino Linotype" w:hAnsi="Palatino Linotype"/>
          <w:b/>
          <w:color w:val="auto"/>
          <w:sz w:val="24"/>
          <w:szCs w:val="24"/>
        </w:rPr>
        <w:t>SEGUNDA</w:t>
      </w:r>
      <w:r w:rsidR="00942616" w:rsidRPr="00697170">
        <w:rPr>
          <w:rFonts w:ascii="Palatino Linotype" w:hAnsi="Palatino Linotype"/>
          <w:b/>
          <w:color w:val="auto"/>
          <w:sz w:val="24"/>
          <w:szCs w:val="24"/>
        </w:rPr>
        <w:t xml:space="preserve">. </w:t>
      </w:r>
      <w:r w:rsidRPr="00697170">
        <w:rPr>
          <w:rFonts w:ascii="Palatino Linotype" w:hAnsi="Palatino Linotype"/>
          <w:b/>
          <w:color w:val="auto"/>
          <w:sz w:val="24"/>
          <w:szCs w:val="24"/>
        </w:rPr>
        <w:t>P</w:t>
      </w:r>
      <w:r w:rsidR="00942616" w:rsidRPr="00697170">
        <w:rPr>
          <w:rFonts w:ascii="Palatino Linotype" w:hAnsi="Palatino Linotype"/>
          <w:b/>
          <w:color w:val="auto"/>
          <w:sz w:val="24"/>
          <w:szCs w:val="24"/>
        </w:rPr>
        <w:t>rocedencia.</w:t>
      </w:r>
      <w:bookmarkEnd w:id="137"/>
      <w:bookmarkEnd w:id="138"/>
    </w:p>
    <w:p w14:paraId="2F731F4D" w14:textId="763D8618" w:rsidR="00942616" w:rsidRPr="00697170" w:rsidRDefault="00952475" w:rsidP="00066B5D">
      <w:pPr>
        <w:numPr>
          <w:ilvl w:val="0"/>
          <w:numId w:val="1"/>
        </w:numPr>
        <w:spacing w:line="360" w:lineRule="auto"/>
        <w:ind w:left="0" w:firstLine="0"/>
        <w:contextualSpacing/>
        <w:jc w:val="both"/>
        <w:rPr>
          <w:rFonts w:ascii="Palatino Linotype" w:hAnsi="Palatino Linotype"/>
        </w:rPr>
      </w:pPr>
      <w:r w:rsidRPr="00697170">
        <w:rPr>
          <w:rFonts w:ascii="Palatino Linotype" w:eastAsia="Calibri" w:hAnsi="Palatino Linotype" w:cs="Arial"/>
        </w:rPr>
        <w:t xml:space="preserve">Este Órgano Garante considera que el medio de impugnación reúne los requisitos de procedencia </w:t>
      </w:r>
      <w:r w:rsidRPr="00697170">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w:t>
      </w:r>
      <w:r w:rsidR="00E9244F" w:rsidRPr="00697170">
        <w:rPr>
          <w:rFonts w:ascii="Palatino Linotype" w:eastAsia="Calibri" w:hAnsi="Palatino Linotype" w:cs="Tahoma"/>
          <w:color w:val="000000"/>
          <w:lang w:eastAsia="es-MX"/>
        </w:rPr>
        <w:t xml:space="preserve">no se tiene </w:t>
      </w:r>
      <w:r w:rsidRPr="00697170">
        <w:rPr>
          <w:rFonts w:ascii="Palatino Linotype" w:eastAsia="Calibri" w:hAnsi="Palatino Linotype" w:cs="Tahoma"/>
          <w:color w:val="000000"/>
          <w:lang w:eastAsia="es-MX"/>
        </w:rPr>
        <w:t>conocimiento de que se encuentre en trámite algún medio de defensa presentado por el Recurrente ante otra instancia.</w:t>
      </w:r>
    </w:p>
    <w:p w14:paraId="31FD0FA6" w14:textId="77777777" w:rsidR="00EE2973" w:rsidRPr="00697170" w:rsidRDefault="00EE2973" w:rsidP="00EE2973">
      <w:pPr>
        <w:pStyle w:val="Prrafodelista"/>
        <w:rPr>
          <w:rFonts w:ascii="Palatino Linotype" w:eastAsia="Calibri" w:hAnsi="Palatino Linotype" w:cs="Arial"/>
        </w:rPr>
      </w:pPr>
    </w:p>
    <w:p w14:paraId="70B1788E" w14:textId="66F76B5E" w:rsidR="00942616" w:rsidRPr="00697170" w:rsidRDefault="00952475" w:rsidP="00066B5D">
      <w:pPr>
        <w:numPr>
          <w:ilvl w:val="0"/>
          <w:numId w:val="1"/>
        </w:numPr>
        <w:spacing w:line="360" w:lineRule="auto"/>
        <w:ind w:left="0" w:firstLine="0"/>
        <w:contextualSpacing/>
        <w:jc w:val="both"/>
        <w:rPr>
          <w:rFonts w:ascii="Palatino Linotype" w:eastAsia="Calibri" w:hAnsi="Palatino Linotype" w:cs="Arial"/>
        </w:rPr>
      </w:pPr>
      <w:r w:rsidRPr="00697170">
        <w:rPr>
          <w:rFonts w:ascii="Palatino Linotype" w:eastAsia="Calibri" w:hAnsi="Palatino Linotype" w:cs="Arial"/>
        </w:rPr>
        <w:t>Por otro lado</w:t>
      </w:r>
      <w:r w:rsidR="00942616" w:rsidRPr="00697170">
        <w:rPr>
          <w:rFonts w:ascii="Palatino Linotype" w:eastAsia="Calibri" w:hAnsi="Palatino Linotype" w:cs="Arial"/>
        </w:rPr>
        <w:t xml:space="preserve">, el escrito contiene las formalidades previstas por el artículo 180 último párrafo de la </w:t>
      </w:r>
      <w:r w:rsidR="00066953" w:rsidRPr="00697170">
        <w:rPr>
          <w:rFonts w:ascii="Palatino Linotype" w:eastAsia="Calibri" w:hAnsi="Palatino Linotype" w:cs="Arial"/>
        </w:rPr>
        <w:t xml:space="preserve">citada </w:t>
      </w:r>
      <w:r w:rsidR="00942616" w:rsidRPr="00697170">
        <w:rPr>
          <w:rFonts w:ascii="Palatino Linotype" w:eastAsia="Calibri" w:hAnsi="Palatino Linotype" w:cs="Arial"/>
        </w:rPr>
        <w:t>Ley de la materia, por lo que es procedente que este Instituto conozca y resuelva el presente recurso.</w:t>
      </w:r>
    </w:p>
    <w:p w14:paraId="636AC809" w14:textId="77777777" w:rsidR="00942616" w:rsidRPr="00697170" w:rsidRDefault="00942616" w:rsidP="00066B5D">
      <w:pPr>
        <w:pStyle w:val="Prrafodelista"/>
        <w:spacing w:line="360" w:lineRule="auto"/>
        <w:ind w:left="0"/>
        <w:rPr>
          <w:rFonts w:ascii="Palatino Linotype" w:eastAsia="Calibri" w:hAnsi="Palatino Linotype" w:cs="Arial"/>
        </w:rPr>
      </w:pPr>
    </w:p>
    <w:p w14:paraId="1288E334" w14:textId="0CED6418" w:rsidR="00942616" w:rsidRPr="00697170" w:rsidRDefault="00942616" w:rsidP="00066B5D">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697170">
        <w:rPr>
          <w:rFonts w:ascii="Palatino Linotype" w:hAnsi="Palatino Linotype"/>
          <w:b/>
          <w:color w:val="auto"/>
          <w:sz w:val="24"/>
          <w:szCs w:val="24"/>
        </w:rPr>
        <w:t>TERCER</w:t>
      </w:r>
      <w:r w:rsidR="00952475" w:rsidRPr="00697170">
        <w:rPr>
          <w:rFonts w:ascii="Palatino Linotype" w:hAnsi="Palatino Linotype"/>
          <w:b/>
          <w:color w:val="auto"/>
          <w:sz w:val="24"/>
          <w:szCs w:val="24"/>
        </w:rPr>
        <w:t>A</w:t>
      </w:r>
      <w:r w:rsidRPr="00697170">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697170">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78A4EE0C" w14:textId="03F18131" w:rsidR="00942616" w:rsidRPr="00697170" w:rsidRDefault="00942616" w:rsidP="00066B5D">
      <w:pPr>
        <w:pStyle w:val="Prrafodelista"/>
        <w:numPr>
          <w:ilvl w:val="0"/>
          <w:numId w:val="1"/>
        </w:numPr>
        <w:spacing w:line="360" w:lineRule="auto"/>
        <w:ind w:left="0" w:firstLine="0"/>
        <w:jc w:val="both"/>
        <w:rPr>
          <w:rFonts w:ascii="Palatino Linotype" w:hAnsi="Palatino Linotype" w:cs="Arial"/>
        </w:rPr>
      </w:pPr>
      <w:r w:rsidRPr="00697170">
        <w:rPr>
          <w:rFonts w:ascii="Palatino Linotype" w:hAnsi="Palatino Linotype" w:cs="Arial"/>
        </w:rPr>
        <w:t xml:space="preserve">Se </w:t>
      </w:r>
      <w:r w:rsidRPr="00697170">
        <w:rPr>
          <w:rFonts w:ascii="Palatino Linotype" w:eastAsia="Calibri" w:hAnsi="Palatino Linotype" w:cs="Arial"/>
        </w:rPr>
        <w:t>solicitó</w:t>
      </w:r>
      <w:r w:rsidRPr="00697170">
        <w:rPr>
          <w:rFonts w:ascii="Palatino Linotype" w:hAnsi="Palatino Linotype" w:cs="Arial"/>
        </w:rPr>
        <w:t xml:space="preserve"> tener acceso, a la información que a continuación se </w:t>
      </w:r>
      <w:r w:rsidR="00E9244F" w:rsidRPr="00697170">
        <w:rPr>
          <w:rFonts w:ascii="Palatino Linotype" w:hAnsi="Palatino Linotype" w:cs="Arial"/>
        </w:rPr>
        <w:t>simplifica</w:t>
      </w:r>
      <w:r w:rsidRPr="00697170">
        <w:rPr>
          <w:rFonts w:ascii="Palatino Linotype" w:hAnsi="Palatino Linotype" w:cs="Arial"/>
        </w:rPr>
        <w:t>:</w:t>
      </w:r>
    </w:p>
    <w:p w14:paraId="2508925E" w14:textId="77777777" w:rsidR="005D5C9E" w:rsidRPr="00697170" w:rsidRDefault="009E4E36" w:rsidP="009E4E36">
      <w:pPr>
        <w:pStyle w:val="Prrafodelista"/>
        <w:numPr>
          <w:ilvl w:val="0"/>
          <w:numId w:val="6"/>
        </w:numPr>
        <w:ind w:right="616"/>
        <w:jc w:val="both"/>
        <w:rPr>
          <w:rFonts w:ascii="Palatino Linotype" w:hAnsi="Palatino Linotype" w:cs="Arial"/>
          <w:b/>
        </w:rPr>
      </w:pPr>
      <w:r w:rsidRPr="00697170">
        <w:rPr>
          <w:rFonts w:ascii="Palatino Linotype" w:hAnsi="Palatino Linotype" w:cs="Arial"/>
          <w:b/>
        </w:rPr>
        <w:lastRenderedPageBreak/>
        <w:t>Saber si existen solicitudes para la incorporación al padrón catastral, obtención de certificaciones de clave y valor catastral, plano manzanero, levantamiento topográfico, visita técnica u otros actos relacionados con las atribuciones del área de catastro de dicho ayuntamiento, respecto del bien inmueble localizado en la Carretera Toluca - Tenango, sin número, del cual tambié</w:t>
      </w:r>
      <w:r w:rsidR="005D5C9E" w:rsidRPr="00697170">
        <w:rPr>
          <w:rFonts w:ascii="Palatino Linotype" w:hAnsi="Palatino Linotype" w:cs="Arial"/>
          <w:b/>
        </w:rPr>
        <w:t>n se adjunta referencia gráfica;</w:t>
      </w:r>
    </w:p>
    <w:p w14:paraId="71AB79C3" w14:textId="77777777" w:rsidR="005D5C9E" w:rsidRPr="00697170" w:rsidRDefault="005D5C9E" w:rsidP="009E4E36">
      <w:pPr>
        <w:pStyle w:val="Prrafodelista"/>
        <w:numPr>
          <w:ilvl w:val="0"/>
          <w:numId w:val="6"/>
        </w:numPr>
        <w:ind w:right="616"/>
        <w:jc w:val="both"/>
        <w:rPr>
          <w:rFonts w:ascii="Palatino Linotype" w:hAnsi="Palatino Linotype" w:cs="Arial"/>
          <w:b/>
        </w:rPr>
      </w:pPr>
      <w:r w:rsidRPr="00697170">
        <w:rPr>
          <w:rFonts w:ascii="Palatino Linotype" w:hAnsi="Palatino Linotype" w:cs="Arial"/>
          <w:b/>
        </w:rPr>
        <w:t>S</w:t>
      </w:r>
      <w:r w:rsidR="009E4E36" w:rsidRPr="00697170">
        <w:rPr>
          <w:rFonts w:ascii="Palatino Linotype" w:hAnsi="Palatino Linotype" w:cs="Arial"/>
          <w:b/>
        </w:rPr>
        <w:t xml:space="preserve">aber si a la fecha existen </w:t>
      </w:r>
      <w:r w:rsidRPr="00697170">
        <w:rPr>
          <w:rFonts w:ascii="Palatino Linotype" w:hAnsi="Palatino Linotype" w:cs="Arial"/>
          <w:b/>
        </w:rPr>
        <w:t xml:space="preserve">oficios, comunicados, circulares, instrucciones diversas </w:t>
      </w:r>
      <w:r w:rsidR="009E4E36" w:rsidRPr="00697170">
        <w:rPr>
          <w:rFonts w:ascii="Palatino Linotype" w:hAnsi="Palatino Linotype" w:cs="Arial"/>
          <w:b/>
        </w:rPr>
        <w:t>o algún documento que limite a dicho predio para realizar trám</w:t>
      </w:r>
      <w:r w:rsidRPr="00697170">
        <w:rPr>
          <w:rFonts w:ascii="Palatino Linotype" w:hAnsi="Palatino Linotype" w:cs="Arial"/>
          <w:b/>
        </w:rPr>
        <w:t>ites catastrales municipales;</w:t>
      </w:r>
    </w:p>
    <w:p w14:paraId="0FE6E303" w14:textId="77777777" w:rsidR="005D5C9E" w:rsidRPr="00697170" w:rsidRDefault="005D5C9E" w:rsidP="009E4E36">
      <w:pPr>
        <w:pStyle w:val="Prrafodelista"/>
        <w:numPr>
          <w:ilvl w:val="0"/>
          <w:numId w:val="6"/>
        </w:numPr>
        <w:ind w:right="616"/>
        <w:jc w:val="both"/>
        <w:rPr>
          <w:rFonts w:ascii="Palatino Linotype" w:hAnsi="Palatino Linotype" w:cs="Arial"/>
          <w:b/>
        </w:rPr>
      </w:pPr>
      <w:r w:rsidRPr="00697170">
        <w:rPr>
          <w:rFonts w:ascii="Palatino Linotype" w:hAnsi="Palatino Linotype" w:cs="Arial"/>
          <w:b/>
        </w:rPr>
        <w:t>S</w:t>
      </w:r>
      <w:r w:rsidR="009E4E36" w:rsidRPr="00697170">
        <w:rPr>
          <w:rFonts w:ascii="Palatino Linotype" w:hAnsi="Palatino Linotype" w:cs="Arial"/>
          <w:b/>
        </w:rPr>
        <w:t>aber si dicho predio a la fech</w:t>
      </w:r>
      <w:r w:rsidRPr="00697170">
        <w:rPr>
          <w:rFonts w:ascii="Palatino Linotype" w:hAnsi="Palatino Linotype" w:cs="Arial"/>
          <w:b/>
        </w:rPr>
        <w:t>a, cuenta con clave catastral;</w:t>
      </w:r>
    </w:p>
    <w:p w14:paraId="1412A979" w14:textId="5F7353C3" w:rsidR="005D5C9E" w:rsidRPr="00697170" w:rsidRDefault="009E4E36" w:rsidP="009E4E36">
      <w:pPr>
        <w:pStyle w:val="Prrafodelista"/>
        <w:numPr>
          <w:ilvl w:val="0"/>
          <w:numId w:val="6"/>
        </w:numPr>
        <w:ind w:right="616"/>
        <w:jc w:val="both"/>
        <w:rPr>
          <w:rFonts w:ascii="Palatino Linotype" w:hAnsi="Palatino Linotype" w:cs="Arial"/>
          <w:b/>
        </w:rPr>
      </w:pPr>
      <w:r w:rsidRPr="00697170">
        <w:rPr>
          <w:rFonts w:ascii="Palatino Linotype" w:hAnsi="Palatino Linotype" w:cs="Arial"/>
          <w:b/>
        </w:rPr>
        <w:t>Saber si dicho predio a la fecha, se encuentra al corriente</w:t>
      </w:r>
      <w:r w:rsidR="005D5C9E" w:rsidRPr="00697170">
        <w:rPr>
          <w:rFonts w:ascii="Palatino Linotype" w:hAnsi="Palatino Linotype" w:cs="Arial"/>
          <w:b/>
        </w:rPr>
        <w:t xml:space="preserve"> del impuesto predial;</w:t>
      </w:r>
    </w:p>
    <w:p w14:paraId="67CF0F8E" w14:textId="3DA80543" w:rsidR="005D5C9E" w:rsidRPr="00697170" w:rsidRDefault="009F7BD4" w:rsidP="009E4E36">
      <w:pPr>
        <w:pStyle w:val="Prrafodelista"/>
        <w:numPr>
          <w:ilvl w:val="0"/>
          <w:numId w:val="6"/>
        </w:numPr>
        <w:ind w:right="616"/>
        <w:jc w:val="both"/>
        <w:rPr>
          <w:rFonts w:ascii="Palatino Linotype" w:hAnsi="Palatino Linotype" w:cs="Arial"/>
          <w:b/>
        </w:rPr>
      </w:pPr>
      <w:r w:rsidRPr="00697170">
        <w:rPr>
          <w:rFonts w:ascii="Palatino Linotype" w:hAnsi="Palatino Linotype" w:cs="Arial"/>
          <w:b/>
        </w:rPr>
        <w:t>S</w:t>
      </w:r>
      <w:r w:rsidR="009E4E36" w:rsidRPr="00697170">
        <w:rPr>
          <w:rFonts w:ascii="Palatino Linotype" w:hAnsi="Palatino Linotype" w:cs="Arial"/>
          <w:b/>
        </w:rPr>
        <w:t>aber si dicho predio a la fecha, cuenta con multas, infracciones u obl</w:t>
      </w:r>
      <w:r w:rsidR="005D5C9E" w:rsidRPr="00697170">
        <w:rPr>
          <w:rFonts w:ascii="Palatino Linotype" w:hAnsi="Palatino Linotype" w:cs="Arial"/>
          <w:b/>
        </w:rPr>
        <w:t>igaciones pendientes de pago;</w:t>
      </w:r>
    </w:p>
    <w:p w14:paraId="13B0AFEA" w14:textId="4348117D" w:rsidR="005D5C9E" w:rsidRPr="00697170" w:rsidRDefault="009E4E36" w:rsidP="009E4E36">
      <w:pPr>
        <w:pStyle w:val="Prrafodelista"/>
        <w:numPr>
          <w:ilvl w:val="0"/>
          <w:numId w:val="6"/>
        </w:numPr>
        <w:ind w:right="616"/>
        <w:jc w:val="both"/>
        <w:rPr>
          <w:rFonts w:ascii="Palatino Linotype" w:hAnsi="Palatino Linotype" w:cs="Arial"/>
          <w:b/>
        </w:rPr>
      </w:pPr>
      <w:r w:rsidRPr="00697170">
        <w:rPr>
          <w:rFonts w:ascii="Palatino Linotype" w:hAnsi="Palatino Linotype" w:cs="Arial"/>
          <w:b/>
        </w:rPr>
        <w:t>Saber si dicho predio a la fecha, se encuentra sujeto a algún procedimiento administrativo en el ámbito de su c</w:t>
      </w:r>
      <w:r w:rsidR="005D5C9E" w:rsidRPr="00697170">
        <w:rPr>
          <w:rFonts w:ascii="Palatino Linotype" w:hAnsi="Palatino Linotype" w:cs="Arial"/>
          <w:b/>
        </w:rPr>
        <w:t>ompetencia;</w:t>
      </w:r>
    </w:p>
    <w:p w14:paraId="190D96E2" w14:textId="7E4F3111" w:rsidR="005D5C9E" w:rsidRPr="00697170" w:rsidRDefault="009F7BD4" w:rsidP="009E4E36">
      <w:pPr>
        <w:pStyle w:val="Prrafodelista"/>
        <w:numPr>
          <w:ilvl w:val="0"/>
          <w:numId w:val="6"/>
        </w:numPr>
        <w:ind w:right="616"/>
        <w:jc w:val="both"/>
        <w:rPr>
          <w:rFonts w:ascii="Palatino Linotype" w:hAnsi="Palatino Linotype" w:cs="Arial"/>
          <w:b/>
        </w:rPr>
      </w:pPr>
      <w:r w:rsidRPr="00697170">
        <w:rPr>
          <w:rFonts w:ascii="Palatino Linotype" w:hAnsi="Palatino Linotype" w:cs="Arial"/>
          <w:b/>
        </w:rPr>
        <w:t>S</w:t>
      </w:r>
      <w:r w:rsidR="009E4E36" w:rsidRPr="00697170">
        <w:rPr>
          <w:rFonts w:ascii="Palatino Linotype" w:hAnsi="Palatino Linotype" w:cs="Arial"/>
          <w:b/>
        </w:rPr>
        <w:t>aber si dicho predio a la fecha, se encuentra sujeto al catálogo de bienes inmuebles del Ayuntamiento</w:t>
      </w:r>
      <w:r w:rsidR="005D5C9E" w:rsidRPr="00697170">
        <w:rPr>
          <w:rFonts w:ascii="Palatino Linotype" w:hAnsi="Palatino Linotype" w:cs="Arial"/>
          <w:b/>
        </w:rPr>
        <w:t>;</w:t>
      </w:r>
    </w:p>
    <w:p w14:paraId="26AA4D28" w14:textId="44CD045E" w:rsidR="005D5C9E" w:rsidRPr="00697170" w:rsidRDefault="009E4E36" w:rsidP="009E4E36">
      <w:pPr>
        <w:pStyle w:val="Prrafodelista"/>
        <w:numPr>
          <w:ilvl w:val="0"/>
          <w:numId w:val="6"/>
        </w:numPr>
        <w:ind w:right="616"/>
        <w:jc w:val="both"/>
        <w:rPr>
          <w:rFonts w:ascii="Palatino Linotype" w:hAnsi="Palatino Linotype" w:cs="Arial"/>
          <w:b/>
        </w:rPr>
      </w:pPr>
      <w:r w:rsidRPr="00697170">
        <w:rPr>
          <w:rFonts w:ascii="Palatino Linotype" w:hAnsi="Palatino Linotype" w:cs="Arial"/>
          <w:b/>
        </w:rPr>
        <w:t>Saber si dicho predio a la fecha, se encuentra sujeto a conflicto entre particulares o entre el municipio y particulares</w:t>
      </w:r>
      <w:r w:rsidR="005D5C9E" w:rsidRPr="00697170">
        <w:rPr>
          <w:rFonts w:ascii="Palatino Linotype" w:hAnsi="Palatino Linotype" w:cs="Arial"/>
          <w:b/>
        </w:rPr>
        <w:t>; y</w:t>
      </w:r>
    </w:p>
    <w:p w14:paraId="053731C8" w14:textId="45966C1C" w:rsidR="005D5C9E" w:rsidRPr="00697170" w:rsidRDefault="009E4E36" w:rsidP="009E4E36">
      <w:pPr>
        <w:pStyle w:val="Prrafodelista"/>
        <w:numPr>
          <w:ilvl w:val="0"/>
          <w:numId w:val="6"/>
        </w:numPr>
        <w:ind w:right="616"/>
        <w:jc w:val="both"/>
        <w:rPr>
          <w:rFonts w:ascii="Palatino Linotype" w:hAnsi="Palatino Linotype" w:cs="Arial"/>
          <w:b/>
        </w:rPr>
      </w:pPr>
      <w:r w:rsidRPr="00697170">
        <w:rPr>
          <w:rFonts w:ascii="Palatino Linotype" w:hAnsi="Palatino Linotype" w:cs="Arial"/>
          <w:b/>
        </w:rPr>
        <w:t>Saber si dicho predio a la fecha, se encuentra bajo conflicto de interés por parte de los servidores públ</w:t>
      </w:r>
      <w:r w:rsidR="005D5C9E" w:rsidRPr="00697170">
        <w:rPr>
          <w:rFonts w:ascii="Palatino Linotype" w:hAnsi="Palatino Linotype" w:cs="Arial"/>
          <w:b/>
        </w:rPr>
        <w:t>icos del Ayuntamiento de Rayón.</w:t>
      </w:r>
    </w:p>
    <w:p w14:paraId="7713046A" w14:textId="77777777" w:rsidR="003D26D9" w:rsidRPr="00697170" w:rsidRDefault="003D26D9" w:rsidP="00066B5D">
      <w:pPr>
        <w:spacing w:line="360" w:lineRule="auto"/>
        <w:jc w:val="both"/>
        <w:rPr>
          <w:rFonts w:ascii="Palatino Linotype" w:hAnsi="Palatino Linotype" w:cs="Arial"/>
          <w:b/>
        </w:rPr>
      </w:pPr>
    </w:p>
    <w:p w14:paraId="59F937B2" w14:textId="110150E7" w:rsidR="001A1023" w:rsidRPr="00697170" w:rsidRDefault="00942616" w:rsidP="00066B5D">
      <w:pPr>
        <w:numPr>
          <w:ilvl w:val="0"/>
          <w:numId w:val="1"/>
        </w:numPr>
        <w:spacing w:line="360" w:lineRule="auto"/>
        <w:ind w:left="0" w:firstLine="0"/>
        <w:contextualSpacing/>
        <w:jc w:val="both"/>
        <w:rPr>
          <w:rFonts w:ascii="Palatino Linotype" w:hAnsi="Palatino Linotype" w:cs="Arial"/>
          <w:i/>
          <w:color w:val="000000" w:themeColor="text1"/>
        </w:rPr>
      </w:pPr>
      <w:r w:rsidRPr="00697170">
        <w:rPr>
          <w:rFonts w:ascii="Palatino Linotype" w:hAnsi="Palatino Linotype" w:cs="Arial"/>
        </w:rPr>
        <w:t xml:space="preserve">En </w:t>
      </w:r>
      <w:r w:rsidRPr="00697170">
        <w:rPr>
          <w:rFonts w:ascii="Palatino Linotype" w:eastAsia="Calibri" w:hAnsi="Palatino Linotype" w:cs="Arial"/>
        </w:rPr>
        <w:t>respuesta</w:t>
      </w:r>
      <w:r w:rsidRPr="00697170">
        <w:rPr>
          <w:rFonts w:ascii="Palatino Linotype" w:hAnsi="Palatino Linotype" w:cs="Arial"/>
        </w:rPr>
        <w:t xml:space="preserve">, el </w:t>
      </w:r>
      <w:r w:rsidR="00066953" w:rsidRPr="00697170">
        <w:rPr>
          <w:rFonts w:ascii="Palatino Linotype" w:hAnsi="Palatino Linotype" w:cs="Arial"/>
        </w:rPr>
        <w:t>Sujeto Obligado</w:t>
      </w:r>
      <w:r w:rsidR="00066953" w:rsidRPr="00697170">
        <w:rPr>
          <w:rFonts w:ascii="Palatino Linotype" w:hAnsi="Palatino Linotype" w:cs="Arial"/>
          <w:b/>
        </w:rPr>
        <w:t xml:space="preserve"> </w:t>
      </w:r>
      <w:r w:rsidRPr="00697170">
        <w:rPr>
          <w:rFonts w:ascii="Palatino Linotype" w:hAnsi="Palatino Linotype" w:cs="Arial"/>
        </w:rPr>
        <w:t>remitió</w:t>
      </w:r>
      <w:r w:rsidR="00EE5D31" w:rsidRPr="00697170">
        <w:rPr>
          <w:rFonts w:ascii="Palatino Linotype" w:hAnsi="Palatino Linotype" w:cs="Arial"/>
        </w:rPr>
        <w:t xml:space="preserve"> </w:t>
      </w:r>
      <w:r w:rsidR="00A5352D" w:rsidRPr="00697170">
        <w:rPr>
          <w:rFonts w:ascii="Palatino Linotype" w:hAnsi="Palatino Linotype" w:cs="Arial"/>
        </w:rPr>
        <w:t>l</w:t>
      </w:r>
      <w:r w:rsidR="000B0F98" w:rsidRPr="00697170">
        <w:rPr>
          <w:rFonts w:ascii="Palatino Linotype" w:hAnsi="Palatino Linotype" w:cs="Arial"/>
        </w:rPr>
        <w:t>os</w:t>
      </w:r>
      <w:r w:rsidR="00A5352D" w:rsidRPr="00697170">
        <w:rPr>
          <w:rFonts w:ascii="Palatino Linotype" w:hAnsi="Palatino Linotype" w:cs="Arial"/>
        </w:rPr>
        <w:t xml:space="preserve"> archivo</w:t>
      </w:r>
      <w:r w:rsidR="000B0F98" w:rsidRPr="00697170">
        <w:rPr>
          <w:rFonts w:ascii="Palatino Linotype" w:hAnsi="Palatino Linotype" w:cs="Arial"/>
        </w:rPr>
        <w:t>s</w:t>
      </w:r>
      <w:r w:rsidR="00A5352D" w:rsidRPr="00697170">
        <w:rPr>
          <w:rFonts w:ascii="Palatino Linotype" w:hAnsi="Palatino Linotype" w:cs="Arial"/>
        </w:rPr>
        <w:t xml:space="preserve"> ya descrito</w:t>
      </w:r>
      <w:r w:rsidR="000B0F98" w:rsidRPr="00697170">
        <w:rPr>
          <w:rFonts w:ascii="Palatino Linotype" w:hAnsi="Palatino Linotype" w:cs="Arial"/>
        </w:rPr>
        <w:t>s</w:t>
      </w:r>
      <w:r w:rsidR="00A5352D" w:rsidRPr="00697170">
        <w:rPr>
          <w:rFonts w:ascii="Palatino Linotype" w:hAnsi="Palatino Linotype" w:cs="Arial"/>
        </w:rPr>
        <w:t xml:space="preserve"> en el anterior Párrafo 2. Inconforme con la respuesta, se interpuso recurso de revisión argumentando sustancialmente </w:t>
      </w:r>
      <w:r w:rsidR="005D5C9E" w:rsidRPr="00697170">
        <w:rPr>
          <w:rFonts w:ascii="Palatino Linotype" w:hAnsi="Palatino Linotype" w:cs="Arial"/>
        </w:rPr>
        <w:t>la falta de fundamentación en la clasificación de la información</w:t>
      </w:r>
      <w:r w:rsidR="00A5352D" w:rsidRPr="00697170">
        <w:rPr>
          <w:rFonts w:ascii="Palatino Linotype" w:hAnsi="Palatino Linotype" w:cs="Arial"/>
        </w:rPr>
        <w:t>.</w:t>
      </w:r>
    </w:p>
    <w:p w14:paraId="4697688D" w14:textId="77777777" w:rsidR="00066B5D" w:rsidRPr="00697170" w:rsidRDefault="00066B5D" w:rsidP="00066B5D">
      <w:pPr>
        <w:spacing w:line="360" w:lineRule="auto"/>
        <w:contextualSpacing/>
        <w:jc w:val="both"/>
        <w:rPr>
          <w:rFonts w:ascii="Palatino Linotype" w:hAnsi="Palatino Linotype" w:cs="Arial"/>
          <w:i/>
          <w:color w:val="000000" w:themeColor="text1"/>
        </w:rPr>
      </w:pPr>
    </w:p>
    <w:p w14:paraId="5C093CFF" w14:textId="5A79549E" w:rsidR="005D5C9E" w:rsidRPr="00697170" w:rsidRDefault="005D5C9E" w:rsidP="005D5C9E">
      <w:pPr>
        <w:numPr>
          <w:ilvl w:val="0"/>
          <w:numId w:val="1"/>
        </w:numPr>
        <w:spacing w:line="360" w:lineRule="auto"/>
        <w:ind w:left="0" w:firstLine="0"/>
        <w:contextualSpacing/>
        <w:jc w:val="both"/>
        <w:rPr>
          <w:rFonts w:ascii="Palatino Linotype" w:eastAsia="MS Mincho" w:hAnsi="Palatino Linotype" w:cs="Arial"/>
        </w:rPr>
      </w:pPr>
      <w:r w:rsidRPr="00697170">
        <w:rPr>
          <w:rFonts w:ascii="Palatino Linotype" w:eastAsia="MS Mincho" w:hAnsi="Palatino Linotype" w:cs="Arial"/>
        </w:rPr>
        <w:t xml:space="preserve">En </w:t>
      </w:r>
      <w:r w:rsidRPr="00697170">
        <w:rPr>
          <w:rFonts w:ascii="Palatino Linotype" w:hAnsi="Palatino Linotype" w:cs="Arial"/>
          <w:lang w:eastAsia="es-MX"/>
        </w:rPr>
        <w:t>dichas</w:t>
      </w:r>
      <w:r w:rsidRPr="00697170">
        <w:rPr>
          <w:rFonts w:ascii="Palatino Linotype" w:eastAsia="Times New Roman" w:hAnsi="Palatino Linotype" w:cs="Arial"/>
        </w:rPr>
        <w:t xml:space="preserve"> condiciones, la controversia a resolver en el presente proveído, corresponde a determinar si </w:t>
      </w:r>
      <w:r w:rsidRPr="00697170">
        <w:rPr>
          <w:rFonts w:ascii="Palatino Linotype" w:eastAsia="MS Mincho" w:hAnsi="Palatino Linotype" w:cs="Arial"/>
        </w:rPr>
        <w:t>se actualiza la causal de procedencia prevista en el artículo 179, fracciones XIII</w:t>
      </w:r>
      <w:r w:rsidRPr="00697170">
        <w:rPr>
          <w:rFonts w:ascii="Palatino Linotype" w:eastAsia="MS Mincho" w:hAnsi="Palatino Linotype" w:cs="Arial"/>
          <w:b/>
        </w:rPr>
        <w:t xml:space="preserve"> </w:t>
      </w:r>
      <w:r w:rsidRPr="00697170">
        <w:rPr>
          <w:rFonts w:ascii="Palatino Linotype" w:eastAsia="MS Mincho" w:hAnsi="Palatino Linotype" w:cs="Arial"/>
        </w:rPr>
        <w:t xml:space="preserve">de la Ley de Transparencia y Acceso a la Información </w:t>
      </w:r>
      <w:r w:rsidRPr="00697170">
        <w:rPr>
          <w:rFonts w:ascii="Palatino Linotype" w:eastAsia="MS Mincho" w:hAnsi="Palatino Linotype" w:cs="Arial"/>
        </w:rPr>
        <w:lastRenderedPageBreak/>
        <w:t>Pública del Estado de</w:t>
      </w:r>
      <w:r w:rsidRPr="00697170">
        <w:rPr>
          <w:rFonts w:ascii="Palatino Linotype" w:eastAsia="MS Mincho" w:hAnsi="Palatino Linotype" w:cs="Arial"/>
          <w:b/>
        </w:rPr>
        <w:t xml:space="preserve"> </w:t>
      </w:r>
      <w:r w:rsidRPr="00697170">
        <w:rPr>
          <w:rFonts w:ascii="Palatino Linotype" w:hAnsi="Palatino Linotype" w:cs="Arial"/>
        </w:rPr>
        <w:t>México</w:t>
      </w:r>
      <w:r w:rsidRPr="00697170">
        <w:rPr>
          <w:rFonts w:ascii="Palatino Linotype" w:eastAsia="MS Mincho" w:hAnsi="Palatino Linotype" w:cs="Arial"/>
          <w:b/>
        </w:rPr>
        <w:t xml:space="preserve"> </w:t>
      </w:r>
      <w:r w:rsidRPr="00697170">
        <w:rPr>
          <w:rFonts w:ascii="Palatino Linotype" w:eastAsia="MS Mincho" w:hAnsi="Palatino Linotype" w:cs="Arial"/>
        </w:rPr>
        <w:t>y</w:t>
      </w:r>
      <w:r w:rsidRPr="00697170">
        <w:rPr>
          <w:rFonts w:ascii="Palatino Linotype" w:eastAsia="MS Mincho" w:hAnsi="Palatino Linotype" w:cs="Arial"/>
          <w:b/>
        </w:rPr>
        <w:t xml:space="preserve"> </w:t>
      </w:r>
      <w:r w:rsidRPr="00697170">
        <w:rPr>
          <w:rFonts w:ascii="Palatino Linotype" w:hAnsi="Palatino Linotype" w:cs="Arial"/>
        </w:rPr>
        <w:t>Municipios</w:t>
      </w:r>
      <w:r w:rsidRPr="00697170">
        <w:rPr>
          <w:rFonts w:ascii="Palatino Linotype" w:eastAsia="MS Mincho" w:hAnsi="Palatino Linotype" w:cs="Arial"/>
        </w:rPr>
        <w:t xml:space="preserve">; </w:t>
      </w:r>
      <w:r w:rsidRPr="00697170">
        <w:rPr>
          <w:rFonts w:ascii="Palatino Linotype" w:eastAsia="Times New Roman" w:hAnsi="Palatino Linotype" w:cs="Arial"/>
          <w:color w:val="000000" w:themeColor="text1"/>
          <w:lang w:val="es-ES" w:eastAsia="es-MX"/>
        </w:rPr>
        <w:t>fracción que determina la hipótesis relativa a la falta, deficiencia o insuficiencia de la fundamentación y/o motivación en la respuesta</w:t>
      </w:r>
      <w:r w:rsidRPr="00697170">
        <w:rPr>
          <w:rFonts w:ascii="Palatino Linotype" w:eastAsia="MS Mincho" w:hAnsi="Palatino Linotype" w:cs="Arial"/>
        </w:rPr>
        <w:t>.</w:t>
      </w:r>
      <w:r w:rsidRPr="00697170">
        <w:rPr>
          <w:rFonts w:ascii="Palatino Linotype" w:eastAsia="Times New Roman" w:hAnsi="Palatino Linotype" w:cs="Arial"/>
          <w:color w:val="000000" w:themeColor="text1"/>
          <w:lang w:val="es-ES" w:eastAsia="es-MX"/>
        </w:rPr>
        <w:t xml:space="preserve"> De modo tal </w:t>
      </w:r>
      <w:r w:rsidRPr="00697170">
        <w:rPr>
          <w:rFonts w:ascii="Palatino Linotype" w:hAnsi="Palatino Linotype" w:cs="Arial"/>
          <w:color w:val="000000" w:themeColor="text1"/>
        </w:rPr>
        <w:t xml:space="preserve">que el presente recurso de revisión se abocara en determinar si el Sujeto Obligado con su respuesta ciertamente </w:t>
      </w:r>
      <w:r w:rsidRPr="00697170">
        <w:rPr>
          <w:rFonts w:ascii="Palatino Linotype" w:eastAsia="Times New Roman" w:hAnsi="Palatino Linotype"/>
          <w:color w:val="000000" w:themeColor="text1"/>
        </w:rPr>
        <w:t>actualiza las causales de procedencia</w:t>
      </w:r>
      <w:r w:rsidRPr="00697170">
        <w:rPr>
          <w:rFonts w:ascii="Palatino Linotype" w:eastAsia="Times New Roman" w:hAnsi="Palatino Linotype"/>
          <w:b/>
          <w:color w:val="000000" w:themeColor="text1"/>
        </w:rPr>
        <w:t xml:space="preserve"> </w:t>
      </w:r>
      <w:r w:rsidRPr="00697170">
        <w:rPr>
          <w:rFonts w:ascii="Palatino Linotype" w:eastAsia="Times New Roman" w:hAnsi="Palatino Linotype" w:cs="Arial"/>
          <w:color w:val="000000" w:themeColor="text1"/>
          <w:lang w:eastAsia="es-MX"/>
        </w:rPr>
        <w:t>señaladas.</w:t>
      </w:r>
    </w:p>
    <w:p w14:paraId="03CE46EE" w14:textId="77777777" w:rsidR="00942616" w:rsidRPr="00697170" w:rsidRDefault="00942616" w:rsidP="00066B5D">
      <w:pPr>
        <w:spacing w:line="360" w:lineRule="auto"/>
        <w:rPr>
          <w:rFonts w:ascii="Palatino Linotype" w:eastAsia="MS Mincho" w:hAnsi="Palatino Linotype" w:cs="Arial"/>
        </w:rPr>
      </w:pPr>
    </w:p>
    <w:p w14:paraId="1B83CC04" w14:textId="18FE58A6" w:rsidR="00942616" w:rsidRPr="00697170" w:rsidRDefault="00A5352D" w:rsidP="00066B5D">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697170">
        <w:rPr>
          <w:rFonts w:ascii="Palatino Linotype" w:hAnsi="Palatino Linotype"/>
          <w:b/>
          <w:color w:val="000000" w:themeColor="text1"/>
          <w:sz w:val="24"/>
          <w:szCs w:val="24"/>
        </w:rPr>
        <w:t>CUARTA</w:t>
      </w:r>
      <w:r w:rsidR="00942616" w:rsidRPr="00697170">
        <w:rPr>
          <w:rFonts w:ascii="Palatino Linotype" w:hAnsi="Palatino Linotype"/>
          <w:b/>
          <w:color w:val="000000" w:themeColor="text1"/>
          <w:sz w:val="24"/>
          <w:szCs w:val="24"/>
        </w:rPr>
        <w:t xml:space="preserve">. </w:t>
      </w:r>
      <w:bookmarkEnd w:id="146"/>
      <w:bookmarkEnd w:id="147"/>
      <w:bookmarkEnd w:id="148"/>
      <w:bookmarkEnd w:id="149"/>
      <w:bookmarkEnd w:id="150"/>
      <w:r w:rsidRPr="00697170">
        <w:rPr>
          <w:rFonts w:ascii="Palatino Linotype" w:hAnsi="Palatino Linotype"/>
          <w:b/>
          <w:color w:val="000000" w:themeColor="text1"/>
          <w:sz w:val="24"/>
          <w:szCs w:val="24"/>
        </w:rPr>
        <w:t>Estudio de la controversia.</w:t>
      </w:r>
    </w:p>
    <w:p w14:paraId="16A88284" w14:textId="1E801916" w:rsidR="00E120A9" w:rsidRPr="00697170" w:rsidRDefault="00866A8C" w:rsidP="00066B5D">
      <w:pPr>
        <w:numPr>
          <w:ilvl w:val="0"/>
          <w:numId w:val="1"/>
        </w:numPr>
        <w:spacing w:line="360" w:lineRule="auto"/>
        <w:ind w:left="0" w:firstLine="0"/>
        <w:contextualSpacing/>
        <w:jc w:val="both"/>
        <w:rPr>
          <w:rFonts w:ascii="Palatino Linotype" w:hAnsi="Palatino Linotype" w:cs="Tahoma"/>
          <w:bCs/>
          <w:iCs/>
        </w:rPr>
      </w:pPr>
      <w:r w:rsidRPr="00697170">
        <w:rPr>
          <w:rFonts w:ascii="Palatino Linotype" w:eastAsia="MS Mincho" w:hAnsi="Palatino Linotype" w:cs="Arial"/>
        </w:rPr>
        <w:t>Determinado lo anterior; revisaremos la atención otorgada por el Sujeto Obligado a la solicitud</w:t>
      </w:r>
      <w:r w:rsidR="00570E37" w:rsidRPr="00697170">
        <w:rPr>
          <w:rFonts w:ascii="Palatino Linotype" w:eastAsia="MS Mincho" w:hAnsi="Palatino Linotype" w:cs="Arial"/>
        </w:rPr>
        <w:t xml:space="preserve"> que dio origen a este recurso, considerando </w:t>
      </w:r>
      <w:r w:rsidRPr="00697170">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697170">
        <w:rPr>
          <w:rFonts w:ascii="Palatino Linotype" w:eastAsia="MS Mincho" w:hAnsi="Palatino Linotype" w:cs="Arial"/>
        </w:rPr>
        <w:t xml:space="preserve">su artículo </w:t>
      </w:r>
      <w:r w:rsidR="00E120A9" w:rsidRPr="00697170">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3CF0412" w14:textId="77777777" w:rsidR="00021171" w:rsidRPr="00697170" w:rsidRDefault="00021171" w:rsidP="00021171">
      <w:pPr>
        <w:spacing w:line="360" w:lineRule="auto"/>
        <w:contextualSpacing/>
        <w:jc w:val="both"/>
        <w:rPr>
          <w:rFonts w:ascii="Palatino Linotype" w:hAnsi="Palatino Linotype" w:cs="Tahoma"/>
          <w:bCs/>
          <w:iCs/>
        </w:rPr>
      </w:pPr>
    </w:p>
    <w:p w14:paraId="7A45B9AE" w14:textId="732B23FC" w:rsidR="00E120A9" w:rsidRPr="00697170" w:rsidRDefault="00570E37" w:rsidP="00066B5D">
      <w:pPr>
        <w:numPr>
          <w:ilvl w:val="0"/>
          <w:numId w:val="1"/>
        </w:numPr>
        <w:spacing w:line="360" w:lineRule="auto"/>
        <w:ind w:left="0" w:firstLine="0"/>
        <w:contextualSpacing/>
        <w:jc w:val="both"/>
        <w:rPr>
          <w:rFonts w:ascii="Palatino Linotype" w:hAnsi="Palatino Linotype" w:cs="Tahoma"/>
          <w:bCs/>
          <w:iCs/>
        </w:rPr>
      </w:pPr>
      <w:r w:rsidRPr="00697170">
        <w:rPr>
          <w:rFonts w:ascii="Palatino Linotype" w:hAnsi="Palatino Linotype" w:cs="Tahoma"/>
          <w:bCs/>
          <w:iCs/>
        </w:rPr>
        <w:t>Asimismo</w:t>
      </w:r>
      <w:r w:rsidR="00E120A9" w:rsidRPr="00697170">
        <w:rPr>
          <w:rFonts w:ascii="Palatino Linotype" w:hAnsi="Palatino Linotype" w:cs="Tahoma"/>
          <w:bCs/>
          <w:iCs/>
        </w:rPr>
        <w:t>,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697170" w:rsidRDefault="00E120A9" w:rsidP="00066B5D">
      <w:pPr>
        <w:pStyle w:val="Prrafodelista"/>
        <w:spacing w:line="360" w:lineRule="auto"/>
        <w:rPr>
          <w:rFonts w:ascii="Palatino Linotype" w:hAnsi="Palatino Linotype" w:cs="Tahoma"/>
          <w:bCs/>
          <w:iCs/>
        </w:rPr>
      </w:pPr>
    </w:p>
    <w:p w14:paraId="14E74658" w14:textId="5C392385" w:rsidR="00E120A9" w:rsidRPr="00697170" w:rsidRDefault="00570E37" w:rsidP="00066B5D">
      <w:pPr>
        <w:numPr>
          <w:ilvl w:val="0"/>
          <w:numId w:val="1"/>
        </w:numPr>
        <w:spacing w:line="360" w:lineRule="auto"/>
        <w:ind w:left="0" w:firstLine="0"/>
        <w:contextualSpacing/>
        <w:jc w:val="both"/>
        <w:rPr>
          <w:rFonts w:ascii="Palatino Linotype" w:hAnsi="Palatino Linotype" w:cs="Tahoma"/>
          <w:bCs/>
          <w:iCs/>
        </w:rPr>
      </w:pPr>
      <w:r w:rsidRPr="00697170">
        <w:rPr>
          <w:rFonts w:ascii="Palatino Linotype" w:hAnsi="Palatino Linotype" w:cs="Tahoma"/>
          <w:bCs/>
          <w:iCs/>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697170" w:rsidRDefault="00570E37" w:rsidP="006F4F17">
      <w:pPr>
        <w:spacing w:line="360" w:lineRule="auto"/>
        <w:rPr>
          <w:rFonts w:ascii="Palatino Linotype" w:hAnsi="Palatino Linotype" w:cs="Tahoma"/>
          <w:bCs/>
          <w:iCs/>
        </w:rPr>
      </w:pPr>
    </w:p>
    <w:p w14:paraId="7AE2F761" w14:textId="368E9BA5" w:rsidR="00570E37" w:rsidRPr="00697170" w:rsidRDefault="000D662C" w:rsidP="00066B5D">
      <w:pPr>
        <w:pStyle w:val="Prrafodelista"/>
        <w:numPr>
          <w:ilvl w:val="0"/>
          <w:numId w:val="6"/>
        </w:numPr>
        <w:spacing w:line="360" w:lineRule="auto"/>
        <w:rPr>
          <w:rFonts w:ascii="Palatino Linotype" w:hAnsi="Palatino Linotype" w:cs="Tahoma"/>
          <w:b/>
          <w:bCs/>
          <w:iCs/>
        </w:rPr>
      </w:pPr>
      <w:r w:rsidRPr="00697170">
        <w:rPr>
          <w:rFonts w:ascii="Palatino Linotype" w:hAnsi="Palatino Linotype" w:cs="Tahoma"/>
          <w:b/>
          <w:bCs/>
          <w:iCs/>
        </w:rPr>
        <w:t>De l</w:t>
      </w:r>
      <w:r w:rsidR="00F86A68" w:rsidRPr="00697170">
        <w:rPr>
          <w:rFonts w:ascii="Palatino Linotype" w:hAnsi="Palatino Linotype" w:cs="Tahoma"/>
          <w:b/>
          <w:bCs/>
          <w:iCs/>
        </w:rPr>
        <w:t>a respuesta e informe justificado</w:t>
      </w:r>
    </w:p>
    <w:p w14:paraId="77BB386B" w14:textId="77777777" w:rsidR="00CC5958" w:rsidRPr="00697170" w:rsidRDefault="00CC5958" w:rsidP="00CC5958">
      <w:pPr>
        <w:numPr>
          <w:ilvl w:val="0"/>
          <w:numId w:val="1"/>
        </w:numPr>
        <w:spacing w:line="360" w:lineRule="auto"/>
        <w:ind w:left="0" w:firstLine="0"/>
        <w:contextualSpacing/>
        <w:jc w:val="both"/>
        <w:rPr>
          <w:rFonts w:ascii="Palatino Linotype" w:hAnsi="Palatino Linotype" w:cs="Tahoma"/>
          <w:bCs/>
          <w:iCs/>
        </w:rPr>
      </w:pPr>
      <w:proofErr w:type="gramStart"/>
      <w:r w:rsidRPr="00697170">
        <w:rPr>
          <w:rFonts w:ascii="Palatino Linotype" w:hAnsi="Palatino Linotype" w:cs="Tahoma"/>
          <w:bCs/>
          <w:iCs/>
        </w:rPr>
        <w:t>Primeramente</w:t>
      </w:r>
      <w:proofErr w:type="gramEnd"/>
      <w:r w:rsidRPr="00697170">
        <w:rPr>
          <w:rFonts w:ascii="Palatino Linotype" w:hAnsi="Palatino Linotype" w:cs="Tahoma"/>
          <w:bCs/>
          <w:iCs/>
        </w:rPr>
        <w:t xml:space="preserve"> es dable traer a contexto, la respuesta inicial que refiere que la información solicitada es de carácter confidencial y que solo podrán tener acceso a ella los titulares y sus representantes y, los servidores públicos facultados para ello. </w:t>
      </w:r>
    </w:p>
    <w:p w14:paraId="476E1A75" w14:textId="77777777" w:rsidR="00CC5958" w:rsidRPr="00697170" w:rsidRDefault="00CC5958" w:rsidP="00CC5958">
      <w:pPr>
        <w:spacing w:line="360" w:lineRule="auto"/>
        <w:contextualSpacing/>
        <w:jc w:val="both"/>
        <w:rPr>
          <w:rFonts w:ascii="Palatino Linotype" w:hAnsi="Palatino Linotype" w:cs="Tahoma"/>
          <w:bCs/>
          <w:iCs/>
        </w:rPr>
      </w:pPr>
    </w:p>
    <w:p w14:paraId="4042B554" w14:textId="52422A15" w:rsidR="00CC5958" w:rsidRPr="00697170" w:rsidRDefault="00CC5958" w:rsidP="00CC5958">
      <w:pPr>
        <w:numPr>
          <w:ilvl w:val="0"/>
          <w:numId w:val="1"/>
        </w:numPr>
        <w:spacing w:line="360" w:lineRule="auto"/>
        <w:ind w:left="0" w:firstLine="0"/>
        <w:contextualSpacing/>
        <w:jc w:val="both"/>
        <w:rPr>
          <w:rFonts w:ascii="Palatino Linotype" w:hAnsi="Palatino Linotype" w:cs="Tahoma"/>
          <w:bCs/>
          <w:iCs/>
        </w:rPr>
      </w:pPr>
      <w:r w:rsidRPr="00697170">
        <w:rPr>
          <w:rFonts w:ascii="Palatino Linotype" w:hAnsi="Palatino Linotype" w:cs="Tahoma"/>
          <w:bCs/>
          <w:iCs/>
        </w:rPr>
        <w:t xml:space="preserve">Contexto que se comparte en virtud que están directamente vinculados a una persona física identificable y, </w:t>
      </w:r>
      <w:r w:rsidR="00473888" w:rsidRPr="00697170">
        <w:rPr>
          <w:rFonts w:ascii="Palatino Linotype" w:hAnsi="Palatino Linotype" w:cs="Tahoma"/>
          <w:bCs/>
          <w:iCs/>
        </w:rPr>
        <w:t xml:space="preserve">a sus datos personales patrimoniales que </w:t>
      </w:r>
      <w:r w:rsidRPr="00697170">
        <w:rPr>
          <w:rFonts w:ascii="Palatino Linotype" w:hAnsi="Palatino Linotype" w:cs="Tahoma"/>
          <w:bCs/>
          <w:iCs/>
        </w:rPr>
        <w:t>pueden revelar información importante sobre una persona, como su situación económica; por lo que la divulgación de bienes patrimoniales puede tener un impacto significativo en la privacidad de una persona. Por ejemplo, revelar que alguien posee ciertas propiedades y su estatus legal puede poner en riesgo su seguridad o exponerlo a situaciones de vulnerabilidad.</w:t>
      </w:r>
    </w:p>
    <w:p w14:paraId="5A334044" w14:textId="77777777" w:rsidR="00CC5958" w:rsidRPr="00697170" w:rsidRDefault="00CC5958" w:rsidP="00CC5958">
      <w:pPr>
        <w:spacing w:line="360" w:lineRule="auto"/>
        <w:contextualSpacing/>
        <w:jc w:val="both"/>
        <w:rPr>
          <w:rFonts w:ascii="Palatino Linotype" w:hAnsi="Palatino Linotype" w:cs="Tahoma"/>
          <w:bCs/>
          <w:iCs/>
        </w:rPr>
      </w:pPr>
    </w:p>
    <w:p w14:paraId="0B6DA6B5" w14:textId="31C7C700" w:rsidR="00CC5958" w:rsidRPr="00697170" w:rsidRDefault="00CC5958" w:rsidP="0094085B">
      <w:pPr>
        <w:numPr>
          <w:ilvl w:val="0"/>
          <w:numId w:val="1"/>
        </w:numPr>
        <w:spacing w:line="360" w:lineRule="auto"/>
        <w:ind w:left="0" w:firstLine="0"/>
        <w:contextualSpacing/>
        <w:jc w:val="both"/>
        <w:rPr>
          <w:rFonts w:ascii="Palatino Linotype" w:hAnsi="Palatino Linotype" w:cs="Tahoma"/>
          <w:bCs/>
          <w:iCs/>
        </w:rPr>
      </w:pPr>
      <w:r w:rsidRPr="00697170">
        <w:rPr>
          <w:rFonts w:ascii="Palatino Linotype" w:hAnsi="Palatino Linotype" w:cs="Tahoma"/>
          <w:bCs/>
          <w:iCs/>
        </w:rPr>
        <w:lastRenderedPageBreak/>
        <w:t>Para tal efecto deberá emitirse el acuerdo a través del cual de manera fundada y motivada se clasifique como confidencial, mismo que se pretendió colmar de manera posterior a la interposición del recurso de revisión</w:t>
      </w:r>
      <w:r w:rsidR="004D01FA" w:rsidRPr="00697170">
        <w:rPr>
          <w:rFonts w:ascii="Palatino Linotype" w:hAnsi="Palatino Linotype" w:cs="Tahoma"/>
          <w:bCs/>
          <w:iCs/>
        </w:rPr>
        <w:t xml:space="preserve"> en calidad de informe justificado</w:t>
      </w:r>
      <w:r w:rsidR="0094085B" w:rsidRPr="00697170">
        <w:rPr>
          <w:rFonts w:ascii="Palatino Linotype" w:hAnsi="Palatino Linotype" w:cs="Tahoma"/>
          <w:bCs/>
          <w:iCs/>
        </w:rPr>
        <w:t>; no obstante dicho acuerdo de reserva versa sobre el padrón catastral, es decir, información de todos los predios, lo cual no se solicitó y no contiene toda la información solicitada por el particular, por tanto no resulta dable un análisis de forma y fondo de dicho acuerdo en virtud de no versar sobre la información solicitada de manera inicial.</w:t>
      </w:r>
    </w:p>
    <w:p w14:paraId="2C61DC08" w14:textId="77777777" w:rsidR="0094085B" w:rsidRPr="00697170" w:rsidRDefault="0094085B" w:rsidP="0094085B">
      <w:pPr>
        <w:pStyle w:val="Prrafodelista"/>
        <w:rPr>
          <w:rFonts w:ascii="Palatino Linotype" w:hAnsi="Palatino Linotype" w:cs="Tahoma"/>
          <w:bCs/>
          <w:iCs/>
        </w:rPr>
      </w:pPr>
    </w:p>
    <w:p w14:paraId="23BD6A62" w14:textId="05347A38" w:rsidR="006A2166" w:rsidRPr="00697170" w:rsidRDefault="004D01FA" w:rsidP="00473888">
      <w:pPr>
        <w:numPr>
          <w:ilvl w:val="0"/>
          <w:numId w:val="1"/>
        </w:numPr>
        <w:spacing w:line="360" w:lineRule="auto"/>
        <w:ind w:left="0" w:firstLine="0"/>
        <w:contextualSpacing/>
        <w:jc w:val="both"/>
        <w:rPr>
          <w:rFonts w:ascii="Palatino Linotype" w:eastAsia="Calibri" w:hAnsi="Palatino Linotype" w:cs="Tahoma"/>
          <w:bCs/>
        </w:rPr>
      </w:pPr>
      <w:r w:rsidRPr="00697170">
        <w:rPr>
          <w:rFonts w:ascii="Palatino Linotype" w:eastAsia="Calibri" w:hAnsi="Palatino Linotype" w:cs="Tahoma"/>
          <w:bCs/>
        </w:rPr>
        <w:t>Al respecto, e</w:t>
      </w:r>
      <w:r w:rsidR="006A2166" w:rsidRPr="00697170">
        <w:rPr>
          <w:rFonts w:ascii="Palatino Linotype" w:eastAsia="Calibri" w:hAnsi="Palatino Linotype" w:cs="Tahoma"/>
          <w:bCs/>
        </w:rPr>
        <w:t xml:space="preserve">l artículo 6°, apartado A, fracción II, de la Constitución Política de los Estados Unidos Mexicanos </w:t>
      </w:r>
      <w:r w:rsidR="006A2166" w:rsidRPr="00697170">
        <w:rPr>
          <w:rFonts w:ascii="Palatino Linotype" w:hAnsi="Palatino Linotype" w:cs="Tahoma"/>
          <w:bCs/>
          <w:iCs/>
        </w:rPr>
        <w:t>establece</w:t>
      </w:r>
      <w:r w:rsidR="006A2166" w:rsidRPr="00697170">
        <w:rPr>
          <w:rFonts w:ascii="Palatino Linotype" w:eastAsia="Calibri" w:hAnsi="Palatino Linotype" w:cs="Tahoma"/>
          <w:bCs/>
        </w:rPr>
        <w:t xml:space="preserve"> que </w:t>
      </w:r>
      <w:r w:rsidR="006A2166" w:rsidRPr="00697170">
        <w:rPr>
          <w:rFonts w:ascii="Palatino Linotype" w:eastAsia="Calibri" w:hAnsi="Palatino Linotype" w:cs="Tahoma"/>
          <w:bCs/>
          <w:i/>
        </w:rPr>
        <w:t xml:space="preserve">la información que se refiere a la vida privada y los datos personales será protegida en los términos y con las excepciones que fijen las leyes. </w:t>
      </w:r>
      <w:r w:rsidR="006A2166" w:rsidRPr="00697170">
        <w:rPr>
          <w:rFonts w:ascii="Palatino Linotype" w:eastAsia="Calibri" w:hAnsi="Palatino Linotype" w:cs="Tahoma"/>
          <w:bCs/>
        </w:rPr>
        <w:t>Por su parte el artículo 16, párrafo segundo, del mismo ordenamiento establece el derecho que tienen los particulares a la protección de sus datos personales, conforme a lo siguiente:</w:t>
      </w:r>
    </w:p>
    <w:p w14:paraId="34A6FF9A" w14:textId="77777777" w:rsidR="006A2166" w:rsidRPr="00697170" w:rsidRDefault="006A2166" w:rsidP="004D01FA">
      <w:pPr>
        <w:pStyle w:val="Prrafodelista"/>
        <w:spacing w:line="360" w:lineRule="auto"/>
        <w:ind w:left="360" w:right="-93"/>
        <w:rPr>
          <w:rFonts w:ascii="Palatino Linotype" w:eastAsia="Calibri" w:hAnsi="Palatino Linotype" w:cs="Tahoma"/>
          <w:bCs/>
        </w:rPr>
      </w:pPr>
    </w:p>
    <w:p w14:paraId="05A89429" w14:textId="77777777" w:rsidR="006A2166" w:rsidRPr="00697170" w:rsidRDefault="006A2166" w:rsidP="004D01FA">
      <w:pPr>
        <w:pStyle w:val="Prrafodelista"/>
        <w:ind w:left="357" w:right="567"/>
        <w:jc w:val="both"/>
        <w:rPr>
          <w:rFonts w:ascii="Palatino Linotype" w:eastAsia="Calibri" w:hAnsi="Palatino Linotype" w:cs="Tahoma"/>
          <w:bCs/>
          <w:i/>
        </w:rPr>
      </w:pPr>
      <w:r w:rsidRPr="00697170">
        <w:rPr>
          <w:rFonts w:ascii="Palatino Linotype" w:eastAsia="Calibri" w:hAnsi="Palatino Linotype" w:cs="Tahoma"/>
          <w:bCs/>
          <w:i/>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r w:rsidRPr="00697170">
        <w:rPr>
          <w:rFonts w:ascii="Palatino Linotype" w:eastAsia="Calibri" w:hAnsi="Palatino Linotype" w:cs="Tahoma"/>
          <w:bCs/>
          <w:i/>
        </w:rPr>
        <w:cr/>
      </w:r>
    </w:p>
    <w:p w14:paraId="2F489AE0" w14:textId="1E76FFDD" w:rsidR="006A2166" w:rsidRPr="00697170" w:rsidRDefault="006A2166" w:rsidP="004D01FA">
      <w:pPr>
        <w:numPr>
          <w:ilvl w:val="0"/>
          <w:numId w:val="1"/>
        </w:numPr>
        <w:spacing w:line="360" w:lineRule="auto"/>
        <w:ind w:left="0" w:firstLine="0"/>
        <w:contextualSpacing/>
        <w:jc w:val="both"/>
        <w:rPr>
          <w:rFonts w:ascii="Palatino Linotype" w:eastAsia="Calibri" w:hAnsi="Palatino Linotype" w:cs="Tahoma"/>
          <w:bCs/>
        </w:rPr>
      </w:pPr>
      <w:r w:rsidRPr="00697170">
        <w:rPr>
          <w:rFonts w:ascii="Palatino Linotype" w:eastAsia="Calibri" w:hAnsi="Palatino Linotype" w:cs="Tahoma"/>
          <w:bCs/>
        </w:rPr>
        <w:t xml:space="preserve">Sobre la materia de protección de datos personales, en nuestro país se ha </w:t>
      </w:r>
      <w:r w:rsidR="004D01FA" w:rsidRPr="00697170">
        <w:rPr>
          <w:rFonts w:ascii="Palatino Linotype" w:eastAsia="Calibri" w:hAnsi="Palatino Linotype" w:cs="Tahoma"/>
          <w:bCs/>
        </w:rPr>
        <w:t>separado</w:t>
      </w:r>
      <w:r w:rsidRPr="00697170">
        <w:rPr>
          <w:rFonts w:ascii="Palatino Linotype" w:eastAsia="Calibri" w:hAnsi="Palatino Linotype" w:cs="Tahoma"/>
          <w:bCs/>
        </w:rPr>
        <w:t xml:space="preserve">, a partir de quién realiza el tratamiento, así, por un lado se garantiza la protección de los datos personales que son tratados por particulares a través de una ley de carácter federal y para el caso de la instituciones públicas en leyes especializas </w:t>
      </w:r>
      <w:r w:rsidRPr="00697170">
        <w:rPr>
          <w:rFonts w:ascii="Palatino Linotype" w:eastAsia="Calibri" w:hAnsi="Palatino Linotype" w:cs="Tahoma"/>
          <w:bCs/>
        </w:rPr>
        <w:lastRenderedPageBreak/>
        <w:t xml:space="preserve">en el tratamiento que en función del marco legal e impacto que estas, de tal suerte que la Ley General de Protección de Datos Personales en Posesión de Sujetos Obligados, establece sobre la protección de estos lo siguiente: </w:t>
      </w:r>
    </w:p>
    <w:p w14:paraId="0F6A3CC6" w14:textId="77777777" w:rsidR="006A2166" w:rsidRPr="00697170" w:rsidRDefault="006A2166" w:rsidP="006A2166">
      <w:pPr>
        <w:pStyle w:val="Prrafodelista"/>
        <w:spacing w:line="360" w:lineRule="auto"/>
        <w:ind w:left="360" w:right="-93"/>
        <w:rPr>
          <w:rFonts w:ascii="Palatino Linotype" w:eastAsia="Calibri" w:hAnsi="Palatino Linotype" w:cs="Tahoma"/>
          <w:bCs/>
        </w:rPr>
      </w:pPr>
    </w:p>
    <w:p w14:paraId="79AA30A6" w14:textId="77777777" w:rsidR="006A2166" w:rsidRPr="00697170" w:rsidRDefault="006A2166" w:rsidP="004D01FA">
      <w:pPr>
        <w:numPr>
          <w:ilvl w:val="0"/>
          <w:numId w:val="1"/>
        </w:numPr>
        <w:spacing w:line="360" w:lineRule="auto"/>
        <w:ind w:left="0" w:firstLine="0"/>
        <w:contextualSpacing/>
        <w:jc w:val="both"/>
        <w:rPr>
          <w:rFonts w:ascii="Palatino Linotype" w:eastAsia="Calibri" w:hAnsi="Palatino Linotype" w:cs="Tahoma"/>
          <w:bCs/>
        </w:rPr>
      </w:pPr>
      <w:r w:rsidRPr="00697170">
        <w:rPr>
          <w:rFonts w:ascii="Palatino Linotype" w:eastAsia="Calibri" w:hAnsi="Palatino Linotype" w:cs="Tahoma"/>
          <w:bCs/>
        </w:rPr>
        <w:t>El artículo 1°, dispone que es una ley de observancia general en toda la República, reglamentaria de los artículos 6o., Base A y 16, segundo párrafo, de la Constitución Política de los Estados Unidos Mexicanos, en materia de protección de datos personales en posesión de sujetos obligados.</w:t>
      </w:r>
    </w:p>
    <w:p w14:paraId="20D939F5" w14:textId="77777777" w:rsidR="006A2166" w:rsidRPr="00697170" w:rsidRDefault="006A2166" w:rsidP="006A2166">
      <w:pPr>
        <w:pStyle w:val="Prrafodelista"/>
        <w:spacing w:line="360" w:lineRule="auto"/>
        <w:ind w:left="360" w:right="-93"/>
        <w:rPr>
          <w:rFonts w:ascii="Palatino Linotype" w:eastAsia="Calibri" w:hAnsi="Palatino Linotype" w:cs="Tahoma"/>
          <w:bCs/>
        </w:rPr>
      </w:pPr>
    </w:p>
    <w:p w14:paraId="68956D3E" w14:textId="501F1BA2" w:rsidR="006A2166" w:rsidRPr="00697170" w:rsidRDefault="006A2166" w:rsidP="004D01FA">
      <w:pPr>
        <w:numPr>
          <w:ilvl w:val="0"/>
          <w:numId w:val="1"/>
        </w:numPr>
        <w:spacing w:line="360" w:lineRule="auto"/>
        <w:ind w:left="0" w:firstLine="0"/>
        <w:contextualSpacing/>
        <w:jc w:val="both"/>
        <w:rPr>
          <w:rFonts w:ascii="Palatino Linotype" w:eastAsia="Calibri" w:hAnsi="Palatino Linotype" w:cs="Tahoma"/>
          <w:bCs/>
          <w:lang w:val="es-ES" w:eastAsia="en-US"/>
        </w:rPr>
      </w:pPr>
      <w:r w:rsidRPr="00697170">
        <w:rPr>
          <w:rFonts w:ascii="Palatino Linotype" w:hAnsi="Palatino Linotype" w:cs="Tahoma"/>
          <w:lang w:val="es-ES"/>
        </w:rPr>
        <w:t>Luego entonces, sobre el soporte documental relativo a la información catastral solicitada</w:t>
      </w:r>
      <w:r w:rsidR="004D01FA" w:rsidRPr="00697170">
        <w:rPr>
          <w:rFonts w:ascii="Palatino Linotype" w:hAnsi="Palatino Linotype" w:cs="Tahoma"/>
          <w:lang w:val="es-ES"/>
        </w:rPr>
        <w:t xml:space="preserve"> </w:t>
      </w:r>
      <w:r w:rsidRPr="00697170">
        <w:rPr>
          <w:rFonts w:ascii="Palatino Linotype" w:eastAsia="Calibri" w:hAnsi="Palatino Linotype" w:cs="Tahoma"/>
          <w:bCs/>
          <w:lang w:val="es-ES" w:eastAsia="en-US"/>
        </w:rPr>
        <w:t xml:space="preserve">el artículo 179, fracción I, del Código Financiero del Estado de México y Municipios, refiere que la </w:t>
      </w:r>
      <w:r w:rsidRPr="00697170">
        <w:rPr>
          <w:rFonts w:ascii="Palatino Linotype" w:eastAsia="Calibri" w:hAnsi="Palatino Linotype" w:cs="Tahoma"/>
          <w:bCs/>
        </w:rPr>
        <w:t>clave</w:t>
      </w:r>
      <w:r w:rsidRPr="00697170">
        <w:rPr>
          <w:rFonts w:ascii="Palatino Linotype" w:eastAsia="Calibri" w:hAnsi="Palatino Linotype" w:cs="Tahoma"/>
          <w:bCs/>
          <w:lang w:val="es-ES" w:eastAsia="en-US"/>
        </w:rPr>
        <w:t xml:space="preser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478CC3F5" w14:textId="77777777" w:rsidR="006A2166" w:rsidRPr="00697170" w:rsidRDefault="006A2166" w:rsidP="006A2166">
      <w:pPr>
        <w:pStyle w:val="Prrafodelista"/>
        <w:spacing w:line="360" w:lineRule="auto"/>
        <w:ind w:left="360" w:right="-93"/>
        <w:jc w:val="both"/>
        <w:rPr>
          <w:rFonts w:ascii="Palatino Linotype" w:eastAsia="Calibri" w:hAnsi="Palatino Linotype" w:cs="Tahoma"/>
          <w:bCs/>
          <w:lang w:val="es-ES" w:eastAsia="en-US"/>
        </w:rPr>
      </w:pPr>
    </w:p>
    <w:p w14:paraId="7E465F13" w14:textId="77777777" w:rsidR="006A2166" w:rsidRPr="00697170" w:rsidRDefault="006A2166" w:rsidP="004D01FA">
      <w:pPr>
        <w:numPr>
          <w:ilvl w:val="0"/>
          <w:numId w:val="1"/>
        </w:numPr>
        <w:spacing w:line="360" w:lineRule="auto"/>
        <w:ind w:left="0" w:firstLine="0"/>
        <w:contextualSpacing/>
        <w:jc w:val="both"/>
        <w:rPr>
          <w:rFonts w:ascii="Palatino Linotype" w:eastAsia="Calibri" w:hAnsi="Palatino Linotype" w:cs="Tahoma"/>
          <w:bCs/>
          <w:lang w:val="es-ES" w:eastAsia="en-US"/>
        </w:rPr>
      </w:pPr>
      <w:r w:rsidRPr="00697170">
        <w:rPr>
          <w:rFonts w:ascii="Palatino Linotype" w:eastAsia="Calibri" w:hAnsi="Palatino Linotype" w:cs="Tahoma"/>
          <w:bCs/>
          <w:lang w:val="es-ES" w:eastAsia="en-US"/>
        </w:rPr>
        <w:t>El diccionario de Datos catastrales Escala 1:1000 del Instituto Nacional de Estadística y Geografía (</w:t>
      </w:r>
      <w:r w:rsidRPr="00697170">
        <w:rPr>
          <w:rFonts w:ascii="Palatino Linotype" w:hAnsi="Palatino Linotype" w:cs="Tahoma"/>
          <w:lang w:val="es-ES"/>
        </w:rPr>
        <w:t>INEGI</w:t>
      </w:r>
      <w:r w:rsidRPr="00697170">
        <w:rPr>
          <w:rFonts w:ascii="Palatino Linotype" w:eastAsia="Calibri" w:hAnsi="Palatino Linotype" w:cs="Tahoma"/>
          <w:bCs/>
          <w:lang w:val="es-ES" w:eastAsia="en-US"/>
        </w:rPr>
        <w:t>), contempla en su glosario la definición de clave catastral, la cual, es la siguiente:</w:t>
      </w:r>
    </w:p>
    <w:p w14:paraId="6CBA4A45" w14:textId="77777777" w:rsidR="006A2166" w:rsidRPr="00697170" w:rsidRDefault="006A2166" w:rsidP="006A2166">
      <w:pPr>
        <w:pStyle w:val="Prrafodelista"/>
        <w:spacing w:line="360" w:lineRule="auto"/>
        <w:ind w:left="360" w:right="-93"/>
        <w:jc w:val="both"/>
        <w:rPr>
          <w:rFonts w:ascii="Palatino Linotype" w:eastAsia="Calibri" w:hAnsi="Palatino Linotype" w:cs="Tahoma"/>
          <w:bCs/>
          <w:lang w:val="es-ES" w:eastAsia="en-US"/>
        </w:rPr>
      </w:pPr>
    </w:p>
    <w:p w14:paraId="41C02856" w14:textId="77777777" w:rsidR="006A2166" w:rsidRPr="00697170" w:rsidRDefault="006A2166" w:rsidP="00861897">
      <w:pPr>
        <w:pStyle w:val="Prrafodelista"/>
        <w:ind w:left="357" w:right="539"/>
        <w:jc w:val="both"/>
        <w:rPr>
          <w:rFonts w:ascii="Palatino Linotype" w:eastAsia="Calibri" w:hAnsi="Palatino Linotype" w:cs="Tahoma"/>
          <w:bCs/>
          <w:i/>
          <w:lang w:val="es-ES" w:eastAsia="en-US"/>
        </w:rPr>
      </w:pPr>
      <w:r w:rsidRPr="00697170">
        <w:rPr>
          <w:rFonts w:ascii="Palatino Linotype" w:eastAsia="Calibri" w:hAnsi="Palatino Linotype" w:cs="Tahoma"/>
          <w:bCs/>
          <w:i/>
          <w:lang w:val="es-ES" w:eastAsia="en-US"/>
        </w:rPr>
        <w:t>“</w:t>
      </w:r>
      <w:r w:rsidRPr="00697170">
        <w:rPr>
          <w:rFonts w:ascii="Palatino Linotype" w:eastAsia="Calibri" w:hAnsi="Palatino Linotype" w:cs="Tahoma"/>
          <w:b/>
          <w:bCs/>
          <w:i/>
          <w:lang w:val="es-ES" w:eastAsia="en-US"/>
        </w:rPr>
        <w:t xml:space="preserve">Clave catastral: </w:t>
      </w:r>
      <w:r w:rsidRPr="00697170">
        <w:rPr>
          <w:rFonts w:ascii="Palatino Linotype" w:eastAsia="Calibri" w:hAnsi="Palatino Linotype" w:cs="Tahoma"/>
          <w:bCs/>
          <w:i/>
          <w:lang w:val="es-ES" w:eastAsia="en-US"/>
        </w:rPr>
        <w:t xml:space="preserve">El código que identifica al predio de forma única para su localización geográfica, mismo que es asignado a cada uno de ellos en el momento </w:t>
      </w:r>
      <w:r w:rsidRPr="00697170">
        <w:rPr>
          <w:rFonts w:ascii="Palatino Linotype" w:eastAsia="Calibri" w:hAnsi="Palatino Linotype" w:cs="Tahoma"/>
          <w:bCs/>
          <w:i/>
          <w:lang w:val="es-ES" w:eastAsia="en-US"/>
        </w:rPr>
        <w:lastRenderedPageBreak/>
        <w:t>de su inscripción en el padrón catastral por las Unidades del estado con atribuciones catastrales”</w:t>
      </w:r>
    </w:p>
    <w:p w14:paraId="03D83B0B" w14:textId="77777777" w:rsidR="006A2166" w:rsidRPr="00697170" w:rsidRDefault="006A2166" w:rsidP="006A2166">
      <w:pPr>
        <w:pStyle w:val="Prrafodelista"/>
        <w:spacing w:line="360" w:lineRule="auto"/>
        <w:ind w:left="360" w:right="-93"/>
        <w:jc w:val="both"/>
        <w:rPr>
          <w:rFonts w:ascii="Palatino Linotype" w:eastAsia="Calibri" w:hAnsi="Palatino Linotype" w:cs="Tahoma"/>
          <w:bCs/>
          <w:lang w:val="es-ES" w:eastAsia="en-US"/>
        </w:rPr>
      </w:pPr>
    </w:p>
    <w:p w14:paraId="195DD9A2" w14:textId="77777777" w:rsidR="006A2166" w:rsidRPr="00697170" w:rsidRDefault="006A2166" w:rsidP="004D01FA">
      <w:pPr>
        <w:numPr>
          <w:ilvl w:val="0"/>
          <w:numId w:val="1"/>
        </w:numPr>
        <w:spacing w:line="360" w:lineRule="auto"/>
        <w:ind w:left="0" w:firstLine="0"/>
        <w:contextualSpacing/>
        <w:jc w:val="both"/>
        <w:rPr>
          <w:rFonts w:ascii="Palatino Linotype" w:eastAsia="Calibri" w:hAnsi="Palatino Linotype" w:cs="Tahoma"/>
          <w:bCs/>
          <w:lang w:val="es-ES" w:eastAsia="en-US"/>
        </w:rPr>
      </w:pPr>
      <w:r w:rsidRPr="00697170">
        <w:rPr>
          <w:rFonts w:ascii="Palatino Linotype" w:eastAsia="Calibri" w:hAnsi="Palatino Linotype" w:cs="Tahoma"/>
          <w:bCs/>
          <w:lang w:val="es-ES" w:eastAsia="en-US"/>
        </w:rPr>
        <w:t>Así mismo, dicho diccionario estipula dos tipos de Claves catastrales, siendo estas la Estándar y la Original, cuyo diccionario de datos catastrales Escala 1:1000 del INEGI, las define como</w:t>
      </w:r>
    </w:p>
    <w:p w14:paraId="4072DE03" w14:textId="77777777" w:rsidR="006A2166" w:rsidRPr="00697170" w:rsidRDefault="006A2166" w:rsidP="006A2166">
      <w:pPr>
        <w:pStyle w:val="Prrafodelista"/>
        <w:spacing w:line="360" w:lineRule="auto"/>
        <w:ind w:left="360" w:right="-93"/>
        <w:jc w:val="both"/>
        <w:rPr>
          <w:rFonts w:ascii="Palatino Linotype" w:eastAsia="Calibri" w:hAnsi="Palatino Linotype" w:cs="Tahoma"/>
          <w:bCs/>
          <w:lang w:val="es-ES" w:eastAsia="en-US"/>
        </w:rPr>
      </w:pPr>
    </w:p>
    <w:p w14:paraId="11BC01D8" w14:textId="77777777" w:rsidR="006A2166" w:rsidRPr="00697170" w:rsidRDefault="006A2166" w:rsidP="00861897">
      <w:pPr>
        <w:pStyle w:val="Prrafodelista"/>
        <w:ind w:left="357" w:right="539"/>
        <w:jc w:val="both"/>
        <w:rPr>
          <w:rFonts w:ascii="Palatino Linotype" w:eastAsia="Calibri" w:hAnsi="Palatino Linotype" w:cs="Tahoma"/>
          <w:bCs/>
          <w:i/>
          <w:lang w:val="es-ES" w:eastAsia="en-US"/>
        </w:rPr>
      </w:pPr>
      <w:r w:rsidRPr="00697170">
        <w:rPr>
          <w:rFonts w:ascii="Palatino Linotype" w:eastAsia="Calibri" w:hAnsi="Palatino Linotype" w:cs="Tahoma"/>
          <w:bCs/>
          <w:i/>
          <w:lang w:val="es-ES" w:eastAsia="en-US"/>
        </w:rPr>
        <w:t>“</w:t>
      </w:r>
      <w:r w:rsidRPr="00697170">
        <w:rPr>
          <w:rFonts w:ascii="Palatino Linotype" w:eastAsia="Calibri" w:hAnsi="Palatino Linotype" w:cs="Tahoma"/>
          <w:b/>
          <w:bCs/>
          <w:i/>
          <w:lang w:val="es-ES" w:eastAsia="en-US"/>
        </w:rPr>
        <w:t xml:space="preserve">CLAVE CATASTRAL ESTÁNDAR: </w:t>
      </w:r>
      <w:r w:rsidRPr="00697170">
        <w:rPr>
          <w:rFonts w:ascii="Palatino Linotype" w:eastAsia="Calibri" w:hAnsi="Palatino Linotype" w:cs="Tahoma"/>
          <w:bCs/>
          <w:i/>
          <w:lang w:val="es-ES" w:eastAsia="en-US"/>
        </w:rPr>
        <w:t xml:space="preserve">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sidRPr="00697170">
        <w:rPr>
          <w:rFonts w:ascii="Palatino Linotype" w:eastAsia="Calibri" w:hAnsi="Palatino Linotype" w:cs="Tahoma"/>
          <w:bCs/>
          <w:i/>
          <w:lang w:val="es-ES" w:eastAsia="en-US"/>
        </w:rPr>
        <w:t>Manzana(</w:t>
      </w:r>
      <w:proofErr w:type="gramEnd"/>
      <w:r w:rsidRPr="00697170">
        <w:rPr>
          <w:rFonts w:ascii="Palatino Linotype" w:eastAsia="Calibri" w:hAnsi="Palatino Linotype" w:cs="Tahoma"/>
          <w:bCs/>
          <w:i/>
          <w:lang w:val="es-ES" w:eastAsia="en-US"/>
        </w:rPr>
        <w:t>3) + Predio (5) +  Condominio: edificio (2) y unidad (4).</w:t>
      </w:r>
    </w:p>
    <w:p w14:paraId="749F6C65" w14:textId="77777777" w:rsidR="006A2166" w:rsidRPr="00697170" w:rsidRDefault="006A2166" w:rsidP="006A2166">
      <w:pPr>
        <w:pStyle w:val="Prrafodelista"/>
        <w:spacing w:line="360" w:lineRule="auto"/>
        <w:ind w:left="360" w:right="539"/>
        <w:jc w:val="both"/>
        <w:rPr>
          <w:rFonts w:ascii="Palatino Linotype" w:eastAsia="Calibri" w:hAnsi="Palatino Linotype" w:cs="Tahoma"/>
          <w:bCs/>
          <w:i/>
          <w:lang w:val="es-ES" w:eastAsia="en-US"/>
        </w:rPr>
      </w:pPr>
    </w:p>
    <w:p w14:paraId="230E4FFC" w14:textId="77777777" w:rsidR="006A2166" w:rsidRPr="00697170" w:rsidRDefault="006A2166" w:rsidP="00861897">
      <w:pPr>
        <w:pStyle w:val="Prrafodelista"/>
        <w:ind w:left="357" w:right="539"/>
        <w:jc w:val="both"/>
        <w:rPr>
          <w:rFonts w:ascii="Palatino Linotype" w:eastAsia="Calibri" w:hAnsi="Palatino Linotype" w:cs="Tahoma"/>
          <w:b/>
          <w:bCs/>
          <w:i/>
          <w:lang w:val="es-ES" w:eastAsia="en-US"/>
        </w:rPr>
      </w:pPr>
      <w:r w:rsidRPr="00697170">
        <w:rPr>
          <w:rFonts w:ascii="Palatino Linotype" w:eastAsia="Calibri" w:hAnsi="Palatino Linotype" w:cs="Tahoma"/>
          <w:b/>
          <w:bCs/>
          <w:i/>
          <w:lang w:val="es-ES" w:eastAsia="en-US"/>
        </w:rPr>
        <w:t xml:space="preserve">CLAVE CATASTRAL ORIGINAL: </w:t>
      </w:r>
      <w:r w:rsidRPr="00697170">
        <w:rPr>
          <w:rFonts w:ascii="Palatino Linotype" w:eastAsia="Calibri" w:hAnsi="Palatino Linotype" w:cs="Tahoma"/>
          <w:bCs/>
          <w:i/>
          <w:lang w:val="es-ES" w:eastAsia="en-US"/>
        </w:rPr>
        <w:t>Código que identifica al objeto espacial el cual es asignado, por el Catastro Estatal, Municipal o por el registro Agrario Nacional”</w:t>
      </w:r>
      <w:r w:rsidRPr="00697170">
        <w:rPr>
          <w:rFonts w:ascii="Palatino Linotype" w:eastAsia="Calibri" w:hAnsi="Palatino Linotype" w:cs="Tahoma"/>
          <w:b/>
          <w:bCs/>
          <w:i/>
          <w:lang w:val="es-ES" w:eastAsia="en-US"/>
        </w:rPr>
        <w:t xml:space="preserve"> </w:t>
      </w:r>
    </w:p>
    <w:p w14:paraId="771F4299" w14:textId="77777777" w:rsidR="006A2166" w:rsidRPr="00697170" w:rsidRDefault="006A2166" w:rsidP="006A2166">
      <w:pPr>
        <w:pStyle w:val="Prrafodelista"/>
        <w:spacing w:line="360" w:lineRule="auto"/>
        <w:ind w:left="360" w:right="-93"/>
        <w:jc w:val="both"/>
        <w:rPr>
          <w:rFonts w:ascii="Palatino Linotype" w:eastAsia="Calibri" w:hAnsi="Palatino Linotype" w:cs="Tahoma"/>
          <w:bCs/>
          <w:lang w:val="es-ES" w:eastAsia="en-US"/>
        </w:rPr>
      </w:pPr>
    </w:p>
    <w:p w14:paraId="054ACF70" w14:textId="7F86D449" w:rsidR="006A2166" w:rsidRPr="00697170" w:rsidRDefault="006A2166" w:rsidP="004D01FA">
      <w:pPr>
        <w:numPr>
          <w:ilvl w:val="0"/>
          <w:numId w:val="1"/>
        </w:numPr>
        <w:spacing w:line="360" w:lineRule="auto"/>
        <w:ind w:left="0" w:firstLine="0"/>
        <w:contextualSpacing/>
        <w:jc w:val="both"/>
        <w:rPr>
          <w:rFonts w:ascii="Palatino Linotype" w:eastAsia="Calibri" w:hAnsi="Palatino Linotype" w:cs="Tahoma"/>
          <w:b/>
          <w:bCs/>
          <w:lang w:val="es-ES" w:eastAsia="en-US"/>
        </w:rPr>
      </w:pPr>
      <w:r w:rsidRPr="00697170">
        <w:rPr>
          <w:rFonts w:ascii="Palatino Linotype" w:eastAsia="Calibri" w:hAnsi="Palatino Linotype" w:cs="Tahoma"/>
          <w:bCs/>
          <w:lang w:val="es-ES" w:eastAsia="en-US"/>
        </w:rPr>
        <w:t xml:space="preserve">Conforme a lo anterior, se advierte </w:t>
      </w:r>
      <w:r w:rsidR="00861897" w:rsidRPr="00697170">
        <w:rPr>
          <w:rFonts w:ascii="Palatino Linotype" w:eastAsia="Calibri" w:hAnsi="Palatino Linotype" w:cs="Tahoma"/>
          <w:bCs/>
          <w:lang w:val="es-ES" w:eastAsia="en-US"/>
        </w:rPr>
        <w:t>que los datos solicitados</w:t>
      </w:r>
      <w:r w:rsidRPr="00697170">
        <w:rPr>
          <w:rFonts w:ascii="Palatino Linotype" w:eastAsia="Calibri" w:hAnsi="Palatino Linotype" w:cs="Tahoma"/>
          <w:bCs/>
          <w:lang w:val="es-ES" w:eastAsia="en-US"/>
        </w:rPr>
        <w:t>, hace</w:t>
      </w:r>
      <w:r w:rsidR="00861897" w:rsidRPr="00697170">
        <w:rPr>
          <w:rFonts w:ascii="Palatino Linotype" w:eastAsia="Calibri" w:hAnsi="Palatino Linotype" w:cs="Tahoma"/>
          <w:bCs/>
          <w:lang w:val="es-ES" w:eastAsia="en-US"/>
        </w:rPr>
        <w:t>n</w:t>
      </w:r>
      <w:r w:rsidRPr="00697170">
        <w:rPr>
          <w:rFonts w:ascii="Palatino Linotype" w:eastAsia="Calibri" w:hAnsi="Palatino Linotype" w:cs="Tahoma"/>
          <w:bCs/>
          <w:lang w:val="es-ES" w:eastAsia="en-US"/>
        </w:rPr>
        <w:t xml:space="preserv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manera </w:t>
      </w:r>
      <w:r w:rsidRPr="00697170">
        <w:rPr>
          <w:rFonts w:ascii="Palatino Linotype" w:eastAsia="Calibri" w:hAnsi="Palatino Linotype" w:cs="Tahoma"/>
          <w:b/>
          <w:bCs/>
          <w:lang w:val="es-ES" w:eastAsia="en-US"/>
        </w:rPr>
        <w:t>procede a clasificar dicho</w:t>
      </w:r>
      <w:r w:rsidR="00E84FB7" w:rsidRPr="00697170">
        <w:rPr>
          <w:rFonts w:ascii="Palatino Linotype" w:eastAsia="Calibri" w:hAnsi="Palatino Linotype" w:cs="Tahoma"/>
          <w:b/>
          <w:bCs/>
          <w:lang w:val="es-ES" w:eastAsia="en-US"/>
        </w:rPr>
        <w:t>s</w:t>
      </w:r>
      <w:r w:rsidRPr="00697170">
        <w:rPr>
          <w:rFonts w:ascii="Palatino Linotype" w:eastAsia="Calibri" w:hAnsi="Palatino Linotype" w:cs="Tahoma"/>
          <w:b/>
          <w:bCs/>
          <w:lang w:val="es-ES" w:eastAsia="en-US"/>
        </w:rPr>
        <w:t xml:space="preserve"> dato</w:t>
      </w:r>
      <w:r w:rsidR="00E84FB7" w:rsidRPr="00697170">
        <w:rPr>
          <w:rFonts w:ascii="Palatino Linotype" w:eastAsia="Calibri" w:hAnsi="Palatino Linotype" w:cs="Tahoma"/>
          <w:b/>
          <w:bCs/>
          <w:lang w:val="es-ES" w:eastAsia="en-US"/>
        </w:rPr>
        <w:t>s</w:t>
      </w:r>
      <w:r w:rsidRPr="00697170">
        <w:rPr>
          <w:rFonts w:ascii="Palatino Linotype" w:eastAsia="Calibri" w:hAnsi="Palatino Linotype" w:cs="Tahoma"/>
          <w:b/>
          <w:bCs/>
          <w:lang w:val="es-ES" w:eastAsia="en-US"/>
        </w:rPr>
        <w:t xml:space="preserve"> como confidencial</w:t>
      </w:r>
      <w:r w:rsidR="00E84FB7" w:rsidRPr="00697170">
        <w:rPr>
          <w:rFonts w:ascii="Palatino Linotype" w:eastAsia="Calibri" w:hAnsi="Palatino Linotype" w:cs="Tahoma"/>
          <w:b/>
          <w:bCs/>
          <w:lang w:val="es-ES" w:eastAsia="en-US"/>
        </w:rPr>
        <w:t>es</w:t>
      </w:r>
      <w:r w:rsidRPr="00697170">
        <w:rPr>
          <w:rFonts w:ascii="Palatino Linotype" w:eastAsia="Calibri" w:hAnsi="Palatino Linotype" w:cs="Tahoma"/>
          <w:b/>
          <w:bCs/>
          <w:lang w:val="es-ES" w:eastAsia="en-US"/>
        </w:rPr>
        <w:t>.</w:t>
      </w:r>
    </w:p>
    <w:p w14:paraId="0EEC9EC8" w14:textId="77777777" w:rsidR="00861897" w:rsidRPr="00697170" w:rsidRDefault="00861897" w:rsidP="00861897">
      <w:pPr>
        <w:pStyle w:val="Prrafodelista"/>
        <w:spacing w:line="360" w:lineRule="auto"/>
        <w:ind w:left="360" w:right="-93"/>
        <w:jc w:val="both"/>
        <w:rPr>
          <w:rFonts w:ascii="Palatino Linotype" w:eastAsia="Calibri" w:hAnsi="Palatino Linotype" w:cs="Tahoma"/>
          <w:b/>
          <w:bCs/>
          <w:lang w:val="es-ES" w:eastAsia="en-US"/>
        </w:rPr>
      </w:pPr>
    </w:p>
    <w:p w14:paraId="1262A7B1" w14:textId="5B1D7999" w:rsidR="0094085B" w:rsidRPr="00697170" w:rsidRDefault="00E84FB7" w:rsidP="004D01FA">
      <w:pPr>
        <w:numPr>
          <w:ilvl w:val="0"/>
          <w:numId w:val="1"/>
        </w:numPr>
        <w:spacing w:line="360" w:lineRule="auto"/>
        <w:ind w:left="0" w:firstLine="0"/>
        <w:contextualSpacing/>
        <w:jc w:val="both"/>
        <w:rPr>
          <w:rFonts w:ascii="Palatino Linotype" w:hAnsi="Palatino Linotype" w:cs="Tahoma"/>
          <w:bCs/>
          <w:iCs/>
        </w:rPr>
      </w:pPr>
      <w:r w:rsidRPr="00697170">
        <w:rPr>
          <w:rFonts w:ascii="Palatino Linotype" w:hAnsi="Palatino Linotype" w:cs="Tahoma"/>
          <w:bCs/>
          <w:iCs/>
        </w:rPr>
        <w:t>Lo anterior con excepción del requerimiento relativo a:</w:t>
      </w:r>
      <w:r w:rsidRPr="00697170">
        <w:rPr>
          <w:rFonts w:ascii="Palatino Linotype" w:hAnsi="Palatino Linotype"/>
        </w:rPr>
        <w:t xml:space="preserve"> </w:t>
      </w:r>
      <w:r w:rsidR="004D01FA" w:rsidRPr="00697170">
        <w:rPr>
          <w:rFonts w:ascii="Palatino Linotype" w:hAnsi="Palatino Linotype"/>
        </w:rPr>
        <w:t>s</w:t>
      </w:r>
      <w:r w:rsidRPr="00697170">
        <w:rPr>
          <w:rFonts w:ascii="Palatino Linotype" w:hAnsi="Palatino Linotype" w:cs="Tahoma"/>
          <w:bCs/>
          <w:iCs/>
        </w:rPr>
        <w:t xml:space="preserve">aber si dicho predio a la fecha, se </w:t>
      </w:r>
      <w:r w:rsidRPr="00697170">
        <w:rPr>
          <w:rFonts w:ascii="Palatino Linotype" w:eastAsia="Calibri" w:hAnsi="Palatino Linotype" w:cs="Tahoma"/>
          <w:bCs/>
          <w:lang w:val="es-ES" w:eastAsia="en-US"/>
        </w:rPr>
        <w:t>encuentra</w:t>
      </w:r>
      <w:r w:rsidRPr="00697170">
        <w:rPr>
          <w:rFonts w:ascii="Palatino Linotype" w:hAnsi="Palatino Linotype" w:cs="Tahoma"/>
          <w:bCs/>
          <w:iCs/>
        </w:rPr>
        <w:t xml:space="preserve"> sujeto al catálogo de bienes inmuebles del Ayuntamiento</w:t>
      </w:r>
      <w:r w:rsidR="00C777E4" w:rsidRPr="00697170">
        <w:rPr>
          <w:rFonts w:ascii="Palatino Linotype" w:hAnsi="Palatino Linotype" w:cs="Tahoma"/>
          <w:bCs/>
          <w:iCs/>
        </w:rPr>
        <w:t>;</w:t>
      </w:r>
      <w:r w:rsidRPr="00697170">
        <w:rPr>
          <w:rFonts w:ascii="Palatino Linotype" w:hAnsi="Palatino Linotype" w:cs="Tahoma"/>
          <w:bCs/>
          <w:iCs/>
        </w:rPr>
        <w:t xml:space="preserve"> en virtud que corresponde a un cuestionamiento que de ser el caso si se actualice, no implica la entrega de datos personales de particulares.</w:t>
      </w:r>
      <w:r w:rsidR="00C777E4" w:rsidRPr="00697170">
        <w:rPr>
          <w:rFonts w:ascii="Palatino Linotype" w:hAnsi="Palatino Linotype" w:cs="Tahoma"/>
          <w:bCs/>
          <w:iCs/>
        </w:rPr>
        <w:t xml:space="preserve"> Sumado a </w:t>
      </w:r>
      <w:proofErr w:type="gramStart"/>
      <w:r w:rsidR="00C777E4" w:rsidRPr="00697170">
        <w:rPr>
          <w:rFonts w:ascii="Palatino Linotype" w:hAnsi="Palatino Linotype" w:cs="Tahoma"/>
          <w:bCs/>
          <w:iCs/>
        </w:rPr>
        <w:t>que</w:t>
      </w:r>
      <w:proofErr w:type="gramEnd"/>
      <w:r w:rsidR="00C777E4" w:rsidRPr="00697170">
        <w:rPr>
          <w:rFonts w:ascii="Palatino Linotype" w:hAnsi="Palatino Linotype" w:cs="Tahoma"/>
          <w:bCs/>
          <w:iCs/>
        </w:rPr>
        <w:t xml:space="preserve"> si bien está </w:t>
      </w:r>
      <w:r w:rsidR="00C777E4" w:rsidRPr="00697170">
        <w:rPr>
          <w:rFonts w:ascii="Palatino Linotype" w:hAnsi="Palatino Linotype" w:cs="Tahoma"/>
          <w:bCs/>
          <w:iCs/>
        </w:rPr>
        <w:lastRenderedPageBreak/>
        <w:t>formulada a modo de pregunta, existe una expresión documental que puede colmar la solicitud como lo es la entrega del inventario de bienes inmuebles, que de constar allí, naturalmente con su entrega se colma su requerimiento.</w:t>
      </w:r>
    </w:p>
    <w:p w14:paraId="6DC7DBEF" w14:textId="77777777" w:rsidR="0094085B" w:rsidRPr="00697170" w:rsidRDefault="0094085B" w:rsidP="0094085B">
      <w:pPr>
        <w:pStyle w:val="Prrafodelista"/>
        <w:rPr>
          <w:rFonts w:ascii="Palatino Linotype" w:hAnsi="Palatino Linotype" w:cs="Tahoma"/>
          <w:bCs/>
          <w:iCs/>
        </w:rPr>
      </w:pPr>
    </w:p>
    <w:p w14:paraId="414C5F26" w14:textId="0B035ED8" w:rsidR="00C777E4" w:rsidRPr="00697170" w:rsidRDefault="00C777E4" w:rsidP="004D01FA">
      <w:pPr>
        <w:numPr>
          <w:ilvl w:val="0"/>
          <w:numId w:val="1"/>
        </w:numPr>
        <w:spacing w:line="360" w:lineRule="auto"/>
        <w:ind w:left="0" w:firstLine="0"/>
        <w:contextualSpacing/>
        <w:jc w:val="both"/>
        <w:rPr>
          <w:rFonts w:ascii="Palatino Linotype" w:eastAsia="Times New Roman" w:hAnsi="Palatino Linotype" w:cs="Arial"/>
        </w:rPr>
      </w:pPr>
      <w:r w:rsidRPr="00697170">
        <w:rPr>
          <w:rFonts w:ascii="Palatino Linotype" w:eastAsia="Times New Roman" w:hAnsi="Palatino Linotype" w:cs="Arial"/>
        </w:rPr>
        <w:t xml:space="preserve">En esa tesitura, conforme a lo dispuesto por los artículos 3, fracción XI y 12 </w:t>
      </w:r>
      <w:r w:rsidRPr="00697170">
        <w:rPr>
          <w:rFonts w:ascii="Palatino Linotype" w:eastAsia="Times New Roman" w:hAnsi="Palatino Linotype" w:cs="Arial"/>
          <w:bCs/>
        </w:rPr>
        <w:t xml:space="preserve">de la Ley de </w:t>
      </w:r>
      <w:r w:rsidRPr="00697170">
        <w:rPr>
          <w:rFonts w:ascii="Palatino Linotype" w:hAnsi="Palatino Linotype" w:cs="Tahoma"/>
          <w:bCs/>
          <w:iCs/>
        </w:rPr>
        <w:t>Transparencia</w:t>
      </w:r>
      <w:r w:rsidRPr="00697170">
        <w:rPr>
          <w:rFonts w:ascii="Palatino Linotype" w:eastAsia="Times New Roman" w:hAnsi="Palatino Linotype" w:cs="Arial"/>
          <w:bCs/>
        </w:rPr>
        <w:t xml:space="preserve"> y Acceso a la Información Pública del Estado de México y Municipios</w:t>
      </w:r>
      <w:r w:rsidRPr="00697170">
        <w:rPr>
          <w:rFonts w:ascii="Palatino Linotype" w:eastAsia="Times New Roman" w:hAnsi="Palatino Linotype" w:cs="Arial"/>
        </w:rPr>
        <w:t>, los cuales son del tenor literal siguiente:</w:t>
      </w:r>
    </w:p>
    <w:p w14:paraId="29EB0907" w14:textId="77777777" w:rsidR="00C777E4" w:rsidRPr="00697170" w:rsidRDefault="00C777E4" w:rsidP="00C777E4">
      <w:pPr>
        <w:ind w:left="567" w:right="567"/>
        <w:jc w:val="both"/>
        <w:rPr>
          <w:rFonts w:ascii="Palatino Linotype" w:eastAsia="Times New Roman" w:hAnsi="Palatino Linotype" w:cs="Times New Roman"/>
        </w:rPr>
      </w:pPr>
    </w:p>
    <w:p w14:paraId="38C60B50" w14:textId="77777777" w:rsidR="00C777E4" w:rsidRPr="00697170" w:rsidRDefault="00C777E4" w:rsidP="00C777E4">
      <w:pPr>
        <w:ind w:left="851" w:right="851"/>
        <w:jc w:val="both"/>
        <w:rPr>
          <w:rFonts w:ascii="Palatino Linotype" w:eastAsia="Times New Roman" w:hAnsi="Palatino Linotype" w:cs="Times New Roman"/>
          <w:i/>
        </w:rPr>
      </w:pPr>
      <w:r w:rsidRPr="00697170">
        <w:rPr>
          <w:rFonts w:ascii="Palatino Linotype" w:eastAsia="Times New Roman" w:hAnsi="Palatino Linotype" w:cs="Times New Roman"/>
          <w:b/>
          <w:bCs/>
          <w:i/>
        </w:rPr>
        <w:t xml:space="preserve">Artículo 3.- </w:t>
      </w:r>
      <w:r w:rsidRPr="00697170">
        <w:rPr>
          <w:rFonts w:ascii="Palatino Linotype" w:eastAsia="Times New Roman" w:hAnsi="Palatino Linotype" w:cs="Times New Roman"/>
          <w:i/>
        </w:rPr>
        <w:t>Para los efectos de la presente Ley se entenderá por:</w:t>
      </w:r>
    </w:p>
    <w:p w14:paraId="20ACD7A1" w14:textId="77777777" w:rsidR="00C777E4" w:rsidRPr="00697170" w:rsidRDefault="00C777E4" w:rsidP="00C777E4">
      <w:pPr>
        <w:ind w:left="851" w:right="851"/>
        <w:jc w:val="both"/>
        <w:rPr>
          <w:rFonts w:ascii="Palatino Linotype" w:eastAsia="Times New Roman" w:hAnsi="Palatino Linotype" w:cs="Times New Roman"/>
          <w:i/>
        </w:rPr>
      </w:pPr>
      <w:r w:rsidRPr="00697170">
        <w:rPr>
          <w:rFonts w:ascii="Palatino Linotype" w:eastAsia="Times New Roman" w:hAnsi="Palatino Linotype" w:cs="Times New Roman"/>
          <w:i/>
        </w:rPr>
        <w:t>…</w:t>
      </w:r>
    </w:p>
    <w:p w14:paraId="21D8ED9E" w14:textId="77777777" w:rsidR="00C777E4" w:rsidRPr="00697170" w:rsidRDefault="00C777E4" w:rsidP="00C777E4">
      <w:pPr>
        <w:ind w:left="851" w:right="851"/>
        <w:jc w:val="both"/>
        <w:rPr>
          <w:rFonts w:ascii="Palatino Linotype" w:eastAsia="Times New Roman" w:hAnsi="Palatino Linotype" w:cs="Times New Roman"/>
          <w:i/>
        </w:rPr>
      </w:pPr>
      <w:r w:rsidRPr="00697170">
        <w:rPr>
          <w:rFonts w:ascii="Palatino Linotype" w:eastAsia="Times New Roman" w:hAnsi="Palatino Linotype" w:cs="Times New Roman"/>
          <w:b/>
          <w:i/>
        </w:rPr>
        <w:t>XI.</w:t>
      </w:r>
      <w:r w:rsidRPr="00697170">
        <w:rPr>
          <w:rFonts w:ascii="Palatino Linotype" w:eastAsia="Times New Roman" w:hAnsi="Palatino Linotype" w:cs="Times New Roman"/>
          <w:i/>
        </w:rPr>
        <w:t xml:space="preserve"> </w:t>
      </w:r>
      <w:r w:rsidRPr="00697170">
        <w:rPr>
          <w:rFonts w:ascii="Palatino Linotype" w:eastAsia="Times New Roman" w:hAnsi="Palatino Linotype" w:cs="Times New Roman"/>
          <w:b/>
          <w:i/>
        </w:rPr>
        <w:t>Documento:</w:t>
      </w:r>
      <w:r w:rsidRPr="00697170">
        <w:rPr>
          <w:rFonts w:ascii="Palatino Linotype" w:eastAsia="Times New Roman" w:hAnsi="Palatino Linotype" w:cs="Times New Roman"/>
          <w:i/>
        </w:rPr>
        <w:t xml:space="preserve"> Los expedientes, reportes, estudios, actas, resoluciones, oficios, correspondencia, acuerdos, directivas, directrices, circulares, contratos, convenios, instructivos, notas, memorandos, estadísticas o bien, </w:t>
      </w:r>
      <w:r w:rsidRPr="00697170">
        <w:rPr>
          <w:rFonts w:ascii="Palatino Linotype" w:eastAsia="Times New Roman" w:hAnsi="Palatino Linotype" w:cs="Times New Roman"/>
          <w:b/>
          <w:i/>
          <w:u w:val="single"/>
        </w:rPr>
        <w:t>cualquier otro registro que documente el ejercicio de las facultades, funciones y competencias de los sujetos obligados, sus servidores públicos e integrantes, sin importar su fuente o fecha de elaboración.</w:t>
      </w:r>
      <w:r w:rsidRPr="00697170">
        <w:rPr>
          <w:rFonts w:ascii="Palatino Linotype" w:eastAsia="Times New Roman" w:hAnsi="Palatino Linotype" w:cs="Times New Roman"/>
          <w:i/>
        </w:rPr>
        <w:t xml:space="preserve"> Los documentos podrán estar en cualquier medio, sea escrito, impreso, sonoro, visual, electrónico, informático u holográfico;</w:t>
      </w:r>
    </w:p>
    <w:p w14:paraId="1A208DBC" w14:textId="77777777" w:rsidR="00C777E4" w:rsidRPr="00697170" w:rsidRDefault="00C777E4" w:rsidP="00C777E4">
      <w:pPr>
        <w:ind w:left="851" w:right="851"/>
        <w:jc w:val="both"/>
        <w:rPr>
          <w:rFonts w:ascii="Palatino Linotype" w:eastAsia="Times New Roman" w:hAnsi="Palatino Linotype" w:cs="Times New Roman"/>
          <w:i/>
        </w:rPr>
      </w:pPr>
    </w:p>
    <w:p w14:paraId="6DEA15C6" w14:textId="77777777" w:rsidR="00C777E4" w:rsidRPr="00697170" w:rsidRDefault="00C777E4" w:rsidP="00C777E4">
      <w:pPr>
        <w:ind w:left="851" w:right="851"/>
        <w:jc w:val="both"/>
        <w:rPr>
          <w:rFonts w:ascii="Palatino Linotype" w:eastAsia="Times New Roman" w:hAnsi="Palatino Linotype" w:cs="Times New Roman"/>
          <w:bCs/>
          <w:i/>
        </w:rPr>
      </w:pPr>
      <w:r w:rsidRPr="00697170">
        <w:rPr>
          <w:rFonts w:ascii="Palatino Linotype" w:eastAsia="Times New Roman" w:hAnsi="Palatino Linotype" w:cs="Times New Roman"/>
          <w:b/>
          <w:bCs/>
          <w:i/>
        </w:rPr>
        <w:t>Artículo 4.</w:t>
      </w:r>
      <w:r w:rsidRPr="00697170">
        <w:rPr>
          <w:rFonts w:ascii="Palatino Linotype" w:eastAsia="Times New Roman" w:hAnsi="Palatino Linotype" w:cs="Times New Roman"/>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8523AC6" w14:textId="77777777" w:rsidR="00C777E4" w:rsidRPr="00697170" w:rsidRDefault="00C777E4" w:rsidP="00C777E4">
      <w:pPr>
        <w:ind w:left="851" w:right="851"/>
        <w:jc w:val="both"/>
        <w:rPr>
          <w:rFonts w:ascii="Palatino Linotype" w:eastAsia="Times New Roman" w:hAnsi="Palatino Linotype" w:cs="Times New Roman"/>
          <w:bCs/>
          <w:i/>
        </w:rPr>
      </w:pPr>
    </w:p>
    <w:p w14:paraId="15A5A2DC" w14:textId="77777777" w:rsidR="00C777E4" w:rsidRPr="00697170" w:rsidRDefault="00C777E4" w:rsidP="00C777E4">
      <w:pPr>
        <w:ind w:left="851" w:right="851"/>
        <w:jc w:val="both"/>
        <w:rPr>
          <w:rFonts w:ascii="Palatino Linotype" w:eastAsia="Times New Roman" w:hAnsi="Palatino Linotype" w:cs="Times New Roman"/>
          <w:bCs/>
          <w:i/>
        </w:rPr>
      </w:pPr>
      <w:r w:rsidRPr="00697170">
        <w:rPr>
          <w:rFonts w:ascii="Palatino Linotype" w:eastAsia="Times New Roman" w:hAnsi="Palatino Linotype" w:cs="Times New Roman"/>
          <w:b/>
          <w:bCs/>
          <w:i/>
          <w:u w:val="single"/>
        </w:rPr>
        <w:t>Toda la información generada, obtenida, adquirida, transformada, administrada o en posesión de los sujetos obligados es pública y accesible de manera permanente a cualquier persona,</w:t>
      </w:r>
      <w:r w:rsidRPr="00697170">
        <w:rPr>
          <w:rFonts w:ascii="Palatino Linotype" w:eastAsia="Times New Roman" w:hAnsi="Palatino Linotype" w:cs="Times New Roman"/>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w:t>
      </w:r>
      <w:r w:rsidRPr="00697170">
        <w:rPr>
          <w:rFonts w:ascii="Palatino Linotype" w:eastAsia="Times New Roman" w:hAnsi="Palatino Linotype" w:cs="Times New Roman"/>
          <w:bCs/>
          <w:i/>
        </w:rPr>
        <w:lastRenderedPageBreak/>
        <w:t>términos de las causas legítimas y estrictamente necesarias previstas por esta Ley.</w:t>
      </w:r>
    </w:p>
    <w:p w14:paraId="0E659F1A" w14:textId="77777777" w:rsidR="00C777E4" w:rsidRPr="00697170" w:rsidRDefault="00C777E4" w:rsidP="00C777E4">
      <w:pPr>
        <w:ind w:left="851" w:right="851"/>
        <w:jc w:val="both"/>
        <w:rPr>
          <w:rFonts w:ascii="Palatino Linotype" w:eastAsia="Times New Roman" w:hAnsi="Palatino Linotype" w:cs="Times New Roman"/>
          <w:bCs/>
          <w:i/>
        </w:rPr>
      </w:pPr>
    </w:p>
    <w:p w14:paraId="6B955F5E" w14:textId="77777777" w:rsidR="00C777E4" w:rsidRPr="00697170" w:rsidRDefault="00C777E4" w:rsidP="00C777E4">
      <w:pPr>
        <w:ind w:left="851" w:right="851"/>
        <w:jc w:val="both"/>
        <w:rPr>
          <w:rFonts w:ascii="Palatino Linotype" w:eastAsia="Times New Roman" w:hAnsi="Palatino Linotype" w:cs="Times New Roman"/>
          <w:bCs/>
          <w:i/>
        </w:rPr>
      </w:pPr>
      <w:r w:rsidRPr="00697170">
        <w:rPr>
          <w:rFonts w:ascii="Palatino Linotype" w:eastAsia="Times New Roman" w:hAnsi="Palatino Linotype" w:cs="Times New Roman"/>
          <w:bCs/>
          <w:i/>
        </w:rPr>
        <w:t>Los sujetos obligados deben poner en práctica, políticas y programas de acceso a la información que se apeguen a criterios de publicidad, veracidad, oportunidad, precisión y suficiencia en beneficio de los solicitantes.</w:t>
      </w:r>
    </w:p>
    <w:p w14:paraId="5C787875" w14:textId="77777777" w:rsidR="00C777E4" w:rsidRPr="00697170" w:rsidRDefault="00C777E4" w:rsidP="00C777E4">
      <w:pPr>
        <w:ind w:left="851" w:right="851"/>
        <w:jc w:val="both"/>
        <w:rPr>
          <w:rFonts w:ascii="Palatino Linotype" w:eastAsia="Times New Roman" w:hAnsi="Palatino Linotype" w:cs="Times New Roman"/>
          <w:i/>
        </w:rPr>
      </w:pPr>
    </w:p>
    <w:p w14:paraId="14B1FC25" w14:textId="77777777" w:rsidR="00C777E4" w:rsidRPr="00697170" w:rsidRDefault="00C777E4" w:rsidP="00C777E4">
      <w:pPr>
        <w:ind w:left="851" w:right="851"/>
        <w:jc w:val="both"/>
        <w:rPr>
          <w:rFonts w:ascii="Palatino Linotype" w:eastAsia="Times New Roman" w:hAnsi="Palatino Linotype" w:cs="Times New Roman"/>
          <w:i/>
        </w:rPr>
      </w:pPr>
      <w:r w:rsidRPr="00697170">
        <w:rPr>
          <w:rFonts w:ascii="Palatino Linotype" w:eastAsia="Times New Roman" w:hAnsi="Palatino Linotype" w:cs="Times New Roman"/>
          <w:b/>
          <w:i/>
        </w:rPr>
        <w:t>Artículo 12.</w:t>
      </w:r>
      <w:r w:rsidRPr="00697170">
        <w:rPr>
          <w:rFonts w:ascii="Palatino Linotype" w:eastAsia="Times New Roman" w:hAnsi="Palatino Linotype" w:cs="Times New Roman"/>
          <w:i/>
        </w:rPr>
        <w:t xml:space="preserve"> Quienes generen, recopilen, administren, manejen, procesen, archiven o conserven información pública serán responsables de la misma en los términos de las disposiciones jurídicas aplicables.</w:t>
      </w:r>
    </w:p>
    <w:p w14:paraId="0B22D08A" w14:textId="77777777" w:rsidR="00C777E4" w:rsidRPr="00697170" w:rsidRDefault="00C777E4" w:rsidP="00C777E4">
      <w:pPr>
        <w:ind w:left="851" w:right="851"/>
        <w:jc w:val="both"/>
        <w:rPr>
          <w:rFonts w:ascii="Palatino Linotype" w:eastAsia="Times New Roman" w:hAnsi="Palatino Linotype" w:cs="Times New Roman"/>
          <w:i/>
        </w:rPr>
      </w:pPr>
    </w:p>
    <w:p w14:paraId="51A70158" w14:textId="77777777" w:rsidR="00C777E4" w:rsidRPr="00697170" w:rsidRDefault="00C777E4" w:rsidP="00C777E4">
      <w:pPr>
        <w:ind w:left="851" w:right="851"/>
        <w:jc w:val="both"/>
        <w:rPr>
          <w:rFonts w:ascii="Palatino Linotype" w:eastAsia="Times New Roman" w:hAnsi="Palatino Linotype" w:cs="Times New Roman"/>
          <w:i/>
        </w:rPr>
      </w:pPr>
      <w:r w:rsidRPr="00697170">
        <w:rPr>
          <w:rFonts w:ascii="Palatino Linotype" w:eastAsia="Times New Roman" w:hAnsi="Palatino Linotype" w:cs="Times New Roman"/>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697170">
        <w:rPr>
          <w:rFonts w:ascii="Palatino Linotype" w:eastAsia="Times New Roman" w:hAnsi="Palatino Linotype" w:cs="Times New Roman"/>
          <w:i/>
        </w:rPr>
        <w:t>.</w:t>
      </w:r>
    </w:p>
    <w:p w14:paraId="776F4965" w14:textId="77777777" w:rsidR="00C777E4" w:rsidRPr="00697170" w:rsidRDefault="00C777E4" w:rsidP="00C777E4">
      <w:pPr>
        <w:spacing w:line="360" w:lineRule="auto"/>
        <w:jc w:val="both"/>
        <w:rPr>
          <w:rFonts w:ascii="Palatino Linotype" w:eastAsia="Times New Roman" w:hAnsi="Palatino Linotype" w:cs="Times New Roman"/>
        </w:rPr>
      </w:pPr>
    </w:p>
    <w:p w14:paraId="035F9E3B" w14:textId="4B06A15B" w:rsidR="00C777E4" w:rsidRPr="00697170" w:rsidRDefault="004D01FA" w:rsidP="004D01FA">
      <w:pPr>
        <w:numPr>
          <w:ilvl w:val="0"/>
          <w:numId w:val="1"/>
        </w:numPr>
        <w:spacing w:line="360" w:lineRule="auto"/>
        <w:ind w:left="0" w:firstLine="0"/>
        <w:contextualSpacing/>
        <w:jc w:val="both"/>
        <w:rPr>
          <w:rFonts w:ascii="Palatino Linotype" w:eastAsia="Times New Roman" w:hAnsi="Palatino Linotype" w:cs="Arial"/>
        </w:rPr>
      </w:pPr>
      <w:r w:rsidRPr="00697170">
        <w:rPr>
          <w:rFonts w:ascii="Palatino Linotype" w:eastAsia="Times New Roman" w:hAnsi="Palatino Linotype" w:cs="Arial"/>
        </w:rPr>
        <w:t>Luego entonces, s</w:t>
      </w:r>
      <w:r w:rsidR="00C777E4" w:rsidRPr="00697170">
        <w:rPr>
          <w:rFonts w:ascii="Palatino Linotype" w:eastAsia="Times New Roman" w:hAnsi="Palatino Linotype" w:cs="Arial"/>
        </w:rPr>
        <w:t>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0645FEB3" w14:textId="77777777" w:rsidR="00C777E4" w:rsidRPr="00697170" w:rsidRDefault="00C777E4" w:rsidP="00C777E4">
      <w:pPr>
        <w:spacing w:line="360" w:lineRule="auto"/>
        <w:jc w:val="both"/>
        <w:rPr>
          <w:rFonts w:ascii="Palatino Linotype" w:eastAsia="Times New Roman" w:hAnsi="Palatino Linotype"/>
          <w:lang w:val="es-ES"/>
        </w:rPr>
      </w:pPr>
    </w:p>
    <w:p w14:paraId="4648D485" w14:textId="128CC371" w:rsidR="00C777E4" w:rsidRPr="00697170" w:rsidRDefault="00C777E4" w:rsidP="004D01FA">
      <w:pPr>
        <w:numPr>
          <w:ilvl w:val="0"/>
          <w:numId w:val="1"/>
        </w:numPr>
        <w:spacing w:line="360" w:lineRule="auto"/>
        <w:ind w:left="0" w:firstLine="0"/>
        <w:contextualSpacing/>
        <w:jc w:val="both"/>
        <w:rPr>
          <w:rFonts w:ascii="Palatino Linotype" w:hAnsi="Palatino Linotype"/>
        </w:rPr>
      </w:pPr>
      <w:r w:rsidRPr="00697170">
        <w:rPr>
          <w:rFonts w:ascii="Palatino Linotype" w:hAnsi="Palatino Linotype"/>
        </w:rPr>
        <w:t xml:space="preserve">Una vez sentado lo anterior, y toda vez que la materia elemental de la solicitud de información pública, es referente al listado de bienes inmuebles de dominio público, </w:t>
      </w:r>
      <w:r w:rsidRPr="00697170">
        <w:rPr>
          <w:rFonts w:ascii="Palatino Linotype" w:eastAsia="Times New Roman" w:hAnsi="Palatino Linotype" w:cs="Arial"/>
        </w:rPr>
        <w:t>propiedad</w:t>
      </w:r>
      <w:r w:rsidRPr="00697170">
        <w:rPr>
          <w:rFonts w:ascii="Palatino Linotype" w:hAnsi="Palatino Linotype"/>
        </w:rPr>
        <w:t xml:space="preserve"> del Ayuntamiento de Rayón, del que se pueda advertir la </w:t>
      </w:r>
      <w:r w:rsidR="0025558C" w:rsidRPr="00697170">
        <w:rPr>
          <w:rFonts w:ascii="Palatino Linotype" w:hAnsi="Palatino Linotype"/>
        </w:rPr>
        <w:t>incorporación o no a su inventario de bienes inmuebles. R</w:t>
      </w:r>
      <w:r w:rsidRPr="00697170">
        <w:rPr>
          <w:rFonts w:ascii="Palatino Linotype" w:hAnsi="Palatino Linotype"/>
        </w:rPr>
        <w:t xml:space="preserve">esulta oportuno remitirnos a lo establecido en los artículos 53, 97 y 105, de </w:t>
      </w:r>
      <w:bookmarkStart w:id="151" w:name="_Hlk81510444"/>
      <w:r w:rsidRPr="00697170">
        <w:rPr>
          <w:rFonts w:ascii="Palatino Linotype" w:hAnsi="Palatino Linotype"/>
        </w:rPr>
        <w:t>Ley Orgánica Municipal</w:t>
      </w:r>
      <w:r w:rsidRPr="00697170">
        <w:rPr>
          <w:rFonts w:ascii="Palatino Linotype" w:hAnsi="Palatino Linotype"/>
          <w:lang w:val="es-MX"/>
        </w:rPr>
        <w:t xml:space="preserve"> del Estado de México</w:t>
      </w:r>
      <w:bookmarkEnd w:id="151"/>
      <w:r w:rsidRPr="00697170">
        <w:rPr>
          <w:rFonts w:ascii="Palatino Linotype" w:hAnsi="Palatino Linotype"/>
        </w:rPr>
        <w:t>, con forme a lo siguiente:</w:t>
      </w:r>
    </w:p>
    <w:p w14:paraId="74A59D75" w14:textId="77777777" w:rsidR="00C777E4" w:rsidRPr="00697170" w:rsidRDefault="00C777E4" w:rsidP="00C777E4">
      <w:pPr>
        <w:ind w:left="851" w:right="708"/>
        <w:rPr>
          <w:rFonts w:ascii="Palatino Linotype" w:eastAsia="Calibri" w:hAnsi="Palatino Linotype" w:cs="Arial"/>
          <w:i/>
        </w:rPr>
      </w:pPr>
      <w:r w:rsidRPr="00697170">
        <w:rPr>
          <w:rFonts w:ascii="Palatino Linotype" w:eastAsia="Calibri" w:hAnsi="Palatino Linotype" w:cs="Arial"/>
          <w:i/>
        </w:rPr>
        <w:lastRenderedPageBreak/>
        <w:t>“</w:t>
      </w:r>
      <w:r w:rsidRPr="00697170">
        <w:rPr>
          <w:rFonts w:ascii="Palatino Linotype" w:eastAsia="Calibri" w:hAnsi="Palatino Linotype" w:cs="Arial"/>
          <w:b/>
          <w:bCs/>
          <w:i/>
        </w:rPr>
        <w:t xml:space="preserve">Artículo 53.- </w:t>
      </w:r>
      <w:r w:rsidRPr="00697170">
        <w:rPr>
          <w:rFonts w:ascii="Palatino Linotype" w:eastAsia="Calibri" w:hAnsi="Palatino Linotype" w:cs="Arial"/>
          <w:i/>
        </w:rPr>
        <w:t>Los síndicos tendrán las siguientes atribuciones:</w:t>
      </w:r>
    </w:p>
    <w:p w14:paraId="109687D2" w14:textId="77777777" w:rsidR="00C777E4" w:rsidRPr="00697170" w:rsidRDefault="00C777E4" w:rsidP="00C777E4">
      <w:pPr>
        <w:ind w:left="851" w:right="708"/>
        <w:rPr>
          <w:rFonts w:ascii="Palatino Linotype" w:eastAsia="Calibri" w:hAnsi="Palatino Linotype" w:cs="Arial"/>
          <w:i/>
        </w:rPr>
      </w:pPr>
      <w:r w:rsidRPr="00697170">
        <w:rPr>
          <w:rFonts w:ascii="Palatino Linotype" w:eastAsia="Calibri" w:hAnsi="Palatino Linotype" w:cs="Arial"/>
          <w:i/>
        </w:rPr>
        <w:t>(…)</w:t>
      </w:r>
    </w:p>
    <w:p w14:paraId="79E52F92" w14:textId="77777777" w:rsidR="00C777E4" w:rsidRPr="00697170" w:rsidRDefault="00C777E4" w:rsidP="00C777E4">
      <w:pPr>
        <w:ind w:left="851" w:right="708"/>
        <w:rPr>
          <w:rFonts w:ascii="Palatino Linotype" w:eastAsia="Calibri" w:hAnsi="Palatino Linotype" w:cs="Arial"/>
          <w:i/>
        </w:rPr>
      </w:pPr>
      <w:r w:rsidRPr="00697170">
        <w:rPr>
          <w:rFonts w:ascii="Palatino Linotype" w:eastAsia="Calibri" w:hAnsi="Palatino Linotype" w:cs="Arial"/>
          <w:i/>
        </w:rPr>
        <w:t xml:space="preserve">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p w14:paraId="685EDB4A" w14:textId="77777777" w:rsidR="00C777E4" w:rsidRPr="00697170" w:rsidRDefault="00C777E4" w:rsidP="00C777E4">
      <w:pPr>
        <w:ind w:left="851" w:right="708"/>
        <w:rPr>
          <w:rFonts w:ascii="Palatino Linotype" w:eastAsia="Calibri" w:hAnsi="Palatino Linotype" w:cs="Arial"/>
          <w:i/>
        </w:rPr>
      </w:pPr>
    </w:p>
    <w:p w14:paraId="1A0F8B6A" w14:textId="77777777" w:rsidR="00C777E4" w:rsidRPr="00697170" w:rsidRDefault="00C777E4" w:rsidP="00C777E4">
      <w:pPr>
        <w:ind w:left="851" w:right="708"/>
        <w:rPr>
          <w:rFonts w:ascii="Palatino Linotype" w:eastAsia="Calibri" w:hAnsi="Palatino Linotype" w:cs="Arial"/>
          <w:i/>
        </w:rPr>
      </w:pPr>
      <w:r w:rsidRPr="00697170">
        <w:rPr>
          <w:rFonts w:ascii="Palatino Linotype" w:eastAsia="Calibri" w:hAnsi="Palatino Linotype" w:cs="Arial"/>
          <w:i/>
        </w:rPr>
        <w:t xml:space="preserve">VIII. Regularizar la propiedad de los bienes inmuebles municipales, para ello tendrán un plazo de ciento veinte días hábiles, contados a partir de la adquisición; </w:t>
      </w:r>
    </w:p>
    <w:p w14:paraId="616419B4" w14:textId="77777777" w:rsidR="00C777E4" w:rsidRPr="00697170" w:rsidRDefault="00C777E4" w:rsidP="00C777E4">
      <w:pPr>
        <w:ind w:left="851" w:right="708"/>
        <w:rPr>
          <w:rFonts w:ascii="Palatino Linotype" w:eastAsia="Calibri" w:hAnsi="Palatino Linotype" w:cs="Arial"/>
          <w:i/>
        </w:rPr>
      </w:pPr>
    </w:p>
    <w:p w14:paraId="583AF112" w14:textId="77777777" w:rsidR="00C777E4" w:rsidRPr="00697170" w:rsidRDefault="00C777E4" w:rsidP="00C777E4">
      <w:pPr>
        <w:ind w:left="851" w:right="708"/>
        <w:rPr>
          <w:rFonts w:ascii="Palatino Linotype" w:eastAsia="Calibri" w:hAnsi="Palatino Linotype" w:cs="Arial"/>
          <w:i/>
        </w:rPr>
      </w:pPr>
      <w:r w:rsidRPr="00697170">
        <w:rPr>
          <w:rFonts w:ascii="Palatino Linotype" w:eastAsia="Calibri" w:hAnsi="Palatino Linotype" w:cs="Arial"/>
          <w:i/>
        </w:rPr>
        <w:t>IX. Inscribir los bienes inmuebles municipales en el Registro Público de la Propiedad, para iniciar los trámites correspondientes tendrán un plazo de ciento veinte días hábiles contados a partir de aquel en que concluyo el proceso de regularización;</w:t>
      </w:r>
    </w:p>
    <w:p w14:paraId="683F21D8" w14:textId="77777777" w:rsidR="00C777E4" w:rsidRPr="00697170" w:rsidRDefault="00C777E4" w:rsidP="00C777E4">
      <w:pPr>
        <w:ind w:left="851" w:right="708"/>
        <w:rPr>
          <w:rFonts w:ascii="Palatino Linotype" w:eastAsia="Calibri" w:hAnsi="Palatino Linotype" w:cs="Arial"/>
          <w:i/>
        </w:rPr>
      </w:pPr>
      <w:r w:rsidRPr="00697170">
        <w:rPr>
          <w:rFonts w:ascii="Palatino Linotype" w:eastAsia="Calibri" w:hAnsi="Palatino Linotype" w:cs="Arial"/>
          <w:i/>
        </w:rPr>
        <w:t>(…)</w:t>
      </w:r>
    </w:p>
    <w:p w14:paraId="5902414C" w14:textId="77777777" w:rsidR="00C777E4" w:rsidRPr="00697170" w:rsidRDefault="00C777E4" w:rsidP="00C777E4">
      <w:pPr>
        <w:ind w:left="851" w:right="708"/>
        <w:rPr>
          <w:rFonts w:ascii="Palatino Linotype" w:eastAsia="Calibri" w:hAnsi="Palatino Linotype" w:cs="Arial"/>
          <w:i/>
        </w:rPr>
      </w:pPr>
    </w:p>
    <w:p w14:paraId="468FD4AE" w14:textId="77777777" w:rsidR="00C777E4" w:rsidRPr="00697170" w:rsidRDefault="00C777E4" w:rsidP="00C777E4">
      <w:pPr>
        <w:ind w:left="851" w:right="708"/>
        <w:rPr>
          <w:rFonts w:ascii="Palatino Linotype" w:eastAsia="Calibri" w:hAnsi="Palatino Linotype" w:cs="Arial"/>
          <w:i/>
        </w:rPr>
      </w:pPr>
      <w:r w:rsidRPr="00697170">
        <w:rPr>
          <w:rFonts w:ascii="Palatino Linotype" w:eastAsia="Calibri" w:hAnsi="Palatino Linotype" w:cs="Arial"/>
          <w:i/>
        </w:rPr>
        <w:t xml:space="preserve">Artículo 97.- La hacienda pública municipal se integra por: </w:t>
      </w:r>
    </w:p>
    <w:p w14:paraId="16DEE969" w14:textId="77777777" w:rsidR="00C777E4" w:rsidRPr="00697170" w:rsidRDefault="00C777E4" w:rsidP="00C777E4">
      <w:pPr>
        <w:ind w:left="851" w:right="708"/>
        <w:rPr>
          <w:rFonts w:ascii="Palatino Linotype" w:eastAsia="Calibri" w:hAnsi="Palatino Linotype" w:cs="Arial"/>
          <w:i/>
        </w:rPr>
      </w:pPr>
    </w:p>
    <w:p w14:paraId="00AD1E97" w14:textId="77777777" w:rsidR="00C777E4" w:rsidRPr="00697170" w:rsidRDefault="00C777E4" w:rsidP="00C777E4">
      <w:pPr>
        <w:ind w:left="851" w:right="708"/>
        <w:rPr>
          <w:rFonts w:ascii="Palatino Linotype" w:eastAsia="Calibri" w:hAnsi="Palatino Linotype" w:cs="Arial"/>
          <w:i/>
        </w:rPr>
      </w:pPr>
      <w:r w:rsidRPr="00697170">
        <w:rPr>
          <w:rFonts w:ascii="Palatino Linotype" w:eastAsia="Calibri" w:hAnsi="Palatino Linotype" w:cs="Arial"/>
          <w:i/>
        </w:rPr>
        <w:t>I. Los bienes muebles e inmuebles propiedad del municipio;</w:t>
      </w:r>
    </w:p>
    <w:p w14:paraId="0C7B383D" w14:textId="77777777" w:rsidR="00C777E4" w:rsidRPr="00697170" w:rsidRDefault="00C777E4" w:rsidP="00C777E4">
      <w:pPr>
        <w:ind w:left="851" w:right="708"/>
        <w:rPr>
          <w:rFonts w:ascii="Palatino Linotype" w:eastAsia="Calibri" w:hAnsi="Palatino Linotype" w:cs="Arial"/>
          <w:i/>
        </w:rPr>
      </w:pPr>
      <w:r w:rsidRPr="00697170">
        <w:rPr>
          <w:rFonts w:ascii="Palatino Linotype" w:eastAsia="Calibri" w:hAnsi="Palatino Linotype" w:cs="Arial"/>
          <w:i/>
        </w:rPr>
        <w:t>(…)</w:t>
      </w:r>
    </w:p>
    <w:p w14:paraId="6E29242C" w14:textId="77777777" w:rsidR="00C777E4" w:rsidRPr="00697170" w:rsidRDefault="00C777E4" w:rsidP="00C777E4">
      <w:pPr>
        <w:ind w:left="851" w:right="708"/>
        <w:rPr>
          <w:rFonts w:ascii="Palatino Linotype" w:eastAsia="Calibri" w:hAnsi="Palatino Linotype" w:cs="Arial"/>
          <w:i/>
        </w:rPr>
      </w:pPr>
    </w:p>
    <w:p w14:paraId="3B5D912D" w14:textId="77777777" w:rsidR="00C777E4" w:rsidRPr="00697170" w:rsidRDefault="00C777E4" w:rsidP="00C777E4">
      <w:pPr>
        <w:ind w:left="851" w:right="708"/>
        <w:rPr>
          <w:rFonts w:ascii="Palatino Linotype" w:eastAsia="Calibri" w:hAnsi="Palatino Linotype" w:cs="Arial"/>
          <w:i/>
        </w:rPr>
      </w:pPr>
      <w:r w:rsidRPr="00697170">
        <w:rPr>
          <w:rFonts w:ascii="Palatino Linotype" w:eastAsia="Calibri" w:hAnsi="Palatino Linotype" w:cs="Arial"/>
          <w:i/>
        </w:rPr>
        <w:t xml:space="preserve">Artículo 105.- Los bienes del dominio público municipal son de uso común o destinados a un servicio público, de conformidad con lo que establece la Ley de Bienes del Estado de México y de sus Municipios, en los términos siguientes: </w:t>
      </w:r>
    </w:p>
    <w:p w14:paraId="0F973DD9" w14:textId="77777777" w:rsidR="00C777E4" w:rsidRPr="00697170" w:rsidRDefault="00C777E4" w:rsidP="00C777E4">
      <w:pPr>
        <w:ind w:left="851" w:right="708"/>
        <w:rPr>
          <w:rFonts w:ascii="Palatino Linotype" w:eastAsia="Calibri" w:hAnsi="Palatino Linotype" w:cs="Arial"/>
          <w:i/>
        </w:rPr>
      </w:pPr>
    </w:p>
    <w:p w14:paraId="382C60C9" w14:textId="77777777" w:rsidR="00C777E4" w:rsidRPr="00697170" w:rsidRDefault="00C777E4" w:rsidP="00C777E4">
      <w:pPr>
        <w:ind w:left="851" w:right="708"/>
        <w:rPr>
          <w:rFonts w:ascii="Palatino Linotype" w:eastAsia="Calibri" w:hAnsi="Palatino Linotype" w:cs="Arial"/>
          <w:i/>
        </w:rPr>
      </w:pPr>
      <w:r w:rsidRPr="00697170">
        <w:rPr>
          <w:rFonts w:ascii="Palatino Linotype" w:eastAsia="Calibri" w:hAnsi="Palatino Linotype" w:cs="Arial"/>
          <w:i/>
        </w:rPr>
        <w:t xml:space="preserve">I. Son bienes de uso común los que pueden ser aprovechados por los habitantes del municipio, sin más limitaciones y restricciones que las establecidas en las leyes y reglamentos administrativos; y </w:t>
      </w:r>
    </w:p>
    <w:p w14:paraId="1989C647" w14:textId="77777777" w:rsidR="00C777E4" w:rsidRPr="00697170" w:rsidRDefault="00C777E4" w:rsidP="00C777E4">
      <w:pPr>
        <w:ind w:left="851" w:right="708"/>
        <w:rPr>
          <w:rFonts w:ascii="Palatino Linotype" w:eastAsia="Calibri" w:hAnsi="Palatino Linotype" w:cs="Arial"/>
          <w:i/>
        </w:rPr>
      </w:pPr>
    </w:p>
    <w:p w14:paraId="558861AA" w14:textId="77777777" w:rsidR="00C777E4" w:rsidRPr="00697170" w:rsidRDefault="00C777E4" w:rsidP="00C777E4">
      <w:pPr>
        <w:ind w:left="851" w:right="708"/>
        <w:rPr>
          <w:rFonts w:ascii="Palatino Linotype" w:eastAsia="Calibri" w:hAnsi="Palatino Linotype" w:cs="Arial"/>
          <w:i/>
        </w:rPr>
      </w:pPr>
      <w:r w:rsidRPr="00697170">
        <w:rPr>
          <w:rFonts w:ascii="Palatino Linotype" w:eastAsia="Calibri" w:hAnsi="Palatino Linotype" w:cs="Arial"/>
          <w:i/>
        </w:rPr>
        <w:t>II. Son bienes destinados a un servicio público, aquellos que utilice el municipio para el desarrollo de sus actividades o los que de hecho se utilizan para la prestación de servicios o actividades equiparables a ellos.</w:t>
      </w:r>
    </w:p>
    <w:p w14:paraId="6C17A8B9" w14:textId="77777777" w:rsidR="00C777E4" w:rsidRPr="00697170" w:rsidRDefault="00C777E4" w:rsidP="00C777E4">
      <w:pPr>
        <w:ind w:left="851" w:right="708"/>
        <w:jc w:val="right"/>
        <w:rPr>
          <w:rFonts w:ascii="Palatino Linotype" w:eastAsia="Calibri" w:hAnsi="Palatino Linotype" w:cs="Arial"/>
          <w:i/>
        </w:rPr>
      </w:pPr>
    </w:p>
    <w:p w14:paraId="2DCE3ACC" w14:textId="77777777" w:rsidR="00C777E4" w:rsidRPr="00697170" w:rsidRDefault="00C777E4" w:rsidP="004D01FA">
      <w:pPr>
        <w:numPr>
          <w:ilvl w:val="0"/>
          <w:numId w:val="1"/>
        </w:numPr>
        <w:spacing w:line="360" w:lineRule="auto"/>
        <w:ind w:left="0" w:firstLine="0"/>
        <w:contextualSpacing/>
        <w:jc w:val="both"/>
        <w:rPr>
          <w:rFonts w:ascii="Palatino Linotype" w:eastAsia="Times New Roman" w:hAnsi="Palatino Linotype" w:cs="Arial"/>
        </w:rPr>
      </w:pPr>
      <w:r w:rsidRPr="00697170">
        <w:rPr>
          <w:rFonts w:ascii="Palatino Linotype" w:eastAsia="Times New Roman" w:hAnsi="Palatino Linotype" w:cs="Arial"/>
        </w:rPr>
        <w:lastRenderedPageBreak/>
        <w:t xml:space="preserve">Por su parte la Ley de Bienes de Estado de México y Municipios establece lo que a continuación se inserta: </w:t>
      </w:r>
    </w:p>
    <w:p w14:paraId="5BB277E1" w14:textId="77777777" w:rsidR="00C777E4" w:rsidRPr="00697170" w:rsidRDefault="00C777E4" w:rsidP="00C777E4">
      <w:pPr>
        <w:ind w:left="851" w:right="851"/>
        <w:rPr>
          <w:rFonts w:ascii="Palatino Linotype" w:eastAsia="Times New Roman" w:hAnsi="Palatino Linotype" w:cs="Arial"/>
          <w:b/>
          <w:bCs/>
          <w:i/>
          <w:iCs/>
        </w:rPr>
      </w:pPr>
      <w:r w:rsidRPr="00697170">
        <w:rPr>
          <w:rFonts w:ascii="Palatino Linotype" w:eastAsia="Times New Roman" w:hAnsi="Palatino Linotype" w:cs="Arial"/>
          <w:b/>
          <w:bCs/>
          <w:i/>
          <w:iCs/>
        </w:rPr>
        <w:t xml:space="preserve">Artículo 5.- </w:t>
      </w:r>
      <w:r w:rsidRPr="00697170">
        <w:rPr>
          <w:rFonts w:ascii="Palatino Linotype" w:eastAsia="Times New Roman" w:hAnsi="Palatino Linotype" w:cs="Arial"/>
          <w:i/>
          <w:iCs/>
        </w:rPr>
        <w:t>Corresponde al Ejecutivo del Estado por conducto de la Secretaría de Finanzas y a los ayuntamientos</w:t>
      </w:r>
      <w:r w:rsidRPr="00697170">
        <w:rPr>
          <w:rFonts w:ascii="Palatino Linotype" w:eastAsia="Times New Roman" w:hAnsi="Palatino Linotype" w:cs="Arial"/>
          <w:b/>
          <w:bCs/>
          <w:i/>
          <w:iCs/>
        </w:rPr>
        <w:t>:</w:t>
      </w:r>
    </w:p>
    <w:p w14:paraId="68ADCF6C" w14:textId="77777777" w:rsidR="00C777E4" w:rsidRPr="00697170" w:rsidRDefault="00C777E4" w:rsidP="00C777E4">
      <w:pPr>
        <w:ind w:left="851" w:right="851"/>
        <w:rPr>
          <w:rFonts w:ascii="Palatino Linotype" w:eastAsia="Times New Roman" w:hAnsi="Palatino Linotype" w:cs="Arial"/>
          <w:b/>
          <w:bCs/>
          <w:i/>
          <w:iCs/>
        </w:rPr>
      </w:pPr>
      <w:r w:rsidRPr="00697170">
        <w:rPr>
          <w:rFonts w:ascii="Palatino Linotype" w:eastAsia="Times New Roman" w:hAnsi="Palatino Linotype" w:cs="Arial"/>
          <w:b/>
          <w:bCs/>
          <w:i/>
          <w:iCs/>
        </w:rPr>
        <w:t>(…)</w:t>
      </w:r>
    </w:p>
    <w:p w14:paraId="6EFB5685" w14:textId="77777777" w:rsidR="00C777E4" w:rsidRPr="00697170" w:rsidRDefault="00C777E4" w:rsidP="00C777E4">
      <w:pPr>
        <w:ind w:left="851" w:right="851"/>
        <w:rPr>
          <w:rFonts w:ascii="Palatino Linotype" w:eastAsia="Times New Roman" w:hAnsi="Palatino Linotype" w:cs="Arial"/>
          <w:b/>
          <w:bCs/>
          <w:i/>
          <w:iCs/>
        </w:rPr>
      </w:pPr>
      <w:r w:rsidRPr="00697170">
        <w:rPr>
          <w:rFonts w:ascii="Palatino Linotype" w:eastAsia="Times New Roman" w:hAnsi="Palatino Linotype" w:cs="Arial"/>
          <w:b/>
          <w:bCs/>
          <w:i/>
          <w:iCs/>
        </w:rPr>
        <w:t>XIII. Llevar el Registro Administrativo de la Propiedad Pública Estatal o Municipal, respectivamente;</w:t>
      </w:r>
    </w:p>
    <w:p w14:paraId="3B3328EC" w14:textId="77777777" w:rsidR="00C777E4" w:rsidRPr="00697170" w:rsidRDefault="00C777E4" w:rsidP="00C777E4">
      <w:pPr>
        <w:ind w:left="851" w:right="851"/>
        <w:jc w:val="center"/>
        <w:rPr>
          <w:rFonts w:ascii="Palatino Linotype" w:eastAsia="Times New Roman" w:hAnsi="Palatino Linotype" w:cs="Arial"/>
          <w:b/>
          <w:bCs/>
          <w:i/>
          <w:iCs/>
        </w:rPr>
      </w:pPr>
    </w:p>
    <w:p w14:paraId="34B5C246" w14:textId="77777777" w:rsidR="00C777E4" w:rsidRPr="00697170" w:rsidRDefault="00C777E4" w:rsidP="00C777E4">
      <w:pPr>
        <w:ind w:left="851" w:right="851"/>
        <w:jc w:val="center"/>
        <w:rPr>
          <w:rFonts w:ascii="Palatino Linotype" w:eastAsia="Times New Roman" w:hAnsi="Palatino Linotype" w:cs="Arial"/>
          <w:b/>
          <w:bCs/>
          <w:i/>
          <w:iCs/>
        </w:rPr>
      </w:pPr>
      <w:r w:rsidRPr="00697170">
        <w:rPr>
          <w:rFonts w:ascii="Palatino Linotype" w:eastAsia="Times New Roman" w:hAnsi="Palatino Linotype" w:cs="Arial"/>
          <w:b/>
          <w:bCs/>
          <w:i/>
          <w:iCs/>
        </w:rPr>
        <w:t>DEL REGISTRO ADMINISTRATIVO DE BIENES DEL DOMINIO PÚBLICO Y PRIVADO.</w:t>
      </w:r>
    </w:p>
    <w:p w14:paraId="3BEAB76B"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b/>
          <w:bCs/>
          <w:i/>
          <w:iCs/>
        </w:rPr>
        <w:t>Artículo 62.-</w:t>
      </w:r>
      <w:r w:rsidRPr="00697170">
        <w:rPr>
          <w:rFonts w:ascii="Palatino Linotype" w:eastAsia="Times New Roman" w:hAnsi="Palatino Linotype" w:cs="Arial"/>
          <w:i/>
          <w:iCs/>
        </w:rPr>
        <w:t xml:space="preserve"> El Ejecutivo del Estado por conducto de la Secretaría de Finanzas y </w:t>
      </w:r>
      <w:bookmarkStart w:id="152" w:name="_Hlk81588465"/>
      <w:r w:rsidRPr="00697170">
        <w:rPr>
          <w:rFonts w:ascii="Palatino Linotype" w:eastAsia="Times New Roman" w:hAnsi="Palatino Linotype" w:cs="Arial"/>
          <w:b/>
          <w:bCs/>
          <w:i/>
          <w:iCs/>
        </w:rPr>
        <w:t>los ayuntamientos, llevarán un registro de la propiedad de bienes del dominio público y del dominio privado que se denominará Registro Administrativo de la propiedad Pública Estatal o Municipal</w:t>
      </w:r>
      <w:bookmarkEnd w:id="152"/>
      <w:r w:rsidRPr="00697170">
        <w:rPr>
          <w:rFonts w:ascii="Palatino Linotype" w:eastAsia="Times New Roman" w:hAnsi="Palatino Linotype" w:cs="Arial"/>
          <w:i/>
          <w:iCs/>
        </w:rPr>
        <w:t xml:space="preserve"> según corresponda. </w:t>
      </w:r>
    </w:p>
    <w:p w14:paraId="368B625B" w14:textId="77777777" w:rsidR="00C777E4" w:rsidRPr="00697170" w:rsidRDefault="00C777E4" w:rsidP="00C777E4">
      <w:pPr>
        <w:ind w:left="851" w:right="851"/>
        <w:jc w:val="both"/>
        <w:rPr>
          <w:rFonts w:ascii="Palatino Linotype" w:eastAsia="Times New Roman" w:hAnsi="Palatino Linotype" w:cs="Arial"/>
          <w:i/>
          <w:iCs/>
        </w:rPr>
      </w:pPr>
    </w:p>
    <w:p w14:paraId="1C4918C6"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Artículo 63.- En el Registro Administrativo de la Propiedad Pública Estatal o Municipal, según corresponda, se inscribirán: </w:t>
      </w:r>
    </w:p>
    <w:p w14:paraId="3B4823FE"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 </w:t>
      </w:r>
      <w:bookmarkStart w:id="153" w:name="_Hlk81587312"/>
      <w:r w:rsidRPr="00697170">
        <w:rPr>
          <w:rFonts w:ascii="Palatino Linotype" w:eastAsia="Times New Roman" w:hAnsi="Palatino Linotype" w:cs="Arial"/>
          <w:i/>
          <w:iCs/>
        </w:rPr>
        <w:t>Los títulos y documentos por los cuales se adquiera, transmita, grave, modifique, afecte o extinga el dominio o la posesión y los demás derechos reales sobe los bienes inmuebles del Estado o de los municipios</w:t>
      </w:r>
      <w:bookmarkEnd w:id="153"/>
      <w:r w:rsidRPr="00697170">
        <w:rPr>
          <w:rFonts w:ascii="Palatino Linotype" w:eastAsia="Times New Roman" w:hAnsi="Palatino Linotype" w:cs="Arial"/>
          <w:i/>
          <w:iCs/>
        </w:rPr>
        <w:t xml:space="preserve">; </w:t>
      </w:r>
    </w:p>
    <w:p w14:paraId="5999ACBA"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II. Los decretos por los que se determine la expropiación de bienes cuando éstos se incorporen al dominio público del Estado o de los municipios; </w:t>
      </w:r>
    </w:p>
    <w:p w14:paraId="77843329"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III. Las adjudicaciones a favor del Estado o de los Municipios dictadas en procedimientos administrativos de ejecución; </w:t>
      </w:r>
    </w:p>
    <w:p w14:paraId="25AB92B3"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IV. Los decomisos decretados por la autoridad judicial; </w:t>
      </w:r>
    </w:p>
    <w:p w14:paraId="42279898"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V. Las concesiones, autorizaciones, permisos o licencias sobre inmuebles de propiedad estatal o municipal; </w:t>
      </w:r>
    </w:p>
    <w:p w14:paraId="0415E892"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VI. Las resoluciones o sentencias que pronuncien las autoridades jurisdiccionales relacionados con inmuebles del Estado o de los municipios; </w:t>
      </w:r>
    </w:p>
    <w:p w14:paraId="5787EB59"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VII. Los convenios administrativos que produzcan alguno de los efectos mencionados en la fracción I de este artículo; </w:t>
      </w:r>
    </w:p>
    <w:p w14:paraId="145CAC05"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VIII. Los decretos y acuerdos que incorporen o desincorporen del dominio público bienes inmuebles; </w:t>
      </w:r>
    </w:p>
    <w:p w14:paraId="42400ADE"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lastRenderedPageBreak/>
        <w:t xml:space="preserve">IX. Los acuerdos por los que se cambie la afectación o se sustituya a los usuarios de los bienes del dominio público; y </w:t>
      </w:r>
    </w:p>
    <w:p w14:paraId="2DEDB254"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X. Los demás actos que conforme a esta ley deban ser registrados.</w:t>
      </w:r>
    </w:p>
    <w:p w14:paraId="10E3CAB0" w14:textId="359C4FB5" w:rsidR="00C777E4" w:rsidRPr="00697170" w:rsidRDefault="00C777E4" w:rsidP="00C777E4">
      <w:pPr>
        <w:spacing w:line="360" w:lineRule="auto"/>
        <w:jc w:val="both"/>
        <w:rPr>
          <w:rFonts w:ascii="Palatino Linotype" w:eastAsia="Times New Roman" w:hAnsi="Palatino Linotype" w:cs="Arial"/>
        </w:rPr>
      </w:pPr>
      <w:r w:rsidRPr="00697170">
        <w:rPr>
          <w:rFonts w:ascii="Palatino Linotype" w:eastAsia="Times New Roman" w:hAnsi="Palatino Linotype" w:cs="Arial"/>
        </w:rPr>
        <w:t xml:space="preserve"> </w:t>
      </w:r>
    </w:p>
    <w:p w14:paraId="0DE36FB9" w14:textId="77777777" w:rsidR="00C777E4" w:rsidRPr="00697170" w:rsidRDefault="00C777E4" w:rsidP="004D01FA">
      <w:pPr>
        <w:numPr>
          <w:ilvl w:val="0"/>
          <w:numId w:val="1"/>
        </w:numPr>
        <w:spacing w:line="360" w:lineRule="auto"/>
        <w:ind w:left="0" w:firstLine="0"/>
        <w:contextualSpacing/>
        <w:jc w:val="both"/>
        <w:rPr>
          <w:rFonts w:ascii="Palatino Linotype" w:eastAsia="Times New Roman" w:hAnsi="Palatino Linotype" w:cs="Arial"/>
        </w:rPr>
      </w:pPr>
      <w:r w:rsidRPr="00697170">
        <w:rPr>
          <w:rFonts w:ascii="Palatino Linotype" w:eastAsia="Times New Roman" w:hAnsi="Palatino Linotype" w:cs="Arial"/>
        </w:rPr>
        <w:t>Sirve a manera de robustecer lo anteriormente señalado, lo establecido en el Bando Municipal de Metepec 2021 que a la letra señala lo siguiente:</w:t>
      </w:r>
    </w:p>
    <w:p w14:paraId="6941BF02" w14:textId="77777777" w:rsidR="00C777E4" w:rsidRPr="00697170" w:rsidRDefault="00C777E4" w:rsidP="00C777E4">
      <w:pPr>
        <w:spacing w:line="360" w:lineRule="auto"/>
        <w:jc w:val="both"/>
        <w:rPr>
          <w:rFonts w:ascii="Palatino Linotype" w:eastAsia="Times New Roman" w:hAnsi="Palatino Linotype" w:cs="Arial"/>
        </w:rPr>
      </w:pPr>
    </w:p>
    <w:p w14:paraId="1A498F6A"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b/>
          <w:bCs/>
          <w:i/>
          <w:iCs/>
        </w:rPr>
        <w:t>ARTÍCULO 30.-</w:t>
      </w:r>
      <w:r w:rsidRPr="00697170">
        <w:rPr>
          <w:rFonts w:ascii="Palatino Linotype" w:eastAsia="Times New Roman" w:hAnsi="Palatino Linotype" w:cs="Arial"/>
          <w:i/>
          <w:iCs/>
        </w:rPr>
        <w:t xml:space="preserve"> La Hacienda Pública Municipal, se conforma por: </w:t>
      </w:r>
    </w:p>
    <w:p w14:paraId="130F8743"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 Bienes muebles e inmuebles propiedad del municipio; </w:t>
      </w:r>
    </w:p>
    <w:p w14:paraId="55C4E031"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II. Capitales y créditos a favor del municipio, así como los intereses y productos que generen los mismos; </w:t>
      </w:r>
    </w:p>
    <w:p w14:paraId="7CD9A33F"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III. Rentas y productos de todos los bienes municipales; </w:t>
      </w:r>
    </w:p>
    <w:p w14:paraId="445893DC"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IV. Participaciones que perciban de acuerdo con las leyes federales y del Estado; </w:t>
      </w:r>
    </w:p>
    <w:p w14:paraId="152D2F06"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V. Contribuciones y demás ingresos determinados en la Ley de Ingresos de los Municipios del Estado de México, los que decrete la Legislatura y otros que por cualquier título legal reciba; y </w:t>
      </w:r>
    </w:p>
    <w:p w14:paraId="0171B354"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VI. Donaciones, herencias y legados que reciba. </w:t>
      </w:r>
    </w:p>
    <w:p w14:paraId="01F94F32" w14:textId="77777777" w:rsidR="00C777E4" w:rsidRPr="00697170" w:rsidRDefault="00C777E4" w:rsidP="00C777E4">
      <w:pPr>
        <w:ind w:left="851" w:right="851"/>
        <w:jc w:val="both"/>
        <w:rPr>
          <w:rFonts w:ascii="Palatino Linotype" w:eastAsia="Times New Roman" w:hAnsi="Palatino Linotype" w:cs="Arial"/>
          <w:i/>
          <w:iCs/>
        </w:rPr>
      </w:pPr>
    </w:p>
    <w:p w14:paraId="545FF50D"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b/>
          <w:bCs/>
          <w:i/>
          <w:iCs/>
        </w:rPr>
        <w:t>ARTÍCULO 31.-</w:t>
      </w:r>
      <w:r w:rsidRPr="00697170">
        <w:rPr>
          <w:rFonts w:ascii="Palatino Linotype" w:eastAsia="Times New Roman" w:hAnsi="Palatino Linotype" w:cs="Arial"/>
          <w:i/>
          <w:iCs/>
        </w:rPr>
        <w:t xml:space="preserve"> El patrimonio municipal se constituye de los siguientes bienes: </w:t>
      </w:r>
    </w:p>
    <w:p w14:paraId="0048C86E"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 Del dominio público municipal; y </w:t>
      </w:r>
    </w:p>
    <w:p w14:paraId="033DE0E2"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II. Del dominio privado del municipio. </w:t>
      </w:r>
    </w:p>
    <w:p w14:paraId="77E8E510" w14:textId="77777777" w:rsidR="00C777E4" w:rsidRPr="00697170" w:rsidRDefault="00C777E4" w:rsidP="00C777E4">
      <w:pPr>
        <w:ind w:left="851" w:right="851"/>
        <w:jc w:val="both"/>
        <w:rPr>
          <w:rFonts w:ascii="Palatino Linotype" w:eastAsia="Times New Roman" w:hAnsi="Palatino Linotype" w:cs="Arial"/>
          <w:i/>
          <w:iCs/>
        </w:rPr>
      </w:pPr>
    </w:p>
    <w:p w14:paraId="3CA89069"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b/>
          <w:bCs/>
          <w:i/>
          <w:iCs/>
        </w:rPr>
        <w:t>ARTÍCULO 32.</w:t>
      </w:r>
      <w:r w:rsidRPr="00697170">
        <w:rPr>
          <w:rFonts w:ascii="Palatino Linotype" w:eastAsia="Times New Roman" w:hAnsi="Palatino Linotype" w:cs="Arial"/>
          <w:i/>
          <w:iCs/>
        </w:rPr>
        <w:t xml:space="preserve">- Son bienes del dominio público municipal: </w:t>
      </w:r>
    </w:p>
    <w:p w14:paraId="29B8DEA4"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 Los de uso común; </w:t>
      </w:r>
    </w:p>
    <w:p w14:paraId="344212E5"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II. Los destinados por el Ayuntamiento a un servicio público y los propios que de hecho se utilicen para ese fin; </w:t>
      </w:r>
    </w:p>
    <w:p w14:paraId="65DBA272"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III. Las servidumbres, cuando el predio dominante sea alguno de los señalados en las fracciones anteriores; </w:t>
      </w:r>
    </w:p>
    <w:p w14:paraId="35F3E5A7"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IV. Las pinturas, murales, esculturas, artesanías y cualquier obra artística o de valor histórico incorporada o adherida permanentemente a los inmuebles propiedad del municipio o de sus organismos descentralizados; </w:t>
      </w:r>
    </w:p>
    <w:p w14:paraId="68BE0345"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t xml:space="preserve">V. Los muebles municipales que por su naturaleza no sean sustituibles; y </w:t>
      </w:r>
    </w:p>
    <w:p w14:paraId="5C905278" w14:textId="77777777" w:rsidR="00C777E4" w:rsidRPr="00697170" w:rsidRDefault="00C777E4" w:rsidP="00C777E4">
      <w:pPr>
        <w:ind w:left="851" w:right="851"/>
        <w:jc w:val="both"/>
        <w:rPr>
          <w:rFonts w:ascii="Palatino Linotype" w:eastAsia="Times New Roman" w:hAnsi="Palatino Linotype" w:cs="Arial"/>
          <w:i/>
          <w:iCs/>
        </w:rPr>
      </w:pPr>
      <w:r w:rsidRPr="00697170">
        <w:rPr>
          <w:rFonts w:ascii="Palatino Linotype" w:eastAsia="Times New Roman" w:hAnsi="Palatino Linotype" w:cs="Arial"/>
          <w:i/>
          <w:iCs/>
        </w:rPr>
        <w:lastRenderedPageBreak/>
        <w:t>VI. Los demás que señale la ley.</w:t>
      </w:r>
    </w:p>
    <w:p w14:paraId="274D473A" w14:textId="77777777" w:rsidR="0094085B" w:rsidRPr="00697170" w:rsidRDefault="0094085B" w:rsidP="00C777E4">
      <w:pPr>
        <w:spacing w:line="360" w:lineRule="auto"/>
        <w:contextualSpacing/>
        <w:jc w:val="both"/>
        <w:rPr>
          <w:rFonts w:ascii="Palatino Linotype" w:hAnsi="Palatino Linotype" w:cs="Tahoma"/>
          <w:bCs/>
          <w:iCs/>
        </w:rPr>
      </w:pPr>
    </w:p>
    <w:p w14:paraId="03FC9FAA" w14:textId="7C1B46B8" w:rsidR="00B66CE7" w:rsidRPr="00697170" w:rsidRDefault="004D01FA" w:rsidP="004D01FA">
      <w:pPr>
        <w:numPr>
          <w:ilvl w:val="0"/>
          <w:numId w:val="1"/>
        </w:numPr>
        <w:spacing w:line="360" w:lineRule="auto"/>
        <w:ind w:left="0" w:firstLine="0"/>
        <w:contextualSpacing/>
        <w:jc w:val="both"/>
        <w:rPr>
          <w:rFonts w:ascii="Palatino Linotype" w:eastAsia="Calibri" w:hAnsi="Palatino Linotype" w:cs="Arial"/>
        </w:rPr>
      </w:pPr>
      <w:r w:rsidRPr="00697170">
        <w:rPr>
          <w:rFonts w:ascii="Palatino Linotype" w:eastAsia="Calibri" w:hAnsi="Palatino Linotype" w:cs="Arial"/>
        </w:rPr>
        <w:t xml:space="preserve">Ahora bien, </w:t>
      </w:r>
      <w:r w:rsidR="00B66CE7" w:rsidRPr="00697170">
        <w:rPr>
          <w:rFonts w:ascii="Palatino Linotype" w:eastAsia="Calibri" w:hAnsi="Palatino Linotype" w:cs="Arial"/>
        </w:rPr>
        <w:t xml:space="preserve">resulta oportuno traer a contexto lo establecido en la fracción XXXVIII del artículo 92 de la Ley de Transparencia y Acceso a la Información Pública de Estado de México y Municipios; precepto que describe la información documental que el sujeto obligado </w:t>
      </w:r>
      <w:r w:rsidR="00B66CE7" w:rsidRPr="00697170">
        <w:rPr>
          <w:rFonts w:ascii="Palatino Linotype" w:eastAsia="Times New Roman" w:hAnsi="Palatino Linotype" w:cs="Arial"/>
        </w:rPr>
        <w:t>debe</w:t>
      </w:r>
      <w:r w:rsidR="00B66CE7" w:rsidRPr="00697170">
        <w:rPr>
          <w:rFonts w:ascii="Palatino Linotype" w:eastAsia="Calibri" w:hAnsi="Palatino Linotype" w:cs="Arial"/>
        </w:rPr>
        <w:t xml:space="preserve"> poseer y en su caso generar, toda vez que dicha información debe ser </w:t>
      </w:r>
      <w:proofErr w:type="spellStart"/>
      <w:r w:rsidR="00B66CE7" w:rsidRPr="00697170">
        <w:rPr>
          <w:rFonts w:ascii="Palatino Linotype" w:eastAsia="Calibri" w:hAnsi="Palatino Linotype" w:cs="Arial"/>
        </w:rPr>
        <w:t>publica</w:t>
      </w:r>
      <w:proofErr w:type="spellEnd"/>
      <w:r w:rsidR="00B66CE7" w:rsidRPr="00697170">
        <w:rPr>
          <w:rFonts w:ascii="Palatino Linotype" w:eastAsia="Calibri" w:hAnsi="Palatino Linotype" w:cs="Arial"/>
        </w:rPr>
        <w:t xml:space="preserve"> y accesible de manera permanente a cualquier persona, así dicho artículo establece que el inventario de bienes muebles e inmuebles en posesión y propiedad de los sujetos obligados, constituye una obligación de transparencia, y por ende, estos deberán poner a disposición del público de manera permanente y actualizada de forma sencilla, precisa y entendible, en los respectivos medios electrónicos, como se advierte enseguida</w:t>
      </w:r>
      <w:r w:rsidR="00B66CE7" w:rsidRPr="00697170">
        <w:rPr>
          <w:rFonts w:ascii="Palatino Linotype" w:eastAsia="Calibri" w:hAnsi="Palatino Linotype" w:cs="Times New Roman"/>
          <w:bCs/>
          <w:lang w:eastAsia="es-MX"/>
        </w:rPr>
        <w:t xml:space="preserve">: </w:t>
      </w:r>
    </w:p>
    <w:p w14:paraId="0D85DF01" w14:textId="77777777" w:rsidR="00B66CE7" w:rsidRPr="00697170" w:rsidRDefault="00B66CE7" w:rsidP="00B66CE7">
      <w:pPr>
        <w:widowControl w:val="0"/>
        <w:autoSpaceDE w:val="0"/>
        <w:autoSpaceDN w:val="0"/>
        <w:adjustRightInd w:val="0"/>
        <w:spacing w:line="256" w:lineRule="auto"/>
        <w:ind w:left="851" w:right="900"/>
        <w:jc w:val="both"/>
        <w:rPr>
          <w:rFonts w:ascii="Palatino Linotype" w:eastAsia="Calibri" w:hAnsi="Palatino Linotype" w:cs="Times New Roman"/>
          <w:bCs/>
          <w:i/>
          <w:lang w:eastAsia="es-MX"/>
        </w:rPr>
      </w:pPr>
      <w:r w:rsidRPr="00697170">
        <w:rPr>
          <w:rFonts w:ascii="Palatino Linotype" w:eastAsia="Calibri" w:hAnsi="Palatino Linotype" w:cs="Times New Roman"/>
          <w:bCs/>
          <w:i/>
          <w:lang w:eastAsia="es-MX"/>
        </w:rPr>
        <w:t>“</w:t>
      </w:r>
      <w:r w:rsidRPr="00697170">
        <w:rPr>
          <w:rFonts w:ascii="Palatino Linotype" w:eastAsia="Calibri" w:hAnsi="Palatino Linotype" w:cs="Times New Roman"/>
          <w:b/>
          <w:bCs/>
          <w:i/>
          <w:lang w:eastAsia="es-MX"/>
        </w:rPr>
        <w:t>Artículo 92</w:t>
      </w:r>
      <w:r w:rsidRPr="00697170">
        <w:rPr>
          <w:rFonts w:ascii="Palatino Linotype" w:eastAsia="Calibri" w:hAnsi="Palatino Linotype" w:cs="Times New Roman"/>
          <w:bCs/>
          <w:i/>
          <w:lang w:eastAsia="es-MX"/>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3C8DD36" w14:textId="77777777" w:rsidR="00B66CE7" w:rsidRPr="00697170" w:rsidRDefault="00B66CE7" w:rsidP="00B66CE7">
      <w:pPr>
        <w:widowControl w:val="0"/>
        <w:autoSpaceDE w:val="0"/>
        <w:autoSpaceDN w:val="0"/>
        <w:adjustRightInd w:val="0"/>
        <w:spacing w:line="256" w:lineRule="auto"/>
        <w:ind w:left="851" w:right="900"/>
        <w:jc w:val="both"/>
        <w:rPr>
          <w:rFonts w:ascii="Palatino Linotype" w:eastAsia="Calibri" w:hAnsi="Palatino Linotype" w:cs="Times New Roman"/>
        </w:rPr>
      </w:pPr>
      <w:r w:rsidRPr="00697170">
        <w:rPr>
          <w:rFonts w:ascii="Palatino Linotype" w:eastAsia="Calibri" w:hAnsi="Palatino Linotype" w:cs="Times New Roman"/>
          <w:bCs/>
          <w:i/>
          <w:lang w:eastAsia="es-MX"/>
        </w:rPr>
        <w:t>(…)</w:t>
      </w:r>
      <w:r w:rsidRPr="00697170">
        <w:rPr>
          <w:rFonts w:ascii="Palatino Linotype" w:eastAsia="Calibri" w:hAnsi="Palatino Linotype" w:cs="Times New Roman"/>
        </w:rPr>
        <w:t xml:space="preserve"> </w:t>
      </w:r>
    </w:p>
    <w:p w14:paraId="2BDB5522" w14:textId="77777777" w:rsidR="00B66CE7" w:rsidRPr="00697170" w:rsidRDefault="00B66CE7" w:rsidP="00B66CE7">
      <w:pPr>
        <w:widowControl w:val="0"/>
        <w:autoSpaceDE w:val="0"/>
        <w:autoSpaceDN w:val="0"/>
        <w:adjustRightInd w:val="0"/>
        <w:spacing w:line="256" w:lineRule="auto"/>
        <w:ind w:left="851" w:right="900"/>
        <w:jc w:val="both"/>
        <w:rPr>
          <w:rFonts w:ascii="Palatino Linotype" w:eastAsia="Calibri" w:hAnsi="Palatino Linotype" w:cs="Times New Roman"/>
          <w:b/>
          <w:bCs/>
          <w:i/>
          <w:lang w:eastAsia="es-MX"/>
        </w:rPr>
      </w:pPr>
      <w:r w:rsidRPr="00697170">
        <w:rPr>
          <w:rFonts w:ascii="Palatino Linotype" w:eastAsia="Calibri" w:hAnsi="Palatino Linotype" w:cs="Times New Roman"/>
          <w:b/>
          <w:bCs/>
          <w:i/>
          <w:lang w:eastAsia="es-MX"/>
        </w:rPr>
        <w:t>XXXVIII. El inventario de bienes muebles e inmuebles en posesión y propiedad;</w:t>
      </w:r>
    </w:p>
    <w:p w14:paraId="185DBE23" w14:textId="77777777" w:rsidR="00B66CE7" w:rsidRPr="00697170" w:rsidRDefault="00B66CE7" w:rsidP="00B66CE7">
      <w:pPr>
        <w:widowControl w:val="0"/>
        <w:autoSpaceDE w:val="0"/>
        <w:autoSpaceDN w:val="0"/>
        <w:adjustRightInd w:val="0"/>
        <w:spacing w:line="256" w:lineRule="auto"/>
        <w:ind w:left="851" w:right="900"/>
        <w:jc w:val="both"/>
        <w:rPr>
          <w:rFonts w:ascii="Palatino Linotype" w:eastAsia="Calibri" w:hAnsi="Palatino Linotype" w:cs="Times New Roman"/>
          <w:bCs/>
          <w:i/>
          <w:lang w:eastAsia="es-MX"/>
        </w:rPr>
      </w:pPr>
      <w:r w:rsidRPr="00697170">
        <w:rPr>
          <w:rFonts w:ascii="Palatino Linotype" w:eastAsia="Calibri" w:hAnsi="Palatino Linotype" w:cs="Times New Roman"/>
          <w:bCs/>
          <w:i/>
          <w:lang w:eastAsia="es-MX"/>
        </w:rPr>
        <w:t>(…)”</w:t>
      </w:r>
    </w:p>
    <w:p w14:paraId="5F5414D0" w14:textId="77777777" w:rsidR="00B66CE7" w:rsidRPr="00697170" w:rsidRDefault="00B66CE7" w:rsidP="004D01FA">
      <w:pPr>
        <w:widowControl w:val="0"/>
        <w:autoSpaceDE w:val="0"/>
        <w:autoSpaceDN w:val="0"/>
        <w:adjustRightInd w:val="0"/>
        <w:spacing w:line="256" w:lineRule="auto"/>
        <w:ind w:left="851" w:right="900"/>
        <w:rPr>
          <w:rFonts w:ascii="Palatino Linotype" w:eastAsia="Calibri" w:hAnsi="Palatino Linotype" w:cs="Times New Roman"/>
          <w:bCs/>
          <w:lang w:eastAsia="es-MX"/>
        </w:rPr>
      </w:pPr>
      <w:r w:rsidRPr="00697170">
        <w:rPr>
          <w:rFonts w:ascii="Palatino Linotype" w:eastAsia="Calibri" w:hAnsi="Palatino Linotype" w:cs="Times New Roman"/>
          <w:bCs/>
          <w:lang w:eastAsia="es-MX"/>
        </w:rPr>
        <w:t xml:space="preserve">(Énfasis añadido) </w:t>
      </w:r>
    </w:p>
    <w:p w14:paraId="37AF5012" w14:textId="77777777" w:rsidR="00B66CE7" w:rsidRPr="00697170" w:rsidRDefault="00B66CE7" w:rsidP="00B66CE7">
      <w:pPr>
        <w:rPr>
          <w:rFonts w:ascii="Palatino Linotype" w:eastAsia="Times New Roman" w:hAnsi="Palatino Linotype" w:cs="Times New Roman"/>
        </w:rPr>
      </w:pPr>
    </w:p>
    <w:p w14:paraId="5B9F9A94" w14:textId="77777777" w:rsidR="00B66CE7" w:rsidRPr="00697170" w:rsidRDefault="00B66CE7" w:rsidP="00B66CE7">
      <w:pPr>
        <w:rPr>
          <w:rFonts w:ascii="Palatino Linotype" w:eastAsia="Times New Roman" w:hAnsi="Palatino Linotype" w:cs="Times New Roman"/>
        </w:rPr>
      </w:pPr>
    </w:p>
    <w:p w14:paraId="14FA0A04" w14:textId="77777777" w:rsidR="00B66CE7" w:rsidRPr="00697170" w:rsidRDefault="00B66CE7" w:rsidP="004D01FA">
      <w:pPr>
        <w:numPr>
          <w:ilvl w:val="0"/>
          <w:numId w:val="1"/>
        </w:numPr>
        <w:spacing w:line="360" w:lineRule="auto"/>
        <w:ind w:left="0" w:firstLine="0"/>
        <w:contextualSpacing/>
        <w:jc w:val="both"/>
        <w:rPr>
          <w:rFonts w:ascii="Palatino Linotype" w:eastAsia="Calibri" w:hAnsi="Palatino Linotype" w:cs="Times New Roman"/>
        </w:rPr>
      </w:pPr>
      <w:r w:rsidRPr="00697170">
        <w:rPr>
          <w:rFonts w:ascii="Palatino Linotype" w:eastAsia="Calibri" w:hAnsi="Palatino Linotype" w:cs="Times New Roman"/>
          <w:bCs/>
          <w:lang w:eastAsia="es-MX"/>
        </w:rPr>
        <w:t xml:space="preserve">Información que deberá ser publicada en atención a los </w:t>
      </w:r>
      <w:r w:rsidRPr="00697170">
        <w:rPr>
          <w:rFonts w:ascii="Palatino Linotype" w:eastAsia="Calibri" w:hAnsi="Palatino Linotype" w:cs="Times New Roman"/>
          <w:i/>
        </w:rPr>
        <w:t xml:space="preserve">“Lineamientos Técnicos Generales para la </w:t>
      </w:r>
      <w:r w:rsidRPr="00697170">
        <w:rPr>
          <w:rFonts w:ascii="Palatino Linotype" w:eastAsia="Calibri" w:hAnsi="Palatino Linotype" w:cs="Arial"/>
        </w:rPr>
        <w:t>Publicación</w:t>
      </w:r>
      <w:r w:rsidRPr="00697170">
        <w:rPr>
          <w:rFonts w:ascii="Palatino Linotype" w:eastAsia="Calibri" w:hAnsi="Palatino Linotype" w:cs="Times New Roman"/>
          <w:i/>
        </w:rPr>
        <w:t xml:space="preserve">, Homologación y Estandarización de la Información de las Obligaciones establecidas en el Título Quinto y en la Fracción IV, del artículo 31, de la Ley </w:t>
      </w:r>
      <w:r w:rsidRPr="00697170">
        <w:rPr>
          <w:rFonts w:ascii="Palatino Linotype" w:eastAsia="Calibri" w:hAnsi="Palatino Linotype" w:cs="Times New Roman"/>
          <w:i/>
        </w:rPr>
        <w:lastRenderedPageBreak/>
        <w:t>General de Transparencia y Acceso a la Información Pública, que deberán difundir los Sujetos Obligados en los Portales de Internet y en la Plataforma Nacional de Transparencia”</w:t>
      </w:r>
      <w:r w:rsidRPr="00697170">
        <w:rPr>
          <w:rFonts w:ascii="Palatino Linotype" w:eastAsia="Calibri" w:hAnsi="Palatino Linotype" w:cs="Times New Roman"/>
        </w:rPr>
        <w:t xml:space="preserve">, que en su </w:t>
      </w:r>
      <w:r w:rsidRPr="00697170">
        <w:rPr>
          <w:rFonts w:ascii="Palatino Linotype" w:eastAsia="Calibri" w:hAnsi="Palatino Linotype" w:cs="Times New Roman"/>
          <w:i/>
        </w:rPr>
        <w:t>“Anexo I”</w:t>
      </w:r>
      <w:r w:rsidRPr="00697170">
        <w:rPr>
          <w:rFonts w:ascii="Palatino Linotype" w:eastAsia="Calibri" w:hAnsi="Palatino Linotype" w:cs="Times New Roman"/>
        </w:rPr>
        <w:t xml:space="preserve">, relacionado con artículo 70, de la Ley General de Transparencia, de forma análoga prevé en su fracción XXXIV, el inventario de bienes muebles e inmuebles en posesión y propiedad; respecto de la cual define la forma y criterios en que deberá ser publicada por los Sujetos Obligados, que en lo que al presente estudio interesa establece en sus “Criterios sustantivos de contenido” la información siguiente: </w:t>
      </w:r>
    </w:p>
    <w:p w14:paraId="575F04A8" w14:textId="77777777" w:rsidR="00B66CE7" w:rsidRPr="00697170" w:rsidRDefault="00B66CE7" w:rsidP="00B66CE7">
      <w:pPr>
        <w:rPr>
          <w:rFonts w:ascii="Palatino Linotype" w:eastAsia="Calibri" w:hAnsi="Palatino Linotype" w:cs="Times New Roman"/>
        </w:rPr>
      </w:pPr>
    </w:p>
    <w:p w14:paraId="73428CA0"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XXXIV</w:t>
      </w:r>
      <w:r w:rsidRPr="00697170">
        <w:rPr>
          <w:rFonts w:ascii="Palatino Linotype" w:eastAsia="Calibri" w:hAnsi="Palatino Linotype" w:cs="Times New Roman"/>
          <w:i/>
        </w:rPr>
        <w:t xml:space="preserve">. El inventario de bienes muebles e </w:t>
      </w:r>
      <w:r w:rsidRPr="00697170">
        <w:rPr>
          <w:rFonts w:ascii="Palatino Linotype" w:eastAsia="Calibri" w:hAnsi="Palatino Linotype" w:cs="Times New Roman"/>
          <w:b/>
          <w:bCs/>
          <w:i/>
          <w:u w:val="single"/>
        </w:rPr>
        <w:t>inmuebles en posesión y propiedad Todos los sujetos obligados publicarán el inventario de bienes muebles e inmuebles que utilicen, tengan a su cargo y/o les hayan sido asignados para el ejercicio de sus funciones</w:t>
      </w:r>
      <w:r w:rsidRPr="00697170">
        <w:rPr>
          <w:rFonts w:ascii="Palatino Linotype" w:eastAsia="Calibri" w:hAnsi="Palatino Linotype" w:cs="Times New Roman"/>
          <w:i/>
        </w:rPr>
        <w:t xml:space="preserve">; que destinen a un servicio público conforme a la normatividad aplicable o por cualquier concepto, </w:t>
      </w:r>
      <w:r w:rsidRPr="00697170">
        <w:rPr>
          <w:rFonts w:ascii="Palatino Linotype" w:eastAsia="Calibri" w:hAnsi="Palatino Linotype" w:cs="Times New Roman"/>
          <w:b/>
          <w:bCs/>
          <w:i/>
          <w:u w:val="single"/>
        </w:rPr>
        <w:t>tanto si son propiedad del sujeto obligado como que se encuentren en posesión de éstos</w:t>
      </w:r>
      <w:r w:rsidRPr="00697170">
        <w:rPr>
          <w:rFonts w:ascii="Palatino Linotype" w:eastAsia="Calibri" w:hAnsi="Palatino Linotype" w:cs="Times New Roman"/>
          <w:i/>
        </w:rPr>
        <w:t xml:space="preserve">. </w:t>
      </w:r>
    </w:p>
    <w:p w14:paraId="5B19D008" w14:textId="77777777" w:rsidR="00B66CE7" w:rsidRPr="00697170" w:rsidRDefault="00B66CE7" w:rsidP="00B66CE7">
      <w:pPr>
        <w:ind w:left="851" w:right="851"/>
        <w:jc w:val="both"/>
        <w:rPr>
          <w:rFonts w:ascii="Palatino Linotype" w:eastAsia="Calibri" w:hAnsi="Palatino Linotype" w:cs="Times New Roman"/>
          <w:i/>
        </w:rPr>
      </w:pPr>
    </w:p>
    <w:p w14:paraId="084EB121"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Respecto de los bienes muebles se registrará tanto el mobiliario y equipo –incluido el de cómputo– como los vehículos y demás bienes muebles al servicio de los sujetos obligados, de conformidad con la Ley General de Contabilidad Gubernamental. </w:t>
      </w:r>
    </w:p>
    <w:p w14:paraId="4DEDF9E2" w14:textId="77777777" w:rsidR="00B66CE7" w:rsidRPr="00697170" w:rsidRDefault="00B66CE7" w:rsidP="00B66CE7">
      <w:pPr>
        <w:ind w:left="851" w:right="851"/>
        <w:jc w:val="both"/>
        <w:rPr>
          <w:rFonts w:ascii="Palatino Linotype" w:eastAsia="Calibri" w:hAnsi="Palatino Linotype" w:cs="Times New Roman"/>
          <w:i/>
        </w:rPr>
      </w:pPr>
    </w:p>
    <w:p w14:paraId="3D982419"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 Asimismo, el inventario contará con algunos de los elementos establecidos en el Acuerdo por el cual se emiten las Normas y Procedimientos para la Integración y Actualización </w:t>
      </w:r>
      <w:r w:rsidRPr="00697170">
        <w:rPr>
          <w:rFonts w:ascii="Palatino Linotype" w:eastAsia="Calibri" w:hAnsi="Palatino Linotype" w:cs="Times New Roman"/>
          <w:i/>
        </w:rPr>
        <w:lastRenderedPageBreak/>
        <w:t xml:space="preserve">del Sistema de Información Inmobiliaria Federal y Paraestatal, así como en la Ley General de Contabilidad Gubernamental. </w:t>
      </w:r>
    </w:p>
    <w:p w14:paraId="10ADBA7C" w14:textId="77777777" w:rsidR="00B66CE7" w:rsidRPr="00697170" w:rsidRDefault="00B66CE7" w:rsidP="00B66CE7">
      <w:pPr>
        <w:ind w:left="851" w:right="851"/>
        <w:jc w:val="both"/>
        <w:rPr>
          <w:rFonts w:ascii="Palatino Linotype" w:eastAsia="Calibri" w:hAnsi="Palatino Linotype" w:cs="Times New Roman"/>
          <w:i/>
        </w:rPr>
      </w:pPr>
    </w:p>
    <w:p w14:paraId="73D7F3FF"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También se registrarán los bienes muebles o inmuebles que, por su naturaleza sean inalienables e imprescriptibles, como pueden serlo los monumentos arqueológicos, históricos y artísticos de acuerdo con el registro auxiliar correspondiente. </w:t>
      </w:r>
    </w:p>
    <w:p w14:paraId="3EB86C62" w14:textId="77777777" w:rsidR="00B66CE7" w:rsidRPr="00697170" w:rsidRDefault="00B66CE7" w:rsidP="00B66CE7">
      <w:pPr>
        <w:ind w:left="851" w:right="851"/>
        <w:jc w:val="both"/>
        <w:rPr>
          <w:rFonts w:ascii="Palatino Linotype" w:eastAsia="Calibri" w:hAnsi="Palatino Linotype" w:cs="Times New Roman"/>
          <w:i/>
        </w:rPr>
      </w:pPr>
    </w:p>
    <w:p w14:paraId="4422B10F"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Se incluirá un hipervínculo al Sistema de Información Inmobiliaria Federal y Paraestatal u homólogo de cada entidad federativa. Al ser éste un sistema de uso exclusivo de los sujetos obligados, la dependencia responsable de administrarlo deberá incluir una sección de consulta pública, contando para el desarrollo de la misma con un plazo no mayor de seis meses a partir de la entrada en vigor de estos Lineamientos. En caso de que algunos sujetos obligados no cuenten con un sistema como el aquí contemplado, considerarán incluir una nota fundamentada, motivada y actualizada al periodo que corresponda que así lo explique. En el inventario de bienes muebles de las instituciones de educación superior se harán públicas las colecciones y acervos de las mismas. </w:t>
      </w:r>
    </w:p>
    <w:p w14:paraId="01EF74E7" w14:textId="77777777" w:rsidR="00B66CE7" w:rsidRPr="00697170" w:rsidRDefault="00B66CE7" w:rsidP="00B66CE7">
      <w:pPr>
        <w:ind w:left="851" w:right="851"/>
        <w:jc w:val="both"/>
        <w:rPr>
          <w:rFonts w:ascii="Palatino Linotype" w:eastAsia="Calibri" w:hAnsi="Palatino Linotype" w:cs="Times New Roman"/>
          <w:i/>
        </w:rPr>
      </w:pPr>
    </w:p>
    <w:p w14:paraId="5A647D56"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Adicionalmente se incluirá un inventario de altas, bajas y donaciones de bienes muebles e inmuebles, en caso de haberlas. También se dará a conocer el nombre del servidor(a) público(a) y/o toda persona que desempeñe un empleo, cargo o comisión y/o ejerza actos de autoridad, que funge como responsable inmobiliario, es decir, el encargado de la administración de los recursos materiales de las dependencias. En caso de que algún sujeto obligado utilice o tenga a su cargo bienes muebles o inmuebles sobre los cuales reportar su tenencia se encuentren reservados por motivos de Seguridad Nacional109, Seguridad Pública o de interés público, en la "Descripción del bien" o "Denominación del inmueble", según correspondas, se especificará en la descripción del bien la nota “bien número #”, indicando el número que se le asigne cronológicamente a cada bien, el cual no podrá ser el mismo para ningún otro del sujeto obligado por motivos de identificación única de éstos. A continuación, se registrará una nota en la que se especifique la fundamentación y motivación de la reserva de dicha información. </w:t>
      </w:r>
    </w:p>
    <w:p w14:paraId="5C2927A8" w14:textId="77777777" w:rsidR="00B66CE7" w:rsidRPr="00697170" w:rsidRDefault="00B66CE7" w:rsidP="00B66CE7">
      <w:pPr>
        <w:ind w:left="851" w:right="851"/>
        <w:jc w:val="both"/>
        <w:rPr>
          <w:rFonts w:ascii="Palatino Linotype" w:eastAsia="Calibri" w:hAnsi="Palatino Linotype" w:cs="Times New Roman"/>
          <w:i/>
        </w:rPr>
      </w:pPr>
    </w:p>
    <w:p w14:paraId="31E33997"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El resto de los datos requeridos acerca de tales bienes en los criterios pertenecientes a esta fracción serán considerados información pública, por lo que no estarán sujetos a reserva alguna. En el caso de los bienes inmuebles se protegerán el domicilio y/o los elementos que denoten su ubicación exacta. </w:t>
      </w:r>
    </w:p>
    <w:p w14:paraId="75251C5C" w14:textId="77777777" w:rsidR="00B66CE7" w:rsidRPr="00697170" w:rsidRDefault="00B66CE7" w:rsidP="00B66CE7">
      <w:pPr>
        <w:ind w:left="851" w:right="851"/>
        <w:jc w:val="both"/>
        <w:rPr>
          <w:rFonts w:ascii="Palatino Linotype" w:eastAsia="Calibri" w:hAnsi="Palatino Linotype" w:cs="Times New Roman"/>
          <w:i/>
        </w:rPr>
      </w:pPr>
    </w:p>
    <w:p w14:paraId="2BBDF2B4"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Criterios sustantivos de contenido</w:t>
      </w:r>
      <w:r w:rsidRPr="00697170">
        <w:rPr>
          <w:rFonts w:ascii="Palatino Linotype" w:eastAsia="Calibri" w:hAnsi="Palatino Linotype" w:cs="Times New Roman"/>
          <w:i/>
        </w:rPr>
        <w:t xml:space="preserve"> </w:t>
      </w:r>
    </w:p>
    <w:p w14:paraId="3114B1D7" w14:textId="77777777" w:rsidR="00B66CE7" w:rsidRPr="00697170" w:rsidRDefault="00B66CE7" w:rsidP="00B66CE7">
      <w:pPr>
        <w:ind w:left="851" w:right="851"/>
        <w:jc w:val="both"/>
        <w:rPr>
          <w:rFonts w:ascii="Palatino Linotype" w:eastAsia="Calibri" w:hAnsi="Palatino Linotype" w:cs="Times New Roman"/>
          <w:b/>
          <w:bCs/>
          <w:i/>
          <w:u w:val="single"/>
        </w:rPr>
      </w:pPr>
    </w:p>
    <w:p w14:paraId="01F765C4" w14:textId="77777777" w:rsidR="00B66CE7" w:rsidRPr="00697170" w:rsidRDefault="00B66CE7" w:rsidP="00B66CE7">
      <w:pPr>
        <w:ind w:left="851" w:right="851"/>
        <w:jc w:val="both"/>
        <w:rPr>
          <w:rFonts w:ascii="Palatino Linotype" w:eastAsia="Calibri" w:hAnsi="Palatino Linotype" w:cs="Times New Roman"/>
          <w:i/>
        </w:rPr>
      </w:pPr>
    </w:p>
    <w:p w14:paraId="0B07CFD2" w14:textId="77777777" w:rsidR="00B66CE7" w:rsidRPr="00697170" w:rsidRDefault="00B66CE7" w:rsidP="00B66CE7">
      <w:pPr>
        <w:ind w:left="851" w:right="851"/>
        <w:jc w:val="both"/>
        <w:rPr>
          <w:rFonts w:ascii="Palatino Linotype" w:eastAsia="Calibri" w:hAnsi="Palatino Linotype" w:cs="Times New Roman"/>
          <w:b/>
          <w:bCs/>
          <w:i/>
          <w:u w:val="single"/>
        </w:rPr>
      </w:pPr>
      <w:r w:rsidRPr="00697170">
        <w:rPr>
          <w:rFonts w:ascii="Palatino Linotype" w:eastAsia="Calibri" w:hAnsi="Palatino Linotype" w:cs="Times New Roman"/>
          <w:b/>
          <w:bCs/>
          <w:i/>
          <w:u w:val="single"/>
        </w:rPr>
        <w:t xml:space="preserve">Los datos correspondientes a los bienes inmuebles son: </w:t>
      </w:r>
    </w:p>
    <w:p w14:paraId="45BC66EF" w14:textId="77777777" w:rsidR="00B66CE7" w:rsidRPr="00697170" w:rsidRDefault="00B66CE7" w:rsidP="00B66CE7">
      <w:pPr>
        <w:ind w:left="851" w:right="851"/>
        <w:jc w:val="both"/>
        <w:rPr>
          <w:rFonts w:ascii="Palatino Linotype" w:eastAsia="Calibri" w:hAnsi="Palatino Linotype" w:cs="Times New Roman"/>
          <w:i/>
        </w:rPr>
      </w:pPr>
    </w:p>
    <w:p w14:paraId="67C5BFC5"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Criterio 22</w:t>
      </w:r>
      <w:r w:rsidRPr="00697170">
        <w:rPr>
          <w:rFonts w:ascii="Palatino Linotype" w:eastAsia="Calibri" w:hAnsi="Palatino Linotype" w:cs="Times New Roman"/>
          <w:i/>
        </w:rPr>
        <w:t xml:space="preserve"> Ejercicio </w:t>
      </w:r>
    </w:p>
    <w:p w14:paraId="285ADB22" w14:textId="77777777" w:rsidR="00B66CE7" w:rsidRPr="00697170" w:rsidRDefault="00B66CE7" w:rsidP="00B66CE7">
      <w:pPr>
        <w:ind w:left="851" w:right="851"/>
        <w:jc w:val="both"/>
        <w:rPr>
          <w:rFonts w:ascii="Palatino Linotype" w:eastAsia="Calibri" w:hAnsi="Palatino Linotype" w:cs="Times New Roman"/>
          <w:i/>
        </w:rPr>
      </w:pPr>
    </w:p>
    <w:p w14:paraId="409576C7"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Criterio 23</w:t>
      </w:r>
      <w:r w:rsidRPr="00697170">
        <w:rPr>
          <w:rFonts w:ascii="Palatino Linotype" w:eastAsia="Calibri" w:hAnsi="Palatino Linotype" w:cs="Times New Roman"/>
          <w:i/>
        </w:rPr>
        <w:t xml:space="preserve"> Periodo que se informa (fecha de inicio y fecha de término con el formato día/mes/año) </w:t>
      </w:r>
    </w:p>
    <w:p w14:paraId="40FA7873" w14:textId="77777777" w:rsidR="00B66CE7" w:rsidRPr="00697170" w:rsidRDefault="00B66CE7" w:rsidP="00B66CE7">
      <w:pPr>
        <w:ind w:left="851" w:right="851"/>
        <w:jc w:val="both"/>
        <w:rPr>
          <w:rFonts w:ascii="Palatino Linotype" w:eastAsia="Calibri" w:hAnsi="Palatino Linotype" w:cs="Times New Roman"/>
          <w:i/>
        </w:rPr>
      </w:pPr>
    </w:p>
    <w:p w14:paraId="63EBAA8B"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Criterio 24</w:t>
      </w:r>
      <w:r w:rsidRPr="00697170">
        <w:rPr>
          <w:rFonts w:ascii="Palatino Linotype" w:eastAsia="Calibri" w:hAnsi="Palatino Linotype" w:cs="Times New Roman"/>
          <w:i/>
        </w:rPr>
        <w:t xml:space="preserve"> </w:t>
      </w:r>
      <w:r w:rsidRPr="00697170">
        <w:rPr>
          <w:rFonts w:ascii="Palatino Linotype" w:eastAsia="Calibri" w:hAnsi="Palatino Linotype" w:cs="Times New Roman"/>
          <w:b/>
          <w:bCs/>
          <w:i/>
        </w:rPr>
        <w:t>Denominación del inmueble, en su caso</w:t>
      </w:r>
      <w:r w:rsidRPr="00697170">
        <w:rPr>
          <w:rFonts w:ascii="Palatino Linotype" w:eastAsia="Calibri" w:hAnsi="Palatino Linotype" w:cs="Times New Roman"/>
          <w:i/>
        </w:rPr>
        <w:t xml:space="preserve"> </w:t>
      </w:r>
    </w:p>
    <w:p w14:paraId="62FA7D5F" w14:textId="77777777" w:rsidR="00B66CE7" w:rsidRPr="00697170" w:rsidRDefault="00B66CE7" w:rsidP="00B66CE7">
      <w:pPr>
        <w:ind w:left="851" w:right="851"/>
        <w:jc w:val="both"/>
        <w:rPr>
          <w:rFonts w:ascii="Palatino Linotype" w:eastAsia="Calibri" w:hAnsi="Palatino Linotype" w:cs="Times New Roman"/>
          <w:i/>
        </w:rPr>
      </w:pPr>
    </w:p>
    <w:p w14:paraId="3EA88E69" w14:textId="77777777" w:rsidR="00B66CE7" w:rsidRPr="00697170" w:rsidRDefault="00B66CE7" w:rsidP="00B66CE7">
      <w:pPr>
        <w:ind w:left="851" w:right="851"/>
        <w:jc w:val="both"/>
        <w:rPr>
          <w:rFonts w:ascii="Palatino Linotype" w:eastAsia="Calibri" w:hAnsi="Palatino Linotype" w:cs="Times New Roman"/>
          <w:b/>
          <w:bCs/>
          <w:i/>
          <w:u w:val="single"/>
        </w:rPr>
      </w:pPr>
      <w:r w:rsidRPr="00697170">
        <w:rPr>
          <w:rFonts w:ascii="Palatino Linotype" w:eastAsia="Calibri" w:hAnsi="Palatino Linotype" w:cs="Times New Roman"/>
          <w:b/>
          <w:bCs/>
          <w:i/>
          <w:u w:val="single"/>
        </w:rPr>
        <w:t xml:space="preserve">Criterio 25 Institución a cargo del inmueble </w:t>
      </w:r>
    </w:p>
    <w:p w14:paraId="636C375F" w14:textId="77777777" w:rsidR="00B66CE7" w:rsidRPr="00697170" w:rsidRDefault="00B66CE7" w:rsidP="00B66CE7">
      <w:pPr>
        <w:ind w:left="851" w:right="851"/>
        <w:jc w:val="both"/>
        <w:rPr>
          <w:rFonts w:ascii="Palatino Linotype" w:eastAsia="Calibri" w:hAnsi="Palatino Linotype" w:cs="Times New Roman"/>
          <w:i/>
        </w:rPr>
      </w:pPr>
    </w:p>
    <w:p w14:paraId="49952090"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Criterio 26</w:t>
      </w:r>
      <w:r w:rsidRPr="00697170">
        <w:rPr>
          <w:rFonts w:ascii="Palatino Linotype" w:eastAsia="Calibri" w:hAnsi="Palatino Linotype" w:cs="Times New Roman"/>
          <w:i/>
        </w:rPr>
        <w:t xml:space="preserve"> </w:t>
      </w:r>
      <w:r w:rsidRPr="00697170">
        <w:rPr>
          <w:rFonts w:ascii="Palatino Linotype" w:eastAsia="Calibri" w:hAnsi="Palatino Linotype" w:cs="Times New Roman"/>
          <w:i/>
          <w:u w:val="single"/>
        </w:rPr>
        <w:t>Domicilio del inmueble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w:t>
      </w:r>
      <w:r w:rsidRPr="00697170">
        <w:rPr>
          <w:rFonts w:ascii="Palatino Linotype" w:eastAsia="Calibri" w:hAnsi="Palatino Linotype" w:cs="Times New Roman"/>
          <w:i/>
        </w:rPr>
        <w:t xml:space="preserve">) </w:t>
      </w:r>
    </w:p>
    <w:p w14:paraId="790F011C" w14:textId="77777777" w:rsidR="00B66CE7" w:rsidRPr="00697170" w:rsidRDefault="00B66CE7" w:rsidP="00B66CE7">
      <w:pPr>
        <w:ind w:left="851" w:right="851"/>
        <w:jc w:val="both"/>
        <w:rPr>
          <w:rFonts w:ascii="Palatino Linotype" w:eastAsia="Calibri" w:hAnsi="Palatino Linotype" w:cs="Times New Roman"/>
          <w:i/>
        </w:rPr>
      </w:pPr>
    </w:p>
    <w:p w14:paraId="4FAA9658"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Criterio 27</w:t>
      </w:r>
      <w:r w:rsidRPr="00697170">
        <w:rPr>
          <w:rFonts w:ascii="Palatino Linotype" w:eastAsia="Calibri" w:hAnsi="Palatino Linotype" w:cs="Times New Roman"/>
          <w:i/>
        </w:rPr>
        <w:t xml:space="preserve"> Domicilio en el extranjero. En caso de que el inmueble se ubique en otro país, se deberá incluir el domicilio el cual deberá incluir por lo menos: país, ciudad, calle y número </w:t>
      </w:r>
    </w:p>
    <w:p w14:paraId="5E567B85" w14:textId="77777777" w:rsidR="00B66CE7" w:rsidRPr="00697170" w:rsidRDefault="00B66CE7" w:rsidP="00B66CE7">
      <w:pPr>
        <w:ind w:left="851" w:right="851"/>
        <w:jc w:val="both"/>
        <w:rPr>
          <w:rFonts w:ascii="Palatino Linotype" w:eastAsia="Calibri" w:hAnsi="Palatino Linotype" w:cs="Times New Roman"/>
          <w:i/>
        </w:rPr>
      </w:pPr>
    </w:p>
    <w:p w14:paraId="36CD7715"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Criterio 2</w:t>
      </w:r>
      <w:r w:rsidRPr="00697170">
        <w:rPr>
          <w:rFonts w:ascii="Palatino Linotype" w:eastAsia="Calibri" w:hAnsi="Palatino Linotype" w:cs="Times New Roman"/>
          <w:i/>
        </w:rPr>
        <w:t xml:space="preserve">8 Naturaleza del inmueble (catálogo): Urbana/Rústica (de conformidad con el artículo 66, fracción IV, del Reglamento del Registro Público de la Propiedad Federal) </w:t>
      </w:r>
    </w:p>
    <w:p w14:paraId="035E2B56" w14:textId="77777777" w:rsidR="00B66CE7" w:rsidRPr="00697170" w:rsidRDefault="00B66CE7" w:rsidP="00B66CE7">
      <w:pPr>
        <w:ind w:left="851" w:right="851"/>
        <w:jc w:val="both"/>
        <w:rPr>
          <w:rFonts w:ascii="Palatino Linotype" w:eastAsia="Calibri" w:hAnsi="Palatino Linotype" w:cs="Times New Roman"/>
          <w:i/>
        </w:rPr>
      </w:pPr>
    </w:p>
    <w:p w14:paraId="4EB13964"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lastRenderedPageBreak/>
        <w:t>Criterio 29</w:t>
      </w:r>
      <w:r w:rsidRPr="00697170">
        <w:rPr>
          <w:rFonts w:ascii="Palatino Linotype" w:eastAsia="Calibri" w:hAnsi="Palatino Linotype" w:cs="Times New Roman"/>
          <w:i/>
        </w:rPr>
        <w:t xml:space="preserve"> Carácter del monumento (catálogo): Arqueológico/Histórico/Artístico (para el caso de inmuebles que hayan sido declarados monumentos arqueológicos, históricos o artísticos </w:t>
      </w:r>
    </w:p>
    <w:p w14:paraId="7FF37F2D" w14:textId="77777777" w:rsidR="00B66CE7" w:rsidRPr="00697170" w:rsidRDefault="00B66CE7" w:rsidP="00B66CE7">
      <w:pPr>
        <w:ind w:left="851" w:right="851"/>
        <w:jc w:val="both"/>
        <w:rPr>
          <w:rFonts w:ascii="Palatino Linotype" w:eastAsia="Calibri" w:hAnsi="Palatino Linotype" w:cs="Times New Roman"/>
          <w:i/>
        </w:rPr>
      </w:pPr>
    </w:p>
    <w:p w14:paraId="3B62D6FC"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Criterio 30</w:t>
      </w:r>
      <w:r w:rsidRPr="00697170">
        <w:rPr>
          <w:rFonts w:ascii="Palatino Linotype" w:eastAsia="Calibri" w:hAnsi="Palatino Linotype" w:cs="Times New Roman"/>
          <w:i/>
        </w:rPr>
        <w:t xml:space="preserve"> </w:t>
      </w:r>
      <w:r w:rsidRPr="00697170">
        <w:rPr>
          <w:rFonts w:ascii="Palatino Linotype" w:eastAsia="Calibri" w:hAnsi="Palatino Linotype" w:cs="Times New Roman"/>
          <w:b/>
          <w:bCs/>
          <w:i/>
        </w:rPr>
        <w:t>Tipo de inmueble</w:t>
      </w:r>
      <w:r w:rsidRPr="00697170">
        <w:rPr>
          <w:rFonts w:ascii="Palatino Linotype" w:eastAsia="Calibri" w:hAnsi="Palatino Linotype" w:cs="Times New Roman"/>
          <w:i/>
        </w:rPr>
        <w:t xml:space="preserve"> (catálogo): edificación/terreno/mixto </w:t>
      </w:r>
    </w:p>
    <w:p w14:paraId="59DE6247" w14:textId="77777777" w:rsidR="00B66CE7" w:rsidRPr="00697170" w:rsidRDefault="00B66CE7" w:rsidP="00B66CE7">
      <w:pPr>
        <w:ind w:left="851" w:right="851"/>
        <w:jc w:val="both"/>
        <w:rPr>
          <w:rFonts w:ascii="Palatino Linotype" w:eastAsia="Calibri" w:hAnsi="Palatino Linotype" w:cs="Times New Roman"/>
          <w:i/>
        </w:rPr>
      </w:pPr>
    </w:p>
    <w:p w14:paraId="436D2ABD"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Criterio 31</w:t>
      </w:r>
      <w:r w:rsidRPr="00697170">
        <w:rPr>
          <w:rFonts w:ascii="Palatino Linotype" w:eastAsia="Calibri" w:hAnsi="Palatino Linotype" w:cs="Times New Roman"/>
          <w:i/>
        </w:rPr>
        <w:t xml:space="preserve"> </w:t>
      </w:r>
      <w:r w:rsidRPr="00697170">
        <w:rPr>
          <w:rFonts w:ascii="Palatino Linotype" w:eastAsia="Calibri" w:hAnsi="Palatino Linotype" w:cs="Times New Roman"/>
          <w:i/>
          <w:u w:val="single"/>
        </w:rPr>
        <w:t>Uso del inmueble</w:t>
      </w:r>
      <w:r w:rsidRPr="00697170">
        <w:rPr>
          <w:rFonts w:ascii="Palatino Linotype" w:eastAsia="Calibri" w:hAnsi="Palatino Linotype" w:cs="Times New Roman"/>
          <w:i/>
        </w:rPr>
        <w:t xml:space="preserve"> </w:t>
      </w:r>
    </w:p>
    <w:p w14:paraId="4E0D728B" w14:textId="77777777" w:rsidR="00B66CE7" w:rsidRPr="00697170" w:rsidRDefault="00B66CE7" w:rsidP="00B66CE7">
      <w:pPr>
        <w:ind w:left="851" w:right="851"/>
        <w:jc w:val="both"/>
        <w:rPr>
          <w:rFonts w:ascii="Palatino Linotype" w:eastAsia="Calibri" w:hAnsi="Palatino Linotype" w:cs="Times New Roman"/>
          <w:i/>
        </w:rPr>
      </w:pPr>
    </w:p>
    <w:p w14:paraId="74F02F2F"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Criterio 32</w:t>
      </w:r>
      <w:r w:rsidRPr="00697170">
        <w:rPr>
          <w:rFonts w:ascii="Palatino Linotype" w:eastAsia="Calibri" w:hAnsi="Palatino Linotype" w:cs="Times New Roman"/>
          <w:i/>
        </w:rPr>
        <w:t xml:space="preserve"> </w:t>
      </w:r>
      <w:r w:rsidRPr="00697170">
        <w:rPr>
          <w:rFonts w:ascii="Palatino Linotype" w:eastAsia="Calibri" w:hAnsi="Palatino Linotype" w:cs="Times New Roman"/>
          <w:b/>
          <w:bCs/>
          <w:i/>
          <w:u w:val="single"/>
        </w:rPr>
        <w:t xml:space="preserve">Operación que da origen a la propiedad o posesión del inmueble </w:t>
      </w:r>
    </w:p>
    <w:p w14:paraId="3D4F2578" w14:textId="77777777" w:rsidR="00B66CE7" w:rsidRPr="00697170" w:rsidRDefault="00B66CE7" w:rsidP="00B66CE7">
      <w:pPr>
        <w:ind w:left="851" w:right="851"/>
        <w:jc w:val="both"/>
        <w:rPr>
          <w:rFonts w:ascii="Palatino Linotype" w:eastAsia="Calibri" w:hAnsi="Palatino Linotype" w:cs="Times New Roman"/>
          <w:i/>
        </w:rPr>
      </w:pPr>
    </w:p>
    <w:p w14:paraId="205D4F20"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Criterio 33</w:t>
      </w:r>
      <w:r w:rsidRPr="00697170">
        <w:rPr>
          <w:rFonts w:ascii="Palatino Linotype" w:eastAsia="Calibri" w:hAnsi="Palatino Linotype" w:cs="Times New Roman"/>
          <w:i/>
        </w:rPr>
        <w:t xml:space="preserve"> Valor catastral o último avalúo del inmueble </w:t>
      </w:r>
    </w:p>
    <w:p w14:paraId="36B152FF" w14:textId="77777777" w:rsidR="00B66CE7" w:rsidRPr="00697170" w:rsidRDefault="00B66CE7" w:rsidP="00B66CE7">
      <w:pPr>
        <w:ind w:left="851" w:right="851"/>
        <w:jc w:val="both"/>
        <w:rPr>
          <w:rFonts w:ascii="Palatino Linotype" w:eastAsia="Calibri" w:hAnsi="Palatino Linotype" w:cs="Times New Roman"/>
          <w:i/>
        </w:rPr>
      </w:pPr>
    </w:p>
    <w:p w14:paraId="4BC9C858"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rPr>
        <w:t>Criterio 34</w:t>
      </w:r>
      <w:r w:rsidRPr="00697170">
        <w:rPr>
          <w:rFonts w:ascii="Palatino Linotype" w:eastAsia="Calibri" w:hAnsi="Palatino Linotype" w:cs="Times New Roman"/>
          <w:i/>
        </w:rPr>
        <w:t xml:space="preserve"> </w:t>
      </w:r>
      <w:r w:rsidRPr="00697170">
        <w:rPr>
          <w:rFonts w:ascii="Palatino Linotype" w:eastAsia="Calibri" w:hAnsi="Palatino Linotype" w:cs="Times New Roman"/>
          <w:b/>
          <w:bCs/>
          <w:i/>
          <w:u w:val="single"/>
        </w:rPr>
        <w:t>Título por el cual se acredite la propiedad o posesión del inmueble por parte del Gobierno Federal, las entidades federativas o los municipios, a la fecha de actualización de la información</w:t>
      </w:r>
      <w:r w:rsidRPr="00697170">
        <w:rPr>
          <w:rFonts w:ascii="Palatino Linotype" w:eastAsia="Calibri" w:hAnsi="Palatino Linotype" w:cs="Times New Roman"/>
          <w:i/>
        </w:rPr>
        <w:t xml:space="preserve"> </w:t>
      </w:r>
    </w:p>
    <w:p w14:paraId="1717AB4B" w14:textId="77777777" w:rsidR="00B66CE7" w:rsidRPr="00697170" w:rsidRDefault="00B66CE7" w:rsidP="00B66CE7">
      <w:pPr>
        <w:ind w:left="851" w:right="851"/>
        <w:jc w:val="both"/>
        <w:rPr>
          <w:rFonts w:ascii="Palatino Linotype" w:eastAsia="Calibri" w:hAnsi="Palatino Linotype" w:cs="Times New Roman"/>
          <w:i/>
        </w:rPr>
      </w:pPr>
    </w:p>
    <w:p w14:paraId="02130F20"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35 Hipervínculo al Sistema de Información Inmobiliaria Federal y Paraestatal u homólogo de cada entidad federativa </w:t>
      </w:r>
    </w:p>
    <w:p w14:paraId="3037FEEA" w14:textId="77777777" w:rsidR="00B66CE7" w:rsidRPr="00697170" w:rsidRDefault="00B66CE7" w:rsidP="00B66CE7">
      <w:pPr>
        <w:ind w:left="851" w:right="851"/>
        <w:jc w:val="both"/>
        <w:rPr>
          <w:rFonts w:ascii="Palatino Linotype" w:eastAsia="Calibri" w:hAnsi="Palatino Linotype" w:cs="Times New Roman"/>
          <w:i/>
        </w:rPr>
      </w:pPr>
    </w:p>
    <w:p w14:paraId="6F3B2B01"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36 Área de adscripción del servidor público /o toda persona que desempeñe un empleo, cargo o comisión y/o ejerza actos de autoridad (de acuerdo con el catálogo de áreas o puestos que funge como responsable inmobiliario) </w:t>
      </w:r>
    </w:p>
    <w:p w14:paraId="4BEDA798" w14:textId="77777777" w:rsidR="00B66CE7" w:rsidRPr="00697170" w:rsidRDefault="00B66CE7" w:rsidP="00B66CE7">
      <w:pPr>
        <w:ind w:left="851" w:right="851"/>
        <w:jc w:val="both"/>
        <w:rPr>
          <w:rFonts w:ascii="Palatino Linotype" w:eastAsia="Calibri" w:hAnsi="Palatino Linotype" w:cs="Times New Roman"/>
          <w:i/>
        </w:rPr>
      </w:pPr>
    </w:p>
    <w:p w14:paraId="77435126" w14:textId="77777777" w:rsidR="00B66CE7" w:rsidRPr="00697170" w:rsidRDefault="00B66CE7" w:rsidP="00B66CE7">
      <w:pPr>
        <w:ind w:left="851" w:right="851"/>
        <w:jc w:val="both"/>
        <w:rPr>
          <w:rFonts w:ascii="Palatino Linotype" w:eastAsia="Calibri" w:hAnsi="Palatino Linotype" w:cs="Times New Roman"/>
          <w:b/>
          <w:bCs/>
          <w:i/>
          <w:u w:val="single"/>
        </w:rPr>
      </w:pPr>
      <w:r w:rsidRPr="00697170">
        <w:rPr>
          <w:rFonts w:ascii="Palatino Linotype" w:eastAsia="Calibri" w:hAnsi="Palatino Linotype" w:cs="Times New Roman"/>
          <w:b/>
          <w:bCs/>
          <w:i/>
          <w:u w:val="single"/>
        </w:rPr>
        <w:t xml:space="preserve">Inventario semestral de altas practicadas a los bienes inmuebles especificando: </w:t>
      </w:r>
    </w:p>
    <w:p w14:paraId="6C8D2453" w14:textId="77777777" w:rsidR="00B66CE7" w:rsidRPr="00697170" w:rsidRDefault="00B66CE7" w:rsidP="00B66CE7">
      <w:pPr>
        <w:ind w:left="851" w:right="851"/>
        <w:jc w:val="both"/>
        <w:rPr>
          <w:rFonts w:ascii="Palatino Linotype" w:eastAsia="Calibri" w:hAnsi="Palatino Linotype" w:cs="Times New Roman"/>
          <w:i/>
        </w:rPr>
      </w:pPr>
    </w:p>
    <w:p w14:paraId="7DB7785D"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37 Ejercicio </w:t>
      </w:r>
    </w:p>
    <w:p w14:paraId="02917D80" w14:textId="77777777" w:rsidR="00B66CE7" w:rsidRPr="00697170" w:rsidRDefault="00B66CE7" w:rsidP="00B66CE7">
      <w:pPr>
        <w:ind w:left="851" w:right="851"/>
        <w:jc w:val="both"/>
        <w:rPr>
          <w:rFonts w:ascii="Palatino Linotype" w:eastAsia="Calibri" w:hAnsi="Palatino Linotype" w:cs="Times New Roman"/>
          <w:i/>
        </w:rPr>
      </w:pPr>
    </w:p>
    <w:p w14:paraId="228858C4"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38 Periodo que se informa (fecha de inicio y fecha de término con el formato día/mes/año) </w:t>
      </w:r>
    </w:p>
    <w:p w14:paraId="63C212B2" w14:textId="77777777" w:rsidR="00B66CE7" w:rsidRPr="00697170" w:rsidRDefault="00B66CE7" w:rsidP="00B66CE7">
      <w:pPr>
        <w:ind w:left="851" w:right="851"/>
        <w:jc w:val="both"/>
        <w:rPr>
          <w:rFonts w:ascii="Palatino Linotype" w:eastAsia="Calibri" w:hAnsi="Palatino Linotype" w:cs="Times New Roman"/>
          <w:i/>
        </w:rPr>
      </w:pPr>
    </w:p>
    <w:p w14:paraId="2754300D"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39 Descripción del bien </w:t>
      </w:r>
    </w:p>
    <w:p w14:paraId="63C42016" w14:textId="77777777" w:rsidR="00B66CE7" w:rsidRPr="00697170" w:rsidRDefault="00B66CE7" w:rsidP="00B66CE7">
      <w:pPr>
        <w:ind w:left="851" w:right="851"/>
        <w:jc w:val="both"/>
        <w:rPr>
          <w:rFonts w:ascii="Palatino Linotype" w:eastAsia="Calibri" w:hAnsi="Palatino Linotype" w:cs="Times New Roman"/>
          <w:i/>
        </w:rPr>
      </w:pPr>
    </w:p>
    <w:p w14:paraId="760FE320"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40 Causa de alta </w:t>
      </w:r>
    </w:p>
    <w:p w14:paraId="5A893B7C" w14:textId="77777777" w:rsidR="00B66CE7" w:rsidRPr="00697170" w:rsidRDefault="00B66CE7" w:rsidP="00B66CE7">
      <w:pPr>
        <w:ind w:left="851" w:right="851"/>
        <w:jc w:val="both"/>
        <w:rPr>
          <w:rFonts w:ascii="Palatino Linotype" w:eastAsia="Calibri" w:hAnsi="Palatino Linotype" w:cs="Times New Roman"/>
          <w:i/>
        </w:rPr>
      </w:pPr>
    </w:p>
    <w:p w14:paraId="5DBBDD6F"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41 </w:t>
      </w:r>
      <w:r w:rsidRPr="00697170">
        <w:rPr>
          <w:rFonts w:ascii="Palatino Linotype" w:eastAsia="Calibri" w:hAnsi="Palatino Linotype" w:cs="Times New Roman"/>
          <w:b/>
          <w:bCs/>
          <w:i/>
        </w:rPr>
        <w:t>Fecha de alta con el formato día/mes/año</w:t>
      </w:r>
      <w:r w:rsidRPr="00697170">
        <w:rPr>
          <w:rFonts w:ascii="Palatino Linotype" w:eastAsia="Calibri" w:hAnsi="Palatino Linotype" w:cs="Times New Roman"/>
          <w:i/>
        </w:rPr>
        <w:t xml:space="preserve"> </w:t>
      </w:r>
    </w:p>
    <w:p w14:paraId="0B2ADFEB" w14:textId="77777777" w:rsidR="00B66CE7" w:rsidRPr="00697170" w:rsidRDefault="00B66CE7" w:rsidP="00B66CE7">
      <w:pPr>
        <w:ind w:left="851" w:right="851"/>
        <w:jc w:val="both"/>
        <w:rPr>
          <w:rFonts w:ascii="Palatino Linotype" w:eastAsia="Calibri" w:hAnsi="Palatino Linotype" w:cs="Times New Roman"/>
          <w:i/>
        </w:rPr>
      </w:pPr>
    </w:p>
    <w:p w14:paraId="06DCDFC4"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42 Valor del bien a la fecha del alta </w:t>
      </w:r>
    </w:p>
    <w:p w14:paraId="628107D1" w14:textId="77777777" w:rsidR="00B66CE7" w:rsidRPr="00697170" w:rsidRDefault="00B66CE7" w:rsidP="00B66CE7">
      <w:pPr>
        <w:ind w:left="851" w:right="851"/>
        <w:jc w:val="both"/>
        <w:rPr>
          <w:rFonts w:ascii="Palatino Linotype" w:eastAsia="Calibri" w:hAnsi="Palatino Linotype" w:cs="Times New Roman"/>
          <w:i/>
        </w:rPr>
      </w:pPr>
    </w:p>
    <w:p w14:paraId="0B15BDD0" w14:textId="77777777" w:rsidR="00B66CE7" w:rsidRPr="00697170" w:rsidRDefault="00B66CE7" w:rsidP="00B66CE7">
      <w:pPr>
        <w:ind w:left="851" w:right="851"/>
        <w:jc w:val="both"/>
        <w:rPr>
          <w:rFonts w:ascii="Palatino Linotype" w:eastAsia="Calibri" w:hAnsi="Palatino Linotype" w:cs="Times New Roman"/>
          <w:b/>
          <w:bCs/>
          <w:i/>
          <w:u w:val="single"/>
        </w:rPr>
      </w:pPr>
      <w:r w:rsidRPr="00697170">
        <w:rPr>
          <w:rFonts w:ascii="Palatino Linotype" w:eastAsia="Calibri" w:hAnsi="Palatino Linotype" w:cs="Times New Roman"/>
          <w:b/>
          <w:bCs/>
          <w:i/>
          <w:u w:val="single"/>
        </w:rPr>
        <w:t xml:space="preserve">Inventario semestral de bajas practicadas a los bienes inmuebles especificando: </w:t>
      </w:r>
    </w:p>
    <w:p w14:paraId="5C1F82B8" w14:textId="77777777" w:rsidR="00B66CE7" w:rsidRPr="00697170" w:rsidRDefault="00B66CE7" w:rsidP="00B66CE7">
      <w:pPr>
        <w:ind w:left="851" w:right="851"/>
        <w:jc w:val="both"/>
        <w:rPr>
          <w:rFonts w:ascii="Palatino Linotype" w:eastAsia="Calibri" w:hAnsi="Palatino Linotype" w:cs="Times New Roman"/>
          <w:i/>
        </w:rPr>
      </w:pPr>
    </w:p>
    <w:p w14:paraId="3FE6A27D"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43 Ejercicio </w:t>
      </w:r>
    </w:p>
    <w:p w14:paraId="0DF4607E" w14:textId="77777777" w:rsidR="00B66CE7" w:rsidRPr="00697170" w:rsidRDefault="00B66CE7" w:rsidP="00B66CE7">
      <w:pPr>
        <w:ind w:left="851" w:right="851"/>
        <w:jc w:val="both"/>
        <w:rPr>
          <w:rFonts w:ascii="Palatino Linotype" w:eastAsia="Calibri" w:hAnsi="Palatino Linotype" w:cs="Times New Roman"/>
          <w:i/>
        </w:rPr>
      </w:pPr>
    </w:p>
    <w:p w14:paraId="73267565"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44 Periodo que se informa (fecha de inicio y fecha de término con el formato día/mes/año) </w:t>
      </w:r>
    </w:p>
    <w:p w14:paraId="2572A9AA" w14:textId="77777777" w:rsidR="00B66CE7" w:rsidRPr="00697170" w:rsidRDefault="00B66CE7" w:rsidP="00B66CE7">
      <w:pPr>
        <w:ind w:left="851" w:right="851"/>
        <w:jc w:val="both"/>
        <w:rPr>
          <w:rFonts w:ascii="Palatino Linotype" w:eastAsia="Calibri" w:hAnsi="Palatino Linotype" w:cs="Times New Roman"/>
          <w:i/>
        </w:rPr>
      </w:pPr>
    </w:p>
    <w:p w14:paraId="3AE3AFE8"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45 Descripción del bien </w:t>
      </w:r>
    </w:p>
    <w:p w14:paraId="4BE02641" w14:textId="77777777" w:rsidR="00B66CE7" w:rsidRPr="00697170" w:rsidRDefault="00B66CE7" w:rsidP="00B66CE7">
      <w:pPr>
        <w:ind w:left="851" w:right="851"/>
        <w:jc w:val="both"/>
        <w:rPr>
          <w:rFonts w:ascii="Palatino Linotype" w:eastAsia="Calibri" w:hAnsi="Palatino Linotype" w:cs="Times New Roman"/>
          <w:i/>
        </w:rPr>
      </w:pPr>
    </w:p>
    <w:p w14:paraId="712876AF"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46 Causa de baja </w:t>
      </w:r>
    </w:p>
    <w:p w14:paraId="385E0711" w14:textId="77777777" w:rsidR="00B66CE7" w:rsidRPr="00697170" w:rsidRDefault="00B66CE7" w:rsidP="00B66CE7">
      <w:pPr>
        <w:ind w:left="851" w:right="851"/>
        <w:jc w:val="both"/>
        <w:rPr>
          <w:rFonts w:ascii="Palatino Linotype" w:eastAsia="Calibri" w:hAnsi="Palatino Linotype" w:cs="Times New Roman"/>
          <w:i/>
        </w:rPr>
      </w:pPr>
    </w:p>
    <w:p w14:paraId="0A41FBCF"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47 Fecha de baja con el formato día/mes/año </w:t>
      </w:r>
    </w:p>
    <w:p w14:paraId="2065E581" w14:textId="77777777" w:rsidR="00B66CE7" w:rsidRPr="00697170" w:rsidRDefault="00B66CE7" w:rsidP="00B66CE7">
      <w:pPr>
        <w:ind w:left="851" w:right="851"/>
        <w:jc w:val="both"/>
        <w:rPr>
          <w:rFonts w:ascii="Palatino Linotype" w:eastAsia="Calibri" w:hAnsi="Palatino Linotype" w:cs="Times New Roman"/>
          <w:i/>
        </w:rPr>
      </w:pPr>
    </w:p>
    <w:p w14:paraId="00224D46"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48 Valor del inmueble a la fecha de la baja </w:t>
      </w:r>
    </w:p>
    <w:p w14:paraId="3EFB2DE1" w14:textId="77777777" w:rsidR="00B66CE7" w:rsidRPr="00697170" w:rsidRDefault="00B66CE7" w:rsidP="00B66CE7">
      <w:pPr>
        <w:ind w:left="851" w:right="851"/>
        <w:jc w:val="both"/>
        <w:rPr>
          <w:rFonts w:ascii="Palatino Linotype" w:eastAsia="Calibri" w:hAnsi="Palatino Linotype" w:cs="Times New Roman"/>
          <w:i/>
        </w:rPr>
      </w:pPr>
    </w:p>
    <w:p w14:paraId="451BD41A" w14:textId="77777777" w:rsidR="00B66CE7" w:rsidRPr="00697170" w:rsidRDefault="00B66CE7" w:rsidP="00B66CE7">
      <w:pPr>
        <w:ind w:left="851" w:right="851"/>
        <w:jc w:val="both"/>
        <w:rPr>
          <w:rFonts w:ascii="Palatino Linotype" w:eastAsia="Calibri" w:hAnsi="Palatino Linotype" w:cs="Times New Roman"/>
          <w:b/>
          <w:bCs/>
          <w:i/>
          <w:u w:val="single"/>
        </w:rPr>
      </w:pPr>
      <w:r w:rsidRPr="00697170">
        <w:rPr>
          <w:rFonts w:ascii="Palatino Linotype" w:eastAsia="Calibri" w:hAnsi="Palatino Linotype" w:cs="Times New Roman"/>
          <w:b/>
          <w:bCs/>
          <w:i/>
          <w:u w:val="single"/>
        </w:rPr>
        <w:t xml:space="preserve">La información respecto de los bienes muebles e inmuebles donados es la siguiente: </w:t>
      </w:r>
    </w:p>
    <w:p w14:paraId="57A4B69F" w14:textId="77777777" w:rsidR="00B66CE7" w:rsidRPr="00697170" w:rsidRDefault="00B66CE7" w:rsidP="00B66CE7">
      <w:pPr>
        <w:ind w:left="851" w:right="851"/>
        <w:jc w:val="both"/>
        <w:rPr>
          <w:rFonts w:ascii="Palatino Linotype" w:eastAsia="Calibri" w:hAnsi="Palatino Linotype" w:cs="Times New Roman"/>
          <w:i/>
        </w:rPr>
      </w:pPr>
    </w:p>
    <w:p w14:paraId="64FECF0C"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49 Ejercicio </w:t>
      </w:r>
    </w:p>
    <w:p w14:paraId="1E59DEAC" w14:textId="77777777" w:rsidR="00B66CE7" w:rsidRPr="00697170" w:rsidRDefault="00B66CE7" w:rsidP="00B66CE7">
      <w:pPr>
        <w:ind w:left="851" w:right="851"/>
        <w:jc w:val="both"/>
        <w:rPr>
          <w:rFonts w:ascii="Palatino Linotype" w:eastAsia="Calibri" w:hAnsi="Palatino Linotype" w:cs="Times New Roman"/>
          <w:i/>
        </w:rPr>
      </w:pPr>
    </w:p>
    <w:p w14:paraId="78C021C1"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50 Periodo que se informa (fecha de inicio y fecha de término con el formato día/mes/año) </w:t>
      </w:r>
    </w:p>
    <w:p w14:paraId="7DDBEEEF" w14:textId="77777777" w:rsidR="00B66CE7" w:rsidRPr="00697170" w:rsidRDefault="00B66CE7" w:rsidP="00B66CE7">
      <w:pPr>
        <w:ind w:left="851" w:right="851"/>
        <w:jc w:val="both"/>
        <w:rPr>
          <w:rFonts w:ascii="Palatino Linotype" w:eastAsia="Calibri" w:hAnsi="Palatino Linotype" w:cs="Times New Roman"/>
          <w:i/>
        </w:rPr>
      </w:pPr>
    </w:p>
    <w:p w14:paraId="796A308B"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51 Descripción del bien </w:t>
      </w:r>
    </w:p>
    <w:p w14:paraId="79D55016" w14:textId="77777777" w:rsidR="00B66CE7" w:rsidRPr="00697170" w:rsidRDefault="00B66CE7" w:rsidP="00B66CE7">
      <w:pPr>
        <w:ind w:left="851" w:right="851"/>
        <w:jc w:val="both"/>
        <w:rPr>
          <w:rFonts w:ascii="Palatino Linotype" w:eastAsia="Calibri" w:hAnsi="Palatino Linotype" w:cs="Times New Roman"/>
          <w:i/>
        </w:rPr>
      </w:pPr>
    </w:p>
    <w:p w14:paraId="076E451F"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52 Actividades a las que se destinará el bien donado (catálogo): Educativas/Culturales/De salud/De investigación científica/De aplicación de nuevas tecnologías/De beneficencia/Prestación de servicios sociales/Ayuda humanitaria/Otra </w:t>
      </w:r>
    </w:p>
    <w:p w14:paraId="2C5E63BF" w14:textId="77777777" w:rsidR="00B66CE7" w:rsidRPr="00697170" w:rsidRDefault="00B66CE7" w:rsidP="00B66CE7">
      <w:pPr>
        <w:ind w:left="851" w:right="851"/>
        <w:jc w:val="both"/>
        <w:rPr>
          <w:rFonts w:ascii="Palatino Linotype" w:eastAsia="Calibri" w:hAnsi="Palatino Linotype" w:cs="Times New Roman"/>
          <w:i/>
        </w:rPr>
      </w:pPr>
    </w:p>
    <w:p w14:paraId="3C2553AE"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lastRenderedPageBreak/>
        <w:t xml:space="preserve">Criterio 53 Personería jurídica del donatario (catálogo): Persona física/Persona moral </w:t>
      </w:r>
    </w:p>
    <w:p w14:paraId="7F080403" w14:textId="77777777" w:rsidR="00B66CE7" w:rsidRPr="00697170" w:rsidRDefault="00B66CE7" w:rsidP="00B66CE7">
      <w:pPr>
        <w:ind w:left="851" w:right="851"/>
        <w:jc w:val="both"/>
        <w:rPr>
          <w:rFonts w:ascii="Palatino Linotype" w:eastAsia="Calibri" w:hAnsi="Palatino Linotype" w:cs="Times New Roman"/>
          <w:i/>
        </w:rPr>
      </w:pPr>
    </w:p>
    <w:p w14:paraId="718EE411"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54 En caso de persona física: Nombre (nombre[s], primer apellido, segundo apellido) </w:t>
      </w:r>
    </w:p>
    <w:p w14:paraId="11D05F7B" w14:textId="77777777" w:rsidR="00B66CE7" w:rsidRPr="00697170" w:rsidRDefault="00B66CE7" w:rsidP="00B66CE7">
      <w:pPr>
        <w:ind w:left="851" w:right="851"/>
        <w:jc w:val="both"/>
        <w:rPr>
          <w:rFonts w:ascii="Palatino Linotype" w:eastAsia="Calibri" w:hAnsi="Palatino Linotype" w:cs="Times New Roman"/>
          <w:i/>
        </w:rPr>
      </w:pPr>
    </w:p>
    <w:p w14:paraId="01EBBC8B"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55 Tipo de persona moral, en su caso. Por ejemplo: Entidad federativa, Municipio, Institución de salud, Beneficencia o asistencia, Educativa, Cultural, Prestadores de servicios sociales por encargo, Beneficiarios de algún servicio asistencial público, Comunidad agraria y ejido, Entidad que lo necesite para sus fines, Gobierno o institución extranjera, Organización internacional </w:t>
      </w:r>
    </w:p>
    <w:p w14:paraId="4BACBF37" w14:textId="77777777" w:rsidR="00B66CE7" w:rsidRPr="00697170" w:rsidRDefault="00B66CE7" w:rsidP="00B66CE7">
      <w:pPr>
        <w:ind w:left="851" w:right="851"/>
        <w:jc w:val="both"/>
        <w:rPr>
          <w:rFonts w:ascii="Palatino Linotype" w:eastAsia="Calibri" w:hAnsi="Palatino Linotype" w:cs="Times New Roman"/>
          <w:i/>
        </w:rPr>
      </w:pPr>
    </w:p>
    <w:p w14:paraId="3D308CF4"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56 Denominación o razón social del donatario113 </w:t>
      </w:r>
    </w:p>
    <w:p w14:paraId="0A9C53AC" w14:textId="77777777" w:rsidR="00B66CE7" w:rsidRPr="00697170" w:rsidRDefault="00B66CE7" w:rsidP="00B66CE7">
      <w:pPr>
        <w:ind w:left="851" w:right="851"/>
        <w:jc w:val="both"/>
        <w:rPr>
          <w:rFonts w:ascii="Palatino Linotype" w:eastAsia="Calibri" w:hAnsi="Palatino Linotype" w:cs="Times New Roman"/>
          <w:i/>
        </w:rPr>
      </w:pPr>
    </w:p>
    <w:p w14:paraId="2A429799"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57 Valor de adquisición o valor de inventario del bien donado </w:t>
      </w:r>
    </w:p>
    <w:p w14:paraId="57BE7F34" w14:textId="77777777" w:rsidR="00B66CE7" w:rsidRPr="00697170" w:rsidRDefault="00B66CE7" w:rsidP="00B66CE7">
      <w:pPr>
        <w:ind w:left="851" w:right="851"/>
        <w:jc w:val="both"/>
        <w:rPr>
          <w:rFonts w:ascii="Palatino Linotype" w:eastAsia="Calibri" w:hAnsi="Palatino Linotype" w:cs="Times New Roman"/>
          <w:i/>
        </w:rPr>
      </w:pPr>
    </w:p>
    <w:p w14:paraId="4222D7B1"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Criterio 58 Fecha de firma del contrato de donación, signado por la autoridad pública o representante legal de la institución donante, así como por el donatario114. En su caso, la fecha de publicación del Acuerdo presidencial en el DOF con el formato día/mes/año</w:t>
      </w:r>
    </w:p>
    <w:p w14:paraId="4DB9670F" w14:textId="77777777" w:rsidR="00B66CE7" w:rsidRPr="00697170" w:rsidRDefault="00B66CE7" w:rsidP="00B66CE7">
      <w:pPr>
        <w:ind w:left="851" w:right="851"/>
        <w:jc w:val="both"/>
        <w:rPr>
          <w:rFonts w:ascii="Palatino Linotype" w:eastAsia="Calibri" w:hAnsi="Palatino Linotype" w:cs="Times New Roman"/>
          <w:i/>
        </w:rPr>
      </w:pPr>
    </w:p>
    <w:p w14:paraId="5CB38868"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 Criterio 59 Hipervínculo al Acuerdo presidencial respectivo, en el caso de donaciones a gobiernos e instituciones extranjeros o a organizaciones internacionales para ayuda humanitaria o investigación científica</w:t>
      </w:r>
    </w:p>
    <w:p w14:paraId="6E84F570" w14:textId="77777777" w:rsidR="00B66CE7" w:rsidRPr="00697170" w:rsidRDefault="00B66CE7" w:rsidP="00B66CE7">
      <w:pPr>
        <w:ind w:left="1985" w:right="851" w:hanging="1134"/>
        <w:jc w:val="both"/>
        <w:rPr>
          <w:rFonts w:ascii="Palatino Linotype" w:eastAsia="Calibri" w:hAnsi="Palatino Linotype" w:cs="Times New Roman"/>
          <w:i/>
        </w:rPr>
      </w:pPr>
    </w:p>
    <w:p w14:paraId="7DC8CCF5"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b/>
          <w:bCs/>
          <w:i/>
          <w:u w:val="single"/>
        </w:rPr>
        <w:t>Criterios adjetivos de actualización</w:t>
      </w:r>
      <w:r w:rsidRPr="00697170">
        <w:rPr>
          <w:rFonts w:ascii="Palatino Linotype" w:eastAsia="Calibri" w:hAnsi="Palatino Linotype" w:cs="Times New Roman"/>
          <w:i/>
        </w:rPr>
        <w:t xml:space="preserve">  </w:t>
      </w:r>
    </w:p>
    <w:p w14:paraId="1B6BDC33" w14:textId="77777777" w:rsidR="00B66CE7" w:rsidRPr="00697170" w:rsidRDefault="00B66CE7" w:rsidP="00B66CE7">
      <w:pPr>
        <w:ind w:left="851" w:right="851"/>
        <w:jc w:val="both"/>
        <w:rPr>
          <w:rFonts w:ascii="Palatino Linotype" w:eastAsia="Calibri" w:hAnsi="Palatino Linotype" w:cs="Times New Roman"/>
          <w:i/>
        </w:rPr>
      </w:pPr>
    </w:p>
    <w:p w14:paraId="13EB5A7C"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60 Periodo de actualización de la información: semestral; en su caso, 30 días hábiles después de adquirir o dar de baja algún bien </w:t>
      </w:r>
    </w:p>
    <w:p w14:paraId="46FB053D" w14:textId="77777777" w:rsidR="00B66CE7" w:rsidRPr="00697170" w:rsidRDefault="00B66CE7" w:rsidP="00B66CE7">
      <w:pPr>
        <w:ind w:left="851" w:right="851"/>
        <w:jc w:val="both"/>
        <w:rPr>
          <w:rFonts w:ascii="Palatino Linotype" w:eastAsia="Calibri" w:hAnsi="Palatino Linotype" w:cs="Times New Roman"/>
          <w:i/>
        </w:rPr>
      </w:pPr>
    </w:p>
    <w:p w14:paraId="2704C5DC"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61 La información deberá estar actualizada al periodo que corresponde de acuerdo con la Tabla de actualización y conservación de la información </w:t>
      </w:r>
    </w:p>
    <w:p w14:paraId="7D275472" w14:textId="77777777" w:rsidR="00B66CE7" w:rsidRPr="00697170" w:rsidRDefault="00B66CE7" w:rsidP="00B66CE7">
      <w:pPr>
        <w:ind w:left="851" w:right="851"/>
        <w:jc w:val="both"/>
        <w:rPr>
          <w:rFonts w:ascii="Palatino Linotype" w:eastAsia="Calibri" w:hAnsi="Palatino Linotype" w:cs="Times New Roman"/>
          <w:i/>
        </w:rPr>
      </w:pPr>
    </w:p>
    <w:p w14:paraId="68DF9D36"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lastRenderedPageBreak/>
        <w:t xml:space="preserve">Criterio 62 Conservar en el sitio de Internet y a través de la Plataforma Nacional la información de acuerdo con la Tabla de actualización y conservación de la información Criterios adjetivos de confiabilidad </w:t>
      </w:r>
    </w:p>
    <w:p w14:paraId="659F0DF0" w14:textId="77777777" w:rsidR="00B66CE7" w:rsidRPr="00697170" w:rsidRDefault="00B66CE7" w:rsidP="00B66CE7">
      <w:pPr>
        <w:ind w:left="851" w:right="851"/>
        <w:jc w:val="both"/>
        <w:rPr>
          <w:rFonts w:ascii="Palatino Linotype" w:eastAsia="Calibri" w:hAnsi="Palatino Linotype" w:cs="Times New Roman"/>
          <w:i/>
        </w:rPr>
      </w:pPr>
    </w:p>
    <w:p w14:paraId="21E68A8E"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63 Área(s) responsable(s) que genera(n), posee(n), publica(n) y/o actualiza(n) la información </w:t>
      </w:r>
    </w:p>
    <w:p w14:paraId="245E1F50" w14:textId="77777777" w:rsidR="00B66CE7" w:rsidRPr="00697170" w:rsidRDefault="00B66CE7" w:rsidP="00B66CE7">
      <w:pPr>
        <w:ind w:left="851" w:right="851"/>
        <w:jc w:val="both"/>
        <w:rPr>
          <w:rFonts w:ascii="Palatino Linotype" w:eastAsia="Calibri" w:hAnsi="Palatino Linotype" w:cs="Times New Roman"/>
          <w:i/>
        </w:rPr>
      </w:pPr>
    </w:p>
    <w:p w14:paraId="49E3FC9B"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64 Fecha de actualización de la información publicada con el formato día/mes/año </w:t>
      </w:r>
    </w:p>
    <w:p w14:paraId="4A5E9728" w14:textId="77777777" w:rsidR="00B66CE7" w:rsidRPr="00697170" w:rsidRDefault="00B66CE7" w:rsidP="00B66CE7">
      <w:pPr>
        <w:ind w:left="851" w:right="851"/>
        <w:jc w:val="both"/>
        <w:rPr>
          <w:rFonts w:ascii="Palatino Linotype" w:eastAsia="Calibri" w:hAnsi="Palatino Linotype" w:cs="Times New Roman"/>
          <w:i/>
        </w:rPr>
      </w:pPr>
    </w:p>
    <w:p w14:paraId="29D9B2FF"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65 Fecha de validación de la información publicada con el formato día/mes/año </w:t>
      </w:r>
    </w:p>
    <w:p w14:paraId="1FB4B5D5" w14:textId="77777777" w:rsidR="00B66CE7" w:rsidRPr="00697170" w:rsidRDefault="00B66CE7" w:rsidP="00B66CE7">
      <w:pPr>
        <w:ind w:left="851" w:right="851"/>
        <w:jc w:val="both"/>
        <w:rPr>
          <w:rFonts w:ascii="Palatino Linotype" w:eastAsia="Calibri" w:hAnsi="Palatino Linotype" w:cs="Times New Roman"/>
          <w:i/>
        </w:rPr>
      </w:pPr>
    </w:p>
    <w:p w14:paraId="72B07402"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66 Nota. Este criterio se cumple en caso de que sea necesario que el sujeto obligado incluya alguna aclaración relativa a la información publicada y/o explicación por la falta de información Criterios adjetivos de formato </w:t>
      </w:r>
    </w:p>
    <w:p w14:paraId="765F6370" w14:textId="77777777" w:rsidR="00B66CE7" w:rsidRPr="00697170" w:rsidRDefault="00B66CE7" w:rsidP="00B66CE7">
      <w:pPr>
        <w:ind w:left="851" w:right="851"/>
        <w:jc w:val="both"/>
        <w:rPr>
          <w:rFonts w:ascii="Palatino Linotype" w:eastAsia="Calibri" w:hAnsi="Palatino Linotype" w:cs="Times New Roman"/>
          <w:i/>
        </w:rPr>
      </w:pPr>
    </w:p>
    <w:p w14:paraId="4476C37D"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 xml:space="preserve">Criterio 67 La información publicada se organiza mediante los formatos 34a al 34g, en los que se incluyen todos los campos especificados en los criterios sustantivos de contenido </w:t>
      </w:r>
    </w:p>
    <w:p w14:paraId="1B36595F" w14:textId="77777777" w:rsidR="00B66CE7" w:rsidRPr="00697170" w:rsidRDefault="00B66CE7" w:rsidP="00B66CE7">
      <w:pPr>
        <w:ind w:left="851" w:right="851"/>
        <w:jc w:val="both"/>
        <w:rPr>
          <w:rFonts w:ascii="Palatino Linotype" w:eastAsia="Calibri" w:hAnsi="Palatino Linotype" w:cs="Times New Roman"/>
          <w:i/>
        </w:rPr>
      </w:pPr>
    </w:p>
    <w:p w14:paraId="0F0F4584" w14:textId="77777777" w:rsidR="00B66CE7" w:rsidRPr="00697170" w:rsidRDefault="00B66CE7" w:rsidP="00B66CE7">
      <w:pPr>
        <w:ind w:left="851" w:right="851"/>
        <w:jc w:val="both"/>
        <w:rPr>
          <w:rFonts w:ascii="Palatino Linotype" w:eastAsia="Calibri" w:hAnsi="Palatino Linotype" w:cs="Times New Roman"/>
          <w:i/>
        </w:rPr>
      </w:pPr>
      <w:r w:rsidRPr="00697170">
        <w:rPr>
          <w:rFonts w:ascii="Palatino Linotype" w:eastAsia="Calibri" w:hAnsi="Palatino Linotype" w:cs="Times New Roman"/>
          <w:i/>
        </w:rPr>
        <w:t>Criterio 68 El soporte de la información permite su reutilización</w:t>
      </w:r>
    </w:p>
    <w:p w14:paraId="5C7065C0" w14:textId="77777777" w:rsidR="00B66CE7" w:rsidRPr="00697170" w:rsidRDefault="00B66CE7" w:rsidP="00B66CE7">
      <w:pPr>
        <w:ind w:left="1985" w:right="900" w:hanging="1134"/>
        <w:jc w:val="both"/>
        <w:rPr>
          <w:rFonts w:ascii="Palatino Linotype" w:eastAsia="Calibri" w:hAnsi="Palatino Linotype" w:cs="Times New Roman"/>
          <w:i/>
        </w:rPr>
      </w:pPr>
    </w:p>
    <w:p w14:paraId="1E2AD38B" w14:textId="2E5A4006" w:rsidR="00B66CE7" w:rsidRPr="00697170" w:rsidRDefault="00B66CE7" w:rsidP="004D01FA">
      <w:pPr>
        <w:numPr>
          <w:ilvl w:val="0"/>
          <w:numId w:val="1"/>
        </w:numPr>
        <w:spacing w:line="360" w:lineRule="auto"/>
        <w:ind w:left="0" w:firstLine="0"/>
        <w:contextualSpacing/>
        <w:jc w:val="both"/>
        <w:rPr>
          <w:rFonts w:ascii="Palatino Linotype" w:hAnsi="Palatino Linotype"/>
        </w:rPr>
      </w:pPr>
      <w:r w:rsidRPr="00697170">
        <w:rPr>
          <w:rFonts w:ascii="Palatino Linotype" w:eastAsia="Calibri" w:hAnsi="Palatino Linotype" w:cs="Arial"/>
        </w:rPr>
        <w:t xml:space="preserve">De los preceptos referidos con anterioridad, podemos advertir de la existencia de documentos específicos que pudieran colmar las pretensiones del Recurrente, ya que los </w:t>
      </w:r>
      <w:r w:rsidRPr="00697170">
        <w:rPr>
          <w:rFonts w:ascii="Palatino Linotype" w:eastAsia="Calibri" w:hAnsi="Palatino Linotype" w:cs="Times New Roman"/>
          <w:bCs/>
          <w:lang w:eastAsia="es-MX"/>
        </w:rPr>
        <w:t>sujetos</w:t>
      </w:r>
      <w:r w:rsidRPr="00697170">
        <w:rPr>
          <w:rFonts w:ascii="Palatino Linotype" w:eastAsia="Calibri" w:hAnsi="Palatino Linotype" w:cs="Arial"/>
        </w:rPr>
        <w:t xml:space="preserve"> obligados deberán publicar el inventario de bienes inmuebles que utilicen, tengan a su cargo y/o les hayan sido asignados para el ejercicio de sus funciones, en dicho inventario se deberá incluir un inventario de altas, bajas y donaciones de bienes muebles e inmuebles, en caso de haberlas, en virtud de ello, se colige  que el Sujeto Obligado, cuenta con la información a la cual pretende acceder el particular, por lo que deberá poner a disposición del solicitante, en versión pública </w:t>
      </w:r>
      <w:r w:rsidRPr="00697170">
        <w:rPr>
          <w:rFonts w:ascii="Palatino Linotype" w:eastAsia="Calibri" w:hAnsi="Palatino Linotype" w:cs="Arial"/>
        </w:rPr>
        <w:lastRenderedPageBreak/>
        <w:t>de ser pro</w:t>
      </w:r>
      <w:r w:rsidR="004D01FA" w:rsidRPr="00697170">
        <w:rPr>
          <w:rFonts w:ascii="Palatino Linotype" w:eastAsia="Calibri" w:hAnsi="Palatino Linotype" w:cs="Arial"/>
        </w:rPr>
        <w:t xml:space="preserve">cedente. </w:t>
      </w:r>
      <w:r w:rsidRPr="00697170">
        <w:rPr>
          <w:rFonts w:ascii="Palatino Linotype" w:eastAsia="Calibri" w:hAnsi="Palatino Linotype" w:cs="Arial"/>
        </w:rPr>
        <w:t xml:space="preserve">En ese tenor, resulta dable ordenar al Sujeto Obligado, es su caso en versión pública, el </w:t>
      </w:r>
      <w:r w:rsidR="004D01FA" w:rsidRPr="00697170">
        <w:rPr>
          <w:rFonts w:ascii="Palatino Linotype" w:eastAsia="Calibri" w:hAnsi="Palatino Linotype" w:cs="Arial"/>
        </w:rPr>
        <w:t xml:space="preserve">inventario </w:t>
      </w:r>
      <w:r w:rsidRPr="00697170">
        <w:rPr>
          <w:rFonts w:ascii="Palatino Linotype" w:hAnsi="Palatino Linotype"/>
        </w:rPr>
        <w:t>de bienes inmuebles de dominio público, propiedad del Ayuntamiento de Rayón, del que se pueda advertir la inscripción del predio de referencia.</w:t>
      </w:r>
      <w:r w:rsidR="0058073C" w:rsidRPr="00697170">
        <w:rPr>
          <w:rFonts w:ascii="Palatino Linotype" w:hAnsi="Palatino Linotype"/>
        </w:rPr>
        <w:t xml:space="preserve"> Lo anterior para el caso de que se actualice dicho supuesto; contexto que se desconoce por lo que existe la posibilidad de que no esté inscrito por pertenecer a un particular, </w:t>
      </w:r>
      <w:r w:rsidR="0058073C" w:rsidRPr="00697170">
        <w:rPr>
          <w:rFonts w:ascii="Palatino Linotype" w:eastAsia="Calibri" w:hAnsi="Palatino Linotype" w:cs="Arial"/>
        </w:rPr>
        <w:t>por</w:t>
      </w:r>
      <w:r w:rsidR="0058073C" w:rsidRPr="00697170">
        <w:rPr>
          <w:rFonts w:ascii="Palatino Linotype" w:hAnsi="Palatino Linotype"/>
        </w:rPr>
        <w:t xml:space="preserve"> lo que en relatadas circunstancias para el caso de que no se encuentre inscrito bastara con que lo haga del conocimiento del particular en términos del artículo 19 párrafo segundo de la ley de la materia.</w:t>
      </w:r>
    </w:p>
    <w:p w14:paraId="056E1962" w14:textId="77777777" w:rsidR="00B66CE7" w:rsidRPr="00697170" w:rsidRDefault="00B66CE7" w:rsidP="004D01FA">
      <w:pPr>
        <w:spacing w:line="360" w:lineRule="auto"/>
        <w:ind w:right="49"/>
        <w:contextualSpacing/>
        <w:jc w:val="both"/>
        <w:rPr>
          <w:rFonts w:ascii="Palatino Linotype" w:hAnsi="Palatino Linotype"/>
        </w:rPr>
      </w:pPr>
    </w:p>
    <w:p w14:paraId="3CA49E81" w14:textId="77777777" w:rsidR="004D01FA" w:rsidRPr="00697170" w:rsidRDefault="004D01FA" w:rsidP="004D01FA">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Con la determinación anterior quedará por colmado el derecho de acceso a la información del ahora </w:t>
      </w:r>
      <w:r w:rsidRPr="00697170">
        <w:rPr>
          <w:rFonts w:ascii="Palatino Linotype" w:eastAsia="Palatino Linotype" w:hAnsi="Palatino Linotype" w:cs="Palatino Linotype"/>
        </w:rPr>
        <w:t>Recurrente</w:t>
      </w:r>
      <w:r w:rsidRPr="00697170">
        <w:rPr>
          <w:rFonts w:ascii="Palatino Linotype" w:eastAsia="Palatino Linotype" w:hAnsi="Palatino Linotype" w:cs="Palatino Linotype"/>
          <w:color w:val="000000"/>
        </w:rPr>
        <w:t xml:space="preserve">; toda vez que el Derecho que tutela este Órgano Garante corresponde a la  </w:t>
      </w:r>
      <w:r w:rsidRPr="00697170">
        <w:rPr>
          <w:rFonts w:ascii="Palatino Linotype" w:eastAsia="Palatino Linotype" w:hAnsi="Palatino Linotype" w:cs="Palatino Linotype"/>
          <w:i/>
          <w:color w:val="000000"/>
        </w:rPr>
        <w:t>igualdad de oportunidades para recibir, buscar e impartir información</w:t>
      </w:r>
      <w:r w:rsidRPr="00697170">
        <w:rPr>
          <w:rFonts w:ascii="Palatino Linotype" w:eastAsia="Palatino Linotype" w:hAnsi="Palatino Linotype" w:cs="Palatino Linotype"/>
          <w:i/>
          <w:color w:val="000000"/>
          <w:vertAlign w:val="superscript"/>
        </w:rPr>
        <w:footnoteReference w:id="1"/>
      </w:r>
      <w:r w:rsidRPr="00697170">
        <w:rPr>
          <w:rFonts w:ascii="Palatino Linotype" w:eastAsia="Palatino Linotype" w:hAnsi="Palatino Linotype" w:cs="Palatino Linotype"/>
          <w:i/>
          <w:color w:val="000000"/>
        </w:rPr>
        <w:t xml:space="preserve"> en </w:t>
      </w:r>
      <w:r w:rsidRPr="00697170">
        <w:rPr>
          <w:rFonts w:ascii="Palatino Linotype" w:eastAsia="Calibri" w:hAnsi="Palatino Linotype" w:cs="Tahoma"/>
        </w:rPr>
        <w:t>posesión</w:t>
      </w:r>
      <w:r w:rsidRPr="00697170">
        <w:rPr>
          <w:rFonts w:ascii="Palatino Linotype" w:eastAsia="Palatino Linotype" w:hAnsi="Palatino Linotype" w:cs="Palatino Linotype"/>
          <w:i/>
          <w:color w:val="000000"/>
        </w:rPr>
        <w:t xml:space="preserve"> de cualquier autoridad, entidad, órgano y organismo de los </w:t>
      </w:r>
      <w:r w:rsidRPr="00697170">
        <w:rPr>
          <w:rFonts w:ascii="Palatino Linotype" w:eastAsia="Palatino Linotype" w:hAnsi="Palatino Linotype" w:cs="Palatino Linotype"/>
        </w:rPr>
        <w:t>poderes</w:t>
      </w:r>
      <w:r w:rsidRPr="00697170">
        <w:rPr>
          <w:rFonts w:ascii="Palatino Linotype" w:eastAsia="Palatino Linotype" w:hAnsi="Palatino Linotype" w:cs="Palatino Linotype"/>
          <w:i/>
          <w:color w:val="000000"/>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97170">
        <w:rPr>
          <w:rFonts w:ascii="Palatino Linotype" w:eastAsia="Palatino Linotype" w:hAnsi="Palatino Linotype" w:cs="Palatino Linotype"/>
          <w:color w:val="000000"/>
          <w:vertAlign w:val="superscript"/>
        </w:rPr>
        <w:footnoteReference w:id="2"/>
      </w:r>
      <w:r w:rsidRPr="00697170">
        <w:rPr>
          <w:rFonts w:ascii="Palatino Linotype" w:eastAsia="Palatino Linotype" w:hAnsi="Palatino Linotype" w:cs="Palatino Linotype"/>
          <w:i/>
          <w:color w:val="000000"/>
        </w:rPr>
        <w:t xml:space="preserve"> </w:t>
      </w:r>
      <w:r w:rsidRPr="00697170">
        <w:rPr>
          <w:rFonts w:ascii="Palatino Linotype" w:eastAsia="Palatino Linotype" w:hAnsi="Palatino Linotype" w:cs="Palatino Linotype"/>
          <w:color w:val="000000"/>
        </w:rPr>
        <w:t xml:space="preserve">que se constituye como una herramienta fundamental para </w:t>
      </w:r>
      <w:r w:rsidRPr="00697170">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697170">
        <w:rPr>
          <w:rFonts w:ascii="Palatino Linotype" w:eastAsia="Palatino Linotype" w:hAnsi="Palatino Linotype" w:cs="Palatino Linotype"/>
          <w:i/>
          <w:color w:val="000000"/>
          <w:vertAlign w:val="superscript"/>
        </w:rPr>
        <w:footnoteReference w:id="3"/>
      </w:r>
      <w:r w:rsidRPr="00697170">
        <w:rPr>
          <w:rFonts w:ascii="Palatino Linotype" w:eastAsia="Palatino Linotype" w:hAnsi="Palatino Linotype" w:cs="Palatino Linotype"/>
          <w:color w:val="000000"/>
        </w:rPr>
        <w:t>fomentando</w:t>
      </w:r>
      <w:r w:rsidRPr="00697170">
        <w:rPr>
          <w:rFonts w:ascii="Palatino Linotype" w:eastAsia="Palatino Linotype" w:hAnsi="Palatino Linotype" w:cs="Palatino Linotype"/>
          <w:i/>
          <w:color w:val="000000"/>
        </w:rPr>
        <w:t xml:space="preserve"> la transparencia de las actividades estatales y</w:t>
      </w:r>
      <w:r w:rsidRPr="00697170">
        <w:rPr>
          <w:rFonts w:ascii="Palatino Linotype" w:eastAsia="Palatino Linotype" w:hAnsi="Palatino Linotype" w:cs="Palatino Linotype"/>
          <w:color w:val="000000"/>
        </w:rPr>
        <w:t xml:space="preserve"> promoviendo</w:t>
      </w:r>
      <w:r w:rsidRPr="00697170">
        <w:rPr>
          <w:rFonts w:ascii="Palatino Linotype" w:eastAsia="Palatino Linotype" w:hAnsi="Palatino Linotype" w:cs="Palatino Linotype"/>
          <w:i/>
          <w:color w:val="000000"/>
        </w:rPr>
        <w:t xml:space="preserve"> la </w:t>
      </w:r>
      <w:r w:rsidRPr="00697170">
        <w:rPr>
          <w:rFonts w:ascii="Palatino Linotype" w:eastAsia="Palatino Linotype" w:hAnsi="Palatino Linotype" w:cs="Palatino Linotype"/>
          <w:i/>
          <w:color w:val="000000"/>
        </w:rPr>
        <w:lastRenderedPageBreak/>
        <w:t>responsabilidad de los funcionarios sobre su gestión pública</w:t>
      </w:r>
      <w:r w:rsidRPr="00697170">
        <w:rPr>
          <w:rFonts w:ascii="Palatino Linotype" w:eastAsia="Palatino Linotype" w:hAnsi="Palatino Linotype" w:cs="Palatino Linotype"/>
          <w:i/>
          <w:color w:val="000000"/>
          <w:vertAlign w:val="superscript"/>
        </w:rPr>
        <w:footnoteReference w:id="4"/>
      </w:r>
      <w:r w:rsidRPr="00697170">
        <w:rPr>
          <w:rFonts w:ascii="Palatino Linotype" w:eastAsia="Palatino Linotype" w:hAnsi="Palatino Linotype" w:cs="Palatino Linotype"/>
          <w:i/>
          <w:color w:val="000000"/>
        </w:rPr>
        <w:t xml:space="preserve"> </w:t>
      </w:r>
      <w:r w:rsidRPr="00697170">
        <w:rPr>
          <w:rFonts w:ascii="Palatino Linotype" w:eastAsia="Palatino Linotype" w:hAnsi="Palatino Linotype" w:cs="Palatino Linotype"/>
          <w:color w:val="000000"/>
        </w:rPr>
        <w:t>que permite</w:t>
      </w:r>
      <w:r w:rsidRPr="00697170">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697170">
        <w:rPr>
          <w:rFonts w:ascii="Palatino Linotype" w:eastAsia="Palatino Linotype" w:hAnsi="Palatino Linotype" w:cs="Palatino Linotype"/>
          <w:i/>
          <w:color w:val="000000"/>
          <w:vertAlign w:val="superscript"/>
        </w:rPr>
        <w:footnoteReference w:id="5"/>
      </w:r>
      <w:r w:rsidRPr="00697170">
        <w:rPr>
          <w:rFonts w:ascii="Palatino Linotype" w:eastAsia="Palatino Linotype" w:hAnsi="Palatino Linotype" w:cs="Palatino Linotype"/>
          <w:color w:val="000000"/>
        </w:rPr>
        <w:t xml:space="preserve"> ” </w:t>
      </w:r>
    </w:p>
    <w:p w14:paraId="12618F9C" w14:textId="77777777" w:rsidR="004D01FA" w:rsidRPr="00697170" w:rsidRDefault="004D01FA" w:rsidP="004D01FA">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43CF17DB" w14:textId="77777777" w:rsidR="004D01FA" w:rsidRPr="00697170" w:rsidRDefault="004D01FA" w:rsidP="004D01FA">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Para entender los alcances de la información pública se considera importante citar el criterio de interpretación </w:t>
      </w:r>
      <w:r w:rsidRPr="00697170">
        <w:rPr>
          <w:rFonts w:ascii="Palatino Linotype" w:eastAsia="Palatino Linotype" w:hAnsi="Palatino Linotype" w:cs="Palatino Linotype"/>
        </w:rPr>
        <w:t>en</w:t>
      </w:r>
      <w:r w:rsidRPr="00697170">
        <w:rPr>
          <w:rFonts w:ascii="Palatino Linotype" w:eastAsia="Palatino Linotype" w:hAnsi="Palatino Linotype" w:cs="Palatino Linotype"/>
          <w:color w:val="000000"/>
        </w:rPr>
        <w:t xml:space="preserve">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AD311A2" w14:textId="77777777" w:rsidR="004D01FA" w:rsidRPr="00697170" w:rsidRDefault="004D01FA" w:rsidP="004D01FA">
      <w:pPr>
        <w:ind w:left="425" w:right="476"/>
        <w:jc w:val="both"/>
        <w:rPr>
          <w:rFonts w:ascii="Palatino Linotype" w:eastAsia="Palatino Linotype" w:hAnsi="Palatino Linotype" w:cs="Palatino Linotype"/>
          <w:b/>
          <w:i/>
          <w:color w:val="000000"/>
        </w:rPr>
      </w:pPr>
      <w:r w:rsidRPr="00697170">
        <w:rPr>
          <w:rFonts w:ascii="Palatino Linotype" w:eastAsia="Palatino Linotype" w:hAnsi="Palatino Linotype" w:cs="Palatino Linotype"/>
          <w:b/>
          <w:i/>
          <w:color w:val="000000"/>
        </w:rPr>
        <w:t>“CRITERIO 0002-11</w:t>
      </w:r>
    </w:p>
    <w:p w14:paraId="0E587555" w14:textId="77777777" w:rsidR="004D01FA" w:rsidRPr="00697170" w:rsidRDefault="004D01FA" w:rsidP="004D01FA">
      <w:pPr>
        <w:ind w:left="425" w:right="476"/>
        <w:jc w:val="both"/>
        <w:rPr>
          <w:rFonts w:ascii="Palatino Linotype" w:eastAsia="Palatino Linotype" w:hAnsi="Palatino Linotype" w:cs="Palatino Linotype"/>
          <w:i/>
          <w:color w:val="000000"/>
        </w:rPr>
      </w:pPr>
      <w:r w:rsidRPr="00697170">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697170">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299EC8E" w14:textId="77777777" w:rsidR="004D01FA" w:rsidRPr="00697170" w:rsidRDefault="004D01FA" w:rsidP="004D01FA">
      <w:pPr>
        <w:ind w:left="425" w:right="476"/>
        <w:jc w:val="both"/>
        <w:rPr>
          <w:rFonts w:ascii="Palatino Linotype" w:eastAsia="Palatino Linotype" w:hAnsi="Palatino Linotype" w:cs="Palatino Linotype"/>
          <w:i/>
          <w:color w:val="000000"/>
        </w:rPr>
      </w:pPr>
      <w:r w:rsidRPr="00697170">
        <w:rPr>
          <w:rFonts w:ascii="Palatino Linotype" w:eastAsia="Palatino Linotype" w:hAnsi="Palatino Linotype" w:cs="Palatino Linotype"/>
          <w:i/>
          <w:color w:val="000000"/>
        </w:rPr>
        <w:t xml:space="preserve">En </w:t>
      </w:r>
      <w:proofErr w:type="gramStart"/>
      <w:r w:rsidRPr="00697170">
        <w:rPr>
          <w:rFonts w:ascii="Palatino Linotype" w:eastAsia="Palatino Linotype" w:hAnsi="Palatino Linotype" w:cs="Palatino Linotype"/>
          <w:i/>
          <w:color w:val="000000"/>
        </w:rPr>
        <w:t>consecuencia</w:t>
      </w:r>
      <w:proofErr w:type="gramEnd"/>
      <w:r w:rsidRPr="00697170">
        <w:rPr>
          <w:rFonts w:ascii="Palatino Linotype" w:eastAsia="Palatino Linotype" w:hAnsi="Palatino Linotype" w:cs="Palatino Linotype"/>
          <w:i/>
          <w:color w:val="000000"/>
        </w:rPr>
        <w:t xml:space="preserve"> el acceso a la información se refiere a que se cumplan cualquiera de los siguientes tres supuestos:</w:t>
      </w:r>
    </w:p>
    <w:p w14:paraId="16150A03" w14:textId="77777777" w:rsidR="004D01FA" w:rsidRPr="00697170" w:rsidRDefault="004D01FA" w:rsidP="004D01FA">
      <w:pPr>
        <w:ind w:left="425" w:right="476"/>
        <w:jc w:val="both"/>
        <w:rPr>
          <w:rFonts w:ascii="Palatino Linotype" w:eastAsia="Palatino Linotype" w:hAnsi="Palatino Linotype" w:cs="Palatino Linotype"/>
          <w:i/>
          <w:color w:val="000000"/>
        </w:rPr>
      </w:pPr>
      <w:r w:rsidRPr="00697170">
        <w:rPr>
          <w:rFonts w:ascii="Palatino Linotype" w:eastAsia="Palatino Linotype" w:hAnsi="Palatino Linotype" w:cs="Palatino Linotype"/>
          <w:i/>
          <w:color w:val="000000"/>
        </w:rPr>
        <w:t xml:space="preserve">Que se trate de información registrada en cualquier soporte documental, </w:t>
      </w:r>
      <w:proofErr w:type="gramStart"/>
      <w:r w:rsidRPr="00697170">
        <w:rPr>
          <w:rFonts w:ascii="Palatino Linotype" w:eastAsia="Palatino Linotype" w:hAnsi="Palatino Linotype" w:cs="Palatino Linotype"/>
          <w:i/>
          <w:color w:val="000000"/>
        </w:rPr>
        <w:t>que</w:t>
      </w:r>
      <w:proofErr w:type="gramEnd"/>
      <w:r w:rsidRPr="00697170">
        <w:rPr>
          <w:rFonts w:ascii="Palatino Linotype" w:eastAsia="Palatino Linotype" w:hAnsi="Palatino Linotype" w:cs="Palatino Linotype"/>
          <w:i/>
          <w:color w:val="000000"/>
        </w:rPr>
        <w:t xml:space="preserve"> en ejercicio de las atribuciones conferidas, sea generada por los Sujetos Obligados;</w:t>
      </w:r>
    </w:p>
    <w:p w14:paraId="402DC379" w14:textId="77777777" w:rsidR="004D01FA" w:rsidRPr="00697170" w:rsidRDefault="004D01FA" w:rsidP="004D01FA">
      <w:pPr>
        <w:ind w:left="425" w:right="476"/>
        <w:jc w:val="both"/>
        <w:rPr>
          <w:rFonts w:ascii="Palatino Linotype" w:eastAsia="Palatino Linotype" w:hAnsi="Palatino Linotype" w:cs="Palatino Linotype"/>
          <w:i/>
          <w:color w:val="000000"/>
        </w:rPr>
      </w:pPr>
      <w:r w:rsidRPr="00697170">
        <w:rPr>
          <w:rFonts w:ascii="Palatino Linotype" w:eastAsia="Palatino Linotype" w:hAnsi="Palatino Linotype" w:cs="Palatino Linotype"/>
          <w:i/>
          <w:color w:val="000000"/>
        </w:rPr>
        <w:lastRenderedPageBreak/>
        <w:t xml:space="preserve">Que se trate de información registrada en cualquier soporte documental, </w:t>
      </w:r>
      <w:proofErr w:type="gramStart"/>
      <w:r w:rsidRPr="00697170">
        <w:rPr>
          <w:rFonts w:ascii="Palatino Linotype" w:eastAsia="Palatino Linotype" w:hAnsi="Palatino Linotype" w:cs="Palatino Linotype"/>
          <w:i/>
          <w:color w:val="000000"/>
        </w:rPr>
        <w:t>que</w:t>
      </w:r>
      <w:proofErr w:type="gramEnd"/>
      <w:r w:rsidRPr="00697170">
        <w:rPr>
          <w:rFonts w:ascii="Palatino Linotype" w:eastAsia="Palatino Linotype" w:hAnsi="Palatino Linotype" w:cs="Palatino Linotype"/>
          <w:i/>
          <w:color w:val="000000"/>
        </w:rPr>
        <w:t xml:space="preserve"> en ejercicio de las atribuciones conferidas, sea administrada por los Sujetos Obligados, y</w:t>
      </w:r>
    </w:p>
    <w:p w14:paraId="36B0BD25" w14:textId="77777777" w:rsidR="004D01FA" w:rsidRPr="00697170" w:rsidRDefault="004D01FA" w:rsidP="004D01FA">
      <w:pPr>
        <w:ind w:left="425" w:right="476"/>
        <w:jc w:val="both"/>
        <w:rPr>
          <w:rFonts w:ascii="Palatino Linotype" w:eastAsia="Palatino Linotype" w:hAnsi="Palatino Linotype" w:cs="Palatino Linotype"/>
          <w:i/>
          <w:color w:val="000000"/>
        </w:rPr>
      </w:pPr>
      <w:r w:rsidRPr="00697170">
        <w:rPr>
          <w:rFonts w:ascii="Palatino Linotype" w:eastAsia="Palatino Linotype" w:hAnsi="Palatino Linotype" w:cs="Palatino Linotype"/>
          <w:i/>
          <w:color w:val="000000"/>
        </w:rPr>
        <w:t xml:space="preserve">Que se trate de información registrada en cualquier soporte documental, </w:t>
      </w:r>
      <w:proofErr w:type="gramStart"/>
      <w:r w:rsidRPr="00697170">
        <w:rPr>
          <w:rFonts w:ascii="Palatino Linotype" w:eastAsia="Palatino Linotype" w:hAnsi="Palatino Linotype" w:cs="Palatino Linotype"/>
          <w:i/>
          <w:color w:val="000000"/>
        </w:rPr>
        <w:t>que</w:t>
      </w:r>
      <w:proofErr w:type="gramEnd"/>
      <w:r w:rsidRPr="00697170">
        <w:rPr>
          <w:rFonts w:ascii="Palatino Linotype" w:eastAsia="Palatino Linotype" w:hAnsi="Palatino Linotype" w:cs="Palatino Linotype"/>
          <w:i/>
          <w:color w:val="000000"/>
        </w:rPr>
        <w:t xml:space="preserve"> en ejercicio de las atribuciones conferidas, se encuentre en posesión de los Sujetos Obligados.”</w:t>
      </w:r>
    </w:p>
    <w:p w14:paraId="3554F328" w14:textId="77777777" w:rsidR="004D01FA" w:rsidRPr="00697170" w:rsidRDefault="004D01FA" w:rsidP="004D01FA">
      <w:pPr>
        <w:ind w:left="425" w:right="476"/>
        <w:jc w:val="both"/>
        <w:rPr>
          <w:rFonts w:ascii="Palatino Linotype" w:eastAsia="Palatino Linotype" w:hAnsi="Palatino Linotype" w:cs="Palatino Linotype"/>
          <w:i/>
          <w:color w:val="000000"/>
        </w:rPr>
      </w:pPr>
    </w:p>
    <w:p w14:paraId="170120A6" w14:textId="77777777" w:rsidR="004D01FA" w:rsidRPr="00697170" w:rsidRDefault="004D01FA" w:rsidP="004D01FA">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El derecho de acceso a la información encuentra su materia elemental en los documentos, y la Ley de Transparencia </w:t>
      </w:r>
      <w:proofErr w:type="gramStart"/>
      <w:r w:rsidRPr="00697170">
        <w:rPr>
          <w:rFonts w:ascii="Palatino Linotype" w:eastAsia="Palatino Linotype" w:hAnsi="Palatino Linotype" w:cs="Palatino Linotype"/>
          <w:color w:val="000000"/>
        </w:rPr>
        <w:t>local  nos</w:t>
      </w:r>
      <w:proofErr w:type="gramEnd"/>
      <w:r w:rsidRPr="00697170">
        <w:rPr>
          <w:rFonts w:ascii="Palatino Linotype" w:eastAsia="Palatino Linotype" w:hAnsi="Palatino Linotype" w:cs="Palatino Linotype"/>
          <w:color w:val="000000"/>
        </w:rPr>
        <w:t xml:space="preserve"> brinda el siguiente concepto, para darnos un mejor panorama:</w:t>
      </w:r>
    </w:p>
    <w:p w14:paraId="214E2EFD" w14:textId="77777777" w:rsidR="004D01FA" w:rsidRPr="00697170" w:rsidRDefault="004D01FA" w:rsidP="004D01FA">
      <w:pPr>
        <w:ind w:left="425" w:right="476"/>
        <w:jc w:val="both"/>
        <w:rPr>
          <w:rFonts w:ascii="Palatino Linotype" w:eastAsia="Palatino Linotype" w:hAnsi="Palatino Linotype" w:cs="Palatino Linotype"/>
          <w:i/>
          <w:color w:val="000000"/>
        </w:rPr>
      </w:pPr>
      <w:r w:rsidRPr="00697170">
        <w:rPr>
          <w:rFonts w:ascii="Palatino Linotype" w:eastAsia="Palatino Linotype" w:hAnsi="Palatino Linotype" w:cs="Palatino Linotype"/>
          <w:b/>
          <w:i/>
          <w:color w:val="000000"/>
        </w:rPr>
        <w:t xml:space="preserve">XI. Documento: </w:t>
      </w:r>
      <w:r w:rsidRPr="00697170">
        <w:rPr>
          <w:rFonts w:ascii="Palatino Linotype" w:eastAsia="Palatino Linotype" w:hAnsi="Palatino Linotype" w:cs="Palatino Linotype"/>
          <w:i/>
          <w:color w:val="000000"/>
        </w:rPr>
        <w:t xml:space="preserve">Los expedientes, reportes, estudios, actas, resoluciones, oficios, correspondencia, acuerdos, directivas, directrices, circulares, contratos, convenios, instructivos, notas, memorandos, estadísticas o bien, </w:t>
      </w:r>
      <w:r w:rsidRPr="00697170">
        <w:rPr>
          <w:rFonts w:ascii="Palatino Linotype" w:eastAsia="Palatino Linotype" w:hAnsi="Palatino Linotype" w:cs="Palatino Linotype"/>
          <w:b/>
          <w:i/>
          <w:color w:val="000000"/>
        </w:rPr>
        <w:t>cualquier otro registro</w:t>
      </w:r>
      <w:r w:rsidRPr="00697170">
        <w:rPr>
          <w:rFonts w:ascii="Palatino Linotype" w:eastAsia="Palatino Linotype" w:hAnsi="Palatino Linotype" w:cs="Palatino Linotype"/>
          <w:i/>
          <w:color w:val="000000"/>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F6D599B" w14:textId="77777777" w:rsidR="004D01FA" w:rsidRPr="00697170" w:rsidRDefault="004D01FA" w:rsidP="004D01FA">
      <w:pPr>
        <w:spacing w:line="360" w:lineRule="auto"/>
        <w:ind w:left="567" w:right="567"/>
        <w:jc w:val="both"/>
        <w:rPr>
          <w:rFonts w:ascii="Palatino Linotype" w:eastAsia="Palatino Linotype" w:hAnsi="Palatino Linotype" w:cs="Palatino Linotype"/>
          <w:i/>
          <w:color w:val="000000"/>
        </w:rPr>
      </w:pPr>
    </w:p>
    <w:p w14:paraId="311363E7" w14:textId="77777777" w:rsidR="004D01FA" w:rsidRPr="00697170" w:rsidRDefault="004D01FA" w:rsidP="004D01FA">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Es así que, todos los actos de autoridad que realicen los Sujetos Obligados deben estar</w:t>
      </w:r>
      <w:r w:rsidRPr="00697170">
        <w:rPr>
          <w:rFonts w:ascii="Palatino Linotype" w:eastAsia="Palatino Linotype" w:hAnsi="Palatino Linotype" w:cs="Palatino Linotype"/>
          <w:b/>
          <w:color w:val="000000"/>
        </w:rPr>
        <w:t xml:space="preserve"> </w:t>
      </w:r>
      <w:r w:rsidRPr="00697170">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4FEC7187" w14:textId="77777777" w:rsidR="004D01FA" w:rsidRPr="00697170" w:rsidRDefault="004D01FA" w:rsidP="004D01FA">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3CCC355D" w14:textId="77777777" w:rsidR="004D01FA" w:rsidRPr="00697170" w:rsidRDefault="004D01FA" w:rsidP="004D01FA">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01280B27" w14:textId="77777777" w:rsidR="004D01FA" w:rsidRPr="00697170" w:rsidRDefault="004D01FA" w:rsidP="004D01FA">
      <w:pPr>
        <w:ind w:left="425" w:right="567"/>
        <w:jc w:val="both"/>
        <w:rPr>
          <w:rFonts w:ascii="Palatino Linotype" w:eastAsia="Palatino Linotype" w:hAnsi="Palatino Linotype" w:cs="Palatino Linotype"/>
          <w:i/>
          <w:color w:val="000000"/>
        </w:rPr>
      </w:pPr>
      <w:r w:rsidRPr="00697170">
        <w:rPr>
          <w:rFonts w:ascii="Palatino Linotype" w:eastAsia="Palatino Linotype" w:hAnsi="Palatino Linotype" w:cs="Palatino Linotype"/>
          <w:b/>
          <w:i/>
          <w:color w:val="000000"/>
        </w:rPr>
        <w:t xml:space="preserve">“Artículo 4. </w:t>
      </w:r>
      <w:r w:rsidRPr="00697170">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14:paraId="78408CE3" w14:textId="77777777" w:rsidR="004D01FA" w:rsidRPr="00697170" w:rsidRDefault="004D01FA" w:rsidP="004D01FA">
      <w:pPr>
        <w:ind w:left="425" w:right="567"/>
        <w:jc w:val="both"/>
        <w:rPr>
          <w:rFonts w:ascii="Palatino Linotype" w:eastAsia="Palatino Linotype" w:hAnsi="Palatino Linotype" w:cs="Palatino Linotype"/>
          <w:i/>
          <w:color w:val="000000"/>
        </w:rPr>
      </w:pPr>
      <w:r w:rsidRPr="00697170">
        <w:rPr>
          <w:rFonts w:ascii="Palatino Linotype" w:eastAsia="Palatino Linotype" w:hAnsi="Palatino Linotype" w:cs="Palatino Linotype"/>
          <w:b/>
          <w:i/>
          <w:color w:val="000000"/>
        </w:rPr>
        <w:lastRenderedPageBreak/>
        <w:t>Toda la información</w:t>
      </w:r>
      <w:r w:rsidRPr="00697170">
        <w:rPr>
          <w:rFonts w:ascii="Palatino Linotype" w:eastAsia="Palatino Linotype" w:hAnsi="Palatino Linotype" w:cs="Palatino Linotype"/>
          <w:i/>
          <w:color w:val="000000"/>
        </w:rPr>
        <w:t xml:space="preserve"> generada, obtenida, adquirida, transformada, administrada o </w:t>
      </w:r>
      <w:r w:rsidRPr="00697170">
        <w:rPr>
          <w:rFonts w:ascii="Palatino Linotype" w:eastAsia="Palatino Linotype" w:hAnsi="Palatino Linotype" w:cs="Palatino Linotype"/>
          <w:b/>
          <w:i/>
          <w:color w:val="000000"/>
        </w:rPr>
        <w:t>en posesión de los sujetos obligados es pública</w:t>
      </w:r>
      <w:r w:rsidRPr="00697170">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F69E9BC" w14:textId="77777777" w:rsidR="004D01FA" w:rsidRPr="00697170" w:rsidRDefault="004D01FA" w:rsidP="004D01FA">
      <w:pPr>
        <w:ind w:left="425" w:right="567"/>
        <w:jc w:val="both"/>
        <w:rPr>
          <w:rFonts w:ascii="Palatino Linotype" w:eastAsia="Palatino Linotype" w:hAnsi="Palatino Linotype" w:cs="Palatino Linotype"/>
          <w:i/>
          <w:color w:val="000000"/>
        </w:rPr>
      </w:pPr>
      <w:r w:rsidRPr="00697170">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7D38ADAE" w14:textId="77777777" w:rsidR="004D01FA" w:rsidRPr="00697170" w:rsidRDefault="004D01FA" w:rsidP="004D01FA">
      <w:pPr>
        <w:spacing w:line="360" w:lineRule="auto"/>
        <w:ind w:left="567" w:right="567"/>
        <w:jc w:val="both"/>
        <w:rPr>
          <w:rFonts w:ascii="Palatino Linotype" w:eastAsia="Palatino Linotype" w:hAnsi="Palatino Linotype" w:cs="Palatino Linotype"/>
          <w:i/>
          <w:color w:val="000000"/>
        </w:rPr>
      </w:pPr>
    </w:p>
    <w:p w14:paraId="026BEAFE" w14:textId="77777777" w:rsidR="004D01FA" w:rsidRPr="00697170" w:rsidRDefault="004D01FA" w:rsidP="004D01FA">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697170">
        <w:rPr>
          <w:rFonts w:ascii="Palatino Linotype" w:eastAsia="Palatino Linotype" w:hAnsi="Palatino Linotype" w:cs="Palatino Linotype"/>
          <w:color w:val="000000"/>
          <w:vertAlign w:val="superscript"/>
        </w:rPr>
        <w:footnoteReference w:id="6"/>
      </w:r>
      <w:r w:rsidRPr="00697170">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122D2A4" w14:textId="77777777" w:rsidR="004D01FA" w:rsidRPr="00697170" w:rsidRDefault="004D01FA" w:rsidP="004D01FA">
      <w:pPr>
        <w:spacing w:line="360" w:lineRule="auto"/>
        <w:jc w:val="both"/>
        <w:rPr>
          <w:rFonts w:ascii="Palatino Linotype" w:eastAsia="Palatino Linotype" w:hAnsi="Palatino Linotype" w:cs="Palatino Linotype"/>
          <w:color w:val="000000"/>
        </w:rPr>
      </w:pPr>
    </w:p>
    <w:p w14:paraId="2FF7922E" w14:textId="77777777" w:rsidR="004D01FA" w:rsidRPr="00697170" w:rsidRDefault="004D01FA" w:rsidP="004D01FA">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Robustece lo anterior la Tesis aislada identificada con la clave I.</w:t>
      </w:r>
      <w:proofErr w:type="gramStart"/>
      <w:r w:rsidRPr="00697170">
        <w:rPr>
          <w:rFonts w:ascii="Palatino Linotype" w:eastAsia="Palatino Linotype" w:hAnsi="Palatino Linotype" w:cs="Palatino Linotype"/>
          <w:color w:val="000000"/>
        </w:rPr>
        <w:t>4º.A.</w:t>
      </w:r>
      <w:proofErr w:type="gramEnd"/>
      <w:r w:rsidRPr="00697170">
        <w:rPr>
          <w:rFonts w:ascii="Palatino Linotype" w:eastAsia="Palatino Linotype" w:hAnsi="Palatino Linotype" w:cs="Palatino Linotype"/>
          <w:color w:val="000000"/>
        </w:rPr>
        <w:t>40 A del Cuarto Tribunal colegiado en Materia Administrativa del Primer Circuito, publicada en el Sem</w:t>
      </w:r>
      <w:r w:rsidRPr="00697170">
        <w:rPr>
          <w:rFonts w:ascii="Palatino Linotype" w:eastAsia="Palatino Linotype" w:hAnsi="Palatino Linotype" w:cs="Palatino Linotype"/>
        </w:rPr>
        <w:t>a</w:t>
      </w:r>
      <w:r w:rsidRPr="00697170">
        <w:rPr>
          <w:rFonts w:ascii="Palatino Linotype" w:eastAsia="Palatino Linotype" w:hAnsi="Palatino Linotype" w:cs="Palatino Linotype"/>
          <w:color w:val="000000"/>
        </w:rPr>
        <w:t>nario Judicial de la Federación y su Gaceta en el libro XVIII, Marzo 2013, Página 1899.</w:t>
      </w:r>
    </w:p>
    <w:p w14:paraId="47AFCCD1" w14:textId="77777777" w:rsidR="004D01FA" w:rsidRPr="00697170" w:rsidRDefault="004D01FA" w:rsidP="004D01FA">
      <w:pPr>
        <w:pBdr>
          <w:top w:val="nil"/>
          <w:left w:val="nil"/>
          <w:bottom w:val="nil"/>
          <w:right w:val="nil"/>
          <w:between w:val="nil"/>
        </w:pBdr>
        <w:tabs>
          <w:tab w:val="left" w:pos="851"/>
        </w:tabs>
        <w:ind w:left="425" w:right="476"/>
        <w:jc w:val="both"/>
        <w:rPr>
          <w:rFonts w:ascii="Palatino Linotype" w:eastAsia="Palatino Linotype" w:hAnsi="Palatino Linotype" w:cs="Palatino Linotype"/>
          <w:i/>
          <w:color w:val="000000"/>
        </w:rPr>
      </w:pPr>
      <w:r w:rsidRPr="00697170">
        <w:rPr>
          <w:rFonts w:ascii="Palatino Linotype" w:eastAsia="Palatino Linotype" w:hAnsi="Palatino Linotype" w:cs="Palatino Linotype"/>
          <w:b/>
          <w:i/>
          <w:color w:val="000000"/>
        </w:rPr>
        <w:lastRenderedPageBreak/>
        <w:t>ACCESO A LA INFORMACIÓN. IMPLICACIÓN DEL PRINCIPIO DE MÁXIMA PUBLICIDAD EN EL DERECHO FUNDAMENTAL RELATIVO.</w:t>
      </w:r>
      <w:r w:rsidRPr="00697170">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3E513A04" w14:textId="77777777" w:rsidR="004D01FA" w:rsidRPr="00697170" w:rsidRDefault="004D01FA" w:rsidP="004D01FA">
      <w:pPr>
        <w:spacing w:line="360" w:lineRule="auto"/>
        <w:contextualSpacing/>
        <w:jc w:val="both"/>
        <w:rPr>
          <w:rFonts w:ascii="Palatino Linotype" w:eastAsia="Calibri" w:hAnsi="Palatino Linotype" w:cs="Tahoma"/>
          <w:bCs/>
          <w:color w:val="000000"/>
        </w:rPr>
      </w:pPr>
    </w:p>
    <w:p w14:paraId="4D2B8391" w14:textId="74C9FC53" w:rsidR="004D01FA" w:rsidRPr="00697170" w:rsidRDefault="004D01FA" w:rsidP="004D01FA">
      <w:pPr>
        <w:numPr>
          <w:ilvl w:val="0"/>
          <w:numId w:val="1"/>
        </w:numPr>
        <w:spacing w:line="360" w:lineRule="auto"/>
        <w:ind w:left="0" w:firstLine="0"/>
        <w:contextualSpacing/>
        <w:jc w:val="both"/>
        <w:rPr>
          <w:rFonts w:ascii="Palatino Linotype" w:eastAsia="Calibri" w:hAnsi="Palatino Linotype" w:cs="Tahoma"/>
          <w:bCs/>
          <w:color w:val="000000"/>
        </w:rPr>
      </w:pPr>
      <w:r w:rsidRPr="00697170">
        <w:rPr>
          <w:rFonts w:ascii="Palatino Linotype" w:hAnsi="Palatino Linotype"/>
        </w:rPr>
        <w:t xml:space="preserve">Así, conforme a lo analizado a lo largo del presente Considerando, con fundamento </w:t>
      </w:r>
      <w:r w:rsidRPr="00697170">
        <w:rPr>
          <w:rFonts w:ascii="Palatino Linotype" w:eastAsia="Calibri" w:hAnsi="Palatino Linotype" w:cs="Tahoma"/>
          <w:color w:val="000000"/>
        </w:rPr>
        <w:t xml:space="preserve">en el artículo 186, fracciones III, de la Ley de Transparencia y Acceso a la Información Pública del Estado de </w:t>
      </w:r>
      <w:r w:rsidRPr="00697170">
        <w:rPr>
          <w:rFonts w:ascii="Palatino Linotype" w:hAnsi="Palatino Linotype"/>
        </w:rPr>
        <w:t>México</w:t>
      </w:r>
      <w:r w:rsidRPr="00697170">
        <w:rPr>
          <w:rFonts w:ascii="Palatino Linotype" w:eastAsia="Calibri" w:hAnsi="Palatino Linotype" w:cs="Tahoma"/>
          <w:color w:val="000000"/>
        </w:rPr>
        <w:t xml:space="preserve"> y Municipios, este Instituto considera procedente </w:t>
      </w:r>
      <w:r w:rsidRPr="00697170">
        <w:rPr>
          <w:rFonts w:ascii="Palatino Linotype" w:eastAsia="Calibri" w:hAnsi="Palatino Linotype" w:cs="Tahoma"/>
          <w:b/>
          <w:color w:val="000000"/>
        </w:rPr>
        <w:t>MODIFICAR</w:t>
      </w:r>
      <w:r w:rsidRPr="00697170">
        <w:rPr>
          <w:rFonts w:ascii="Palatino Linotype" w:eastAsia="Calibri" w:hAnsi="Palatino Linotype" w:cs="Tahoma"/>
          <w:bCs/>
          <w:color w:val="000000"/>
        </w:rPr>
        <w:t xml:space="preserve"> la respuesta otorgada por el Sujeto Obligado, a la solicitud de acceso a la información objeto del presente análisis.</w:t>
      </w:r>
    </w:p>
    <w:p w14:paraId="1D5615B8" w14:textId="77777777" w:rsidR="00B66CE7" w:rsidRPr="00697170" w:rsidRDefault="00B66CE7" w:rsidP="00B66CE7">
      <w:pPr>
        <w:keepNext/>
        <w:keepLines/>
        <w:spacing w:line="360" w:lineRule="auto"/>
        <w:rPr>
          <w:rFonts w:ascii="Palatino Linotype" w:eastAsia="Palatino Linotype" w:hAnsi="Palatino Linotype" w:cs="Palatino Linotype"/>
          <w:b/>
          <w:color w:val="000000"/>
        </w:rPr>
      </w:pPr>
      <w:r w:rsidRPr="00697170">
        <w:rPr>
          <w:rFonts w:ascii="Palatino Linotype" w:eastAsia="Palatino Linotype" w:hAnsi="Palatino Linotype" w:cs="Palatino Linotype"/>
          <w:b/>
          <w:color w:val="000000"/>
        </w:rPr>
        <w:lastRenderedPageBreak/>
        <w:t>QUINTO. De la versión pública.</w:t>
      </w:r>
    </w:p>
    <w:p w14:paraId="0A8C02AC" w14:textId="77777777" w:rsidR="00B66CE7" w:rsidRPr="00697170" w:rsidRDefault="00B66CE7" w:rsidP="00B66CE7">
      <w:pPr>
        <w:keepNext/>
        <w:keepLines/>
        <w:tabs>
          <w:tab w:val="left" w:pos="284"/>
        </w:tabs>
        <w:spacing w:line="360" w:lineRule="auto"/>
        <w:rPr>
          <w:rFonts w:ascii="Palatino Linotype" w:eastAsia="Palatino Linotype" w:hAnsi="Palatino Linotype" w:cs="Palatino Linotype"/>
          <w:b/>
          <w:color w:val="000000"/>
        </w:rPr>
      </w:pPr>
    </w:p>
    <w:p w14:paraId="384F3742" w14:textId="77777777" w:rsidR="00B66CE7" w:rsidRPr="00697170" w:rsidRDefault="00B66CE7" w:rsidP="00B66CE7">
      <w:pPr>
        <w:keepNext/>
        <w:keepLines/>
        <w:numPr>
          <w:ilvl w:val="0"/>
          <w:numId w:val="37"/>
        </w:numPr>
        <w:pBdr>
          <w:top w:val="nil"/>
          <w:left w:val="nil"/>
          <w:bottom w:val="nil"/>
          <w:right w:val="nil"/>
          <w:between w:val="nil"/>
        </w:pBdr>
        <w:tabs>
          <w:tab w:val="left" w:pos="284"/>
        </w:tabs>
        <w:spacing w:line="360" w:lineRule="auto"/>
        <w:rPr>
          <w:rFonts w:ascii="Palatino Linotype" w:eastAsia="Palatino Linotype" w:hAnsi="Palatino Linotype" w:cs="Palatino Linotype"/>
          <w:b/>
          <w:color w:val="000000"/>
        </w:rPr>
      </w:pPr>
      <w:r w:rsidRPr="00697170">
        <w:rPr>
          <w:rFonts w:ascii="Palatino Linotype" w:eastAsia="Palatino Linotype" w:hAnsi="Palatino Linotype" w:cs="Palatino Linotype"/>
          <w:b/>
          <w:color w:val="000000"/>
        </w:rPr>
        <w:t xml:space="preserve">Nociones generales. </w:t>
      </w:r>
    </w:p>
    <w:p w14:paraId="5207B059" w14:textId="77777777" w:rsidR="00B66CE7" w:rsidRPr="00697170" w:rsidRDefault="00B66CE7" w:rsidP="00B66CE7">
      <w:pPr>
        <w:numPr>
          <w:ilvl w:val="0"/>
          <w:numId w:val="36"/>
        </w:numPr>
        <w:spacing w:line="360" w:lineRule="auto"/>
        <w:ind w:left="0" w:firstLine="0"/>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Debe destacarse, que debido a la información solicitada por el </w:t>
      </w:r>
      <w:r w:rsidRPr="00697170">
        <w:rPr>
          <w:rFonts w:ascii="Palatino Linotype" w:eastAsia="Palatino Linotype" w:hAnsi="Palatino Linotype" w:cs="Palatino Linotype"/>
          <w:b/>
        </w:rPr>
        <w:t>Recurrente</w:t>
      </w:r>
      <w:r w:rsidRPr="00697170">
        <w:rPr>
          <w:rFonts w:ascii="Palatino Linotype" w:eastAsia="Palatino Linotype" w:hAnsi="Palatino Linotype" w:cs="Palatino Linotype"/>
          <w:b/>
          <w:color w:val="000000"/>
        </w:rPr>
        <w:t xml:space="preserve">, </w:t>
      </w:r>
      <w:r w:rsidRPr="00697170">
        <w:rPr>
          <w:rFonts w:ascii="Palatino Linotype" w:eastAsia="Palatino Linotype" w:hAnsi="Palatino Linotype" w:cs="Palatino Linotype"/>
          <w:color w:val="000000"/>
        </w:rPr>
        <w:t xml:space="preserve">eventualmente, pueden eventualmente obrar datos personales susceptibles de protegerse y susceptible de clasificarse como </w:t>
      </w:r>
      <w:proofErr w:type="gramStart"/>
      <w:r w:rsidRPr="00697170">
        <w:rPr>
          <w:rFonts w:ascii="Palatino Linotype" w:eastAsia="Palatino Linotype" w:hAnsi="Palatino Linotype" w:cs="Palatino Linotype"/>
          <w:color w:val="000000"/>
        </w:rPr>
        <w:t>confidencial,  por</w:t>
      </w:r>
      <w:proofErr w:type="gramEnd"/>
      <w:r w:rsidRPr="00697170">
        <w:rPr>
          <w:rFonts w:ascii="Palatino Linotype" w:eastAsia="Palatino Linotype" w:hAnsi="Palatino Linotype" w:cs="Palatino Linotype"/>
          <w:color w:val="000000"/>
        </w:rPr>
        <w:t xml:space="preserve"> lo que, el Sujeto Obligado </w:t>
      </w:r>
      <w:r w:rsidRPr="00697170">
        <w:rPr>
          <w:rFonts w:ascii="Palatino Linotype" w:eastAsia="Palatino Linotype" w:hAnsi="Palatino Linotype" w:cs="Palatino Linotype"/>
        </w:rPr>
        <w:t>deberá</w:t>
      </w:r>
      <w:r w:rsidRPr="00697170">
        <w:rPr>
          <w:rFonts w:ascii="Palatino Linotype" w:eastAsia="Palatino Linotype" w:hAnsi="Palatino Linotype" w:cs="Palatino Linotype"/>
          <w:color w:val="000000"/>
        </w:rPr>
        <w:t xml:space="preserve"> de hacer la adecuada versión pública, protegiendo los datos que no son susceptibles de ser proporcionados. </w:t>
      </w:r>
    </w:p>
    <w:p w14:paraId="0C052A37" w14:textId="77777777" w:rsidR="00B66CE7" w:rsidRPr="00697170" w:rsidRDefault="00B66CE7" w:rsidP="00B66CE7">
      <w:pPr>
        <w:tabs>
          <w:tab w:val="left" w:pos="0"/>
          <w:tab w:val="left" w:pos="284"/>
        </w:tabs>
        <w:spacing w:line="360" w:lineRule="auto"/>
        <w:ind w:right="49"/>
        <w:jc w:val="both"/>
        <w:rPr>
          <w:rFonts w:ascii="Palatino Linotype" w:eastAsia="Palatino Linotype" w:hAnsi="Palatino Linotype" w:cs="Palatino Linotype"/>
        </w:rPr>
      </w:pPr>
    </w:p>
    <w:p w14:paraId="3D313854" w14:textId="77777777" w:rsidR="00B66CE7" w:rsidRPr="00697170" w:rsidRDefault="00B66CE7" w:rsidP="00B66CE7">
      <w:pPr>
        <w:numPr>
          <w:ilvl w:val="0"/>
          <w:numId w:val="36"/>
        </w:numPr>
        <w:spacing w:line="360" w:lineRule="auto"/>
        <w:ind w:left="0" w:firstLine="0"/>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No pasa desapercibido para este Órgano Garante que los sujetos obligados</w:t>
      </w:r>
      <w:r w:rsidRPr="00697170">
        <w:rPr>
          <w:rFonts w:ascii="Palatino Linotype" w:eastAsia="Palatino Linotype" w:hAnsi="Palatino Linotype" w:cs="Palatino Linotype"/>
          <w:b/>
          <w:color w:val="000000"/>
        </w:rPr>
        <w:t xml:space="preserve"> </w:t>
      </w:r>
      <w:r w:rsidRPr="00697170">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44AB8C6" w14:textId="77777777" w:rsidR="00B66CE7" w:rsidRPr="00697170" w:rsidRDefault="00B66CE7" w:rsidP="00B66CE7">
      <w:pPr>
        <w:tabs>
          <w:tab w:val="left" w:pos="284"/>
        </w:tabs>
        <w:spacing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B66CE7" w:rsidRPr="00697170" w14:paraId="4E2B0E39" w14:textId="77777777" w:rsidTr="00B66CE7">
        <w:tc>
          <w:tcPr>
            <w:tcW w:w="2689" w:type="dxa"/>
          </w:tcPr>
          <w:p w14:paraId="619F37A1" w14:textId="77777777" w:rsidR="00B66CE7" w:rsidRPr="00697170" w:rsidRDefault="00B66CE7" w:rsidP="00B66CE7">
            <w:pPr>
              <w:tabs>
                <w:tab w:val="left" w:pos="284"/>
              </w:tabs>
              <w:rPr>
                <w:rFonts w:ascii="Palatino Linotype" w:eastAsia="Palatino Linotype" w:hAnsi="Palatino Linotype" w:cs="Palatino Linotype"/>
                <w:b/>
              </w:rPr>
            </w:pPr>
            <w:r w:rsidRPr="00697170">
              <w:rPr>
                <w:rFonts w:ascii="Palatino Linotype" w:eastAsia="Palatino Linotype" w:hAnsi="Palatino Linotype" w:cs="Palatino Linotype"/>
                <w:b/>
              </w:rPr>
              <w:t>a) Requisitos previos.</w:t>
            </w:r>
          </w:p>
        </w:tc>
        <w:tc>
          <w:tcPr>
            <w:tcW w:w="6520" w:type="dxa"/>
          </w:tcPr>
          <w:p w14:paraId="34260211"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Los artículos 100 y 122 de la Ley Estatal y de la Ley General, respectivamente, señalan </w:t>
            </w:r>
            <w:proofErr w:type="gramStart"/>
            <w:r w:rsidRPr="00697170">
              <w:rPr>
                <w:rFonts w:ascii="Palatino Linotype" w:eastAsia="Palatino Linotype" w:hAnsi="Palatino Linotype" w:cs="Palatino Linotype"/>
                <w:color w:val="000000"/>
              </w:rPr>
              <w:t>que</w:t>
            </w:r>
            <w:proofErr w:type="gramEnd"/>
            <w:r w:rsidRPr="00697170">
              <w:rPr>
                <w:rFonts w:ascii="Palatino Linotype" w:eastAsia="Palatino Linotype" w:hAnsi="Palatino Linotype" w:cs="Palatino Linotype"/>
                <w:color w:val="000000"/>
              </w:rPr>
              <w:t xml:space="preserve"> si los Sujetos Obligados determinan que la información actualiza alguno de los supuestos de clasificación, es deber de los titulares de las áreas proponer su clasificación y no del Comité de Transparencia. </w:t>
            </w:r>
          </w:p>
          <w:p w14:paraId="312A1334"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p>
          <w:p w14:paraId="362F813E"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577DE8B6"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lastRenderedPageBreak/>
              <w:t>Además, se debe señalar el procedimiento, de los tres que establecen los artículos 132 y 106 de la Ley Estatal y General, respectivamente.</w:t>
            </w:r>
          </w:p>
          <w:p w14:paraId="14556902"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p>
          <w:p w14:paraId="2BAA31DE" w14:textId="77777777" w:rsidR="00B66CE7" w:rsidRPr="00697170" w:rsidRDefault="00B66CE7" w:rsidP="00B66CE7">
            <w:pPr>
              <w:tabs>
                <w:tab w:val="left" w:pos="284"/>
              </w:tabs>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697170">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697170">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p w14:paraId="3B47D7B5" w14:textId="77777777" w:rsidR="00B66CE7" w:rsidRPr="00697170" w:rsidRDefault="00B66CE7" w:rsidP="00B66CE7">
            <w:pPr>
              <w:tabs>
                <w:tab w:val="left" w:pos="284"/>
              </w:tabs>
              <w:jc w:val="both"/>
              <w:rPr>
                <w:rFonts w:ascii="Palatino Linotype" w:eastAsia="Palatino Linotype" w:hAnsi="Palatino Linotype" w:cs="Palatino Linotype"/>
              </w:rPr>
            </w:pPr>
          </w:p>
        </w:tc>
      </w:tr>
      <w:tr w:rsidR="00B66CE7" w:rsidRPr="00697170" w14:paraId="6A82AB33" w14:textId="77777777" w:rsidTr="00B66CE7">
        <w:tc>
          <w:tcPr>
            <w:tcW w:w="2689" w:type="dxa"/>
          </w:tcPr>
          <w:p w14:paraId="64CD87E2" w14:textId="77777777" w:rsidR="00B66CE7" w:rsidRPr="00697170" w:rsidRDefault="00B66CE7" w:rsidP="00B66CE7">
            <w:pPr>
              <w:tabs>
                <w:tab w:val="left" w:pos="284"/>
              </w:tabs>
              <w:rPr>
                <w:rFonts w:ascii="Palatino Linotype" w:eastAsia="Palatino Linotype" w:hAnsi="Palatino Linotype" w:cs="Palatino Linotype"/>
                <w:b/>
              </w:rPr>
            </w:pPr>
            <w:r w:rsidRPr="00697170">
              <w:rPr>
                <w:rFonts w:ascii="Palatino Linotype" w:eastAsia="Palatino Linotype" w:hAnsi="Palatino Linotype" w:cs="Palatino Linotype"/>
                <w:b/>
              </w:rPr>
              <w:lastRenderedPageBreak/>
              <w:t>b) Supuestos de clasificación.</w:t>
            </w:r>
          </w:p>
        </w:tc>
        <w:tc>
          <w:tcPr>
            <w:tcW w:w="6520" w:type="dxa"/>
          </w:tcPr>
          <w:p w14:paraId="3BE2C783"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060CC156"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p>
          <w:p w14:paraId="3261C46E"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BB96EAC"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p>
          <w:p w14:paraId="43D7BDF6" w14:textId="77777777" w:rsidR="00B66CE7" w:rsidRPr="00697170" w:rsidRDefault="00B66CE7" w:rsidP="00B66CE7">
            <w:pPr>
              <w:tabs>
                <w:tab w:val="left" w:pos="284"/>
              </w:tabs>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El </w:t>
            </w:r>
            <w:r w:rsidRPr="00697170">
              <w:rPr>
                <w:rFonts w:ascii="Palatino Linotype" w:eastAsia="Palatino Linotype" w:hAnsi="Palatino Linotype" w:cs="Palatino Linotype"/>
                <w:b/>
                <w:color w:val="000000"/>
              </w:rPr>
              <w:t>Sujeto Obligado</w:t>
            </w:r>
            <w:r w:rsidRPr="00697170">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469F5B69" w14:textId="77777777" w:rsidR="00B66CE7" w:rsidRPr="00697170" w:rsidRDefault="00B66CE7" w:rsidP="00B66CE7">
            <w:pPr>
              <w:tabs>
                <w:tab w:val="left" w:pos="284"/>
              </w:tabs>
              <w:jc w:val="both"/>
              <w:rPr>
                <w:rFonts w:ascii="Palatino Linotype" w:eastAsia="Palatino Linotype" w:hAnsi="Palatino Linotype" w:cs="Palatino Linotype"/>
              </w:rPr>
            </w:pPr>
          </w:p>
        </w:tc>
      </w:tr>
      <w:tr w:rsidR="00B66CE7" w:rsidRPr="00697170" w14:paraId="17A68AB3" w14:textId="77777777" w:rsidTr="00B66CE7">
        <w:tc>
          <w:tcPr>
            <w:tcW w:w="2689" w:type="dxa"/>
          </w:tcPr>
          <w:p w14:paraId="31EEBE7C" w14:textId="77777777" w:rsidR="00B66CE7" w:rsidRPr="00697170" w:rsidRDefault="00B66CE7" w:rsidP="00B66CE7">
            <w:pPr>
              <w:tabs>
                <w:tab w:val="left" w:pos="284"/>
              </w:tabs>
              <w:rPr>
                <w:rFonts w:ascii="Palatino Linotype" w:eastAsia="Palatino Linotype" w:hAnsi="Palatino Linotype" w:cs="Palatino Linotype"/>
                <w:b/>
              </w:rPr>
            </w:pPr>
            <w:r w:rsidRPr="00697170">
              <w:rPr>
                <w:rFonts w:ascii="Palatino Linotype" w:eastAsia="Palatino Linotype" w:hAnsi="Palatino Linotype" w:cs="Palatino Linotype"/>
                <w:b/>
              </w:rPr>
              <w:lastRenderedPageBreak/>
              <w:t>c) Formalidades para emitir el acuerdo de clasificación.</w:t>
            </w:r>
          </w:p>
        </w:tc>
        <w:tc>
          <w:tcPr>
            <w:tcW w:w="6520" w:type="dxa"/>
          </w:tcPr>
          <w:p w14:paraId="2F0E77A9"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5911555A"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p>
          <w:p w14:paraId="09043810"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Es necesario que </w:t>
            </w:r>
            <w:r w:rsidRPr="00697170">
              <w:rPr>
                <w:rFonts w:ascii="Palatino Linotype" w:eastAsia="Palatino Linotype" w:hAnsi="Palatino Linotype" w:cs="Palatino Linotype"/>
                <w:b/>
                <w:color w:val="000000"/>
                <w:u w:val="single"/>
              </w:rPr>
              <w:t>el acto reúna con los requisitos elementales</w:t>
            </w:r>
            <w:r w:rsidRPr="00697170">
              <w:rPr>
                <w:rFonts w:ascii="Palatino Linotype" w:eastAsia="Palatino Linotype" w:hAnsi="Palatino Linotype" w:cs="Palatino Linotype"/>
                <w:color w:val="000000"/>
              </w:rPr>
              <w:t>, entre ellos, que la autoridad que va a emitir el acto de autoridad sea la legalmente facultada para ello.</w:t>
            </w:r>
          </w:p>
          <w:p w14:paraId="01E7738A" w14:textId="77777777" w:rsidR="00B66CE7" w:rsidRPr="00697170" w:rsidRDefault="00B66CE7" w:rsidP="00B66CE7">
            <w:pPr>
              <w:tabs>
                <w:tab w:val="left" w:pos="284"/>
              </w:tabs>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274831AD" w14:textId="77777777" w:rsidR="00B66CE7" w:rsidRPr="00697170" w:rsidRDefault="00B66CE7" w:rsidP="00B66CE7">
            <w:pPr>
              <w:tabs>
                <w:tab w:val="left" w:pos="284"/>
              </w:tabs>
              <w:jc w:val="both"/>
              <w:rPr>
                <w:rFonts w:ascii="Palatino Linotype" w:eastAsia="Palatino Linotype" w:hAnsi="Palatino Linotype" w:cs="Palatino Linotype"/>
              </w:rPr>
            </w:pPr>
          </w:p>
        </w:tc>
      </w:tr>
      <w:tr w:rsidR="00B66CE7" w:rsidRPr="00697170" w14:paraId="0A4FF62F" w14:textId="77777777" w:rsidTr="00B66CE7">
        <w:tc>
          <w:tcPr>
            <w:tcW w:w="2689" w:type="dxa"/>
          </w:tcPr>
          <w:p w14:paraId="6B23BF21" w14:textId="77777777" w:rsidR="00B66CE7" w:rsidRPr="00697170" w:rsidRDefault="00B66CE7" w:rsidP="00B66CE7">
            <w:pPr>
              <w:tabs>
                <w:tab w:val="left" w:pos="284"/>
              </w:tabs>
              <w:rPr>
                <w:rFonts w:ascii="Palatino Linotype" w:eastAsia="Palatino Linotype" w:hAnsi="Palatino Linotype" w:cs="Palatino Linotype"/>
                <w:b/>
              </w:rPr>
            </w:pPr>
          </w:p>
          <w:p w14:paraId="5568477A" w14:textId="77777777" w:rsidR="00B66CE7" w:rsidRPr="00697170" w:rsidRDefault="00B66CE7" w:rsidP="00B66CE7">
            <w:pPr>
              <w:tabs>
                <w:tab w:val="left" w:pos="284"/>
              </w:tabs>
              <w:jc w:val="both"/>
              <w:rPr>
                <w:rFonts w:ascii="Palatino Linotype" w:eastAsia="Palatino Linotype" w:hAnsi="Palatino Linotype" w:cs="Palatino Linotype"/>
                <w:b/>
              </w:rPr>
            </w:pPr>
            <w:r w:rsidRPr="00697170">
              <w:rPr>
                <w:rFonts w:ascii="Palatino Linotype" w:eastAsia="Palatino Linotype" w:hAnsi="Palatino Linotype" w:cs="Palatino Linotype"/>
                <w:b/>
                <w:color w:val="000000"/>
              </w:rPr>
              <w:t xml:space="preserve">d) Requisitos de fondo del acuerdo de clasificación. </w:t>
            </w:r>
          </w:p>
        </w:tc>
        <w:tc>
          <w:tcPr>
            <w:tcW w:w="6520" w:type="dxa"/>
          </w:tcPr>
          <w:p w14:paraId="1C8B0224"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97170">
              <w:rPr>
                <w:rFonts w:ascii="Palatino Linotype" w:eastAsia="Palatino Linotype" w:hAnsi="Palatino Linotype" w:cs="Palatino Linotype"/>
                <w:b/>
                <w:color w:val="000000"/>
              </w:rPr>
              <w:t>Sujetos Obligados</w:t>
            </w:r>
            <w:r w:rsidRPr="00697170">
              <w:rPr>
                <w:rFonts w:ascii="Palatino Linotype" w:eastAsia="Palatino Linotype" w:hAnsi="Palatino Linotype" w:cs="Palatino Linotype"/>
                <w:color w:val="000000"/>
              </w:rPr>
              <w:t xml:space="preserve">, por lo que deberán fundar y motivar debidamente la clasificación. </w:t>
            </w:r>
          </w:p>
          <w:p w14:paraId="1BDDEB5C"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De lo anterior, se desprende </w:t>
            </w:r>
            <w:proofErr w:type="gramStart"/>
            <w:r w:rsidRPr="00697170">
              <w:rPr>
                <w:rFonts w:ascii="Palatino Linotype" w:eastAsia="Palatino Linotype" w:hAnsi="Palatino Linotype" w:cs="Palatino Linotype"/>
                <w:color w:val="000000"/>
              </w:rPr>
              <w:t>que</w:t>
            </w:r>
            <w:proofErr w:type="gramEnd"/>
            <w:r w:rsidRPr="00697170">
              <w:rPr>
                <w:rFonts w:ascii="Palatino Linotype" w:eastAsia="Palatino Linotype" w:hAnsi="Palatino Linotype" w:cs="Palatino Linotype"/>
                <w:color w:val="000000"/>
              </w:rPr>
              <w:t xml:space="preserve"> para una correcta </w:t>
            </w:r>
            <w:r w:rsidRPr="00697170">
              <w:rPr>
                <w:rFonts w:ascii="Palatino Linotype" w:eastAsia="Palatino Linotype" w:hAnsi="Palatino Linotype" w:cs="Palatino Linotype"/>
                <w:b/>
                <w:color w:val="000000"/>
              </w:rPr>
              <w:t>clasificación total o parcial</w:t>
            </w:r>
            <w:r w:rsidRPr="00697170">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B9AD874"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p>
          <w:p w14:paraId="6E6E9E2C"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4B6FB7E"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p>
          <w:p w14:paraId="1ADACDD8"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57178C5E"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p>
          <w:p w14:paraId="3D70D521"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Ahora bien, </w:t>
            </w:r>
            <w:r w:rsidRPr="00697170">
              <w:rPr>
                <w:rFonts w:ascii="Palatino Linotype" w:eastAsia="Palatino Linotype" w:hAnsi="Palatino Linotype" w:cs="Palatino Linotype"/>
                <w:b/>
                <w:color w:val="000000"/>
                <w:u w:val="single"/>
              </w:rPr>
              <w:t>para cada caso además de fundar y motivar</w:t>
            </w:r>
            <w:r w:rsidRPr="00697170">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2CAD2ACE"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p>
        </w:tc>
      </w:tr>
      <w:tr w:rsidR="00B66CE7" w:rsidRPr="00697170" w14:paraId="4C8A974D" w14:textId="77777777" w:rsidTr="00B66CE7">
        <w:tc>
          <w:tcPr>
            <w:tcW w:w="2689" w:type="dxa"/>
          </w:tcPr>
          <w:p w14:paraId="38A41848" w14:textId="77777777" w:rsidR="00B66CE7" w:rsidRPr="00697170" w:rsidRDefault="00B66CE7" w:rsidP="00B66CE7">
            <w:pPr>
              <w:tabs>
                <w:tab w:val="left" w:pos="284"/>
              </w:tabs>
              <w:ind w:right="49"/>
              <w:jc w:val="both"/>
              <w:rPr>
                <w:rFonts w:ascii="Palatino Linotype" w:eastAsia="Palatino Linotype" w:hAnsi="Palatino Linotype" w:cs="Palatino Linotype"/>
                <w:b/>
              </w:rPr>
            </w:pPr>
            <w:r w:rsidRPr="00697170">
              <w:rPr>
                <w:rFonts w:ascii="Palatino Linotype" w:eastAsia="Palatino Linotype" w:hAnsi="Palatino Linotype" w:cs="Palatino Linotype"/>
                <w:b/>
              </w:rPr>
              <w:lastRenderedPageBreak/>
              <w:t xml:space="preserve">e) Condiciones especiales de la clasificación de la información como confidencial. </w:t>
            </w:r>
          </w:p>
        </w:tc>
        <w:tc>
          <w:tcPr>
            <w:tcW w:w="6520" w:type="dxa"/>
          </w:tcPr>
          <w:p w14:paraId="0A444645"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Los artículos 148 y 120 de la Ley Estatal y de la Ley General, respectivamente, establecen </w:t>
            </w:r>
            <w:proofErr w:type="gramStart"/>
            <w:r w:rsidRPr="00697170">
              <w:rPr>
                <w:rFonts w:ascii="Palatino Linotype" w:eastAsia="Palatino Linotype" w:hAnsi="Palatino Linotype" w:cs="Palatino Linotype"/>
                <w:color w:val="000000"/>
              </w:rPr>
              <w:t>que</w:t>
            </w:r>
            <w:proofErr w:type="gramEnd"/>
            <w:r w:rsidRPr="00697170">
              <w:rPr>
                <w:rFonts w:ascii="Palatino Linotype" w:eastAsia="Palatino Linotype" w:hAnsi="Palatino Linotype" w:cs="Palatino Linotype"/>
                <w:color w:val="000000"/>
              </w:rPr>
              <w:t xml:space="preserve"> aun tratándose de datos personales, se podrán proporcionar, incluso sin solicitar el consentimiento de su titular. </w:t>
            </w:r>
          </w:p>
          <w:p w14:paraId="78487CCF"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p>
          <w:p w14:paraId="0FE916CD"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C1C64DA" w14:textId="77777777" w:rsidR="00B66CE7" w:rsidRPr="00697170" w:rsidRDefault="00B66CE7" w:rsidP="00B66CE7">
            <w:pPr>
              <w:tabs>
                <w:tab w:val="left" w:pos="284"/>
              </w:tabs>
              <w:ind w:right="49"/>
              <w:jc w:val="both"/>
              <w:rPr>
                <w:rFonts w:ascii="Palatino Linotype" w:eastAsia="Palatino Linotype" w:hAnsi="Palatino Linotype" w:cs="Palatino Linotype"/>
                <w:color w:val="000000"/>
              </w:rPr>
            </w:pPr>
          </w:p>
          <w:p w14:paraId="6855E9BE" w14:textId="77777777" w:rsidR="00B66CE7" w:rsidRPr="00697170" w:rsidRDefault="00B66CE7" w:rsidP="00B66CE7">
            <w:pPr>
              <w:tabs>
                <w:tab w:val="left" w:pos="284"/>
              </w:tabs>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p w14:paraId="42F50340" w14:textId="77777777" w:rsidR="00B66CE7" w:rsidRPr="00697170" w:rsidRDefault="00B66CE7" w:rsidP="00B66CE7">
            <w:pPr>
              <w:tabs>
                <w:tab w:val="left" w:pos="284"/>
              </w:tabs>
              <w:jc w:val="both"/>
              <w:rPr>
                <w:rFonts w:ascii="Palatino Linotype" w:eastAsia="Palatino Linotype" w:hAnsi="Palatino Linotype" w:cs="Palatino Linotype"/>
              </w:rPr>
            </w:pPr>
          </w:p>
        </w:tc>
      </w:tr>
    </w:tbl>
    <w:p w14:paraId="7BDB31C5" w14:textId="77777777" w:rsidR="00B66CE7" w:rsidRPr="00697170" w:rsidRDefault="00B66CE7" w:rsidP="00B66CE7">
      <w:pPr>
        <w:spacing w:line="360" w:lineRule="auto"/>
        <w:jc w:val="both"/>
        <w:rPr>
          <w:rFonts w:ascii="Palatino Linotype" w:eastAsia="Palatino Linotype" w:hAnsi="Palatino Linotype" w:cs="Palatino Linotype"/>
          <w:color w:val="000000"/>
        </w:rPr>
      </w:pPr>
    </w:p>
    <w:p w14:paraId="231159BD" w14:textId="77777777" w:rsidR="00B66CE7" w:rsidRPr="00697170" w:rsidRDefault="00B66CE7" w:rsidP="00B66CE7">
      <w:pPr>
        <w:numPr>
          <w:ilvl w:val="0"/>
          <w:numId w:val="36"/>
        </w:numPr>
        <w:spacing w:line="360" w:lineRule="auto"/>
        <w:ind w:left="0" w:firstLine="0"/>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rPr>
        <w:t xml:space="preserve">Si el </w:t>
      </w:r>
      <w:r w:rsidRPr="00697170">
        <w:rPr>
          <w:rFonts w:ascii="Palatino Linotype" w:eastAsia="Palatino Linotype" w:hAnsi="Palatino Linotype" w:cs="Palatino Linotype"/>
          <w:color w:val="000000"/>
        </w:rPr>
        <w:t>servidor</w:t>
      </w:r>
      <w:r w:rsidRPr="00697170">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w:t>
      </w:r>
      <w:r w:rsidRPr="00697170">
        <w:rPr>
          <w:rFonts w:ascii="Palatino Linotype" w:eastAsia="Palatino Linotype" w:hAnsi="Palatino Linotype" w:cs="Palatino Linotype"/>
          <w:color w:val="000000"/>
        </w:rPr>
        <w:t>legales</w:t>
      </w:r>
      <w:r w:rsidRPr="00697170">
        <w:rPr>
          <w:rFonts w:ascii="Palatino Linotype" w:eastAsia="Palatino Linotype" w:hAnsi="Palatino Linotype" w:cs="Palatino Linotype"/>
        </w:rPr>
        <w:t xml:space="preserve"> </w:t>
      </w:r>
      <w:r w:rsidRPr="00697170">
        <w:rPr>
          <w:rFonts w:ascii="Palatino Linotype" w:eastAsia="Palatino Linotype" w:hAnsi="Palatino Linotype" w:cs="Palatino Linotype"/>
          <w:color w:val="000000"/>
        </w:rPr>
        <w:t>establecidas</w:t>
      </w:r>
      <w:r w:rsidRPr="00697170">
        <w:rPr>
          <w:rFonts w:ascii="Palatino Linotype" w:eastAsia="Palatino Linotype" w:hAnsi="Palatino Linotype" w:cs="Palatino Linotype"/>
        </w:rPr>
        <w:t>, asimismo que si entrega un documento testado sin el debido acuerdo de clasificación.</w:t>
      </w:r>
    </w:p>
    <w:p w14:paraId="046FB948" w14:textId="77777777" w:rsidR="005E51DC" w:rsidRPr="00697170" w:rsidRDefault="005E51DC" w:rsidP="005E51DC">
      <w:pPr>
        <w:spacing w:line="360" w:lineRule="auto"/>
        <w:ind w:right="49"/>
        <w:contextualSpacing/>
        <w:jc w:val="both"/>
        <w:rPr>
          <w:rFonts w:ascii="Palatino Linotype" w:hAnsi="Palatino Linotype"/>
          <w:color w:val="000000"/>
        </w:rPr>
      </w:pPr>
    </w:p>
    <w:p w14:paraId="4D23B135" w14:textId="42CE4727" w:rsidR="005E51DC" w:rsidRPr="00697170" w:rsidRDefault="005E51DC" w:rsidP="005E51DC">
      <w:pPr>
        <w:numPr>
          <w:ilvl w:val="0"/>
          <w:numId w:val="1"/>
        </w:numPr>
        <w:spacing w:line="360" w:lineRule="auto"/>
        <w:ind w:left="0" w:right="49" w:firstLine="0"/>
        <w:contextualSpacing/>
        <w:jc w:val="both"/>
        <w:rPr>
          <w:rFonts w:ascii="Palatino Linotype" w:hAnsi="Palatino Linotype"/>
          <w:color w:val="000000"/>
        </w:rPr>
      </w:pPr>
      <w:r w:rsidRPr="00697170">
        <w:rPr>
          <w:rFonts w:ascii="Palatino Linotype" w:eastAsia="Calibri" w:hAnsi="Palatino Linotype"/>
        </w:rPr>
        <w:t xml:space="preserve">Por lo anteriormente expuesto y fundado, este </w:t>
      </w:r>
      <w:r w:rsidRPr="00697170">
        <w:rPr>
          <w:rFonts w:ascii="Palatino Linotype" w:eastAsia="Calibri" w:hAnsi="Palatino Linotype"/>
          <w:b/>
          <w:bCs/>
        </w:rPr>
        <w:t>ÓRGANO GARANTE</w:t>
      </w:r>
      <w:r w:rsidRPr="00697170">
        <w:rPr>
          <w:rFonts w:ascii="Palatino Linotype" w:eastAsia="Calibri" w:hAnsi="Palatino Linotype"/>
        </w:rPr>
        <w:t xml:space="preserve"> emite los siguientes:</w:t>
      </w:r>
      <w:r w:rsidRPr="00697170">
        <w:rPr>
          <w:rFonts w:ascii="Palatino Linotype" w:hAnsi="Palatino Linotype"/>
          <w:color w:val="000000"/>
        </w:rPr>
        <w:t xml:space="preserve"> </w:t>
      </w:r>
    </w:p>
    <w:p w14:paraId="777FB429" w14:textId="77777777" w:rsidR="009E2F74" w:rsidRPr="00697170" w:rsidRDefault="009E2F74" w:rsidP="009E2F74">
      <w:pPr>
        <w:keepNext/>
        <w:keepLines/>
        <w:spacing w:line="360" w:lineRule="auto"/>
        <w:jc w:val="center"/>
        <w:outlineLvl w:val="0"/>
        <w:rPr>
          <w:rFonts w:ascii="Palatino Linotype" w:eastAsiaTheme="majorEastAsia" w:hAnsi="Palatino Linotype" w:cstheme="majorBidi"/>
          <w:b/>
          <w:color w:val="000000" w:themeColor="text1"/>
          <w:lang w:eastAsia="en-US"/>
        </w:rPr>
      </w:pPr>
      <w:r w:rsidRPr="00697170">
        <w:rPr>
          <w:rFonts w:ascii="Palatino Linotype" w:eastAsiaTheme="majorEastAsia" w:hAnsi="Palatino Linotype" w:cstheme="majorBidi"/>
          <w:b/>
          <w:color w:val="000000" w:themeColor="text1"/>
          <w:lang w:eastAsia="en-US"/>
        </w:rPr>
        <w:t>R E S O L U T I V O S</w:t>
      </w:r>
    </w:p>
    <w:p w14:paraId="68B2FF7C" w14:textId="77777777" w:rsidR="0075791C" w:rsidRPr="00697170" w:rsidRDefault="0075791C" w:rsidP="00066B5D">
      <w:pPr>
        <w:spacing w:line="360" w:lineRule="auto"/>
        <w:jc w:val="center"/>
        <w:rPr>
          <w:rFonts w:ascii="Palatino Linotype" w:eastAsia="Times New Roman" w:hAnsi="Palatino Linotype" w:cs="Tahoma"/>
          <w:b/>
          <w:bCs/>
        </w:rPr>
      </w:pPr>
    </w:p>
    <w:p w14:paraId="5D57C3AC" w14:textId="75FB77F8" w:rsidR="00861897" w:rsidRPr="00697170" w:rsidRDefault="00861897" w:rsidP="00861897">
      <w:pPr>
        <w:spacing w:line="360" w:lineRule="auto"/>
        <w:jc w:val="both"/>
        <w:rPr>
          <w:rFonts w:ascii="Palatino Linotype" w:eastAsia="Palatino Linotype" w:hAnsi="Palatino Linotype" w:cs="Palatino Linotype"/>
        </w:rPr>
      </w:pPr>
      <w:r w:rsidRPr="00697170">
        <w:rPr>
          <w:rFonts w:ascii="Palatino Linotype" w:eastAsia="Palatino Linotype" w:hAnsi="Palatino Linotype" w:cs="Palatino Linotype"/>
          <w:b/>
        </w:rPr>
        <w:t>PRIMERO</w:t>
      </w:r>
      <w:r w:rsidRPr="00697170">
        <w:rPr>
          <w:rFonts w:ascii="Palatino Linotype" w:eastAsia="Palatino Linotype" w:hAnsi="Palatino Linotype" w:cs="Palatino Linotype"/>
        </w:rPr>
        <w:t>. Resultan fundadas las</w:t>
      </w:r>
      <w:r w:rsidRPr="00697170">
        <w:rPr>
          <w:rFonts w:ascii="Palatino Linotype" w:eastAsia="Palatino Linotype" w:hAnsi="Palatino Linotype" w:cs="Palatino Linotype"/>
          <w:b/>
        </w:rPr>
        <w:t xml:space="preserve"> </w:t>
      </w:r>
      <w:r w:rsidRPr="00697170">
        <w:rPr>
          <w:rFonts w:ascii="Palatino Linotype" w:eastAsia="Palatino Linotype" w:hAnsi="Palatino Linotype" w:cs="Palatino Linotype"/>
        </w:rPr>
        <w:t xml:space="preserve">razones o motivos de inconformidad hechos valer en el Recurso de Revisión </w:t>
      </w:r>
      <w:r w:rsidR="00C6653E" w:rsidRPr="00697170">
        <w:rPr>
          <w:rFonts w:ascii="Palatino Linotype" w:eastAsia="Palatino Linotype" w:hAnsi="Palatino Linotype" w:cs="Palatino Linotype"/>
          <w:b/>
        </w:rPr>
        <w:t>06998</w:t>
      </w:r>
      <w:r w:rsidRPr="00697170">
        <w:rPr>
          <w:rFonts w:ascii="Palatino Linotype" w:eastAsia="Palatino Linotype" w:hAnsi="Palatino Linotype" w:cs="Palatino Linotype"/>
          <w:b/>
        </w:rPr>
        <w:t>/INFOEM/IP/RR/202</w:t>
      </w:r>
      <w:r w:rsidR="00C6653E" w:rsidRPr="00697170">
        <w:rPr>
          <w:rFonts w:ascii="Palatino Linotype" w:eastAsia="Palatino Linotype" w:hAnsi="Palatino Linotype" w:cs="Palatino Linotype"/>
          <w:b/>
        </w:rPr>
        <w:t>3</w:t>
      </w:r>
      <w:r w:rsidRPr="00697170">
        <w:rPr>
          <w:rFonts w:ascii="Palatino Linotype" w:eastAsia="Palatino Linotype" w:hAnsi="Palatino Linotype" w:cs="Palatino Linotype"/>
          <w:b/>
        </w:rPr>
        <w:t xml:space="preserve">, </w:t>
      </w:r>
      <w:r w:rsidRPr="00697170">
        <w:rPr>
          <w:rFonts w:ascii="Palatino Linotype" w:eastAsia="Palatino Linotype" w:hAnsi="Palatino Linotype" w:cs="Palatino Linotype"/>
        </w:rPr>
        <w:t xml:space="preserve">en términos de los </w:t>
      </w:r>
      <w:r w:rsidRPr="00697170">
        <w:rPr>
          <w:rFonts w:ascii="Palatino Linotype" w:eastAsia="Palatino Linotype" w:hAnsi="Palatino Linotype" w:cs="Palatino Linotype"/>
          <w:b/>
        </w:rPr>
        <w:t>Considerandos</w:t>
      </w:r>
      <w:r w:rsidRPr="00697170">
        <w:rPr>
          <w:rFonts w:ascii="Palatino Linotype" w:eastAsia="Palatino Linotype" w:hAnsi="Palatino Linotype" w:cs="Palatino Linotype"/>
        </w:rPr>
        <w:t xml:space="preserve"> </w:t>
      </w:r>
      <w:proofErr w:type="gramStart"/>
      <w:r w:rsidR="004D01FA" w:rsidRPr="00697170">
        <w:rPr>
          <w:rFonts w:ascii="Palatino Linotype" w:eastAsia="Palatino Linotype" w:hAnsi="Palatino Linotype" w:cs="Palatino Linotype"/>
          <w:b/>
        </w:rPr>
        <w:t>Cuarto</w:t>
      </w:r>
      <w:r w:rsidR="004D01FA" w:rsidRPr="00697170">
        <w:rPr>
          <w:rFonts w:ascii="Palatino Linotype" w:eastAsia="Palatino Linotype" w:hAnsi="Palatino Linotype" w:cs="Palatino Linotype"/>
        </w:rPr>
        <w:t xml:space="preserve">  y</w:t>
      </w:r>
      <w:proofErr w:type="gramEnd"/>
      <w:r w:rsidR="004D01FA" w:rsidRPr="00697170">
        <w:rPr>
          <w:rFonts w:ascii="Palatino Linotype" w:eastAsia="Palatino Linotype" w:hAnsi="Palatino Linotype" w:cs="Palatino Linotype"/>
        </w:rPr>
        <w:t xml:space="preserve"> </w:t>
      </w:r>
      <w:r w:rsidR="004D01FA" w:rsidRPr="00697170">
        <w:rPr>
          <w:rFonts w:ascii="Palatino Linotype" w:eastAsia="Palatino Linotype" w:hAnsi="Palatino Linotype" w:cs="Palatino Linotype"/>
          <w:b/>
        </w:rPr>
        <w:t xml:space="preserve">Quinto </w:t>
      </w:r>
      <w:r w:rsidR="004D01FA" w:rsidRPr="00697170">
        <w:rPr>
          <w:rFonts w:ascii="Palatino Linotype" w:eastAsia="Palatino Linotype" w:hAnsi="Palatino Linotype" w:cs="Palatino Linotype"/>
        </w:rPr>
        <w:t>de la presente R</w:t>
      </w:r>
      <w:r w:rsidRPr="00697170">
        <w:rPr>
          <w:rFonts w:ascii="Palatino Linotype" w:eastAsia="Palatino Linotype" w:hAnsi="Palatino Linotype" w:cs="Palatino Linotype"/>
        </w:rPr>
        <w:t>esolución.</w:t>
      </w:r>
    </w:p>
    <w:p w14:paraId="0AFA8962" w14:textId="77777777" w:rsidR="00861897" w:rsidRPr="00697170" w:rsidRDefault="00861897" w:rsidP="00861897">
      <w:pPr>
        <w:spacing w:line="360" w:lineRule="auto"/>
        <w:jc w:val="both"/>
        <w:rPr>
          <w:rFonts w:ascii="Palatino Linotype" w:eastAsia="Palatino Linotype" w:hAnsi="Palatino Linotype" w:cs="Palatino Linotype"/>
        </w:rPr>
      </w:pPr>
    </w:p>
    <w:p w14:paraId="48753DA8" w14:textId="41C6836A" w:rsidR="00861897" w:rsidRPr="00697170" w:rsidRDefault="00861897" w:rsidP="00861897">
      <w:pPr>
        <w:spacing w:line="360" w:lineRule="auto"/>
        <w:jc w:val="both"/>
        <w:rPr>
          <w:rFonts w:ascii="Palatino Linotype" w:hAnsi="Palatino Linotype" w:cs="Arial"/>
        </w:rPr>
      </w:pPr>
      <w:r w:rsidRPr="00697170">
        <w:rPr>
          <w:rFonts w:ascii="Palatino Linotype" w:eastAsia="Times New Roman" w:hAnsi="Palatino Linotype" w:cs="Times New Roman"/>
          <w:b/>
        </w:rPr>
        <w:t xml:space="preserve">SEGUNDO. </w:t>
      </w:r>
      <w:r w:rsidRPr="00697170">
        <w:rPr>
          <w:rFonts w:ascii="Palatino Linotype" w:eastAsia="MS Mincho" w:hAnsi="Palatino Linotype" w:cs="Times New Roman"/>
          <w:color w:val="000000" w:themeColor="text1"/>
        </w:rPr>
        <w:t xml:space="preserve">Se </w:t>
      </w:r>
      <w:r w:rsidR="00C6653E" w:rsidRPr="00697170">
        <w:rPr>
          <w:rFonts w:ascii="Palatino Linotype" w:eastAsia="MS Mincho" w:hAnsi="Palatino Linotype" w:cs="Times New Roman"/>
          <w:b/>
          <w:color w:val="000000" w:themeColor="text1"/>
        </w:rPr>
        <w:t>MODIFI</w:t>
      </w:r>
      <w:r w:rsidRPr="00697170">
        <w:rPr>
          <w:rFonts w:ascii="Palatino Linotype" w:eastAsia="MS Mincho" w:hAnsi="Palatino Linotype" w:cs="Times New Roman"/>
          <w:b/>
          <w:color w:val="000000" w:themeColor="text1"/>
        </w:rPr>
        <w:t xml:space="preserve">CA </w:t>
      </w:r>
      <w:r w:rsidRPr="00697170">
        <w:rPr>
          <w:rFonts w:ascii="Palatino Linotype" w:eastAsia="MS Mincho" w:hAnsi="Palatino Linotype" w:cs="Times New Roman"/>
          <w:color w:val="000000" w:themeColor="text1"/>
        </w:rPr>
        <w:t xml:space="preserve">la respuesta emitida por el </w:t>
      </w:r>
      <w:r w:rsidRPr="00697170">
        <w:rPr>
          <w:rFonts w:ascii="Palatino Linotype" w:hAnsi="Palatino Linotype"/>
          <w:bCs/>
          <w:color w:val="000000"/>
        </w:rPr>
        <w:t xml:space="preserve">Ayuntamiento de </w:t>
      </w:r>
      <w:r w:rsidR="0058073C" w:rsidRPr="00697170">
        <w:rPr>
          <w:rFonts w:ascii="Palatino Linotype" w:hAnsi="Palatino Linotype"/>
          <w:bCs/>
          <w:color w:val="000000"/>
        </w:rPr>
        <w:t xml:space="preserve">Rayón </w:t>
      </w:r>
      <w:r w:rsidRPr="00697170">
        <w:rPr>
          <w:rFonts w:ascii="Palatino Linotype" w:eastAsia="MS Mincho" w:hAnsi="Palatino Linotype" w:cs="Times New Roman"/>
          <w:color w:val="000000" w:themeColor="text1"/>
        </w:rPr>
        <w:t>y</w:t>
      </w:r>
      <w:r w:rsidR="0058073C" w:rsidRPr="00697170">
        <w:rPr>
          <w:rFonts w:ascii="Palatino Linotype" w:eastAsia="MS Mincho" w:hAnsi="Palatino Linotype" w:cs="Times New Roman"/>
          <w:color w:val="000000" w:themeColor="text1"/>
        </w:rPr>
        <w:t>,</w:t>
      </w:r>
      <w:r w:rsidRPr="00697170">
        <w:rPr>
          <w:rFonts w:ascii="Palatino Linotype" w:eastAsia="MS Mincho" w:hAnsi="Palatino Linotype" w:cs="Times New Roman"/>
          <w:color w:val="000000" w:themeColor="text1"/>
        </w:rPr>
        <w:t xml:space="preserve"> se </w:t>
      </w:r>
      <w:r w:rsidRPr="00697170">
        <w:rPr>
          <w:rFonts w:ascii="Palatino Linotype" w:eastAsia="MS Mincho" w:hAnsi="Palatino Linotype" w:cs="Times New Roman"/>
          <w:b/>
          <w:color w:val="000000" w:themeColor="text1"/>
        </w:rPr>
        <w:t>ORDENA</w:t>
      </w:r>
      <w:r w:rsidRPr="00697170">
        <w:rPr>
          <w:rFonts w:ascii="Palatino Linotype" w:eastAsia="MS Mincho" w:hAnsi="Palatino Linotype" w:cs="Times New Roman"/>
          <w:color w:val="000000" w:themeColor="text1"/>
        </w:rPr>
        <w:t xml:space="preserve"> </w:t>
      </w:r>
      <w:bookmarkStart w:id="154" w:name="_Toc503891610"/>
      <w:bookmarkStart w:id="155" w:name="_Toc453696503"/>
      <w:bookmarkStart w:id="156" w:name="_Toc454301156"/>
      <w:bookmarkStart w:id="157" w:name="_Toc462653938"/>
      <w:bookmarkStart w:id="158" w:name="_Toc477891769"/>
      <w:bookmarkStart w:id="159" w:name="_Toc477891859"/>
      <w:bookmarkStart w:id="160" w:name="_Toc481576260"/>
      <w:bookmarkStart w:id="161" w:name="_Toc492590392"/>
      <w:r w:rsidRPr="00697170">
        <w:rPr>
          <w:rFonts w:ascii="Palatino Linotype" w:eastAsia="MS Mincho" w:hAnsi="Palatino Linotype" w:cs="Times New Roman"/>
          <w:color w:val="000000" w:themeColor="text1"/>
        </w:rPr>
        <w:t xml:space="preserve">entregar vía Sistema de Acceso a la Información Mexiquense (SAIMEX), </w:t>
      </w:r>
      <w:r w:rsidR="0058073C" w:rsidRPr="00697170">
        <w:rPr>
          <w:rFonts w:ascii="Palatino Linotype" w:eastAsia="MS Mincho" w:hAnsi="Palatino Linotype" w:cs="Times New Roman"/>
          <w:color w:val="000000" w:themeColor="text1"/>
        </w:rPr>
        <w:t>de ser el caso</w:t>
      </w:r>
      <w:r w:rsidRPr="00697170">
        <w:rPr>
          <w:rFonts w:ascii="Palatino Linotype" w:eastAsia="MS Mincho" w:hAnsi="Palatino Linotype" w:cs="Times New Roman"/>
          <w:color w:val="000000" w:themeColor="text1"/>
        </w:rPr>
        <w:t xml:space="preserve"> en versión pública, la siguiente información</w:t>
      </w:r>
      <w:r w:rsidRPr="00697170">
        <w:rPr>
          <w:rFonts w:ascii="Palatino Linotype" w:hAnsi="Palatino Linotype" w:cs="Arial"/>
        </w:rPr>
        <w:t>:</w:t>
      </w:r>
    </w:p>
    <w:p w14:paraId="54CB33B1" w14:textId="77777777" w:rsidR="00861897" w:rsidRPr="00697170" w:rsidRDefault="00861897" w:rsidP="00861897">
      <w:pPr>
        <w:spacing w:line="360" w:lineRule="auto"/>
        <w:jc w:val="both"/>
        <w:rPr>
          <w:rFonts w:ascii="Palatino Linotype" w:hAnsi="Palatino Linotype" w:cs="Arial"/>
          <w:b/>
        </w:rPr>
      </w:pPr>
    </w:p>
    <w:p w14:paraId="1E1BB043" w14:textId="702ACED6" w:rsidR="00C6653E" w:rsidRPr="00697170" w:rsidRDefault="00C6653E" w:rsidP="0058073C">
      <w:pPr>
        <w:pStyle w:val="Prrafodelista"/>
        <w:numPr>
          <w:ilvl w:val="0"/>
          <w:numId w:val="34"/>
        </w:numPr>
        <w:tabs>
          <w:tab w:val="left" w:pos="8080"/>
        </w:tabs>
        <w:ind w:left="851" w:right="476"/>
        <w:jc w:val="both"/>
        <w:rPr>
          <w:rFonts w:ascii="Palatino Linotype" w:hAnsi="Palatino Linotype" w:cs="Arial"/>
          <w:b/>
          <w:i/>
          <w:color w:val="000000" w:themeColor="text1"/>
        </w:rPr>
      </w:pPr>
      <w:r w:rsidRPr="00697170">
        <w:rPr>
          <w:rFonts w:ascii="Palatino Linotype" w:eastAsia="Times New Roman" w:hAnsi="Palatino Linotype" w:cs="Times New Roman"/>
          <w:b/>
          <w:lang w:val="es-ES"/>
        </w:rPr>
        <w:t xml:space="preserve">Inventario de bienes inmuebles de dominio público, </w:t>
      </w:r>
      <w:r w:rsidRPr="00697170">
        <w:rPr>
          <w:rFonts w:ascii="Palatino Linotype" w:hAnsi="Palatino Linotype" w:cs="Arial"/>
          <w:b/>
        </w:rPr>
        <w:t>propiedad</w:t>
      </w:r>
      <w:r w:rsidRPr="00697170">
        <w:rPr>
          <w:rFonts w:ascii="Palatino Linotype" w:eastAsia="Times New Roman" w:hAnsi="Palatino Linotype" w:cs="Times New Roman"/>
          <w:b/>
          <w:lang w:val="es-ES"/>
        </w:rPr>
        <w:t xml:space="preserve"> del Ayuntamiento de Rayón donde conste o se advierta</w:t>
      </w:r>
      <w:r w:rsidR="002F20F5" w:rsidRPr="00697170">
        <w:rPr>
          <w:rFonts w:ascii="Palatino Linotype" w:eastAsia="Times New Roman" w:hAnsi="Palatino Linotype" w:cs="Times New Roman"/>
          <w:b/>
          <w:lang w:val="es-ES"/>
        </w:rPr>
        <w:t xml:space="preserve"> </w:t>
      </w:r>
      <w:r w:rsidRPr="00697170">
        <w:rPr>
          <w:rFonts w:ascii="Palatino Linotype" w:eastAsia="Times New Roman" w:hAnsi="Palatino Linotype" w:cs="Times New Roman"/>
          <w:b/>
          <w:lang w:val="es-ES"/>
        </w:rPr>
        <w:t xml:space="preserve">la inscripción del </w:t>
      </w:r>
      <w:r w:rsidRPr="00697170">
        <w:rPr>
          <w:rFonts w:ascii="Palatino Linotype" w:eastAsia="Times New Roman" w:hAnsi="Palatino Linotype" w:cs="Times New Roman"/>
          <w:b/>
          <w:lang w:val="es-ES"/>
        </w:rPr>
        <w:lastRenderedPageBreak/>
        <w:t>predio referido en la solicitud de información</w:t>
      </w:r>
      <w:r w:rsidR="0058073C" w:rsidRPr="00697170">
        <w:rPr>
          <w:rFonts w:ascii="Palatino Linotype" w:eastAsia="Times New Roman" w:hAnsi="Palatino Linotype" w:cs="Times New Roman"/>
          <w:b/>
          <w:lang w:val="es-ES"/>
        </w:rPr>
        <w:t xml:space="preserve"> 00064/RAYON/IP/2023</w:t>
      </w:r>
      <w:r w:rsidRPr="00697170">
        <w:rPr>
          <w:rFonts w:ascii="Palatino Linotype" w:eastAsia="Times New Roman" w:hAnsi="Palatino Linotype" w:cs="Times New Roman"/>
          <w:b/>
          <w:lang w:val="es-ES"/>
        </w:rPr>
        <w:t xml:space="preserve">, al 22 de </w:t>
      </w:r>
      <w:r w:rsidR="00D432FD" w:rsidRPr="00697170">
        <w:rPr>
          <w:rFonts w:ascii="Palatino Linotype" w:eastAsia="Times New Roman" w:hAnsi="Palatino Linotype" w:cs="Times New Roman"/>
          <w:b/>
          <w:lang w:val="es-ES"/>
        </w:rPr>
        <w:t>septiembre de 2023; y</w:t>
      </w:r>
    </w:p>
    <w:p w14:paraId="7D9DA66F" w14:textId="77777777" w:rsidR="002F20F5" w:rsidRPr="00697170" w:rsidRDefault="002F20F5" w:rsidP="002F20F5">
      <w:pPr>
        <w:pStyle w:val="Prrafodelista"/>
        <w:tabs>
          <w:tab w:val="left" w:pos="8080"/>
        </w:tabs>
        <w:ind w:left="851" w:right="476"/>
        <w:jc w:val="both"/>
        <w:rPr>
          <w:rFonts w:ascii="Palatino Linotype" w:hAnsi="Palatino Linotype" w:cs="Arial"/>
          <w:i/>
          <w:color w:val="000000" w:themeColor="text1"/>
        </w:rPr>
      </w:pPr>
    </w:p>
    <w:p w14:paraId="128AE917" w14:textId="44F1BD2C" w:rsidR="00861897" w:rsidRPr="00697170" w:rsidRDefault="00861897" w:rsidP="00C6653E">
      <w:pPr>
        <w:pStyle w:val="Prrafodelista"/>
        <w:numPr>
          <w:ilvl w:val="0"/>
          <w:numId w:val="34"/>
        </w:numPr>
        <w:tabs>
          <w:tab w:val="left" w:pos="8080"/>
        </w:tabs>
        <w:ind w:left="851" w:right="476"/>
        <w:jc w:val="both"/>
        <w:rPr>
          <w:rFonts w:ascii="Palatino Linotype" w:hAnsi="Palatino Linotype" w:cs="Arial"/>
          <w:i/>
          <w:color w:val="000000" w:themeColor="text1"/>
        </w:rPr>
      </w:pPr>
      <w:r w:rsidRPr="00697170">
        <w:rPr>
          <w:rFonts w:ascii="Palatino Linotype" w:hAnsi="Palatino Linotype" w:cs="Arial"/>
          <w:b/>
        </w:rPr>
        <w:t>El Acuerdo del Comité de Transparencia, donde confirme la clasificación como confidencial de</w:t>
      </w:r>
      <w:r w:rsidR="00C6653E" w:rsidRPr="00697170">
        <w:rPr>
          <w:rFonts w:ascii="Palatino Linotype" w:hAnsi="Palatino Linotype" w:cs="Arial"/>
          <w:b/>
        </w:rPr>
        <w:t xml:space="preserve"> </w:t>
      </w:r>
      <w:r w:rsidRPr="00697170">
        <w:rPr>
          <w:rFonts w:ascii="Palatino Linotype" w:hAnsi="Palatino Linotype" w:cs="Arial"/>
          <w:b/>
        </w:rPr>
        <w:t>l</w:t>
      </w:r>
      <w:r w:rsidR="00C6653E" w:rsidRPr="00697170">
        <w:rPr>
          <w:rFonts w:ascii="Palatino Linotype" w:hAnsi="Palatino Linotype" w:cs="Arial"/>
          <w:b/>
        </w:rPr>
        <w:t>a</w:t>
      </w:r>
      <w:r w:rsidRPr="00697170">
        <w:rPr>
          <w:rFonts w:ascii="Palatino Linotype" w:hAnsi="Palatino Linotype" w:cs="Arial"/>
          <w:b/>
        </w:rPr>
        <w:t xml:space="preserve"> </w:t>
      </w:r>
      <w:r w:rsidR="00C6653E" w:rsidRPr="00697170">
        <w:rPr>
          <w:rFonts w:ascii="Palatino Linotype" w:hAnsi="Palatino Linotype" w:cs="Arial"/>
          <w:b/>
        </w:rPr>
        <w:t>información catastral, trámites administrativos, multas, infracciones y, conflicto de intereses relacionados con el predio señalado en la solicitud de información</w:t>
      </w:r>
      <w:r w:rsidRPr="00697170">
        <w:rPr>
          <w:rFonts w:ascii="Palatino Linotype" w:hAnsi="Palatino Linotype" w:cs="Arial"/>
          <w:b/>
        </w:rPr>
        <w:t>, de conformidad con los artículos 49, fracciones II y VIII, 132, fracción II y 143, fracción I, de la Ley de Transparencia y Acceso a la Información Pública del Estado de México y Municipio</w:t>
      </w:r>
      <w:r w:rsidR="0058073C" w:rsidRPr="00697170">
        <w:rPr>
          <w:rFonts w:ascii="Palatino Linotype" w:hAnsi="Palatino Linotype" w:cs="Arial"/>
          <w:b/>
        </w:rPr>
        <w:t>s.</w:t>
      </w:r>
    </w:p>
    <w:p w14:paraId="761CDE62" w14:textId="77777777" w:rsidR="00861897" w:rsidRPr="00697170" w:rsidRDefault="00861897" w:rsidP="00861897">
      <w:pPr>
        <w:tabs>
          <w:tab w:val="left" w:pos="8080"/>
        </w:tabs>
        <w:spacing w:line="360" w:lineRule="auto"/>
        <w:ind w:right="49"/>
        <w:jc w:val="both"/>
        <w:rPr>
          <w:rFonts w:ascii="Palatino Linotype" w:eastAsia="Palatino Linotype" w:hAnsi="Palatino Linotype" w:cs="Palatino Linotype"/>
        </w:rPr>
      </w:pPr>
    </w:p>
    <w:p w14:paraId="4C8C5D4C" w14:textId="77777777" w:rsidR="00861897" w:rsidRPr="00697170" w:rsidRDefault="00861897" w:rsidP="00861897">
      <w:pPr>
        <w:tabs>
          <w:tab w:val="left" w:pos="8080"/>
        </w:tabs>
        <w:spacing w:line="360" w:lineRule="auto"/>
        <w:ind w:right="49"/>
        <w:jc w:val="both"/>
        <w:rPr>
          <w:rFonts w:ascii="Palatino Linotype" w:eastAsia="Palatino Linotype" w:hAnsi="Palatino Linotype" w:cs="Palatino Linotype"/>
        </w:rPr>
      </w:pPr>
      <w:r w:rsidRPr="00697170">
        <w:rPr>
          <w:rFonts w:ascii="Palatino Linotype" w:eastAsia="Palatino Linotype" w:hAnsi="Palatino Linotype" w:cs="Palatino Linotype"/>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sidRPr="00697170">
        <w:rPr>
          <w:rFonts w:ascii="Palatino Linotype" w:eastAsia="Palatino Linotype" w:hAnsi="Palatino Linotype" w:cs="Palatino Linotype"/>
          <w:b/>
          <w:color w:val="000000" w:themeColor="text1"/>
        </w:rPr>
        <w:t>Recurrente</w:t>
      </w:r>
      <w:r w:rsidRPr="00697170">
        <w:rPr>
          <w:rFonts w:ascii="Palatino Linotype" w:eastAsia="Palatino Linotype" w:hAnsi="Palatino Linotype" w:cs="Palatino Linotype"/>
        </w:rPr>
        <w:t>.</w:t>
      </w:r>
    </w:p>
    <w:p w14:paraId="2DE36964" w14:textId="77777777" w:rsidR="002F20F5" w:rsidRPr="00697170" w:rsidRDefault="002F20F5" w:rsidP="00861897">
      <w:pPr>
        <w:tabs>
          <w:tab w:val="left" w:pos="8080"/>
        </w:tabs>
        <w:spacing w:line="360" w:lineRule="auto"/>
        <w:ind w:right="49"/>
        <w:jc w:val="both"/>
        <w:rPr>
          <w:rFonts w:ascii="Palatino Linotype" w:eastAsia="Palatino Linotype" w:hAnsi="Palatino Linotype" w:cs="Palatino Linotype"/>
        </w:rPr>
      </w:pPr>
    </w:p>
    <w:p w14:paraId="61618785" w14:textId="4A3B4D83" w:rsidR="002F20F5" w:rsidRPr="00697170" w:rsidRDefault="002F20F5" w:rsidP="002F20F5">
      <w:pPr>
        <w:spacing w:line="360" w:lineRule="auto"/>
        <w:ind w:right="51"/>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Para el caso, de que el </w:t>
      </w:r>
      <w:r w:rsidRPr="00697170">
        <w:rPr>
          <w:rFonts w:ascii="Palatino Linotype" w:eastAsia="Palatino Linotype" w:hAnsi="Palatino Linotype" w:cs="Palatino Linotype"/>
          <w:b/>
          <w:color w:val="000000"/>
        </w:rPr>
        <w:t>Sujeto Obligado</w:t>
      </w:r>
      <w:r w:rsidRPr="00697170">
        <w:rPr>
          <w:rFonts w:ascii="Palatino Linotype" w:eastAsia="Palatino Linotype" w:hAnsi="Palatino Linotype" w:cs="Palatino Linotype"/>
          <w:color w:val="000000"/>
        </w:rPr>
        <w:t xml:space="preserve"> no haya generado, poseído o administrado la información que se ordena en el </w:t>
      </w:r>
      <w:r w:rsidRPr="00697170">
        <w:rPr>
          <w:rFonts w:ascii="Palatino Linotype" w:eastAsia="Palatino Linotype" w:hAnsi="Palatino Linotype" w:cs="Palatino Linotype"/>
          <w:b/>
          <w:color w:val="000000"/>
        </w:rPr>
        <w:t>Inciso a)</w:t>
      </w:r>
      <w:r w:rsidR="0058073C" w:rsidRPr="00697170">
        <w:rPr>
          <w:rFonts w:ascii="Palatino Linotype" w:eastAsia="Palatino Linotype" w:hAnsi="Palatino Linotype" w:cs="Palatino Linotype"/>
          <w:color w:val="000000"/>
        </w:rPr>
        <w:t xml:space="preserve"> por ser propiedad de un particular</w:t>
      </w:r>
      <w:r w:rsidRPr="00697170">
        <w:rPr>
          <w:rFonts w:ascii="Palatino Linotype" w:eastAsia="Palatino Linotype" w:hAnsi="Palatino Linotype" w:cs="Palatino Linotype"/>
          <w:color w:val="000000"/>
        </w:rPr>
        <w:t xml:space="preserve">, bastará que lo haga del conocimiento del </w:t>
      </w:r>
      <w:r w:rsidRPr="00697170">
        <w:rPr>
          <w:rFonts w:ascii="Palatino Linotype" w:eastAsia="Palatino Linotype" w:hAnsi="Palatino Linotype" w:cs="Palatino Linotype"/>
          <w:b/>
          <w:color w:val="000000"/>
        </w:rPr>
        <w:t>Recurrente</w:t>
      </w:r>
      <w:r w:rsidRPr="00697170">
        <w:rPr>
          <w:rFonts w:ascii="Palatino Linotype" w:eastAsia="Palatino Linotype" w:hAnsi="Palatino Linotype" w:cs="Palatino Linotype"/>
          <w:color w:val="000000"/>
        </w:rPr>
        <w:t xml:space="preserve"> en términos del artículo 19 párrafo segundo de la Ley de Transparencia y Acceso a la Información Pública del Estado de México.</w:t>
      </w:r>
    </w:p>
    <w:p w14:paraId="0EF8619B" w14:textId="77777777" w:rsidR="0058073C" w:rsidRPr="00697170" w:rsidRDefault="0058073C" w:rsidP="002F20F5">
      <w:pPr>
        <w:spacing w:line="360" w:lineRule="auto"/>
        <w:ind w:right="51"/>
        <w:jc w:val="both"/>
        <w:rPr>
          <w:rFonts w:ascii="Palatino Linotype" w:eastAsia="Palatino Linotype" w:hAnsi="Palatino Linotype" w:cs="Palatino Linotype"/>
          <w:color w:val="000000"/>
        </w:rPr>
      </w:pPr>
    </w:p>
    <w:p w14:paraId="4B213D09" w14:textId="7665BB4C" w:rsidR="0058073C" w:rsidRPr="00697170" w:rsidRDefault="0058073C" w:rsidP="0058073C">
      <w:pPr>
        <w:spacing w:line="360" w:lineRule="auto"/>
        <w:ind w:right="51"/>
        <w:jc w:val="both"/>
        <w:rPr>
          <w:rFonts w:ascii="Palatino Linotype" w:eastAsia="Palatino Linotype" w:hAnsi="Palatino Linotype" w:cs="Palatino Linotype"/>
          <w:color w:val="000000"/>
        </w:rPr>
      </w:pPr>
      <w:r w:rsidRPr="00697170">
        <w:rPr>
          <w:rFonts w:ascii="Palatino Linotype" w:eastAsia="Palatino Linotype" w:hAnsi="Palatino Linotype" w:cs="Palatino Linotype"/>
          <w:color w:val="000000"/>
        </w:rPr>
        <w:t xml:space="preserve">Para el caso, de que el </w:t>
      </w:r>
      <w:r w:rsidRPr="00697170">
        <w:rPr>
          <w:rFonts w:ascii="Palatino Linotype" w:eastAsia="Palatino Linotype" w:hAnsi="Palatino Linotype" w:cs="Palatino Linotype"/>
          <w:b/>
          <w:color w:val="000000"/>
        </w:rPr>
        <w:t>Sujeto Obligado</w:t>
      </w:r>
      <w:r w:rsidRPr="00697170">
        <w:rPr>
          <w:rFonts w:ascii="Palatino Linotype" w:eastAsia="Palatino Linotype" w:hAnsi="Palatino Linotype" w:cs="Palatino Linotype"/>
          <w:color w:val="000000"/>
        </w:rPr>
        <w:t xml:space="preserve"> no haya generado, poseído o administrado la información que se ordena en el </w:t>
      </w:r>
      <w:r w:rsidRPr="00697170">
        <w:rPr>
          <w:rFonts w:ascii="Palatino Linotype" w:eastAsia="Palatino Linotype" w:hAnsi="Palatino Linotype" w:cs="Palatino Linotype"/>
          <w:b/>
          <w:color w:val="000000"/>
        </w:rPr>
        <w:t>Inciso b)</w:t>
      </w:r>
      <w:r w:rsidRPr="00697170">
        <w:rPr>
          <w:rFonts w:ascii="Palatino Linotype" w:eastAsia="Palatino Linotype" w:hAnsi="Palatino Linotype" w:cs="Palatino Linotype"/>
          <w:color w:val="000000"/>
        </w:rPr>
        <w:t xml:space="preserve"> por ser propiedad del Ayuntamiento de Rayón, bastará que lo haga del conocimiento del </w:t>
      </w:r>
      <w:r w:rsidRPr="00697170">
        <w:rPr>
          <w:rFonts w:ascii="Palatino Linotype" w:eastAsia="Palatino Linotype" w:hAnsi="Palatino Linotype" w:cs="Palatino Linotype"/>
          <w:b/>
          <w:color w:val="000000"/>
        </w:rPr>
        <w:t>Recurrente</w:t>
      </w:r>
      <w:r w:rsidRPr="00697170">
        <w:rPr>
          <w:rFonts w:ascii="Palatino Linotype" w:eastAsia="Palatino Linotype" w:hAnsi="Palatino Linotype" w:cs="Palatino Linotype"/>
          <w:color w:val="000000"/>
        </w:rPr>
        <w:t xml:space="preserve"> en términos del </w:t>
      </w:r>
      <w:r w:rsidRPr="00697170">
        <w:rPr>
          <w:rFonts w:ascii="Palatino Linotype" w:eastAsia="Palatino Linotype" w:hAnsi="Palatino Linotype" w:cs="Palatino Linotype"/>
          <w:color w:val="000000"/>
        </w:rPr>
        <w:lastRenderedPageBreak/>
        <w:t>artículo 19 párrafo segundo de la Ley de Transparencia y Acceso a la Información Pública del Estado de México.</w:t>
      </w:r>
    </w:p>
    <w:p w14:paraId="3FE404A7" w14:textId="77777777" w:rsidR="00861897" w:rsidRPr="00697170" w:rsidRDefault="00861897" w:rsidP="00861897">
      <w:pPr>
        <w:spacing w:line="360" w:lineRule="auto"/>
        <w:ind w:right="284"/>
        <w:jc w:val="both"/>
        <w:rPr>
          <w:rFonts w:ascii="Palatino Linotype" w:hAnsi="Palatino Linotype" w:cs="Arial"/>
          <w:b/>
        </w:rPr>
      </w:pPr>
    </w:p>
    <w:bookmarkEnd w:id="154"/>
    <w:bookmarkEnd w:id="155"/>
    <w:bookmarkEnd w:id="156"/>
    <w:bookmarkEnd w:id="157"/>
    <w:bookmarkEnd w:id="158"/>
    <w:bookmarkEnd w:id="159"/>
    <w:bookmarkEnd w:id="160"/>
    <w:bookmarkEnd w:id="161"/>
    <w:p w14:paraId="29933E8E" w14:textId="77777777" w:rsidR="00861897" w:rsidRPr="00697170" w:rsidRDefault="00861897" w:rsidP="00861897">
      <w:pPr>
        <w:spacing w:line="360" w:lineRule="auto"/>
        <w:jc w:val="both"/>
        <w:rPr>
          <w:rFonts w:ascii="Palatino Linotype" w:eastAsia="Times New Roman" w:hAnsi="Palatino Linotype" w:cs="Times New Roman"/>
          <w:lang w:val="es-MX"/>
        </w:rPr>
      </w:pPr>
      <w:r w:rsidRPr="00697170">
        <w:rPr>
          <w:rFonts w:ascii="Palatino Linotype" w:eastAsia="Times New Roman" w:hAnsi="Palatino Linotype" w:cs="Arial"/>
          <w:b/>
          <w:bCs/>
          <w:lang w:val="es-MX"/>
        </w:rPr>
        <w:t>TERCERO</w:t>
      </w:r>
      <w:r w:rsidRPr="00697170">
        <w:rPr>
          <w:rFonts w:ascii="Palatino Linotype" w:eastAsia="Times New Roman" w:hAnsi="Palatino Linotype" w:cs="Arial"/>
          <w:b/>
          <w:lang w:val="es-MX"/>
        </w:rPr>
        <w:t>.</w:t>
      </w:r>
      <w:r w:rsidRPr="00697170">
        <w:rPr>
          <w:rFonts w:ascii="Palatino Linotype" w:eastAsia="Palatino Linotype" w:hAnsi="Palatino Linotype" w:cs="Palatino Linotype"/>
          <w:b/>
          <w:lang w:val="es-MX"/>
        </w:rPr>
        <w:t xml:space="preserve"> </w:t>
      </w:r>
      <w:r w:rsidRPr="00697170">
        <w:rPr>
          <w:rFonts w:ascii="Palatino Linotype" w:eastAsia="Times New Roman" w:hAnsi="Palatino Linotype" w:cs="Times New Roman"/>
          <w:b/>
          <w:lang w:val="es-MX"/>
        </w:rPr>
        <w:t xml:space="preserve">Notifíquese </w:t>
      </w:r>
      <w:r w:rsidRPr="00697170">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w:t>
      </w:r>
      <w:r w:rsidRPr="00697170">
        <w:rPr>
          <w:rFonts w:ascii="Palatino Linotype" w:eastAsia="Times New Roman" w:hAnsi="Palatino Linotype" w:cs="Times New Roman"/>
          <w:b/>
          <w:lang w:val="es-MX"/>
        </w:rPr>
        <w:t>plazo de diez días hábiles</w:t>
      </w:r>
      <w:r w:rsidRPr="00697170">
        <w:rPr>
          <w:rFonts w:ascii="Palatino Linotype" w:eastAsia="Times New Roman" w:hAnsi="Palatino Linotype" w:cs="Times New Roman"/>
          <w:lang w:val="es-MX"/>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D396CB" w14:textId="77777777" w:rsidR="00861897" w:rsidRPr="00697170" w:rsidRDefault="00861897" w:rsidP="00861897">
      <w:pPr>
        <w:spacing w:line="360" w:lineRule="auto"/>
        <w:jc w:val="both"/>
        <w:rPr>
          <w:rFonts w:ascii="Palatino Linotype" w:eastAsia="Times New Roman" w:hAnsi="Palatino Linotype" w:cs="Times New Roman"/>
          <w:lang w:val="es-MX"/>
        </w:rPr>
      </w:pPr>
    </w:p>
    <w:p w14:paraId="204CAEFB" w14:textId="77777777" w:rsidR="00861897" w:rsidRPr="00697170" w:rsidRDefault="00861897" w:rsidP="00861897">
      <w:pPr>
        <w:spacing w:line="360" w:lineRule="auto"/>
        <w:jc w:val="both"/>
        <w:rPr>
          <w:rFonts w:ascii="Palatino Linotype" w:eastAsia="Calibri" w:hAnsi="Palatino Linotype" w:cs="Arial"/>
          <w:bCs/>
        </w:rPr>
      </w:pPr>
      <w:r w:rsidRPr="00697170">
        <w:rPr>
          <w:rFonts w:ascii="Palatino Linotype" w:hAnsi="Palatino Linotype" w:cs="Arial"/>
          <w:b/>
        </w:rPr>
        <w:t xml:space="preserve">CUARTO. </w:t>
      </w:r>
      <w:r w:rsidRPr="00697170">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697170">
        <w:rPr>
          <w:rFonts w:ascii="Palatino Linotype" w:eastAsia="Calibri" w:hAnsi="Palatino Linotype" w:cs="Arial"/>
          <w:b/>
          <w:bCs/>
        </w:rPr>
        <w:t>Sujeto Obligado</w:t>
      </w:r>
      <w:r w:rsidRPr="00697170">
        <w:rPr>
          <w:rFonts w:ascii="Palatino Linotype" w:eastAsia="Calibri" w:hAnsi="Palatino Linotype" w:cs="Arial"/>
          <w:bCs/>
        </w:rPr>
        <w:t xml:space="preserve"> de manera fundada y motivada, podrá solicitar una ampliación de plazo para el cumplimiento de la presente Resolución.</w:t>
      </w:r>
    </w:p>
    <w:p w14:paraId="38E1A6BB" w14:textId="77777777" w:rsidR="00861897" w:rsidRPr="00697170" w:rsidRDefault="00861897" w:rsidP="00861897">
      <w:pPr>
        <w:spacing w:line="360" w:lineRule="auto"/>
        <w:jc w:val="both"/>
        <w:rPr>
          <w:rFonts w:ascii="Palatino Linotype" w:eastAsia="Calibri" w:hAnsi="Palatino Linotype" w:cs="Arial"/>
          <w:bCs/>
        </w:rPr>
      </w:pPr>
    </w:p>
    <w:p w14:paraId="43C61BB7" w14:textId="34890763" w:rsidR="00861897" w:rsidRPr="00697170" w:rsidRDefault="00861897" w:rsidP="00861897">
      <w:pPr>
        <w:tabs>
          <w:tab w:val="left" w:pos="8080"/>
        </w:tabs>
        <w:spacing w:line="360" w:lineRule="auto"/>
        <w:ind w:right="49"/>
        <w:jc w:val="both"/>
        <w:rPr>
          <w:rFonts w:ascii="Palatino Linotype" w:eastAsia="Times New Roman" w:hAnsi="Palatino Linotype" w:cs="Times New Roman"/>
          <w:lang w:val="es-ES" w:eastAsia="es-MX"/>
        </w:rPr>
      </w:pPr>
      <w:bookmarkStart w:id="162" w:name="_Toc492590393"/>
      <w:bookmarkStart w:id="163" w:name="_Toc503891611"/>
      <w:bookmarkStart w:id="164" w:name="_Toc511647759"/>
      <w:bookmarkStart w:id="165" w:name="_Toc511647820"/>
      <w:r w:rsidRPr="00697170">
        <w:rPr>
          <w:rFonts w:ascii="Palatino Linotype" w:eastAsia="Times New Roman" w:hAnsi="Palatino Linotype" w:cs="Times New Roman"/>
          <w:b/>
        </w:rPr>
        <w:t xml:space="preserve">QUINTO. </w:t>
      </w:r>
      <w:r w:rsidRPr="00697170">
        <w:rPr>
          <w:rFonts w:ascii="Palatino Linotype" w:eastAsia="Times New Roman" w:hAnsi="Palatino Linotype" w:cs="Times New Roman"/>
        </w:rPr>
        <w:t>Notifíquese</w:t>
      </w:r>
      <w:bookmarkEnd w:id="162"/>
      <w:bookmarkEnd w:id="163"/>
      <w:bookmarkEnd w:id="164"/>
      <w:bookmarkEnd w:id="165"/>
      <w:r w:rsidRPr="00697170">
        <w:rPr>
          <w:rFonts w:ascii="Palatino Linotype" w:eastAsia="Times New Roman" w:hAnsi="Palatino Linotype" w:cs="Times New Roman"/>
        </w:rPr>
        <w:t xml:space="preserve"> al </w:t>
      </w:r>
      <w:r w:rsidRPr="00697170">
        <w:rPr>
          <w:rFonts w:ascii="Palatino Linotype" w:eastAsia="Times New Roman" w:hAnsi="Palatino Linotype" w:cs="Times New Roman"/>
          <w:b/>
        </w:rPr>
        <w:t>Recurrente</w:t>
      </w:r>
      <w:r w:rsidRPr="00697170">
        <w:rPr>
          <w:rFonts w:ascii="Palatino Linotype" w:eastAsia="Times New Roman" w:hAnsi="Palatino Linotype" w:cs="Times New Roman"/>
        </w:rPr>
        <w:t xml:space="preserve"> la presente</w:t>
      </w:r>
      <w:r w:rsidRPr="00697170">
        <w:rPr>
          <w:rFonts w:ascii="Palatino Linotype" w:eastAsia="Times New Roman" w:hAnsi="Palatino Linotype" w:cs="Times New Roman"/>
          <w:lang w:val="es-ES" w:eastAsia="es-MX"/>
        </w:rPr>
        <w:t xml:space="preserve"> Resolución, vía </w:t>
      </w:r>
      <w:r w:rsidRPr="00697170">
        <w:rPr>
          <w:rFonts w:ascii="Palatino Linotype" w:eastAsia="Times New Roman" w:hAnsi="Palatino Linotype" w:cs="Times New Roman"/>
          <w:b/>
          <w:lang w:val="es-ES" w:eastAsia="es-MX"/>
        </w:rPr>
        <w:t>SAIMEX</w:t>
      </w:r>
      <w:r w:rsidR="00C6653E" w:rsidRPr="00697170">
        <w:rPr>
          <w:rFonts w:ascii="Palatino Linotype" w:eastAsia="MS Mincho" w:hAnsi="Palatino Linotype" w:cs="Times New Roman"/>
          <w:color w:val="000000" w:themeColor="text1"/>
        </w:rPr>
        <w:t>.</w:t>
      </w:r>
    </w:p>
    <w:p w14:paraId="222215C5" w14:textId="77777777" w:rsidR="00861897" w:rsidRPr="00697170" w:rsidRDefault="00861897" w:rsidP="00861897">
      <w:pPr>
        <w:tabs>
          <w:tab w:val="left" w:pos="8080"/>
        </w:tabs>
        <w:spacing w:line="360" w:lineRule="auto"/>
        <w:ind w:right="49"/>
        <w:jc w:val="both"/>
        <w:rPr>
          <w:rFonts w:ascii="Palatino Linotype" w:eastAsia="Times New Roman" w:hAnsi="Palatino Linotype" w:cs="Times New Roman"/>
          <w:lang w:val="es-ES" w:eastAsia="es-MX"/>
        </w:rPr>
      </w:pPr>
    </w:p>
    <w:p w14:paraId="5B0347CC" w14:textId="77777777" w:rsidR="005E4BBC" w:rsidRPr="00697170" w:rsidRDefault="005E4BBC" w:rsidP="005E4BBC">
      <w:pPr>
        <w:shd w:val="clear" w:color="auto" w:fill="FFFFFF"/>
        <w:spacing w:line="360" w:lineRule="auto"/>
        <w:jc w:val="both"/>
        <w:rPr>
          <w:rFonts w:ascii="Palatino Linotype" w:eastAsia="Calibri" w:hAnsi="Palatino Linotype"/>
          <w:lang w:val="es-MX" w:eastAsia="en-US"/>
        </w:rPr>
      </w:pPr>
      <w:r w:rsidRPr="00697170">
        <w:rPr>
          <w:rFonts w:ascii="Palatino Linotype" w:eastAsia="Calibri" w:hAnsi="Palatino Linotype"/>
          <w:b/>
          <w:lang w:eastAsia="en-US"/>
        </w:rPr>
        <w:t xml:space="preserve">SEXTO. </w:t>
      </w:r>
      <w:r w:rsidRPr="00697170">
        <w:rPr>
          <w:rFonts w:ascii="Palatino Linotype" w:eastAsia="Calibri" w:hAnsi="Palatino Linotype"/>
          <w:lang w:eastAsia="en-US"/>
        </w:rPr>
        <w:t>Se hace del conocimiento del</w:t>
      </w:r>
      <w:r w:rsidRPr="00697170">
        <w:rPr>
          <w:rFonts w:ascii="Palatino Linotype" w:eastAsia="Calibri" w:hAnsi="Palatino Linotype"/>
          <w:b/>
          <w:lang w:eastAsia="en-US"/>
        </w:rPr>
        <w:t xml:space="preserve"> Recurrente </w:t>
      </w:r>
      <w:r w:rsidRPr="00697170">
        <w:rPr>
          <w:rFonts w:ascii="Palatino Linotype" w:eastAsia="Calibri" w:hAnsi="Palatino Linotype"/>
          <w:lang w:eastAsia="en-US"/>
        </w:rPr>
        <w:t xml:space="preserve">que, de conformidad con lo establecido en el artículo 196 de la Ley de Transparencia y Acceso a la Información Pública del Estado de México y Municipios, en caso de que considere que la </w:t>
      </w:r>
      <w:r w:rsidRPr="00697170">
        <w:rPr>
          <w:rFonts w:ascii="Palatino Linotype" w:eastAsia="Calibri" w:hAnsi="Palatino Linotype"/>
          <w:lang w:eastAsia="en-US"/>
        </w:rPr>
        <w:lastRenderedPageBreak/>
        <w:t>resolución le cause algún perjuicio podrá impugnarla vía recurso de inconformidad ante el Instituto Nacional de Transparencia, Acceso a la Información y Protección de Datos Personales o, vía juicio de amparo en los términos de las leyes aplicables.</w:t>
      </w:r>
    </w:p>
    <w:p w14:paraId="2CAC1387" w14:textId="77777777" w:rsidR="006B70B1" w:rsidRPr="00697170" w:rsidRDefault="006B70B1" w:rsidP="00066B5D">
      <w:pPr>
        <w:shd w:val="clear" w:color="auto" w:fill="FFFFFF"/>
        <w:spacing w:line="360" w:lineRule="auto"/>
        <w:jc w:val="both"/>
        <w:rPr>
          <w:rFonts w:ascii="Palatino Linotype" w:hAnsi="Palatino Linotype" w:cs="Arial"/>
          <w:color w:val="000000" w:themeColor="text1"/>
          <w:lang w:val="es-MX"/>
        </w:rPr>
      </w:pPr>
    </w:p>
    <w:p w14:paraId="429641EB" w14:textId="77777777" w:rsidR="008E338F" w:rsidRDefault="008E338F" w:rsidP="008E338F">
      <w:pPr>
        <w:spacing w:line="360" w:lineRule="auto"/>
        <w:ind w:firstLine="1"/>
        <w:jc w:val="both"/>
        <w:rPr>
          <w:rFonts w:ascii="Palatino Linotype" w:hAnsi="Palatino Linotype"/>
        </w:rPr>
      </w:pPr>
      <w:r w:rsidRPr="00697170">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(14) DE AGOSTO DE DOS MIL VEINTICUATRO, ANTE EL SECRETARIO TÉCNICO DEL PLENO ALEXIS TAPIA RAMÍREZ.</w:t>
      </w:r>
      <w:r w:rsidRPr="003C7186">
        <w:rPr>
          <w:rFonts w:ascii="Palatino Linotype" w:hAnsi="Palatino Linotype"/>
        </w:rPr>
        <w:t xml:space="preserve"> </w:t>
      </w:r>
    </w:p>
    <w:p w14:paraId="78D4B237" w14:textId="77777777" w:rsidR="00942616" w:rsidRPr="004D01FA" w:rsidRDefault="00942616" w:rsidP="00066B5D">
      <w:pPr>
        <w:spacing w:line="360" w:lineRule="auto"/>
        <w:jc w:val="both"/>
        <w:rPr>
          <w:rFonts w:ascii="Palatino Linotype" w:hAnsi="Palatino Linotype"/>
        </w:rPr>
      </w:pPr>
    </w:p>
    <w:p w14:paraId="12C5E111" w14:textId="77777777" w:rsidR="00942616" w:rsidRPr="004D01FA" w:rsidRDefault="00942616" w:rsidP="00066B5D">
      <w:pPr>
        <w:spacing w:line="360" w:lineRule="auto"/>
        <w:jc w:val="both"/>
        <w:rPr>
          <w:rFonts w:ascii="Palatino Linotype" w:hAnsi="Palatino Linotype"/>
        </w:rPr>
      </w:pPr>
    </w:p>
    <w:p w14:paraId="4C581108" w14:textId="77777777" w:rsidR="00942616" w:rsidRPr="004D01FA" w:rsidRDefault="00942616" w:rsidP="00066B5D">
      <w:pPr>
        <w:spacing w:line="360" w:lineRule="auto"/>
        <w:jc w:val="both"/>
        <w:rPr>
          <w:rFonts w:ascii="Palatino Linotype" w:hAnsi="Palatino Linotype"/>
        </w:rPr>
      </w:pPr>
    </w:p>
    <w:p w14:paraId="69924129" w14:textId="77777777" w:rsidR="00942616" w:rsidRPr="004D01FA" w:rsidRDefault="00942616" w:rsidP="00066B5D">
      <w:pPr>
        <w:spacing w:line="360" w:lineRule="auto"/>
        <w:jc w:val="both"/>
        <w:rPr>
          <w:rFonts w:ascii="Palatino Linotype" w:hAnsi="Palatino Linotype"/>
        </w:rPr>
      </w:pPr>
    </w:p>
    <w:p w14:paraId="2ADAB942" w14:textId="77777777" w:rsidR="00942616" w:rsidRPr="004D01FA" w:rsidRDefault="00942616" w:rsidP="00066B5D">
      <w:pPr>
        <w:spacing w:line="360" w:lineRule="auto"/>
        <w:jc w:val="both"/>
        <w:rPr>
          <w:rFonts w:ascii="Palatino Linotype" w:hAnsi="Palatino Linotype"/>
        </w:rPr>
      </w:pPr>
    </w:p>
    <w:p w14:paraId="2401DA04" w14:textId="77777777" w:rsidR="00942616" w:rsidRPr="004D01FA" w:rsidRDefault="00942616" w:rsidP="00066B5D">
      <w:pPr>
        <w:spacing w:line="360" w:lineRule="auto"/>
        <w:jc w:val="both"/>
        <w:rPr>
          <w:rFonts w:ascii="Palatino Linotype" w:hAnsi="Palatino Linotype"/>
        </w:rPr>
      </w:pPr>
    </w:p>
    <w:p w14:paraId="76159867" w14:textId="77777777" w:rsidR="00942616" w:rsidRPr="004D01FA" w:rsidRDefault="00942616" w:rsidP="00066B5D">
      <w:pPr>
        <w:spacing w:line="360" w:lineRule="auto"/>
        <w:rPr>
          <w:rFonts w:ascii="Palatino Linotype" w:hAnsi="Palatino Linotype"/>
        </w:rPr>
      </w:pPr>
    </w:p>
    <w:p w14:paraId="3584962A" w14:textId="77777777" w:rsidR="00942616" w:rsidRPr="004D01FA" w:rsidRDefault="00942616" w:rsidP="00066B5D">
      <w:pPr>
        <w:spacing w:line="360" w:lineRule="auto"/>
        <w:rPr>
          <w:rFonts w:ascii="Palatino Linotype" w:hAnsi="Palatino Linotype"/>
        </w:rPr>
      </w:pPr>
    </w:p>
    <w:p w14:paraId="3A818EB8" w14:textId="77777777" w:rsidR="00942616" w:rsidRPr="004D01FA" w:rsidRDefault="00942616" w:rsidP="00066B5D">
      <w:pPr>
        <w:spacing w:line="360" w:lineRule="auto"/>
        <w:rPr>
          <w:rFonts w:ascii="Palatino Linotype" w:hAnsi="Palatino Linotype"/>
        </w:rPr>
      </w:pPr>
    </w:p>
    <w:p w14:paraId="174CEAEF" w14:textId="77777777" w:rsidR="00942616" w:rsidRPr="004D01FA" w:rsidRDefault="00942616" w:rsidP="00066B5D">
      <w:pPr>
        <w:spacing w:line="360" w:lineRule="auto"/>
        <w:rPr>
          <w:rFonts w:ascii="Palatino Linotype" w:hAnsi="Palatino Linotype"/>
        </w:rPr>
      </w:pPr>
    </w:p>
    <w:p w14:paraId="7CDD8E3D" w14:textId="77777777" w:rsidR="00942616" w:rsidRPr="004D01FA" w:rsidRDefault="00942616" w:rsidP="00066B5D">
      <w:pPr>
        <w:spacing w:line="360" w:lineRule="auto"/>
        <w:rPr>
          <w:rFonts w:ascii="Palatino Linotype" w:hAnsi="Palatino Linotype"/>
        </w:rPr>
      </w:pPr>
    </w:p>
    <w:p w14:paraId="5AA6BBEF" w14:textId="77777777" w:rsidR="00942616" w:rsidRPr="004D01FA" w:rsidRDefault="00942616" w:rsidP="00066B5D">
      <w:pPr>
        <w:spacing w:line="360" w:lineRule="auto"/>
        <w:rPr>
          <w:rFonts w:ascii="Palatino Linotype" w:hAnsi="Palatino Linotype"/>
        </w:rPr>
      </w:pPr>
    </w:p>
    <w:p w14:paraId="4984B0BE" w14:textId="77777777" w:rsidR="00942616" w:rsidRPr="004D01FA" w:rsidRDefault="00942616" w:rsidP="00066B5D">
      <w:pPr>
        <w:spacing w:line="360" w:lineRule="auto"/>
        <w:rPr>
          <w:rFonts w:ascii="Palatino Linotype" w:hAnsi="Palatino Linotype"/>
        </w:rPr>
      </w:pPr>
    </w:p>
    <w:p w14:paraId="027D389A" w14:textId="77777777" w:rsidR="00942616" w:rsidRPr="004D01FA" w:rsidRDefault="00942616" w:rsidP="00066B5D">
      <w:pPr>
        <w:tabs>
          <w:tab w:val="left" w:pos="3374"/>
        </w:tabs>
        <w:spacing w:line="360" w:lineRule="auto"/>
        <w:rPr>
          <w:rFonts w:ascii="Palatino Linotype" w:hAnsi="Palatino Linotype"/>
        </w:rPr>
      </w:pPr>
      <w:r w:rsidRPr="004D01FA">
        <w:rPr>
          <w:rFonts w:ascii="Palatino Linotype" w:hAnsi="Palatino Linotype"/>
        </w:rPr>
        <w:tab/>
      </w:r>
    </w:p>
    <w:sectPr w:rsidR="00942616" w:rsidRPr="004D01FA"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ED8B" w14:textId="77777777" w:rsidR="00A75D14" w:rsidRDefault="00A75D14" w:rsidP="00942616">
      <w:r>
        <w:separator/>
      </w:r>
    </w:p>
  </w:endnote>
  <w:endnote w:type="continuationSeparator" w:id="0">
    <w:p w14:paraId="2597AC00" w14:textId="77777777" w:rsidR="00A75D14" w:rsidRDefault="00A75D14"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03F16F30" w:rsidR="00B66CE7" w:rsidRPr="002D6DD8" w:rsidRDefault="00B66CE7"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45C4C">
              <w:rPr>
                <w:rFonts w:ascii="Palatino Linotype" w:hAnsi="Palatino Linotype"/>
                <w:bCs/>
                <w:noProof/>
                <w:sz w:val="20"/>
              </w:rPr>
              <w:t>39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45C4C">
              <w:rPr>
                <w:rFonts w:ascii="Palatino Linotype" w:hAnsi="Palatino Linotype"/>
                <w:bCs/>
                <w:noProof/>
                <w:sz w:val="20"/>
              </w:rPr>
              <w:t>40</w:t>
            </w:r>
            <w:r>
              <w:rPr>
                <w:rFonts w:ascii="Palatino Linotype" w:hAnsi="Palatino Linotype"/>
                <w:bCs/>
                <w:noProof/>
                <w:sz w:val="20"/>
              </w:rPr>
              <w:fldChar w:fldCharType="end"/>
            </w:r>
          </w:p>
        </w:sdtContent>
      </w:sdt>
    </w:sdtContent>
  </w:sdt>
  <w:p w14:paraId="4B3C5062" w14:textId="77777777" w:rsidR="00B66CE7" w:rsidRDefault="00B66C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6085F7AA" w:rsidR="00B66CE7" w:rsidRPr="000B69FA" w:rsidRDefault="00B66CE7"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45C4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45C4C">
      <w:rPr>
        <w:rFonts w:ascii="Palatino Linotype" w:hAnsi="Palatino Linotype"/>
        <w:bCs/>
        <w:noProof/>
        <w:sz w:val="20"/>
      </w:rPr>
      <w:t>40</w:t>
    </w:r>
    <w:r>
      <w:rPr>
        <w:rFonts w:ascii="Palatino Linotype" w:hAnsi="Palatino Linotype"/>
        <w:bCs/>
        <w:noProof/>
        <w:sz w:val="20"/>
      </w:rPr>
      <w:fldChar w:fldCharType="end"/>
    </w:r>
  </w:p>
  <w:p w14:paraId="5FDB238B" w14:textId="77777777" w:rsidR="00B66CE7" w:rsidRDefault="00B66C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F46C" w14:textId="77777777" w:rsidR="00A75D14" w:rsidRDefault="00A75D14" w:rsidP="00942616">
      <w:r>
        <w:separator/>
      </w:r>
    </w:p>
  </w:footnote>
  <w:footnote w:type="continuationSeparator" w:id="0">
    <w:p w14:paraId="023C6FC0" w14:textId="77777777" w:rsidR="00A75D14" w:rsidRDefault="00A75D14" w:rsidP="00942616">
      <w:r>
        <w:continuationSeparator/>
      </w:r>
    </w:p>
  </w:footnote>
  <w:footnote w:id="1">
    <w:p w14:paraId="196342E5" w14:textId="77777777" w:rsidR="004D01FA" w:rsidRDefault="004D01FA" w:rsidP="004D01F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100A1047" w14:textId="77777777" w:rsidR="004D01FA" w:rsidRDefault="004D01FA" w:rsidP="004D01F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6D1F3966" w14:textId="77777777" w:rsidR="004D01FA" w:rsidRDefault="004D01FA" w:rsidP="004D01F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61E9F471" w14:textId="77777777" w:rsidR="004D01FA" w:rsidRDefault="004D01FA" w:rsidP="004D01F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67536C97" w14:textId="77777777" w:rsidR="004D01FA" w:rsidRDefault="004D01FA" w:rsidP="004D01FA">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0679B905" w14:textId="77777777" w:rsidR="004D01FA" w:rsidRDefault="004D01FA" w:rsidP="004D01F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06BBB855" w14:textId="77777777" w:rsidR="004D01FA" w:rsidRDefault="004D01FA" w:rsidP="004D01FA">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6A9B3B3D" w14:textId="77777777" w:rsidR="004D01FA" w:rsidRDefault="004D01FA" w:rsidP="004D01FA">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B66CE7" w:rsidRDefault="00A75D14">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B66CE7" w14:paraId="6291E73B" w14:textId="77777777" w:rsidTr="00B5153D">
      <w:trPr>
        <w:trHeight w:val="227"/>
      </w:trPr>
      <w:tc>
        <w:tcPr>
          <w:tcW w:w="2976" w:type="dxa"/>
          <w:vAlign w:val="center"/>
          <w:hideMark/>
        </w:tcPr>
        <w:p w14:paraId="785910C1" w14:textId="77777777" w:rsidR="00B66CE7" w:rsidRPr="00674A46" w:rsidRDefault="00B66CE7"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0826A8BF" w:rsidR="00B66CE7" w:rsidRPr="009304C1" w:rsidRDefault="00B66CE7"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06998</w:t>
          </w:r>
          <w:r w:rsidRPr="00253228">
            <w:rPr>
              <w:rFonts w:ascii="Palatino Linotype" w:hAnsi="Palatino Linotype" w:cs="Arial"/>
              <w:b/>
              <w:bCs/>
              <w:sz w:val="22"/>
              <w:szCs w:val="22"/>
              <w:lang w:eastAsia="es-MX"/>
            </w:rPr>
            <w:t>/INFOEM/IP/RR/2023</w:t>
          </w:r>
        </w:p>
      </w:tc>
    </w:tr>
    <w:tr w:rsidR="00B66CE7" w14:paraId="0495579F" w14:textId="77777777" w:rsidTr="00B5153D">
      <w:trPr>
        <w:trHeight w:val="242"/>
      </w:trPr>
      <w:tc>
        <w:tcPr>
          <w:tcW w:w="2976" w:type="dxa"/>
          <w:vAlign w:val="center"/>
          <w:hideMark/>
        </w:tcPr>
        <w:p w14:paraId="1260BD52" w14:textId="77777777" w:rsidR="00B66CE7" w:rsidRPr="00674A46" w:rsidRDefault="00B66CE7"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78B0151D" w:rsidR="00B66CE7" w:rsidRPr="009304C1" w:rsidRDefault="00B66CE7" w:rsidP="003441EF">
          <w:pPr>
            <w:pStyle w:val="Encabezado"/>
            <w:jc w:val="both"/>
            <w:rPr>
              <w:rFonts w:ascii="Palatino Linotype" w:hAnsi="Palatino Linotype"/>
              <w:b/>
              <w:bCs/>
              <w:color w:val="000000"/>
              <w:sz w:val="22"/>
              <w:szCs w:val="22"/>
              <w:highlight w:val="green"/>
            </w:rPr>
          </w:pPr>
          <w:r w:rsidRPr="00581E40">
            <w:rPr>
              <w:rFonts w:ascii="Palatino Linotype" w:hAnsi="Palatino Linotype"/>
              <w:b/>
              <w:bCs/>
              <w:color w:val="000000"/>
              <w:sz w:val="22"/>
              <w:szCs w:val="22"/>
            </w:rPr>
            <w:t>Ayuntamiento de Rayón</w:t>
          </w:r>
        </w:p>
      </w:tc>
    </w:tr>
    <w:tr w:rsidR="00B66CE7" w14:paraId="094D4B8E" w14:textId="77777777" w:rsidTr="00B5153D">
      <w:trPr>
        <w:trHeight w:val="342"/>
      </w:trPr>
      <w:tc>
        <w:tcPr>
          <w:tcW w:w="2976" w:type="dxa"/>
          <w:vAlign w:val="center"/>
          <w:hideMark/>
        </w:tcPr>
        <w:p w14:paraId="704F2262" w14:textId="77777777" w:rsidR="00B66CE7" w:rsidRPr="00674A46" w:rsidRDefault="00B66CE7"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B66CE7" w:rsidRPr="00485ED8" w:rsidRDefault="00B66CE7"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B66CE7" w:rsidRPr="00AE046A" w:rsidRDefault="00A75D14"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B66CE7" w14:paraId="109D31C7" w14:textId="77777777" w:rsidTr="00B5153D">
      <w:trPr>
        <w:trHeight w:val="227"/>
      </w:trPr>
      <w:tc>
        <w:tcPr>
          <w:tcW w:w="2977" w:type="dxa"/>
          <w:vAlign w:val="center"/>
          <w:hideMark/>
        </w:tcPr>
        <w:p w14:paraId="52EDE096" w14:textId="77777777" w:rsidR="00B66CE7" w:rsidRPr="00674A46" w:rsidRDefault="00B66CE7"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5457B991" w:rsidR="00B66CE7" w:rsidRPr="00361600" w:rsidRDefault="00B66CE7" w:rsidP="00E33FC7">
          <w:pPr>
            <w:pStyle w:val="Encabezado"/>
            <w:rPr>
              <w:rFonts w:ascii="Palatino Linotype" w:hAnsi="Palatino Linotype"/>
              <w:b/>
              <w:sz w:val="22"/>
              <w:szCs w:val="22"/>
              <w:highlight w:val="green"/>
            </w:rPr>
          </w:pPr>
          <w:r w:rsidRPr="00D10BFF">
            <w:rPr>
              <w:rFonts w:ascii="Palatino Linotype" w:hAnsi="Palatino Linotype" w:cs="Arial"/>
              <w:b/>
              <w:bCs/>
              <w:sz w:val="22"/>
              <w:szCs w:val="22"/>
              <w:lang w:eastAsia="es-MX"/>
            </w:rPr>
            <w:t>0</w:t>
          </w:r>
          <w:r>
            <w:rPr>
              <w:rFonts w:ascii="Palatino Linotype" w:hAnsi="Palatino Linotype" w:cs="Arial"/>
              <w:b/>
              <w:bCs/>
              <w:sz w:val="22"/>
              <w:szCs w:val="22"/>
              <w:lang w:eastAsia="es-MX"/>
            </w:rPr>
            <w:t>6998</w:t>
          </w:r>
          <w:r w:rsidRPr="00D10BFF">
            <w:rPr>
              <w:rFonts w:ascii="Palatino Linotype" w:hAnsi="Palatino Linotype" w:cs="Arial"/>
              <w:b/>
              <w:bCs/>
              <w:sz w:val="22"/>
              <w:szCs w:val="22"/>
              <w:lang w:eastAsia="es-MX"/>
            </w:rPr>
            <w:t>/INFOEM/IP/RR/2023</w:t>
          </w:r>
        </w:p>
      </w:tc>
    </w:tr>
    <w:tr w:rsidR="00B66CE7" w14:paraId="0AB7C776" w14:textId="77777777" w:rsidTr="00B5153D">
      <w:trPr>
        <w:trHeight w:val="242"/>
      </w:trPr>
      <w:tc>
        <w:tcPr>
          <w:tcW w:w="2977" w:type="dxa"/>
          <w:vAlign w:val="center"/>
          <w:hideMark/>
        </w:tcPr>
        <w:p w14:paraId="798B5FF4" w14:textId="77777777" w:rsidR="00B66CE7" w:rsidRPr="00674A46" w:rsidRDefault="00B66CE7"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6B5A5628" w:rsidR="00B66CE7" w:rsidRPr="00361600" w:rsidRDefault="000110D2" w:rsidP="00B5153D">
          <w:pPr>
            <w:pStyle w:val="Encabezado"/>
            <w:tabs>
              <w:tab w:val="left" w:pos="521"/>
            </w:tabs>
            <w:rPr>
              <w:rFonts w:ascii="Palatino Linotype" w:hAnsi="Palatino Linotype"/>
              <w:b/>
              <w:sz w:val="22"/>
              <w:szCs w:val="22"/>
              <w:highlight w:val="green"/>
            </w:rPr>
          </w:pPr>
          <w:r>
            <w:rPr>
              <w:rFonts w:ascii="Palatino Linotype" w:hAnsi="Palatino Linotype"/>
              <w:b/>
              <w:bCs/>
              <w:color w:val="000000" w:themeColor="text1"/>
              <w:sz w:val="22"/>
              <w:szCs w:val="22"/>
            </w:rPr>
            <w:t xml:space="preserve">XXX </w:t>
          </w:r>
          <w:proofErr w:type="spellStart"/>
          <w:r>
            <w:rPr>
              <w:rFonts w:ascii="Palatino Linotype" w:hAnsi="Palatino Linotype"/>
              <w:b/>
              <w:bCs/>
              <w:color w:val="000000" w:themeColor="text1"/>
              <w:sz w:val="22"/>
              <w:szCs w:val="22"/>
            </w:rPr>
            <w:t>XXX</w:t>
          </w:r>
          <w:proofErr w:type="spellEnd"/>
        </w:p>
      </w:tc>
    </w:tr>
    <w:tr w:rsidR="00B66CE7" w14:paraId="36334B37" w14:textId="77777777" w:rsidTr="00B5153D">
      <w:trPr>
        <w:trHeight w:val="342"/>
      </w:trPr>
      <w:tc>
        <w:tcPr>
          <w:tcW w:w="2977" w:type="dxa"/>
          <w:vAlign w:val="center"/>
        </w:tcPr>
        <w:p w14:paraId="476BA4F3" w14:textId="77777777" w:rsidR="00B66CE7" w:rsidRPr="00674A46" w:rsidRDefault="00B66CE7"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3337B756" w:rsidR="00B66CE7" w:rsidRPr="00361600" w:rsidRDefault="00B66CE7" w:rsidP="003441EF">
          <w:pPr>
            <w:pStyle w:val="Encabezado"/>
            <w:jc w:val="both"/>
            <w:rPr>
              <w:rFonts w:ascii="Palatino Linotype" w:hAnsi="Palatino Linotype"/>
              <w:b/>
              <w:sz w:val="22"/>
              <w:szCs w:val="22"/>
              <w:highlight w:val="green"/>
            </w:rPr>
          </w:pPr>
          <w:r w:rsidRPr="00581E40">
            <w:rPr>
              <w:rFonts w:ascii="Palatino Linotype" w:hAnsi="Palatino Linotype"/>
              <w:b/>
              <w:bCs/>
              <w:color w:val="000000"/>
              <w:sz w:val="22"/>
              <w:szCs w:val="22"/>
            </w:rPr>
            <w:t>Ayuntamiento de Rayón</w:t>
          </w:r>
        </w:p>
      </w:tc>
    </w:tr>
    <w:tr w:rsidR="00B66CE7" w14:paraId="0C6AC9F5" w14:textId="77777777" w:rsidTr="00B5153D">
      <w:trPr>
        <w:trHeight w:val="342"/>
      </w:trPr>
      <w:tc>
        <w:tcPr>
          <w:tcW w:w="2977" w:type="dxa"/>
          <w:vAlign w:val="center"/>
        </w:tcPr>
        <w:p w14:paraId="68D9479B" w14:textId="77777777" w:rsidR="00B66CE7" w:rsidRPr="00674A46" w:rsidRDefault="00B66CE7"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B66CE7" w:rsidRPr="00674A46" w:rsidRDefault="00B66CE7"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B66CE7" w:rsidRPr="00C222C0" w:rsidRDefault="00A75D14">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670094"/>
    <w:multiLevelType w:val="multilevel"/>
    <w:tmpl w:val="9932B57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EB1312A"/>
    <w:multiLevelType w:val="hybridMultilevel"/>
    <w:tmpl w:val="C3D6989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 w15:restartNumberingAfterBreak="0">
    <w:nsid w:val="206C798C"/>
    <w:multiLevelType w:val="hybridMultilevel"/>
    <w:tmpl w:val="4E462EF2"/>
    <w:lvl w:ilvl="0" w:tplc="080A0011">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ED313E"/>
    <w:multiLevelType w:val="hybridMultilevel"/>
    <w:tmpl w:val="1AF81F3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35924F83"/>
    <w:multiLevelType w:val="hybridMultilevel"/>
    <w:tmpl w:val="0F6A9DB8"/>
    <w:lvl w:ilvl="0" w:tplc="42F87DBA">
      <w:start w:val="1"/>
      <w:numFmt w:val="upperRoman"/>
      <w:lvlText w:val="%1."/>
      <w:lvlJc w:val="left"/>
      <w:pPr>
        <w:ind w:left="1138" w:hanging="185"/>
      </w:pPr>
      <w:rPr>
        <w:rFonts w:ascii="Palatino Linotype" w:eastAsia="Palatino Linotype" w:hAnsi="Palatino Linotype" w:cs="Palatino Linotype" w:hint="default"/>
        <w:i/>
        <w:iCs/>
        <w:w w:val="100"/>
        <w:sz w:val="22"/>
        <w:szCs w:val="22"/>
        <w:lang w:val="es-ES" w:eastAsia="en-US" w:bidi="ar-SA"/>
      </w:rPr>
    </w:lvl>
    <w:lvl w:ilvl="1" w:tplc="B5761D28">
      <w:numFmt w:val="bullet"/>
      <w:lvlText w:val="•"/>
      <w:lvlJc w:val="left"/>
      <w:pPr>
        <w:ind w:left="1964" w:hanging="185"/>
      </w:pPr>
      <w:rPr>
        <w:rFonts w:hint="default"/>
        <w:lang w:val="es-ES" w:eastAsia="en-US" w:bidi="ar-SA"/>
      </w:rPr>
    </w:lvl>
    <w:lvl w:ilvl="2" w:tplc="C9403760">
      <w:numFmt w:val="bullet"/>
      <w:lvlText w:val="•"/>
      <w:lvlJc w:val="left"/>
      <w:pPr>
        <w:ind w:left="2788" w:hanging="185"/>
      </w:pPr>
      <w:rPr>
        <w:rFonts w:hint="default"/>
        <w:lang w:val="es-ES" w:eastAsia="en-US" w:bidi="ar-SA"/>
      </w:rPr>
    </w:lvl>
    <w:lvl w:ilvl="3" w:tplc="ECFAC9FC">
      <w:numFmt w:val="bullet"/>
      <w:lvlText w:val="•"/>
      <w:lvlJc w:val="left"/>
      <w:pPr>
        <w:ind w:left="3612" w:hanging="185"/>
      </w:pPr>
      <w:rPr>
        <w:rFonts w:hint="default"/>
        <w:lang w:val="es-ES" w:eastAsia="en-US" w:bidi="ar-SA"/>
      </w:rPr>
    </w:lvl>
    <w:lvl w:ilvl="4" w:tplc="4C92CD8E">
      <w:numFmt w:val="bullet"/>
      <w:lvlText w:val="•"/>
      <w:lvlJc w:val="left"/>
      <w:pPr>
        <w:ind w:left="4436" w:hanging="185"/>
      </w:pPr>
      <w:rPr>
        <w:rFonts w:hint="default"/>
        <w:lang w:val="es-ES" w:eastAsia="en-US" w:bidi="ar-SA"/>
      </w:rPr>
    </w:lvl>
    <w:lvl w:ilvl="5" w:tplc="7870BB86">
      <w:numFmt w:val="bullet"/>
      <w:lvlText w:val="•"/>
      <w:lvlJc w:val="left"/>
      <w:pPr>
        <w:ind w:left="5260" w:hanging="185"/>
      </w:pPr>
      <w:rPr>
        <w:rFonts w:hint="default"/>
        <w:lang w:val="es-ES" w:eastAsia="en-US" w:bidi="ar-SA"/>
      </w:rPr>
    </w:lvl>
    <w:lvl w:ilvl="6" w:tplc="83225548">
      <w:numFmt w:val="bullet"/>
      <w:lvlText w:val="•"/>
      <w:lvlJc w:val="left"/>
      <w:pPr>
        <w:ind w:left="6084" w:hanging="185"/>
      </w:pPr>
      <w:rPr>
        <w:rFonts w:hint="default"/>
        <w:lang w:val="es-ES" w:eastAsia="en-US" w:bidi="ar-SA"/>
      </w:rPr>
    </w:lvl>
    <w:lvl w:ilvl="7" w:tplc="2C38DBD6">
      <w:numFmt w:val="bullet"/>
      <w:lvlText w:val="•"/>
      <w:lvlJc w:val="left"/>
      <w:pPr>
        <w:ind w:left="6908" w:hanging="185"/>
      </w:pPr>
      <w:rPr>
        <w:rFonts w:hint="default"/>
        <w:lang w:val="es-ES" w:eastAsia="en-US" w:bidi="ar-SA"/>
      </w:rPr>
    </w:lvl>
    <w:lvl w:ilvl="8" w:tplc="2D48A632">
      <w:numFmt w:val="bullet"/>
      <w:lvlText w:val="•"/>
      <w:lvlJc w:val="left"/>
      <w:pPr>
        <w:ind w:left="7732" w:hanging="185"/>
      </w:pPr>
      <w:rPr>
        <w:rFonts w:hint="default"/>
        <w:lang w:val="es-ES" w:eastAsia="en-US" w:bidi="ar-SA"/>
      </w:rPr>
    </w:lvl>
  </w:abstractNum>
  <w:abstractNum w:abstractNumId="17" w15:restartNumberingAfterBreak="0">
    <w:nsid w:val="38141AF0"/>
    <w:multiLevelType w:val="multilevel"/>
    <w:tmpl w:val="2D90558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9"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2C6DF9"/>
    <w:multiLevelType w:val="hybridMultilevel"/>
    <w:tmpl w:val="84729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0839D1"/>
    <w:multiLevelType w:val="hybridMultilevel"/>
    <w:tmpl w:val="334C5C00"/>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2F1B34"/>
    <w:multiLevelType w:val="hybridMultilevel"/>
    <w:tmpl w:val="0278F84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5" w15:restartNumberingAfterBreak="0">
    <w:nsid w:val="5FD07F9E"/>
    <w:multiLevelType w:val="hybridMultilevel"/>
    <w:tmpl w:val="262A7B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8E75C8"/>
    <w:multiLevelType w:val="hybridMultilevel"/>
    <w:tmpl w:val="882C8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30"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2" w15:restartNumberingAfterBreak="0">
    <w:nsid w:val="7A914D4F"/>
    <w:multiLevelType w:val="hybridMultilevel"/>
    <w:tmpl w:val="7072356C"/>
    <w:lvl w:ilvl="0" w:tplc="D53629EC">
      <w:start w:val="1"/>
      <w:numFmt w:val="lowerLetter"/>
      <w:lvlText w:val="%1)"/>
      <w:lvlJc w:val="left"/>
      <w:pPr>
        <w:ind w:left="1713" w:hanging="360"/>
      </w:pPr>
      <w:rPr>
        <w:b/>
        <w:i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3"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5"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36"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67012483">
    <w:abstractNumId w:val="14"/>
  </w:num>
  <w:num w:numId="2" w16cid:durableId="794064335">
    <w:abstractNumId w:val="34"/>
  </w:num>
  <w:num w:numId="3" w16cid:durableId="905728258">
    <w:abstractNumId w:val="36"/>
  </w:num>
  <w:num w:numId="4" w16cid:durableId="96482275">
    <w:abstractNumId w:val="2"/>
  </w:num>
  <w:num w:numId="5" w16cid:durableId="1319384140">
    <w:abstractNumId w:val="1"/>
  </w:num>
  <w:num w:numId="6" w16cid:durableId="635068982">
    <w:abstractNumId w:val="24"/>
  </w:num>
  <w:num w:numId="7" w16cid:durableId="1065179256">
    <w:abstractNumId w:val="9"/>
  </w:num>
  <w:num w:numId="8" w16cid:durableId="1248538830">
    <w:abstractNumId w:val="6"/>
  </w:num>
  <w:num w:numId="9" w16cid:durableId="1494487462">
    <w:abstractNumId w:val="13"/>
  </w:num>
  <w:num w:numId="10" w16cid:durableId="410740313">
    <w:abstractNumId w:val="0"/>
  </w:num>
  <w:num w:numId="11" w16cid:durableId="1703047170">
    <w:abstractNumId w:val="31"/>
  </w:num>
  <w:num w:numId="12" w16cid:durableId="247619863">
    <w:abstractNumId w:val="5"/>
  </w:num>
  <w:num w:numId="13" w16cid:durableId="663894201">
    <w:abstractNumId w:val="19"/>
  </w:num>
  <w:num w:numId="14" w16cid:durableId="1713001166">
    <w:abstractNumId w:val="10"/>
  </w:num>
  <w:num w:numId="15" w16cid:durableId="1022898358">
    <w:abstractNumId w:val="27"/>
  </w:num>
  <w:num w:numId="16" w16cid:durableId="114712910">
    <w:abstractNumId w:val="26"/>
  </w:num>
  <w:num w:numId="17" w16cid:durableId="666792115">
    <w:abstractNumId w:val="3"/>
  </w:num>
  <w:num w:numId="18" w16cid:durableId="428543229">
    <w:abstractNumId w:val="21"/>
  </w:num>
  <w:num w:numId="19" w16cid:durableId="995299861">
    <w:abstractNumId w:val="22"/>
  </w:num>
  <w:num w:numId="20" w16cid:durableId="735124140">
    <w:abstractNumId w:val="15"/>
  </w:num>
  <w:num w:numId="21" w16cid:durableId="950819931">
    <w:abstractNumId w:val="30"/>
  </w:num>
  <w:num w:numId="22" w16cid:durableId="419565248">
    <w:abstractNumId w:val="25"/>
  </w:num>
  <w:num w:numId="23" w16cid:durableId="1340547594">
    <w:abstractNumId w:val="7"/>
  </w:num>
  <w:num w:numId="24" w16cid:durableId="1502888444">
    <w:abstractNumId w:val="28"/>
  </w:num>
  <w:num w:numId="25" w16cid:durableId="143013393">
    <w:abstractNumId w:val="33"/>
  </w:num>
  <w:num w:numId="26" w16cid:durableId="142086161">
    <w:abstractNumId w:val="20"/>
  </w:num>
  <w:num w:numId="27" w16cid:durableId="1219710265">
    <w:abstractNumId w:val="12"/>
  </w:num>
  <w:num w:numId="28" w16cid:durableId="1229267179">
    <w:abstractNumId w:val="23"/>
  </w:num>
  <w:num w:numId="29" w16cid:durableId="1654482308">
    <w:abstractNumId w:val="35"/>
  </w:num>
  <w:num w:numId="30" w16cid:durableId="804201796">
    <w:abstractNumId w:val="11"/>
  </w:num>
  <w:num w:numId="31" w16cid:durableId="1318222849">
    <w:abstractNumId w:val="29"/>
  </w:num>
  <w:num w:numId="32" w16cid:durableId="1188177564">
    <w:abstractNumId w:val="18"/>
  </w:num>
  <w:num w:numId="33" w16cid:durableId="1873226624">
    <w:abstractNumId w:val="16"/>
  </w:num>
  <w:num w:numId="34" w16cid:durableId="2000225616">
    <w:abstractNumId w:val="32"/>
  </w:num>
  <w:num w:numId="35" w16cid:durableId="1850679403">
    <w:abstractNumId w:val="8"/>
  </w:num>
  <w:num w:numId="36" w16cid:durableId="364906862">
    <w:abstractNumId w:val="4"/>
  </w:num>
  <w:num w:numId="37" w16cid:durableId="18304377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06CA3"/>
    <w:rsid w:val="00010A78"/>
    <w:rsid w:val="000110D2"/>
    <w:rsid w:val="00011A6E"/>
    <w:rsid w:val="00021171"/>
    <w:rsid w:val="00052F1C"/>
    <w:rsid w:val="000624A9"/>
    <w:rsid w:val="00064325"/>
    <w:rsid w:val="00066953"/>
    <w:rsid w:val="00066B5D"/>
    <w:rsid w:val="000B03F3"/>
    <w:rsid w:val="000B0F98"/>
    <w:rsid w:val="000C12D7"/>
    <w:rsid w:val="000D2DAF"/>
    <w:rsid w:val="000D662C"/>
    <w:rsid w:val="000D6692"/>
    <w:rsid w:val="000F29F0"/>
    <w:rsid w:val="000F48E5"/>
    <w:rsid w:val="000F78C3"/>
    <w:rsid w:val="001108CF"/>
    <w:rsid w:val="001125D8"/>
    <w:rsid w:val="00113410"/>
    <w:rsid w:val="00117DAF"/>
    <w:rsid w:val="00133699"/>
    <w:rsid w:val="00153FA9"/>
    <w:rsid w:val="00177927"/>
    <w:rsid w:val="0018037E"/>
    <w:rsid w:val="0018393D"/>
    <w:rsid w:val="001A1023"/>
    <w:rsid w:val="001B1D3E"/>
    <w:rsid w:val="001B24AC"/>
    <w:rsid w:val="001E27D8"/>
    <w:rsid w:val="001E7732"/>
    <w:rsid w:val="001F3DF0"/>
    <w:rsid w:val="002059E3"/>
    <w:rsid w:val="00210567"/>
    <w:rsid w:val="00217A91"/>
    <w:rsid w:val="00222293"/>
    <w:rsid w:val="0022467E"/>
    <w:rsid w:val="002376E1"/>
    <w:rsid w:val="00242378"/>
    <w:rsid w:val="00253228"/>
    <w:rsid w:val="002539BD"/>
    <w:rsid w:val="0025558C"/>
    <w:rsid w:val="00262C1E"/>
    <w:rsid w:val="00264692"/>
    <w:rsid w:val="00267813"/>
    <w:rsid w:val="00270BB6"/>
    <w:rsid w:val="002754EE"/>
    <w:rsid w:val="002765D6"/>
    <w:rsid w:val="00282598"/>
    <w:rsid w:val="002847CD"/>
    <w:rsid w:val="00292ACC"/>
    <w:rsid w:val="002943FC"/>
    <w:rsid w:val="002A1DCF"/>
    <w:rsid w:val="002B540C"/>
    <w:rsid w:val="002F20F5"/>
    <w:rsid w:val="00326529"/>
    <w:rsid w:val="003441EF"/>
    <w:rsid w:val="00354E4C"/>
    <w:rsid w:val="00361600"/>
    <w:rsid w:val="003C236F"/>
    <w:rsid w:val="003D26D9"/>
    <w:rsid w:val="003D2889"/>
    <w:rsid w:val="003D7FD3"/>
    <w:rsid w:val="003E76A0"/>
    <w:rsid w:val="003F0E12"/>
    <w:rsid w:val="004278C7"/>
    <w:rsid w:val="00432766"/>
    <w:rsid w:val="00437A3C"/>
    <w:rsid w:val="004434D6"/>
    <w:rsid w:val="00470EDD"/>
    <w:rsid w:val="00473888"/>
    <w:rsid w:val="004968BD"/>
    <w:rsid w:val="004A1E90"/>
    <w:rsid w:val="004B07FE"/>
    <w:rsid w:val="004B1C4A"/>
    <w:rsid w:val="004B65C0"/>
    <w:rsid w:val="004C67A5"/>
    <w:rsid w:val="004D01FA"/>
    <w:rsid w:val="004D1B9C"/>
    <w:rsid w:val="004D3CDC"/>
    <w:rsid w:val="004F003E"/>
    <w:rsid w:val="00522F39"/>
    <w:rsid w:val="00525901"/>
    <w:rsid w:val="005259CD"/>
    <w:rsid w:val="00527700"/>
    <w:rsid w:val="00535787"/>
    <w:rsid w:val="00537651"/>
    <w:rsid w:val="00570E37"/>
    <w:rsid w:val="00570FE3"/>
    <w:rsid w:val="0058073C"/>
    <w:rsid w:val="00581E40"/>
    <w:rsid w:val="005B0B59"/>
    <w:rsid w:val="005B1FC5"/>
    <w:rsid w:val="005D3335"/>
    <w:rsid w:val="005D5C9E"/>
    <w:rsid w:val="005D63E1"/>
    <w:rsid w:val="005E4BBC"/>
    <w:rsid w:val="005E51DC"/>
    <w:rsid w:val="00626E5B"/>
    <w:rsid w:val="006300B8"/>
    <w:rsid w:val="006373D0"/>
    <w:rsid w:val="00644735"/>
    <w:rsid w:val="006603F1"/>
    <w:rsid w:val="00665E19"/>
    <w:rsid w:val="00667034"/>
    <w:rsid w:val="00667AA7"/>
    <w:rsid w:val="00670DFC"/>
    <w:rsid w:val="0067244C"/>
    <w:rsid w:val="00693E67"/>
    <w:rsid w:val="00697170"/>
    <w:rsid w:val="006977CD"/>
    <w:rsid w:val="006A2166"/>
    <w:rsid w:val="006B70B1"/>
    <w:rsid w:val="006C5DB2"/>
    <w:rsid w:val="006D300E"/>
    <w:rsid w:val="006D5102"/>
    <w:rsid w:val="006E2483"/>
    <w:rsid w:val="006E285D"/>
    <w:rsid w:val="006E6FFC"/>
    <w:rsid w:val="006E76C7"/>
    <w:rsid w:val="006F4F17"/>
    <w:rsid w:val="007173E4"/>
    <w:rsid w:val="00722086"/>
    <w:rsid w:val="00727550"/>
    <w:rsid w:val="0074082A"/>
    <w:rsid w:val="00741581"/>
    <w:rsid w:val="007416B5"/>
    <w:rsid w:val="0074431C"/>
    <w:rsid w:val="00750429"/>
    <w:rsid w:val="007505E5"/>
    <w:rsid w:val="007563F2"/>
    <w:rsid w:val="0075791C"/>
    <w:rsid w:val="00773D34"/>
    <w:rsid w:val="00790E1F"/>
    <w:rsid w:val="007B21AE"/>
    <w:rsid w:val="007C0931"/>
    <w:rsid w:val="007C50BE"/>
    <w:rsid w:val="007E0F24"/>
    <w:rsid w:val="007F683A"/>
    <w:rsid w:val="00806B67"/>
    <w:rsid w:val="0084030D"/>
    <w:rsid w:val="00844CA2"/>
    <w:rsid w:val="00852DB7"/>
    <w:rsid w:val="00857156"/>
    <w:rsid w:val="00857CE9"/>
    <w:rsid w:val="00861897"/>
    <w:rsid w:val="00866A8C"/>
    <w:rsid w:val="008A7701"/>
    <w:rsid w:val="008B4DFF"/>
    <w:rsid w:val="008C3EE4"/>
    <w:rsid w:val="008E338F"/>
    <w:rsid w:val="008E52E6"/>
    <w:rsid w:val="008E5CCE"/>
    <w:rsid w:val="009057E9"/>
    <w:rsid w:val="00917368"/>
    <w:rsid w:val="00923E55"/>
    <w:rsid w:val="00927755"/>
    <w:rsid w:val="009304C1"/>
    <w:rsid w:val="009330EC"/>
    <w:rsid w:val="00937641"/>
    <w:rsid w:val="0094085B"/>
    <w:rsid w:val="00942616"/>
    <w:rsid w:val="00947717"/>
    <w:rsid w:val="00952475"/>
    <w:rsid w:val="0098690D"/>
    <w:rsid w:val="00990819"/>
    <w:rsid w:val="009A746F"/>
    <w:rsid w:val="009D2E60"/>
    <w:rsid w:val="009D694F"/>
    <w:rsid w:val="009E2F74"/>
    <w:rsid w:val="009E4E36"/>
    <w:rsid w:val="009E6CAC"/>
    <w:rsid w:val="009F776A"/>
    <w:rsid w:val="009F7BD4"/>
    <w:rsid w:val="00A23C77"/>
    <w:rsid w:val="00A37EC4"/>
    <w:rsid w:val="00A45C4C"/>
    <w:rsid w:val="00A5352D"/>
    <w:rsid w:val="00A6168B"/>
    <w:rsid w:val="00A727B4"/>
    <w:rsid w:val="00A731FE"/>
    <w:rsid w:val="00A742BF"/>
    <w:rsid w:val="00A75D14"/>
    <w:rsid w:val="00A81EAE"/>
    <w:rsid w:val="00A96419"/>
    <w:rsid w:val="00AA409D"/>
    <w:rsid w:val="00AB7AD7"/>
    <w:rsid w:val="00AC2734"/>
    <w:rsid w:val="00AD44A3"/>
    <w:rsid w:val="00AD54BF"/>
    <w:rsid w:val="00AF6678"/>
    <w:rsid w:val="00B1171E"/>
    <w:rsid w:val="00B2050B"/>
    <w:rsid w:val="00B40C71"/>
    <w:rsid w:val="00B42DFD"/>
    <w:rsid w:val="00B461E4"/>
    <w:rsid w:val="00B5153D"/>
    <w:rsid w:val="00B66CE7"/>
    <w:rsid w:val="00B74CC6"/>
    <w:rsid w:val="00B9030F"/>
    <w:rsid w:val="00B96015"/>
    <w:rsid w:val="00BC1A99"/>
    <w:rsid w:val="00BE7209"/>
    <w:rsid w:val="00C16196"/>
    <w:rsid w:val="00C259CE"/>
    <w:rsid w:val="00C479BF"/>
    <w:rsid w:val="00C6653E"/>
    <w:rsid w:val="00C777E4"/>
    <w:rsid w:val="00C92688"/>
    <w:rsid w:val="00CA3460"/>
    <w:rsid w:val="00CB3AAC"/>
    <w:rsid w:val="00CC56ED"/>
    <w:rsid w:val="00CC57A5"/>
    <w:rsid w:val="00CC5958"/>
    <w:rsid w:val="00CD40B6"/>
    <w:rsid w:val="00CE20E5"/>
    <w:rsid w:val="00CE263C"/>
    <w:rsid w:val="00CF6FE8"/>
    <w:rsid w:val="00D00D74"/>
    <w:rsid w:val="00D02172"/>
    <w:rsid w:val="00D05A0E"/>
    <w:rsid w:val="00D10BFF"/>
    <w:rsid w:val="00D22BA7"/>
    <w:rsid w:val="00D23459"/>
    <w:rsid w:val="00D369A7"/>
    <w:rsid w:val="00D432FD"/>
    <w:rsid w:val="00D45631"/>
    <w:rsid w:val="00D7279B"/>
    <w:rsid w:val="00D77A40"/>
    <w:rsid w:val="00D806CA"/>
    <w:rsid w:val="00D97091"/>
    <w:rsid w:val="00DF2E42"/>
    <w:rsid w:val="00E06F7D"/>
    <w:rsid w:val="00E120A9"/>
    <w:rsid w:val="00E20E23"/>
    <w:rsid w:val="00E24E41"/>
    <w:rsid w:val="00E33FC7"/>
    <w:rsid w:val="00E42E25"/>
    <w:rsid w:val="00E43DBB"/>
    <w:rsid w:val="00E45754"/>
    <w:rsid w:val="00E620F7"/>
    <w:rsid w:val="00E626A4"/>
    <w:rsid w:val="00E82518"/>
    <w:rsid w:val="00E84FB7"/>
    <w:rsid w:val="00E91E53"/>
    <w:rsid w:val="00E9244F"/>
    <w:rsid w:val="00E929D5"/>
    <w:rsid w:val="00E96B5C"/>
    <w:rsid w:val="00E9762F"/>
    <w:rsid w:val="00EB377D"/>
    <w:rsid w:val="00EE056A"/>
    <w:rsid w:val="00EE1B3C"/>
    <w:rsid w:val="00EE2921"/>
    <w:rsid w:val="00EE2973"/>
    <w:rsid w:val="00EE5D31"/>
    <w:rsid w:val="00EF4C98"/>
    <w:rsid w:val="00F01855"/>
    <w:rsid w:val="00F01EE4"/>
    <w:rsid w:val="00F321A7"/>
    <w:rsid w:val="00F3329F"/>
    <w:rsid w:val="00F37AFB"/>
    <w:rsid w:val="00F407D7"/>
    <w:rsid w:val="00F50589"/>
    <w:rsid w:val="00F626F3"/>
    <w:rsid w:val="00F66E32"/>
    <w:rsid w:val="00F85628"/>
    <w:rsid w:val="00F86A68"/>
    <w:rsid w:val="00FB2B34"/>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4552548-96B1-4DF0-A854-B2C896B9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EE056A"/>
    <w:pPr>
      <w:spacing w:after="0" w:line="240" w:lineRule="auto"/>
    </w:pPr>
    <w:rPr>
      <w:rFonts w:eastAsiaTheme="minorEastAsia"/>
      <w:sz w:val="24"/>
      <w:szCs w:val="24"/>
      <w:lang w:val="es-ES_tradnl" w:eastAsia="es-ES"/>
    </w:rPr>
  </w:style>
  <w:style w:type="character" w:customStyle="1" w:styleId="SinespaciadoCar">
    <w:name w:val="Sin espaciado Car"/>
    <w:aliases w:val="Francesa Car,Fundamentos Car,INAI Car"/>
    <w:link w:val="Sinespaciado"/>
    <w:uiPriority w:val="1"/>
    <w:qFormat/>
    <w:locked/>
    <w:rsid w:val="00EE056A"/>
    <w:rPr>
      <w:rFonts w:eastAsiaTheme="minorEastAsia"/>
      <w:sz w:val="24"/>
      <w:szCs w:val="24"/>
      <w:lang w:val="es-ES_tradnl" w:eastAsia="es-ES"/>
    </w:rPr>
  </w:style>
  <w:style w:type="paragraph" w:styleId="Textoindependiente">
    <w:name w:val="Body Text"/>
    <w:basedOn w:val="Normal"/>
    <w:link w:val="TextoindependienteCar"/>
    <w:rsid w:val="005E51DC"/>
    <w:pPr>
      <w:jc w:val="both"/>
    </w:pPr>
    <w:rPr>
      <w:rFonts w:ascii="Arial" w:eastAsia="Times New Roman" w:hAnsi="Arial" w:cs="Times New Roman"/>
      <w:szCs w:val="20"/>
      <w:lang w:val="es-MX" w:eastAsia="es-ES_tradnl"/>
    </w:rPr>
  </w:style>
  <w:style w:type="character" w:customStyle="1" w:styleId="TextoindependienteCar">
    <w:name w:val="Texto independiente Car"/>
    <w:basedOn w:val="Fuentedeprrafopredeter"/>
    <w:link w:val="Textoindependiente"/>
    <w:rsid w:val="005E51DC"/>
    <w:rPr>
      <w:rFonts w:ascii="Arial" w:eastAsia="Times New Roman" w:hAnsi="Arial" w:cs="Times New Roman"/>
      <w:sz w:val="24"/>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5641">
      <w:bodyDiv w:val="1"/>
      <w:marLeft w:val="0"/>
      <w:marRight w:val="0"/>
      <w:marTop w:val="0"/>
      <w:marBottom w:val="0"/>
      <w:divBdr>
        <w:top w:val="none" w:sz="0" w:space="0" w:color="auto"/>
        <w:left w:val="none" w:sz="0" w:space="0" w:color="auto"/>
        <w:bottom w:val="none" w:sz="0" w:space="0" w:color="auto"/>
        <w:right w:val="none" w:sz="0" w:space="0" w:color="auto"/>
      </w:divBdr>
    </w:div>
    <w:div w:id="20543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A450-05DD-41CC-AE61-D7F75B13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40</Pages>
  <Words>9759</Words>
  <Characters>53679</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20</cp:revision>
  <cp:lastPrinted>2024-08-16T04:45:00Z</cp:lastPrinted>
  <dcterms:created xsi:type="dcterms:W3CDTF">2024-08-08T03:07:00Z</dcterms:created>
  <dcterms:modified xsi:type="dcterms:W3CDTF">2024-09-10T17:44:00Z</dcterms:modified>
</cp:coreProperties>
</file>