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64E45" w14:textId="77777777" w:rsidR="002714E7" w:rsidRDefault="002714E7">
      <w:pPr>
        <w:widowControl w:val="0"/>
        <w:pBdr>
          <w:top w:val="nil"/>
          <w:left w:val="nil"/>
          <w:bottom w:val="nil"/>
          <w:right w:val="nil"/>
          <w:between w:val="nil"/>
        </w:pBdr>
        <w:spacing w:line="276" w:lineRule="auto"/>
      </w:pPr>
    </w:p>
    <w:p w14:paraId="27B588EE" w14:textId="77777777" w:rsidR="002714E7" w:rsidRDefault="00734FB5">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Resolución del Pleno del Instituto de Transparencia, Acceso a la Información Pública y Protección de Datos Personales del Estado de México y Municipios, con domicilio en Metepec, Es</w:t>
      </w:r>
      <w:r w:rsidR="009E6DDC">
        <w:rPr>
          <w:rFonts w:ascii="Palatino Linotype" w:eastAsia="Palatino Linotype" w:hAnsi="Palatino Linotype" w:cs="Palatino Linotype"/>
          <w:highlight w:val="white"/>
        </w:rPr>
        <w:t>tado de México; de fecha seis (06)</w:t>
      </w:r>
      <w:r>
        <w:rPr>
          <w:rFonts w:ascii="Palatino Linotype" w:eastAsia="Palatino Linotype" w:hAnsi="Palatino Linotype" w:cs="Palatino Linotype"/>
          <w:highlight w:val="white"/>
        </w:rPr>
        <w:t xml:space="preserve"> de </w:t>
      </w:r>
      <w:r w:rsidR="009E6DDC">
        <w:rPr>
          <w:rFonts w:ascii="Palatino Linotype" w:eastAsia="Palatino Linotype" w:hAnsi="Palatino Linotype" w:cs="Palatino Linotype"/>
          <w:highlight w:val="white"/>
        </w:rPr>
        <w:t>noviembre</w:t>
      </w:r>
      <w:r>
        <w:rPr>
          <w:rFonts w:ascii="Palatino Linotype" w:eastAsia="Palatino Linotype" w:hAnsi="Palatino Linotype" w:cs="Palatino Linotype"/>
          <w:highlight w:val="white"/>
        </w:rPr>
        <w:t xml:space="preserve"> de dos mil veinticuatro.</w:t>
      </w:r>
    </w:p>
    <w:p w14:paraId="7A52E075" w14:textId="77777777" w:rsidR="002714E7" w:rsidRDefault="002714E7">
      <w:pPr>
        <w:spacing w:line="360" w:lineRule="auto"/>
        <w:jc w:val="both"/>
        <w:rPr>
          <w:rFonts w:ascii="Palatino Linotype" w:eastAsia="Palatino Linotype" w:hAnsi="Palatino Linotype" w:cs="Palatino Linotype"/>
          <w:highlight w:val="white"/>
        </w:rPr>
      </w:pPr>
    </w:p>
    <w:p w14:paraId="5879EC14" w14:textId="413FD51C" w:rsidR="002714E7" w:rsidRDefault="00734FB5">
      <w:pPr>
        <w:pBdr>
          <w:top w:val="nil"/>
          <w:left w:val="nil"/>
          <w:bottom w:val="nil"/>
          <w:right w:val="nil"/>
          <w:between w:val="nil"/>
        </w:pBdr>
        <w:tabs>
          <w:tab w:val="center" w:pos="4419"/>
          <w:tab w:val="right" w:pos="8838"/>
        </w:tabs>
        <w:spacing w:line="360" w:lineRule="auto"/>
        <w:jc w:val="both"/>
        <w:rPr>
          <w:rFonts w:ascii="Palatino Linotype" w:eastAsia="Palatino Linotype" w:hAnsi="Palatino Linotype" w:cs="Palatino Linotype"/>
          <w:color w:val="000000"/>
          <w:highlight w:val="white"/>
        </w:rPr>
      </w:pPr>
      <w:bookmarkStart w:id="0" w:name="_heading=h.gjdgxs" w:colFirst="0" w:colLast="0"/>
      <w:bookmarkEnd w:id="0"/>
      <w:r>
        <w:rPr>
          <w:rFonts w:ascii="Palatino Linotype" w:eastAsia="Palatino Linotype" w:hAnsi="Palatino Linotype" w:cs="Palatino Linotype"/>
          <w:b/>
          <w:color w:val="000000"/>
          <w:highlight w:val="white"/>
        </w:rPr>
        <w:t xml:space="preserve">VISTOS </w:t>
      </w:r>
      <w:r>
        <w:rPr>
          <w:rFonts w:ascii="Palatino Linotype" w:eastAsia="Palatino Linotype" w:hAnsi="Palatino Linotype" w:cs="Palatino Linotype"/>
          <w:color w:val="000000"/>
          <w:highlight w:val="white"/>
        </w:rPr>
        <w:t xml:space="preserve">los expedientes electrónicos formados con motivo de los recursos de revisión </w:t>
      </w:r>
      <w:r>
        <w:rPr>
          <w:rFonts w:ascii="Palatino Linotype" w:eastAsia="Palatino Linotype" w:hAnsi="Palatino Linotype" w:cs="Palatino Linotype"/>
          <w:b/>
          <w:color w:val="000000"/>
          <w:highlight w:val="white"/>
        </w:rPr>
        <w:t xml:space="preserve">04733/INFOEM/IP/RR/2024, 04891/INFOEM/IP/RR/2024, 04892/INFOEM/IP/RR/2024, 04893/INFOEM/IP/RR/2024, 04894/INFOEM/IP/RR/2024, 04895/INFOEM/IP/RR/2024, 04896/INFOEM/IP/RR/2024, 05017/INFOEM/IP/RR/2024, 05018/INFOEM/IP/RR/2024 </w:t>
      </w:r>
      <w:r>
        <w:rPr>
          <w:rFonts w:ascii="Palatino Linotype" w:eastAsia="Palatino Linotype" w:hAnsi="Palatino Linotype" w:cs="Palatino Linotype"/>
          <w:color w:val="000000"/>
          <w:highlight w:val="white"/>
        </w:rPr>
        <w:t>y</w:t>
      </w:r>
      <w:r>
        <w:rPr>
          <w:rFonts w:ascii="Palatino Linotype" w:eastAsia="Palatino Linotype" w:hAnsi="Palatino Linotype" w:cs="Palatino Linotype"/>
          <w:b/>
          <w:color w:val="000000"/>
          <w:highlight w:val="white"/>
        </w:rPr>
        <w:t xml:space="preserve"> 05020/INFOEM/IP/RR/2024 </w:t>
      </w:r>
      <w:r>
        <w:rPr>
          <w:rFonts w:ascii="Palatino Linotype" w:eastAsia="Palatino Linotype" w:hAnsi="Palatino Linotype" w:cs="Palatino Linotype"/>
          <w:color w:val="000000"/>
          <w:highlight w:val="white"/>
        </w:rPr>
        <w:t>acumulados</w:t>
      </w:r>
      <w:r w:rsidR="009E6DDC">
        <w:rPr>
          <w:rFonts w:ascii="Palatino Linotype" w:eastAsia="Palatino Linotype" w:hAnsi="Palatino Linotype" w:cs="Palatino Linotype"/>
          <w:color w:val="000000"/>
          <w:highlight w:val="white"/>
        </w:rPr>
        <w:t>,</w:t>
      </w:r>
      <w:r>
        <w:rPr>
          <w:rFonts w:ascii="Palatino Linotype" w:eastAsia="Palatino Linotype" w:hAnsi="Palatino Linotype" w:cs="Palatino Linotype"/>
          <w:b/>
          <w:color w:val="000000"/>
          <w:highlight w:val="white"/>
        </w:rPr>
        <w:t xml:space="preserve"> </w:t>
      </w:r>
      <w:r>
        <w:rPr>
          <w:rFonts w:ascii="Palatino Linotype" w:eastAsia="Palatino Linotype" w:hAnsi="Palatino Linotype" w:cs="Palatino Linotype"/>
          <w:color w:val="000000"/>
          <w:highlight w:val="white"/>
        </w:rPr>
        <w:t xml:space="preserve">promovidos por </w:t>
      </w:r>
      <w:r w:rsidR="00C60976">
        <w:rPr>
          <w:rFonts w:ascii="Palatino Linotype" w:eastAsia="Palatino Linotype" w:hAnsi="Palatino Linotype" w:cs="Palatino Linotype"/>
          <w:b/>
          <w:color w:val="000000"/>
          <w:highlight w:val="white"/>
        </w:rPr>
        <w:t xml:space="preserve">XXX </w:t>
      </w:r>
      <w:proofErr w:type="spellStart"/>
      <w:r w:rsidR="00C60976">
        <w:rPr>
          <w:rFonts w:ascii="Palatino Linotype" w:eastAsia="Palatino Linotype" w:hAnsi="Palatino Linotype" w:cs="Palatino Linotype"/>
          <w:b/>
          <w:color w:val="000000"/>
          <w:highlight w:val="white"/>
        </w:rPr>
        <w:t>XXX</w:t>
      </w:r>
      <w:proofErr w:type="spellEnd"/>
      <w:r>
        <w:rPr>
          <w:rFonts w:ascii="Palatino Linotype" w:eastAsia="Palatino Linotype" w:hAnsi="Palatino Linotype" w:cs="Palatino Linotype"/>
          <w:color w:val="000000"/>
          <w:highlight w:val="white"/>
        </w:rPr>
        <w:t xml:space="preserve">, en su calidad de </w:t>
      </w:r>
      <w:r>
        <w:rPr>
          <w:rFonts w:ascii="Palatino Linotype" w:eastAsia="Palatino Linotype" w:hAnsi="Palatino Linotype" w:cs="Palatino Linotype"/>
          <w:b/>
          <w:color w:val="000000"/>
          <w:highlight w:val="white"/>
        </w:rPr>
        <w:t>RECURRENTE</w:t>
      </w:r>
      <w:r>
        <w:rPr>
          <w:rFonts w:ascii="Palatino Linotype" w:eastAsia="Palatino Linotype" w:hAnsi="Palatino Linotype" w:cs="Palatino Linotype"/>
          <w:color w:val="000000"/>
          <w:highlight w:val="white"/>
        </w:rPr>
        <w:t xml:space="preserve">, en contra de las respuestas del </w:t>
      </w:r>
      <w:r>
        <w:rPr>
          <w:rFonts w:ascii="Palatino Linotype" w:eastAsia="Palatino Linotype" w:hAnsi="Palatino Linotype" w:cs="Palatino Linotype"/>
          <w:b/>
          <w:color w:val="000000"/>
          <w:highlight w:val="white"/>
        </w:rPr>
        <w:t>Ayuntamiento de Tlalmanalco</w:t>
      </w:r>
      <w:r>
        <w:rPr>
          <w:rFonts w:ascii="Palatino Linotype" w:eastAsia="Palatino Linotype" w:hAnsi="Palatino Linotype" w:cs="Palatino Linotype"/>
          <w:color w:val="000000"/>
          <w:highlight w:val="white"/>
        </w:rPr>
        <w:t>,</w:t>
      </w:r>
      <w:r>
        <w:rPr>
          <w:rFonts w:ascii="Palatino Linotype" w:eastAsia="Palatino Linotype" w:hAnsi="Palatino Linotype" w:cs="Palatino Linotype"/>
          <w:b/>
          <w:color w:val="000000"/>
          <w:highlight w:val="white"/>
        </w:rPr>
        <w:t xml:space="preserve"> </w:t>
      </w:r>
      <w:r>
        <w:rPr>
          <w:rFonts w:ascii="Palatino Linotype" w:eastAsia="Palatino Linotype" w:hAnsi="Palatino Linotype" w:cs="Palatino Linotype"/>
          <w:color w:val="000000"/>
          <w:highlight w:val="white"/>
        </w:rPr>
        <w:t>en lo sucesivo el</w:t>
      </w:r>
      <w:r>
        <w:rPr>
          <w:rFonts w:ascii="Palatino Linotype" w:eastAsia="Palatino Linotype" w:hAnsi="Palatino Linotype" w:cs="Palatino Linotype"/>
          <w:b/>
          <w:color w:val="000000"/>
          <w:highlight w:val="white"/>
        </w:rPr>
        <w:t xml:space="preserve"> SUJETO OBLIGADO, </w:t>
      </w:r>
      <w:r>
        <w:rPr>
          <w:rFonts w:ascii="Palatino Linotype" w:eastAsia="Palatino Linotype" w:hAnsi="Palatino Linotype" w:cs="Palatino Linotype"/>
          <w:color w:val="000000"/>
          <w:highlight w:val="white"/>
        </w:rPr>
        <w:t>se procede a dictar la presente Resolución, con base en los siguientes:</w:t>
      </w:r>
    </w:p>
    <w:p w14:paraId="5862939B" w14:textId="77777777" w:rsidR="002714E7" w:rsidRDefault="002714E7">
      <w:pPr>
        <w:pBdr>
          <w:top w:val="nil"/>
          <w:left w:val="nil"/>
          <w:bottom w:val="nil"/>
          <w:right w:val="nil"/>
          <w:between w:val="nil"/>
        </w:pBdr>
        <w:tabs>
          <w:tab w:val="center" w:pos="4419"/>
          <w:tab w:val="right" w:pos="8838"/>
        </w:tabs>
        <w:spacing w:line="360" w:lineRule="auto"/>
        <w:jc w:val="both"/>
        <w:rPr>
          <w:rFonts w:ascii="Palatino Linotype" w:eastAsia="Palatino Linotype" w:hAnsi="Palatino Linotype" w:cs="Palatino Linotype"/>
          <w:color w:val="000000"/>
          <w:highlight w:val="white"/>
        </w:rPr>
      </w:pPr>
    </w:p>
    <w:p w14:paraId="58C58111" w14:textId="77777777" w:rsidR="002714E7" w:rsidRDefault="00734FB5">
      <w:pPr>
        <w:pStyle w:val="Ttulo1"/>
        <w:spacing w:before="0" w:line="360" w:lineRule="auto"/>
        <w:jc w:val="center"/>
        <w:rPr>
          <w:rFonts w:ascii="Palatino Linotype" w:eastAsia="Palatino Linotype" w:hAnsi="Palatino Linotype" w:cs="Palatino Linotype"/>
          <w:b/>
          <w:color w:val="000000"/>
          <w:sz w:val="24"/>
          <w:szCs w:val="24"/>
          <w:highlight w:val="white"/>
        </w:rPr>
      </w:pPr>
      <w:bookmarkStart w:id="1" w:name="_heading=h.30j0zll" w:colFirst="0" w:colLast="0"/>
      <w:bookmarkEnd w:id="1"/>
      <w:r>
        <w:rPr>
          <w:rFonts w:ascii="Palatino Linotype" w:eastAsia="Palatino Linotype" w:hAnsi="Palatino Linotype" w:cs="Palatino Linotype"/>
          <w:b/>
          <w:color w:val="000000"/>
          <w:sz w:val="24"/>
          <w:szCs w:val="24"/>
          <w:highlight w:val="white"/>
        </w:rPr>
        <w:t>A N T E C E D E N T E S</w:t>
      </w:r>
    </w:p>
    <w:p w14:paraId="2BF54843" w14:textId="77777777" w:rsidR="002714E7" w:rsidRDefault="002714E7">
      <w:pPr>
        <w:spacing w:line="360" w:lineRule="auto"/>
        <w:rPr>
          <w:rFonts w:ascii="Palatino Linotype" w:eastAsia="Palatino Linotype" w:hAnsi="Palatino Linotype" w:cs="Palatino Linotype"/>
          <w:highlight w:val="white"/>
        </w:rPr>
      </w:pPr>
    </w:p>
    <w:p w14:paraId="7BE1F912"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Los días</w:t>
      </w:r>
      <w:r>
        <w:rPr>
          <w:rFonts w:ascii="Palatino Linotype" w:eastAsia="Palatino Linotype" w:hAnsi="Palatino Linotype" w:cs="Palatino Linotype"/>
          <w:b/>
          <w:color w:val="000000"/>
          <w:highlight w:val="white"/>
        </w:rPr>
        <w:t xml:space="preserve"> </w:t>
      </w:r>
      <w:r>
        <w:rPr>
          <w:rFonts w:ascii="Palatino Linotype" w:eastAsia="Palatino Linotype" w:hAnsi="Palatino Linotype" w:cs="Palatino Linotype"/>
          <w:color w:val="000000"/>
          <w:highlight w:val="white"/>
        </w:rPr>
        <w:t>uno</w:t>
      </w:r>
      <w:r>
        <w:rPr>
          <w:rFonts w:ascii="Palatino Linotype" w:eastAsia="Palatino Linotype" w:hAnsi="Palatino Linotype" w:cs="Palatino Linotype"/>
          <w:b/>
          <w:color w:val="000000"/>
          <w:highlight w:val="white"/>
        </w:rPr>
        <w:t>, dos, tres, ocho y, nueve de julio de dos mil veinticuatro</w:t>
      </w:r>
      <w:r>
        <w:rPr>
          <w:rFonts w:ascii="Palatino Linotype" w:eastAsia="Palatino Linotype" w:hAnsi="Palatino Linotype" w:cs="Palatino Linotype"/>
          <w:color w:val="000000"/>
          <w:highlight w:val="white"/>
        </w:rPr>
        <w:t xml:space="preserve">, </w:t>
      </w:r>
      <w:r>
        <w:rPr>
          <w:rFonts w:ascii="Palatino Linotype" w:eastAsia="Palatino Linotype" w:hAnsi="Palatino Linotype" w:cs="Palatino Linotype"/>
          <w:b/>
          <w:color w:val="000000"/>
          <w:highlight w:val="white"/>
        </w:rPr>
        <w:t xml:space="preserve">LA </w:t>
      </w:r>
      <w:r>
        <w:rPr>
          <w:rFonts w:ascii="Palatino Linotype" w:eastAsia="Palatino Linotype" w:hAnsi="Palatino Linotype" w:cs="Palatino Linotype"/>
          <w:color w:val="000000"/>
          <w:highlight w:val="white"/>
        </w:rPr>
        <w:t>RECURRENTE</w:t>
      </w:r>
      <w:r>
        <w:rPr>
          <w:rFonts w:ascii="Palatino Linotype" w:eastAsia="Palatino Linotype" w:hAnsi="Palatino Linotype" w:cs="Palatino Linotype"/>
          <w:b/>
          <w:color w:val="000000"/>
          <w:highlight w:val="white"/>
        </w:rPr>
        <w:t xml:space="preserve"> </w:t>
      </w:r>
      <w:r>
        <w:rPr>
          <w:rFonts w:ascii="Palatino Linotype" w:eastAsia="Palatino Linotype" w:hAnsi="Palatino Linotype" w:cs="Palatino Linotype"/>
          <w:color w:val="000000"/>
          <w:highlight w:val="white"/>
        </w:rPr>
        <w:t>presentó</w:t>
      </w:r>
      <w:r>
        <w:rPr>
          <w:rFonts w:ascii="Palatino Linotype" w:eastAsia="Palatino Linotype" w:hAnsi="Palatino Linotype" w:cs="Palatino Linotype"/>
          <w:b/>
          <w:color w:val="000000"/>
          <w:highlight w:val="white"/>
        </w:rPr>
        <w:t>,</w:t>
      </w:r>
      <w:r>
        <w:rPr>
          <w:rFonts w:ascii="Palatino Linotype" w:eastAsia="Palatino Linotype" w:hAnsi="Palatino Linotype" w:cs="Palatino Linotype"/>
          <w:color w:val="000000"/>
          <w:highlight w:val="white"/>
        </w:rPr>
        <w:t xml:space="preserve"> ante el </w:t>
      </w:r>
      <w:r>
        <w:rPr>
          <w:rFonts w:ascii="Palatino Linotype" w:eastAsia="Palatino Linotype" w:hAnsi="Palatino Linotype" w:cs="Palatino Linotype"/>
          <w:b/>
          <w:color w:val="000000"/>
          <w:highlight w:val="white"/>
        </w:rPr>
        <w:t>SUJETO OBLIGADO</w:t>
      </w:r>
      <w:r>
        <w:rPr>
          <w:rFonts w:ascii="Palatino Linotype" w:eastAsia="Palatino Linotype" w:hAnsi="Palatino Linotype" w:cs="Palatino Linotype"/>
          <w:color w:val="000000"/>
          <w:highlight w:val="white"/>
        </w:rPr>
        <w:t xml:space="preserve"> vía Sistema de Acceso a la Información Mexiquense (</w:t>
      </w:r>
      <w:r>
        <w:rPr>
          <w:rFonts w:ascii="Palatino Linotype" w:eastAsia="Palatino Linotype" w:hAnsi="Palatino Linotype" w:cs="Palatino Linotype"/>
          <w:b/>
          <w:color w:val="000000"/>
          <w:highlight w:val="white"/>
        </w:rPr>
        <w:t>SAIMEX)</w:t>
      </w:r>
      <w:r>
        <w:rPr>
          <w:rFonts w:ascii="Palatino Linotype" w:eastAsia="Palatino Linotype" w:hAnsi="Palatino Linotype" w:cs="Palatino Linotype"/>
          <w:color w:val="000000"/>
          <w:highlight w:val="white"/>
        </w:rPr>
        <w:t>, las solicitudes de información públicas registradas con los números:</w:t>
      </w:r>
      <w:r>
        <w:rPr>
          <w:rFonts w:ascii="Palatino Linotype" w:eastAsia="Palatino Linotype" w:hAnsi="Palatino Linotype" w:cs="Palatino Linotype"/>
          <w:b/>
          <w:color w:val="000000"/>
          <w:highlight w:val="white"/>
        </w:rPr>
        <w:t xml:space="preserve"> 00092/TLALMANA/IP/2024, </w:t>
      </w:r>
      <w:r>
        <w:rPr>
          <w:rFonts w:ascii="Palatino Linotype" w:eastAsia="Palatino Linotype" w:hAnsi="Palatino Linotype" w:cs="Palatino Linotype"/>
          <w:b/>
          <w:color w:val="000000"/>
          <w:highlight w:val="white"/>
        </w:rPr>
        <w:lastRenderedPageBreak/>
        <w:t>00094/TLALMANA/IP/2024, 00095/TLALMANA/IP/2024, 00096/TLALMANA/IP/2024,</w:t>
      </w:r>
      <w:r>
        <w:rPr>
          <w:rFonts w:ascii="Palatino Linotype" w:eastAsia="Palatino Linotype" w:hAnsi="Palatino Linotype" w:cs="Palatino Linotype"/>
          <w:b/>
          <w:color w:val="000000"/>
          <w:highlight w:val="white"/>
        </w:rPr>
        <w:tab/>
        <w:t>00097/TLALMANA/IP/2024, 00098/TLALMANA/IP/2024, 00099/TLALMANA/IP/2024, 00106/TLALMANA/IP/2024, 00104/TLALMANA/IP/2024</w:t>
      </w:r>
      <w:r>
        <w:rPr>
          <w:rFonts w:ascii="Palatino Linotype" w:eastAsia="Palatino Linotype" w:hAnsi="Palatino Linotype" w:cs="Palatino Linotype"/>
          <w:b/>
          <w:color w:val="000000"/>
          <w:highlight w:val="white"/>
        </w:rPr>
        <w:tab/>
        <w:t xml:space="preserve">y 00105/TLALMANA/IP/2024 </w:t>
      </w:r>
      <w:r>
        <w:rPr>
          <w:rFonts w:ascii="Palatino Linotype" w:eastAsia="Palatino Linotype" w:hAnsi="Palatino Linotype" w:cs="Palatino Linotype"/>
          <w:color w:val="000000"/>
          <w:highlight w:val="white"/>
        </w:rPr>
        <w:t>mediante la cual solicitó lo siguiente:</w:t>
      </w:r>
    </w:p>
    <w:p w14:paraId="271D135D"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217C98F3"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Número de Folio de la Solicitud: </w:t>
      </w:r>
      <w:r>
        <w:rPr>
          <w:rFonts w:ascii="Palatino Linotype" w:eastAsia="Palatino Linotype" w:hAnsi="Palatino Linotype" w:cs="Palatino Linotype"/>
          <w:b/>
          <w:color w:val="000000"/>
          <w:highlight w:val="white"/>
        </w:rPr>
        <w:t>00092/TLALMANA/IP/2024</w:t>
      </w:r>
    </w:p>
    <w:p w14:paraId="440464AA"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Solicito la siguiente información actualizada a la fecha de la entrega del Servidor </w:t>
      </w:r>
      <w:proofErr w:type="spellStart"/>
      <w:r>
        <w:rPr>
          <w:rFonts w:ascii="Palatino Linotype" w:eastAsia="Palatino Linotype" w:hAnsi="Palatino Linotype" w:cs="Palatino Linotype"/>
          <w:i/>
          <w:color w:val="000000"/>
          <w:highlight w:val="white"/>
        </w:rPr>
        <w:t>Publico</w:t>
      </w:r>
      <w:proofErr w:type="spellEnd"/>
      <w:r>
        <w:rPr>
          <w:rFonts w:ascii="Palatino Linotype" w:eastAsia="Palatino Linotype" w:hAnsi="Palatino Linotype" w:cs="Palatino Linotype"/>
          <w:i/>
          <w:color w:val="000000"/>
          <w:highlight w:val="white"/>
        </w:rPr>
        <w:t xml:space="preserve"> C. ALFREDO RUIZ HERNÁNDEZ y en caso de que algún documento contenga datos personales y/o sensibles solcito que esta información se me sea entrega en formato PDF y en VERSIÓN PÚBLICA 1.-Curricular Vitae 2.- Comprobante de ultimo grado es estudios 3.- Nombramiento si este fuera el caso de los distintos cargos y/o puestos que se le haya asignado en las distintas Áreas de la Administración 2022-2024 el cual dio inicio en el mes de enero del 2022 al 30 de junio del 2024 4.- Documento </w:t>
      </w:r>
      <w:r>
        <w:rPr>
          <w:rFonts w:ascii="Palatino Linotype" w:eastAsia="Palatino Linotype" w:hAnsi="Palatino Linotype" w:cs="Palatino Linotype"/>
          <w:i/>
          <w:color w:val="000000"/>
          <w:highlight w:val="white"/>
        </w:rPr>
        <w:lastRenderedPageBreak/>
        <w:t>que acredite no estar Inscrito en el Registro de Deudores Alimentarios Morosos en el Estado ni en ninguna otra Entidad Federativa 5.- Nombre Áreas de Adscripción a las que ha pertenecido en forma detallada desde el inicio de la administración 2022-2024 el cual dio inicio en el mes de enero del 2022 al 30 de junio del 2024 (Altas, bajas y/o cambio de adscripción) 6.- Informe detallado de las funciones y atribuciones específicas de los distintos cargos y/o puestos que se le haya asignado en las distintas Áreas de la Administración 2022-2024 el cual dio inicio en el mes del 01 enero del 2022 al 30 de junio del 2024. 7.- Listas de asistencia con horario de entrada y salida del mes de enero del 2022 al 30 de junio del 2024. 8.- Recibo de Nómina y/o de Remuneración además de los recibos por concepto de Aguinaldo y primas vacacionales del mes del 01 de enero del 2022 al 30 de junio del 2024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w:t>
      </w:r>
    </w:p>
    <w:p w14:paraId="7796A50C" w14:textId="77777777" w:rsidR="002714E7" w:rsidRDefault="002714E7">
      <w:pPr>
        <w:pBdr>
          <w:top w:val="nil"/>
          <w:left w:val="nil"/>
          <w:bottom w:val="nil"/>
          <w:right w:val="nil"/>
          <w:between w:val="nil"/>
        </w:pBdr>
        <w:spacing w:line="360" w:lineRule="auto"/>
        <w:ind w:left="567" w:right="680"/>
        <w:jc w:val="both"/>
        <w:rPr>
          <w:rFonts w:ascii="Palatino Linotype" w:eastAsia="Palatino Linotype" w:hAnsi="Palatino Linotype" w:cs="Palatino Linotype"/>
          <w:color w:val="000000"/>
          <w:highlight w:val="white"/>
        </w:rPr>
      </w:pPr>
    </w:p>
    <w:p w14:paraId="6946AEA6"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Número de Folio de la Solicitud: </w:t>
      </w:r>
      <w:r>
        <w:rPr>
          <w:rFonts w:ascii="Palatino Linotype" w:eastAsia="Palatino Linotype" w:hAnsi="Palatino Linotype" w:cs="Palatino Linotype"/>
          <w:b/>
          <w:color w:val="000000"/>
          <w:highlight w:val="white"/>
        </w:rPr>
        <w:t>00094/TLALMANA/IP/2024</w:t>
      </w:r>
    </w:p>
    <w:p w14:paraId="57A708B8"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"Con fundamento a lo dispuesto en los artículos 6° (sexto) y 8° (Octavo) de la Constitución Política de los Estados Unidos Mexicanos, Articulo 5 de la </w:t>
      </w:r>
      <w:r>
        <w:rPr>
          <w:rFonts w:ascii="Palatino Linotype" w:eastAsia="Palatino Linotype" w:hAnsi="Palatino Linotype" w:cs="Palatino Linotype"/>
          <w:i/>
          <w:color w:val="000000"/>
          <w:highlight w:val="white"/>
        </w:rPr>
        <w:lastRenderedPageBreak/>
        <w:t xml:space="preserve">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Solicito la siguiente información actualizada a la fecha de la entrega del Servidor Público C. ANA LAURA MARTINEZ PARRA y en caso de que algún documento contenga datos personales y/o sensibles solcito que esta información se me sea entrega en formato PDF y en VERSIÓN PÚBLICA 1.-Curricular Vitae 2.- Comprobante de ultimo grado es estudios 3.- Nombramiento si este fuera el caso de los distintos cargos y/o puestos que se le haya asignado en las distintas Áreas de la Administración 2022-2024 el cual dio inicio en el mes de enero del 2022 al 30 de junio del 2024 4.- Documento que acredite no estar Inscrito en el Registro de Deudores Alimentarios Morosos en el Estado ni en ninguna otra Entidad Federativa 5.- Nombre Áreas de Adscripción a las que ha pertenecido en forma detallada desde el inicio de la administración 2022-2024 el cual dio inicio en el mes de enero del 2022 al 30 de junio del 2024 (Altas, bajas y/o cambio de adscripción) 6.- Informe detallado de las funciones y atribuciones específicas de los distintos cargos y/o puestos que se le haya asignado en las distintas Áreas de la Administración 2022-2024 el cual dio inicio en el mes del 01 enero del 2022 al 30 de junio del 2024. 7.- Listas de asistencia con horario de entrada y salida del mes de enero del 2022 al 30 de junio </w:t>
      </w:r>
      <w:r>
        <w:rPr>
          <w:rFonts w:ascii="Palatino Linotype" w:eastAsia="Palatino Linotype" w:hAnsi="Palatino Linotype" w:cs="Palatino Linotype"/>
          <w:i/>
          <w:color w:val="000000"/>
          <w:highlight w:val="white"/>
        </w:rPr>
        <w:lastRenderedPageBreak/>
        <w:t>del 2024. 8.- Recibo de Nómina y/o de Remuneración además de los recibos por concepto de Aguinaldo y primas vacacionales del mes del 01 de enero del 2022 al 30 de junio del 2024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w:t>
      </w:r>
    </w:p>
    <w:p w14:paraId="3E0662B2" w14:textId="77777777" w:rsidR="002714E7" w:rsidRDefault="002714E7">
      <w:pPr>
        <w:pBdr>
          <w:top w:val="nil"/>
          <w:left w:val="nil"/>
          <w:bottom w:val="nil"/>
          <w:right w:val="nil"/>
          <w:between w:val="nil"/>
        </w:pBdr>
        <w:spacing w:line="360" w:lineRule="auto"/>
        <w:ind w:left="567" w:right="680"/>
        <w:jc w:val="both"/>
        <w:rPr>
          <w:rFonts w:ascii="Palatino Linotype" w:eastAsia="Palatino Linotype" w:hAnsi="Palatino Linotype" w:cs="Palatino Linotype"/>
          <w:color w:val="000000"/>
          <w:highlight w:val="white"/>
        </w:rPr>
      </w:pPr>
    </w:p>
    <w:p w14:paraId="16051711"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color w:val="000000"/>
          <w:highlight w:val="white"/>
        </w:rPr>
        <w:t xml:space="preserve">Número de Folio de la Solicitud: </w:t>
      </w:r>
      <w:r>
        <w:rPr>
          <w:rFonts w:ascii="Palatino Linotype" w:eastAsia="Palatino Linotype" w:hAnsi="Palatino Linotype" w:cs="Palatino Linotype"/>
          <w:b/>
          <w:color w:val="000000"/>
          <w:highlight w:val="white"/>
        </w:rPr>
        <w:t>00095/TLALMANA/IP/2024</w:t>
      </w:r>
    </w:p>
    <w:p w14:paraId="5C5296D4"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Solicito la siguiente información actualizada a la fecha de la entrega del Servidor Público C. ALINE MARISELA PEREZ TORRES y en caso de que algún documento contenga datos personales y/o sensibles solcito que esta información se me sea entrega en formato PDF y en VERSIÓN PÚBLICA 1.-Curricular Vitae 2.- Comprobante de ultimo grado es estudios 3.- Nombramiento si este fuera el caso de los distintos cargos y/o puestos </w:t>
      </w:r>
      <w:r>
        <w:rPr>
          <w:rFonts w:ascii="Palatino Linotype" w:eastAsia="Palatino Linotype" w:hAnsi="Palatino Linotype" w:cs="Palatino Linotype"/>
          <w:i/>
          <w:color w:val="000000"/>
          <w:highlight w:val="white"/>
        </w:rPr>
        <w:lastRenderedPageBreak/>
        <w:t>que se le haya asignado en las distintas Áreas de la Administración 2022-2024 el cual dio inicio en el mes de enero del 2022 al 30 de junio del 2024 4.- Documento que acredite no estar Inscrito en el Registro de Deudores Alimentarios Morosos en el Estado ni en ninguna otra Entidad Federativa 5.- Nombre Áreas de Adscripción a las que ha pertenecido en forma detallada desde el inicio de la administración 2022-2024 el cual dio inicio en el mes de enero del 2022 al 30 de junio del 2024 (Altas, bajas y/o cambio de adscripción) 6.- Informe detallado de las funciones y atribuciones específicas de los distintos cargos y/o puestos que se le haya asignado en las distintas Áreas de la Administración 2022-2024 el cual dio inicio en el mes del 01 enero del 2022 al 30 de junio del 2024. 7.- Listas de asistencia con horario de entrada y salida del mes de enero del 2022 al 30 de junio del 2024. 8.- Recibo de Nómina y/o de Remuneración además de los recibos por concepto de Aguinaldo y primas vacacionales del mes del 01 de enero del 2022 al 30 de junio del 2024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w:t>
      </w:r>
    </w:p>
    <w:p w14:paraId="677130EF" w14:textId="77777777" w:rsidR="002714E7" w:rsidRDefault="002714E7">
      <w:pPr>
        <w:pBdr>
          <w:top w:val="nil"/>
          <w:left w:val="nil"/>
          <w:bottom w:val="nil"/>
          <w:right w:val="nil"/>
          <w:between w:val="nil"/>
        </w:pBdr>
        <w:spacing w:line="360" w:lineRule="auto"/>
        <w:ind w:left="567" w:right="680"/>
        <w:jc w:val="both"/>
        <w:rPr>
          <w:rFonts w:ascii="Palatino Linotype" w:eastAsia="Palatino Linotype" w:hAnsi="Palatino Linotype" w:cs="Palatino Linotype"/>
          <w:i/>
          <w:color w:val="000000"/>
          <w:highlight w:val="white"/>
        </w:rPr>
      </w:pPr>
    </w:p>
    <w:p w14:paraId="7C6F2C91"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color w:val="000000"/>
          <w:highlight w:val="white"/>
        </w:rPr>
        <w:t xml:space="preserve">Número de Folio de la Solicitud: </w:t>
      </w:r>
      <w:r>
        <w:rPr>
          <w:rFonts w:ascii="Palatino Linotype" w:eastAsia="Palatino Linotype" w:hAnsi="Palatino Linotype" w:cs="Palatino Linotype"/>
          <w:b/>
          <w:color w:val="000000"/>
          <w:highlight w:val="white"/>
        </w:rPr>
        <w:t>00096/TLALMANA/IP/2024</w:t>
      </w:r>
    </w:p>
    <w:p w14:paraId="500DBE85"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lastRenderedPageBreak/>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Solicito la siguiente información actualizada a la fecha de la entrega del Servidor Público C. CARLOS RAMSES TORRES LAZARO y en caso de que algún documento contenga datos personales y/o sensibles solcito que esta información se me sea entrega en formato PDF y en VERSIÓN PÚBLICA 1.-Curricular Vitae 2.- Comprobante de ultimo grado es estudios 3.- Nombramiento si este fuera el caso de los distintos cargos y/o puestos que se le haya asignado en las distintas Áreas de la Administración 2022-2024 el cual dio inicio en el mes de enero del 2022 al 30 de junio del 2024 4.- Documento que acredite no estar Inscrito en el Registro de Deudores Alimentarios Morosos en el Estado ni en ninguna otra Entidad Federativa 5.- Nombre Áreas de Adscripción a las que ha pertenecido en forma detallada desde el inicio de la administración 2022-2024 el cual dio inicio en el mes de enero del 2022 al 30 de junio del 2024 (Altas, bajas y/o cambio de adscripción) 6.- Informe detallado de las funciones y atribuciones específicas de los distintos cargos y/o puestos que se le haya asignado en las distintas Áreas de la Administración 2022-2024 el cual </w:t>
      </w:r>
      <w:r>
        <w:rPr>
          <w:rFonts w:ascii="Palatino Linotype" w:eastAsia="Palatino Linotype" w:hAnsi="Palatino Linotype" w:cs="Palatino Linotype"/>
          <w:i/>
          <w:color w:val="000000"/>
          <w:highlight w:val="white"/>
        </w:rPr>
        <w:lastRenderedPageBreak/>
        <w:t>dio inicio en el mes del 01 enero del 2022 al 30 de junio del 2024. 7.- Listas de asistencia con horario de entrada y salida del mes de enero del 2022 al 30 de junio del 2024. 8.- Recibo de Nómina y/o de Remuneración además de los recibos por concepto de Aguinaldo y primas vacacionales del mes del 01 de enero del 2022 al 30 de junio del 2024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w:t>
      </w:r>
    </w:p>
    <w:p w14:paraId="3A52DA4B" w14:textId="77777777" w:rsidR="002714E7" w:rsidRDefault="002714E7">
      <w:pPr>
        <w:pBdr>
          <w:top w:val="nil"/>
          <w:left w:val="nil"/>
          <w:bottom w:val="nil"/>
          <w:right w:val="nil"/>
          <w:between w:val="nil"/>
        </w:pBdr>
        <w:spacing w:line="360" w:lineRule="auto"/>
        <w:ind w:left="567" w:right="680"/>
        <w:jc w:val="both"/>
        <w:rPr>
          <w:rFonts w:ascii="Palatino Linotype" w:eastAsia="Palatino Linotype" w:hAnsi="Palatino Linotype" w:cs="Palatino Linotype"/>
          <w:i/>
          <w:color w:val="000000"/>
          <w:highlight w:val="white"/>
        </w:rPr>
      </w:pPr>
    </w:p>
    <w:p w14:paraId="178D5141"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color w:val="000000"/>
          <w:highlight w:val="white"/>
        </w:rPr>
        <w:t xml:space="preserve">Número de Folio de la Solicitud: </w:t>
      </w:r>
      <w:r>
        <w:rPr>
          <w:rFonts w:ascii="Palatino Linotype" w:eastAsia="Palatino Linotype" w:hAnsi="Palatino Linotype" w:cs="Palatino Linotype"/>
          <w:b/>
          <w:color w:val="000000"/>
          <w:highlight w:val="white"/>
        </w:rPr>
        <w:t>00096/TLALMANA/IP/2024</w:t>
      </w:r>
    </w:p>
    <w:p w14:paraId="2372F492"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Solicito la siguiente información actualizada a la fecha de la entrega del Servidor Público C. CARLOS RAMSES TORRES LAZARO y en caso de que algún documento contenga datos personales y/o sensibles solcito que esta información se me sea entrega en formato PDF y en </w:t>
      </w:r>
      <w:r>
        <w:rPr>
          <w:rFonts w:ascii="Palatino Linotype" w:eastAsia="Palatino Linotype" w:hAnsi="Palatino Linotype" w:cs="Palatino Linotype"/>
          <w:i/>
          <w:color w:val="000000"/>
          <w:highlight w:val="white"/>
        </w:rPr>
        <w:lastRenderedPageBreak/>
        <w:t>VERSIÓN PÚBLICA 1.-Curricular Vitae 2.- Comprobante de ultimo grado es estudios 3.- Nombramiento si este fuera el caso de los distintos cargos y/o puestos que se le haya asignado en las distintas Áreas de la Administración 2022-2024 el cual dio inicio en el mes de enero del 2022 al 30 de junio del 2024 4.- Documento que acredite no estar Inscrito en el Registro de Deudores Alimentarios Morosos en el Estado ni en ninguna otra Entidad Federativa 5.- Nombre Áreas de Adscripción a las que ha pertenecido en forma detallada desde el inicio de la administración 2022-2024 el cual dio inicio en el mes de enero del 2022 al 30 de junio del 2024 (Altas, bajas y/o cambio de adscripción) 6.- Informe detallado de las funciones y atribuciones específicas de los distintos cargos y/o puestos que se le haya asignado en las distintas Áreas de la Administración 2022-2024 el cual dio inicio en el mes del 01 enero del 2022 al 30 de junio del 2024. 7.- Listas de asistencia con horario de entrada y salida del mes de enero del 2022 al 30 de junio del 2024. 8.- Recibo de Nómina y/o de Remuneración además de los recibos por concepto de Aguinaldo y primas vacacionales del mes del 01 de enero del 2022 al 30 de junio del 2024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w:t>
      </w:r>
    </w:p>
    <w:p w14:paraId="0C1D433C"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color w:val="000000"/>
          <w:highlight w:val="white"/>
        </w:rPr>
        <w:lastRenderedPageBreak/>
        <w:t xml:space="preserve">Número de Folio de la Solicitud: </w:t>
      </w:r>
      <w:r>
        <w:rPr>
          <w:rFonts w:ascii="Palatino Linotype" w:eastAsia="Palatino Linotype" w:hAnsi="Palatino Linotype" w:cs="Palatino Linotype"/>
          <w:b/>
          <w:color w:val="000000"/>
          <w:highlight w:val="white"/>
        </w:rPr>
        <w:t>00097/TLALMANA/IP/2024</w:t>
      </w:r>
    </w:p>
    <w:p w14:paraId="59A8FF21"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i/>
          <w:color w:val="000000"/>
          <w:highlight w:val="white"/>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Solicito la siguiente información actualizada a la fecha de la entrega del Servidor Público C. DAVID VENTURA HIDALGO y en caso de que algún documento contenga datos personales y/o sensibles solcito que esta información se me sea entrega en formato PDF y en VERSIÓN PÚBLICA 1.-Curricular Vitae 2.- Comprobante de ultimo grado es estudios 3.- Nombramiento si este fuera el caso de los distintos cargos y/o puestos que se le haya asignado en las distintas Áreas de la Administración 2022-2024 el cual dio inicio en el mes de enero del 2022 al 30 de junio del 2024 4.- Documento que acredite no estar Inscrito en el Registro de Deudores Alimentarios Morosos en el Estado ni en ninguna otra Entidad Federativa 5.- Nombre Áreas de Adscripción a las que ha pertenecido en forma detallada desde el inicio de la administración 2022-2024 el cual dio inicio en el mes de enero del 2022 al 30 de junio del 2024 (Altas, bajas y/o cambio de adscripción) 6.- Informe detallado de las funciones y atribuciones específicas de los distintos cargos y/o puestos que se </w:t>
      </w:r>
      <w:r>
        <w:rPr>
          <w:rFonts w:ascii="Palatino Linotype" w:eastAsia="Palatino Linotype" w:hAnsi="Palatino Linotype" w:cs="Palatino Linotype"/>
          <w:i/>
          <w:color w:val="000000"/>
          <w:highlight w:val="white"/>
        </w:rPr>
        <w:lastRenderedPageBreak/>
        <w:t>le haya asignado en las distintas Áreas de la Administración 2022-2024 el cual dio inicio en el mes del 01 enero del 2022 al 30 de junio del 2024. 7.- Listas de asistencia con horario de entrada y salida del mes de enero del 2022 al 30 de junio del 2024. 8.- Recibo de Nómina y/o de Remuneración además de los recibos por concepto de Aguinaldo y primas vacacionales del 01 de enero del 2022 al 30 de junio del 2024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w:t>
      </w:r>
    </w:p>
    <w:p w14:paraId="435086E1" w14:textId="77777777" w:rsidR="002714E7" w:rsidRDefault="002714E7">
      <w:pPr>
        <w:pBdr>
          <w:top w:val="nil"/>
          <w:left w:val="nil"/>
          <w:bottom w:val="nil"/>
          <w:right w:val="nil"/>
          <w:between w:val="nil"/>
        </w:pBdr>
        <w:spacing w:line="360" w:lineRule="auto"/>
        <w:ind w:left="567" w:right="680"/>
        <w:jc w:val="both"/>
        <w:rPr>
          <w:rFonts w:ascii="Palatino Linotype" w:eastAsia="Palatino Linotype" w:hAnsi="Palatino Linotype" w:cs="Palatino Linotype"/>
          <w:color w:val="000000"/>
          <w:highlight w:val="white"/>
        </w:rPr>
      </w:pPr>
    </w:p>
    <w:p w14:paraId="0353432E"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color w:val="000000"/>
          <w:highlight w:val="white"/>
        </w:rPr>
        <w:t xml:space="preserve">Número de Folio de la Solicitud: </w:t>
      </w:r>
      <w:r>
        <w:rPr>
          <w:rFonts w:ascii="Palatino Linotype" w:eastAsia="Palatino Linotype" w:hAnsi="Palatino Linotype" w:cs="Palatino Linotype"/>
          <w:b/>
          <w:color w:val="000000"/>
          <w:highlight w:val="white"/>
        </w:rPr>
        <w:t>00098/TLALMANA/IP/2024</w:t>
      </w:r>
    </w:p>
    <w:p w14:paraId="2C44DC3B"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Solicito la siguiente información actualizada a la fecha de la entrega del Servidor Público C. JAIME RENE MILLA BELLO y en caso de que algún documento contenga datos personales y/o sensibles </w:t>
      </w:r>
      <w:r>
        <w:rPr>
          <w:rFonts w:ascii="Palatino Linotype" w:eastAsia="Palatino Linotype" w:hAnsi="Palatino Linotype" w:cs="Palatino Linotype"/>
          <w:i/>
          <w:color w:val="000000"/>
          <w:highlight w:val="white"/>
        </w:rPr>
        <w:lastRenderedPageBreak/>
        <w:t xml:space="preserve">solcito que esta información se me sea entrega en formato PDF y en VERSIÓN PÚBLICA 1.-Curricular Vitae 2.- Comprobante de ultimo grado es estudios 3.- Nombramiento si este fuera el caso de los distintos cargos y/o puestos que se le haya asignado en las distintas Áreas de la Administración 2022-2024 el cual dio inicio en el mes de enero del 2022 al 30 de junio del 2024 4.- Documento que acredite no estar Inscrito en el Registro de Deudores Alimentarios Morosos en el Estado ni en ninguna otra Entidad Federativa 5.- Nombre Áreas de Adscripción a las que ha pertenecido en forma detallada desde el inicio de la administración 2022-2024 el cual dio inicio en el mes de enero del 2022 al 30 de junio del 2024 (Altas, bajas y/o cambio de adscripción) 6.- Informe detallado de las funciones y atribuciones específicas de los distintos cargos y/o puestos que se le haya asignado en las distintas Áreas de la Administración 2022-2024 el cual dio inicio en el mes del 01 enero del 2022 al 30 de junio del 2024. 7.- Listas de asistencia con horario de entrada y salida del mes de enero del 2022 al 30 de junio del 2024. 8.- Recibo de Nómina y/o de Remuneración además de los recibos por concepto de Aguinaldo y primas vacacionales del 01 de enero del 2022 al 30 de junio del 2024 La información que solicito no puede ser considerada reservada, en tanto no encuadra en ninguna de las causales señaladas en la normatividad aplicable ya que no supera la prueba de daño que el sujeto debe realizar para demostrar que su </w:t>
      </w:r>
      <w:r>
        <w:rPr>
          <w:rFonts w:ascii="Palatino Linotype" w:eastAsia="Palatino Linotype" w:hAnsi="Palatino Linotype" w:cs="Palatino Linotype"/>
          <w:i/>
          <w:color w:val="000000"/>
          <w:highlight w:val="white"/>
        </w:rPr>
        <w:lastRenderedPageBreak/>
        <w:t>publicación afectaría en algún modo en las funciones del sujeto obligado o sus integrantes.”</w:t>
      </w:r>
    </w:p>
    <w:p w14:paraId="68C196D4" w14:textId="77777777" w:rsidR="002714E7" w:rsidRDefault="002714E7">
      <w:pPr>
        <w:pBdr>
          <w:top w:val="nil"/>
          <w:left w:val="nil"/>
          <w:bottom w:val="nil"/>
          <w:right w:val="nil"/>
          <w:between w:val="nil"/>
        </w:pBdr>
        <w:spacing w:line="360" w:lineRule="auto"/>
        <w:ind w:left="567" w:right="680"/>
        <w:jc w:val="both"/>
        <w:rPr>
          <w:rFonts w:ascii="Palatino Linotype" w:eastAsia="Palatino Linotype" w:hAnsi="Palatino Linotype" w:cs="Palatino Linotype"/>
          <w:i/>
          <w:color w:val="000000"/>
          <w:highlight w:val="white"/>
        </w:rPr>
      </w:pPr>
    </w:p>
    <w:p w14:paraId="65C43A39"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color w:val="000000"/>
          <w:highlight w:val="white"/>
        </w:rPr>
        <w:t xml:space="preserve">Número de Folio de la Solicitud: </w:t>
      </w:r>
      <w:r>
        <w:rPr>
          <w:rFonts w:ascii="Palatino Linotype" w:eastAsia="Palatino Linotype" w:hAnsi="Palatino Linotype" w:cs="Palatino Linotype"/>
          <w:b/>
          <w:color w:val="000000"/>
          <w:highlight w:val="white"/>
        </w:rPr>
        <w:t>00099/TLALMANA/IP/2024</w:t>
      </w:r>
    </w:p>
    <w:p w14:paraId="33FA9C89"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Solicito la siguiente información actualizada a la fecha de la entrega del Servidor Público C. JULIO CESAR MARTINEZ ALMAZAN y en caso de que algún documento contenga datos personales y/o sensibles solcito que esta información se me sea entrega en formato PDF y en VERSIÓN PÚBLICA 1.-Curricular Vitae 2.- Comprobante de ultimo grado es estudios 3.- Nombramiento si este fuera el caso de los distintos cargos y/o puestos que se le haya asignado en las distintas Áreas de la Administración 2022-2024 el cual dio inicio en el mes de enero del 2022 al 30 de junio del 2024 4.- Documento que acredite no estar Inscrito en el Registro de Deudores Alimentarios Morosos en el Estado ni en ninguna otra Entidad Federativa 5.- Nombre Áreas de Adscripción a las que ha pertenecido en forma detallada desde el inicio de la </w:t>
      </w:r>
      <w:r>
        <w:rPr>
          <w:rFonts w:ascii="Palatino Linotype" w:eastAsia="Palatino Linotype" w:hAnsi="Palatino Linotype" w:cs="Palatino Linotype"/>
          <w:i/>
          <w:color w:val="000000"/>
          <w:highlight w:val="white"/>
        </w:rPr>
        <w:lastRenderedPageBreak/>
        <w:t>administración 2022-2024 el cual dio inicio en el mes de enero del 2022 al 30 de junio del 2024 (Altas, bajas y/o cambio de adscripción) 6.- Informe detallado de las funciones y atribuciones específicas de los distintos cargos y/o puestos que se le haya asignado en las distintas Áreas de la Administración 2022-2024 el cual dio inicio en el mes del 01 enero del 2022 al 30 de junio del 2024. 7.- Listas de asistencia con horario de entrada y salida del mes de enero del 2022 al 30 de junio del 2024. 8.- Recibo de Nómina y/o de Remuneración además de los recibos por concepto de Aguinaldo y primas vacacionales del 01 de enero del 2022 al 30 de junio del 2024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w:t>
      </w:r>
    </w:p>
    <w:p w14:paraId="305408F7" w14:textId="77777777" w:rsidR="002714E7" w:rsidRDefault="002714E7">
      <w:pPr>
        <w:pBdr>
          <w:top w:val="nil"/>
          <w:left w:val="nil"/>
          <w:bottom w:val="nil"/>
          <w:right w:val="nil"/>
          <w:between w:val="nil"/>
        </w:pBdr>
        <w:spacing w:line="360" w:lineRule="auto"/>
        <w:ind w:left="567" w:right="680"/>
        <w:jc w:val="both"/>
        <w:rPr>
          <w:rFonts w:ascii="Palatino Linotype" w:eastAsia="Palatino Linotype" w:hAnsi="Palatino Linotype" w:cs="Palatino Linotype"/>
          <w:i/>
          <w:color w:val="000000"/>
          <w:highlight w:val="white"/>
        </w:rPr>
      </w:pPr>
    </w:p>
    <w:p w14:paraId="22E8B35D"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color w:val="000000"/>
          <w:highlight w:val="white"/>
        </w:rPr>
        <w:t xml:space="preserve">Número de Folio de la Solicitud: </w:t>
      </w:r>
      <w:r>
        <w:rPr>
          <w:rFonts w:ascii="Palatino Linotype" w:eastAsia="Palatino Linotype" w:hAnsi="Palatino Linotype" w:cs="Palatino Linotype"/>
          <w:b/>
          <w:color w:val="000000"/>
          <w:highlight w:val="white"/>
        </w:rPr>
        <w:t>00106/TLALMANA/IP/2024</w:t>
      </w:r>
    </w:p>
    <w:p w14:paraId="5435C323"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w:t>
      </w:r>
      <w:r>
        <w:rPr>
          <w:rFonts w:ascii="Palatino Linotype" w:eastAsia="Palatino Linotype" w:hAnsi="Palatino Linotype" w:cs="Palatino Linotype"/>
          <w:i/>
          <w:color w:val="000000"/>
          <w:highlight w:val="white"/>
        </w:rPr>
        <w:lastRenderedPageBreak/>
        <w:t xml:space="preserve">Pública del Estado de México y Municipios Solicito la siguiente información actualizada a la fecha de la entrega del Servidor Público C. RENATO MANUEL SORIANO VÁZQUEZ y en caso de que algún documento contenga datos personales y/o sensibles solcito que esta información se me sea entrega en formato PDF y en VERSIÓN PÚBLICA 1.-Curricular Vitae 2.- Comprobante de ultimo grado es estudios 3.- Nombramiento si este fuera el caso de los distintos cargos y/o puestos que se le haya asignado en las distintas Áreas de la Administración 2022-2024 el cual dio inicio en el mes de enero del 2022 al 30 de junio del 2024 4.- Documento que acredite no estar Inscrito en el Registro de Deudores Alimentarios Morosos en el Estado ni en ninguna otra Entidad Federativa 5.- Nombre Áreas de Adscripción a las que ha pertenecido en forma detallada desde el inicio de la administración 2022-2024 el cual dio inicio en el mes de enero del 2022 al 30 de junio del 2024 (Altas, bajas y/o cambio de adscripción) 6.- Informe detallado de las funciones y atribuciones específicas de los distintos cargos y/o puestos que se le haya asignado en las distintas Áreas de la Administración 2022-2024 el cual dio inicio en el mes del 01 enero del 2022 al 30 de junio del 2024. 7.- Listas de asistencia con horario de entrada y salida del mes de enero del 2022 al 30 de junio del 2024. 8.- Recibo de Nómina y/o de Remuneración además de los recibos por concepto de Aguinaldo y primas vacacionales del 01 de enero del 2022 al 30 de junio del 2024 La información que solicito no puede ser considerada reservada, en </w:t>
      </w:r>
      <w:r>
        <w:rPr>
          <w:rFonts w:ascii="Palatino Linotype" w:eastAsia="Palatino Linotype" w:hAnsi="Palatino Linotype" w:cs="Palatino Linotype"/>
          <w:i/>
          <w:color w:val="000000"/>
          <w:highlight w:val="white"/>
        </w:rPr>
        <w:lastRenderedPageBreak/>
        <w:t>tanto no encuadra en ninguna de las causales señaladas en la normatividad aplicable ya que no supera la prueba de daño que el sujeto debe realizar para demostrar que su publicación afectaría en algún modo en las funciones del sujeto obligado o sus integrantes.”</w:t>
      </w:r>
    </w:p>
    <w:p w14:paraId="2D8BF314" w14:textId="77777777" w:rsidR="002714E7" w:rsidRDefault="002714E7">
      <w:pPr>
        <w:pBdr>
          <w:top w:val="nil"/>
          <w:left w:val="nil"/>
          <w:bottom w:val="nil"/>
          <w:right w:val="nil"/>
          <w:between w:val="nil"/>
        </w:pBdr>
        <w:spacing w:line="360" w:lineRule="auto"/>
        <w:ind w:left="567" w:right="680"/>
        <w:jc w:val="both"/>
        <w:rPr>
          <w:rFonts w:ascii="Palatino Linotype" w:eastAsia="Palatino Linotype" w:hAnsi="Palatino Linotype" w:cs="Palatino Linotype"/>
          <w:i/>
          <w:color w:val="000000"/>
          <w:highlight w:val="white"/>
        </w:rPr>
      </w:pPr>
    </w:p>
    <w:p w14:paraId="6CF9062D"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color w:val="000000"/>
          <w:highlight w:val="white"/>
        </w:rPr>
        <w:t xml:space="preserve">Número de Folio de la Solicitud: </w:t>
      </w:r>
      <w:r>
        <w:rPr>
          <w:rFonts w:ascii="Palatino Linotype" w:eastAsia="Palatino Linotype" w:hAnsi="Palatino Linotype" w:cs="Palatino Linotype"/>
          <w:b/>
          <w:color w:val="000000"/>
          <w:highlight w:val="white"/>
        </w:rPr>
        <w:t>00104/TLALMANA/IP/2024</w:t>
      </w:r>
    </w:p>
    <w:p w14:paraId="286EEA3B"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Solicito la siguiente información actualizada a la fecha de la entrega del Servidor Público C. MARÍA FABIOLA GÓMEZ CHÁVEZ y en caso de que algún documento contenga datos personales y/o sensibles solcito que esta información se me sea entrega en formato PDF y en VERSIÓN PÚBLICA 1.-Curricular Vitae 2.- Comprobante de ultimo grado es estudios 3.- Nombramiento si este fuera el caso de los distintos cargos y/o puestos que se le haya asignado en las distintas Áreas de la Administración 2022-2024 el cual dio inicio en el mes de enero del 2022 al 30 de junio del 2024 4.- Documento que acredite no estar Inscrito en el Registro de Deudores Alimentarios Morosos </w:t>
      </w:r>
      <w:r>
        <w:rPr>
          <w:rFonts w:ascii="Palatino Linotype" w:eastAsia="Palatino Linotype" w:hAnsi="Palatino Linotype" w:cs="Palatino Linotype"/>
          <w:i/>
          <w:color w:val="000000"/>
          <w:highlight w:val="white"/>
        </w:rPr>
        <w:lastRenderedPageBreak/>
        <w:t>en el Estado ni en ninguna otra Entidad Federativa 5.- Nombre Áreas de Adscripción a las que ha pertenecido en forma detallada desde el inicio de la administración 2022-2024 el cual dio inicio en el mes de enero del 2022 al 30 de junio del 2024 (Altas, bajas y/o cambio de adscripción) 6.- Informe detallado de las funciones y atribuciones específicas de los distintos cargos y/o puestos que se le haya asignado en las distintas Áreas de la Administración 2022-2024 el cual dio inicio en el mes del 01 enero del 2022 al 30 de junio del 2024. 7.- Listas de asistencia con horario de entrada y salida del mes de enero del 2022 al 30 de junio del 2024. 8.- Recibo de Nómina y/o de Remuneración además de los recibos por concepto de Aguinaldo y primas vacacionales del 01 de enero del 2022 al 30 de junio del 2024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w:t>
      </w:r>
    </w:p>
    <w:p w14:paraId="421C92E7" w14:textId="77777777" w:rsidR="002714E7" w:rsidRDefault="002714E7">
      <w:pPr>
        <w:pBdr>
          <w:top w:val="nil"/>
          <w:left w:val="nil"/>
          <w:bottom w:val="nil"/>
          <w:right w:val="nil"/>
          <w:between w:val="nil"/>
        </w:pBdr>
        <w:spacing w:line="360" w:lineRule="auto"/>
        <w:ind w:left="567" w:right="680"/>
        <w:jc w:val="both"/>
        <w:rPr>
          <w:rFonts w:ascii="Palatino Linotype" w:eastAsia="Palatino Linotype" w:hAnsi="Palatino Linotype" w:cs="Palatino Linotype"/>
          <w:i/>
          <w:color w:val="000000"/>
          <w:highlight w:val="white"/>
        </w:rPr>
      </w:pPr>
    </w:p>
    <w:p w14:paraId="5D3C8DF8"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color w:val="000000"/>
          <w:highlight w:val="white"/>
        </w:rPr>
        <w:t xml:space="preserve">Número de Folio de la Solicitud: </w:t>
      </w:r>
      <w:r>
        <w:rPr>
          <w:rFonts w:ascii="Palatino Linotype" w:eastAsia="Palatino Linotype" w:hAnsi="Palatino Linotype" w:cs="Palatino Linotype"/>
          <w:b/>
          <w:color w:val="000000"/>
          <w:highlight w:val="white"/>
        </w:rPr>
        <w:t>00105/TLALMANA/IP/2024</w:t>
      </w:r>
    </w:p>
    <w:p w14:paraId="771F4C11" w14:textId="77777777" w:rsidR="002714E7" w:rsidRDefault="00734FB5">
      <w:pPr>
        <w:pBdr>
          <w:top w:val="nil"/>
          <w:left w:val="nil"/>
          <w:bottom w:val="nil"/>
          <w:right w:val="nil"/>
          <w:between w:val="nil"/>
        </w:pBdr>
        <w:spacing w:line="360" w:lineRule="auto"/>
        <w:ind w:left="567" w:right="68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i/>
          <w:color w:val="000000"/>
          <w:highlight w:val="white"/>
        </w:rPr>
        <w:t xml:space="preserve">“Con fundamento a lo dispuesto en los artículos 6° (sexto) y 8° (Octavo) de la Constitución Política de los Estados Unidos Mexicanos, Articulo 5 de la Constitución Política del Estado Libre y Soberano de México 1, 4, y 6 de la Ley </w:t>
      </w:r>
      <w:r>
        <w:rPr>
          <w:rFonts w:ascii="Palatino Linotype" w:eastAsia="Palatino Linotype" w:hAnsi="Palatino Linotype" w:cs="Palatino Linotype"/>
          <w:i/>
          <w:color w:val="000000"/>
          <w:highlight w:val="white"/>
        </w:rPr>
        <w:lastRenderedPageBreak/>
        <w:t xml:space="preserve">General de Transparencia y Acceso a la Información Pública, 1, 3, fracción XLI, Capitulo III, 23, fracción IV de la Ley de Transparencia y Acceso a la Información Pública del Estado de México y Municipios Solicito la siguiente información actualizada a la fecha de la entrega del Servidor Público C. NOEMI SÁNCHEZ VILLALBA y en caso de que algún documento contenga datos personales y/o sensibles solcito que esta información se me sea entrega en formato PDF y en VERSIÓN PÚBLICA 1.-Curricular Vitae 2.- Comprobante de ultimo grado es estudios 3.- Nombramiento si este fuera el caso de los distintos cargos y/o puestos que se le haya asignado en las distintas Áreas de la Administración 2022-2024 el cual dio inicio en el mes de enero del 2022 al 30 de junio del 2024 4.- Documento que acredite no estar Inscrito en el Registro de Deudores Alimentarios Morosos en el Estado ni en ninguna otra Entidad Federativa 5.- Nombre Áreas de Adscripción a las que ha pertenecido en forma detallada desde el inicio de la administración 2022-2024 el cual dio inicio en el mes de enero del 2022 al 30 de junio del 2024 (Altas, bajas y/o cambio de adscripción) 6.- Informe detallado de las funciones y atribuciones específicas de los distintos cargos y/o puestos que se le haya asignado en las distintas Áreas de la Administración 2022-2024 el cual dio inicio en el mes del 01 enero del 2022 al 30 de junio del 2024. 7.- Listas de asistencia con horario de entrada y salida del mes de enero del 2022 al 30 de junio del 2024. 8.- Recibo de Nómina y/o de Remuneración además de los recibos por </w:t>
      </w:r>
      <w:r>
        <w:rPr>
          <w:rFonts w:ascii="Palatino Linotype" w:eastAsia="Palatino Linotype" w:hAnsi="Palatino Linotype" w:cs="Palatino Linotype"/>
          <w:i/>
          <w:color w:val="000000"/>
          <w:highlight w:val="white"/>
        </w:rPr>
        <w:lastRenderedPageBreak/>
        <w:t>concepto de Aguinaldo y primas vacacionales del 01 de enero del 2022 al 30 de junio del 2024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w:t>
      </w:r>
    </w:p>
    <w:p w14:paraId="06B61460" w14:textId="77777777" w:rsidR="002714E7" w:rsidRDefault="002714E7">
      <w:pPr>
        <w:pBdr>
          <w:top w:val="nil"/>
          <w:left w:val="nil"/>
          <w:bottom w:val="nil"/>
          <w:right w:val="nil"/>
          <w:between w:val="nil"/>
        </w:pBdr>
        <w:spacing w:line="360" w:lineRule="auto"/>
        <w:ind w:right="1106"/>
        <w:jc w:val="both"/>
        <w:rPr>
          <w:rFonts w:ascii="Palatino Linotype" w:eastAsia="Palatino Linotype" w:hAnsi="Palatino Linotype" w:cs="Palatino Linotype"/>
          <w:color w:val="000000"/>
          <w:highlight w:val="white"/>
        </w:rPr>
      </w:pPr>
    </w:p>
    <w:p w14:paraId="12386571" w14:textId="77777777" w:rsidR="002714E7" w:rsidRDefault="00734FB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color w:val="000000"/>
          <w:highlight w:val="white"/>
        </w:rPr>
        <w:t xml:space="preserve">Se señaló como modalidad de entrega de la información a través del </w:t>
      </w:r>
      <w:r>
        <w:rPr>
          <w:rFonts w:ascii="Palatino Linotype" w:eastAsia="Palatino Linotype" w:hAnsi="Palatino Linotype" w:cs="Palatino Linotype"/>
          <w:b/>
          <w:color w:val="000000"/>
          <w:highlight w:val="white"/>
        </w:rPr>
        <w:t>SAIMEX.</w:t>
      </w:r>
    </w:p>
    <w:p w14:paraId="18986D3B"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2AA3275C"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El </w:t>
      </w:r>
      <w:r>
        <w:rPr>
          <w:rFonts w:ascii="Palatino Linotype" w:eastAsia="Palatino Linotype" w:hAnsi="Palatino Linotype" w:cs="Palatino Linotype"/>
          <w:b/>
          <w:color w:val="000000"/>
          <w:highlight w:val="white"/>
        </w:rPr>
        <w:t>seis y nueve de agosto de dos mil veinticuatro</w:t>
      </w:r>
      <w:r>
        <w:rPr>
          <w:rFonts w:ascii="Palatino Linotype" w:eastAsia="Palatino Linotype" w:hAnsi="Palatino Linotype" w:cs="Palatino Linotype"/>
          <w:color w:val="000000"/>
          <w:highlight w:val="white"/>
        </w:rPr>
        <w:t xml:space="preserve">, el </w:t>
      </w:r>
      <w:r>
        <w:rPr>
          <w:rFonts w:ascii="Palatino Linotype" w:eastAsia="Palatino Linotype" w:hAnsi="Palatino Linotype" w:cs="Palatino Linotype"/>
          <w:b/>
          <w:color w:val="000000"/>
          <w:highlight w:val="white"/>
        </w:rPr>
        <w:t>SUJETO OBLIGADO</w:t>
      </w:r>
      <w:r>
        <w:rPr>
          <w:rFonts w:ascii="Palatino Linotype" w:eastAsia="Palatino Linotype" w:hAnsi="Palatino Linotype" w:cs="Palatino Linotype"/>
          <w:color w:val="000000"/>
          <w:highlight w:val="white"/>
        </w:rPr>
        <w:t xml:space="preserve"> solicitó una prórroga para dar atención por un lapso de siete días hábiles adiciones a </w:t>
      </w:r>
      <w:proofErr w:type="gramStart"/>
      <w:r>
        <w:rPr>
          <w:rFonts w:ascii="Palatino Linotype" w:eastAsia="Palatino Linotype" w:hAnsi="Palatino Linotype" w:cs="Palatino Linotype"/>
          <w:color w:val="000000"/>
          <w:highlight w:val="white"/>
        </w:rPr>
        <w:t>las solicitud</w:t>
      </w:r>
      <w:proofErr w:type="gramEnd"/>
      <w:r>
        <w:rPr>
          <w:rFonts w:ascii="Palatino Linotype" w:eastAsia="Palatino Linotype" w:hAnsi="Palatino Linotype" w:cs="Palatino Linotype"/>
          <w:color w:val="000000"/>
          <w:highlight w:val="white"/>
        </w:rPr>
        <w:t xml:space="preserve"> de información de mérito, con excepción de la solicitud</w:t>
      </w:r>
      <w:r>
        <w:rPr>
          <w:rFonts w:ascii="Palatino Linotype" w:eastAsia="Palatino Linotype" w:hAnsi="Palatino Linotype" w:cs="Palatino Linotype"/>
          <w:highlight w:val="white"/>
        </w:rPr>
        <w:t xml:space="preserve"> </w:t>
      </w:r>
      <w:r>
        <w:rPr>
          <w:rFonts w:ascii="Palatino Linotype" w:eastAsia="Palatino Linotype" w:hAnsi="Palatino Linotype" w:cs="Palatino Linotype"/>
          <w:color w:val="000000"/>
          <w:highlight w:val="white"/>
        </w:rPr>
        <w:t>00092/TLALMANA/IP/2024; en razón de argumentar una carga excesiva de trabajo.</w:t>
      </w:r>
    </w:p>
    <w:p w14:paraId="5029AD5E"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69ECCAC9"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highlight w:val="white"/>
        </w:rPr>
      </w:pPr>
      <w:r>
        <w:rPr>
          <w:rFonts w:ascii="Palatino Linotype" w:eastAsia="Palatino Linotype" w:hAnsi="Palatino Linotype" w:cs="Palatino Linotype"/>
          <w:highlight w:val="white"/>
        </w:rPr>
        <w:t xml:space="preserve">En ese sentido, el artículo 163 de la Ley de Transparencia y Acceso a la Información Pública del Estado de México y Municipios señala que el plazo de 15 días para atender una solicitud de acceso a la información, puede prorrogarse por siete días más </w:t>
      </w:r>
      <w:r>
        <w:rPr>
          <w:rFonts w:ascii="Palatino Linotype" w:eastAsia="Palatino Linotype" w:hAnsi="Palatino Linotype" w:cs="Palatino Linotype"/>
          <w:i/>
          <w:highlight w:val="white"/>
        </w:rPr>
        <w:t>siempre y cuando existan razones fundadas y motivadas</w:t>
      </w:r>
      <w:r>
        <w:rPr>
          <w:rFonts w:ascii="Palatino Linotype" w:eastAsia="Palatino Linotype" w:hAnsi="Palatino Linotype" w:cs="Palatino Linotype"/>
          <w:highlight w:val="white"/>
        </w:rPr>
        <w:t xml:space="preserve">, además precisa que: </w:t>
      </w:r>
      <w:r>
        <w:rPr>
          <w:rFonts w:ascii="Palatino Linotype" w:eastAsia="Palatino Linotype" w:hAnsi="Palatino Linotype" w:cs="Palatino Linotype"/>
          <w:i/>
          <w:highlight w:val="white"/>
        </w:rPr>
        <w:t xml:space="preserve">No podrán invocarse como causales de ampliación del plazo motivos que </w:t>
      </w:r>
      <w:r>
        <w:rPr>
          <w:rFonts w:ascii="Palatino Linotype" w:eastAsia="Palatino Linotype" w:hAnsi="Palatino Linotype" w:cs="Palatino Linotype"/>
          <w:b/>
          <w:i/>
          <w:highlight w:val="white"/>
        </w:rPr>
        <w:t xml:space="preserve">supongan negligencia o descuido del sujeto obligado </w:t>
      </w:r>
      <w:r>
        <w:rPr>
          <w:rFonts w:ascii="Palatino Linotype" w:eastAsia="Palatino Linotype" w:hAnsi="Palatino Linotype" w:cs="Palatino Linotype"/>
          <w:i/>
          <w:highlight w:val="white"/>
        </w:rPr>
        <w:t>en el desahogo de la solicitud.</w:t>
      </w:r>
    </w:p>
    <w:p w14:paraId="3C2C607B" w14:textId="77777777" w:rsidR="002714E7" w:rsidRDefault="00734FB5">
      <w:pPr>
        <w:spacing w:line="360" w:lineRule="auto"/>
        <w:ind w:left="567" w:right="616"/>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lastRenderedPageBreak/>
        <w:t xml:space="preserve">Artículo 163. </w:t>
      </w:r>
      <w:r>
        <w:rPr>
          <w:rFonts w:ascii="Palatino Linotype" w:eastAsia="Palatino Linotype" w:hAnsi="Palatino Linotype" w:cs="Palatino Linotype"/>
          <w:i/>
          <w:highlight w:val="white"/>
        </w:rPr>
        <w:t>La Unidad de Transparencia deberá notificar la respuesta a la solicitud al interesado en el menor tiempo posible, que no podrá exceder de quince días hábiles, contados a partir del día siguiente a la presentación de aquélla.</w:t>
      </w:r>
    </w:p>
    <w:p w14:paraId="0D7E11E6" w14:textId="77777777" w:rsidR="002714E7" w:rsidRDefault="002714E7">
      <w:pPr>
        <w:spacing w:line="360" w:lineRule="auto"/>
        <w:ind w:left="567" w:right="616"/>
        <w:jc w:val="both"/>
        <w:rPr>
          <w:rFonts w:ascii="Palatino Linotype" w:eastAsia="Palatino Linotype" w:hAnsi="Palatino Linotype" w:cs="Palatino Linotype"/>
          <w:i/>
          <w:highlight w:val="white"/>
        </w:rPr>
      </w:pPr>
    </w:p>
    <w:p w14:paraId="38815569" w14:textId="77777777" w:rsidR="002714E7" w:rsidRDefault="00734FB5">
      <w:pPr>
        <w:spacing w:line="360" w:lineRule="auto"/>
        <w:ind w:left="567" w:right="616"/>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54B6611B" w14:textId="77777777" w:rsidR="002714E7" w:rsidRDefault="002714E7">
      <w:pPr>
        <w:spacing w:line="360" w:lineRule="auto"/>
        <w:ind w:left="567" w:right="616"/>
        <w:jc w:val="both"/>
        <w:rPr>
          <w:rFonts w:ascii="Palatino Linotype" w:eastAsia="Palatino Linotype" w:hAnsi="Palatino Linotype" w:cs="Palatino Linotype"/>
          <w:i/>
          <w:highlight w:val="white"/>
        </w:rPr>
      </w:pPr>
    </w:p>
    <w:p w14:paraId="73B818FB"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highlight w:val="white"/>
        </w:rPr>
      </w:pPr>
      <w:r>
        <w:rPr>
          <w:rFonts w:ascii="Palatino Linotype" w:eastAsia="Palatino Linotype" w:hAnsi="Palatino Linotype" w:cs="Palatino Linotype"/>
          <w:highlight w:val="white"/>
        </w:rPr>
        <w:t xml:space="preserve">Así las cosas en el caso que se resuelve, el </w:t>
      </w:r>
      <w:r>
        <w:rPr>
          <w:rFonts w:ascii="Palatino Linotype" w:eastAsia="Palatino Linotype" w:hAnsi="Palatino Linotype" w:cs="Palatino Linotype"/>
          <w:b/>
          <w:highlight w:val="white"/>
        </w:rPr>
        <w:t xml:space="preserve">SUJETO </w:t>
      </w:r>
      <w:r>
        <w:rPr>
          <w:rFonts w:ascii="Palatino Linotype" w:eastAsia="Palatino Linotype" w:hAnsi="Palatino Linotype" w:cs="Palatino Linotype"/>
          <w:highlight w:val="white"/>
        </w:rPr>
        <w:t>OBLIGADO amplio el plazo para dar respuesta señalando lo siguiente</w:t>
      </w:r>
      <w:proofErr w:type="gramStart"/>
      <w:r>
        <w:rPr>
          <w:rFonts w:ascii="Palatino Linotype" w:eastAsia="Palatino Linotype" w:hAnsi="Palatino Linotype" w:cs="Palatino Linotype"/>
          <w:highlight w:val="white"/>
        </w:rPr>
        <w:t xml:space="preserve">:  </w:t>
      </w:r>
      <w:r>
        <w:rPr>
          <w:rFonts w:ascii="Palatino Linotype" w:eastAsia="Palatino Linotype" w:hAnsi="Palatino Linotype" w:cs="Palatino Linotype"/>
          <w:i/>
          <w:highlight w:val="white"/>
        </w:rPr>
        <w:t>“</w:t>
      </w:r>
      <w:proofErr w:type="gramEnd"/>
      <w:r>
        <w:rPr>
          <w:rFonts w:ascii="Palatino Linotype" w:eastAsia="Palatino Linotype" w:hAnsi="Palatino Linotype" w:cs="Palatino Linotype"/>
          <w:i/>
          <w:highlight w:val="white"/>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8A33CA8" w14:textId="77777777" w:rsidR="002714E7" w:rsidRDefault="00734FB5">
      <w:pPr>
        <w:pBdr>
          <w:top w:val="nil"/>
          <w:left w:val="nil"/>
          <w:bottom w:val="nil"/>
          <w:right w:val="nil"/>
          <w:between w:val="nil"/>
        </w:pBdr>
        <w:spacing w:line="360" w:lineRule="auto"/>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CARGA EXCESIVA DE TRABAJO” </w:t>
      </w:r>
      <w:r>
        <w:rPr>
          <w:rFonts w:ascii="Palatino Linotype" w:eastAsia="Palatino Linotype" w:hAnsi="Palatino Linotype" w:cs="Palatino Linotype"/>
          <w:highlight w:val="white"/>
        </w:rPr>
        <w:t>(sic)</w:t>
      </w:r>
    </w:p>
    <w:p w14:paraId="295AF364" w14:textId="77777777" w:rsidR="002714E7" w:rsidRDefault="002714E7">
      <w:pPr>
        <w:spacing w:line="360" w:lineRule="auto"/>
        <w:jc w:val="both"/>
        <w:rPr>
          <w:rFonts w:ascii="Palatino Linotype" w:eastAsia="Palatino Linotype" w:hAnsi="Palatino Linotype" w:cs="Palatino Linotype"/>
          <w:i/>
          <w:highlight w:val="white"/>
        </w:rPr>
      </w:pPr>
    </w:p>
    <w:p w14:paraId="21380EA2"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highlight w:val="white"/>
        </w:rPr>
        <w:lastRenderedPageBreak/>
        <w:t xml:space="preserve">De dicha manifestación se aprecia el claro incumplimiento de lo establecido en el artículo 163 de la Ley de Transparencia y Acceso a la Información Pública del Estado de México y Municipios, ya que la prórroga carece de fundamentación y motivación, asimismo no menciona las razones por las cuales se solicita la ampliación del plazo legalmente establecido para dar respuesta, por lo que dicha prórroga fue indebida ya que no se encuentra debidamente, </w:t>
      </w:r>
      <w:r>
        <w:rPr>
          <w:rFonts w:ascii="Palatino Linotype" w:eastAsia="Palatino Linotype" w:hAnsi="Palatino Linotype" w:cs="Palatino Linotype"/>
          <w:color w:val="000000"/>
          <w:highlight w:val="white"/>
        </w:rPr>
        <w:t xml:space="preserve">fundada </w:t>
      </w:r>
      <w:proofErr w:type="gramStart"/>
      <w:r>
        <w:rPr>
          <w:rFonts w:ascii="Palatino Linotype" w:eastAsia="Palatino Linotype" w:hAnsi="Palatino Linotype" w:cs="Palatino Linotype"/>
          <w:color w:val="000000"/>
          <w:highlight w:val="white"/>
        </w:rPr>
        <w:t>y  motivada</w:t>
      </w:r>
      <w:proofErr w:type="gramEnd"/>
      <w:r>
        <w:rPr>
          <w:rFonts w:ascii="Palatino Linotype" w:eastAsia="Palatino Linotype" w:hAnsi="Palatino Linotype" w:cs="Palatino Linotype"/>
          <w:color w:val="000000"/>
          <w:highlight w:val="white"/>
        </w:rPr>
        <w:t xml:space="preserve">. </w:t>
      </w:r>
    </w:p>
    <w:p w14:paraId="7E962561"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6124F3D8"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El </w:t>
      </w:r>
      <w:r>
        <w:rPr>
          <w:rFonts w:ascii="Palatino Linotype" w:eastAsia="Palatino Linotype" w:hAnsi="Palatino Linotype" w:cs="Palatino Linotype"/>
          <w:b/>
          <w:color w:val="000000"/>
          <w:highlight w:val="white"/>
        </w:rPr>
        <w:t xml:space="preserve">siete, quince, dieciséis y veintiuno de agosto de dos mil veinticuatro </w:t>
      </w:r>
      <w:r>
        <w:rPr>
          <w:rFonts w:ascii="Palatino Linotype" w:eastAsia="Palatino Linotype" w:hAnsi="Palatino Linotype" w:cs="Palatino Linotype"/>
          <w:color w:val="000000"/>
          <w:highlight w:val="white"/>
        </w:rPr>
        <w:t xml:space="preserve">el </w:t>
      </w:r>
      <w:r>
        <w:rPr>
          <w:rFonts w:ascii="Palatino Linotype" w:eastAsia="Palatino Linotype" w:hAnsi="Palatino Linotype" w:cs="Palatino Linotype"/>
          <w:b/>
          <w:color w:val="000000"/>
          <w:highlight w:val="white"/>
        </w:rPr>
        <w:t xml:space="preserve">SUJETO OBLIGADO </w:t>
      </w:r>
      <w:r>
        <w:rPr>
          <w:rFonts w:ascii="Palatino Linotype" w:eastAsia="Palatino Linotype" w:hAnsi="Palatino Linotype" w:cs="Palatino Linotype"/>
          <w:color w:val="000000"/>
          <w:highlight w:val="white"/>
        </w:rPr>
        <w:t>dio respuestas a las solicitudes de información</w:t>
      </w:r>
      <w:r>
        <w:rPr>
          <w:rFonts w:ascii="Palatino Linotype" w:eastAsia="Palatino Linotype" w:hAnsi="Palatino Linotype" w:cs="Palatino Linotype"/>
          <w:b/>
          <w:color w:val="000000"/>
          <w:highlight w:val="white"/>
        </w:rPr>
        <w:t>,</w:t>
      </w:r>
      <w:r>
        <w:rPr>
          <w:rFonts w:ascii="Palatino Linotype" w:eastAsia="Palatino Linotype" w:hAnsi="Palatino Linotype" w:cs="Palatino Linotype"/>
          <w:color w:val="000000"/>
          <w:highlight w:val="white"/>
        </w:rPr>
        <w:t xml:space="preserve"> de la siguiente manera:</w:t>
      </w:r>
    </w:p>
    <w:p w14:paraId="61AB9E2D"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0FE01618" w14:textId="77777777" w:rsidR="002714E7" w:rsidRDefault="00734FB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Folio de la solicitud: </w:t>
      </w:r>
      <w:r>
        <w:rPr>
          <w:rFonts w:ascii="Palatino Linotype" w:eastAsia="Palatino Linotype" w:hAnsi="Palatino Linotype" w:cs="Palatino Linotype"/>
          <w:b/>
          <w:color w:val="000000"/>
          <w:highlight w:val="white"/>
        </w:rPr>
        <w:t xml:space="preserve">00092/TLALMANA/IP/2024: </w:t>
      </w:r>
      <w:r>
        <w:rPr>
          <w:rFonts w:ascii="Palatino Linotype" w:eastAsia="Palatino Linotype" w:hAnsi="Palatino Linotype" w:cs="Palatino Linotype"/>
          <w:color w:val="000000"/>
          <w:highlight w:val="white"/>
        </w:rPr>
        <w:t>se informó lo siguiente sin que para tal efecto se adjuntaran archivos</w:t>
      </w:r>
      <w:r>
        <w:rPr>
          <w:rFonts w:ascii="Palatino Linotype" w:eastAsia="Palatino Linotype" w:hAnsi="Palatino Linotype" w:cs="Palatino Linotype"/>
          <w:i/>
          <w:color w:val="000000"/>
          <w:highlight w:val="white"/>
        </w:rPr>
        <w:t xml:space="preserve"> “…</w:t>
      </w:r>
      <w:proofErr w:type="gramStart"/>
      <w:r>
        <w:rPr>
          <w:rFonts w:ascii="Palatino Linotype" w:eastAsia="Palatino Linotype" w:hAnsi="Palatino Linotype" w:cs="Palatino Linotype"/>
          <w:i/>
          <w:color w:val="000000"/>
          <w:highlight w:val="white"/>
        </w:rPr>
        <w:t>que</w:t>
      </w:r>
      <w:proofErr w:type="gramEnd"/>
      <w:r>
        <w:rPr>
          <w:rFonts w:ascii="Palatino Linotype" w:eastAsia="Palatino Linotype" w:hAnsi="Palatino Linotype" w:cs="Palatino Linotype"/>
          <w:i/>
          <w:color w:val="000000"/>
          <w:highlight w:val="white"/>
        </w:rPr>
        <w:t xml:space="preserve"> derivado de una búsqueda exhaustiva y minuciosa de la información solicitada, en los archivos físicos y digitales de esta Dependencia administrativa, se da respuesta conforme a lo siguiente:”</w:t>
      </w:r>
    </w:p>
    <w:p w14:paraId="22BC3FDB" w14:textId="77777777" w:rsidR="002714E7" w:rsidRDefault="002714E7">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highlight w:val="white"/>
        </w:rPr>
      </w:pPr>
    </w:p>
    <w:p w14:paraId="2AEA83AF" w14:textId="77777777" w:rsidR="002714E7" w:rsidRDefault="00734FB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color w:val="000000"/>
          <w:highlight w:val="white"/>
        </w:rPr>
        <w:t xml:space="preserve">Folio de la solicitud: </w:t>
      </w:r>
      <w:r>
        <w:rPr>
          <w:rFonts w:ascii="Palatino Linotype" w:eastAsia="Palatino Linotype" w:hAnsi="Palatino Linotype" w:cs="Palatino Linotype"/>
          <w:b/>
          <w:color w:val="000000"/>
          <w:highlight w:val="white"/>
        </w:rPr>
        <w:t>00094/TLALMANA/IP/2024</w:t>
      </w:r>
      <w:r>
        <w:rPr>
          <w:rFonts w:ascii="Palatino Linotype" w:eastAsia="Palatino Linotype" w:hAnsi="Palatino Linotype" w:cs="Palatino Linotype"/>
          <w:color w:val="000000"/>
          <w:highlight w:val="white"/>
        </w:rPr>
        <w:t xml:space="preserve">: se adjuntan los siguientes archivos denominados </w:t>
      </w:r>
      <w:proofErr w:type="spellStart"/>
      <w:r>
        <w:rPr>
          <w:rFonts w:ascii="Palatino Linotype" w:eastAsia="Palatino Linotype" w:hAnsi="Palatino Linotype" w:cs="Palatino Linotype"/>
          <w:i/>
          <w:color w:val="000000"/>
          <w:highlight w:val="white"/>
        </w:rPr>
        <w:t>ana</w:t>
      </w:r>
      <w:proofErr w:type="spellEnd"/>
      <w:r>
        <w:rPr>
          <w:rFonts w:ascii="Palatino Linotype" w:eastAsia="Palatino Linotype" w:hAnsi="Palatino Linotype" w:cs="Palatino Linotype"/>
          <w:i/>
          <w:color w:val="000000"/>
          <w:highlight w:val="white"/>
        </w:rPr>
        <w:t xml:space="preserve"> </w:t>
      </w:r>
      <w:proofErr w:type="spellStart"/>
      <w:r>
        <w:rPr>
          <w:rFonts w:ascii="Palatino Linotype" w:eastAsia="Palatino Linotype" w:hAnsi="Palatino Linotype" w:cs="Palatino Linotype"/>
          <w:i/>
          <w:color w:val="000000"/>
          <w:highlight w:val="white"/>
        </w:rPr>
        <w:t>lauradocs_Censurado</w:t>
      </w:r>
      <w:proofErr w:type="spellEnd"/>
      <w:r>
        <w:rPr>
          <w:rFonts w:ascii="Palatino Linotype" w:eastAsia="Palatino Linotype" w:hAnsi="Palatino Linotype" w:cs="Palatino Linotype"/>
          <w:i/>
          <w:color w:val="000000"/>
          <w:highlight w:val="white"/>
        </w:rPr>
        <w:t xml:space="preserve"> CORRECTO.pdf, ACTA 185 ACDO 180.pdf, analaura_Censurado.pdf, Oficio De Respuesta 94.pdf</w:t>
      </w:r>
      <w:r>
        <w:rPr>
          <w:rFonts w:ascii="Palatino Linotype" w:eastAsia="Palatino Linotype" w:hAnsi="Palatino Linotype" w:cs="Palatino Linotype"/>
          <w:color w:val="000000"/>
          <w:highlight w:val="white"/>
        </w:rPr>
        <w:t xml:space="preserve"> y, </w:t>
      </w:r>
      <w:r>
        <w:rPr>
          <w:rFonts w:ascii="Palatino Linotype" w:eastAsia="Palatino Linotype" w:hAnsi="Palatino Linotype" w:cs="Palatino Linotype"/>
          <w:i/>
          <w:color w:val="000000"/>
          <w:highlight w:val="white"/>
        </w:rPr>
        <w:t>94_2024 solicito información.pdf</w:t>
      </w:r>
      <w:r>
        <w:rPr>
          <w:rFonts w:ascii="Palatino Linotype" w:eastAsia="Palatino Linotype" w:hAnsi="Palatino Linotype" w:cs="Palatino Linotype"/>
          <w:color w:val="000000"/>
          <w:highlight w:val="white"/>
        </w:rPr>
        <w:t xml:space="preserve">, cuyo contenido a su vez corresponde expediente laboral </w:t>
      </w:r>
      <w:r>
        <w:rPr>
          <w:rFonts w:ascii="Palatino Linotype" w:eastAsia="Palatino Linotype" w:hAnsi="Palatino Linotype" w:cs="Palatino Linotype"/>
          <w:color w:val="000000"/>
          <w:highlight w:val="white"/>
        </w:rPr>
        <w:lastRenderedPageBreak/>
        <w:t>de Ana Laura Martínez Parra, Acuerdo del Comité de Transparencia en el que se aprueba la versión publica del soporte documental entregado, 61 recibos de nómina de la servidora pública de referencia, oficio signado por el Coordinador de Recursos Humanos en el que señala que no existe ningún nombramiento a favor de la servidora pública de mérito, documento con funciones ejercidas así como listas de asistencias y, finalmente el ultimo archivo enlistado contiene los oficios de turno generados para dar atención a la solicitud de información.</w:t>
      </w:r>
    </w:p>
    <w:p w14:paraId="01CAA339"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i/>
          <w:color w:val="000000"/>
          <w:highlight w:val="white"/>
        </w:rPr>
      </w:pPr>
    </w:p>
    <w:p w14:paraId="55E48298" w14:textId="77777777" w:rsidR="002714E7" w:rsidRDefault="00734FB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color w:val="000000"/>
          <w:highlight w:val="white"/>
        </w:rPr>
        <w:t xml:space="preserve">Folio de la solicitud: </w:t>
      </w:r>
      <w:r>
        <w:rPr>
          <w:rFonts w:ascii="Palatino Linotype" w:eastAsia="Palatino Linotype" w:hAnsi="Palatino Linotype" w:cs="Palatino Linotype"/>
          <w:b/>
          <w:color w:val="000000"/>
          <w:highlight w:val="white"/>
        </w:rPr>
        <w:t>00095/TLALMANA/IP/2024</w:t>
      </w:r>
      <w:r>
        <w:rPr>
          <w:rFonts w:ascii="Palatino Linotype" w:eastAsia="Palatino Linotype" w:hAnsi="Palatino Linotype" w:cs="Palatino Linotype"/>
          <w:color w:val="000000"/>
          <w:highlight w:val="white"/>
        </w:rPr>
        <w:t xml:space="preserve">: </w:t>
      </w:r>
      <w:r>
        <w:rPr>
          <w:rFonts w:ascii="Palatino Linotype" w:eastAsia="Palatino Linotype" w:hAnsi="Palatino Linotype" w:cs="Palatino Linotype"/>
          <w:i/>
          <w:color w:val="000000"/>
          <w:highlight w:val="white"/>
        </w:rPr>
        <w:t xml:space="preserve">ACTA 185 ACDO 180.pdf, Oficio De Respuesta 95.pdf, alinedocs_Censurado.pdf, aline_Censurado.pdf </w:t>
      </w:r>
      <w:r>
        <w:rPr>
          <w:rFonts w:ascii="Palatino Linotype" w:eastAsia="Palatino Linotype" w:hAnsi="Palatino Linotype" w:cs="Palatino Linotype"/>
          <w:color w:val="000000"/>
          <w:highlight w:val="white"/>
        </w:rPr>
        <w:t>y</w:t>
      </w:r>
      <w:r>
        <w:rPr>
          <w:rFonts w:ascii="Palatino Linotype" w:eastAsia="Palatino Linotype" w:hAnsi="Palatino Linotype" w:cs="Palatino Linotype"/>
          <w:i/>
          <w:color w:val="000000"/>
          <w:highlight w:val="white"/>
        </w:rPr>
        <w:t xml:space="preserve">, 95 solicitud de </w:t>
      </w:r>
      <w:proofErr w:type="spellStart"/>
      <w:r>
        <w:rPr>
          <w:rFonts w:ascii="Palatino Linotype" w:eastAsia="Palatino Linotype" w:hAnsi="Palatino Linotype" w:cs="Palatino Linotype"/>
          <w:i/>
          <w:color w:val="000000"/>
          <w:highlight w:val="white"/>
        </w:rPr>
        <w:t>informacion</w:t>
      </w:r>
      <w:proofErr w:type="spellEnd"/>
      <w:r>
        <w:rPr>
          <w:rFonts w:ascii="Palatino Linotype" w:eastAsia="Palatino Linotype" w:hAnsi="Palatino Linotype" w:cs="Palatino Linotype"/>
          <w:i/>
          <w:color w:val="000000"/>
          <w:highlight w:val="white"/>
        </w:rPr>
        <w:t xml:space="preserve"> (1).</w:t>
      </w:r>
      <w:proofErr w:type="spellStart"/>
      <w:r>
        <w:rPr>
          <w:rFonts w:ascii="Palatino Linotype" w:eastAsia="Palatino Linotype" w:hAnsi="Palatino Linotype" w:cs="Palatino Linotype"/>
          <w:i/>
          <w:color w:val="000000"/>
          <w:highlight w:val="white"/>
        </w:rPr>
        <w:t>pdf</w:t>
      </w:r>
      <w:proofErr w:type="spellEnd"/>
      <w:r>
        <w:rPr>
          <w:rFonts w:ascii="Palatino Linotype" w:eastAsia="Palatino Linotype" w:hAnsi="Palatino Linotype" w:cs="Palatino Linotype"/>
          <w:i/>
          <w:color w:val="000000"/>
          <w:highlight w:val="white"/>
        </w:rPr>
        <w:t>,</w:t>
      </w:r>
      <w:r>
        <w:rPr>
          <w:rFonts w:ascii="Palatino Linotype" w:eastAsia="Palatino Linotype" w:hAnsi="Palatino Linotype" w:cs="Palatino Linotype"/>
          <w:color w:val="000000"/>
          <w:highlight w:val="white"/>
        </w:rPr>
        <w:t xml:space="preserve"> cuyo contenido a su vez corresponde al Acuerdo del Comité de Transparencia en el que se aprueba la versión publica del soporte documental entregado, oficio signado por el Coordinador de Recursos Humanos en el que señala que no obra nombramiento a favor de la persona referida en la solicitud de información, que no se genera informe detallado de sus funciones y que no se cuenta con listas de asistencias, expediente laboral de Aline Marisela Pérez Torres, 60 recibos de nómina de la servidora pública de referencia y, finalmente el ultimo archivo enlistado contiene los oficios de turno generados para dar atención a la solicitud de información.</w:t>
      </w:r>
    </w:p>
    <w:p w14:paraId="3A72E69A"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i/>
          <w:color w:val="000000"/>
          <w:highlight w:val="white"/>
        </w:rPr>
      </w:pPr>
    </w:p>
    <w:p w14:paraId="65056335" w14:textId="77777777" w:rsidR="002714E7" w:rsidRDefault="00734FB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color w:val="000000"/>
          <w:highlight w:val="white"/>
        </w:rPr>
        <w:lastRenderedPageBreak/>
        <w:t xml:space="preserve">Folio de la solicitud: </w:t>
      </w:r>
      <w:r>
        <w:rPr>
          <w:rFonts w:ascii="Palatino Linotype" w:eastAsia="Palatino Linotype" w:hAnsi="Palatino Linotype" w:cs="Palatino Linotype"/>
          <w:b/>
          <w:color w:val="000000"/>
          <w:highlight w:val="white"/>
        </w:rPr>
        <w:t>00096/TLALMANA/IP/2024</w:t>
      </w:r>
      <w:r>
        <w:rPr>
          <w:rFonts w:ascii="Palatino Linotype" w:eastAsia="Palatino Linotype" w:hAnsi="Palatino Linotype" w:cs="Palatino Linotype"/>
          <w:color w:val="000000"/>
          <w:highlight w:val="white"/>
        </w:rPr>
        <w:t xml:space="preserve">: </w:t>
      </w:r>
      <w:r>
        <w:rPr>
          <w:rFonts w:ascii="Palatino Linotype" w:eastAsia="Palatino Linotype" w:hAnsi="Palatino Linotype" w:cs="Palatino Linotype"/>
          <w:i/>
          <w:color w:val="000000"/>
          <w:highlight w:val="white"/>
        </w:rPr>
        <w:t xml:space="preserve">ACTA 185 ACDO 180.pdf, DOCS RAMSES CENSURADO BIEN.pdf, ramses_Censurado.pdf, Oficio De Respuesta 96.pdf </w:t>
      </w:r>
      <w:r>
        <w:rPr>
          <w:rFonts w:ascii="Palatino Linotype" w:eastAsia="Palatino Linotype" w:hAnsi="Palatino Linotype" w:cs="Palatino Linotype"/>
          <w:color w:val="000000"/>
          <w:highlight w:val="white"/>
        </w:rPr>
        <w:t xml:space="preserve">y, </w:t>
      </w:r>
      <w:r>
        <w:rPr>
          <w:rFonts w:ascii="Palatino Linotype" w:eastAsia="Palatino Linotype" w:hAnsi="Palatino Linotype" w:cs="Palatino Linotype"/>
          <w:i/>
          <w:color w:val="000000"/>
          <w:highlight w:val="white"/>
        </w:rPr>
        <w:t>96 solicitud de información.pdf,</w:t>
      </w:r>
      <w:r>
        <w:rPr>
          <w:rFonts w:ascii="Palatino Linotype" w:eastAsia="Palatino Linotype" w:hAnsi="Palatino Linotype" w:cs="Palatino Linotype"/>
          <w:color w:val="000000"/>
          <w:highlight w:val="white"/>
        </w:rPr>
        <w:t xml:space="preserve"> cuyo contenido a su vez corresponde al Acuerdo del Comité de Transparencia en el que se aprueba la versión publica del soporte documental entregado, expediente laboral y nombramiento de Carlos Ramsés Torres Lázaro, 62 recibos de nómina del servidor público de referencia, oficio signado por el Coordinador de Recursos Humanos en el que señala que no se genera informe detallado de sus funciones así como listas de asistencia del servidor público en comento y, finalmente el ultimo archivo enlistado contiene los oficios de turno generados para dar atención a la solicitud de información.</w:t>
      </w:r>
    </w:p>
    <w:p w14:paraId="1ABBCA1D"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i/>
          <w:color w:val="000000"/>
          <w:highlight w:val="white"/>
        </w:rPr>
      </w:pPr>
    </w:p>
    <w:p w14:paraId="3145768E" w14:textId="77777777" w:rsidR="002714E7" w:rsidRDefault="00734FB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color w:val="000000"/>
          <w:highlight w:val="white"/>
        </w:rPr>
        <w:t xml:space="preserve">Folio de la solicitud: </w:t>
      </w:r>
      <w:r>
        <w:rPr>
          <w:rFonts w:ascii="Palatino Linotype" w:eastAsia="Palatino Linotype" w:hAnsi="Palatino Linotype" w:cs="Palatino Linotype"/>
          <w:b/>
          <w:color w:val="000000"/>
          <w:highlight w:val="white"/>
        </w:rPr>
        <w:t>00097/TLALMANA/IP/2024</w:t>
      </w:r>
      <w:r>
        <w:rPr>
          <w:rFonts w:ascii="Palatino Linotype" w:eastAsia="Palatino Linotype" w:hAnsi="Palatino Linotype" w:cs="Palatino Linotype"/>
          <w:color w:val="000000"/>
          <w:highlight w:val="white"/>
        </w:rPr>
        <w:t xml:space="preserve">: </w:t>
      </w:r>
      <w:r>
        <w:rPr>
          <w:rFonts w:ascii="Palatino Linotype" w:eastAsia="Palatino Linotype" w:hAnsi="Palatino Linotype" w:cs="Palatino Linotype"/>
          <w:i/>
          <w:color w:val="000000"/>
          <w:highlight w:val="white"/>
        </w:rPr>
        <w:t xml:space="preserve">ACTA 185 ACDO 180.pdf, </w:t>
      </w:r>
      <w:proofErr w:type="spellStart"/>
      <w:r>
        <w:rPr>
          <w:rFonts w:ascii="Palatino Linotype" w:eastAsia="Palatino Linotype" w:hAnsi="Palatino Linotype" w:cs="Palatino Linotype"/>
          <w:i/>
          <w:color w:val="000000"/>
          <w:highlight w:val="white"/>
        </w:rPr>
        <w:t>David_Censurado</w:t>
      </w:r>
      <w:proofErr w:type="spellEnd"/>
      <w:r>
        <w:rPr>
          <w:rFonts w:ascii="Palatino Linotype" w:eastAsia="Palatino Linotype" w:hAnsi="Palatino Linotype" w:cs="Palatino Linotype"/>
          <w:i/>
          <w:color w:val="000000"/>
          <w:highlight w:val="white"/>
        </w:rPr>
        <w:t xml:space="preserve"> recibos.pdf</w:t>
      </w:r>
      <w:r>
        <w:rPr>
          <w:rFonts w:ascii="Palatino Linotype" w:eastAsia="Palatino Linotype" w:hAnsi="Palatino Linotype" w:cs="Palatino Linotype"/>
          <w:color w:val="000000"/>
          <w:highlight w:val="white"/>
        </w:rPr>
        <w:t xml:space="preserve"> y, </w:t>
      </w:r>
      <w:r>
        <w:rPr>
          <w:rFonts w:ascii="Palatino Linotype" w:eastAsia="Palatino Linotype" w:hAnsi="Palatino Linotype" w:cs="Palatino Linotype"/>
          <w:i/>
          <w:color w:val="000000"/>
          <w:highlight w:val="white"/>
        </w:rPr>
        <w:t>david_Censurado.pdf,</w:t>
      </w:r>
      <w:r>
        <w:rPr>
          <w:rFonts w:ascii="Palatino Linotype" w:eastAsia="Palatino Linotype" w:hAnsi="Palatino Linotype" w:cs="Palatino Linotype"/>
          <w:color w:val="000000"/>
          <w:highlight w:val="white"/>
        </w:rPr>
        <w:t xml:space="preserve"> cuyo contenido a su vez corresponde al Acuerdo del Comité de Transparencia en el que se aprueba la versión </w:t>
      </w:r>
      <w:proofErr w:type="gramStart"/>
      <w:r>
        <w:rPr>
          <w:rFonts w:ascii="Palatino Linotype" w:eastAsia="Palatino Linotype" w:hAnsi="Palatino Linotype" w:cs="Palatino Linotype"/>
          <w:color w:val="000000"/>
          <w:highlight w:val="white"/>
        </w:rPr>
        <w:t>publica</w:t>
      </w:r>
      <w:proofErr w:type="gramEnd"/>
      <w:r>
        <w:rPr>
          <w:rFonts w:ascii="Palatino Linotype" w:eastAsia="Palatino Linotype" w:hAnsi="Palatino Linotype" w:cs="Palatino Linotype"/>
          <w:color w:val="000000"/>
          <w:highlight w:val="white"/>
        </w:rPr>
        <w:t xml:space="preserve"> del soporte documental entregado, 60 recibos de nómina de David Ventura Hidalgo, expediente laboral del servidor público de referencia.</w:t>
      </w:r>
    </w:p>
    <w:p w14:paraId="50E1EC05"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i/>
          <w:color w:val="000000"/>
          <w:highlight w:val="white"/>
        </w:rPr>
      </w:pPr>
    </w:p>
    <w:p w14:paraId="06284BC5" w14:textId="77777777" w:rsidR="002714E7" w:rsidRDefault="00734FB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color w:val="000000"/>
          <w:highlight w:val="white"/>
        </w:rPr>
        <w:lastRenderedPageBreak/>
        <w:t xml:space="preserve">Folio de la solicitud: </w:t>
      </w:r>
      <w:r>
        <w:rPr>
          <w:rFonts w:ascii="Palatino Linotype" w:eastAsia="Palatino Linotype" w:hAnsi="Palatino Linotype" w:cs="Palatino Linotype"/>
          <w:b/>
          <w:color w:val="000000"/>
          <w:highlight w:val="white"/>
        </w:rPr>
        <w:t>00098/TLALMANA/IP/2024</w:t>
      </w:r>
      <w:r>
        <w:rPr>
          <w:rFonts w:ascii="Palatino Linotype" w:eastAsia="Palatino Linotype" w:hAnsi="Palatino Linotype" w:cs="Palatino Linotype"/>
          <w:color w:val="000000"/>
          <w:highlight w:val="white"/>
        </w:rPr>
        <w:t xml:space="preserve">: </w:t>
      </w:r>
      <w:r>
        <w:rPr>
          <w:rFonts w:ascii="Palatino Linotype" w:eastAsia="Palatino Linotype" w:hAnsi="Palatino Linotype" w:cs="Palatino Linotype"/>
          <w:i/>
          <w:color w:val="000000"/>
          <w:highlight w:val="white"/>
        </w:rPr>
        <w:t>jaime_Censurado.pdf, JaimeR_Censurado.pdf y ACTA 185 ACDO 180.pdf,</w:t>
      </w:r>
      <w:r>
        <w:rPr>
          <w:rFonts w:ascii="Palatino Linotype" w:eastAsia="Palatino Linotype" w:hAnsi="Palatino Linotype" w:cs="Palatino Linotype"/>
          <w:color w:val="000000"/>
          <w:highlight w:val="white"/>
        </w:rPr>
        <w:t xml:space="preserve"> cuyo contenido a su vez corresponde al Acuerdo del Comité de Transparencia en el que se aprueba la versión </w:t>
      </w:r>
      <w:proofErr w:type="gramStart"/>
      <w:r>
        <w:rPr>
          <w:rFonts w:ascii="Palatino Linotype" w:eastAsia="Palatino Linotype" w:hAnsi="Palatino Linotype" w:cs="Palatino Linotype"/>
          <w:color w:val="000000"/>
          <w:highlight w:val="white"/>
        </w:rPr>
        <w:t>publica</w:t>
      </w:r>
      <w:proofErr w:type="gramEnd"/>
      <w:r>
        <w:rPr>
          <w:rFonts w:ascii="Palatino Linotype" w:eastAsia="Palatino Linotype" w:hAnsi="Palatino Linotype" w:cs="Palatino Linotype"/>
          <w:color w:val="000000"/>
          <w:highlight w:val="white"/>
        </w:rPr>
        <w:t xml:space="preserve"> del soporte documental entregado, expediente laboral de Jaime Rene Milla Bello, 61 recibos de nómina del servidor público de referencia.</w:t>
      </w:r>
    </w:p>
    <w:p w14:paraId="52EF70C6"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i/>
          <w:color w:val="000000"/>
          <w:highlight w:val="white"/>
        </w:rPr>
      </w:pPr>
    </w:p>
    <w:p w14:paraId="46C63C36" w14:textId="77777777" w:rsidR="002714E7" w:rsidRDefault="00734FB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color w:val="000000"/>
          <w:highlight w:val="white"/>
        </w:rPr>
        <w:t xml:space="preserve">Folio de la solicitud: </w:t>
      </w:r>
      <w:r>
        <w:rPr>
          <w:rFonts w:ascii="Palatino Linotype" w:eastAsia="Palatino Linotype" w:hAnsi="Palatino Linotype" w:cs="Palatino Linotype"/>
          <w:b/>
          <w:color w:val="000000"/>
          <w:highlight w:val="white"/>
        </w:rPr>
        <w:t>00098/TLALMANA/IP/2024</w:t>
      </w:r>
      <w:r>
        <w:rPr>
          <w:rFonts w:ascii="Palatino Linotype" w:eastAsia="Palatino Linotype" w:hAnsi="Palatino Linotype" w:cs="Palatino Linotype"/>
          <w:color w:val="000000"/>
          <w:highlight w:val="white"/>
        </w:rPr>
        <w:t xml:space="preserve">: </w:t>
      </w:r>
      <w:r>
        <w:rPr>
          <w:rFonts w:ascii="Palatino Linotype" w:eastAsia="Palatino Linotype" w:hAnsi="Palatino Linotype" w:cs="Palatino Linotype"/>
          <w:i/>
          <w:color w:val="000000"/>
          <w:highlight w:val="white"/>
        </w:rPr>
        <w:t>jaime_Censurado.pdf, JaimeR_Censurado.pdf y ACTA 185 ACDO 180.pdf,</w:t>
      </w:r>
      <w:r>
        <w:rPr>
          <w:rFonts w:ascii="Palatino Linotype" w:eastAsia="Palatino Linotype" w:hAnsi="Palatino Linotype" w:cs="Palatino Linotype"/>
          <w:color w:val="000000"/>
          <w:highlight w:val="white"/>
        </w:rPr>
        <w:t xml:space="preserve"> cuyo contenido corresponde al expediente laboral de Jaime Rene Milla Bello, 61 recibos de nómina del servidor público de referencia y al Acuerdo del Comité de Transparencia en el que se aprueba la versión </w:t>
      </w:r>
      <w:proofErr w:type="gramStart"/>
      <w:r>
        <w:rPr>
          <w:rFonts w:ascii="Palatino Linotype" w:eastAsia="Palatino Linotype" w:hAnsi="Palatino Linotype" w:cs="Palatino Linotype"/>
          <w:color w:val="000000"/>
          <w:highlight w:val="white"/>
        </w:rPr>
        <w:t>publica</w:t>
      </w:r>
      <w:proofErr w:type="gramEnd"/>
      <w:r>
        <w:rPr>
          <w:rFonts w:ascii="Palatino Linotype" w:eastAsia="Palatino Linotype" w:hAnsi="Palatino Linotype" w:cs="Palatino Linotype"/>
          <w:color w:val="000000"/>
          <w:highlight w:val="white"/>
        </w:rPr>
        <w:t xml:space="preserve"> del soporte documental entregado.</w:t>
      </w:r>
    </w:p>
    <w:p w14:paraId="3E00CD1E"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i/>
          <w:color w:val="000000"/>
          <w:highlight w:val="white"/>
        </w:rPr>
      </w:pPr>
    </w:p>
    <w:p w14:paraId="3FC9C826" w14:textId="77777777" w:rsidR="002714E7" w:rsidRDefault="00734FB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color w:val="000000"/>
          <w:highlight w:val="white"/>
        </w:rPr>
        <w:t xml:space="preserve">Folio de la solicitud: </w:t>
      </w:r>
      <w:r>
        <w:rPr>
          <w:rFonts w:ascii="Palatino Linotype" w:eastAsia="Palatino Linotype" w:hAnsi="Palatino Linotype" w:cs="Palatino Linotype"/>
          <w:b/>
          <w:color w:val="000000"/>
          <w:highlight w:val="white"/>
        </w:rPr>
        <w:t>00106/TLALMANA/IP/2024</w:t>
      </w:r>
      <w:r>
        <w:rPr>
          <w:rFonts w:ascii="Palatino Linotype" w:eastAsia="Palatino Linotype" w:hAnsi="Palatino Linotype" w:cs="Palatino Linotype"/>
          <w:color w:val="000000"/>
          <w:highlight w:val="white"/>
        </w:rPr>
        <w:t xml:space="preserve">: </w:t>
      </w:r>
      <w:r>
        <w:rPr>
          <w:rFonts w:ascii="Palatino Linotype" w:eastAsia="Palatino Linotype" w:hAnsi="Palatino Linotype" w:cs="Palatino Linotype"/>
          <w:i/>
          <w:color w:val="000000"/>
          <w:highlight w:val="white"/>
        </w:rPr>
        <w:t xml:space="preserve">ACTA 185 ACDO 180.pdf, oficio de respuesta.pdf, documentos renato vp.pdf </w:t>
      </w:r>
      <w:r>
        <w:rPr>
          <w:rFonts w:ascii="Palatino Linotype" w:eastAsia="Palatino Linotype" w:hAnsi="Palatino Linotype" w:cs="Palatino Linotype"/>
          <w:color w:val="000000"/>
          <w:highlight w:val="white"/>
        </w:rPr>
        <w:t>y</w:t>
      </w:r>
      <w:r>
        <w:rPr>
          <w:rFonts w:ascii="Palatino Linotype" w:eastAsia="Palatino Linotype" w:hAnsi="Palatino Linotype" w:cs="Palatino Linotype"/>
          <w:i/>
          <w:color w:val="000000"/>
          <w:highlight w:val="white"/>
        </w:rPr>
        <w:t xml:space="preserve"> renato recibos vp.pdf,</w:t>
      </w:r>
      <w:r>
        <w:rPr>
          <w:rFonts w:ascii="Palatino Linotype" w:eastAsia="Palatino Linotype" w:hAnsi="Palatino Linotype" w:cs="Palatino Linotype"/>
          <w:color w:val="000000"/>
          <w:highlight w:val="white"/>
        </w:rPr>
        <w:t xml:space="preserve"> cuyo contenido corresponde al Acuerdo del Comité de Transparencia en el que se aprueba la versión publica del soporte documental entregado, oficio signado por el Coordinador de Recursos Humanos en el que señala que no se genera informe detallado de sus funciones así como listas de asistencia del servidor </w:t>
      </w:r>
      <w:r>
        <w:rPr>
          <w:rFonts w:ascii="Palatino Linotype" w:eastAsia="Palatino Linotype" w:hAnsi="Palatino Linotype" w:cs="Palatino Linotype"/>
          <w:color w:val="000000"/>
          <w:highlight w:val="white"/>
        </w:rPr>
        <w:lastRenderedPageBreak/>
        <w:t>público en comento, expediente laboral y, 61 recibos de nómina de Renato Manuel Soriano Vázquez.</w:t>
      </w:r>
    </w:p>
    <w:p w14:paraId="3B1021E3"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i/>
          <w:color w:val="000000"/>
          <w:highlight w:val="white"/>
        </w:rPr>
      </w:pPr>
    </w:p>
    <w:p w14:paraId="74F0D143" w14:textId="77777777" w:rsidR="002714E7" w:rsidRDefault="00734FB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color w:val="000000"/>
          <w:highlight w:val="white"/>
        </w:rPr>
        <w:t xml:space="preserve">Folio de la solicitud: </w:t>
      </w:r>
      <w:r>
        <w:rPr>
          <w:rFonts w:ascii="Palatino Linotype" w:eastAsia="Palatino Linotype" w:hAnsi="Palatino Linotype" w:cs="Palatino Linotype"/>
          <w:b/>
          <w:color w:val="000000"/>
          <w:highlight w:val="white"/>
        </w:rPr>
        <w:t>00105/TLALMANA/IP/2024</w:t>
      </w:r>
      <w:r>
        <w:rPr>
          <w:rFonts w:ascii="Palatino Linotype" w:eastAsia="Palatino Linotype" w:hAnsi="Palatino Linotype" w:cs="Palatino Linotype"/>
          <w:color w:val="000000"/>
          <w:highlight w:val="white"/>
        </w:rPr>
        <w:t xml:space="preserve">: </w:t>
      </w:r>
      <w:r>
        <w:rPr>
          <w:rFonts w:ascii="Palatino Linotype" w:eastAsia="Palatino Linotype" w:hAnsi="Palatino Linotype" w:cs="Palatino Linotype"/>
          <w:i/>
          <w:color w:val="000000"/>
          <w:highlight w:val="white"/>
        </w:rPr>
        <w:t xml:space="preserve">documentos </w:t>
      </w:r>
      <w:proofErr w:type="spellStart"/>
      <w:r>
        <w:rPr>
          <w:rFonts w:ascii="Palatino Linotype" w:eastAsia="Palatino Linotype" w:hAnsi="Palatino Linotype" w:cs="Palatino Linotype"/>
          <w:i/>
          <w:color w:val="000000"/>
          <w:highlight w:val="white"/>
        </w:rPr>
        <w:t>vp</w:t>
      </w:r>
      <w:proofErr w:type="spellEnd"/>
      <w:r>
        <w:rPr>
          <w:rFonts w:ascii="Palatino Linotype" w:eastAsia="Palatino Linotype" w:hAnsi="Palatino Linotype" w:cs="Palatino Linotype"/>
          <w:i/>
          <w:color w:val="000000"/>
          <w:highlight w:val="white"/>
        </w:rPr>
        <w:t xml:space="preserve"> </w:t>
      </w:r>
      <w:proofErr w:type="spellStart"/>
      <w:r>
        <w:rPr>
          <w:rFonts w:ascii="Palatino Linotype" w:eastAsia="Palatino Linotype" w:hAnsi="Palatino Linotype" w:cs="Palatino Linotype"/>
          <w:i/>
          <w:color w:val="000000"/>
          <w:highlight w:val="white"/>
        </w:rPr>
        <w:t>noemi</w:t>
      </w:r>
      <w:proofErr w:type="spellEnd"/>
      <w:r>
        <w:rPr>
          <w:rFonts w:ascii="Palatino Linotype" w:eastAsia="Palatino Linotype" w:hAnsi="Palatino Linotype" w:cs="Palatino Linotype"/>
          <w:i/>
          <w:color w:val="000000"/>
          <w:highlight w:val="white"/>
        </w:rPr>
        <w:t xml:space="preserve"> 105-2024.pdf, Noemi_Censurado.pdf, ACTA 185 ACDO 180.pdf </w:t>
      </w:r>
      <w:r>
        <w:rPr>
          <w:rFonts w:ascii="Palatino Linotype" w:eastAsia="Palatino Linotype" w:hAnsi="Palatino Linotype" w:cs="Palatino Linotype"/>
          <w:color w:val="000000"/>
          <w:highlight w:val="white"/>
        </w:rPr>
        <w:t>y</w:t>
      </w:r>
      <w:r>
        <w:rPr>
          <w:rFonts w:ascii="Palatino Linotype" w:eastAsia="Palatino Linotype" w:hAnsi="Palatino Linotype" w:cs="Palatino Linotype"/>
          <w:i/>
          <w:color w:val="000000"/>
          <w:highlight w:val="white"/>
        </w:rPr>
        <w:t xml:space="preserve"> oficio de respuesta.pdf,</w:t>
      </w:r>
      <w:r>
        <w:rPr>
          <w:rFonts w:ascii="Palatino Linotype" w:eastAsia="Palatino Linotype" w:hAnsi="Palatino Linotype" w:cs="Palatino Linotype"/>
          <w:color w:val="000000"/>
          <w:highlight w:val="white"/>
        </w:rPr>
        <w:t xml:space="preserve"> que corresponde a diverso soporte documental de Noemí Sánchez Villalba, consistente en constancia de estudios, certificado de no deudor alimentario moroso, 57 recibos de nómina, Acuerdo del Comité de Transparencia en el que se aprueba la versión publica del soporte documental entregado, oficio signado por el Coordinador de Recursos Humanos en el que señala que no obra nombramiento a favor de la persona referida en la solicitud de información, que no se genera informe detallado de sus funciones y que no se cuenta con listas de asistencias.</w:t>
      </w:r>
    </w:p>
    <w:p w14:paraId="5598E256"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i/>
          <w:color w:val="000000"/>
          <w:highlight w:val="white"/>
        </w:rPr>
      </w:pPr>
    </w:p>
    <w:p w14:paraId="652FE5C4" w14:textId="77777777" w:rsidR="002714E7" w:rsidRDefault="00734FB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color w:val="000000"/>
          <w:highlight w:val="white"/>
        </w:rPr>
        <w:t xml:space="preserve">Folio de la solicitud: </w:t>
      </w:r>
      <w:r>
        <w:rPr>
          <w:rFonts w:ascii="Palatino Linotype" w:eastAsia="Palatino Linotype" w:hAnsi="Palatino Linotype" w:cs="Palatino Linotype"/>
          <w:b/>
          <w:color w:val="000000"/>
          <w:highlight w:val="white"/>
        </w:rPr>
        <w:t>00104/TLALMANA/IP/2024</w:t>
      </w:r>
      <w:r>
        <w:rPr>
          <w:rFonts w:ascii="Palatino Linotype" w:eastAsia="Palatino Linotype" w:hAnsi="Palatino Linotype" w:cs="Palatino Linotype"/>
          <w:color w:val="000000"/>
          <w:highlight w:val="white"/>
        </w:rPr>
        <w:t xml:space="preserve">: </w:t>
      </w:r>
      <w:proofErr w:type="spellStart"/>
      <w:r>
        <w:rPr>
          <w:rFonts w:ascii="Palatino Linotype" w:eastAsia="Palatino Linotype" w:hAnsi="Palatino Linotype" w:cs="Palatino Linotype"/>
          <w:i/>
          <w:color w:val="000000"/>
          <w:highlight w:val="white"/>
        </w:rPr>
        <w:t>fabiola_Censurado</w:t>
      </w:r>
      <w:proofErr w:type="spellEnd"/>
      <w:r>
        <w:rPr>
          <w:rFonts w:ascii="Palatino Linotype" w:eastAsia="Palatino Linotype" w:hAnsi="Palatino Linotype" w:cs="Palatino Linotype"/>
          <w:i/>
          <w:color w:val="000000"/>
          <w:highlight w:val="white"/>
        </w:rPr>
        <w:t xml:space="preserve"> documentos.pdf, ACTA 185 ACDO 180.pdf, Fabiola recibos vp.pdf </w:t>
      </w:r>
      <w:r>
        <w:rPr>
          <w:rFonts w:ascii="Palatino Linotype" w:eastAsia="Palatino Linotype" w:hAnsi="Palatino Linotype" w:cs="Palatino Linotype"/>
          <w:color w:val="000000"/>
          <w:highlight w:val="white"/>
        </w:rPr>
        <w:t>y,</w:t>
      </w:r>
      <w:r>
        <w:rPr>
          <w:rFonts w:ascii="Palatino Linotype" w:eastAsia="Palatino Linotype" w:hAnsi="Palatino Linotype" w:cs="Palatino Linotype"/>
          <w:i/>
          <w:color w:val="000000"/>
          <w:highlight w:val="white"/>
        </w:rPr>
        <w:t xml:space="preserve"> oficio de respuesta.pdf,</w:t>
      </w:r>
      <w:r>
        <w:rPr>
          <w:rFonts w:ascii="Palatino Linotype" w:eastAsia="Palatino Linotype" w:hAnsi="Palatino Linotype" w:cs="Palatino Linotype"/>
          <w:color w:val="000000"/>
          <w:highlight w:val="white"/>
        </w:rPr>
        <w:t xml:space="preserve"> que corresponde a diverso soporte documental de María Fabiola Gómez Chávez, consistente en constancia de estudios, certificado de no deudor alimentario moroso, 61 recibos de nómina, Acuerdo del Comité de Transparencia en el que se aprueba la versión publica del soporte documental </w:t>
      </w:r>
      <w:r>
        <w:rPr>
          <w:rFonts w:ascii="Palatino Linotype" w:eastAsia="Palatino Linotype" w:hAnsi="Palatino Linotype" w:cs="Palatino Linotype"/>
          <w:color w:val="000000"/>
          <w:highlight w:val="white"/>
        </w:rPr>
        <w:lastRenderedPageBreak/>
        <w:t>entregado, oficio signado por el Coordinador de Recursos Humanos en el que señala que no obra nombramiento a favor de la persona referida en la solicitud de información, que no se genera informe detallado de sus funciones y que no se cuenta con listas de asistencias.</w:t>
      </w:r>
    </w:p>
    <w:p w14:paraId="798E78F3"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69C2FFEE"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bookmarkStart w:id="2" w:name="_heading=h.1fob9te" w:colFirst="0" w:colLast="0"/>
      <w:bookmarkEnd w:id="2"/>
      <w:r>
        <w:rPr>
          <w:rFonts w:ascii="Palatino Linotype" w:eastAsia="Palatino Linotype" w:hAnsi="Palatino Linotype" w:cs="Palatino Linotype"/>
          <w:color w:val="000000"/>
          <w:highlight w:val="white"/>
        </w:rPr>
        <w:t xml:space="preserve">Los días </w:t>
      </w:r>
      <w:r>
        <w:rPr>
          <w:rFonts w:ascii="Palatino Linotype" w:eastAsia="Palatino Linotype" w:hAnsi="Palatino Linotype" w:cs="Palatino Linotype"/>
          <w:b/>
          <w:color w:val="000000"/>
          <w:highlight w:val="white"/>
        </w:rPr>
        <w:t>diecinueve y veintiuno de agosto de dos mil veinticuatro</w:t>
      </w:r>
      <w:r>
        <w:rPr>
          <w:rFonts w:ascii="Palatino Linotype" w:eastAsia="Palatino Linotype" w:hAnsi="Palatino Linotype" w:cs="Palatino Linotype"/>
          <w:color w:val="000000"/>
          <w:highlight w:val="white"/>
        </w:rPr>
        <w:t xml:space="preserve">, </w:t>
      </w:r>
      <w:r>
        <w:rPr>
          <w:rFonts w:ascii="Palatino Linotype" w:eastAsia="Palatino Linotype" w:hAnsi="Palatino Linotype" w:cs="Palatino Linotype"/>
          <w:b/>
          <w:color w:val="000000"/>
          <w:highlight w:val="white"/>
        </w:rPr>
        <w:t>LA RECURRENTE</w:t>
      </w:r>
      <w:r>
        <w:rPr>
          <w:rFonts w:ascii="Palatino Linotype" w:eastAsia="Palatino Linotype" w:hAnsi="Palatino Linotype" w:cs="Palatino Linotype"/>
          <w:color w:val="000000"/>
          <w:highlight w:val="white"/>
        </w:rPr>
        <w:t xml:space="preserve"> interpuso los recursos de revisión, en contra de </w:t>
      </w:r>
      <w:proofErr w:type="gramStart"/>
      <w:r>
        <w:rPr>
          <w:rFonts w:ascii="Palatino Linotype" w:eastAsia="Palatino Linotype" w:hAnsi="Palatino Linotype" w:cs="Palatino Linotype"/>
          <w:color w:val="000000"/>
          <w:highlight w:val="white"/>
        </w:rPr>
        <w:t>la respuestas</w:t>
      </w:r>
      <w:proofErr w:type="gramEnd"/>
      <w:r>
        <w:rPr>
          <w:rFonts w:ascii="Palatino Linotype" w:eastAsia="Palatino Linotype" w:hAnsi="Palatino Linotype" w:cs="Palatino Linotype"/>
          <w:color w:val="000000"/>
          <w:highlight w:val="white"/>
        </w:rPr>
        <w:t xml:space="preserve"> de la siguiente manera:</w:t>
      </w:r>
    </w:p>
    <w:p w14:paraId="78E13ED3"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74341E09"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Folio del recurso de revisión: 04733/INFOEM/IP/RR/2024</w:t>
      </w:r>
    </w:p>
    <w:p w14:paraId="0E712301"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ACTO IMPUGNADO</w:t>
      </w:r>
      <w:r>
        <w:rPr>
          <w:rFonts w:ascii="Palatino Linotype" w:eastAsia="Palatino Linotype" w:hAnsi="Palatino Linotype" w:cs="Palatino Linotype"/>
          <w:b/>
          <w:color w:val="000000"/>
          <w:highlight w:val="white"/>
        </w:rPr>
        <w:tab/>
      </w:r>
    </w:p>
    <w:p w14:paraId="255887D9"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Con fundamento en los artículos 176, 178 y 179 Fracción V de la Ley de Transparencia y Acceso a la Información Pública del Estado de México y Municipios, la negativa por parte del Sujeto Obligado para la entrega de la información Y la falta de respuesta a mi solicitud e información.</w:t>
      </w:r>
    </w:p>
    <w:p w14:paraId="5060694C" w14:textId="77777777" w:rsidR="002714E7" w:rsidRDefault="002714E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p>
    <w:p w14:paraId="1DB45DCE" w14:textId="77777777" w:rsidR="002714E7" w:rsidRDefault="002714E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p>
    <w:p w14:paraId="2B7F6F78"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RAZONES O MOTIVOS DE LA INCONFORMIDAD</w:t>
      </w:r>
      <w:r>
        <w:rPr>
          <w:rFonts w:ascii="Palatino Linotype" w:eastAsia="Palatino Linotype" w:hAnsi="Palatino Linotype" w:cs="Palatino Linotype"/>
          <w:b/>
          <w:color w:val="000000"/>
          <w:highlight w:val="white"/>
        </w:rPr>
        <w:tab/>
      </w:r>
    </w:p>
    <w:p w14:paraId="52E41AF2"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Con fundamento en los artículos 176, 178 y 179 Fracción V de la Ley de Transparencia y Acceso a la Información Pública del Estado de México y </w:t>
      </w:r>
      <w:proofErr w:type="spellStart"/>
      <w:proofErr w:type="gramStart"/>
      <w:r>
        <w:rPr>
          <w:rFonts w:ascii="Palatino Linotype" w:eastAsia="Palatino Linotype" w:hAnsi="Palatino Linotype" w:cs="Palatino Linotype"/>
          <w:i/>
          <w:color w:val="000000"/>
          <w:highlight w:val="white"/>
        </w:rPr>
        <w:t>Municipios,Con</w:t>
      </w:r>
      <w:proofErr w:type="spellEnd"/>
      <w:proofErr w:type="gramEnd"/>
      <w:r>
        <w:rPr>
          <w:rFonts w:ascii="Palatino Linotype" w:eastAsia="Palatino Linotype" w:hAnsi="Palatino Linotype" w:cs="Palatino Linotype"/>
          <w:i/>
          <w:color w:val="000000"/>
          <w:highlight w:val="white"/>
        </w:rPr>
        <w:t xml:space="preserve"> fundamento </w:t>
      </w:r>
      <w:r>
        <w:rPr>
          <w:rFonts w:ascii="Palatino Linotype" w:eastAsia="Palatino Linotype" w:hAnsi="Palatino Linotype" w:cs="Palatino Linotype"/>
          <w:i/>
          <w:color w:val="000000"/>
          <w:highlight w:val="white"/>
        </w:rPr>
        <w:lastRenderedPageBreak/>
        <w:t>en los artículos 176, 178 y 179 Fracción V de la Ley de Transparencia y Acceso a la Información Pública del Estado de México y Municipios, la negativa por parte del Sujeto Obligado para la entrega de la información Y la falta de respuesta a mi solicitud e información..</w:t>
      </w:r>
    </w:p>
    <w:p w14:paraId="13EA9347" w14:textId="77777777" w:rsidR="002714E7" w:rsidRDefault="002714E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p>
    <w:p w14:paraId="2920CAB5"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Folio del recurso de revisión: 04891/INFOEM/IP/RR/2024</w:t>
      </w:r>
    </w:p>
    <w:p w14:paraId="6A0D5945"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ACTO IMPUGNADO</w:t>
      </w:r>
      <w:r>
        <w:rPr>
          <w:rFonts w:ascii="Palatino Linotype" w:eastAsia="Palatino Linotype" w:hAnsi="Palatino Linotype" w:cs="Palatino Linotype"/>
          <w:b/>
          <w:color w:val="000000"/>
          <w:highlight w:val="white"/>
        </w:rPr>
        <w:tab/>
      </w:r>
    </w:p>
    <w:p w14:paraId="1D268BE7"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Respuesta incompleta</w:t>
      </w:r>
    </w:p>
    <w:p w14:paraId="6AD1DC9B" w14:textId="77777777" w:rsidR="002714E7" w:rsidRDefault="002714E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p>
    <w:p w14:paraId="10090F49"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RAZONES O MOTIVOS DE LA INCONFORMIDAD</w:t>
      </w:r>
      <w:r>
        <w:rPr>
          <w:rFonts w:ascii="Palatino Linotype" w:eastAsia="Palatino Linotype" w:hAnsi="Palatino Linotype" w:cs="Palatino Linotype"/>
          <w:b/>
          <w:color w:val="000000"/>
          <w:highlight w:val="white"/>
        </w:rPr>
        <w:tab/>
      </w:r>
    </w:p>
    <w:p w14:paraId="469C296D"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Con fundamento en los artículos 162, 176, 178 y 179 Fracción I y V de la Ley de Transparencia y Acceso a la Información Pública del Estado de México y Municipios, la negativa por parte del Sujeto Obligado para la entrega de la información esta es incompleta falta de respuesta a mi solicitud e información. de los siguientes puntos. 4.- Documento que acredite no estar Inscrito en el Registro de Deudores Alimentarios Morosos en el Estado ni en ninguna otra Entidad Federativa 7.- Listas de asistencia con horario de entrada y salida del mes de enero del 2022 al 30 de junio del 2024. El Sujeto Obligado cuenta con una Coordinación de Recursos Humanos y de acuerdo a sus manuales de Organización y de Procedimientos de la Tesorería Municipal cuenta con facultades y atribuciones para a la entrega de la información de las Listas de asistencia </w:t>
      </w:r>
      <w:r>
        <w:rPr>
          <w:rFonts w:ascii="Palatino Linotype" w:eastAsia="Palatino Linotype" w:hAnsi="Palatino Linotype" w:cs="Palatino Linotype"/>
          <w:i/>
          <w:color w:val="000000"/>
          <w:highlight w:val="white"/>
        </w:rPr>
        <w:lastRenderedPageBreak/>
        <w:t xml:space="preserve">con horario de entrada y salida del mes de enero del 2022 al 30 de junio del 2024. MANUAL DE ORGANIZACIÓN DE LA TESORERÍA MUNICIPAL https://hosting-wolf.net/Tlalmanalco/Documentos/Manuales%202019-2021/119%20MANUAL%20DE%20ORGANIZACI%C3%93N%20DE%20LA%20TESORER%C3%8DA%20MUNICIPAL.pdf Artículo 49. La Coordinación de Recursos Humanos, es el área encargada de planear, organizar, dirigir y controlar los recursos humanos necesarios para el desempeño eficiente de las funciones y atribuciones de la administración pública municipal, teniendo como atribuciones las siguientes: V. Controlar, los movimientos administrativos del personal que labora en la administración pública municipal, como alta, baja, control de asistencia de entrada, salida, licencias, permisos, incapacidades, reportes, periodos vacaciones, días económicos, pensiones alimenticias y cambio de adscripción, incluyendo en su caso a los miembros del cuerpo de seguridad pública municipal; MANUAL DE PROCEDIMIENTOS DE LA TESORERÍA MUNICIPAL https://hosting-wolf.net/Tlalmanalco/Documentos/Manuales%202019-2021/120%20MANUAL%20DE%20PROCEDIMIENTOS%20DE%20LA%20TESORER%C3%8DA%20MUNICIPAL.pdf 11.10 Desarrollo 1 Coordinación de Recursos Humanos Generar el reporte de incidencias (faltas, retardos, incapacidades, pensiones, créditos a corto y mediano plazo, pensiones alimenticias. 2 </w:t>
      </w:r>
      <w:proofErr w:type="gramStart"/>
      <w:r>
        <w:rPr>
          <w:rFonts w:ascii="Palatino Linotype" w:eastAsia="Palatino Linotype" w:hAnsi="Palatino Linotype" w:cs="Palatino Linotype"/>
          <w:i/>
          <w:color w:val="000000"/>
          <w:highlight w:val="white"/>
        </w:rPr>
        <w:t>Coordinación</w:t>
      </w:r>
      <w:proofErr w:type="gramEnd"/>
      <w:r>
        <w:rPr>
          <w:rFonts w:ascii="Palatino Linotype" w:eastAsia="Palatino Linotype" w:hAnsi="Palatino Linotype" w:cs="Palatino Linotype"/>
          <w:i/>
          <w:color w:val="000000"/>
          <w:highlight w:val="white"/>
        </w:rPr>
        <w:t xml:space="preserve"> de </w:t>
      </w:r>
      <w:r>
        <w:rPr>
          <w:rFonts w:ascii="Palatino Linotype" w:eastAsia="Palatino Linotype" w:hAnsi="Palatino Linotype" w:cs="Palatino Linotype"/>
          <w:i/>
          <w:color w:val="000000"/>
          <w:highlight w:val="white"/>
        </w:rPr>
        <w:lastRenderedPageBreak/>
        <w:t>Recursos Humanos Procesar en el sistema de nómina las incidencias de los trabajadores que hayan tenido.</w:t>
      </w:r>
    </w:p>
    <w:p w14:paraId="6FEE267E" w14:textId="77777777" w:rsidR="002714E7" w:rsidRDefault="002714E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p>
    <w:p w14:paraId="1E479F32"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Folio del recurso de revisión: 04892/INFOEM/IP/RR/2024</w:t>
      </w:r>
    </w:p>
    <w:p w14:paraId="3CB2F889"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ACTO IMPUGNADO</w:t>
      </w:r>
      <w:r>
        <w:rPr>
          <w:rFonts w:ascii="Palatino Linotype" w:eastAsia="Palatino Linotype" w:hAnsi="Palatino Linotype" w:cs="Palatino Linotype"/>
          <w:b/>
          <w:color w:val="000000"/>
          <w:highlight w:val="white"/>
        </w:rPr>
        <w:tab/>
      </w:r>
    </w:p>
    <w:p w14:paraId="38F58287"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Respuesta incompleta</w:t>
      </w:r>
    </w:p>
    <w:p w14:paraId="3D9D37F4" w14:textId="77777777" w:rsidR="002714E7" w:rsidRDefault="002714E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p>
    <w:p w14:paraId="53786D59"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RAZONES O MOTIVOS DE LA INCONFORMIDAD</w:t>
      </w:r>
      <w:r>
        <w:rPr>
          <w:rFonts w:ascii="Palatino Linotype" w:eastAsia="Palatino Linotype" w:hAnsi="Palatino Linotype" w:cs="Palatino Linotype"/>
          <w:b/>
          <w:color w:val="000000"/>
          <w:highlight w:val="white"/>
        </w:rPr>
        <w:tab/>
      </w:r>
    </w:p>
    <w:p w14:paraId="4E07C3C7"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Con fundamento en los artículos 162, 176, 178 y 179 Fracción I y V de la Ley de Transparencia y Acceso a la Información Pública del Estado de México y Municipios, la negativa por parte del Sujeto Obligado para la entrega de la información esta es incompleta falta de respuesta a mi solicitud e información. de los siguientes puntos. 7.- Listas de asistencia con horario de entrada y salida del mes de enero del 2022 al 30 de junio del 2024. El Sujeto Obligado cuenta con una Coordinación de Recursos Humanos y de acuerdo a sus manuales de Organización y de Procedimientos de la Tesorería Municipal cuenta con facultades y atribuciones para a la entrega de la información de las Listas de asistencia con horario de entrada y salida del mes de enero del 2022 al 30 de junio del 2024. MANUAL DE ORGANIZACIÓN DE LA TESORERÍA MUNICIPAL https://hosting-wolf.net/Tlalmanalco/Documentos/Manuales%202019-2021/119%20MANUAL%20DE%20ORGANIZACI%C3%93N%20DE%20LA%2</w:t>
      </w:r>
      <w:r>
        <w:rPr>
          <w:rFonts w:ascii="Palatino Linotype" w:eastAsia="Palatino Linotype" w:hAnsi="Palatino Linotype" w:cs="Palatino Linotype"/>
          <w:i/>
          <w:color w:val="000000"/>
          <w:highlight w:val="white"/>
        </w:rPr>
        <w:lastRenderedPageBreak/>
        <w:t xml:space="preserve">0TESORER%C3%8DA%20MUNICIPAL.pdf Artículo 49. La Coordinación de Recursos Humanos, es el área encargada de planear, organizar, dirigir y controlar los recursos humanos necesarios para el desempeño eficiente de las funciones y atribuciones de la administración pública municipal, teniendo como atribuciones las siguientes: V. Controlar, los movimientos administrativos del personal que labora en la administración pública municipal, como alta, baja, control de asistencia de entrada, salida, licencias, permisos, incapacidades, reportes, periodos vacaciones, días económicos, pensiones alimenticias y cambio de adscripción, incluyendo en su caso a los miembros del cuerpo de seguridad pública municipal; MANUAL DE PROCEDIMIENTOS DE LA TESORERÍA MUNICIPAL https://hosting-wolf.net/Tlalmanalco/Documentos/Manuales%202019-2021/120%20MANUAL%20DE%20PROCEDIMIENTOS%20DE%20LA%20TESORER%C3%8DA%20MUNICIPAL.pdf 11.10 Desarrollo 1 Coordinación de Recursos Humanos Generar el reporte de incidencias (faltas, retardos, incapacidades, pensiones, créditos a corto y mediano plazo, pensiones alimenticias. 2 </w:t>
      </w:r>
      <w:proofErr w:type="gramStart"/>
      <w:r>
        <w:rPr>
          <w:rFonts w:ascii="Palatino Linotype" w:eastAsia="Palatino Linotype" w:hAnsi="Palatino Linotype" w:cs="Palatino Linotype"/>
          <w:i/>
          <w:color w:val="000000"/>
          <w:highlight w:val="white"/>
        </w:rPr>
        <w:t>Coordinación</w:t>
      </w:r>
      <w:proofErr w:type="gramEnd"/>
      <w:r>
        <w:rPr>
          <w:rFonts w:ascii="Palatino Linotype" w:eastAsia="Palatino Linotype" w:hAnsi="Palatino Linotype" w:cs="Palatino Linotype"/>
          <w:i/>
          <w:color w:val="000000"/>
          <w:highlight w:val="white"/>
        </w:rPr>
        <w:t xml:space="preserve"> de Recursos Humanos Procesar en el sistema de nómina las incidencias de los trabajadores que hayan tenido.</w:t>
      </w:r>
    </w:p>
    <w:p w14:paraId="1AEE77F8"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ab/>
      </w:r>
    </w:p>
    <w:p w14:paraId="497D344B"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Folio del recurso de revisión: 04893/INFOEM/IP/RR/2024</w:t>
      </w:r>
    </w:p>
    <w:p w14:paraId="634BFADC"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ACTO IMPUGNADO</w:t>
      </w:r>
      <w:r>
        <w:rPr>
          <w:rFonts w:ascii="Palatino Linotype" w:eastAsia="Palatino Linotype" w:hAnsi="Palatino Linotype" w:cs="Palatino Linotype"/>
          <w:b/>
          <w:color w:val="000000"/>
          <w:highlight w:val="white"/>
        </w:rPr>
        <w:tab/>
      </w:r>
    </w:p>
    <w:p w14:paraId="74E3AD0D"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lastRenderedPageBreak/>
        <w:t xml:space="preserve">Respuesta de la información </w:t>
      </w:r>
      <w:proofErr w:type="spellStart"/>
      <w:r>
        <w:rPr>
          <w:rFonts w:ascii="Palatino Linotype" w:eastAsia="Palatino Linotype" w:hAnsi="Palatino Linotype" w:cs="Palatino Linotype"/>
          <w:i/>
          <w:color w:val="000000"/>
          <w:highlight w:val="white"/>
        </w:rPr>
        <w:t>esta</w:t>
      </w:r>
      <w:proofErr w:type="spellEnd"/>
      <w:r>
        <w:rPr>
          <w:rFonts w:ascii="Palatino Linotype" w:eastAsia="Palatino Linotype" w:hAnsi="Palatino Linotype" w:cs="Palatino Linotype"/>
          <w:i/>
          <w:color w:val="000000"/>
          <w:highlight w:val="white"/>
        </w:rPr>
        <w:t xml:space="preserve"> incompleta</w:t>
      </w:r>
    </w:p>
    <w:p w14:paraId="5D72B179" w14:textId="77777777" w:rsidR="002714E7" w:rsidRDefault="002714E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p>
    <w:p w14:paraId="140F6293"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RAZONES O MOTIVOS DE LA INCONFORMIDAD</w:t>
      </w:r>
      <w:r>
        <w:rPr>
          <w:rFonts w:ascii="Palatino Linotype" w:eastAsia="Palatino Linotype" w:hAnsi="Palatino Linotype" w:cs="Palatino Linotype"/>
          <w:b/>
          <w:color w:val="000000"/>
          <w:highlight w:val="white"/>
        </w:rPr>
        <w:tab/>
      </w:r>
    </w:p>
    <w:p w14:paraId="2D455F4B"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Con fundamento en los artículos 162, 176, 178 y 179 Fracción I y V de la Ley de Transparencia y Acceso a la Información Pública del Estado de México y Municipios, la negativa por parte del Sujeto Obligado para la entrega de la información esta es incompleta falta de respuesta a mi solicitud e información. de los siguientes puntos. 6.- Informe detallado de las funciones y atribuciones específicas de los distintos cargos y/o puestos que se le haya asignado en las distintas Áreas de la Administración 2022-2024 el cual dio inicio en el mes del 01 enero del 2022 al 30 de junio del 2024. 7.- Listas de asistencia con horario de entrada y salida del mes de enero del 2022 al 30 de junio del 2024. El Sujeto Obligado cuenta con una Coordinación de Recursos Humanos y de acuerdo a sus manuales de Organización y de Procedimientos de la Tesorería Municipal cuenta con facultades y atribuciones para a la entrega de la información de las Listas de asistencia con horario de entrada y salida del mes de enero del 2022 al 30 de junio del 2024. MANUAL DE ORGANIZACIÓN DE LA TESORERÍA MUNICIPAL https://hosting-wolf.net/Tlalmanalco/Documentos/Manuales%202019-2021/119%20MANUAL%20DE%20ORGANIZACI%C3%93N%20DE%20LA%20TESORER%C3%8DA%20MUNICIPAL.pdf Artículo 49. La Coordinación de Recursos Humanos, es el área encargada de planear, organizar, dirigir y controlar los </w:t>
      </w:r>
      <w:r>
        <w:rPr>
          <w:rFonts w:ascii="Palatino Linotype" w:eastAsia="Palatino Linotype" w:hAnsi="Palatino Linotype" w:cs="Palatino Linotype"/>
          <w:i/>
          <w:color w:val="000000"/>
          <w:highlight w:val="white"/>
        </w:rPr>
        <w:lastRenderedPageBreak/>
        <w:t xml:space="preserve">recursos humanos necesarios para el desempeño eficiente de las funciones y atribuciones de la administración pública municipal, teniendo como atribuciones las siguientes: V. Controlar, los movimientos administrativos del personal que labora en la administración pública municipal, como alta, baja, control de asistencia de entrada, salida, licencias, permisos, incapacidades, reportes, periodos vacaciones, días económicos, pensiones alimenticias y cambio de adscripción, incluyendo en su caso a los miembros del cuerpo de seguridad pública municipal; MANUAL DE PROCEDIMIENTOS DE LA TESORERÍA MUNICIPAL https://hosting-wolf.net/Tlalmanalco/Documentos/Manuales%202019-2021/120%20MANUAL%20DE%20PROCEDIMIENTOS%20DE%20LA%20TESORER%C3%8DA%20MUNICIPAL.pdf 11.10 Desarrollo 1 Coordinación de Recursos Humanos Generar el reporte de incidencias (faltas, retardos, incapacidades, pensiones, créditos a corto y mediano plazo, pensiones alimenticias. 2 </w:t>
      </w:r>
      <w:proofErr w:type="gramStart"/>
      <w:r>
        <w:rPr>
          <w:rFonts w:ascii="Palatino Linotype" w:eastAsia="Palatino Linotype" w:hAnsi="Palatino Linotype" w:cs="Palatino Linotype"/>
          <w:i/>
          <w:color w:val="000000"/>
          <w:highlight w:val="white"/>
        </w:rPr>
        <w:t>Coordinación</w:t>
      </w:r>
      <w:proofErr w:type="gramEnd"/>
      <w:r>
        <w:rPr>
          <w:rFonts w:ascii="Palatino Linotype" w:eastAsia="Palatino Linotype" w:hAnsi="Palatino Linotype" w:cs="Palatino Linotype"/>
          <w:i/>
          <w:color w:val="000000"/>
          <w:highlight w:val="white"/>
        </w:rPr>
        <w:t xml:space="preserve"> de Recursos Humanos Procesar en el sistema de nómina las incidencias de los trabajadores que hayan tenido.</w:t>
      </w:r>
    </w:p>
    <w:p w14:paraId="59659B6F" w14:textId="77777777" w:rsidR="002714E7" w:rsidRDefault="002714E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p>
    <w:p w14:paraId="2A08CD56"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Folio del recurso de revisión: 04894/INFOEM/IP/RR/2024</w:t>
      </w:r>
    </w:p>
    <w:p w14:paraId="2EBA382E"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ACTO IMPUGNADO</w:t>
      </w:r>
      <w:r>
        <w:rPr>
          <w:rFonts w:ascii="Palatino Linotype" w:eastAsia="Palatino Linotype" w:hAnsi="Palatino Linotype" w:cs="Palatino Linotype"/>
          <w:b/>
          <w:color w:val="000000"/>
          <w:highlight w:val="white"/>
        </w:rPr>
        <w:tab/>
      </w:r>
    </w:p>
    <w:p w14:paraId="390A11AE"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La respuesta de la información </w:t>
      </w:r>
      <w:proofErr w:type="spellStart"/>
      <w:r>
        <w:rPr>
          <w:rFonts w:ascii="Palatino Linotype" w:eastAsia="Palatino Linotype" w:hAnsi="Palatino Linotype" w:cs="Palatino Linotype"/>
          <w:i/>
          <w:color w:val="000000"/>
          <w:highlight w:val="white"/>
        </w:rPr>
        <w:t>esta</w:t>
      </w:r>
      <w:proofErr w:type="spellEnd"/>
      <w:r>
        <w:rPr>
          <w:rFonts w:ascii="Palatino Linotype" w:eastAsia="Palatino Linotype" w:hAnsi="Palatino Linotype" w:cs="Palatino Linotype"/>
          <w:i/>
          <w:color w:val="000000"/>
          <w:highlight w:val="white"/>
        </w:rPr>
        <w:t xml:space="preserve"> incompleta</w:t>
      </w:r>
    </w:p>
    <w:p w14:paraId="5255194D" w14:textId="77777777" w:rsidR="002714E7" w:rsidRDefault="002714E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p>
    <w:p w14:paraId="25B877B1"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lastRenderedPageBreak/>
        <w:t>RAZONES O MOTIVOS DE LA INCONFORMIDAD</w:t>
      </w:r>
      <w:r>
        <w:rPr>
          <w:rFonts w:ascii="Palatino Linotype" w:eastAsia="Palatino Linotype" w:hAnsi="Palatino Linotype" w:cs="Palatino Linotype"/>
          <w:b/>
          <w:color w:val="000000"/>
          <w:highlight w:val="white"/>
        </w:rPr>
        <w:tab/>
      </w:r>
    </w:p>
    <w:p w14:paraId="30D4772D"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Con fundamento en los artículos 162, 176, 178 y 179 Fracción I y V de la Ley de Transparencia y Acceso a la Información Pública del Estado de México y Municipios, la negativa por parte del Sujeto Obligado para la entrega de la información esta es incompleta falta de respuesta a mi solicitud e información. de los siguientes puntos. 4.- Documento que acredite no estar Inscrito en el Registro de Deudores Alimentarios Morosos en el Estado ni en ninguna otra Entidad Federativa 6.- Informe detallado de las funciones y atribuciones específicas de los distintos cargos y/o puestos que se le haya asignado en las distintas Áreas de la Administración 2022-2024 el cual dio inicio en el mes del 01 enero del 2022 al 30 de junio del 2024. 7.- Listas de asistencia con horario de entrada y salida del mes de enero del 2022 al 30 de junio del 2024. El Sujeto Obligado cuenta con una Coordinación de Recursos Humanos y de acuerdo a sus manuales de Organización y de Procedimientos de la Tesorería Municipal cuenta con facultades y atribuciones para a la entrega de la información de las Listas de asistencia con horario de entrada y salida del mes de enero del 2022 al 30 de junio del 2024. MANUAL DE ORGANIZACIÓN DE LA TESORERÍA MUNICIPAL https://hosting-wolf.net/Tlalmanalco/Documentos/Manuales%202019-2021/119%20MANUAL%20DE%20ORGANIZACI%C3%93N%20DE%20LA%20TESORER%C3%8DA%20MUNICIPAL.pdf Artículo 49. La Coordinación de Recursos Humanos, es el área encargada de planear, organizar, dirigir y controlar los </w:t>
      </w:r>
      <w:r>
        <w:rPr>
          <w:rFonts w:ascii="Palatino Linotype" w:eastAsia="Palatino Linotype" w:hAnsi="Palatino Linotype" w:cs="Palatino Linotype"/>
          <w:i/>
          <w:color w:val="000000"/>
          <w:highlight w:val="white"/>
        </w:rPr>
        <w:lastRenderedPageBreak/>
        <w:t xml:space="preserve">recursos humanos necesarios para el desempeño eficiente de las funciones y atribuciones de la administración pública municipal, teniendo como atribuciones las siguientes: V. Controlar, los movimientos administrativos del personal que labora en la administración pública municipal, como alta, baja, control de asistencia de entrada, salida, licencias, permisos, incapacidades, reportes, periodos vacaciones, días económicos, pensiones alimenticias y cambio de adscripción, incluyendo en su caso a los miembros del cuerpo de seguridad pública municipal; MANUAL DE PROCEDIMIENTOS DE LA TESORERÍA MUNICIPAL https://hosting-wolf.net/Tlalmanalco/Documentos/Manuales%202019-2021/120%20MANUAL%20DE%20PROCEDIMIENTOS%20DE%20LA%20TESORER%C3%8DA%20MUNICIPAL.pdf 11.10 Desarrollo 1 Coordinación de Recursos Humanos Generar el reporte de incidencias (faltas, retardos, incapacidades, pensiones, créditos a corto y mediano plazo, pensiones alimenticias. 2 </w:t>
      </w:r>
      <w:proofErr w:type="gramStart"/>
      <w:r>
        <w:rPr>
          <w:rFonts w:ascii="Palatino Linotype" w:eastAsia="Palatino Linotype" w:hAnsi="Palatino Linotype" w:cs="Palatino Linotype"/>
          <w:i/>
          <w:color w:val="000000"/>
          <w:highlight w:val="white"/>
        </w:rPr>
        <w:t>Coordinación</w:t>
      </w:r>
      <w:proofErr w:type="gramEnd"/>
      <w:r>
        <w:rPr>
          <w:rFonts w:ascii="Palatino Linotype" w:eastAsia="Palatino Linotype" w:hAnsi="Palatino Linotype" w:cs="Palatino Linotype"/>
          <w:i/>
          <w:color w:val="000000"/>
          <w:highlight w:val="white"/>
        </w:rPr>
        <w:t xml:space="preserve"> de Recursos Humanos Procesar en el sistema de nómina las incidencias de los trabajadores que hayan tenido.</w:t>
      </w:r>
    </w:p>
    <w:p w14:paraId="61ECC3D3" w14:textId="77777777" w:rsidR="002714E7" w:rsidRDefault="002714E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p>
    <w:p w14:paraId="5321649F"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Folio del recurso de revisión: 04895/INFOEM/IP/RR/2024</w:t>
      </w:r>
    </w:p>
    <w:p w14:paraId="431E01FA"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ACTO IMPUGNADO</w:t>
      </w:r>
      <w:r>
        <w:rPr>
          <w:rFonts w:ascii="Palatino Linotype" w:eastAsia="Palatino Linotype" w:hAnsi="Palatino Linotype" w:cs="Palatino Linotype"/>
          <w:b/>
          <w:color w:val="000000"/>
          <w:highlight w:val="white"/>
        </w:rPr>
        <w:tab/>
      </w:r>
    </w:p>
    <w:p w14:paraId="713EA1F8"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Respuesta </w:t>
      </w:r>
      <w:proofErr w:type="spellStart"/>
      <w:r>
        <w:rPr>
          <w:rFonts w:ascii="Palatino Linotype" w:eastAsia="Palatino Linotype" w:hAnsi="Palatino Linotype" w:cs="Palatino Linotype"/>
          <w:i/>
          <w:color w:val="000000"/>
          <w:highlight w:val="white"/>
        </w:rPr>
        <w:t>esta</w:t>
      </w:r>
      <w:proofErr w:type="spellEnd"/>
      <w:r>
        <w:rPr>
          <w:rFonts w:ascii="Palatino Linotype" w:eastAsia="Palatino Linotype" w:hAnsi="Palatino Linotype" w:cs="Palatino Linotype"/>
          <w:i/>
          <w:color w:val="000000"/>
          <w:highlight w:val="white"/>
        </w:rPr>
        <w:t xml:space="preserve"> incompleta</w:t>
      </w:r>
    </w:p>
    <w:p w14:paraId="0AD8923F" w14:textId="77777777" w:rsidR="002714E7" w:rsidRDefault="002714E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p>
    <w:p w14:paraId="316F24C6"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lastRenderedPageBreak/>
        <w:t>RAZONES O MOTIVOS DE LA INCONFORMIDAD</w:t>
      </w:r>
      <w:r>
        <w:rPr>
          <w:rFonts w:ascii="Palatino Linotype" w:eastAsia="Palatino Linotype" w:hAnsi="Palatino Linotype" w:cs="Palatino Linotype"/>
          <w:b/>
          <w:color w:val="000000"/>
          <w:highlight w:val="white"/>
        </w:rPr>
        <w:tab/>
      </w:r>
    </w:p>
    <w:p w14:paraId="0FE28804"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Con fundamento en los artículos 162, 176, 178 y 179 Fracción I y V de la Ley de Transparencia y Acceso a la Información Pública del Estado de México y Municipios, la negativa por parte del Sujeto Obligado para la entrega de la información esta es incompleta falta de respuesta a mi solicitud e información. de los siguientes puntos. 6.- Informe detallado de las funciones y atribuciones específicas de los distintos cargos y/o puestos que se le haya asignado en las distintas Áreas de la Administración 2022-2024 el cual dio inicio en el mes del 01 enero del 2022 al 30 de junio del 2024. 7.- Listas de asistencia con horario de entrada y salida del mes de enero del 2022 al 30 de junio del 2024. El Sujeto Obligado cuenta con una Coordinación de Recursos Humanos y de acuerdo a sus manuales de Organización y de Procedimientos de la Tesorería Municipal cuenta con facultades y atribuciones para a la entrega de la información de las Listas de asistencia con horario de entrada y salida del mes de enero del 2022 al 30 de junio del 2024. MANUAL DE ORGANIZACIÓN DE LA TESORERÍA MUNICIPAL https://hosting-wolf.net/Tlalmanalco/Documentos/Manuales%202019-2021/119%20MANUAL%20DE%20ORGANIZACI%C3%93N%20DE%20LA%20TESORER%C3%8DA%20MUNICIPAL.pdf Artículo 49. La Coordinación de Recursos Humanos, es el área encargada de planear, organizar, dirigir y controlar los recursos humanos necesarios para el desempeño eficiente de las funciones y atribuciones de la administración pública municipal, teniendo como atribuciones las siguientes: V. </w:t>
      </w:r>
      <w:r>
        <w:rPr>
          <w:rFonts w:ascii="Palatino Linotype" w:eastAsia="Palatino Linotype" w:hAnsi="Palatino Linotype" w:cs="Palatino Linotype"/>
          <w:i/>
          <w:color w:val="000000"/>
          <w:highlight w:val="white"/>
        </w:rPr>
        <w:lastRenderedPageBreak/>
        <w:t xml:space="preserve">Controlar, los movimientos administrativos del personal que labora en la administración pública municipal, como alta, baja, control de asistencia de entrada, salida, licencias, permisos, incapacidades, reportes, periodos vacaciones, días económicos, pensiones alimenticias y cambio de adscripción, incluyendo en su caso a los miembros del cuerpo de seguridad pública municipal; MANUAL DE PROCEDIMIENTOS DE LA TESORERÍA MUNICIPAL https://hosting-wolf.net/Tlalmanalco/Documentos/Manuales%202019-2021/120%20MANUAL%20DE%20PROCEDIMIENTOS%20DE%20LA%20TESORER%C3%8DA%20MUNICIPAL.pdf 11.10 Desarrollo 1 Coordinación de Recursos Humanos Generar el reporte de incidencias (faltas, retardos, incapacidades, pensiones, créditos a corto y mediano plazo, pensiones alimenticias. 2 </w:t>
      </w:r>
      <w:proofErr w:type="gramStart"/>
      <w:r>
        <w:rPr>
          <w:rFonts w:ascii="Palatino Linotype" w:eastAsia="Palatino Linotype" w:hAnsi="Palatino Linotype" w:cs="Palatino Linotype"/>
          <w:i/>
          <w:color w:val="000000"/>
          <w:highlight w:val="white"/>
        </w:rPr>
        <w:t>Coordinación</w:t>
      </w:r>
      <w:proofErr w:type="gramEnd"/>
      <w:r>
        <w:rPr>
          <w:rFonts w:ascii="Palatino Linotype" w:eastAsia="Palatino Linotype" w:hAnsi="Palatino Linotype" w:cs="Palatino Linotype"/>
          <w:i/>
          <w:color w:val="000000"/>
          <w:highlight w:val="white"/>
        </w:rPr>
        <w:t xml:space="preserve"> de Recursos Humanos Procesar en el sistema de nómina las incidencias de los trabajadores que hayan tenido.</w:t>
      </w:r>
    </w:p>
    <w:p w14:paraId="0088AAE5" w14:textId="77777777" w:rsidR="002714E7" w:rsidRDefault="002714E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p>
    <w:p w14:paraId="1610B177"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Folio del recurso de revisión: 04896/INFOEM/IP/RR/2024</w:t>
      </w:r>
    </w:p>
    <w:p w14:paraId="1974E465"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ACTO IMPUGNADO</w:t>
      </w:r>
      <w:r>
        <w:rPr>
          <w:rFonts w:ascii="Palatino Linotype" w:eastAsia="Palatino Linotype" w:hAnsi="Palatino Linotype" w:cs="Palatino Linotype"/>
          <w:b/>
          <w:color w:val="000000"/>
          <w:highlight w:val="white"/>
        </w:rPr>
        <w:tab/>
      </w:r>
    </w:p>
    <w:p w14:paraId="346AC495"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Respuesta </w:t>
      </w:r>
      <w:proofErr w:type="spellStart"/>
      <w:r>
        <w:rPr>
          <w:rFonts w:ascii="Palatino Linotype" w:eastAsia="Palatino Linotype" w:hAnsi="Palatino Linotype" w:cs="Palatino Linotype"/>
          <w:i/>
          <w:color w:val="000000"/>
          <w:highlight w:val="white"/>
        </w:rPr>
        <w:t>esta</w:t>
      </w:r>
      <w:proofErr w:type="spellEnd"/>
      <w:r>
        <w:rPr>
          <w:rFonts w:ascii="Palatino Linotype" w:eastAsia="Palatino Linotype" w:hAnsi="Palatino Linotype" w:cs="Palatino Linotype"/>
          <w:i/>
          <w:color w:val="000000"/>
          <w:highlight w:val="white"/>
        </w:rPr>
        <w:t xml:space="preserve"> incompleta</w:t>
      </w:r>
    </w:p>
    <w:p w14:paraId="7F0447B4" w14:textId="77777777" w:rsidR="002714E7" w:rsidRDefault="002714E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p>
    <w:p w14:paraId="623FB618"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RAZONES O MOTIVOS DE LA INCONFORMIDAD</w:t>
      </w:r>
      <w:r>
        <w:rPr>
          <w:rFonts w:ascii="Palatino Linotype" w:eastAsia="Palatino Linotype" w:hAnsi="Palatino Linotype" w:cs="Palatino Linotype"/>
          <w:b/>
          <w:color w:val="000000"/>
          <w:highlight w:val="white"/>
        </w:rPr>
        <w:tab/>
      </w:r>
    </w:p>
    <w:p w14:paraId="413995F4"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lastRenderedPageBreak/>
        <w:t xml:space="preserve">Con fundamento en los artículos 162, 176, 178 y 179 Fracción I y V de la Ley de Transparencia y Acceso a la Información Pública del Estado de México y Municipios, la negativa por parte del Sujeto Obligado para la entrega de la información esta es incompleta falta de respuesta a mi solicitud e información. de los siguientes puntos. 4.- Documento que acredite no estar Inscrito en el Registro de Deudores Alimentarios Morosos en el Estado ni en ninguna otra Entidad Federativa 6.- Informe detallado de las funciones y atribuciones específicas de los distintos cargos y/o puestos que se le haya asignado en las distintas Áreas de la Administración 2022-2024 el cual dio inicio en el mes del 01 enero del 2022 al 30 de junio del 2024. 7.- Listas de asistencia con horario de entrada y salida del mes de enero del 2022 al 30 de junio del 2024. El Sujeto Obligado cuenta con una Coordinación de Recursos Humanos y de acuerdo a sus manuales de Organización y de Procedimientos de la Tesorería Municipal cuenta con facultades y atribuciones para a la entrega de la información de las Listas de asistencia con horario de entrada y salida del mes de enero del 2022 al 30 de junio del 2024. MANUAL DE ORGANIZACIÓN DE LA TESORERÍA MUNICIPAL https://hosting-wolf.net/Tlalmanalco/Documentos/Manuales%202019-2021/119%20MANUAL%20DE%20ORGANIZACI%C3%93N%20DE%20LA%20TESORER%C3%8DA%20MUNICIPAL.pdf Artículo 49. La Coordinación de Recursos Humanos, es el área encargada de planear, organizar, dirigir y controlar los recursos humanos necesarios para el desempeño eficiente de las funciones y atribuciones </w:t>
      </w:r>
      <w:r>
        <w:rPr>
          <w:rFonts w:ascii="Palatino Linotype" w:eastAsia="Palatino Linotype" w:hAnsi="Palatino Linotype" w:cs="Palatino Linotype"/>
          <w:i/>
          <w:color w:val="000000"/>
          <w:highlight w:val="white"/>
        </w:rPr>
        <w:lastRenderedPageBreak/>
        <w:t xml:space="preserve">de la administración pública municipal, teniendo como atribuciones las siguientes: V. Controlar, los movimientos administrativos del personal que labora en la administración pública municipal, como alta, baja, control de asistencia de entrada, salida, licencias, permisos, incapacidades, reportes, periodos vacaciones, días económicos, pensiones alimenticias y cambio de adscripción, incluyendo en su caso a los miembros del cuerpo de seguridad pública municipal; MANUAL DE PROCEDIMIENTOS DE LA TESORERÍA MUNICIPAL https://hosting-wolf.net/Tlalmanalco/Documentos/Manuales%202019-2021/120%20MANUAL%20DE%20PROCEDIMIENTOS%20DE%20LA%20TESORER%C3%8DA%20MUNICIPAL.pdf 11.10 Desarrollo 1 Coordinación de Recursos Humanos Generar el reporte de incidencias (faltas, retardos, incapacidades, pensiones, créditos a corto y mediano plazo, pensiones alimenticias. 2 </w:t>
      </w:r>
      <w:proofErr w:type="gramStart"/>
      <w:r>
        <w:rPr>
          <w:rFonts w:ascii="Palatino Linotype" w:eastAsia="Palatino Linotype" w:hAnsi="Palatino Linotype" w:cs="Palatino Linotype"/>
          <w:i/>
          <w:color w:val="000000"/>
          <w:highlight w:val="white"/>
        </w:rPr>
        <w:t>Coordinación</w:t>
      </w:r>
      <w:proofErr w:type="gramEnd"/>
      <w:r>
        <w:rPr>
          <w:rFonts w:ascii="Palatino Linotype" w:eastAsia="Palatino Linotype" w:hAnsi="Palatino Linotype" w:cs="Palatino Linotype"/>
          <w:i/>
          <w:color w:val="000000"/>
          <w:highlight w:val="white"/>
        </w:rPr>
        <w:t xml:space="preserve"> de Recursos Humanos Procesar en el sistema de nómina las incidencias de los trabajadores que hayan tenido.</w:t>
      </w:r>
    </w:p>
    <w:p w14:paraId="593A864F" w14:textId="77777777" w:rsidR="002714E7" w:rsidRDefault="002714E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p>
    <w:p w14:paraId="353F6848"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Folio del recurso de revisión: 05017/INFOEM/IP/RR/2024</w:t>
      </w:r>
    </w:p>
    <w:p w14:paraId="5C9054FE"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ACTO IMPUGNADO</w:t>
      </w:r>
      <w:r>
        <w:rPr>
          <w:rFonts w:ascii="Palatino Linotype" w:eastAsia="Palatino Linotype" w:hAnsi="Palatino Linotype" w:cs="Palatino Linotype"/>
          <w:b/>
          <w:color w:val="000000"/>
          <w:highlight w:val="white"/>
        </w:rPr>
        <w:tab/>
      </w:r>
    </w:p>
    <w:p w14:paraId="28196F03"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Respuesta incompleta</w:t>
      </w:r>
    </w:p>
    <w:p w14:paraId="72C49EA7" w14:textId="77777777" w:rsidR="002714E7" w:rsidRDefault="002714E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p>
    <w:p w14:paraId="7C076154"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RAZONES O MOTIVOS DE LA INCONFORMIDAD</w:t>
      </w:r>
      <w:r>
        <w:rPr>
          <w:rFonts w:ascii="Palatino Linotype" w:eastAsia="Palatino Linotype" w:hAnsi="Palatino Linotype" w:cs="Palatino Linotype"/>
          <w:b/>
          <w:color w:val="000000"/>
          <w:highlight w:val="white"/>
        </w:rPr>
        <w:tab/>
      </w:r>
    </w:p>
    <w:p w14:paraId="422DCCAD"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lastRenderedPageBreak/>
        <w:t xml:space="preserve">Con fundamento en los artículos 162, 176, 178 y 179 Fracción I y V de la Ley de Transparencia y Acceso a la Información Pública del Estado de México y Municipios, la negativa por parte del Sujeto Obligado para la entrega de la información esta es incompleta falta de respuesta a mi solicitud e información. de los siguientes puntos. 7.- Listas de asistencia con horario de entrada y salida del mes de enero del 2022 al 30 de junio del 2024. El Sujeto Obligado cuenta con una Coordinación de Recursos Humanos y de acuerdo a sus manuales de Organización y de Procedimientos de la Tesorería Municipal cuenta con facultades y atribuciones para a la entrega de la información de las Listas de asistencia con horario de entrada y salida del mes de enero del 2022 al 30 de junio del 2024. MANUAL DE ORGANIZACIÓN DE LA TESORERÍA MUNICIPAL https://hosting-wolf.net/Tlalmanalco/Documentos/Manuales%202019-2021/119%20MANUAL%20DE%20ORGANIZACI%C3%93N%20DE%20LA%20TESORER%C3%8DA%20MUNICIPAL.pdf Artículo 49. La Coordinación de Recursos Humanos, es el área encargada de planear, organizar, dirigir y controlar los recursos humanos necesarios para el desempeño eficiente de las funciones y atribuciones de la administración pública municipal, teniendo como atribuciones las siguientes: V. Controlar, los movimientos administrativos del personal que labora en la administración pública municipal, como alta, baja, control de asistencia de entrada, salida, licencias, permisos, incapacidades, reportes, periodos vacaciones, días económicos, pensiones alimenticias y cambio de adscripción, incluyendo en su caso a los </w:t>
      </w:r>
      <w:r>
        <w:rPr>
          <w:rFonts w:ascii="Palatino Linotype" w:eastAsia="Palatino Linotype" w:hAnsi="Palatino Linotype" w:cs="Palatino Linotype"/>
          <w:i/>
          <w:color w:val="000000"/>
          <w:highlight w:val="white"/>
        </w:rPr>
        <w:lastRenderedPageBreak/>
        <w:t xml:space="preserve">miembros del cuerpo de seguridad pública municipal; MANUAL DE PROCEDIMIENTOS DE LA TESORERÍA MUNICIPAL https://hosting-wolf.net/Tlalmanalco/Documentos/Manuales%202019-2021/120%20MANUAL%20DE%20PROCEDIMIENTOS%20DE%20LA%20TESORER%C3%8DA%20MUNICIPAL.pdf 11.10 Desarrollo 1 Coordinación de Recursos Humanos Generar el reporte de incidencias (faltas, retardos, incapacidades, pensiones, créditos a corto y mediano plazo, pensiones alimenticias. 2 </w:t>
      </w:r>
      <w:proofErr w:type="gramStart"/>
      <w:r>
        <w:rPr>
          <w:rFonts w:ascii="Palatino Linotype" w:eastAsia="Palatino Linotype" w:hAnsi="Palatino Linotype" w:cs="Palatino Linotype"/>
          <w:i/>
          <w:color w:val="000000"/>
          <w:highlight w:val="white"/>
        </w:rPr>
        <w:t>Coordinación</w:t>
      </w:r>
      <w:proofErr w:type="gramEnd"/>
      <w:r>
        <w:rPr>
          <w:rFonts w:ascii="Palatino Linotype" w:eastAsia="Palatino Linotype" w:hAnsi="Palatino Linotype" w:cs="Palatino Linotype"/>
          <w:i/>
          <w:color w:val="000000"/>
          <w:highlight w:val="white"/>
        </w:rPr>
        <w:t xml:space="preserve"> de Recursos Humanos Procesar en el sistema de nómina las incidencias de los trabajadores que hayan tenido.</w:t>
      </w:r>
    </w:p>
    <w:p w14:paraId="7211D7BF" w14:textId="77777777" w:rsidR="002714E7" w:rsidRDefault="002714E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p>
    <w:p w14:paraId="318E9E7E"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Folio del recurso de revisión: 05018/INFOEM/IP/RR/2024</w:t>
      </w:r>
    </w:p>
    <w:p w14:paraId="47631506"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ACTO IMPUGNADO</w:t>
      </w:r>
      <w:r>
        <w:rPr>
          <w:rFonts w:ascii="Palatino Linotype" w:eastAsia="Palatino Linotype" w:hAnsi="Palatino Linotype" w:cs="Palatino Linotype"/>
          <w:b/>
          <w:color w:val="000000"/>
          <w:highlight w:val="white"/>
        </w:rPr>
        <w:tab/>
      </w:r>
    </w:p>
    <w:p w14:paraId="3F2A6B6F"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Respuesta incompleta</w:t>
      </w:r>
    </w:p>
    <w:p w14:paraId="59685C83" w14:textId="77777777" w:rsidR="002714E7" w:rsidRDefault="002714E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p>
    <w:p w14:paraId="13B1E99B"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RAZONES O MOTIVOS DE LA INCONFORMIDAD</w:t>
      </w:r>
      <w:r>
        <w:rPr>
          <w:rFonts w:ascii="Palatino Linotype" w:eastAsia="Palatino Linotype" w:hAnsi="Palatino Linotype" w:cs="Palatino Linotype"/>
          <w:b/>
          <w:color w:val="000000"/>
          <w:highlight w:val="white"/>
        </w:rPr>
        <w:tab/>
      </w:r>
    </w:p>
    <w:p w14:paraId="2B5B94E2" w14:textId="77777777" w:rsidR="002714E7" w:rsidRDefault="00734FB5">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Con fundamento en los artículos 162, 176, 178 y 179 Fracción I y V de la Ley de Transparencia y Acceso a la Información Pública del Estado de México y Municipios, la negativa por parte del Sujeto Obligado para la entrega de la información esta es incompleta falta de respuesta a mi solicitud e información. de los siguientes puntos. 1.-Curricular Vitae 7.- Listas de asistencia con horario de entrada y salida del mes de enero </w:t>
      </w:r>
      <w:r>
        <w:rPr>
          <w:rFonts w:ascii="Palatino Linotype" w:eastAsia="Palatino Linotype" w:hAnsi="Palatino Linotype" w:cs="Palatino Linotype"/>
          <w:i/>
          <w:color w:val="000000"/>
          <w:highlight w:val="white"/>
        </w:rPr>
        <w:lastRenderedPageBreak/>
        <w:t>del 2022 al 30 de junio del 2024. El Sujeto Obligado cuenta con una Coordinación de Recursos Humanos y de acuerdo a sus manuales de Organización y de Procedimientos de la Tesorería Municipal cuenta con facultades y atribuciones para a la entrega de la información de las Listas de asistencia con horario de entrada y salida del mes de enero del 2022 al 30 de junio del 2024. MANUAL DE ORGANIZACIÓN DE LA TESORERÍA MUNICIPAL https://hosting-wolf.net/Tlalmanalco/Documentos/Manuales%202019-2021/119%20MANUAL%20DE%20ORGANIZACI%C3%93N%20DE%20LA%20TESORER%C3%8DA%20MUNICIPAL.pdf Artículo 49. La Coordinación de Recursos Humanos, es el área encargada de planear, organizar, dirigir y controlar los recursos humanos necesarios para el desempeño eficiente de las funciones y atribuciones de la administración pública municipal, teniendo como atribuciones las siguientes: V. Controlar, los movimientos administrativos del personal que labora en la administración pública municipal, como alta, baja, control de asistencia de entrada, salida, licencias, permisos, incapacidades, reportes, periodos vacaciones, días económicos, pensiones alimenticias y cambio de adscripción, incluyendo en su caso a los miembros del cuerpo de seguridad pública municipal; MANUAL DE PROCEDIMIENTOS DE LA TESORERÍA MUNICIPAL https://hosting-wolf.net/Tlalmanalco/Documentos/Manuales%202019-2021/120%20MANUAL%20DE%20PROCEDIMIENTOS%20DE%20LA%20TES</w:t>
      </w:r>
      <w:r>
        <w:rPr>
          <w:rFonts w:ascii="Palatino Linotype" w:eastAsia="Palatino Linotype" w:hAnsi="Palatino Linotype" w:cs="Palatino Linotype"/>
          <w:i/>
          <w:color w:val="000000"/>
          <w:highlight w:val="white"/>
        </w:rPr>
        <w:lastRenderedPageBreak/>
        <w:t xml:space="preserve">ORER%C3%8DA%20MUNICIPAL.pdf 11.10 Desarrollo 1 Coordinación de Recursos Humanos Generar el reporte de incidencias (faltas, retardos, incapacidades, pensiones, créditos a corto y mediano plazo, pensiones alimenticias. 2 </w:t>
      </w:r>
      <w:proofErr w:type="gramStart"/>
      <w:r>
        <w:rPr>
          <w:rFonts w:ascii="Palatino Linotype" w:eastAsia="Palatino Linotype" w:hAnsi="Palatino Linotype" w:cs="Palatino Linotype"/>
          <w:i/>
          <w:color w:val="000000"/>
          <w:highlight w:val="white"/>
        </w:rPr>
        <w:t>Coordinación</w:t>
      </w:r>
      <w:proofErr w:type="gramEnd"/>
      <w:r>
        <w:rPr>
          <w:rFonts w:ascii="Palatino Linotype" w:eastAsia="Palatino Linotype" w:hAnsi="Palatino Linotype" w:cs="Palatino Linotype"/>
          <w:i/>
          <w:color w:val="000000"/>
          <w:highlight w:val="white"/>
        </w:rPr>
        <w:t xml:space="preserve"> de Recursos Humanos Procesar en el sistema de nómina las incidencias de los trabajadores que hayan tenido.</w:t>
      </w:r>
    </w:p>
    <w:p w14:paraId="736B7711" w14:textId="77777777" w:rsidR="002714E7" w:rsidRDefault="002714E7">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highlight w:val="white"/>
        </w:rPr>
      </w:pPr>
    </w:p>
    <w:p w14:paraId="7CC3C6A0" w14:textId="77777777" w:rsidR="002714E7" w:rsidRDefault="00734FB5">
      <w:pPr>
        <w:numPr>
          <w:ilvl w:val="0"/>
          <w:numId w:val="3"/>
        </w:num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b/>
          <w:color w:val="000000"/>
          <w:highlight w:val="white"/>
          <w:u w:val="single"/>
        </w:rPr>
        <w:t>Acumulación, manifestaciones, alegatos y respuesta complementaría.</w:t>
      </w:r>
    </w:p>
    <w:p w14:paraId="7DA7E746" w14:textId="77777777" w:rsidR="002714E7" w:rsidRDefault="002714E7">
      <w:p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i/>
          <w:color w:val="000000"/>
          <w:highlight w:val="white"/>
          <w:u w:val="single"/>
        </w:rPr>
      </w:pPr>
    </w:p>
    <w:p w14:paraId="2D607213" w14:textId="77777777" w:rsidR="002714E7" w:rsidRPr="00734FB5"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highlight w:val="white"/>
        </w:rPr>
      </w:pPr>
      <w:r>
        <w:rPr>
          <w:rFonts w:ascii="Palatino Linotype" w:eastAsia="Palatino Linotype" w:hAnsi="Palatino Linotype" w:cs="Palatino Linotype"/>
          <w:highlight w:val="white"/>
        </w:rPr>
        <w:t xml:space="preserve">Con fundamento en lo dispuesto por el artículo 185 fracción II de la ley de la materia, se acordó a las partes a efecto de </w:t>
      </w:r>
      <w:proofErr w:type="gramStart"/>
      <w:r>
        <w:rPr>
          <w:rFonts w:ascii="Palatino Linotype" w:eastAsia="Palatino Linotype" w:hAnsi="Palatino Linotype" w:cs="Palatino Linotype"/>
          <w:highlight w:val="white"/>
        </w:rPr>
        <w:t>que</w:t>
      </w:r>
      <w:proofErr w:type="gramEnd"/>
      <w:r>
        <w:rPr>
          <w:rFonts w:ascii="Palatino Linotype" w:eastAsia="Palatino Linotype" w:hAnsi="Palatino Linotype" w:cs="Palatino Linotype"/>
          <w:highlight w:val="white"/>
        </w:rPr>
        <w:t xml:space="preserve"> en un plazo máximo de siete días, LA RECURRENTE manifestara lo que a su derecho conviniera, ofrecieran pruebas y alegatos, y el Sujeto Obligado presentará el Informe Justificado.</w:t>
      </w:r>
    </w:p>
    <w:p w14:paraId="6805104D" w14:textId="77777777" w:rsidR="00734FB5" w:rsidRDefault="00734FB5" w:rsidP="00734FB5">
      <w:pPr>
        <w:pBdr>
          <w:top w:val="nil"/>
          <w:left w:val="nil"/>
          <w:bottom w:val="nil"/>
          <w:right w:val="nil"/>
          <w:between w:val="nil"/>
        </w:pBdr>
        <w:spacing w:line="360" w:lineRule="auto"/>
        <w:jc w:val="both"/>
        <w:rPr>
          <w:rFonts w:ascii="Palatino Linotype" w:eastAsia="Palatino Linotype" w:hAnsi="Palatino Linotype" w:cs="Palatino Linotype"/>
          <w:i/>
          <w:highlight w:val="white"/>
        </w:rPr>
      </w:pPr>
    </w:p>
    <w:p w14:paraId="254F4C2A" w14:textId="77777777" w:rsidR="002714E7" w:rsidRPr="00734FB5" w:rsidRDefault="00734FB5" w:rsidP="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color w:val="000000"/>
          <w:highlight w:val="white"/>
        </w:rPr>
        <w:t xml:space="preserve">Los Comisionados Ponentes de origen con fundamento en lo dispuesto por el artículo 185 fracción II de la ley de la materia, a través de los acuerdos de admisión de días: trece, </w:t>
      </w:r>
      <w:r w:rsidRPr="00734FB5">
        <w:rPr>
          <w:rFonts w:ascii="Palatino Linotype" w:eastAsia="Palatino Linotype" w:hAnsi="Palatino Linotype" w:cs="Palatino Linotype"/>
          <w:highlight w:val="white"/>
        </w:rPr>
        <w:t>diecinueve</w:t>
      </w:r>
      <w:r>
        <w:rPr>
          <w:rFonts w:ascii="Palatino Linotype" w:eastAsia="Palatino Linotype" w:hAnsi="Palatino Linotype" w:cs="Palatino Linotype"/>
          <w:color w:val="000000"/>
          <w:highlight w:val="white"/>
        </w:rPr>
        <w:t xml:space="preserve">, veintidós, veintitrés, veintiséis y veintisiete de agosto dos mil veinticuatro, se pusieron a disposición de las partes los expedientes electrónicos vía </w:t>
      </w:r>
      <w:r>
        <w:rPr>
          <w:rFonts w:ascii="Palatino Linotype" w:eastAsia="Palatino Linotype" w:hAnsi="Palatino Linotype" w:cs="Palatino Linotype"/>
          <w:b/>
          <w:color w:val="000000"/>
          <w:highlight w:val="white"/>
        </w:rPr>
        <w:t xml:space="preserve">SAIMEX </w:t>
      </w:r>
      <w:r>
        <w:rPr>
          <w:rFonts w:ascii="Palatino Linotype" w:eastAsia="Palatino Linotype" w:hAnsi="Palatino Linotype" w:cs="Palatino Linotype"/>
          <w:color w:val="000000"/>
          <w:highlight w:val="white"/>
        </w:rPr>
        <w:t xml:space="preserve">a efecto de que en un plazo máximo de siete días </w:t>
      </w:r>
      <w:r>
        <w:rPr>
          <w:rFonts w:ascii="Palatino Linotype" w:eastAsia="Palatino Linotype" w:hAnsi="Palatino Linotype" w:cs="Palatino Linotype"/>
          <w:highlight w:val="white"/>
        </w:rPr>
        <w:t>manifestara</w:t>
      </w:r>
      <w:r>
        <w:rPr>
          <w:rFonts w:ascii="Palatino Linotype" w:eastAsia="Palatino Linotype" w:hAnsi="Palatino Linotype" w:cs="Palatino Linotype"/>
          <w:color w:val="000000"/>
          <w:highlight w:val="white"/>
        </w:rPr>
        <w:t xml:space="preserve"> lo que a derecho </w:t>
      </w:r>
      <w:r>
        <w:rPr>
          <w:rFonts w:ascii="Palatino Linotype" w:eastAsia="Palatino Linotype" w:hAnsi="Palatino Linotype" w:cs="Palatino Linotype"/>
          <w:highlight w:val="white"/>
        </w:rPr>
        <w:t>conviniera</w:t>
      </w:r>
      <w:r>
        <w:rPr>
          <w:rFonts w:ascii="Palatino Linotype" w:eastAsia="Palatino Linotype" w:hAnsi="Palatino Linotype" w:cs="Palatino Linotype"/>
          <w:color w:val="000000"/>
          <w:highlight w:val="white"/>
        </w:rPr>
        <w:t xml:space="preserve">, </w:t>
      </w:r>
      <w:r>
        <w:rPr>
          <w:rFonts w:ascii="Palatino Linotype" w:eastAsia="Palatino Linotype" w:hAnsi="Palatino Linotype" w:cs="Palatino Linotype"/>
          <w:highlight w:val="white"/>
        </w:rPr>
        <w:t>ofreciera</w:t>
      </w:r>
      <w:r>
        <w:rPr>
          <w:rFonts w:ascii="Palatino Linotype" w:eastAsia="Palatino Linotype" w:hAnsi="Palatino Linotype" w:cs="Palatino Linotype"/>
          <w:color w:val="000000"/>
          <w:highlight w:val="white"/>
        </w:rPr>
        <w:t xml:space="preserve"> pruebas y alegatos según corresponda al caso concreto, </w:t>
      </w:r>
      <w:r>
        <w:rPr>
          <w:rFonts w:ascii="Palatino Linotype" w:eastAsia="Palatino Linotype" w:hAnsi="Palatino Linotype" w:cs="Palatino Linotype"/>
          <w:color w:val="000000"/>
          <w:highlight w:val="white"/>
        </w:rPr>
        <w:lastRenderedPageBreak/>
        <w:t xml:space="preserve">de esta forma para que el </w:t>
      </w:r>
      <w:r>
        <w:rPr>
          <w:rFonts w:ascii="Palatino Linotype" w:eastAsia="Palatino Linotype" w:hAnsi="Palatino Linotype" w:cs="Palatino Linotype"/>
          <w:b/>
          <w:color w:val="000000"/>
          <w:highlight w:val="white"/>
        </w:rPr>
        <w:t>SUJETO OBLIGADO</w:t>
      </w:r>
      <w:r>
        <w:rPr>
          <w:rFonts w:ascii="Palatino Linotype" w:eastAsia="Palatino Linotype" w:hAnsi="Palatino Linotype" w:cs="Palatino Linotype"/>
          <w:color w:val="000000"/>
          <w:highlight w:val="white"/>
        </w:rPr>
        <w:t xml:space="preserve"> </w:t>
      </w:r>
      <w:r>
        <w:rPr>
          <w:rFonts w:ascii="Palatino Linotype" w:eastAsia="Palatino Linotype" w:hAnsi="Palatino Linotype" w:cs="Palatino Linotype"/>
          <w:highlight w:val="white"/>
        </w:rPr>
        <w:t>presentará</w:t>
      </w:r>
      <w:r>
        <w:rPr>
          <w:rFonts w:ascii="Palatino Linotype" w:eastAsia="Palatino Linotype" w:hAnsi="Palatino Linotype" w:cs="Palatino Linotype"/>
          <w:color w:val="000000"/>
          <w:highlight w:val="white"/>
        </w:rPr>
        <w:t xml:space="preserve"> el informe justificado procedente.</w:t>
      </w:r>
    </w:p>
    <w:p w14:paraId="6E29BA33" w14:textId="77777777" w:rsidR="00734FB5" w:rsidRDefault="00734FB5" w:rsidP="00734FB5">
      <w:pPr>
        <w:pStyle w:val="Prrafodelista"/>
        <w:rPr>
          <w:rFonts w:ascii="Palatino Linotype" w:eastAsia="Palatino Linotype" w:hAnsi="Palatino Linotype" w:cs="Palatino Linotype"/>
          <w:i/>
          <w:color w:val="000000"/>
          <w:highlight w:val="white"/>
        </w:rPr>
      </w:pPr>
    </w:p>
    <w:p w14:paraId="51D939A7"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Posteriormente el Pleno de este Órgano Autónomo, en la</w:t>
      </w:r>
      <w:r>
        <w:rPr>
          <w:rFonts w:ascii="Palatino Linotype" w:eastAsia="Palatino Linotype" w:hAnsi="Palatino Linotype" w:cs="Palatino Linotype"/>
          <w:b/>
          <w:highlight w:val="white"/>
        </w:rPr>
        <w:t xml:space="preserve"> Trigésima Sesión Ordinaria </w:t>
      </w:r>
      <w:r>
        <w:rPr>
          <w:rFonts w:ascii="Palatino Linotype" w:eastAsia="Palatino Linotype" w:hAnsi="Palatino Linotype" w:cs="Palatino Linotype"/>
          <w:highlight w:val="white"/>
        </w:rPr>
        <w:t>de fecha</w:t>
      </w:r>
      <w:r>
        <w:rPr>
          <w:rFonts w:ascii="Palatino Linotype" w:eastAsia="Palatino Linotype" w:hAnsi="Palatino Linotype" w:cs="Palatino Linotype"/>
          <w:b/>
          <w:highlight w:val="white"/>
        </w:rPr>
        <w:t xml:space="preserve"> veintiocho</w:t>
      </w:r>
      <w:r>
        <w:rPr>
          <w:rFonts w:ascii="Palatino Linotype" w:eastAsia="Palatino Linotype" w:hAnsi="Palatino Linotype" w:cs="Palatino Linotype"/>
          <w:highlight w:val="white"/>
        </w:rPr>
        <w:t xml:space="preserve"> </w:t>
      </w:r>
      <w:r>
        <w:rPr>
          <w:rFonts w:ascii="Palatino Linotype" w:eastAsia="Palatino Linotype" w:hAnsi="Palatino Linotype" w:cs="Palatino Linotype"/>
          <w:b/>
          <w:highlight w:val="white"/>
        </w:rPr>
        <w:t>de agosto dos mil veinticuatro</w:t>
      </w:r>
      <w:r>
        <w:rPr>
          <w:rFonts w:ascii="Palatino Linotype" w:eastAsia="Palatino Linotype" w:hAnsi="Palatino Linotype" w:cs="Palatino Linotype"/>
          <w:highlight w:val="white"/>
        </w:rPr>
        <w:t xml:space="preserve">; ordenó la acumulación de los recursos de revisión de mérito, a efecto de que la Ponencia de la </w:t>
      </w:r>
      <w:r>
        <w:rPr>
          <w:rFonts w:ascii="Palatino Linotype" w:eastAsia="Palatino Linotype" w:hAnsi="Palatino Linotype" w:cs="Palatino Linotype"/>
          <w:b/>
          <w:highlight w:val="white"/>
        </w:rPr>
        <w:t xml:space="preserve">Comisionada María del Rosario Mejía Ayala </w:t>
      </w:r>
      <w:r>
        <w:rPr>
          <w:rFonts w:ascii="Palatino Linotype" w:eastAsia="Palatino Linotype" w:hAnsi="Palatino Linotype" w:cs="Palatino Linotype"/>
          <w:highlight w:val="whit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Pr>
          <w:rFonts w:ascii="Palatino Linotype" w:eastAsia="Palatino Linotype" w:hAnsi="Palatino Linotype" w:cs="Palatino Linotype"/>
          <w:i/>
          <w:highlight w:val="white"/>
          <w:vertAlign w:val="superscript"/>
        </w:rPr>
        <w:footnoteReference w:id="1"/>
      </w:r>
      <w:r>
        <w:rPr>
          <w:rFonts w:ascii="Palatino Linotype" w:eastAsia="Palatino Linotype" w:hAnsi="Palatino Linotype" w:cs="Palatino Linotype"/>
          <w:highlight w:val="white"/>
        </w:rPr>
        <w:t>, que señala:</w:t>
      </w:r>
    </w:p>
    <w:p w14:paraId="158590B7" w14:textId="77777777" w:rsidR="002714E7" w:rsidRDefault="00734FB5">
      <w:pPr>
        <w:pBdr>
          <w:top w:val="nil"/>
          <w:left w:val="nil"/>
          <w:bottom w:val="nil"/>
          <w:right w:val="nil"/>
          <w:between w:val="nil"/>
        </w:pBdr>
        <w:tabs>
          <w:tab w:val="left" w:pos="426"/>
        </w:tabs>
        <w:spacing w:line="360" w:lineRule="auto"/>
        <w:ind w:left="567" w:right="618"/>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b/>
          <w:i/>
          <w:color w:val="000000"/>
          <w:highlight w:val="white"/>
        </w:rPr>
        <w:t>“ONCE.</w:t>
      </w:r>
      <w:r>
        <w:rPr>
          <w:rFonts w:ascii="Palatino Linotype" w:eastAsia="Palatino Linotype" w:hAnsi="Palatino Linotype" w:cs="Palatino Linotype"/>
          <w:i/>
          <w:color w:val="000000"/>
          <w:highlight w:val="white"/>
        </w:rPr>
        <w:t xml:space="preserve"> El Instituto, para mejor resolver y evitar la emisión de resoluciones contradictorias, podrá acordar la acumulación de los expedientes de recursos de revisión, de oficio o a petición de parte cuando:</w:t>
      </w:r>
    </w:p>
    <w:p w14:paraId="400D762D" w14:textId="77777777" w:rsidR="002714E7" w:rsidRDefault="00734FB5">
      <w:pPr>
        <w:pBdr>
          <w:top w:val="nil"/>
          <w:left w:val="nil"/>
          <w:bottom w:val="nil"/>
          <w:right w:val="nil"/>
          <w:between w:val="nil"/>
        </w:pBdr>
        <w:tabs>
          <w:tab w:val="left" w:pos="426"/>
        </w:tabs>
        <w:spacing w:line="360" w:lineRule="auto"/>
        <w:ind w:left="567" w:right="618"/>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w:t>
      </w:r>
      <w:r>
        <w:rPr>
          <w:rFonts w:ascii="Palatino Linotype" w:eastAsia="Palatino Linotype" w:hAnsi="Palatino Linotype" w:cs="Palatino Linotype"/>
          <w:i/>
          <w:color w:val="000000"/>
          <w:highlight w:val="white"/>
        </w:rPr>
        <w:tab/>
      </w:r>
    </w:p>
    <w:p w14:paraId="5F7B70F1" w14:textId="77777777" w:rsidR="002714E7" w:rsidRDefault="00734FB5">
      <w:pPr>
        <w:pBdr>
          <w:top w:val="nil"/>
          <w:left w:val="nil"/>
          <w:bottom w:val="nil"/>
          <w:right w:val="nil"/>
          <w:between w:val="nil"/>
        </w:pBdr>
        <w:tabs>
          <w:tab w:val="left" w:pos="426"/>
        </w:tabs>
        <w:spacing w:line="360" w:lineRule="auto"/>
        <w:ind w:left="567" w:right="618"/>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b) Las partes o los actos impugnados sean iguales</w:t>
      </w:r>
    </w:p>
    <w:p w14:paraId="1DA8AA2A" w14:textId="77777777" w:rsidR="002714E7" w:rsidRDefault="00734FB5">
      <w:pPr>
        <w:pBdr>
          <w:top w:val="nil"/>
          <w:left w:val="nil"/>
          <w:bottom w:val="nil"/>
          <w:right w:val="nil"/>
          <w:between w:val="nil"/>
        </w:pBdr>
        <w:tabs>
          <w:tab w:val="left" w:pos="426"/>
        </w:tabs>
        <w:spacing w:line="360" w:lineRule="auto"/>
        <w:ind w:left="567" w:right="618"/>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c) Cuando se trate del mismo solicitante, el mismo SUJETO OBLIGADO, aunque se trate de solicitudes diversas;</w:t>
      </w:r>
    </w:p>
    <w:p w14:paraId="6A94D436" w14:textId="77777777" w:rsidR="002714E7" w:rsidRDefault="00734FB5">
      <w:pPr>
        <w:pBdr>
          <w:top w:val="nil"/>
          <w:left w:val="nil"/>
          <w:bottom w:val="nil"/>
          <w:right w:val="nil"/>
          <w:between w:val="nil"/>
        </w:pBdr>
        <w:tabs>
          <w:tab w:val="left" w:pos="426"/>
        </w:tabs>
        <w:spacing w:line="360" w:lineRule="auto"/>
        <w:ind w:left="567" w:right="618"/>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lastRenderedPageBreak/>
        <w:t>(…)”</w:t>
      </w:r>
    </w:p>
    <w:p w14:paraId="6A9E1C57" w14:textId="77777777" w:rsidR="002714E7" w:rsidRDefault="002714E7">
      <w:pPr>
        <w:pBdr>
          <w:top w:val="nil"/>
          <w:left w:val="nil"/>
          <w:bottom w:val="nil"/>
          <w:right w:val="nil"/>
          <w:between w:val="nil"/>
        </w:pBdr>
        <w:tabs>
          <w:tab w:val="left" w:pos="426"/>
        </w:tabs>
        <w:spacing w:line="360" w:lineRule="auto"/>
        <w:ind w:left="567" w:right="616"/>
        <w:jc w:val="both"/>
        <w:rPr>
          <w:rFonts w:ascii="Palatino Linotype" w:eastAsia="Palatino Linotype" w:hAnsi="Palatino Linotype" w:cs="Palatino Linotype"/>
          <w:color w:val="000000"/>
          <w:highlight w:val="white"/>
        </w:rPr>
      </w:pPr>
    </w:p>
    <w:p w14:paraId="4EB2380E"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Es así que,</w:t>
      </w:r>
      <w:r>
        <w:rPr>
          <w:rFonts w:ascii="Palatino Linotype" w:eastAsia="Palatino Linotype" w:hAnsi="Palatino Linotype" w:cs="Palatino Linotype"/>
          <w:i/>
          <w:highlight w:val="white"/>
        </w:rPr>
        <w:t xml:space="preserve"> </w:t>
      </w:r>
      <w:r>
        <w:rPr>
          <w:rFonts w:ascii="Palatino Linotype" w:eastAsia="Palatino Linotype" w:hAnsi="Palatino Linotype" w:cs="Palatino Linotype"/>
          <w:highlight w:val="whit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61D53FE" w14:textId="77777777" w:rsidR="002714E7" w:rsidRDefault="002714E7">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highlight w:val="white"/>
        </w:rPr>
      </w:pPr>
    </w:p>
    <w:p w14:paraId="4E2C081F" w14:textId="77777777" w:rsidR="002714E7" w:rsidRDefault="00734FB5">
      <w:pPr>
        <w:tabs>
          <w:tab w:val="left" w:pos="567"/>
        </w:tabs>
        <w:spacing w:line="360" w:lineRule="auto"/>
        <w:ind w:left="567" w:right="616"/>
        <w:jc w:val="cente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Código de Procedimientos Administrativos del Estado de México.</w:t>
      </w:r>
    </w:p>
    <w:p w14:paraId="0A4066BB" w14:textId="77777777" w:rsidR="002714E7" w:rsidRDefault="00734FB5">
      <w:pPr>
        <w:spacing w:line="360" w:lineRule="auto"/>
        <w:ind w:left="567" w:right="616"/>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t>“Artículo 18.-</w:t>
      </w:r>
      <w:r>
        <w:rPr>
          <w:rFonts w:ascii="Palatino Linotype" w:eastAsia="Palatino Linotype" w:hAnsi="Palatino Linotype" w:cs="Palatino Linotype"/>
          <w:i/>
          <w:highlight w:val="white"/>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3B1C2C3" w14:textId="77777777" w:rsidR="002714E7" w:rsidRDefault="002714E7">
      <w:pPr>
        <w:tabs>
          <w:tab w:val="left" w:pos="567"/>
        </w:tabs>
        <w:spacing w:line="360" w:lineRule="auto"/>
        <w:ind w:right="616"/>
        <w:jc w:val="both"/>
        <w:rPr>
          <w:rFonts w:ascii="Palatino Linotype" w:eastAsia="Palatino Linotype" w:hAnsi="Palatino Linotype" w:cs="Palatino Linotype"/>
          <w:i/>
          <w:highlight w:val="white"/>
        </w:rPr>
      </w:pPr>
    </w:p>
    <w:p w14:paraId="3589A0D6" w14:textId="77777777" w:rsidR="002714E7" w:rsidRDefault="00734FB5">
      <w:pPr>
        <w:spacing w:line="360" w:lineRule="auto"/>
        <w:ind w:left="567" w:right="618"/>
        <w:jc w:val="both"/>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lastRenderedPageBreak/>
        <w:t>Ley de Transparencia y Acceso a la Información Pública del Estado de México y Municipios</w:t>
      </w:r>
    </w:p>
    <w:p w14:paraId="7BEBFE17" w14:textId="77777777" w:rsidR="002714E7" w:rsidRDefault="00734FB5">
      <w:pPr>
        <w:spacing w:line="360" w:lineRule="auto"/>
        <w:ind w:left="567" w:right="618"/>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t>“Artículo 195.</w:t>
      </w:r>
      <w:r>
        <w:rPr>
          <w:rFonts w:ascii="Palatino Linotype" w:eastAsia="Palatino Linotype" w:hAnsi="Palatino Linotype" w:cs="Palatino Linotype"/>
          <w:i/>
          <w:highlight w:val="white"/>
        </w:rPr>
        <w:t xml:space="preserve"> En la tramitación del recurso de revisión se aplicarán supletoriamente las disposiciones contenidas en el Código de Procedimientos Administrativos del Estado de México.”</w:t>
      </w:r>
    </w:p>
    <w:p w14:paraId="277FBC15"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i/>
          <w:color w:val="000000"/>
          <w:highlight w:val="white"/>
        </w:rPr>
      </w:pPr>
    </w:p>
    <w:p w14:paraId="6A5F31B1"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El </w:t>
      </w:r>
      <w:r>
        <w:rPr>
          <w:rFonts w:ascii="Palatino Linotype" w:eastAsia="Palatino Linotype" w:hAnsi="Palatino Linotype" w:cs="Palatino Linotype"/>
          <w:b/>
          <w:color w:val="000000"/>
          <w:highlight w:val="white"/>
        </w:rPr>
        <w:t>SUJETO OBLIGADO</w:t>
      </w:r>
      <w:r>
        <w:rPr>
          <w:rFonts w:ascii="Palatino Linotype" w:eastAsia="Palatino Linotype" w:hAnsi="Palatino Linotype" w:cs="Palatino Linotype"/>
          <w:color w:val="000000"/>
          <w:highlight w:val="white"/>
        </w:rPr>
        <w:t xml:space="preserve"> rindió sus informes justificados los días quince de agosto y, dos, tres y veintitrés de septiembre del año en curso, cuyo contenido de manera general es el siguiente:</w:t>
      </w:r>
    </w:p>
    <w:p w14:paraId="610238C1"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2D481BB5"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color w:val="000000"/>
          <w:highlight w:val="white"/>
        </w:rPr>
        <w:t xml:space="preserve">Al Recurso de Revisión: 04733/INFOEM/IP/RR/2024,  se adjuntan los siguientes archivos denominados </w:t>
      </w:r>
      <w:r>
        <w:rPr>
          <w:rFonts w:ascii="Palatino Linotype" w:eastAsia="Palatino Linotype" w:hAnsi="Palatino Linotype" w:cs="Palatino Linotype"/>
          <w:i/>
          <w:color w:val="000000"/>
          <w:highlight w:val="white"/>
        </w:rPr>
        <w:t>alfredo_Censurado.pdf, Oficio De Respuesta 92.pdf, alfredodocs_Censurado.pdf y ACTA 185 ACDO 180.pdf</w:t>
      </w:r>
      <w:r>
        <w:rPr>
          <w:rFonts w:ascii="Palatino Linotype" w:eastAsia="Palatino Linotype" w:hAnsi="Palatino Linotype" w:cs="Palatino Linotype"/>
          <w:color w:val="000000"/>
          <w:highlight w:val="white"/>
        </w:rPr>
        <w:t>, cuyo contenido a su vez corresponde expediente laboral de Alfredo Ruiz Hernández, Acuerdo del Comité de Transparencia en el que se aprueba la versión publica del soporte documental entregado, 60 recibos de nómina de la servidora pública de referencia, oficio signado por el Coordinador de Recursos Humanos en el que señala que no se genera un documento con funciones ejercidas así como listas de asistencias del servidor público de referencia y, finalmente el ultimo archivo enlistado contiene los oficios de turno generados para dar atención a la solicitud de información.</w:t>
      </w:r>
    </w:p>
    <w:p w14:paraId="425BAF31"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lastRenderedPageBreak/>
        <w:t>Para los Recursos de Revisión 04891/INFOEM/IP/RR/2024, 04892/INFOEM/IP/RR/2024, 04893/INFOEM/IP/RR/2024, 04894/INFOEM/IP/RR/2024, 04895/INFOEM/IP/RR/2024, 04896/INFOEM/IP/RR/2024, 05017/INFOEM/IP/RR/2024 se añade como información novedosa que no se generaron las listas de asistencias para los servidores públicos referidos en las solicitudes de información que dieron origen a los recursos de revisión en comento.</w:t>
      </w:r>
    </w:p>
    <w:p w14:paraId="525CCCBB"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4D270B48"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Relativo al Recurso de Revisión Relativo al Recurso de Revisión 05018/INFOEM/IP/RR/2024, se remitió </w:t>
      </w:r>
      <w:proofErr w:type="spellStart"/>
      <w:r>
        <w:rPr>
          <w:rFonts w:ascii="Palatino Linotype" w:eastAsia="Palatino Linotype" w:hAnsi="Palatino Linotype" w:cs="Palatino Linotype"/>
          <w:color w:val="000000"/>
          <w:highlight w:val="white"/>
        </w:rPr>
        <w:t>curriculum</w:t>
      </w:r>
      <w:proofErr w:type="spellEnd"/>
      <w:r>
        <w:rPr>
          <w:rFonts w:ascii="Palatino Linotype" w:eastAsia="Palatino Linotype" w:hAnsi="Palatino Linotype" w:cs="Palatino Linotype"/>
          <w:color w:val="000000"/>
          <w:highlight w:val="white"/>
        </w:rPr>
        <w:t xml:space="preserve"> vitae de Nohemí Sánchez Villalba, acuerdo del Comité de Transparencia que sustenta la versión pública de la información entregada, finalmente se informa que no se generan listas de asistencia de la servidora pública de referencia.</w:t>
      </w:r>
    </w:p>
    <w:p w14:paraId="6DE8B1D4"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12FB08B5" w14:textId="77777777" w:rsidR="002714E7" w:rsidRDefault="00734FB5">
      <w:pPr>
        <w:numPr>
          <w:ilvl w:val="0"/>
          <w:numId w:val="1"/>
        </w:numPr>
        <w:pBdr>
          <w:top w:val="nil"/>
          <w:left w:val="nil"/>
          <w:bottom w:val="nil"/>
          <w:right w:val="nil"/>
          <w:between w:val="nil"/>
        </w:pBdr>
        <w:spacing w:line="360" w:lineRule="auto"/>
        <w:ind w:left="0" w:hanging="11"/>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Seguidamente la Comisionada Ponente </w:t>
      </w:r>
      <w:r w:rsidR="00B368B8">
        <w:rPr>
          <w:rFonts w:ascii="Palatino Linotype" w:eastAsia="Palatino Linotype" w:hAnsi="Palatino Linotype" w:cs="Palatino Linotype"/>
          <w:color w:val="000000"/>
          <w:highlight w:val="white"/>
        </w:rPr>
        <w:t xml:space="preserve">en fecha </w:t>
      </w:r>
      <w:r w:rsidR="00B368B8" w:rsidRPr="0065224E">
        <w:rPr>
          <w:rFonts w:ascii="Palatino Linotype" w:eastAsia="Palatino Linotype" w:hAnsi="Palatino Linotype" w:cs="Palatino Linotype"/>
          <w:color w:val="000000"/>
        </w:rPr>
        <w:t xml:space="preserve">veintiocho de octubre del año en curso, </w:t>
      </w:r>
      <w:r w:rsidRPr="0065224E">
        <w:rPr>
          <w:rFonts w:ascii="Palatino Linotype" w:eastAsia="Palatino Linotype" w:hAnsi="Palatino Linotype" w:cs="Palatino Linotype"/>
          <w:color w:val="000000"/>
        </w:rPr>
        <w:t xml:space="preserve">notificó el acuerdo mediante el cual se amplió el plazo para emitir la Resolución. Al respecto, este organismo garante no pasa </w:t>
      </w:r>
      <w:r>
        <w:rPr>
          <w:rFonts w:ascii="Palatino Linotype" w:eastAsia="Palatino Linotype" w:hAnsi="Palatino Linotype" w:cs="Palatino Linotype"/>
          <w:color w:val="000000"/>
          <w:highlight w:val="white"/>
        </w:rPr>
        <w:t xml:space="preserve">por alto justificar, que la dilación en la resolución del presente asunto encuentra justificación en el alto número de recursos de revisión recibidos se ha incrementado el número de medios de impugnación que deben resolverse por este Instituto, circunstancia atípica que ha </w:t>
      </w:r>
      <w:r>
        <w:rPr>
          <w:rFonts w:ascii="Palatino Linotype" w:eastAsia="Palatino Linotype" w:hAnsi="Palatino Linotype" w:cs="Palatino Linotype"/>
          <w:color w:val="000000"/>
          <w:highlight w:val="white"/>
        </w:rPr>
        <w:lastRenderedPageBreak/>
        <w:t>rebasado las capacidades técnicas y humanas del personal encargado de la proyección de las resoluciones a dichos medios de impugnación.</w:t>
      </w:r>
    </w:p>
    <w:p w14:paraId="4389B071" w14:textId="77777777" w:rsidR="00B368B8" w:rsidRDefault="00B368B8" w:rsidP="00B368B8">
      <w:pPr>
        <w:pStyle w:val="Prrafodelista"/>
        <w:rPr>
          <w:rFonts w:ascii="Palatino Linotype" w:eastAsia="Palatino Linotype" w:hAnsi="Palatino Linotype" w:cs="Palatino Linotype"/>
          <w:color w:val="000000"/>
          <w:highlight w:val="white"/>
        </w:rPr>
      </w:pPr>
    </w:p>
    <w:p w14:paraId="1442AABB"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C9C8CF1"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7CD7DE8D"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081C1BC"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0CF1FC2D"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A640AA3" w14:textId="77777777" w:rsidR="00734FB5" w:rsidRDefault="00734FB5" w:rsidP="00734FB5">
      <w:pPr>
        <w:pStyle w:val="Prrafodelista"/>
        <w:rPr>
          <w:rFonts w:ascii="Palatino Linotype" w:eastAsia="Palatino Linotype" w:hAnsi="Palatino Linotype" w:cs="Palatino Linotype"/>
          <w:color w:val="000000"/>
          <w:highlight w:val="white"/>
        </w:rPr>
      </w:pPr>
    </w:p>
    <w:p w14:paraId="2AF8EEB6"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2AEA9608"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048A898D" w14:textId="77777777" w:rsidR="002714E7" w:rsidRDefault="00734FB5">
      <w:pPr>
        <w:numPr>
          <w:ilvl w:val="3"/>
          <w:numId w:val="1"/>
        </w:numPr>
        <w:pBdr>
          <w:top w:val="nil"/>
          <w:left w:val="nil"/>
          <w:bottom w:val="nil"/>
          <w:right w:val="nil"/>
          <w:between w:val="nil"/>
        </w:pBdr>
        <w:spacing w:line="360" w:lineRule="auto"/>
        <w:ind w:hanging="35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Complejidad del asunto: La complejidad de la prueba, la pluralidad de sujetos procesales, el tiempo transcurrido, las características y contexto del recurso.</w:t>
      </w:r>
    </w:p>
    <w:p w14:paraId="51CB9521" w14:textId="77777777" w:rsidR="002714E7" w:rsidRDefault="00734FB5">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b)   Actividad Procesal del interesado: Acciones u omisiones del interesado.</w:t>
      </w:r>
    </w:p>
    <w:p w14:paraId="0A24E197" w14:textId="77777777" w:rsidR="002714E7" w:rsidRDefault="00734FB5">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c) Conducta de la Autoridad: Las Acciones u omisiones realizadas en el procedimiento. Así como si la autoridad actuó con la debida diligencia.</w:t>
      </w:r>
    </w:p>
    <w:p w14:paraId="43EF2616" w14:textId="77777777" w:rsidR="002714E7" w:rsidRDefault="00734FB5">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d)  </w:t>
      </w:r>
      <w:r>
        <w:rPr>
          <w:rFonts w:ascii="Palatino Linotype" w:eastAsia="Palatino Linotype" w:hAnsi="Palatino Linotype" w:cs="Palatino Linotype"/>
          <w:highlight w:val="white"/>
        </w:rPr>
        <w:t xml:space="preserve"> </w:t>
      </w:r>
      <w:r>
        <w:rPr>
          <w:rFonts w:ascii="Palatino Linotype" w:eastAsia="Palatino Linotype" w:hAnsi="Palatino Linotype" w:cs="Palatino Linotype"/>
          <w:color w:val="000000"/>
          <w:highlight w:val="white"/>
        </w:rPr>
        <w:t>La afectación generada en la situación jurídica de la persona involucrada en el proceso: Violación a sus derechos humanos.</w:t>
      </w:r>
    </w:p>
    <w:p w14:paraId="4894F7BA"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15F07D54"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604C26D"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3FA3B14E"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Argumento que encuentra sustento en la jurisprudencia P./J. 32/92 emitida por el Pleno de la Suprema Corte de Justicia de la Nación de rubro “TÉRMINOS </w:t>
      </w:r>
      <w:r>
        <w:rPr>
          <w:rFonts w:ascii="Palatino Linotype" w:eastAsia="Palatino Linotype" w:hAnsi="Palatino Linotype" w:cs="Palatino Linotype"/>
          <w:color w:val="000000"/>
          <w:highlight w:val="white"/>
        </w:rPr>
        <w:lastRenderedPageBreak/>
        <w:t xml:space="preserve">PROCESALES. PARA DETERMINAR SI UN FUNCIONARIO JUDICIAL ACTUÓ INDEBIDAMENTE POR NO RESPETARLOS SE DEBE ATENDER AL PRESUPUESTO QUE CONSIDERÓ EL LEGISLADOR AL FIJARLOS Y LAS CARACTERÍSTICAS DEL CASO.”, visible en la Gaceta del </w:t>
      </w:r>
      <w:r>
        <w:rPr>
          <w:rFonts w:ascii="Palatino Linotype" w:eastAsia="Palatino Linotype" w:hAnsi="Palatino Linotype" w:cs="Palatino Linotype"/>
          <w:highlight w:val="white"/>
        </w:rPr>
        <w:t>Semanario</w:t>
      </w:r>
      <w:r>
        <w:rPr>
          <w:rFonts w:ascii="Palatino Linotype" w:eastAsia="Palatino Linotype" w:hAnsi="Palatino Linotype" w:cs="Palatino Linotype"/>
          <w:color w:val="000000"/>
          <w:highlight w:val="white"/>
        </w:rPr>
        <w:t xml:space="preserve"> Judicial de la Federación con el registro digital 205635.</w:t>
      </w:r>
    </w:p>
    <w:p w14:paraId="05D5D1C9"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76DDB454"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5BF014"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0C1608F5"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Al respecto, también son de considerar los criterios sostenidos por el Cuarto Tribunal Colegiado en Materia Administrativa del Primer Circuito, cuyos rubros y datos de identificación son los siguientes:</w:t>
      </w:r>
    </w:p>
    <w:p w14:paraId="446262BD"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0D72CE4C" w14:textId="77777777" w:rsidR="002714E7" w:rsidRDefault="00734FB5">
      <w:pPr>
        <w:pBdr>
          <w:top w:val="nil"/>
          <w:left w:val="nil"/>
          <w:bottom w:val="nil"/>
          <w:right w:val="nil"/>
          <w:between w:val="nil"/>
        </w:pBdr>
        <w:spacing w:line="360" w:lineRule="auto"/>
        <w:ind w:left="567" w:right="53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“PLAZO RAZONABLE PARA RESOLVER. DIMENSIÓN Y EFECTOS DE ESTE CONCEPTO CUANDO SE ADUCE EXCESIVA CARGA DE TRABAJO.” consultable en el Sem</w:t>
      </w:r>
      <w:r>
        <w:rPr>
          <w:rFonts w:ascii="Palatino Linotype" w:eastAsia="Palatino Linotype" w:hAnsi="Palatino Linotype" w:cs="Palatino Linotype"/>
          <w:highlight w:val="white"/>
        </w:rPr>
        <w:t>a</w:t>
      </w:r>
      <w:r>
        <w:rPr>
          <w:rFonts w:ascii="Palatino Linotype" w:eastAsia="Palatino Linotype" w:hAnsi="Palatino Linotype" w:cs="Palatino Linotype"/>
          <w:color w:val="000000"/>
          <w:highlight w:val="white"/>
        </w:rPr>
        <w:t>nario Judicial de la Federación y su gaceta, con el registro digital 2002351.</w:t>
      </w:r>
    </w:p>
    <w:p w14:paraId="0860E0BA" w14:textId="77777777" w:rsidR="002714E7" w:rsidRDefault="002714E7">
      <w:pPr>
        <w:pBdr>
          <w:top w:val="nil"/>
          <w:left w:val="nil"/>
          <w:bottom w:val="nil"/>
          <w:right w:val="nil"/>
          <w:between w:val="nil"/>
        </w:pBdr>
        <w:spacing w:line="360" w:lineRule="auto"/>
        <w:ind w:left="567" w:right="539"/>
        <w:jc w:val="both"/>
        <w:rPr>
          <w:rFonts w:ascii="Palatino Linotype" w:eastAsia="Palatino Linotype" w:hAnsi="Palatino Linotype" w:cs="Palatino Linotype"/>
          <w:color w:val="000000"/>
          <w:highlight w:val="white"/>
        </w:rPr>
      </w:pPr>
    </w:p>
    <w:p w14:paraId="0799EC02" w14:textId="77777777" w:rsidR="002714E7" w:rsidRDefault="00734FB5">
      <w:pPr>
        <w:pBdr>
          <w:top w:val="nil"/>
          <w:left w:val="nil"/>
          <w:bottom w:val="nil"/>
          <w:right w:val="nil"/>
          <w:between w:val="nil"/>
        </w:pBdr>
        <w:spacing w:line="360" w:lineRule="auto"/>
        <w:ind w:left="567" w:right="53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“PLAZO RAZONABLE PARA RESOLVER. CONCEPTO Y ELEMENTOS QUE LO INTEGRAN A LA LUZ DEL DERECHO INTERNACIONAL DE LOS DERECHOS HUMANOS.”, visible en el Sem</w:t>
      </w:r>
      <w:r>
        <w:rPr>
          <w:rFonts w:ascii="Palatino Linotype" w:eastAsia="Palatino Linotype" w:hAnsi="Palatino Linotype" w:cs="Palatino Linotype"/>
          <w:highlight w:val="white"/>
        </w:rPr>
        <w:t>a</w:t>
      </w:r>
      <w:r>
        <w:rPr>
          <w:rFonts w:ascii="Palatino Linotype" w:eastAsia="Palatino Linotype" w:hAnsi="Palatino Linotype" w:cs="Palatino Linotype"/>
          <w:color w:val="000000"/>
          <w:highlight w:val="white"/>
        </w:rPr>
        <w:t>nario Judicial de la Federación y su gaceta, con el registro digital 2002350.</w:t>
      </w:r>
    </w:p>
    <w:p w14:paraId="36FFB130" w14:textId="77777777" w:rsidR="002714E7" w:rsidRDefault="002714E7">
      <w:pPr>
        <w:pBdr>
          <w:top w:val="nil"/>
          <w:left w:val="nil"/>
          <w:bottom w:val="nil"/>
          <w:right w:val="nil"/>
          <w:between w:val="nil"/>
        </w:pBdr>
        <w:spacing w:line="360" w:lineRule="auto"/>
        <w:ind w:left="708"/>
        <w:jc w:val="both"/>
        <w:rPr>
          <w:rFonts w:ascii="Palatino Linotype" w:eastAsia="Palatino Linotype" w:hAnsi="Palatino Linotype" w:cs="Palatino Linotype"/>
          <w:color w:val="000000"/>
          <w:highlight w:val="white"/>
        </w:rPr>
      </w:pPr>
    </w:p>
    <w:p w14:paraId="0A3D5B94"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Por ello, este organismo garante comprometido con la tutela de los derechos humanos confiados, señala que este exceso del plazo legal para resolver el presente asunto, resulta de carácter excepcional.</w:t>
      </w:r>
    </w:p>
    <w:p w14:paraId="6EEEE7C6"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5E3E7ACF"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Finalmente, al no existir diligencias por practicar mediante acuerdo de fecha </w:t>
      </w:r>
      <w:r>
        <w:rPr>
          <w:rFonts w:ascii="Palatino Linotype" w:eastAsia="Palatino Linotype" w:hAnsi="Palatino Linotype" w:cs="Palatino Linotype"/>
          <w:b/>
          <w:color w:val="000000"/>
          <w:highlight w:val="white"/>
        </w:rPr>
        <w:t>veintiocho de octubre de dos mil veinticuatro</w:t>
      </w:r>
      <w:r>
        <w:rPr>
          <w:rFonts w:ascii="Palatino Linotype" w:eastAsia="Palatino Linotype" w:hAnsi="Palatino Linotype" w:cs="Palatino Linotype"/>
          <w:color w:val="000000"/>
          <w:highlight w:val="white"/>
        </w:rPr>
        <w:t xml:space="preserve"> se decretó el cierre de instrucción, por lo que no habiendo más que hacer constar, y------------------------------------------------------</w:t>
      </w:r>
    </w:p>
    <w:p w14:paraId="1DFA35FC"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22F5D5C5" w14:textId="77777777" w:rsidR="002714E7" w:rsidRDefault="00734FB5">
      <w:pPr>
        <w:pStyle w:val="Ttulo1"/>
        <w:spacing w:before="0" w:line="360" w:lineRule="auto"/>
        <w:jc w:val="center"/>
        <w:rPr>
          <w:rFonts w:ascii="Palatino Linotype" w:eastAsia="Palatino Linotype" w:hAnsi="Palatino Linotype" w:cs="Palatino Linotype"/>
          <w:b/>
          <w:color w:val="000000"/>
          <w:sz w:val="24"/>
          <w:szCs w:val="24"/>
          <w:highlight w:val="white"/>
        </w:rPr>
      </w:pPr>
      <w:bookmarkStart w:id="3" w:name="_heading=h.3znysh7" w:colFirst="0" w:colLast="0"/>
      <w:bookmarkEnd w:id="3"/>
      <w:r>
        <w:rPr>
          <w:rFonts w:ascii="Palatino Linotype" w:eastAsia="Palatino Linotype" w:hAnsi="Palatino Linotype" w:cs="Palatino Linotype"/>
          <w:b/>
          <w:color w:val="000000"/>
          <w:sz w:val="24"/>
          <w:szCs w:val="24"/>
          <w:highlight w:val="white"/>
        </w:rPr>
        <w:lastRenderedPageBreak/>
        <w:t xml:space="preserve">C O N S I D E R A N D O </w:t>
      </w:r>
    </w:p>
    <w:p w14:paraId="4C16BC82" w14:textId="77777777" w:rsidR="002714E7" w:rsidRDefault="002714E7">
      <w:pPr>
        <w:spacing w:line="360" w:lineRule="auto"/>
        <w:rPr>
          <w:rFonts w:ascii="Palatino Linotype" w:eastAsia="Palatino Linotype" w:hAnsi="Palatino Linotype" w:cs="Palatino Linotype"/>
          <w:highlight w:val="white"/>
        </w:rPr>
      </w:pPr>
    </w:p>
    <w:p w14:paraId="1F4AAE2E" w14:textId="77777777" w:rsidR="002714E7" w:rsidRDefault="00734FB5">
      <w:pPr>
        <w:pStyle w:val="Ttulo2"/>
        <w:spacing w:before="0" w:line="360" w:lineRule="auto"/>
        <w:rPr>
          <w:rFonts w:ascii="Palatino Linotype" w:eastAsia="Palatino Linotype" w:hAnsi="Palatino Linotype" w:cs="Palatino Linotype"/>
          <w:b/>
          <w:color w:val="000000"/>
          <w:sz w:val="24"/>
          <w:szCs w:val="24"/>
          <w:highlight w:val="white"/>
        </w:rPr>
      </w:pPr>
      <w:bookmarkStart w:id="4" w:name="_heading=h.2et92p0" w:colFirst="0" w:colLast="0"/>
      <w:bookmarkEnd w:id="4"/>
      <w:r>
        <w:rPr>
          <w:rFonts w:ascii="Palatino Linotype" w:eastAsia="Palatino Linotype" w:hAnsi="Palatino Linotype" w:cs="Palatino Linotype"/>
          <w:b/>
          <w:color w:val="000000"/>
          <w:sz w:val="24"/>
          <w:szCs w:val="24"/>
          <w:highlight w:val="white"/>
        </w:rPr>
        <w:t xml:space="preserve">PRIMERO. De la competencia </w:t>
      </w:r>
    </w:p>
    <w:p w14:paraId="0F08E438" w14:textId="77777777" w:rsidR="002714E7" w:rsidRDefault="002714E7">
      <w:pPr>
        <w:spacing w:line="360" w:lineRule="auto"/>
        <w:rPr>
          <w:rFonts w:ascii="Palatino Linotype" w:eastAsia="Palatino Linotype" w:hAnsi="Palatino Linotype" w:cs="Palatino Linotype"/>
          <w:highlight w:val="white"/>
        </w:rPr>
      </w:pPr>
    </w:p>
    <w:p w14:paraId="6327F316"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bookmarkStart w:id="5" w:name="_heading=h.tyjcwt" w:colFirst="0" w:colLast="0"/>
      <w:bookmarkEnd w:id="5"/>
      <w:r>
        <w:rPr>
          <w:rFonts w:ascii="Palatino Linotype" w:eastAsia="Palatino Linotype" w:hAnsi="Palatino Linotype" w:cs="Palatino Linotype"/>
          <w:highlight w:val="white"/>
        </w:rPr>
        <w:t xml:space="preserve">El Instituto de Transparencia, Acceso a la Información Pública y Protección de Datos </w:t>
      </w:r>
      <w:r>
        <w:rPr>
          <w:rFonts w:ascii="Palatino Linotype" w:eastAsia="Palatino Linotype" w:hAnsi="Palatino Linotype" w:cs="Palatino Linotype"/>
          <w:color w:val="000000"/>
          <w:highlight w:val="white"/>
        </w:rPr>
        <w:t>Personales</w:t>
      </w:r>
      <w:r>
        <w:rPr>
          <w:rFonts w:ascii="Palatino Linotype" w:eastAsia="Palatino Linotype" w:hAnsi="Palatino Linotype" w:cs="Palatino Linotype"/>
          <w:highlight w:val="white"/>
        </w:rPr>
        <w:t xml:space="preserve">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EA57C6B"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highlight w:val="white"/>
        </w:rPr>
      </w:pPr>
    </w:p>
    <w:p w14:paraId="7DA2DE26" w14:textId="77777777" w:rsidR="002714E7" w:rsidRDefault="00734FB5">
      <w:pPr>
        <w:pStyle w:val="Ttulo2"/>
        <w:spacing w:before="0" w:line="360" w:lineRule="auto"/>
        <w:rPr>
          <w:rFonts w:ascii="Palatino Linotype" w:eastAsia="Palatino Linotype" w:hAnsi="Palatino Linotype" w:cs="Palatino Linotype"/>
          <w:b/>
          <w:color w:val="000000"/>
          <w:sz w:val="24"/>
          <w:szCs w:val="24"/>
          <w:highlight w:val="white"/>
        </w:rPr>
      </w:pPr>
      <w:r>
        <w:rPr>
          <w:rFonts w:ascii="Palatino Linotype" w:eastAsia="Palatino Linotype" w:hAnsi="Palatino Linotype" w:cs="Palatino Linotype"/>
          <w:b/>
          <w:color w:val="000000"/>
          <w:sz w:val="24"/>
          <w:szCs w:val="24"/>
          <w:highlight w:val="white"/>
        </w:rPr>
        <w:t>SEGUNDO. De la oportunidad y procedencia.</w:t>
      </w:r>
    </w:p>
    <w:p w14:paraId="6C314A5E" w14:textId="77777777" w:rsidR="002714E7" w:rsidRDefault="002714E7">
      <w:pPr>
        <w:spacing w:line="360" w:lineRule="auto"/>
        <w:rPr>
          <w:rFonts w:ascii="Palatino Linotype" w:eastAsia="Palatino Linotype" w:hAnsi="Palatino Linotype" w:cs="Palatino Linotype"/>
          <w:highlight w:val="white"/>
        </w:rPr>
      </w:pPr>
    </w:p>
    <w:p w14:paraId="39FEEE03"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bookmarkStart w:id="6" w:name="_heading=h.3dy6vkm" w:colFirst="0" w:colLast="0"/>
      <w:bookmarkEnd w:id="6"/>
      <w:r>
        <w:rPr>
          <w:rFonts w:ascii="Palatino Linotype" w:eastAsia="Palatino Linotype" w:hAnsi="Palatino Linotype" w:cs="Palatino Linotype"/>
          <w:highlight w:val="white"/>
        </w:rPr>
        <w:lastRenderedPageBreak/>
        <w:t xml:space="preserve">Este Órgano Garante considera que los medios de impugnación reúnen los requisitos de procedencia </w:t>
      </w:r>
      <w:r>
        <w:rPr>
          <w:rFonts w:ascii="Palatino Linotype" w:eastAsia="Palatino Linotype" w:hAnsi="Palatino Linotype" w:cs="Palatino Linotype"/>
          <w:color w:val="000000"/>
          <w:highlight w:val="white"/>
        </w:rPr>
        <w:t xml:space="preserve">toda vez que: los recursos fueron presentados dentro del plazo establecido en el artículo 178 de la Ley de Transparencia y Acceso a la Información Pública </w:t>
      </w:r>
      <w:r>
        <w:rPr>
          <w:rFonts w:ascii="Palatino Linotype" w:eastAsia="Palatino Linotype" w:hAnsi="Palatino Linotype" w:cs="Palatino Linotype"/>
          <w:highlight w:val="white"/>
        </w:rPr>
        <w:t>del</w:t>
      </w:r>
      <w:r>
        <w:rPr>
          <w:rFonts w:ascii="Palatino Linotype" w:eastAsia="Palatino Linotype" w:hAnsi="Palatino Linotype" w:cs="Palatino Linotype"/>
          <w:color w:val="000000"/>
          <w:highlight w:val="white"/>
        </w:rPr>
        <w:t xml:space="preserve"> Estado de México y Municipios; asimismo no se tiene conocimiento de que se encuentre en trámite algún medio de defensa presentado por LA RECURRENTE ante otra instancia.</w:t>
      </w:r>
    </w:p>
    <w:p w14:paraId="03FDB84B" w14:textId="77777777" w:rsidR="002714E7" w:rsidRDefault="002714E7">
      <w:pPr>
        <w:spacing w:line="360" w:lineRule="auto"/>
        <w:ind w:left="4613"/>
        <w:jc w:val="both"/>
        <w:rPr>
          <w:rFonts w:ascii="Palatino Linotype" w:eastAsia="Palatino Linotype" w:hAnsi="Palatino Linotype" w:cs="Palatino Linotype"/>
          <w:highlight w:val="white"/>
        </w:rPr>
      </w:pPr>
    </w:p>
    <w:p w14:paraId="3793C87F"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Por otro lado, es de suma importancia señalar que la parte recurrente no proporciona un </w:t>
      </w:r>
      <w:r>
        <w:rPr>
          <w:rFonts w:ascii="Palatino Linotype" w:eastAsia="Palatino Linotype" w:hAnsi="Palatino Linotype" w:cs="Palatino Linotype"/>
          <w:b/>
          <w:highlight w:val="white"/>
          <w:u w:val="single"/>
        </w:rPr>
        <w:t>nombre completo</w:t>
      </w:r>
      <w:r>
        <w:rPr>
          <w:rFonts w:ascii="Palatino Linotype" w:eastAsia="Palatino Linotype" w:hAnsi="Palatino Linotype" w:cs="Palatino Linotype"/>
          <w:highlight w:val="white"/>
        </w:rPr>
        <w:t xml:space="preserve"> como se advierte en el detalle de seguimiento del SAIMEX, no </w:t>
      </w:r>
      <w:proofErr w:type="gramStart"/>
      <w:r>
        <w:rPr>
          <w:rFonts w:ascii="Palatino Linotype" w:eastAsia="Palatino Linotype" w:hAnsi="Palatino Linotype" w:cs="Palatino Linotype"/>
          <w:highlight w:val="white"/>
        </w:rPr>
        <w:t>obstante</w:t>
      </w:r>
      <w:proofErr w:type="gramEnd"/>
      <w:r>
        <w:rPr>
          <w:rFonts w:ascii="Palatino Linotype" w:eastAsia="Palatino Linotype" w:hAnsi="Palatino Linotype" w:cs="Palatino Linotype"/>
          <w:highlight w:val="white"/>
        </w:rPr>
        <w:t xml:space="preserv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B7F9344"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28417D75" w14:textId="77777777" w:rsidR="002714E7" w:rsidRDefault="00734FB5">
      <w:pPr>
        <w:spacing w:line="360" w:lineRule="auto"/>
        <w:ind w:left="709" w:right="822"/>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r>
        <w:rPr>
          <w:rFonts w:ascii="Palatino Linotype" w:eastAsia="Palatino Linotype" w:hAnsi="Palatino Linotype" w:cs="Palatino Linotype"/>
          <w:b/>
          <w:i/>
          <w:highlight w:val="white"/>
        </w:rPr>
        <w:t>Las solicitudes anónimas</w:t>
      </w:r>
      <w:r>
        <w:rPr>
          <w:rFonts w:ascii="Palatino Linotype" w:eastAsia="Palatino Linotype" w:hAnsi="Palatino Linotype" w:cs="Palatino Linotype"/>
          <w:i/>
          <w:highlight w:val="white"/>
        </w:rPr>
        <w:t xml:space="preserve">, con nombre incompleto o seudónimo </w:t>
      </w:r>
      <w:r>
        <w:rPr>
          <w:rFonts w:ascii="Palatino Linotype" w:eastAsia="Palatino Linotype" w:hAnsi="Palatino Linotype" w:cs="Palatino Linotype"/>
          <w:b/>
          <w:i/>
          <w:highlight w:val="white"/>
        </w:rPr>
        <w:t>serán procedentes para su trámite por parte del sujeto obligado ante quien se presente</w:t>
      </w:r>
      <w:r>
        <w:rPr>
          <w:rFonts w:ascii="Palatino Linotype" w:eastAsia="Palatino Linotype" w:hAnsi="Palatino Linotype" w:cs="Palatino Linotype"/>
          <w:i/>
          <w:highlight w:val="white"/>
        </w:rPr>
        <w:t>. No podrá requerirse información adicional con motivo del nombre proporcionado por el solicitante."</w:t>
      </w:r>
    </w:p>
    <w:p w14:paraId="7376BE9A" w14:textId="77777777" w:rsidR="002714E7" w:rsidRDefault="002714E7">
      <w:pPr>
        <w:spacing w:line="360" w:lineRule="auto"/>
        <w:jc w:val="both"/>
        <w:rPr>
          <w:rFonts w:ascii="Palatino Linotype" w:eastAsia="Palatino Linotype" w:hAnsi="Palatino Linotype" w:cs="Palatino Linotype"/>
          <w:highlight w:val="white"/>
        </w:rPr>
      </w:pPr>
    </w:p>
    <w:p w14:paraId="2D7B16A1"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Robusteciendo lo anterior se encuentra lo dispuesto en el artículo 6, Apartado A, fracciones III de la Constitución Política de los Estados Unidos Mexicanos que establece:</w:t>
      </w:r>
    </w:p>
    <w:p w14:paraId="661FDB8E" w14:textId="77777777" w:rsidR="002714E7" w:rsidRDefault="00734FB5">
      <w:pPr>
        <w:spacing w:line="360" w:lineRule="auto"/>
        <w:ind w:left="851" w:right="964"/>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r>
        <w:rPr>
          <w:rFonts w:ascii="Palatino Linotype" w:eastAsia="Palatino Linotype" w:hAnsi="Palatino Linotype" w:cs="Palatino Linotype"/>
          <w:b/>
          <w:i/>
          <w:highlight w:val="white"/>
        </w:rPr>
        <w:t>Artículo 6.-</w:t>
      </w:r>
      <w:r>
        <w:rPr>
          <w:rFonts w:ascii="Palatino Linotype" w:eastAsia="Palatino Linotype" w:hAnsi="Palatino Linotype" w:cs="Palatino Linotype"/>
          <w:i/>
          <w:highlight w:val="white"/>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F36B1D9" w14:textId="77777777" w:rsidR="002714E7" w:rsidRDefault="00734FB5">
      <w:pPr>
        <w:spacing w:line="360" w:lineRule="auto"/>
        <w:ind w:left="851" w:right="964"/>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Para efectos de lo dispuesto en el presente artículo se observará lo siguiente:</w:t>
      </w:r>
    </w:p>
    <w:p w14:paraId="2051B4D1" w14:textId="77777777" w:rsidR="002714E7" w:rsidRDefault="002714E7">
      <w:pPr>
        <w:spacing w:line="360" w:lineRule="auto"/>
        <w:ind w:left="851" w:right="964"/>
        <w:jc w:val="both"/>
        <w:rPr>
          <w:rFonts w:ascii="Palatino Linotype" w:eastAsia="Palatino Linotype" w:hAnsi="Palatino Linotype" w:cs="Palatino Linotype"/>
          <w:i/>
          <w:highlight w:val="white"/>
        </w:rPr>
      </w:pPr>
    </w:p>
    <w:p w14:paraId="79926773" w14:textId="77777777" w:rsidR="002714E7" w:rsidRDefault="00734FB5">
      <w:pPr>
        <w:spacing w:line="360" w:lineRule="auto"/>
        <w:ind w:left="851" w:right="964"/>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A. Para el ejercicio del derecho de acceso a la información, la Federación, los Estados y el Distrito Federal, en el ámbito de sus respectivas competencias, se regirán por los siguientes principios y bases:</w:t>
      </w:r>
    </w:p>
    <w:p w14:paraId="0097A975" w14:textId="77777777" w:rsidR="002714E7" w:rsidRDefault="00734FB5">
      <w:pPr>
        <w:spacing w:line="360" w:lineRule="auto"/>
        <w:ind w:left="851" w:right="964"/>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III. Toda persona, sin necesidad de acreditar interés alguno o justificar su utilización, tendrá acceso gratuito a la información pública, a sus datos personales o a la rectificación de éstos.” </w:t>
      </w:r>
    </w:p>
    <w:p w14:paraId="554C9896" w14:textId="77777777" w:rsidR="002714E7" w:rsidRDefault="002714E7">
      <w:pPr>
        <w:spacing w:line="360" w:lineRule="auto"/>
        <w:ind w:left="567" w:right="474"/>
        <w:jc w:val="both"/>
        <w:rPr>
          <w:rFonts w:ascii="Palatino Linotype" w:eastAsia="Palatino Linotype" w:hAnsi="Palatino Linotype" w:cs="Palatino Linotype"/>
          <w:i/>
          <w:highlight w:val="white"/>
        </w:rPr>
      </w:pPr>
    </w:p>
    <w:p w14:paraId="76869D57"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Así como el artículo 5 fracción III, párrafo vigésimo noveno, trigésimo y trigésimo primero, de la Constitución Política del Estado Libre y Soberano de México, que determina lo siguiente:</w:t>
      </w:r>
    </w:p>
    <w:p w14:paraId="254EF8A9" w14:textId="77777777" w:rsidR="002714E7" w:rsidRDefault="002714E7">
      <w:pPr>
        <w:spacing w:line="360" w:lineRule="auto"/>
        <w:ind w:right="474"/>
        <w:jc w:val="both"/>
        <w:rPr>
          <w:rFonts w:ascii="Palatino Linotype" w:eastAsia="Palatino Linotype" w:hAnsi="Palatino Linotype" w:cs="Palatino Linotype"/>
          <w:i/>
          <w:highlight w:val="white"/>
        </w:rPr>
      </w:pPr>
    </w:p>
    <w:p w14:paraId="61A62E27" w14:textId="77777777" w:rsidR="002714E7" w:rsidRDefault="00734FB5">
      <w:pPr>
        <w:spacing w:line="360" w:lineRule="auto"/>
        <w:ind w:left="851" w:right="964"/>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r>
        <w:rPr>
          <w:rFonts w:ascii="Palatino Linotype" w:eastAsia="Palatino Linotype" w:hAnsi="Palatino Linotype" w:cs="Palatino Linotype"/>
          <w:b/>
          <w:i/>
          <w:highlight w:val="white"/>
        </w:rPr>
        <w:t>Artículo 5.-</w:t>
      </w:r>
      <w:r>
        <w:rPr>
          <w:rFonts w:ascii="Palatino Linotype" w:eastAsia="Palatino Linotype" w:hAnsi="Palatino Linotype" w:cs="Palatino Linotype"/>
          <w:i/>
          <w:highlight w:val="white"/>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F45884D" w14:textId="77777777" w:rsidR="002714E7" w:rsidRDefault="00734FB5">
      <w:pPr>
        <w:spacing w:line="360" w:lineRule="auto"/>
        <w:ind w:left="1134" w:right="1106"/>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p>
    <w:p w14:paraId="698ACEA8" w14:textId="77777777" w:rsidR="002714E7" w:rsidRDefault="00734FB5">
      <w:pPr>
        <w:spacing w:line="360" w:lineRule="auto"/>
        <w:ind w:left="851" w:right="964"/>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Toda persona en el Estado de México, tiene derecho al libre acceso a la información plural y oportuna, así como a buscar recibir y difundir información e ideas de toda índole por cualquier medio de expresión.</w:t>
      </w:r>
    </w:p>
    <w:p w14:paraId="0D26F753" w14:textId="77777777" w:rsidR="002714E7" w:rsidRDefault="00734FB5">
      <w:pPr>
        <w:spacing w:line="360" w:lineRule="auto"/>
        <w:ind w:left="1134" w:right="1106"/>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p>
    <w:p w14:paraId="2AEADB08" w14:textId="77777777" w:rsidR="002714E7" w:rsidRDefault="00734FB5">
      <w:pPr>
        <w:spacing w:line="360" w:lineRule="auto"/>
        <w:ind w:left="851" w:right="964"/>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El derecho a la información será garantizado por el Estado. La ley establecerá las previsiones que permitan asegurar la protección, el respeto y la difusión de este derecho.</w:t>
      </w:r>
    </w:p>
    <w:p w14:paraId="0EE19E5F" w14:textId="77777777" w:rsidR="002714E7" w:rsidRDefault="00734FB5">
      <w:pPr>
        <w:spacing w:line="360" w:lineRule="auto"/>
        <w:ind w:left="851" w:right="964"/>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0855B89" w14:textId="77777777" w:rsidR="002714E7" w:rsidRDefault="00734FB5">
      <w:pPr>
        <w:spacing w:line="360" w:lineRule="auto"/>
        <w:ind w:left="851" w:right="964"/>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III. Toda persona, sin necesidad de acreditar interés alguno o justificar su utilización, tendrá acceso gratuito a la información pública, a sus datos personales o a la rectificación de éstos;</w:t>
      </w:r>
    </w:p>
    <w:p w14:paraId="17155304" w14:textId="77777777" w:rsidR="002714E7" w:rsidRDefault="00734FB5">
      <w:pPr>
        <w:spacing w:line="360" w:lineRule="auto"/>
        <w:ind w:left="1134" w:right="1106"/>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p>
    <w:p w14:paraId="281E756E" w14:textId="77777777" w:rsidR="002714E7" w:rsidRDefault="00734FB5">
      <w:pPr>
        <w:spacing w:line="360" w:lineRule="auto"/>
        <w:ind w:left="851" w:right="964"/>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Palatino Linotype" w:hAnsi="Palatino Linotype" w:cs="Palatino Linotype"/>
          <w:highlight w:val="white"/>
        </w:rPr>
        <w:t>(Sic)</w:t>
      </w:r>
    </w:p>
    <w:p w14:paraId="338BCC0D" w14:textId="77777777" w:rsidR="002714E7" w:rsidRDefault="002714E7">
      <w:pPr>
        <w:spacing w:line="360" w:lineRule="auto"/>
        <w:ind w:left="426" w:right="476"/>
        <w:jc w:val="both"/>
        <w:rPr>
          <w:rFonts w:ascii="Palatino Linotype" w:eastAsia="Palatino Linotype" w:hAnsi="Palatino Linotype" w:cs="Palatino Linotype"/>
          <w:i/>
          <w:highlight w:val="white"/>
        </w:rPr>
      </w:pPr>
    </w:p>
    <w:p w14:paraId="151FCAB5"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Por otra parte, del contenido del artículo 1 de la Constitución Política de los Estados Unidos mexicanos, se destaca lo siguiente:</w:t>
      </w:r>
    </w:p>
    <w:p w14:paraId="7FB03184"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highlight w:val="white"/>
        </w:rPr>
      </w:pPr>
    </w:p>
    <w:p w14:paraId="2568A082" w14:textId="77777777" w:rsidR="002714E7" w:rsidRDefault="00734FB5">
      <w:pPr>
        <w:spacing w:line="360" w:lineRule="auto"/>
        <w:ind w:left="851" w:right="964"/>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lastRenderedPageBreak/>
        <w:t>"</w:t>
      </w:r>
      <w:r>
        <w:rPr>
          <w:rFonts w:ascii="Palatino Linotype" w:eastAsia="Palatino Linotype" w:hAnsi="Palatino Linotype" w:cs="Palatino Linotype"/>
          <w:b/>
          <w:i/>
          <w:highlight w:val="white"/>
        </w:rPr>
        <w:t>Artículo 1</w:t>
      </w:r>
      <w:r>
        <w:rPr>
          <w:rFonts w:ascii="Palatino Linotype" w:eastAsia="Palatino Linotype" w:hAnsi="Palatino Linotype" w:cs="Palatino Linotype"/>
          <w:i/>
          <w:highlight w:val="white"/>
        </w:rPr>
        <w:t xml:space="preserve">. En los Estados Unidos Mexicanos todas las personas gozarán de los derechos humanos reconocidos en esta Constitución y en los </w:t>
      </w:r>
      <w:proofErr w:type="gramStart"/>
      <w:r>
        <w:rPr>
          <w:rFonts w:ascii="Palatino Linotype" w:eastAsia="Palatino Linotype" w:hAnsi="Palatino Linotype" w:cs="Palatino Linotype"/>
          <w:i/>
          <w:highlight w:val="white"/>
        </w:rPr>
        <w:t>tratados  internacionales</w:t>
      </w:r>
      <w:proofErr w:type="gramEnd"/>
      <w:r>
        <w:rPr>
          <w:rFonts w:ascii="Palatino Linotype" w:eastAsia="Palatino Linotype" w:hAnsi="Palatino Linotype" w:cs="Palatino Linotype"/>
          <w:i/>
          <w:highlight w:val="white"/>
        </w:rPr>
        <w:t xml:space="preserve"> de los que el Estado Mexicano sea parte, así como de las garantías para su protección, cuyo ejercicio no podrá restringirse ni suspenderse, salvo en los casos y bajo las condiciones que esta Constitución establece.</w:t>
      </w:r>
    </w:p>
    <w:p w14:paraId="39E26DB9" w14:textId="77777777" w:rsidR="002714E7" w:rsidRDefault="00734FB5">
      <w:pPr>
        <w:spacing w:line="360" w:lineRule="auto"/>
        <w:ind w:left="851" w:right="964"/>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Las normas relativas a los derechos humanos se interpretarán de conformidad con esta Constitución y con los tratados internacionales de la materia favoreciendo en todo tiempo a las personas la protección más amplia.</w:t>
      </w:r>
    </w:p>
    <w:p w14:paraId="3E982B86" w14:textId="77777777" w:rsidR="002714E7" w:rsidRDefault="00734FB5">
      <w:pPr>
        <w:spacing w:line="360" w:lineRule="auto"/>
        <w:ind w:left="851" w:right="964"/>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ECA7AEF" w14:textId="77777777" w:rsidR="002714E7" w:rsidRDefault="002714E7">
      <w:pPr>
        <w:spacing w:line="360" w:lineRule="auto"/>
        <w:ind w:left="426" w:right="474"/>
        <w:jc w:val="both"/>
        <w:rPr>
          <w:rFonts w:ascii="Palatino Linotype" w:eastAsia="Palatino Linotype" w:hAnsi="Palatino Linotype" w:cs="Palatino Linotype"/>
          <w:i/>
          <w:highlight w:val="white"/>
        </w:rPr>
      </w:pPr>
    </w:p>
    <w:p w14:paraId="68DB190F"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highlight w:val="white"/>
        </w:rPr>
        <w:t>derecho fundamental exime a quien lo ejerce</w:t>
      </w:r>
      <w:r>
        <w:rPr>
          <w:rFonts w:ascii="Palatino Linotype" w:eastAsia="Palatino Linotype" w:hAnsi="Palatino Linotype" w:cs="Palatino Linotype"/>
          <w:highlight w:val="white"/>
        </w:rPr>
        <w:t xml:space="preserve">, de acreditar su legitimación en la causa o su interés </w:t>
      </w:r>
      <w:r>
        <w:rPr>
          <w:rFonts w:ascii="Palatino Linotype" w:eastAsia="Palatino Linotype" w:hAnsi="Palatino Linotype" w:cs="Palatino Linotype"/>
          <w:highlight w:val="white"/>
        </w:rPr>
        <w:lastRenderedPageBreak/>
        <w:t>en el asunto, lo que permite la posibilidad de que, incluso, la solicitud de acceso a la información pueda ser anónima o no contener un nombre que identifique al solicitante o que permita tener certeza sobre su identidad.</w:t>
      </w:r>
    </w:p>
    <w:p w14:paraId="385D4691" w14:textId="77777777" w:rsidR="002714E7" w:rsidRDefault="002714E7">
      <w:pPr>
        <w:spacing w:line="360" w:lineRule="auto"/>
        <w:jc w:val="both"/>
        <w:rPr>
          <w:rFonts w:ascii="Palatino Linotype" w:eastAsia="Palatino Linotype" w:hAnsi="Palatino Linotype" w:cs="Palatino Linotype"/>
          <w:highlight w:val="white"/>
        </w:rPr>
      </w:pPr>
    </w:p>
    <w:p w14:paraId="6D68F4A7"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En consecuencia, dado lo expuesto y fundado con anterioridad, se estima que el requisito relativo al nombre de LA RECURRENTE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6E7E8B8C"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07BC74D2"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Consecuencia de lo anterior, este Órgano Garante advierte que el escrito contiene las formalidades previstas por el artículo 180 último párrafo de la Ley de Transparencia y Acceso a la Información Pública del Estado de México y Municipios, </w:t>
      </w:r>
      <w:r>
        <w:rPr>
          <w:rFonts w:ascii="Palatino Linotype" w:eastAsia="Palatino Linotype" w:hAnsi="Palatino Linotype" w:cs="Palatino Linotype"/>
          <w:color w:val="000000"/>
          <w:highlight w:val="white"/>
        </w:rPr>
        <w:lastRenderedPageBreak/>
        <w:t>por lo que es procedente que este Instituto de Transparencia, Acceso a la Información Pública y Protección de Datos Personales del Estado de México y Municipios, conozca y resuelva el presente recurso.</w:t>
      </w:r>
    </w:p>
    <w:p w14:paraId="63DA529C"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49A01EF6" w14:textId="77777777" w:rsidR="002714E7" w:rsidRDefault="00734FB5">
      <w:pPr>
        <w:pStyle w:val="Ttulo1"/>
        <w:spacing w:before="0" w:line="360" w:lineRule="auto"/>
        <w:rPr>
          <w:rFonts w:ascii="Palatino Linotype" w:eastAsia="Palatino Linotype" w:hAnsi="Palatino Linotype" w:cs="Palatino Linotype"/>
          <w:b/>
          <w:color w:val="000000"/>
          <w:sz w:val="24"/>
          <w:szCs w:val="24"/>
          <w:highlight w:val="white"/>
        </w:rPr>
      </w:pPr>
      <w:r>
        <w:rPr>
          <w:rFonts w:ascii="Palatino Linotype" w:eastAsia="Palatino Linotype" w:hAnsi="Palatino Linotype" w:cs="Palatino Linotype"/>
          <w:b/>
          <w:color w:val="000000"/>
          <w:sz w:val="24"/>
          <w:szCs w:val="24"/>
          <w:highlight w:val="white"/>
        </w:rPr>
        <w:t>TERCERO. Del planteamiento de la</w:t>
      </w:r>
      <w:r>
        <w:rPr>
          <w:rFonts w:ascii="Palatino Linotype" w:eastAsia="Palatino Linotype" w:hAnsi="Palatino Linotype" w:cs="Palatino Linotype"/>
          <w:b/>
          <w:i/>
          <w:color w:val="000000"/>
          <w:sz w:val="24"/>
          <w:szCs w:val="24"/>
          <w:highlight w:val="white"/>
        </w:rPr>
        <w:t xml:space="preserve"> Litis</w:t>
      </w:r>
    </w:p>
    <w:p w14:paraId="1ED0999D" w14:textId="77777777" w:rsidR="002714E7" w:rsidRDefault="002714E7">
      <w:pPr>
        <w:spacing w:line="360" w:lineRule="auto"/>
        <w:rPr>
          <w:rFonts w:ascii="Palatino Linotype" w:eastAsia="Palatino Linotype" w:hAnsi="Palatino Linotype" w:cs="Palatino Linotype"/>
          <w:highlight w:val="white"/>
        </w:rPr>
      </w:pPr>
    </w:p>
    <w:p w14:paraId="43A1D222" w14:textId="77777777" w:rsidR="002714E7" w:rsidRDefault="00734FB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LA </w:t>
      </w:r>
      <w:r>
        <w:rPr>
          <w:rFonts w:ascii="Palatino Linotype" w:eastAsia="Palatino Linotype" w:hAnsi="Palatino Linotype" w:cs="Palatino Linotype"/>
          <w:b/>
          <w:color w:val="000000"/>
          <w:highlight w:val="white"/>
        </w:rPr>
        <w:t>RECURRENTE</w:t>
      </w:r>
      <w:r>
        <w:rPr>
          <w:rFonts w:ascii="Palatino Linotype" w:eastAsia="Palatino Linotype" w:hAnsi="Palatino Linotype" w:cs="Palatino Linotype"/>
          <w:color w:val="000000"/>
          <w:highlight w:val="white"/>
        </w:rPr>
        <w:t xml:space="preserve"> solicitó la siguiente información que se desglosa:</w:t>
      </w:r>
    </w:p>
    <w:p w14:paraId="320741BD" w14:textId="77777777" w:rsidR="002714E7" w:rsidRDefault="002714E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white"/>
        </w:rPr>
      </w:pPr>
    </w:p>
    <w:p w14:paraId="5B71ABE7" w14:textId="77777777" w:rsidR="002714E7" w:rsidRDefault="00734FB5">
      <w:pPr>
        <w:pBdr>
          <w:top w:val="nil"/>
          <w:left w:val="nil"/>
          <w:bottom w:val="nil"/>
          <w:right w:val="nil"/>
          <w:between w:val="nil"/>
        </w:pBdr>
        <w:spacing w:line="360" w:lineRule="auto"/>
        <w:ind w:left="709" w:right="1106"/>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De los CC. Alfredo Ruiz Hernández, Ana Laura Martínez Parra, Aline Marisela Pérez Torres, Carlos Ramsés Torres Lázaro, David Ventura Hidalgo, Jaime Rene Milla Bello, Julio Cesar Martínez Almazán, Renato Manuel Soriano Vázquez, María Fabiola Gómez Chávez, Noemí Sánchez Villalba:</w:t>
      </w:r>
    </w:p>
    <w:p w14:paraId="32DC9842" w14:textId="77777777" w:rsidR="002714E7" w:rsidRDefault="002714E7">
      <w:pPr>
        <w:pBdr>
          <w:top w:val="nil"/>
          <w:left w:val="nil"/>
          <w:bottom w:val="nil"/>
          <w:right w:val="nil"/>
          <w:between w:val="nil"/>
        </w:pBdr>
        <w:spacing w:line="360" w:lineRule="auto"/>
        <w:ind w:left="709" w:right="1106"/>
        <w:jc w:val="both"/>
        <w:rPr>
          <w:rFonts w:ascii="Palatino Linotype" w:eastAsia="Palatino Linotype" w:hAnsi="Palatino Linotype" w:cs="Palatino Linotype"/>
          <w:color w:val="000000"/>
          <w:highlight w:val="white"/>
        </w:rPr>
      </w:pPr>
    </w:p>
    <w:p w14:paraId="53C9DF90" w14:textId="77777777" w:rsidR="002714E7" w:rsidRDefault="00734FB5">
      <w:pPr>
        <w:numPr>
          <w:ilvl w:val="0"/>
          <w:numId w:val="5"/>
        </w:numPr>
        <w:pBdr>
          <w:top w:val="nil"/>
          <w:left w:val="nil"/>
          <w:bottom w:val="nil"/>
          <w:right w:val="nil"/>
          <w:between w:val="nil"/>
        </w:pBdr>
        <w:spacing w:line="360" w:lineRule="auto"/>
        <w:ind w:right="1106"/>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Curricular Vitae;</w:t>
      </w:r>
    </w:p>
    <w:p w14:paraId="02926B03" w14:textId="77777777" w:rsidR="002714E7" w:rsidRDefault="00734FB5">
      <w:pPr>
        <w:numPr>
          <w:ilvl w:val="0"/>
          <w:numId w:val="5"/>
        </w:numPr>
        <w:pBdr>
          <w:top w:val="nil"/>
          <w:left w:val="nil"/>
          <w:bottom w:val="nil"/>
          <w:right w:val="nil"/>
          <w:between w:val="nil"/>
        </w:pBdr>
        <w:spacing w:line="360" w:lineRule="auto"/>
        <w:ind w:right="1106"/>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Comprobante de ultimo grado es estudios;</w:t>
      </w:r>
    </w:p>
    <w:p w14:paraId="46200172" w14:textId="77777777" w:rsidR="002714E7" w:rsidRDefault="00734FB5">
      <w:pPr>
        <w:numPr>
          <w:ilvl w:val="0"/>
          <w:numId w:val="5"/>
        </w:numPr>
        <w:pBdr>
          <w:top w:val="nil"/>
          <w:left w:val="nil"/>
          <w:bottom w:val="nil"/>
          <w:right w:val="nil"/>
          <w:between w:val="nil"/>
        </w:pBdr>
        <w:spacing w:line="360" w:lineRule="auto"/>
        <w:ind w:right="1106"/>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Nombramiento si fuera el caso de los distintos cargos y/o puestos que se le haya asignado en las distintas Áreas de la Administración 2022-2024, de enero del 2022 al 30 de junio del 2024;</w:t>
      </w:r>
    </w:p>
    <w:p w14:paraId="54E44476" w14:textId="77777777" w:rsidR="002714E7" w:rsidRDefault="00734FB5">
      <w:pPr>
        <w:numPr>
          <w:ilvl w:val="0"/>
          <w:numId w:val="5"/>
        </w:numPr>
        <w:pBdr>
          <w:top w:val="nil"/>
          <w:left w:val="nil"/>
          <w:bottom w:val="nil"/>
          <w:right w:val="nil"/>
          <w:between w:val="nil"/>
        </w:pBdr>
        <w:spacing w:line="360" w:lineRule="auto"/>
        <w:ind w:right="1106"/>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lastRenderedPageBreak/>
        <w:t>Constancia de inscripción en el Registro de No Deudores Alimentarios en el Estado ni en ninguna otra Entidad Federativa;</w:t>
      </w:r>
    </w:p>
    <w:p w14:paraId="54234FBD" w14:textId="77777777" w:rsidR="002714E7" w:rsidRDefault="00734FB5">
      <w:pPr>
        <w:numPr>
          <w:ilvl w:val="0"/>
          <w:numId w:val="5"/>
        </w:numPr>
        <w:pBdr>
          <w:top w:val="nil"/>
          <w:left w:val="nil"/>
          <w:bottom w:val="nil"/>
          <w:right w:val="nil"/>
          <w:between w:val="nil"/>
        </w:pBdr>
        <w:spacing w:line="360" w:lineRule="auto"/>
        <w:ind w:right="1106"/>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Nombre Áreas de Adscripción a las que ha pertenecido en forma detallada desde el inicio de la administración 2022-2024 el cual dio inicio en el mes de enero del 2022 al 30 de junio del 2024 (Altas, bajas y/o cambio de adscripción);</w:t>
      </w:r>
    </w:p>
    <w:p w14:paraId="69B6DC93" w14:textId="77777777" w:rsidR="002714E7" w:rsidRDefault="00734FB5">
      <w:pPr>
        <w:numPr>
          <w:ilvl w:val="0"/>
          <w:numId w:val="5"/>
        </w:numPr>
        <w:pBdr>
          <w:top w:val="nil"/>
          <w:left w:val="nil"/>
          <w:bottom w:val="nil"/>
          <w:right w:val="nil"/>
          <w:between w:val="nil"/>
        </w:pBdr>
        <w:spacing w:line="360" w:lineRule="auto"/>
        <w:ind w:right="1106"/>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Informe detallado funciones y atribuciones específicas de los distintos cargos y/o puestos que se le haya asignado en las distintas Áreas de la Administración 2022-2024 el cual dio inicio en el mes del 01 enero del 2022 al 30 de junio del 2024;</w:t>
      </w:r>
    </w:p>
    <w:p w14:paraId="2738E838" w14:textId="77777777" w:rsidR="002714E7" w:rsidRDefault="00734FB5">
      <w:pPr>
        <w:numPr>
          <w:ilvl w:val="0"/>
          <w:numId w:val="5"/>
        </w:numPr>
        <w:pBdr>
          <w:top w:val="nil"/>
          <w:left w:val="nil"/>
          <w:bottom w:val="nil"/>
          <w:right w:val="nil"/>
          <w:between w:val="nil"/>
        </w:pBdr>
        <w:spacing w:line="360" w:lineRule="auto"/>
        <w:ind w:right="1106"/>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Listas de asistencia con horario de entrada y salida del mes de enero del 2022 al 30 de junio del 2024; y</w:t>
      </w:r>
    </w:p>
    <w:p w14:paraId="4D3166A3" w14:textId="77777777" w:rsidR="002714E7" w:rsidRDefault="00734FB5">
      <w:pPr>
        <w:numPr>
          <w:ilvl w:val="0"/>
          <w:numId w:val="5"/>
        </w:numPr>
        <w:pBdr>
          <w:top w:val="nil"/>
          <w:left w:val="nil"/>
          <w:bottom w:val="nil"/>
          <w:right w:val="nil"/>
          <w:between w:val="nil"/>
        </w:pBdr>
        <w:spacing w:line="360" w:lineRule="auto"/>
        <w:ind w:right="1106"/>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Recibo de Nómina y/o de Remuneración además de los recibos por concepto de Aguinaldo y primas vacacionales del 01 de enero del 2022 al 30 de junio del 2024.</w:t>
      </w:r>
    </w:p>
    <w:p w14:paraId="7B3B6130" w14:textId="77777777" w:rsidR="002714E7" w:rsidRDefault="002714E7">
      <w:pPr>
        <w:pBdr>
          <w:top w:val="nil"/>
          <w:left w:val="nil"/>
          <w:bottom w:val="nil"/>
          <w:right w:val="nil"/>
          <w:between w:val="nil"/>
        </w:pBdr>
        <w:spacing w:line="360" w:lineRule="auto"/>
        <w:ind w:left="1068" w:right="1106"/>
        <w:jc w:val="both"/>
        <w:rPr>
          <w:rFonts w:ascii="Palatino Linotype" w:eastAsia="Palatino Linotype" w:hAnsi="Palatino Linotype" w:cs="Palatino Linotype"/>
          <w:b/>
          <w:color w:val="000000"/>
          <w:highlight w:val="white"/>
        </w:rPr>
      </w:pPr>
    </w:p>
    <w:p w14:paraId="300C76CF" w14:textId="77777777" w:rsidR="002714E7" w:rsidRDefault="00734FB5">
      <w:pPr>
        <w:numPr>
          <w:ilvl w:val="0"/>
          <w:numId w:val="1"/>
        </w:numPr>
        <w:pBdr>
          <w:top w:val="nil"/>
          <w:left w:val="nil"/>
          <w:bottom w:val="nil"/>
          <w:right w:val="nil"/>
          <w:between w:val="nil"/>
        </w:pBdr>
        <w:tabs>
          <w:tab w:val="left" w:pos="284"/>
        </w:tabs>
        <w:spacing w:line="360" w:lineRule="auto"/>
        <w:ind w:left="0" w:right="-28"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En respuesta el </w:t>
      </w:r>
      <w:r>
        <w:rPr>
          <w:rFonts w:ascii="Palatino Linotype" w:eastAsia="Palatino Linotype" w:hAnsi="Palatino Linotype" w:cs="Palatino Linotype"/>
          <w:b/>
          <w:color w:val="000000"/>
          <w:highlight w:val="white"/>
        </w:rPr>
        <w:t xml:space="preserve">SUJETO OBLIGADO </w:t>
      </w:r>
      <w:r>
        <w:rPr>
          <w:rFonts w:ascii="Palatino Linotype" w:eastAsia="Palatino Linotype" w:hAnsi="Palatino Linotype" w:cs="Palatino Linotype"/>
          <w:color w:val="000000"/>
          <w:highlight w:val="white"/>
        </w:rPr>
        <w:t xml:space="preserve">remitió el soporte documental descrito en el anterior Párrafo 2. Atento a lo anterior, el particular interpuso el recurso de </w:t>
      </w:r>
      <w:r>
        <w:rPr>
          <w:rFonts w:ascii="Palatino Linotype" w:eastAsia="Palatino Linotype" w:hAnsi="Palatino Linotype" w:cs="Palatino Linotype"/>
          <w:color w:val="000000"/>
          <w:highlight w:val="white"/>
        </w:rPr>
        <w:lastRenderedPageBreak/>
        <w:t>revisión, mediante al cual se adolece de manera general por la entrega de información incompleta.</w:t>
      </w:r>
    </w:p>
    <w:p w14:paraId="6936AD27" w14:textId="77777777" w:rsidR="002714E7" w:rsidRDefault="002714E7">
      <w:pPr>
        <w:tabs>
          <w:tab w:val="left" w:pos="284"/>
        </w:tabs>
        <w:spacing w:line="360" w:lineRule="auto"/>
        <w:jc w:val="both"/>
        <w:rPr>
          <w:rFonts w:ascii="Palatino Linotype" w:eastAsia="Palatino Linotype" w:hAnsi="Palatino Linotype" w:cs="Palatino Linotype"/>
          <w:i/>
          <w:highlight w:val="white"/>
        </w:rPr>
      </w:pPr>
    </w:p>
    <w:p w14:paraId="719D95B8" w14:textId="77777777" w:rsidR="002714E7" w:rsidRDefault="00734FB5">
      <w:pPr>
        <w:numPr>
          <w:ilvl w:val="0"/>
          <w:numId w:val="1"/>
        </w:numPr>
        <w:spacing w:line="360" w:lineRule="auto"/>
        <w:ind w:left="0" w:right="48"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Por lo tanto, el presente recurso de </w:t>
      </w:r>
      <w:r>
        <w:rPr>
          <w:rFonts w:ascii="Palatino Linotype" w:eastAsia="Palatino Linotype" w:hAnsi="Palatino Linotype" w:cs="Palatino Linotype"/>
          <w:color w:val="000000"/>
          <w:highlight w:val="white"/>
        </w:rPr>
        <w:t>revisión</w:t>
      </w:r>
      <w:r>
        <w:rPr>
          <w:rFonts w:ascii="Palatino Linotype" w:eastAsia="Palatino Linotype" w:hAnsi="Palatino Linotype" w:cs="Palatino Linotype"/>
          <w:highlight w:val="white"/>
        </w:rPr>
        <w:t xml:space="preserve"> se circunscribe en determinar si se actualiza la causal de procedencia</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highlight w:val="white"/>
        </w:rPr>
        <w:t xml:space="preserve">contenida en el artículo 179 fracciones V, de la </w:t>
      </w:r>
      <w:r>
        <w:rPr>
          <w:rFonts w:ascii="Palatino Linotype" w:eastAsia="Palatino Linotype" w:hAnsi="Palatino Linotype" w:cs="Palatino Linotype"/>
          <w:b/>
          <w:highlight w:val="white"/>
        </w:rPr>
        <w:t>Ley de Transparencia y Acceso a la Información Pública del Estado de México y Municipios</w:t>
      </w:r>
      <w:r>
        <w:rPr>
          <w:rFonts w:ascii="Palatino Linotype" w:eastAsia="Palatino Linotype" w:hAnsi="Palatino Linotype" w:cs="Palatino Linotype"/>
          <w:highlight w:val="white"/>
        </w:rPr>
        <w:t>, relativa a la entrega de información incompleta.</w:t>
      </w:r>
    </w:p>
    <w:p w14:paraId="4585AAE8" w14:textId="77777777" w:rsidR="002714E7" w:rsidRDefault="002714E7">
      <w:pPr>
        <w:spacing w:line="360" w:lineRule="auto"/>
        <w:ind w:right="48"/>
        <w:jc w:val="both"/>
        <w:rPr>
          <w:rFonts w:ascii="Palatino Linotype" w:eastAsia="Palatino Linotype" w:hAnsi="Palatino Linotype" w:cs="Palatino Linotype"/>
          <w:highlight w:val="white"/>
        </w:rPr>
      </w:pPr>
    </w:p>
    <w:p w14:paraId="33FA51E3" w14:textId="77777777" w:rsidR="002714E7" w:rsidRDefault="00734FB5">
      <w:pPr>
        <w:pStyle w:val="Ttulo1"/>
        <w:spacing w:before="0" w:line="360" w:lineRule="auto"/>
        <w:rPr>
          <w:rFonts w:ascii="Palatino Linotype" w:eastAsia="Palatino Linotype" w:hAnsi="Palatino Linotype" w:cs="Palatino Linotype"/>
          <w:b/>
          <w:color w:val="000000"/>
          <w:sz w:val="24"/>
          <w:szCs w:val="24"/>
          <w:highlight w:val="white"/>
        </w:rPr>
      </w:pPr>
      <w:bookmarkStart w:id="7" w:name="_heading=h.1t3h5sf" w:colFirst="0" w:colLast="0"/>
      <w:bookmarkEnd w:id="7"/>
      <w:r>
        <w:rPr>
          <w:rFonts w:ascii="Palatino Linotype" w:eastAsia="Palatino Linotype" w:hAnsi="Palatino Linotype" w:cs="Palatino Linotype"/>
          <w:b/>
          <w:color w:val="000000"/>
          <w:sz w:val="24"/>
          <w:szCs w:val="24"/>
          <w:highlight w:val="white"/>
        </w:rPr>
        <w:t>CUARTO. Estudio y resolución.</w:t>
      </w:r>
    </w:p>
    <w:p w14:paraId="25242F82" w14:textId="77777777" w:rsidR="002714E7" w:rsidRDefault="00734FB5">
      <w:pPr>
        <w:numPr>
          <w:ilvl w:val="0"/>
          <w:numId w:val="1"/>
        </w:numPr>
        <w:spacing w:line="360" w:lineRule="auto"/>
        <w:ind w:left="0" w:right="48"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Acotado lo anterior; se revisará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783F50FC" w14:textId="77777777" w:rsidR="002714E7" w:rsidRDefault="002714E7">
      <w:pPr>
        <w:spacing w:line="360" w:lineRule="auto"/>
        <w:jc w:val="both"/>
        <w:rPr>
          <w:rFonts w:ascii="Palatino Linotype" w:eastAsia="Palatino Linotype" w:hAnsi="Palatino Linotype" w:cs="Palatino Linotype"/>
          <w:highlight w:val="white"/>
        </w:rPr>
      </w:pPr>
    </w:p>
    <w:p w14:paraId="3012CDAE" w14:textId="77777777" w:rsidR="002714E7" w:rsidRDefault="00734FB5">
      <w:pPr>
        <w:numPr>
          <w:ilvl w:val="0"/>
          <w:numId w:val="1"/>
        </w:numPr>
        <w:spacing w:line="360" w:lineRule="auto"/>
        <w:ind w:left="0" w:right="48"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C69690C" w14:textId="77777777" w:rsidR="002714E7" w:rsidRDefault="00734FB5">
      <w:pPr>
        <w:numPr>
          <w:ilvl w:val="0"/>
          <w:numId w:val="1"/>
        </w:numPr>
        <w:spacing w:line="360" w:lineRule="auto"/>
        <w:ind w:left="0" w:right="48"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52EFCD38" w14:textId="77777777" w:rsidR="002714E7" w:rsidRDefault="002714E7">
      <w:pPr>
        <w:spacing w:line="360" w:lineRule="auto"/>
        <w:ind w:right="48"/>
        <w:jc w:val="both"/>
        <w:rPr>
          <w:rFonts w:ascii="Palatino Linotype" w:eastAsia="Palatino Linotype" w:hAnsi="Palatino Linotype" w:cs="Palatino Linotype"/>
          <w:highlight w:val="white"/>
        </w:rPr>
      </w:pPr>
    </w:p>
    <w:p w14:paraId="54A0D1B5" w14:textId="77777777" w:rsidR="002714E7" w:rsidRDefault="00734FB5">
      <w:pPr>
        <w:numPr>
          <w:ilvl w:val="0"/>
          <w:numId w:val="1"/>
        </w:numPr>
        <w:spacing w:line="360" w:lineRule="auto"/>
        <w:ind w:left="0" w:right="48"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Acotado lo anterior, es dable analizar los recursos de revisión objeto de acumulación a efecto de determinar el cumplimiento o incumplimiento de cada uno de ellos en lo particular. En esa tesitura es dable traer a contexto primeramente el </w:t>
      </w:r>
      <w:r>
        <w:rPr>
          <w:rFonts w:ascii="Palatino Linotype" w:eastAsia="Palatino Linotype" w:hAnsi="Palatino Linotype" w:cs="Palatino Linotype"/>
          <w:highlight w:val="white"/>
        </w:rPr>
        <w:lastRenderedPageBreak/>
        <w:t>Recurso de Revisión 04733/INFOEM/IP/RR/202, que derivo de la solicitud de información 00092/TLALMANA/IP/2024.</w:t>
      </w:r>
    </w:p>
    <w:p w14:paraId="3899E9F7"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03B18113" w14:textId="77777777" w:rsidR="002714E7" w:rsidRDefault="00734FB5">
      <w:pPr>
        <w:numPr>
          <w:ilvl w:val="0"/>
          <w:numId w:val="1"/>
        </w:numPr>
        <w:spacing w:line="360" w:lineRule="auto"/>
        <w:ind w:left="0" w:right="48"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En respuesta 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refirió que se daba atención a la solicitud de información; sin </w:t>
      </w:r>
      <w:proofErr w:type="gramStart"/>
      <w:r>
        <w:rPr>
          <w:rFonts w:ascii="Palatino Linotype" w:eastAsia="Palatino Linotype" w:hAnsi="Palatino Linotype" w:cs="Palatino Linotype"/>
          <w:highlight w:val="white"/>
        </w:rPr>
        <w:t>embargo</w:t>
      </w:r>
      <w:proofErr w:type="gramEnd"/>
      <w:r>
        <w:rPr>
          <w:rFonts w:ascii="Palatino Linotype" w:eastAsia="Palatino Linotype" w:hAnsi="Palatino Linotype" w:cs="Palatino Linotype"/>
          <w:highlight w:val="white"/>
        </w:rPr>
        <w:t xml:space="preserve"> fue omiso en adjuntar documental alguna, lo que motivo la inconformidad del solicitante, argumentando una falta de respuesta, contexto que resulta parcialmente procedente, toda vez que si bien no se configuró la falta de respuesta, si fue una entrega de información incompleta al no remitirse las documentales que se señalaron. No </w:t>
      </w:r>
      <w:proofErr w:type="gramStart"/>
      <w:r>
        <w:rPr>
          <w:rFonts w:ascii="Palatino Linotype" w:eastAsia="Palatino Linotype" w:hAnsi="Palatino Linotype" w:cs="Palatino Linotype"/>
          <w:highlight w:val="white"/>
        </w:rPr>
        <w:t>obstante</w:t>
      </w:r>
      <w:proofErr w:type="gramEnd"/>
      <w:r>
        <w:rPr>
          <w:rFonts w:ascii="Palatino Linotype" w:eastAsia="Palatino Linotype" w:hAnsi="Palatino Linotype" w:cs="Palatino Linotype"/>
          <w:highlight w:val="white"/>
        </w:rPr>
        <w:t xml:space="preserve"> en un hecho posterior a la interposición del Recurso de Revisión como lo es el informe justificado, 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modificó su respuesta al remitir soporte documental, por lo que a través del siguiente cuadro comparativo se determinara si se colma o no lo solicitado inicialmente:</w:t>
      </w:r>
    </w:p>
    <w:p w14:paraId="4BB16F4C"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tbl>
      <w:tblPr>
        <w:tblStyle w:val="a"/>
        <w:tblW w:w="9033"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963"/>
        <w:gridCol w:w="2552"/>
        <w:gridCol w:w="2518"/>
      </w:tblGrid>
      <w:tr w:rsidR="002714E7" w14:paraId="4DD3D40A" w14:textId="77777777">
        <w:tc>
          <w:tcPr>
            <w:tcW w:w="3964" w:type="dxa"/>
          </w:tcPr>
          <w:p w14:paraId="710795B1" w14:textId="77777777" w:rsidR="002714E7" w:rsidRDefault="00734FB5">
            <w:pPr>
              <w:spacing w:line="360" w:lineRule="auto"/>
              <w:ind w:right="45"/>
              <w:jc w:val="center"/>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SOLICITUD</w:t>
            </w:r>
          </w:p>
        </w:tc>
        <w:tc>
          <w:tcPr>
            <w:tcW w:w="2552" w:type="dxa"/>
          </w:tcPr>
          <w:p w14:paraId="4B069465" w14:textId="77777777" w:rsidR="002714E7" w:rsidRDefault="00734FB5">
            <w:pPr>
              <w:spacing w:line="360" w:lineRule="auto"/>
              <w:ind w:right="45"/>
              <w:jc w:val="center"/>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INFORME JUSTIFICADO</w:t>
            </w:r>
          </w:p>
        </w:tc>
        <w:tc>
          <w:tcPr>
            <w:tcW w:w="2518" w:type="dxa"/>
          </w:tcPr>
          <w:p w14:paraId="5677D283" w14:textId="77777777" w:rsidR="002714E7" w:rsidRDefault="00734FB5">
            <w:pPr>
              <w:spacing w:line="360" w:lineRule="auto"/>
              <w:ind w:right="45"/>
              <w:jc w:val="center"/>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CUMPLIMIENTO</w:t>
            </w:r>
          </w:p>
        </w:tc>
      </w:tr>
      <w:tr w:rsidR="002714E7" w14:paraId="11A8571F" w14:textId="77777777">
        <w:tc>
          <w:tcPr>
            <w:tcW w:w="3964" w:type="dxa"/>
          </w:tcPr>
          <w:p w14:paraId="527A656A" w14:textId="77777777" w:rsidR="002714E7" w:rsidRDefault="00734FB5">
            <w:pPr>
              <w:spacing w:line="360" w:lineRule="auto"/>
              <w:ind w:right="48"/>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Curricular Vitae</w:t>
            </w:r>
          </w:p>
          <w:p w14:paraId="3C916EEC" w14:textId="77777777" w:rsidR="002714E7" w:rsidRDefault="002714E7">
            <w:pPr>
              <w:spacing w:line="360" w:lineRule="auto"/>
              <w:ind w:right="48"/>
              <w:jc w:val="both"/>
              <w:rPr>
                <w:rFonts w:ascii="Palatino Linotype" w:eastAsia="Palatino Linotype" w:hAnsi="Palatino Linotype" w:cs="Palatino Linotype"/>
                <w:highlight w:val="white"/>
              </w:rPr>
            </w:pPr>
          </w:p>
        </w:tc>
        <w:tc>
          <w:tcPr>
            <w:tcW w:w="2552" w:type="dxa"/>
            <w:vMerge w:val="restart"/>
          </w:tcPr>
          <w:p w14:paraId="32591E4A" w14:textId="77777777" w:rsidR="002714E7" w:rsidRDefault="002714E7">
            <w:pPr>
              <w:spacing w:line="360" w:lineRule="auto"/>
              <w:ind w:right="48"/>
              <w:jc w:val="both"/>
              <w:rPr>
                <w:rFonts w:ascii="Palatino Linotype" w:eastAsia="Palatino Linotype" w:hAnsi="Palatino Linotype" w:cs="Palatino Linotype"/>
                <w:highlight w:val="white"/>
              </w:rPr>
            </w:pPr>
          </w:p>
          <w:p w14:paraId="1FEBCC75" w14:textId="77777777" w:rsidR="002714E7" w:rsidRDefault="00734FB5">
            <w:pPr>
              <w:spacing w:line="360" w:lineRule="auto"/>
              <w:ind w:right="48"/>
              <w:jc w:val="both"/>
              <w:rPr>
                <w:rFonts w:ascii="Palatino Linotype" w:eastAsia="Palatino Linotype" w:hAnsi="Palatino Linotype" w:cs="Palatino Linotype"/>
                <w:i/>
                <w:highlight w:val="white"/>
              </w:rPr>
            </w:pPr>
            <w:r>
              <w:rPr>
                <w:rFonts w:ascii="Palatino Linotype" w:eastAsia="Palatino Linotype" w:hAnsi="Palatino Linotype" w:cs="Palatino Linotype"/>
                <w:highlight w:val="white"/>
              </w:rPr>
              <w:t xml:space="preserve">Sí; se remite en el archivo denominado </w:t>
            </w:r>
            <w:r>
              <w:rPr>
                <w:rFonts w:ascii="Palatino Linotype" w:eastAsia="Palatino Linotype" w:hAnsi="Palatino Linotype" w:cs="Palatino Linotype"/>
                <w:i/>
                <w:highlight w:val="white"/>
              </w:rPr>
              <w:t>alfredo_Censurado.pdf</w:t>
            </w:r>
          </w:p>
          <w:p w14:paraId="340F7A99" w14:textId="77777777" w:rsidR="002714E7" w:rsidRDefault="002714E7">
            <w:pPr>
              <w:spacing w:line="360" w:lineRule="auto"/>
              <w:ind w:right="48"/>
              <w:jc w:val="both"/>
              <w:rPr>
                <w:rFonts w:ascii="Palatino Linotype" w:eastAsia="Palatino Linotype" w:hAnsi="Palatino Linotype" w:cs="Palatino Linotype"/>
                <w:highlight w:val="white"/>
              </w:rPr>
            </w:pPr>
          </w:p>
        </w:tc>
        <w:tc>
          <w:tcPr>
            <w:tcW w:w="2518" w:type="dxa"/>
            <w:vMerge w:val="restart"/>
          </w:tcPr>
          <w:p w14:paraId="50DF0E1B" w14:textId="77777777" w:rsidR="002714E7" w:rsidRDefault="002714E7">
            <w:pPr>
              <w:spacing w:line="360" w:lineRule="auto"/>
              <w:ind w:right="48"/>
              <w:jc w:val="both"/>
              <w:rPr>
                <w:rFonts w:ascii="Palatino Linotype" w:eastAsia="Palatino Linotype" w:hAnsi="Palatino Linotype" w:cs="Palatino Linotype"/>
                <w:highlight w:val="white"/>
              </w:rPr>
            </w:pPr>
          </w:p>
          <w:p w14:paraId="182D0970" w14:textId="77777777" w:rsidR="002714E7" w:rsidRDefault="00734FB5">
            <w:pPr>
              <w:spacing w:line="360" w:lineRule="auto"/>
              <w:ind w:right="48"/>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Parcial.</w:t>
            </w:r>
            <w:r>
              <w:rPr>
                <w:rFonts w:ascii="Palatino Linotype" w:eastAsia="Palatino Linotype" w:hAnsi="Palatino Linotype" w:cs="Palatino Linotype"/>
                <w:highlight w:val="white"/>
              </w:rPr>
              <w:t xml:space="preserve"> Si bien es cierto se remiten, los documento s </w:t>
            </w:r>
            <w:r>
              <w:rPr>
                <w:rFonts w:ascii="Palatino Linotype" w:eastAsia="Palatino Linotype" w:hAnsi="Palatino Linotype" w:cs="Palatino Linotype"/>
                <w:highlight w:val="white"/>
              </w:rPr>
              <w:lastRenderedPageBreak/>
              <w:t>solicitados, no es posible notificarlos al particular por contener datos personales.</w:t>
            </w:r>
          </w:p>
          <w:p w14:paraId="12CFC92F" w14:textId="77777777" w:rsidR="002714E7" w:rsidRDefault="002714E7">
            <w:pPr>
              <w:spacing w:line="360" w:lineRule="auto"/>
              <w:ind w:right="48"/>
              <w:jc w:val="both"/>
              <w:rPr>
                <w:rFonts w:ascii="Palatino Linotype" w:eastAsia="Palatino Linotype" w:hAnsi="Palatino Linotype" w:cs="Palatino Linotype"/>
                <w:highlight w:val="white"/>
              </w:rPr>
            </w:pPr>
          </w:p>
          <w:p w14:paraId="4865CC17" w14:textId="77777777" w:rsidR="002714E7" w:rsidRDefault="00734FB5">
            <w:pPr>
              <w:spacing w:line="360" w:lineRule="auto"/>
              <w:ind w:right="48"/>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Del nombramiento; se remite el correspondiente al último cargo, no así del resto de cargos ocupados.</w:t>
            </w:r>
          </w:p>
          <w:p w14:paraId="04537B28" w14:textId="77777777" w:rsidR="002714E7" w:rsidRDefault="002714E7">
            <w:pPr>
              <w:spacing w:line="360" w:lineRule="auto"/>
              <w:ind w:right="48"/>
              <w:jc w:val="both"/>
              <w:rPr>
                <w:rFonts w:ascii="Palatino Linotype" w:eastAsia="Palatino Linotype" w:hAnsi="Palatino Linotype" w:cs="Palatino Linotype"/>
                <w:highlight w:val="white"/>
              </w:rPr>
            </w:pPr>
          </w:p>
        </w:tc>
      </w:tr>
      <w:tr w:rsidR="002714E7" w14:paraId="7D8F3480" w14:textId="77777777">
        <w:tc>
          <w:tcPr>
            <w:tcW w:w="3964" w:type="dxa"/>
          </w:tcPr>
          <w:p w14:paraId="0222EC79" w14:textId="77777777" w:rsidR="002714E7" w:rsidRDefault="00734FB5">
            <w:pPr>
              <w:spacing w:line="360" w:lineRule="auto"/>
              <w:ind w:right="48"/>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Comprobante de ultimo grado es estudios</w:t>
            </w:r>
          </w:p>
          <w:p w14:paraId="10D697E1" w14:textId="77777777" w:rsidR="002714E7" w:rsidRDefault="002714E7">
            <w:pPr>
              <w:spacing w:line="360" w:lineRule="auto"/>
              <w:ind w:right="48"/>
              <w:jc w:val="both"/>
              <w:rPr>
                <w:rFonts w:ascii="Palatino Linotype" w:eastAsia="Palatino Linotype" w:hAnsi="Palatino Linotype" w:cs="Palatino Linotype"/>
                <w:highlight w:val="white"/>
              </w:rPr>
            </w:pPr>
          </w:p>
        </w:tc>
        <w:tc>
          <w:tcPr>
            <w:tcW w:w="2552" w:type="dxa"/>
            <w:vMerge/>
          </w:tcPr>
          <w:p w14:paraId="138D55E1" w14:textId="77777777" w:rsidR="002714E7" w:rsidRDefault="002714E7">
            <w:pPr>
              <w:widowControl w:val="0"/>
              <w:pBdr>
                <w:top w:val="nil"/>
                <w:left w:val="nil"/>
                <w:bottom w:val="nil"/>
                <w:right w:val="nil"/>
                <w:between w:val="nil"/>
              </w:pBdr>
              <w:spacing w:line="276" w:lineRule="auto"/>
              <w:rPr>
                <w:rFonts w:ascii="Palatino Linotype" w:eastAsia="Palatino Linotype" w:hAnsi="Palatino Linotype" w:cs="Palatino Linotype"/>
                <w:highlight w:val="white"/>
              </w:rPr>
            </w:pPr>
          </w:p>
        </w:tc>
        <w:tc>
          <w:tcPr>
            <w:tcW w:w="2518" w:type="dxa"/>
            <w:vMerge/>
          </w:tcPr>
          <w:p w14:paraId="302459A1" w14:textId="77777777" w:rsidR="002714E7" w:rsidRDefault="002714E7">
            <w:pPr>
              <w:widowControl w:val="0"/>
              <w:pBdr>
                <w:top w:val="nil"/>
                <w:left w:val="nil"/>
                <w:bottom w:val="nil"/>
                <w:right w:val="nil"/>
                <w:between w:val="nil"/>
              </w:pBdr>
              <w:spacing w:line="276" w:lineRule="auto"/>
              <w:rPr>
                <w:rFonts w:ascii="Palatino Linotype" w:eastAsia="Palatino Linotype" w:hAnsi="Palatino Linotype" w:cs="Palatino Linotype"/>
                <w:highlight w:val="white"/>
              </w:rPr>
            </w:pPr>
          </w:p>
        </w:tc>
      </w:tr>
      <w:tr w:rsidR="002714E7" w14:paraId="47A6EF4E" w14:textId="77777777">
        <w:tc>
          <w:tcPr>
            <w:tcW w:w="3964" w:type="dxa"/>
          </w:tcPr>
          <w:p w14:paraId="79DE097C" w14:textId="77777777" w:rsidR="002714E7" w:rsidRDefault="00734FB5">
            <w:pPr>
              <w:spacing w:line="360" w:lineRule="auto"/>
              <w:ind w:right="48"/>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Nombramiento si este fuera en los cargos asignados en áreas de la Administración 2022-2024, del mes de enero del 2022 al 30 de junio del 2024</w:t>
            </w:r>
          </w:p>
          <w:p w14:paraId="561EC4F8" w14:textId="77777777" w:rsidR="002714E7" w:rsidRDefault="002714E7">
            <w:pPr>
              <w:spacing w:line="360" w:lineRule="auto"/>
              <w:ind w:right="48"/>
              <w:jc w:val="both"/>
              <w:rPr>
                <w:rFonts w:ascii="Palatino Linotype" w:eastAsia="Palatino Linotype" w:hAnsi="Palatino Linotype" w:cs="Palatino Linotype"/>
                <w:highlight w:val="white"/>
              </w:rPr>
            </w:pPr>
          </w:p>
        </w:tc>
        <w:tc>
          <w:tcPr>
            <w:tcW w:w="2552" w:type="dxa"/>
            <w:vMerge/>
          </w:tcPr>
          <w:p w14:paraId="75773FB9" w14:textId="77777777" w:rsidR="002714E7" w:rsidRDefault="002714E7">
            <w:pPr>
              <w:widowControl w:val="0"/>
              <w:pBdr>
                <w:top w:val="nil"/>
                <w:left w:val="nil"/>
                <w:bottom w:val="nil"/>
                <w:right w:val="nil"/>
                <w:between w:val="nil"/>
              </w:pBdr>
              <w:spacing w:line="276" w:lineRule="auto"/>
              <w:rPr>
                <w:rFonts w:ascii="Palatino Linotype" w:eastAsia="Palatino Linotype" w:hAnsi="Palatino Linotype" w:cs="Palatino Linotype"/>
                <w:highlight w:val="white"/>
              </w:rPr>
            </w:pPr>
          </w:p>
        </w:tc>
        <w:tc>
          <w:tcPr>
            <w:tcW w:w="2518" w:type="dxa"/>
            <w:vMerge/>
          </w:tcPr>
          <w:p w14:paraId="7AD4900B" w14:textId="77777777" w:rsidR="002714E7" w:rsidRDefault="002714E7">
            <w:pPr>
              <w:widowControl w:val="0"/>
              <w:pBdr>
                <w:top w:val="nil"/>
                <w:left w:val="nil"/>
                <w:bottom w:val="nil"/>
                <w:right w:val="nil"/>
                <w:between w:val="nil"/>
              </w:pBdr>
              <w:spacing w:line="276" w:lineRule="auto"/>
              <w:rPr>
                <w:rFonts w:ascii="Palatino Linotype" w:eastAsia="Palatino Linotype" w:hAnsi="Palatino Linotype" w:cs="Palatino Linotype"/>
                <w:highlight w:val="white"/>
              </w:rPr>
            </w:pPr>
          </w:p>
        </w:tc>
      </w:tr>
      <w:tr w:rsidR="002714E7" w14:paraId="1B462233" w14:textId="77777777">
        <w:tc>
          <w:tcPr>
            <w:tcW w:w="3964" w:type="dxa"/>
          </w:tcPr>
          <w:p w14:paraId="6A37602B" w14:textId="77777777" w:rsidR="002714E7" w:rsidRDefault="00734FB5">
            <w:pPr>
              <w:spacing w:line="360" w:lineRule="auto"/>
              <w:ind w:right="48"/>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Certificado de No Deudor Alimentario Moroso</w:t>
            </w:r>
          </w:p>
          <w:p w14:paraId="697153D8" w14:textId="77777777" w:rsidR="002714E7" w:rsidRDefault="002714E7">
            <w:pPr>
              <w:spacing w:line="360" w:lineRule="auto"/>
              <w:ind w:right="48"/>
              <w:jc w:val="both"/>
              <w:rPr>
                <w:rFonts w:ascii="Palatino Linotype" w:eastAsia="Palatino Linotype" w:hAnsi="Palatino Linotype" w:cs="Palatino Linotype"/>
                <w:highlight w:val="white"/>
              </w:rPr>
            </w:pPr>
          </w:p>
        </w:tc>
        <w:tc>
          <w:tcPr>
            <w:tcW w:w="2552" w:type="dxa"/>
            <w:vMerge/>
          </w:tcPr>
          <w:p w14:paraId="3BAA79D5" w14:textId="77777777" w:rsidR="002714E7" w:rsidRDefault="002714E7">
            <w:pPr>
              <w:widowControl w:val="0"/>
              <w:pBdr>
                <w:top w:val="nil"/>
                <w:left w:val="nil"/>
                <w:bottom w:val="nil"/>
                <w:right w:val="nil"/>
                <w:between w:val="nil"/>
              </w:pBdr>
              <w:spacing w:line="276" w:lineRule="auto"/>
              <w:rPr>
                <w:rFonts w:ascii="Palatino Linotype" w:eastAsia="Palatino Linotype" w:hAnsi="Palatino Linotype" w:cs="Palatino Linotype"/>
                <w:highlight w:val="white"/>
              </w:rPr>
            </w:pPr>
          </w:p>
        </w:tc>
        <w:tc>
          <w:tcPr>
            <w:tcW w:w="2518" w:type="dxa"/>
            <w:vMerge/>
          </w:tcPr>
          <w:p w14:paraId="1610BD98" w14:textId="77777777" w:rsidR="002714E7" w:rsidRDefault="002714E7">
            <w:pPr>
              <w:widowControl w:val="0"/>
              <w:pBdr>
                <w:top w:val="nil"/>
                <w:left w:val="nil"/>
                <w:bottom w:val="nil"/>
                <w:right w:val="nil"/>
                <w:between w:val="nil"/>
              </w:pBdr>
              <w:spacing w:line="276" w:lineRule="auto"/>
              <w:rPr>
                <w:rFonts w:ascii="Palatino Linotype" w:eastAsia="Palatino Linotype" w:hAnsi="Palatino Linotype" w:cs="Palatino Linotype"/>
                <w:highlight w:val="white"/>
              </w:rPr>
            </w:pPr>
          </w:p>
        </w:tc>
      </w:tr>
      <w:tr w:rsidR="002714E7" w14:paraId="401C5DEA" w14:textId="77777777">
        <w:tc>
          <w:tcPr>
            <w:tcW w:w="3964" w:type="dxa"/>
          </w:tcPr>
          <w:p w14:paraId="6C9AB7EC" w14:textId="77777777" w:rsidR="002714E7" w:rsidRDefault="00734FB5">
            <w:pPr>
              <w:spacing w:line="360" w:lineRule="auto"/>
              <w:ind w:right="48"/>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Áreas de Adscripción a las que ha pertenecido en la Administración 2022-2024, del mes de enero de 2022 al 30 de junio del 2024.</w:t>
            </w:r>
          </w:p>
          <w:p w14:paraId="068EB7D2" w14:textId="77777777" w:rsidR="002714E7" w:rsidRDefault="002714E7">
            <w:pPr>
              <w:spacing w:line="360" w:lineRule="auto"/>
              <w:ind w:right="48"/>
              <w:jc w:val="both"/>
              <w:rPr>
                <w:rFonts w:ascii="Palatino Linotype" w:eastAsia="Palatino Linotype" w:hAnsi="Palatino Linotype" w:cs="Palatino Linotype"/>
                <w:highlight w:val="white"/>
              </w:rPr>
            </w:pPr>
          </w:p>
        </w:tc>
        <w:tc>
          <w:tcPr>
            <w:tcW w:w="2552" w:type="dxa"/>
          </w:tcPr>
          <w:p w14:paraId="2C2EBA19" w14:textId="77777777" w:rsidR="002714E7" w:rsidRDefault="00734FB5">
            <w:pPr>
              <w:spacing w:line="360" w:lineRule="auto"/>
              <w:ind w:right="48"/>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Manifiesta </w:t>
            </w:r>
            <w:proofErr w:type="gramStart"/>
            <w:r>
              <w:rPr>
                <w:rFonts w:ascii="Palatino Linotype" w:eastAsia="Palatino Linotype" w:hAnsi="Palatino Linotype" w:cs="Palatino Linotype"/>
                <w:highlight w:val="white"/>
              </w:rPr>
              <w:t>que</w:t>
            </w:r>
            <w:proofErr w:type="gramEnd"/>
            <w:r>
              <w:rPr>
                <w:rFonts w:ascii="Palatino Linotype" w:eastAsia="Palatino Linotype" w:hAnsi="Palatino Linotype" w:cs="Palatino Linotype"/>
                <w:highlight w:val="white"/>
              </w:rPr>
              <w:t xml:space="preserve"> en el ángulo superior derecho de los recibos de nómina, se advierten las áreas en las que ha estado </w:t>
            </w:r>
            <w:r>
              <w:rPr>
                <w:rFonts w:ascii="Palatino Linotype" w:eastAsia="Palatino Linotype" w:hAnsi="Palatino Linotype" w:cs="Palatino Linotype"/>
                <w:highlight w:val="white"/>
              </w:rPr>
              <w:lastRenderedPageBreak/>
              <w:t>adscrito en la actual administración pública municipal.</w:t>
            </w:r>
          </w:p>
          <w:p w14:paraId="17A61D83" w14:textId="77777777" w:rsidR="002714E7" w:rsidRDefault="002714E7">
            <w:pPr>
              <w:spacing w:line="360" w:lineRule="auto"/>
              <w:ind w:right="48"/>
              <w:jc w:val="both"/>
              <w:rPr>
                <w:rFonts w:ascii="Palatino Linotype" w:eastAsia="Palatino Linotype" w:hAnsi="Palatino Linotype" w:cs="Palatino Linotype"/>
                <w:highlight w:val="white"/>
              </w:rPr>
            </w:pPr>
          </w:p>
        </w:tc>
        <w:tc>
          <w:tcPr>
            <w:tcW w:w="2518" w:type="dxa"/>
          </w:tcPr>
          <w:p w14:paraId="5AC6E88E" w14:textId="77777777" w:rsidR="002714E7" w:rsidRDefault="002714E7">
            <w:pPr>
              <w:spacing w:line="360" w:lineRule="auto"/>
              <w:ind w:right="48"/>
              <w:jc w:val="both"/>
              <w:rPr>
                <w:rFonts w:ascii="Palatino Linotype" w:eastAsia="Palatino Linotype" w:hAnsi="Palatino Linotype" w:cs="Palatino Linotype"/>
                <w:highlight w:val="white"/>
              </w:rPr>
            </w:pPr>
          </w:p>
          <w:p w14:paraId="1BD471BF" w14:textId="77777777" w:rsidR="002714E7" w:rsidRDefault="00734FB5">
            <w:pPr>
              <w:spacing w:line="360" w:lineRule="auto"/>
              <w:ind w:right="48"/>
              <w:jc w:val="center"/>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Si colma</w:t>
            </w:r>
          </w:p>
        </w:tc>
      </w:tr>
      <w:tr w:rsidR="002714E7" w14:paraId="78DA3508" w14:textId="77777777">
        <w:tc>
          <w:tcPr>
            <w:tcW w:w="3964" w:type="dxa"/>
          </w:tcPr>
          <w:p w14:paraId="1B4BB652" w14:textId="77777777" w:rsidR="002714E7" w:rsidRDefault="00734FB5">
            <w:pPr>
              <w:spacing w:line="360" w:lineRule="auto"/>
              <w:ind w:right="48"/>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Informe detallado de las funciones y atribuciones específicas de los distintos cargos y/o puestos que se le haya asignado en las distintas Áreas de la Administración 2022-2024 el cual dio inicio en el mes del 01 enero del 2022 al 30 de junio del 2024</w:t>
            </w:r>
          </w:p>
          <w:p w14:paraId="429E393C" w14:textId="77777777" w:rsidR="002714E7" w:rsidRDefault="002714E7">
            <w:pPr>
              <w:spacing w:line="360" w:lineRule="auto"/>
              <w:ind w:right="48"/>
              <w:jc w:val="both"/>
              <w:rPr>
                <w:rFonts w:ascii="Palatino Linotype" w:eastAsia="Palatino Linotype" w:hAnsi="Palatino Linotype" w:cs="Palatino Linotype"/>
                <w:highlight w:val="white"/>
              </w:rPr>
            </w:pPr>
          </w:p>
        </w:tc>
        <w:tc>
          <w:tcPr>
            <w:tcW w:w="2552" w:type="dxa"/>
          </w:tcPr>
          <w:p w14:paraId="4B069DA5" w14:textId="77777777" w:rsidR="002714E7" w:rsidRDefault="00734FB5">
            <w:pPr>
              <w:spacing w:line="360" w:lineRule="auto"/>
              <w:ind w:right="48"/>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Informa que no se generan informes detallados sobre sus funciones.</w:t>
            </w:r>
          </w:p>
        </w:tc>
        <w:tc>
          <w:tcPr>
            <w:tcW w:w="2518" w:type="dxa"/>
          </w:tcPr>
          <w:p w14:paraId="57DA9D87" w14:textId="77777777" w:rsidR="002714E7" w:rsidRDefault="00734FB5">
            <w:pPr>
              <w:spacing w:line="360" w:lineRule="auto"/>
              <w:ind w:right="48"/>
              <w:jc w:val="center"/>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Parcial</w:t>
            </w:r>
          </w:p>
        </w:tc>
      </w:tr>
      <w:tr w:rsidR="002714E7" w14:paraId="667E5A69" w14:textId="77777777">
        <w:tc>
          <w:tcPr>
            <w:tcW w:w="3964" w:type="dxa"/>
          </w:tcPr>
          <w:p w14:paraId="663170CF" w14:textId="77777777" w:rsidR="002714E7" w:rsidRDefault="00734FB5">
            <w:pPr>
              <w:spacing w:line="360" w:lineRule="auto"/>
              <w:ind w:right="48"/>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Listas de asistencia con horario de entrada y salida del mes de enero del 2022 al 30 de junio del 2024</w:t>
            </w:r>
          </w:p>
          <w:p w14:paraId="11C1AD9D" w14:textId="77777777" w:rsidR="002714E7" w:rsidRDefault="002714E7">
            <w:pPr>
              <w:spacing w:line="360" w:lineRule="auto"/>
              <w:ind w:right="48"/>
              <w:jc w:val="both"/>
              <w:rPr>
                <w:rFonts w:ascii="Palatino Linotype" w:eastAsia="Palatino Linotype" w:hAnsi="Palatino Linotype" w:cs="Palatino Linotype"/>
                <w:highlight w:val="white"/>
              </w:rPr>
            </w:pPr>
          </w:p>
        </w:tc>
        <w:tc>
          <w:tcPr>
            <w:tcW w:w="2552" w:type="dxa"/>
          </w:tcPr>
          <w:p w14:paraId="4E2E0F8A" w14:textId="77777777" w:rsidR="002714E7" w:rsidRDefault="00734FB5">
            <w:pPr>
              <w:spacing w:line="360" w:lineRule="auto"/>
              <w:ind w:right="48"/>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Informa la Coordinación de Recursos Humanos que en esa área no se generan listas de asistencia.</w:t>
            </w:r>
          </w:p>
          <w:p w14:paraId="5817011D" w14:textId="77777777" w:rsidR="002714E7" w:rsidRDefault="002714E7">
            <w:pPr>
              <w:spacing w:line="360" w:lineRule="auto"/>
              <w:ind w:right="48"/>
              <w:jc w:val="both"/>
              <w:rPr>
                <w:rFonts w:ascii="Palatino Linotype" w:eastAsia="Palatino Linotype" w:hAnsi="Palatino Linotype" w:cs="Palatino Linotype"/>
                <w:highlight w:val="white"/>
              </w:rPr>
            </w:pPr>
          </w:p>
        </w:tc>
        <w:tc>
          <w:tcPr>
            <w:tcW w:w="2518" w:type="dxa"/>
          </w:tcPr>
          <w:p w14:paraId="0592A987" w14:textId="77777777" w:rsidR="002714E7" w:rsidRDefault="00734FB5">
            <w:pPr>
              <w:spacing w:line="360" w:lineRule="auto"/>
              <w:ind w:right="48"/>
              <w:jc w:val="center"/>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No colma</w:t>
            </w:r>
          </w:p>
        </w:tc>
      </w:tr>
      <w:tr w:rsidR="002714E7" w14:paraId="13CAFE87" w14:textId="77777777">
        <w:tc>
          <w:tcPr>
            <w:tcW w:w="3964" w:type="dxa"/>
          </w:tcPr>
          <w:p w14:paraId="185F5B18" w14:textId="77777777" w:rsidR="002714E7" w:rsidRDefault="00734FB5">
            <w:pPr>
              <w:spacing w:line="360" w:lineRule="auto"/>
              <w:ind w:right="48"/>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Recibo de Nómina y/o de Remuneración además de los recibos por concepto de Aguinaldo y primas vacacionales del mes del 01 de enero del 2022 al 30 de junio del 2024</w:t>
            </w:r>
          </w:p>
          <w:p w14:paraId="1D365F3E" w14:textId="77777777" w:rsidR="002714E7" w:rsidRDefault="002714E7">
            <w:pPr>
              <w:spacing w:line="360" w:lineRule="auto"/>
              <w:ind w:right="48"/>
              <w:jc w:val="both"/>
              <w:rPr>
                <w:rFonts w:ascii="Palatino Linotype" w:eastAsia="Palatino Linotype" w:hAnsi="Palatino Linotype" w:cs="Palatino Linotype"/>
                <w:highlight w:val="white"/>
              </w:rPr>
            </w:pPr>
          </w:p>
        </w:tc>
        <w:tc>
          <w:tcPr>
            <w:tcW w:w="2552" w:type="dxa"/>
          </w:tcPr>
          <w:p w14:paraId="49F097DA" w14:textId="77777777" w:rsidR="002714E7" w:rsidRDefault="00734FB5">
            <w:pPr>
              <w:spacing w:line="360" w:lineRule="auto"/>
              <w:ind w:right="48"/>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60 recibos de nómina que abarcan del 1 de enero de 2022 al 30 de junio de 2024, incluidos los recibos por concepto de aguinaldo y primas vacacionales.</w:t>
            </w:r>
          </w:p>
        </w:tc>
        <w:tc>
          <w:tcPr>
            <w:tcW w:w="2518" w:type="dxa"/>
          </w:tcPr>
          <w:p w14:paraId="2DFE673B" w14:textId="77777777" w:rsidR="002714E7" w:rsidRDefault="00734FB5">
            <w:pPr>
              <w:spacing w:line="360" w:lineRule="auto"/>
              <w:ind w:right="48"/>
              <w:jc w:val="center"/>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Si colma</w:t>
            </w:r>
          </w:p>
        </w:tc>
      </w:tr>
    </w:tbl>
    <w:p w14:paraId="6D934E71" w14:textId="77777777" w:rsidR="002714E7" w:rsidRDefault="002714E7">
      <w:pPr>
        <w:spacing w:line="360" w:lineRule="auto"/>
        <w:ind w:right="48"/>
        <w:jc w:val="both"/>
        <w:rPr>
          <w:rFonts w:ascii="Palatino Linotype" w:eastAsia="Palatino Linotype" w:hAnsi="Palatino Linotype" w:cs="Palatino Linotype"/>
          <w:highlight w:val="white"/>
        </w:rPr>
      </w:pPr>
    </w:p>
    <w:p w14:paraId="4735373E"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Ilustrado lo anterior, se tiene por parcialmente colmado los primeros 4 rubros; toda vez que como se tuvo a bien señalar si se remite la información requerida, no obstante esta se encuentra en un archivo comprimido, el cual contiene un título profesional con la firma autógrafa del servidor público referido en la solicitud de información, misma que obra allí en su calidad de alumno y no en ejercicio de las funciones de derecho público que detenta en el Ayuntamiento por lo que se considera un dato personal que debió ser testado. Consecuentemente al no existir la posibilidad de únicamente no notificar ese archivo, sino todos aquellos que obren en el archivo comprimido, es que se tiene por parcialmente colmado y lo procedente es que se </w:t>
      </w:r>
      <w:r>
        <w:rPr>
          <w:rFonts w:ascii="Palatino Linotype" w:eastAsia="Palatino Linotype" w:hAnsi="Palatino Linotype" w:cs="Palatino Linotype"/>
          <w:color w:val="000000"/>
          <w:highlight w:val="white"/>
        </w:rPr>
        <w:lastRenderedPageBreak/>
        <w:t xml:space="preserve">remita nuevamente todos los documentos de referencia en una correcta versión pública. </w:t>
      </w:r>
    </w:p>
    <w:p w14:paraId="5F951878"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75D8905A"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Mención aparte merece el nombramiento, ya que se remite el del último cargo como lo es el del </w:t>
      </w:r>
      <w:proofErr w:type="gramStart"/>
      <w:r>
        <w:rPr>
          <w:rFonts w:ascii="Palatino Linotype" w:eastAsia="Palatino Linotype" w:hAnsi="Palatino Linotype" w:cs="Palatino Linotype"/>
          <w:color w:val="000000"/>
          <w:highlight w:val="white"/>
        </w:rPr>
        <w:t>Director</w:t>
      </w:r>
      <w:proofErr w:type="gramEnd"/>
      <w:r>
        <w:rPr>
          <w:rFonts w:ascii="Palatino Linotype" w:eastAsia="Palatino Linotype" w:hAnsi="Palatino Linotype" w:cs="Palatino Linotype"/>
          <w:color w:val="000000"/>
          <w:highlight w:val="white"/>
        </w:rPr>
        <w:t xml:space="preserve"> de Ecología, recordando que la solicitud versó respecto de todos los cargos que haya ocupado en la actual administración pública municipal. Al respecto el </w:t>
      </w:r>
      <w:r>
        <w:rPr>
          <w:rFonts w:ascii="Palatino Linotype" w:eastAsia="Palatino Linotype" w:hAnsi="Palatino Linotype" w:cs="Palatino Linotype"/>
          <w:b/>
          <w:color w:val="000000"/>
          <w:highlight w:val="white"/>
        </w:rPr>
        <w:t>SUJETO OBLIGADO</w:t>
      </w:r>
      <w:r>
        <w:rPr>
          <w:rFonts w:ascii="Palatino Linotype" w:eastAsia="Palatino Linotype" w:hAnsi="Palatino Linotype" w:cs="Palatino Linotype"/>
          <w:color w:val="000000"/>
          <w:highlight w:val="white"/>
        </w:rPr>
        <w:t xml:space="preserve">, señala que si ha ocupado diversos cargos adicionales al de </w:t>
      </w:r>
      <w:proofErr w:type="gramStart"/>
      <w:r>
        <w:rPr>
          <w:rFonts w:ascii="Palatino Linotype" w:eastAsia="Palatino Linotype" w:hAnsi="Palatino Linotype" w:cs="Palatino Linotype"/>
          <w:color w:val="000000"/>
          <w:highlight w:val="white"/>
        </w:rPr>
        <w:t>Director</w:t>
      </w:r>
      <w:proofErr w:type="gramEnd"/>
      <w:r>
        <w:rPr>
          <w:rFonts w:ascii="Palatino Linotype" w:eastAsia="Palatino Linotype" w:hAnsi="Palatino Linotype" w:cs="Palatino Linotype"/>
          <w:color w:val="000000"/>
          <w:highlight w:val="white"/>
        </w:rPr>
        <w:t xml:space="preserve"> de Ecología en el lapso temporal establecido por la solicitud de información como se desprende de los recibos de nómina entregados.</w:t>
      </w:r>
    </w:p>
    <w:p w14:paraId="1026C7F5"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3AD1ADD6"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Por lo que en relatadas circunstancias se deberán entregar el resto de nombramiento, recordando que no para todos los cargos se amerita la entrega de un nombramiento, sin </w:t>
      </w:r>
      <w:proofErr w:type="gramStart"/>
      <w:r>
        <w:rPr>
          <w:rFonts w:ascii="Palatino Linotype" w:eastAsia="Palatino Linotype" w:hAnsi="Palatino Linotype" w:cs="Palatino Linotype"/>
          <w:highlight w:val="white"/>
        </w:rPr>
        <w:t>embargo</w:t>
      </w:r>
      <w:proofErr w:type="gramEnd"/>
      <w:r>
        <w:rPr>
          <w:rFonts w:ascii="Palatino Linotype" w:eastAsia="Palatino Linotype" w:hAnsi="Palatino Linotype" w:cs="Palatino Linotype"/>
          <w:highlight w:val="white"/>
        </w:rPr>
        <w:t xml:space="preserve"> también es de recordar que el rubro se puede colmar con la entrega de los contratos o los formatos únicos de movimiento de personal, tal y como lo regula el artículo 49 de la Ley del Trabajo de los Servidores Públicos del </w:t>
      </w:r>
      <w:r>
        <w:rPr>
          <w:rFonts w:ascii="Palatino Linotype" w:eastAsia="Palatino Linotype" w:hAnsi="Palatino Linotype" w:cs="Palatino Linotype"/>
          <w:color w:val="000000"/>
          <w:highlight w:val="white"/>
        </w:rPr>
        <w:t>estado</w:t>
      </w:r>
      <w:r>
        <w:rPr>
          <w:rFonts w:ascii="Palatino Linotype" w:eastAsia="Palatino Linotype" w:hAnsi="Palatino Linotype" w:cs="Palatino Linotype"/>
          <w:highlight w:val="white"/>
        </w:rPr>
        <w:t xml:space="preserve"> de México y Municipios, que regula lo siguiente. </w:t>
      </w:r>
    </w:p>
    <w:p w14:paraId="1906CE8D" w14:textId="77777777" w:rsidR="002714E7" w:rsidRDefault="002714E7">
      <w:pPr>
        <w:pBdr>
          <w:top w:val="nil"/>
          <w:left w:val="nil"/>
          <w:bottom w:val="nil"/>
          <w:right w:val="nil"/>
          <w:between w:val="nil"/>
        </w:pBdr>
        <w:ind w:left="720"/>
        <w:rPr>
          <w:rFonts w:ascii="Palatino Linotype" w:eastAsia="Palatino Linotype" w:hAnsi="Palatino Linotype" w:cs="Palatino Linotype"/>
          <w:color w:val="000000"/>
          <w:highlight w:val="white"/>
        </w:rPr>
      </w:pPr>
    </w:p>
    <w:p w14:paraId="352EA89A" w14:textId="77777777" w:rsidR="002714E7" w:rsidRDefault="00734FB5">
      <w:pPr>
        <w:pBdr>
          <w:top w:val="nil"/>
          <w:left w:val="nil"/>
          <w:bottom w:val="nil"/>
          <w:right w:val="nil"/>
          <w:between w:val="nil"/>
        </w:pBdr>
        <w:spacing w:line="360" w:lineRule="auto"/>
        <w:ind w:left="1134" w:right="902"/>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w:t>
      </w:r>
      <w:r>
        <w:rPr>
          <w:rFonts w:ascii="Palatino Linotype" w:eastAsia="Palatino Linotype" w:hAnsi="Palatino Linotype" w:cs="Palatino Linotype"/>
          <w:b/>
          <w:i/>
          <w:color w:val="000000"/>
          <w:highlight w:val="white"/>
        </w:rPr>
        <w:t>ARTÍCULO 49.-</w:t>
      </w:r>
      <w:r>
        <w:rPr>
          <w:rFonts w:ascii="Palatino Linotype" w:eastAsia="Palatino Linotype" w:hAnsi="Palatino Linotype" w:cs="Palatino Linotype"/>
          <w:i/>
          <w:color w:val="000000"/>
          <w:highlight w:val="white"/>
        </w:rPr>
        <w:t xml:space="preserve"> Los </w:t>
      </w:r>
      <w:r>
        <w:rPr>
          <w:rFonts w:ascii="Palatino Linotype" w:eastAsia="Palatino Linotype" w:hAnsi="Palatino Linotype" w:cs="Palatino Linotype"/>
          <w:b/>
          <w:i/>
          <w:color w:val="000000"/>
          <w:highlight w:val="white"/>
        </w:rPr>
        <w:t>nombramientos,</w:t>
      </w:r>
      <w:r>
        <w:rPr>
          <w:rFonts w:ascii="Palatino Linotype" w:eastAsia="Palatino Linotype" w:hAnsi="Palatino Linotype" w:cs="Palatino Linotype"/>
          <w:i/>
          <w:color w:val="000000"/>
          <w:highlight w:val="white"/>
        </w:rPr>
        <w:t xml:space="preserve"> </w:t>
      </w:r>
      <w:r>
        <w:rPr>
          <w:rFonts w:ascii="Palatino Linotype" w:eastAsia="Palatino Linotype" w:hAnsi="Palatino Linotype" w:cs="Palatino Linotype"/>
          <w:b/>
          <w:i/>
          <w:color w:val="000000"/>
          <w:highlight w:val="white"/>
        </w:rPr>
        <w:t xml:space="preserve">contratos o formato único de Movimientos de Personal </w:t>
      </w:r>
      <w:r>
        <w:rPr>
          <w:rFonts w:ascii="Palatino Linotype" w:eastAsia="Palatino Linotype" w:hAnsi="Palatino Linotype" w:cs="Palatino Linotype"/>
          <w:i/>
          <w:color w:val="000000"/>
          <w:highlight w:val="white"/>
        </w:rPr>
        <w:t xml:space="preserve">de los servidores públicos deberán contener: </w:t>
      </w:r>
    </w:p>
    <w:p w14:paraId="5A06EA52" w14:textId="77777777" w:rsidR="002714E7" w:rsidRDefault="00734FB5">
      <w:pPr>
        <w:pBdr>
          <w:top w:val="nil"/>
          <w:left w:val="nil"/>
          <w:bottom w:val="nil"/>
          <w:right w:val="nil"/>
          <w:between w:val="nil"/>
        </w:pBdr>
        <w:spacing w:line="360" w:lineRule="auto"/>
        <w:ind w:left="1134" w:right="902"/>
        <w:jc w:val="both"/>
        <w:rPr>
          <w:rFonts w:ascii="Palatino Linotype" w:eastAsia="Palatino Linotype" w:hAnsi="Palatino Linotype" w:cs="Palatino Linotype"/>
          <w:b/>
          <w:i/>
          <w:color w:val="000000"/>
          <w:highlight w:val="white"/>
        </w:rPr>
      </w:pPr>
      <w:r>
        <w:rPr>
          <w:rFonts w:ascii="Palatino Linotype" w:eastAsia="Palatino Linotype" w:hAnsi="Palatino Linotype" w:cs="Palatino Linotype"/>
          <w:b/>
          <w:i/>
          <w:color w:val="000000"/>
          <w:highlight w:val="white"/>
        </w:rPr>
        <w:lastRenderedPageBreak/>
        <w:t>I.</w:t>
      </w:r>
      <w:r>
        <w:rPr>
          <w:rFonts w:ascii="Palatino Linotype" w:eastAsia="Palatino Linotype" w:hAnsi="Palatino Linotype" w:cs="Palatino Linotype"/>
          <w:i/>
          <w:color w:val="000000"/>
          <w:highlight w:val="white"/>
        </w:rPr>
        <w:t xml:space="preserve"> </w:t>
      </w:r>
      <w:r>
        <w:rPr>
          <w:rFonts w:ascii="Palatino Linotype" w:eastAsia="Palatino Linotype" w:hAnsi="Palatino Linotype" w:cs="Palatino Linotype"/>
          <w:b/>
          <w:i/>
          <w:color w:val="000000"/>
          <w:highlight w:val="white"/>
        </w:rPr>
        <w:t xml:space="preserve">Nombre completo del servidor público; </w:t>
      </w:r>
    </w:p>
    <w:p w14:paraId="5658257A" w14:textId="77777777" w:rsidR="002714E7" w:rsidRDefault="00734FB5">
      <w:pPr>
        <w:pBdr>
          <w:top w:val="nil"/>
          <w:left w:val="nil"/>
          <w:bottom w:val="nil"/>
          <w:right w:val="nil"/>
          <w:between w:val="nil"/>
        </w:pBdr>
        <w:spacing w:line="360" w:lineRule="auto"/>
        <w:ind w:left="1134" w:right="902"/>
        <w:jc w:val="both"/>
        <w:rPr>
          <w:rFonts w:ascii="Palatino Linotype" w:eastAsia="Palatino Linotype" w:hAnsi="Palatino Linotype" w:cs="Palatino Linotype"/>
          <w:b/>
          <w:i/>
          <w:color w:val="000000"/>
          <w:highlight w:val="white"/>
        </w:rPr>
      </w:pPr>
      <w:r>
        <w:rPr>
          <w:rFonts w:ascii="Palatino Linotype" w:eastAsia="Palatino Linotype" w:hAnsi="Palatino Linotype" w:cs="Palatino Linotype"/>
          <w:b/>
          <w:i/>
          <w:color w:val="000000"/>
          <w:highlight w:val="white"/>
        </w:rPr>
        <w:t xml:space="preserve">II. Cargo para el que es designado, fecha de inicio de sus servicios y lugar de adscripción; </w:t>
      </w:r>
    </w:p>
    <w:p w14:paraId="0EA2A36C" w14:textId="77777777" w:rsidR="002714E7" w:rsidRDefault="00734FB5">
      <w:pPr>
        <w:pBdr>
          <w:top w:val="nil"/>
          <w:left w:val="nil"/>
          <w:bottom w:val="nil"/>
          <w:right w:val="nil"/>
          <w:between w:val="nil"/>
        </w:pBdr>
        <w:spacing w:line="360" w:lineRule="auto"/>
        <w:ind w:left="1134" w:right="902"/>
        <w:jc w:val="both"/>
        <w:rPr>
          <w:rFonts w:ascii="Palatino Linotype" w:eastAsia="Palatino Linotype" w:hAnsi="Palatino Linotype" w:cs="Palatino Linotype"/>
          <w:b/>
          <w:i/>
          <w:color w:val="000000"/>
          <w:highlight w:val="white"/>
        </w:rPr>
      </w:pPr>
      <w:r>
        <w:rPr>
          <w:rFonts w:ascii="Palatino Linotype" w:eastAsia="Palatino Linotype" w:hAnsi="Palatino Linotype" w:cs="Palatino Linotype"/>
          <w:b/>
          <w:i/>
          <w:color w:val="000000"/>
          <w:highlight w:val="white"/>
        </w:rPr>
        <w:t>III</w:t>
      </w:r>
      <w:r>
        <w:rPr>
          <w:rFonts w:ascii="Palatino Linotype" w:eastAsia="Palatino Linotype" w:hAnsi="Palatino Linotype" w:cs="Palatino Linotype"/>
          <w:i/>
          <w:color w:val="000000"/>
          <w:highlight w:val="white"/>
        </w:rPr>
        <w:t xml:space="preserve">. </w:t>
      </w:r>
      <w:r>
        <w:rPr>
          <w:rFonts w:ascii="Palatino Linotype" w:eastAsia="Palatino Linotype" w:hAnsi="Palatino Linotype" w:cs="Palatino Linotype"/>
          <w:b/>
          <w:i/>
          <w:color w:val="000000"/>
          <w:highlight w:val="white"/>
        </w:rPr>
        <w:t xml:space="preserve">Carácter del nombramiento, ya sea de servidores públicos generales o de confianza, así como la temporalidad del mismo; </w:t>
      </w:r>
    </w:p>
    <w:p w14:paraId="10642182" w14:textId="77777777" w:rsidR="002714E7" w:rsidRDefault="00734FB5">
      <w:pPr>
        <w:pBdr>
          <w:top w:val="nil"/>
          <w:left w:val="nil"/>
          <w:bottom w:val="nil"/>
          <w:right w:val="nil"/>
          <w:between w:val="nil"/>
        </w:pBdr>
        <w:spacing w:line="360" w:lineRule="auto"/>
        <w:ind w:left="1134" w:right="902"/>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b/>
          <w:i/>
          <w:color w:val="000000"/>
          <w:highlight w:val="white"/>
        </w:rPr>
        <w:t>IV.</w:t>
      </w:r>
      <w:r>
        <w:rPr>
          <w:rFonts w:ascii="Palatino Linotype" w:eastAsia="Palatino Linotype" w:hAnsi="Palatino Linotype" w:cs="Palatino Linotype"/>
          <w:i/>
          <w:color w:val="000000"/>
          <w:highlight w:val="white"/>
        </w:rPr>
        <w:t xml:space="preserve"> Remuneración correspondiente al puesto; </w:t>
      </w:r>
    </w:p>
    <w:p w14:paraId="6C661F56" w14:textId="77777777" w:rsidR="002714E7" w:rsidRDefault="00734FB5">
      <w:pPr>
        <w:pBdr>
          <w:top w:val="nil"/>
          <w:left w:val="nil"/>
          <w:bottom w:val="nil"/>
          <w:right w:val="nil"/>
          <w:between w:val="nil"/>
        </w:pBdr>
        <w:spacing w:line="360" w:lineRule="auto"/>
        <w:ind w:left="1134" w:right="902"/>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V. Jornada de trabajo; </w:t>
      </w:r>
    </w:p>
    <w:p w14:paraId="24CD1F67" w14:textId="77777777" w:rsidR="002714E7" w:rsidRDefault="00734FB5">
      <w:pPr>
        <w:pBdr>
          <w:top w:val="nil"/>
          <w:left w:val="nil"/>
          <w:bottom w:val="nil"/>
          <w:right w:val="nil"/>
          <w:between w:val="nil"/>
        </w:pBdr>
        <w:spacing w:line="360" w:lineRule="auto"/>
        <w:ind w:left="1134" w:right="902"/>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VI. Derogada; </w:t>
      </w:r>
    </w:p>
    <w:p w14:paraId="6C3A8151" w14:textId="77777777" w:rsidR="002714E7" w:rsidRDefault="00734FB5">
      <w:pPr>
        <w:pBdr>
          <w:top w:val="nil"/>
          <w:left w:val="nil"/>
          <w:bottom w:val="nil"/>
          <w:right w:val="nil"/>
          <w:between w:val="nil"/>
        </w:pBdr>
        <w:spacing w:line="360" w:lineRule="auto"/>
        <w:ind w:left="1134" w:right="902"/>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b/>
          <w:i/>
          <w:color w:val="000000"/>
          <w:highlight w:val="white"/>
        </w:rPr>
        <w:t>VII. Firma del servidor público autorizado para emitir el nombramiento, contrato o formato único de Movimientos de Personal, así como el fundamento legal de esa atribución</w:t>
      </w:r>
      <w:r>
        <w:rPr>
          <w:rFonts w:ascii="Palatino Linotype" w:eastAsia="Palatino Linotype" w:hAnsi="Palatino Linotype" w:cs="Palatino Linotype"/>
          <w:i/>
          <w:color w:val="000000"/>
          <w:highlight w:val="white"/>
        </w:rPr>
        <w:t>. “</w:t>
      </w:r>
    </w:p>
    <w:p w14:paraId="1B7FE488" w14:textId="77777777" w:rsidR="002714E7" w:rsidRDefault="002714E7">
      <w:pPr>
        <w:pBdr>
          <w:top w:val="nil"/>
          <w:left w:val="nil"/>
          <w:bottom w:val="nil"/>
          <w:right w:val="nil"/>
          <w:between w:val="nil"/>
        </w:pBdr>
        <w:spacing w:line="360" w:lineRule="auto"/>
        <w:ind w:left="360" w:right="902"/>
        <w:jc w:val="both"/>
        <w:rPr>
          <w:rFonts w:ascii="Palatino Linotype" w:eastAsia="Palatino Linotype" w:hAnsi="Palatino Linotype" w:cs="Palatino Linotype"/>
          <w:i/>
          <w:color w:val="000000"/>
          <w:highlight w:val="white"/>
        </w:rPr>
      </w:pPr>
    </w:p>
    <w:p w14:paraId="146F02A9"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Como se advierte, los nombramientos, contratos o formatos únicos de movimiento de personal, deben contener, entre otros requisitos, el nombre completo del servidor público, cargo para el cual fue designado, fecha de inicio en el cargo, área de adscripción y firma del servidor público autorizado para emitir el nombramiento, contrato o formato único de personal de Movimientos de Personal. </w:t>
      </w:r>
    </w:p>
    <w:p w14:paraId="01C5CB4A"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1C148AB6"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Seguidamente, de las áreas de adscripción a las que ha pertenecido en la Administración 2022-2024, del mes de enero de 2022 al 30 de junio del 2024, se arribó </w:t>
      </w:r>
      <w:r>
        <w:rPr>
          <w:rFonts w:ascii="Palatino Linotype" w:eastAsia="Palatino Linotype" w:hAnsi="Palatino Linotype" w:cs="Palatino Linotype"/>
          <w:color w:val="000000"/>
          <w:highlight w:val="white"/>
        </w:rPr>
        <w:lastRenderedPageBreak/>
        <w:t>a la conclusión que si se colma lo solicitado; toda vez que el servidor público de la Coordinación de Recursos Humanos refiere que en los recibos de nómina que se remiten se advierten todas las áreas en que ha laborado el servidor público de referencia, en los extremos temporales establecidos por el propio solicitante.</w:t>
      </w:r>
    </w:p>
    <w:p w14:paraId="5B1A1DC4" w14:textId="77777777" w:rsidR="002714E7" w:rsidRDefault="002714E7">
      <w:pPr>
        <w:pBdr>
          <w:top w:val="nil"/>
          <w:left w:val="nil"/>
          <w:bottom w:val="nil"/>
          <w:right w:val="nil"/>
          <w:between w:val="nil"/>
        </w:pBdr>
        <w:spacing w:line="360" w:lineRule="auto"/>
        <w:ind w:left="4613"/>
        <w:jc w:val="both"/>
        <w:rPr>
          <w:rFonts w:ascii="Palatino Linotype" w:eastAsia="Palatino Linotype" w:hAnsi="Palatino Linotype" w:cs="Palatino Linotype"/>
          <w:color w:val="000000"/>
          <w:highlight w:val="white"/>
        </w:rPr>
      </w:pPr>
    </w:p>
    <w:p w14:paraId="13F4DB25"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Luego entonces se tiene por colmado toda vez efectivamente los recibos de nómina entregados abarcan el lapso temporal del que se requiere la información; asimismo porque ciertamente se advierten las diversas áreas de la estructura orgánica del Ayuntamiento en que se ha encontrado adscrito el servidor público en comento. Por lo que se debe tener por colmado el rubro, en virtud que es de explorado derecho que el acceso a la información pública se colma con la entrega del soporte documental en que conste o se advierta lo solicitado, siendo en el caso concreto el particular de propia cuenta puede ir obteniendo la información de su interés.</w:t>
      </w:r>
    </w:p>
    <w:p w14:paraId="3387E658" w14:textId="77777777" w:rsidR="002714E7" w:rsidRDefault="002714E7">
      <w:pPr>
        <w:pBdr>
          <w:top w:val="nil"/>
          <w:left w:val="nil"/>
          <w:bottom w:val="nil"/>
          <w:right w:val="nil"/>
          <w:between w:val="nil"/>
        </w:pBdr>
        <w:spacing w:line="360" w:lineRule="auto"/>
        <w:ind w:left="4613"/>
        <w:jc w:val="both"/>
        <w:rPr>
          <w:rFonts w:ascii="Palatino Linotype" w:eastAsia="Palatino Linotype" w:hAnsi="Palatino Linotype" w:cs="Palatino Linotype"/>
          <w:color w:val="000000"/>
          <w:highlight w:val="white"/>
        </w:rPr>
      </w:pPr>
    </w:p>
    <w:p w14:paraId="7F9C97E1"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Consecutivamente, devine la solicitud relativa las listas de asistencia en donde la Coordinación de Recursos Humanos informa, que en esa área administrativa no se generan listas de asistencia. Al respecto si bien es cierto este Instituto no está facultado para dudar de la respuesta ni de las documentales que los sujetos obligados remiten </w:t>
      </w:r>
      <w:proofErr w:type="gramStart"/>
      <w:r>
        <w:rPr>
          <w:rFonts w:ascii="Palatino Linotype" w:eastAsia="Palatino Linotype" w:hAnsi="Palatino Linotype" w:cs="Palatino Linotype"/>
          <w:color w:val="000000"/>
          <w:highlight w:val="white"/>
        </w:rPr>
        <w:t>a los solicitante</w:t>
      </w:r>
      <w:proofErr w:type="gramEnd"/>
      <w:r>
        <w:rPr>
          <w:rFonts w:ascii="Palatino Linotype" w:eastAsia="Palatino Linotype" w:hAnsi="Palatino Linotype" w:cs="Palatino Linotype"/>
          <w:color w:val="000000"/>
          <w:highlight w:val="white"/>
        </w:rPr>
        <w:t>, es necesario realizar las siguientes precisiones al respecto.</w:t>
      </w:r>
    </w:p>
    <w:p w14:paraId="357B91BE"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6092FB5D"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 xml:space="preserve">De conformidad con el artículo 49 de la Ley del Trabajo de los Servidores Públicos del Estado de México y Municipios se determinan los requisitos para tener por formalizada una relación de trabajo entre el servidor y las entidades públicas, los cuales se enlistan a continuación: </w:t>
      </w:r>
    </w:p>
    <w:p w14:paraId="01C21AB8" w14:textId="77777777" w:rsidR="002714E7" w:rsidRDefault="002714E7">
      <w:pPr>
        <w:spacing w:line="360" w:lineRule="auto"/>
        <w:ind w:left="567" w:right="567"/>
        <w:jc w:val="both"/>
        <w:rPr>
          <w:rFonts w:ascii="Palatino Linotype" w:eastAsia="Palatino Linotype" w:hAnsi="Palatino Linotype" w:cs="Palatino Linotype"/>
          <w:i/>
          <w:highlight w:val="white"/>
        </w:rPr>
      </w:pPr>
    </w:p>
    <w:p w14:paraId="0E87C8F5"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t>“ARTÍCULO 49.-</w:t>
      </w:r>
      <w:r>
        <w:rPr>
          <w:rFonts w:ascii="Palatino Linotype" w:eastAsia="Palatino Linotype" w:hAnsi="Palatino Linotype" w:cs="Palatino Linotype"/>
          <w:i/>
          <w:highlight w:val="white"/>
        </w:rPr>
        <w:t xml:space="preserve"> Los nombramientos, contratos o formato único de Movimientos de Personal de los servidores públicos deberán contener:</w:t>
      </w:r>
    </w:p>
    <w:p w14:paraId="0A3516C2" w14:textId="77777777" w:rsidR="002714E7" w:rsidRDefault="002714E7">
      <w:pPr>
        <w:spacing w:line="360" w:lineRule="auto"/>
        <w:ind w:left="567" w:right="567"/>
        <w:jc w:val="both"/>
        <w:rPr>
          <w:rFonts w:ascii="Palatino Linotype" w:eastAsia="Palatino Linotype" w:hAnsi="Palatino Linotype" w:cs="Palatino Linotype"/>
          <w:i/>
          <w:highlight w:val="white"/>
        </w:rPr>
      </w:pPr>
    </w:p>
    <w:p w14:paraId="31B6B9FD"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I. Nombre completo del servidor público; </w:t>
      </w:r>
    </w:p>
    <w:p w14:paraId="4A09EA83"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II. Cargo para el que es designado, fecha de inicio de sus servicios y lugar de adscripción; </w:t>
      </w:r>
    </w:p>
    <w:p w14:paraId="797687FE"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III. Carácter del nombramiento, ya sea de servidores públicos generales o de confianza, así como la temporalidad del mismo; </w:t>
      </w:r>
    </w:p>
    <w:p w14:paraId="534C0466"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IV. Remuneración correspondiente al puesto; </w:t>
      </w:r>
    </w:p>
    <w:p w14:paraId="265190E7" w14:textId="77777777" w:rsidR="002714E7" w:rsidRDefault="00734FB5">
      <w:pPr>
        <w:spacing w:line="360" w:lineRule="auto"/>
        <w:ind w:left="567" w:right="567"/>
        <w:jc w:val="both"/>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 xml:space="preserve">V. Jornada de trabajo; </w:t>
      </w:r>
    </w:p>
    <w:p w14:paraId="2230AB36"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VI. Derogada; </w:t>
      </w:r>
    </w:p>
    <w:p w14:paraId="4025006C"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VII. Firma del servidor público autorizado para emitir el nombramiento, contrato o formato único de Movimientos de Personal, así como el fundamento legal de esa atribución.”</w:t>
      </w:r>
    </w:p>
    <w:p w14:paraId="668E05D9" w14:textId="77777777" w:rsidR="002714E7" w:rsidRDefault="002714E7">
      <w:pPr>
        <w:spacing w:line="360" w:lineRule="auto"/>
        <w:ind w:left="567" w:right="567"/>
        <w:jc w:val="both"/>
        <w:rPr>
          <w:rFonts w:ascii="Palatino Linotype" w:eastAsia="Palatino Linotype" w:hAnsi="Palatino Linotype" w:cs="Palatino Linotype"/>
          <w:i/>
          <w:highlight w:val="white"/>
        </w:rPr>
      </w:pPr>
    </w:p>
    <w:p w14:paraId="71835522"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 xml:space="preserve">Del citado ordenamiento legal, se advierte que, en los nombramientos, contratos o formatos únicos de movimientos de personal, deben contener, entre otros requisitos, la jornada de trabajo; </w:t>
      </w:r>
      <w:r>
        <w:rPr>
          <w:rFonts w:ascii="Palatino Linotype" w:eastAsia="Palatino Linotype" w:hAnsi="Palatino Linotype" w:cs="Palatino Linotype"/>
          <w:b/>
          <w:highlight w:val="white"/>
        </w:rPr>
        <w:t>es decir el periodo o espacio de tiempo por el cual el servidor público prestará su servicio al ente público del que se trate</w:t>
      </w:r>
      <w:r>
        <w:rPr>
          <w:rFonts w:ascii="Palatino Linotype" w:eastAsia="Palatino Linotype" w:hAnsi="Palatino Linotype" w:cs="Palatino Linotype"/>
          <w:highlight w:val="white"/>
        </w:rPr>
        <w:t xml:space="preserve">, lo que se robustece con lo establecido en los artículos 56 y 59 del mismo ordenamiento legal, que dispone lo siguiente: </w:t>
      </w:r>
    </w:p>
    <w:p w14:paraId="5665EA7E" w14:textId="77777777" w:rsidR="002714E7" w:rsidRDefault="002714E7">
      <w:pPr>
        <w:spacing w:line="360" w:lineRule="auto"/>
        <w:ind w:left="567" w:right="567"/>
        <w:jc w:val="both"/>
        <w:rPr>
          <w:rFonts w:ascii="Palatino Linotype" w:eastAsia="Palatino Linotype" w:hAnsi="Palatino Linotype" w:cs="Palatino Linotype"/>
          <w:i/>
          <w:highlight w:val="white"/>
        </w:rPr>
      </w:pPr>
    </w:p>
    <w:p w14:paraId="1EE1C868"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r>
        <w:rPr>
          <w:rFonts w:ascii="Palatino Linotype" w:eastAsia="Palatino Linotype" w:hAnsi="Palatino Linotype" w:cs="Palatino Linotype"/>
          <w:b/>
          <w:i/>
          <w:highlight w:val="white"/>
        </w:rPr>
        <w:t>ARTÍCULO 56</w:t>
      </w:r>
      <w:r>
        <w:rPr>
          <w:rFonts w:ascii="Palatino Linotype" w:eastAsia="Palatino Linotype" w:hAnsi="Palatino Linotype" w:cs="Palatino Linotype"/>
          <w:i/>
          <w:highlight w:val="white"/>
        </w:rPr>
        <w:t>. Las condiciones generales de trabajo, establecerán como mínimo:</w:t>
      </w:r>
    </w:p>
    <w:p w14:paraId="56D1EF15"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I. Duración de la jornada de trabajo;</w:t>
      </w:r>
    </w:p>
    <w:p w14:paraId="4ECDE666" w14:textId="77777777" w:rsidR="002714E7" w:rsidRDefault="00734FB5">
      <w:pPr>
        <w:spacing w:line="360" w:lineRule="auto"/>
        <w:ind w:lef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 </w:t>
      </w:r>
    </w:p>
    <w:p w14:paraId="4C0CB4DD" w14:textId="77777777" w:rsidR="002714E7" w:rsidRDefault="002714E7">
      <w:pPr>
        <w:spacing w:line="360" w:lineRule="auto"/>
        <w:ind w:left="567"/>
        <w:jc w:val="both"/>
        <w:rPr>
          <w:rFonts w:ascii="Palatino Linotype" w:eastAsia="Palatino Linotype" w:hAnsi="Palatino Linotype" w:cs="Palatino Linotype"/>
          <w:i/>
          <w:highlight w:val="white"/>
        </w:rPr>
      </w:pPr>
    </w:p>
    <w:p w14:paraId="1E836C03"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t>ARTÍCULO 59.</w:t>
      </w:r>
      <w:r>
        <w:rPr>
          <w:rFonts w:ascii="Palatino Linotype" w:eastAsia="Palatino Linotype" w:hAnsi="Palatino Linotype" w:cs="Palatino Linotype"/>
          <w:i/>
          <w:highlight w:val="white"/>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14:paraId="32D36DE2"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 </w:t>
      </w:r>
    </w:p>
    <w:p w14:paraId="742B32D1"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En ese contexto, la duración de la jornada de trabajo puede ser de varias maneras, las cuales se encuentran establecidas en el artículo 60, 61, 62 y 63 de la mencionada Ley de Trabajo que literalmente señalan lo siguiente: </w:t>
      </w:r>
    </w:p>
    <w:p w14:paraId="38497336" w14:textId="77777777" w:rsidR="002714E7" w:rsidRDefault="002714E7">
      <w:pPr>
        <w:spacing w:line="360" w:lineRule="auto"/>
        <w:jc w:val="both"/>
        <w:rPr>
          <w:rFonts w:ascii="Palatino Linotype" w:eastAsia="Palatino Linotype" w:hAnsi="Palatino Linotype" w:cs="Palatino Linotype"/>
          <w:highlight w:val="white"/>
        </w:rPr>
      </w:pPr>
    </w:p>
    <w:p w14:paraId="74D5BF0C"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t>ARTÍCULO 60</w:t>
      </w:r>
      <w:r>
        <w:rPr>
          <w:rFonts w:ascii="Palatino Linotype" w:eastAsia="Palatino Linotype" w:hAnsi="Palatino Linotype" w:cs="Palatino Linotype"/>
          <w:i/>
          <w:highlight w:val="white"/>
        </w:rPr>
        <w:t xml:space="preserve">. La jornada de trabajo puede ser diurna, nocturna o mixta, conforme a lo siguiente: </w:t>
      </w:r>
    </w:p>
    <w:p w14:paraId="470F26CC"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I. Diurna, la comprendida entre las seis y las veinte horas; </w:t>
      </w:r>
    </w:p>
    <w:p w14:paraId="2B502844" w14:textId="77777777" w:rsidR="002714E7" w:rsidRDefault="00734FB5">
      <w:pPr>
        <w:spacing w:line="360" w:lineRule="auto"/>
        <w:ind w:left="567"/>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II. Nocturna, la comprendida entre las veinte y las seis horas; y </w:t>
      </w:r>
    </w:p>
    <w:p w14:paraId="3D258F78" w14:textId="77777777" w:rsidR="002714E7" w:rsidRDefault="00734FB5">
      <w:pPr>
        <w:spacing w:line="360" w:lineRule="auto"/>
        <w:ind w:left="567"/>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III. Mixta, la que comprenda períodos de tiempo de las jornadas diurna y nocturna, siempre que el período nocturno sea menor de tres horas y media, pues en caso contrario, se considerará como jornada nocturna. </w:t>
      </w:r>
    </w:p>
    <w:p w14:paraId="64FDD578"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t>ARTÍCULO 61.</w:t>
      </w:r>
      <w:r>
        <w:rPr>
          <w:rFonts w:ascii="Palatino Linotype" w:eastAsia="Palatino Linotype" w:hAnsi="Palatino Linotype" w:cs="Palatino Linotype"/>
          <w:i/>
          <w:highlight w:val="white"/>
        </w:rPr>
        <w:t xml:space="preserve"> Cuando la naturaleza del trabajo así lo exija, la jornada se reducirá teniendo en cuenta el número de horas que pueda trabajar un individuo normal sin sufrir quebranto en su salud. </w:t>
      </w:r>
    </w:p>
    <w:p w14:paraId="78F3457D" w14:textId="77777777" w:rsidR="002714E7" w:rsidRDefault="002714E7">
      <w:pPr>
        <w:spacing w:line="360" w:lineRule="auto"/>
        <w:ind w:left="567" w:right="567"/>
        <w:jc w:val="both"/>
        <w:rPr>
          <w:rFonts w:ascii="Palatino Linotype" w:eastAsia="Palatino Linotype" w:hAnsi="Palatino Linotype" w:cs="Palatino Linotype"/>
          <w:i/>
          <w:highlight w:val="white"/>
        </w:rPr>
      </w:pPr>
    </w:p>
    <w:p w14:paraId="27BDD801"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t>ARTÍCULO 62.</w:t>
      </w:r>
      <w:r>
        <w:rPr>
          <w:rFonts w:ascii="Palatino Linotype" w:eastAsia="Palatino Linotype" w:hAnsi="Palatino Linotype" w:cs="Palatino Linotype"/>
          <w:i/>
          <w:highlight w:val="white"/>
        </w:rPr>
        <w:t xml:space="preserve"> Por cada seis días de trabajo el servidor público disfrutará de uno de descanso con goce de sueldo íntegro. Cuando proceda, se podrán distribuir las horas de trabajo, a fin de permitir a los servidores públicos el descanso del sábado o cualquier modalidad equivalente. </w:t>
      </w:r>
    </w:p>
    <w:p w14:paraId="39146120" w14:textId="77777777" w:rsidR="002714E7" w:rsidRDefault="002714E7">
      <w:pPr>
        <w:spacing w:line="360" w:lineRule="auto"/>
        <w:ind w:left="567" w:right="567"/>
        <w:jc w:val="both"/>
        <w:rPr>
          <w:rFonts w:ascii="Palatino Linotype" w:eastAsia="Palatino Linotype" w:hAnsi="Palatino Linotype" w:cs="Palatino Linotype"/>
          <w:i/>
          <w:highlight w:val="white"/>
        </w:rPr>
      </w:pPr>
    </w:p>
    <w:p w14:paraId="5DDEDC65"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t>ARTÍCULO 63.</w:t>
      </w:r>
      <w:r>
        <w:rPr>
          <w:rFonts w:ascii="Palatino Linotype" w:eastAsia="Palatino Linotype" w:hAnsi="Palatino Linotype" w:cs="Palatino Linotype"/>
          <w:i/>
          <w:highlight w:val="white"/>
        </w:rPr>
        <w:t xml:space="preserve"> El servidor público tendrá derecho a un descanso de media hora cuando trabaje horario continuo de más de siete horas y cuando menos de una hora, en horario discontinuo. Cuando el servidor público no pueda salir del lugar donde </w:t>
      </w:r>
      <w:r>
        <w:rPr>
          <w:rFonts w:ascii="Palatino Linotype" w:eastAsia="Palatino Linotype" w:hAnsi="Palatino Linotype" w:cs="Palatino Linotype"/>
          <w:i/>
          <w:highlight w:val="white"/>
        </w:rPr>
        <w:lastRenderedPageBreak/>
        <w:t>presta sus servicios durante la hora de descanso o de comidas, el tiempo correspondiente le será considerado como tiempo efectivo de trabajo.</w:t>
      </w:r>
    </w:p>
    <w:p w14:paraId="49B9EB61" w14:textId="77777777" w:rsidR="002714E7" w:rsidRDefault="002714E7">
      <w:pPr>
        <w:spacing w:line="360" w:lineRule="auto"/>
        <w:jc w:val="both"/>
        <w:rPr>
          <w:rFonts w:ascii="Palatino Linotype" w:eastAsia="Palatino Linotype" w:hAnsi="Palatino Linotype" w:cs="Palatino Linotype"/>
          <w:highlight w:val="white"/>
        </w:rPr>
      </w:pPr>
    </w:p>
    <w:p w14:paraId="7C87B629"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De lo anterior, se concluye que se establecen algunos supuestos para la duración de la jornada de trabajo, la cual deberá cumplir cabalmente el servidor público ya que se constituye como una obligación en la Ley de Trabajo de los Servidores Públicos del Estado de México y Municipios, en su artículo 88 fracción III y VI que literalmente indica: </w:t>
      </w:r>
    </w:p>
    <w:p w14:paraId="7D643F7F"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t>“ARTÍCULO 88.</w:t>
      </w:r>
      <w:r>
        <w:rPr>
          <w:rFonts w:ascii="Palatino Linotype" w:eastAsia="Palatino Linotype" w:hAnsi="Palatino Linotype" w:cs="Palatino Linotype"/>
          <w:i/>
          <w:highlight w:val="white"/>
        </w:rPr>
        <w:t xml:space="preserve"> Son obligaciones de los servidores públicos: </w:t>
      </w:r>
    </w:p>
    <w:p w14:paraId="09E4EE0A"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p>
    <w:p w14:paraId="2E8CB5B3"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III.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14:paraId="6723531D"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p>
    <w:p w14:paraId="51387D7D"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VI. Cumplir con las obligaciones que señalan las condiciones generales de trabajo; “</w:t>
      </w:r>
    </w:p>
    <w:p w14:paraId="7F330B35"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Es decir que los servidores públicos tienen la obligación de cumplir con la jornada de trabajo estipulada en su nombramiento, contrato o formato único de movimiento de personal; en caso contrario, será motivo de rescisión de la relación laboral aquellas que establecen el artículo 93 de la Ley de Trabajo de los Servidores Públicos del Estado de México y Municipios:</w:t>
      </w:r>
    </w:p>
    <w:p w14:paraId="6441F88C" w14:textId="77777777" w:rsidR="002714E7" w:rsidRDefault="002714E7">
      <w:pPr>
        <w:spacing w:line="360" w:lineRule="auto"/>
        <w:jc w:val="both"/>
        <w:rPr>
          <w:rFonts w:ascii="Palatino Linotype" w:eastAsia="Palatino Linotype" w:hAnsi="Palatino Linotype" w:cs="Palatino Linotype"/>
          <w:highlight w:val="white"/>
        </w:rPr>
      </w:pPr>
    </w:p>
    <w:p w14:paraId="51E8FC48"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t>ARTÍCULO 93.</w:t>
      </w:r>
      <w:r>
        <w:rPr>
          <w:rFonts w:ascii="Palatino Linotype" w:eastAsia="Palatino Linotype" w:hAnsi="Palatino Linotype" w:cs="Palatino Linotype"/>
          <w:i/>
          <w:highlight w:val="white"/>
        </w:rPr>
        <w:t xml:space="preserve"> Son causas de rescisión de la relación laboral, sin responsabilidad para las instituciones públicas:</w:t>
      </w:r>
    </w:p>
    <w:p w14:paraId="722345CC"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p>
    <w:p w14:paraId="4E3995AD"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V. Incurrir en cuatro o más faltas de asistencia a sus labores sin causa justificada, dentro de un lapso de treinta días;</w:t>
      </w:r>
    </w:p>
    <w:p w14:paraId="122FDD5A"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V. Abandonar las labores sin autorización previa o razón plenamente justificada, en contravención a lo establecido en las condiciones generales de trabajo;</w:t>
      </w:r>
    </w:p>
    <w:p w14:paraId="514B6E75"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p>
    <w:p w14:paraId="55D95126"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XVII. Sustraer tarjetas o listas de puntualidad y asistencia del lugar destinado para ello, ya sea la del propio servidor público o la de otro, utilizar o registrar asistencia con gafete-credencial o </w:t>
      </w:r>
      <w:proofErr w:type="gramStart"/>
      <w:r>
        <w:rPr>
          <w:rFonts w:ascii="Palatino Linotype" w:eastAsia="Palatino Linotype" w:hAnsi="Palatino Linotype" w:cs="Palatino Linotype"/>
          <w:i/>
          <w:highlight w:val="white"/>
        </w:rPr>
        <w:t>tarjeta distinto</w:t>
      </w:r>
      <w:proofErr w:type="gramEnd"/>
      <w:r>
        <w:rPr>
          <w:rFonts w:ascii="Palatino Linotype" w:eastAsia="Palatino Linotype" w:hAnsi="Palatino Linotype" w:cs="Palatino Linotype"/>
          <w:i/>
          <w:highlight w:val="white"/>
        </w:rPr>
        <w:t xml:space="preserve"> al suyo o alterar en cualquier forma los registros de control de puntualidad y asistencia; siempre y cuando no sea resultado de un error involuntario;</w:t>
      </w:r>
    </w:p>
    <w:p w14:paraId="0D0B060F" w14:textId="77777777" w:rsidR="002714E7" w:rsidRDefault="002714E7">
      <w:pPr>
        <w:spacing w:line="360" w:lineRule="auto"/>
        <w:jc w:val="both"/>
        <w:rPr>
          <w:rFonts w:ascii="Palatino Linotype" w:eastAsia="Palatino Linotype" w:hAnsi="Palatino Linotype" w:cs="Palatino Linotype"/>
          <w:highlight w:val="white"/>
        </w:rPr>
      </w:pPr>
    </w:p>
    <w:p w14:paraId="7AF42C76"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 xml:space="preserve">Ahora bien, para comprobar el cumplimiento de la jornada de trabajo del Servidor Público, de conformidad con lo que establecen la fracción III y el penúltimo párrafo del artículo 220-K de la Ley en cita, precisa que: </w:t>
      </w:r>
    </w:p>
    <w:p w14:paraId="045AA1DB" w14:textId="77777777" w:rsidR="002714E7" w:rsidRDefault="002714E7">
      <w:pPr>
        <w:spacing w:line="360" w:lineRule="auto"/>
        <w:jc w:val="both"/>
        <w:rPr>
          <w:rFonts w:ascii="Palatino Linotype" w:eastAsia="Palatino Linotype" w:hAnsi="Palatino Linotype" w:cs="Palatino Linotype"/>
          <w:highlight w:val="white"/>
        </w:rPr>
      </w:pPr>
    </w:p>
    <w:p w14:paraId="2400131F"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t>ARTÍCULO 220 K.-</w:t>
      </w:r>
      <w:r>
        <w:rPr>
          <w:rFonts w:ascii="Palatino Linotype" w:eastAsia="Palatino Linotype" w:hAnsi="Palatino Linotype" w:cs="Palatino Linotype"/>
          <w:i/>
          <w:highlight w:val="white"/>
        </w:rPr>
        <w:t xml:space="preserve"> La institución o dependencia pública tiene la obligación de conservar y exhibir en el proceso los documentos que a continuación se precisan: </w:t>
      </w:r>
    </w:p>
    <w:p w14:paraId="31EA4775"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p>
    <w:p w14:paraId="03C41A04"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t>III. Controles de asistencia o la información magnética o electrónica de asistencia de los servidores públicos</w:t>
      </w:r>
      <w:r>
        <w:rPr>
          <w:rFonts w:ascii="Palatino Linotype" w:eastAsia="Palatino Linotype" w:hAnsi="Palatino Linotype" w:cs="Palatino Linotype"/>
          <w:i/>
          <w:highlight w:val="white"/>
        </w:rPr>
        <w:t xml:space="preserve">; </w:t>
      </w:r>
    </w:p>
    <w:p w14:paraId="1526BC02"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p>
    <w:p w14:paraId="0A07672E"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Los documentos señalados en la fracción I de este artículo, deberán conservarse mientras dure la relación laboral y hasta un año después; </w:t>
      </w:r>
      <w:r>
        <w:rPr>
          <w:rFonts w:ascii="Palatino Linotype" w:eastAsia="Palatino Linotype" w:hAnsi="Palatino Linotype" w:cs="Palatino Linotype"/>
          <w:b/>
          <w:i/>
          <w:highlight w:val="white"/>
        </w:rPr>
        <w:t>los señalados por las fracciones</w:t>
      </w:r>
      <w:r>
        <w:rPr>
          <w:rFonts w:ascii="Palatino Linotype" w:eastAsia="Palatino Linotype" w:hAnsi="Palatino Linotype" w:cs="Palatino Linotype"/>
          <w:i/>
          <w:highlight w:val="white"/>
        </w:rPr>
        <w:t xml:space="preserve"> II, </w:t>
      </w:r>
      <w:r>
        <w:rPr>
          <w:rFonts w:ascii="Palatino Linotype" w:eastAsia="Palatino Linotype" w:hAnsi="Palatino Linotype" w:cs="Palatino Linotype"/>
          <w:b/>
          <w:i/>
          <w:highlight w:val="white"/>
        </w:rPr>
        <w:t>III,</w:t>
      </w:r>
      <w:r>
        <w:rPr>
          <w:rFonts w:ascii="Palatino Linotype" w:eastAsia="Palatino Linotype" w:hAnsi="Palatino Linotype" w:cs="Palatino Linotype"/>
          <w:i/>
          <w:highlight w:val="white"/>
        </w:rPr>
        <w:t xml:space="preserve"> IV </w:t>
      </w:r>
      <w:r>
        <w:rPr>
          <w:rFonts w:ascii="Palatino Linotype" w:eastAsia="Palatino Linotype" w:hAnsi="Palatino Linotype" w:cs="Palatino Linotype"/>
          <w:b/>
          <w:i/>
          <w:highlight w:val="white"/>
        </w:rPr>
        <w:t>durante el último año y un año después de que se extinga la relación laboral</w:t>
      </w:r>
      <w:r>
        <w:rPr>
          <w:rFonts w:ascii="Palatino Linotype" w:eastAsia="Palatino Linotype" w:hAnsi="Palatino Linotype" w:cs="Palatino Linotype"/>
          <w:i/>
          <w:highlight w:val="white"/>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590E0A01" w14:textId="77777777" w:rsidR="002714E7" w:rsidRDefault="002714E7">
      <w:pPr>
        <w:spacing w:line="360" w:lineRule="auto"/>
        <w:jc w:val="both"/>
        <w:rPr>
          <w:rFonts w:ascii="Palatino Linotype" w:eastAsia="Palatino Linotype" w:hAnsi="Palatino Linotype" w:cs="Palatino Linotype"/>
          <w:highlight w:val="white"/>
        </w:rPr>
      </w:pPr>
    </w:p>
    <w:p w14:paraId="0AA2AE58"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 xml:space="preserve">A más de lo anterior, se localizó el Programa Basado en Resultados Municipal (PbRM-01a) de la actual administración pública municipal, del Área de Administración a la </w:t>
      </w:r>
      <w:proofErr w:type="gramStart"/>
      <w:r>
        <w:rPr>
          <w:rFonts w:ascii="Palatino Linotype" w:eastAsia="Palatino Linotype" w:hAnsi="Palatino Linotype" w:cs="Palatino Linotype"/>
          <w:highlight w:val="white"/>
        </w:rPr>
        <w:t>cual</w:t>
      </w:r>
      <w:proofErr w:type="gramEnd"/>
      <w:r>
        <w:rPr>
          <w:rFonts w:ascii="Palatino Linotype" w:eastAsia="Palatino Linotype" w:hAnsi="Palatino Linotype" w:cs="Palatino Linotype"/>
          <w:highlight w:val="white"/>
        </w:rPr>
        <w:t xml:space="preserve"> de acuerdo al Bando Municipal de Tlalmanalco, se encuentra adscrita la Coordinación de Recursos Humanos, misma que elabora el Programa de referencia como se observa:</w:t>
      </w:r>
    </w:p>
    <w:p w14:paraId="1E07219D" w14:textId="77777777" w:rsidR="002714E7" w:rsidRDefault="00734FB5">
      <w:pPr>
        <w:pBdr>
          <w:top w:val="nil"/>
          <w:left w:val="nil"/>
          <w:bottom w:val="nil"/>
          <w:right w:val="nil"/>
          <w:between w:val="nil"/>
        </w:pBdr>
        <w:spacing w:line="360" w:lineRule="auto"/>
        <w:jc w:val="center"/>
        <w:rPr>
          <w:rFonts w:ascii="Palatino Linotype" w:eastAsia="Palatino Linotype" w:hAnsi="Palatino Linotype" w:cs="Palatino Linotype"/>
          <w:color w:val="000000"/>
          <w:highlight w:val="white"/>
        </w:rPr>
      </w:pPr>
      <w:r>
        <w:rPr>
          <w:rFonts w:ascii="Palatino Linotype" w:eastAsia="Palatino Linotype" w:hAnsi="Palatino Linotype" w:cs="Palatino Linotype"/>
          <w:noProof/>
          <w:color w:val="000000"/>
          <w:highlight w:val="white"/>
        </w:rPr>
        <w:drawing>
          <wp:inline distT="0" distB="0" distL="0" distR="0" wp14:anchorId="6FFA8CF0" wp14:editId="79FDBC3C">
            <wp:extent cx="4768058" cy="280177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768058" cy="2801778"/>
                    </a:xfrm>
                    <a:prstGeom prst="rect">
                      <a:avLst/>
                    </a:prstGeom>
                    <a:ln/>
                  </pic:spPr>
                </pic:pic>
              </a:graphicData>
            </a:graphic>
          </wp:inline>
        </w:drawing>
      </w:r>
    </w:p>
    <w:p w14:paraId="12A14DFE" w14:textId="77777777" w:rsidR="002714E7" w:rsidRDefault="002714E7">
      <w:pPr>
        <w:pBdr>
          <w:top w:val="nil"/>
          <w:left w:val="nil"/>
          <w:bottom w:val="nil"/>
          <w:right w:val="nil"/>
          <w:between w:val="nil"/>
        </w:pBdr>
        <w:spacing w:line="360" w:lineRule="auto"/>
        <w:jc w:val="center"/>
        <w:rPr>
          <w:rFonts w:ascii="Palatino Linotype" w:eastAsia="Palatino Linotype" w:hAnsi="Palatino Linotype" w:cs="Palatino Linotype"/>
          <w:color w:val="000000"/>
          <w:highlight w:val="white"/>
        </w:rPr>
      </w:pPr>
    </w:p>
    <w:p w14:paraId="5139C777"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Por todo lo anterior, se acredita que 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debe generar las listas de asistencias a sus trabajadores y estas deben ser conservadas durante el último año y un año después para el caso de que la relación laboral ya esté extinta, de tal forma que, resulta procedente ordenar la entrega de las listas de asistencia del servidor </w:t>
      </w:r>
      <w:r>
        <w:rPr>
          <w:rFonts w:ascii="Palatino Linotype" w:eastAsia="Palatino Linotype" w:hAnsi="Palatino Linotype" w:cs="Palatino Linotype"/>
          <w:highlight w:val="white"/>
        </w:rPr>
        <w:lastRenderedPageBreak/>
        <w:t xml:space="preserve">público de referencia. No </w:t>
      </w:r>
      <w:proofErr w:type="gramStart"/>
      <w:r>
        <w:rPr>
          <w:rFonts w:ascii="Palatino Linotype" w:eastAsia="Palatino Linotype" w:hAnsi="Palatino Linotype" w:cs="Palatino Linotype"/>
          <w:highlight w:val="white"/>
        </w:rPr>
        <w:t>obstante</w:t>
      </w:r>
      <w:proofErr w:type="gramEnd"/>
      <w:r>
        <w:rPr>
          <w:rFonts w:ascii="Palatino Linotype" w:eastAsia="Palatino Linotype" w:hAnsi="Palatino Linotype" w:cs="Palatino Linotype"/>
          <w:highlight w:val="white"/>
        </w:rPr>
        <w:t xml:space="preserve"> si luego de la nueva búsqueda exhaustiva y razonable, no se localizara listas de asistencia del servidor público en comento por contar con exención para el registro de asistencia, deberá remitirse el documento en que conste o se advierta dicha prerrogativa.</w:t>
      </w:r>
    </w:p>
    <w:p w14:paraId="30A5F0EE"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highlight w:val="white"/>
        </w:rPr>
      </w:pPr>
    </w:p>
    <w:p w14:paraId="6918A5FD"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Finalmente deviene la solicitud de información relativa a los recibos de nómina, los cuales como ya se señaló si abarcan el lapso temporal requerido; es decir del 1 de enero del 2022 al 30 de junio del 2024, los cuales incluyen recibos de pago por concepto de aguinaldo y primas vacacionales; mismos que se advierten en una correcta versión publica, no obstante el acta que emite el Comité de Transparencia del Sujeto Obligado que la sustente, carece de la firma y participación del servidor público encargado de la protección de los datos personales por así requerirse, como está establecido en el artículo 46 de la ley de la materia a saber:</w:t>
      </w:r>
    </w:p>
    <w:p w14:paraId="71A4B858"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5740F537" w14:textId="77777777" w:rsidR="002714E7" w:rsidRDefault="00734FB5">
      <w:pPr>
        <w:pBdr>
          <w:top w:val="nil"/>
          <w:left w:val="nil"/>
          <w:bottom w:val="nil"/>
          <w:right w:val="nil"/>
          <w:between w:val="nil"/>
        </w:pBdr>
        <w:spacing w:line="360" w:lineRule="auto"/>
        <w:ind w:left="426" w:right="39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“Artículo 46. Los sujetos obligados integrarán sus Comités de Transparencia de la siguiente forma:</w:t>
      </w:r>
    </w:p>
    <w:p w14:paraId="720C1286" w14:textId="77777777" w:rsidR="002714E7" w:rsidRDefault="00734FB5">
      <w:pPr>
        <w:pBdr>
          <w:top w:val="nil"/>
          <w:left w:val="nil"/>
          <w:bottom w:val="nil"/>
          <w:right w:val="nil"/>
          <w:between w:val="nil"/>
        </w:pBdr>
        <w:spacing w:line="360" w:lineRule="auto"/>
        <w:ind w:left="426" w:right="39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I. El titular de la unidad de transparencia; </w:t>
      </w:r>
    </w:p>
    <w:p w14:paraId="542F8CD3" w14:textId="77777777" w:rsidR="002714E7" w:rsidRDefault="00734FB5">
      <w:pPr>
        <w:pBdr>
          <w:top w:val="nil"/>
          <w:left w:val="nil"/>
          <w:bottom w:val="nil"/>
          <w:right w:val="nil"/>
          <w:between w:val="nil"/>
        </w:pBdr>
        <w:spacing w:line="360" w:lineRule="auto"/>
        <w:ind w:left="426" w:right="39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II. El responsable del área coordinadora de archivos o equivalente; y </w:t>
      </w:r>
    </w:p>
    <w:p w14:paraId="3F3A5517" w14:textId="77777777" w:rsidR="002714E7" w:rsidRDefault="00734FB5">
      <w:pPr>
        <w:pBdr>
          <w:top w:val="nil"/>
          <w:left w:val="nil"/>
          <w:bottom w:val="nil"/>
          <w:right w:val="nil"/>
          <w:between w:val="nil"/>
        </w:pBdr>
        <w:spacing w:line="360" w:lineRule="auto"/>
        <w:ind w:left="426" w:right="39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III. El titular del órgano de control interno o equivalente. </w:t>
      </w:r>
    </w:p>
    <w:p w14:paraId="3BDF3669" w14:textId="77777777" w:rsidR="002714E7" w:rsidRDefault="00734FB5">
      <w:pPr>
        <w:pBdr>
          <w:top w:val="nil"/>
          <w:left w:val="nil"/>
          <w:bottom w:val="nil"/>
          <w:right w:val="nil"/>
          <w:between w:val="nil"/>
        </w:pBdr>
        <w:spacing w:line="360" w:lineRule="auto"/>
        <w:ind w:left="426" w:right="397"/>
        <w:jc w:val="both"/>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lastRenderedPageBreak/>
        <w:t xml:space="preserve">También estará integrado por el servidor público encargado de la protección de los datos personales cuando sesione para cuestiones relacionadas con esta materia. </w:t>
      </w:r>
    </w:p>
    <w:p w14:paraId="7D3738ED" w14:textId="77777777" w:rsidR="002714E7" w:rsidRDefault="00734FB5">
      <w:pPr>
        <w:pBdr>
          <w:top w:val="nil"/>
          <w:left w:val="nil"/>
          <w:bottom w:val="nil"/>
          <w:right w:val="nil"/>
          <w:between w:val="nil"/>
        </w:pBdr>
        <w:spacing w:line="360" w:lineRule="auto"/>
        <w:ind w:left="426" w:right="39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Todos los Comités de Transparencia deberán registrarse ante el Instituto.”</w:t>
      </w:r>
    </w:p>
    <w:p w14:paraId="4A8FD3AF" w14:textId="77777777" w:rsidR="002714E7" w:rsidRDefault="002714E7">
      <w:pPr>
        <w:pBdr>
          <w:top w:val="nil"/>
          <w:left w:val="nil"/>
          <w:bottom w:val="nil"/>
          <w:right w:val="nil"/>
          <w:between w:val="nil"/>
        </w:pBdr>
        <w:spacing w:line="360" w:lineRule="auto"/>
        <w:ind w:left="426" w:right="397"/>
        <w:jc w:val="both"/>
        <w:rPr>
          <w:rFonts w:ascii="Palatino Linotype" w:eastAsia="Palatino Linotype" w:hAnsi="Palatino Linotype" w:cs="Palatino Linotype"/>
          <w:i/>
          <w:highlight w:val="white"/>
        </w:rPr>
      </w:pPr>
    </w:p>
    <w:p w14:paraId="0AB8B685"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Atento a lo anterior, lo procedente es ordenar el Acuerdo del Comité de Transparencia en el </w:t>
      </w:r>
      <w:proofErr w:type="gramStart"/>
      <w:r>
        <w:rPr>
          <w:rFonts w:ascii="Palatino Linotype" w:eastAsia="Palatino Linotype" w:hAnsi="Palatino Linotype" w:cs="Palatino Linotype"/>
          <w:highlight w:val="white"/>
        </w:rPr>
        <w:t>que</w:t>
      </w:r>
      <w:proofErr w:type="gramEnd"/>
      <w:r>
        <w:rPr>
          <w:rFonts w:ascii="Palatino Linotype" w:eastAsia="Palatino Linotype" w:hAnsi="Palatino Linotype" w:cs="Palatino Linotype"/>
          <w:highlight w:val="white"/>
        </w:rPr>
        <w:t xml:space="preserve"> de manera fundada y motivada, se sustente la versión pública de los recibos de nómina, remitidos en calidad de informe justificado.</w:t>
      </w:r>
    </w:p>
    <w:p w14:paraId="6B3ECCE7"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6347A9C9"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Seguidamente respecto del Recurso de Revisión </w:t>
      </w:r>
      <w:r>
        <w:rPr>
          <w:rFonts w:ascii="Palatino Linotype" w:eastAsia="Palatino Linotype" w:hAnsi="Palatino Linotype" w:cs="Palatino Linotype"/>
          <w:b/>
          <w:color w:val="000000"/>
          <w:highlight w:val="white"/>
        </w:rPr>
        <w:t>04891/INFOEM/IP/RR/2024</w:t>
      </w:r>
      <w:r>
        <w:rPr>
          <w:rFonts w:ascii="Palatino Linotype" w:eastAsia="Palatino Linotype" w:hAnsi="Palatino Linotype" w:cs="Palatino Linotype"/>
          <w:color w:val="000000"/>
          <w:highlight w:val="white"/>
        </w:rPr>
        <w:t xml:space="preserve">, perteneciente a la solicitud de </w:t>
      </w:r>
      <w:r>
        <w:rPr>
          <w:rFonts w:ascii="Palatino Linotype" w:eastAsia="Palatino Linotype" w:hAnsi="Palatino Linotype" w:cs="Palatino Linotype"/>
          <w:highlight w:val="white"/>
        </w:rPr>
        <w:t>información</w:t>
      </w:r>
      <w:r>
        <w:rPr>
          <w:rFonts w:ascii="Palatino Linotype" w:eastAsia="Palatino Linotype" w:hAnsi="Palatino Linotype" w:cs="Palatino Linotype"/>
          <w:color w:val="000000"/>
          <w:highlight w:val="white"/>
        </w:rPr>
        <w:t xml:space="preserve"> 00094/TLALMANA/IP/2024, donde se solicita información perteneciente a la Servidora Pública Ana Laura Martínez Parra. Del recurso en comento primeramente es de destacar que sus motivos de inconformidad, están encaminados a impugnar lo relativo a la entrega de información incompleta por la falta del documento que acredite no estar Inscrito en el Registro de Deudores Alimentarios Morosos en el Estado ni en ninguna otra Entidad Federativa y de las listas de asistencia con horario de entrada y salida del mes de enero del 2022 al 30 de junio del 2024. Razón, por la que se colige que al no impugnar la totalidad de los rubros que integraron la solicitud de información inicial, se actualiza la figura denominada actos consentidos.</w:t>
      </w:r>
    </w:p>
    <w:p w14:paraId="4F496533" w14:textId="77777777" w:rsidR="002714E7" w:rsidRDefault="002714E7">
      <w:pPr>
        <w:pBdr>
          <w:top w:val="nil"/>
          <w:left w:val="nil"/>
          <w:bottom w:val="nil"/>
          <w:right w:val="nil"/>
          <w:between w:val="nil"/>
        </w:pBdr>
        <w:ind w:left="720"/>
        <w:rPr>
          <w:rFonts w:ascii="Palatino Linotype" w:eastAsia="Palatino Linotype" w:hAnsi="Palatino Linotype" w:cs="Palatino Linotype"/>
          <w:color w:val="000000"/>
          <w:highlight w:val="white"/>
        </w:rPr>
      </w:pPr>
    </w:p>
    <w:p w14:paraId="4DBC45EB"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Esto es así, debido a que cuando el recurrente impugna la respuesta del sujeto obligado y éste no expresa razón o motivo de inconformidad en contra de todos los rubros </w:t>
      </w:r>
      <w:r>
        <w:rPr>
          <w:rFonts w:ascii="Palatino Linotype" w:eastAsia="Palatino Linotype" w:hAnsi="Palatino Linotype" w:cs="Palatino Linotype"/>
          <w:color w:val="000000"/>
          <w:highlight w:val="white"/>
        </w:rPr>
        <w:t>solicitados</w:t>
      </w:r>
      <w:r>
        <w:rPr>
          <w:rFonts w:ascii="Palatino Linotype" w:eastAsia="Palatino Linotype" w:hAnsi="Palatino Linotype" w:cs="Palatino Linotype"/>
          <w:highlight w:val="white"/>
        </w:rPr>
        <w:t>,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4AD333E5"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237AA4C5" w14:textId="77777777" w:rsidR="002714E7" w:rsidRDefault="00734FB5">
      <w:pPr>
        <w:pBdr>
          <w:top w:val="nil"/>
          <w:left w:val="nil"/>
          <w:bottom w:val="nil"/>
          <w:right w:val="nil"/>
          <w:between w:val="nil"/>
        </w:pBdr>
        <w:spacing w:line="360" w:lineRule="auto"/>
        <w:ind w:left="426" w:right="425"/>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b/>
          <w:i/>
          <w:color w:val="000000"/>
          <w:highlight w:val="white"/>
        </w:rPr>
        <w:t>“REVISIÓN EN AMPARO. LOS RESOLUTIVOS NO COMBATIDOS DEBEN DECLARARSE FIRMES. </w:t>
      </w:r>
      <w:r>
        <w:rPr>
          <w:rFonts w:ascii="Palatino Linotype" w:eastAsia="Palatino Linotype" w:hAnsi="Palatino Linotype" w:cs="Palatino Linotype"/>
          <w:i/>
          <w:color w:val="000000"/>
          <w:highlight w:val="white"/>
          <w:u w:val="single"/>
        </w:rPr>
        <w:t>Cuando algún resolutivo de la sentencia impugnada afecta a EL RECURRENTE, y ésta no expresa agravio en contra de las consideraciones que le sirven de base, dicho resolutivo debe declararse firme.</w:t>
      </w:r>
      <w:r>
        <w:rPr>
          <w:rFonts w:ascii="Palatino Linotype" w:eastAsia="Palatino Linotype" w:hAnsi="Palatino Linotype" w:cs="Palatino Linotype"/>
          <w:i/>
          <w:color w:val="000000"/>
          <w:highlight w:val="white"/>
        </w:rPr>
        <w:t> Esto es, en el caso referido, no obstante que la materia de la revisión comprende a todos los resolutivos que afectan a EL RECURRENTE, </w:t>
      </w:r>
      <w:r>
        <w:rPr>
          <w:rFonts w:ascii="Palatino Linotype" w:eastAsia="Palatino Linotype" w:hAnsi="Palatino Linotype" w:cs="Palatino Linotype"/>
          <w:i/>
          <w:color w:val="000000"/>
          <w:highlight w:val="white"/>
          <w:u w:val="single"/>
        </w:rPr>
        <w:t>deben declararse firmes aquéllos en contra de los cuales no se formuló agravio y dicha declaración de firmeza debe reflejarse en la parte considerativa y en los resolutivos debe confirmarse la sentencia recurrida en la parte correspondiente</w:t>
      </w:r>
      <w:r>
        <w:rPr>
          <w:rFonts w:ascii="Palatino Linotype" w:eastAsia="Palatino Linotype" w:hAnsi="Palatino Linotype" w:cs="Palatino Linotype"/>
          <w:i/>
          <w:color w:val="000000"/>
          <w:highlight w:val="white"/>
        </w:rPr>
        <w:t>.”</w:t>
      </w:r>
    </w:p>
    <w:p w14:paraId="330FE578" w14:textId="77777777" w:rsidR="002714E7" w:rsidRDefault="00734FB5">
      <w:pPr>
        <w:pBdr>
          <w:top w:val="nil"/>
          <w:left w:val="nil"/>
          <w:bottom w:val="nil"/>
          <w:right w:val="nil"/>
          <w:between w:val="nil"/>
        </w:pBdr>
        <w:spacing w:line="360" w:lineRule="auto"/>
        <w:ind w:left="426" w:right="426"/>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(Énfasis añadido)</w:t>
      </w:r>
    </w:p>
    <w:p w14:paraId="03E30683" w14:textId="77777777" w:rsidR="002714E7" w:rsidRDefault="002714E7">
      <w:pPr>
        <w:pBdr>
          <w:top w:val="nil"/>
          <w:left w:val="nil"/>
          <w:bottom w:val="nil"/>
          <w:right w:val="nil"/>
          <w:between w:val="nil"/>
        </w:pBdr>
        <w:spacing w:line="360" w:lineRule="auto"/>
        <w:ind w:left="426" w:right="426"/>
        <w:jc w:val="center"/>
        <w:rPr>
          <w:rFonts w:ascii="Palatino Linotype" w:eastAsia="Palatino Linotype" w:hAnsi="Palatino Linotype" w:cs="Palatino Linotype"/>
          <w:color w:val="000000"/>
          <w:highlight w:val="white"/>
        </w:rPr>
      </w:pPr>
    </w:p>
    <w:p w14:paraId="377D81DE"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 xml:space="preserve">Consecutivamente, </w:t>
      </w:r>
      <w:r>
        <w:rPr>
          <w:rFonts w:ascii="Palatino Linotype" w:eastAsia="Palatino Linotype" w:hAnsi="Palatino Linotype" w:cs="Palatino Linotype"/>
          <w:b/>
          <w:highlight w:val="white"/>
        </w:rPr>
        <w:t xml:space="preserve">la parte de la respuesta que no fue impugnada debe </w:t>
      </w:r>
      <w:r>
        <w:rPr>
          <w:rFonts w:ascii="Palatino Linotype" w:eastAsia="Palatino Linotype" w:hAnsi="Palatino Linotype" w:cs="Palatino Linotype"/>
          <w:highlight w:val="white"/>
        </w:rPr>
        <w:t>declararse</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highlight w:val="white"/>
        </w:rPr>
        <w:t>consentida</w:t>
      </w:r>
      <w:r>
        <w:rPr>
          <w:rFonts w:ascii="Palatino Linotype" w:eastAsia="Palatino Linotype" w:hAnsi="Palatino Linotype" w:cs="Palatino Linotype"/>
          <w:b/>
          <w:highlight w:val="white"/>
        </w:rPr>
        <w:t xml:space="preserve"> por el recurrente, toda vez que no realizó </w:t>
      </w:r>
      <w:r>
        <w:rPr>
          <w:rFonts w:ascii="Palatino Linotype" w:eastAsia="Palatino Linotype" w:hAnsi="Palatino Linotype" w:cs="Palatino Linotype"/>
          <w:highlight w:val="white"/>
        </w:rPr>
        <w:t>manifestaciones</w:t>
      </w:r>
      <w:r>
        <w:rPr>
          <w:rFonts w:ascii="Palatino Linotype" w:eastAsia="Palatino Linotype" w:hAnsi="Palatino Linotype" w:cs="Palatino Linotype"/>
          <w:b/>
          <w:highlight w:val="white"/>
        </w:rPr>
        <w:t xml:space="preserve"> de inconformidad</w:t>
      </w:r>
      <w:r>
        <w:rPr>
          <w:rFonts w:ascii="Palatino Linotype" w:eastAsia="Palatino Linotype" w:hAnsi="Palatino Linotype" w:cs="Palatino Linotype"/>
          <w:highlight w:val="white"/>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64EBF6EA" w14:textId="77777777" w:rsidR="002714E7" w:rsidRDefault="002714E7">
      <w:pPr>
        <w:spacing w:line="360" w:lineRule="auto"/>
        <w:jc w:val="both"/>
        <w:rPr>
          <w:rFonts w:ascii="Palatino Linotype" w:eastAsia="Palatino Linotype" w:hAnsi="Palatino Linotype" w:cs="Palatino Linotype"/>
          <w:highlight w:val="white"/>
        </w:rPr>
      </w:pPr>
    </w:p>
    <w:p w14:paraId="4B6C63F8" w14:textId="77777777" w:rsidR="002714E7" w:rsidRDefault="00734FB5">
      <w:pPr>
        <w:pBdr>
          <w:top w:val="nil"/>
          <w:left w:val="nil"/>
          <w:bottom w:val="nil"/>
          <w:right w:val="nil"/>
          <w:between w:val="nil"/>
        </w:pBdr>
        <w:spacing w:line="360" w:lineRule="auto"/>
        <w:ind w:left="426" w:right="425"/>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b/>
          <w:i/>
          <w:color w:val="000000"/>
          <w:highlight w:val="white"/>
        </w:rPr>
        <w:t>“ACTOS CONSENTIDOS. SON LOS QUE NO SE IMPUGNAN MEDIANTE EL RECURSO IDÓNEO. </w:t>
      </w:r>
      <w:r>
        <w:rPr>
          <w:rFonts w:ascii="Palatino Linotype" w:eastAsia="Palatino Linotype" w:hAnsi="Palatino Linotype" w:cs="Palatino Linotype"/>
          <w:i/>
          <w:color w:val="000000"/>
          <w:highlight w:val="white"/>
          <w:u w:val="single"/>
        </w:rPr>
        <w:t>Debe reputarse como consentido el acto que no se impugnó por el medio establecido por la ley</w:t>
      </w:r>
      <w:r>
        <w:rPr>
          <w:rFonts w:ascii="Palatino Linotype" w:eastAsia="Palatino Linotype" w:hAnsi="Palatino Linotype" w:cs="Palatino Linotype"/>
          <w:i/>
          <w:color w:val="000000"/>
          <w:highlight w:val="white"/>
        </w:rPr>
        <w:t xml:space="preserve">, </w:t>
      </w:r>
      <w:proofErr w:type="gramStart"/>
      <w:r>
        <w:rPr>
          <w:rFonts w:ascii="Palatino Linotype" w:eastAsia="Palatino Linotype" w:hAnsi="Palatino Linotype" w:cs="Palatino Linotype"/>
          <w:i/>
          <w:color w:val="000000"/>
          <w:highlight w:val="white"/>
        </w:rPr>
        <w:t>ya que</w:t>
      </w:r>
      <w:proofErr w:type="gramEnd"/>
      <w:r>
        <w:rPr>
          <w:rFonts w:ascii="Palatino Linotype" w:eastAsia="Palatino Linotype" w:hAnsi="Palatino Linotype" w:cs="Palatino Linotype"/>
          <w:i/>
          <w:color w:val="000000"/>
          <w:highlight w:val="white"/>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8440FB1" w14:textId="77777777" w:rsidR="002714E7" w:rsidRDefault="00734FB5">
      <w:pPr>
        <w:pBdr>
          <w:top w:val="nil"/>
          <w:left w:val="nil"/>
          <w:bottom w:val="nil"/>
          <w:right w:val="nil"/>
          <w:between w:val="nil"/>
        </w:pBdr>
        <w:spacing w:line="360" w:lineRule="auto"/>
        <w:ind w:left="426" w:right="426"/>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(Énfasis añadido)</w:t>
      </w:r>
    </w:p>
    <w:p w14:paraId="061AB0AD" w14:textId="77777777" w:rsidR="002714E7" w:rsidRDefault="002714E7">
      <w:pPr>
        <w:spacing w:line="360" w:lineRule="auto"/>
        <w:ind w:right="426"/>
        <w:jc w:val="both"/>
        <w:rPr>
          <w:rFonts w:ascii="Palatino Linotype" w:eastAsia="Palatino Linotype" w:hAnsi="Palatino Linotype" w:cs="Palatino Linotype"/>
          <w:highlight w:val="white"/>
        </w:rPr>
      </w:pPr>
    </w:p>
    <w:p w14:paraId="48F8993D"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Acotado lo anterior respecto del Certificado de No Deudor Alimentario Moroso, de la respuesta se advierte que ciertamente no se adjunta, en su lugar se remite un</w:t>
      </w:r>
      <w:r>
        <w:rPr>
          <w:rFonts w:ascii="Palatino Linotype" w:eastAsia="Palatino Linotype" w:hAnsi="Palatino Linotype" w:cs="Palatino Linotype"/>
          <w:highlight w:val="white"/>
        </w:rPr>
        <w:t xml:space="preserve"> </w:t>
      </w:r>
      <w:r>
        <w:rPr>
          <w:rFonts w:ascii="Palatino Linotype" w:eastAsia="Palatino Linotype" w:hAnsi="Palatino Linotype" w:cs="Palatino Linotype"/>
          <w:color w:val="000000"/>
          <w:highlight w:val="white"/>
        </w:rPr>
        <w:t xml:space="preserve">se remite un escrito signado por la servidora pública de la que se requiere </w:t>
      </w:r>
      <w:r>
        <w:rPr>
          <w:rFonts w:ascii="Palatino Linotype" w:eastAsia="Palatino Linotype" w:hAnsi="Palatino Linotype" w:cs="Palatino Linotype"/>
          <w:color w:val="000000"/>
          <w:highlight w:val="white"/>
        </w:rPr>
        <w:lastRenderedPageBreak/>
        <w:t xml:space="preserve">la información en donde se informa al Coordinador de Recursos Humanos </w:t>
      </w:r>
      <w:proofErr w:type="gramStart"/>
      <w:r>
        <w:rPr>
          <w:rFonts w:ascii="Palatino Linotype" w:eastAsia="Palatino Linotype" w:hAnsi="Palatino Linotype" w:cs="Palatino Linotype"/>
          <w:color w:val="000000"/>
          <w:highlight w:val="white"/>
        </w:rPr>
        <w:t>que</w:t>
      </w:r>
      <w:proofErr w:type="gramEnd"/>
      <w:r>
        <w:rPr>
          <w:rFonts w:ascii="Palatino Linotype" w:eastAsia="Palatino Linotype" w:hAnsi="Palatino Linotype" w:cs="Palatino Linotype"/>
          <w:color w:val="000000"/>
          <w:highlight w:val="white"/>
        </w:rPr>
        <w:t xml:space="preserve"> tras intentar realizar la solicitud del certificado correspondiente, el sistema no le permite avanzar por no contar con dos claves.</w:t>
      </w:r>
    </w:p>
    <w:p w14:paraId="041BA270" w14:textId="77777777" w:rsidR="002714E7" w:rsidRDefault="002714E7">
      <w:pPr>
        <w:spacing w:line="360" w:lineRule="auto"/>
        <w:rPr>
          <w:rFonts w:ascii="Palatino Linotype" w:eastAsia="Palatino Linotype" w:hAnsi="Palatino Linotype" w:cs="Palatino Linotype"/>
          <w:color w:val="000000"/>
          <w:highlight w:val="white"/>
        </w:rPr>
      </w:pPr>
    </w:p>
    <w:p w14:paraId="33335E08"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En calidad de informe justificado, confirma su respuesta el servidor público habilitado y la servidora pública de la que se requiere la información, reiterando que no puede avanzar en la creación de su CUTS (Clave Única de Trámites y Servicios) por no contar con dos claves CURP, asociadas una con otra. Cabe resaltar que las acciones anteriores fueron emprendidas para dar cumplimiento a la presente solicitud de información y recurso de revisión respectivamente. Al respecto cabe resaltar que los sujetos obligados se encuentran compelidos a entregar la información pública </w:t>
      </w:r>
      <w:proofErr w:type="gramStart"/>
      <w:r>
        <w:rPr>
          <w:rFonts w:ascii="Palatino Linotype" w:eastAsia="Palatino Linotype" w:hAnsi="Palatino Linotype" w:cs="Palatino Linotype"/>
          <w:color w:val="000000"/>
          <w:highlight w:val="white"/>
        </w:rPr>
        <w:t>que</w:t>
      </w:r>
      <w:proofErr w:type="gramEnd"/>
      <w:r>
        <w:rPr>
          <w:rFonts w:ascii="Palatino Linotype" w:eastAsia="Palatino Linotype" w:hAnsi="Palatino Linotype" w:cs="Palatino Linotype"/>
          <w:color w:val="000000"/>
          <w:highlight w:val="white"/>
        </w:rPr>
        <w:t xml:space="preserve"> en ejercicio de sus funciones de derecho público, generen, posean o administren previo a la interposición de una solicitud de información y, no así a generar </w:t>
      </w:r>
      <w:r>
        <w:rPr>
          <w:rFonts w:ascii="Palatino Linotype" w:eastAsia="Palatino Linotype" w:hAnsi="Palatino Linotype" w:cs="Palatino Linotype"/>
          <w:b/>
          <w:color w:val="000000"/>
          <w:highlight w:val="white"/>
        </w:rPr>
        <w:t>documentos nuevos</w:t>
      </w:r>
      <w:r>
        <w:rPr>
          <w:rFonts w:ascii="Palatino Linotype" w:eastAsia="Palatino Linotype" w:hAnsi="Palatino Linotype" w:cs="Palatino Linotype"/>
          <w:color w:val="000000"/>
          <w:highlight w:val="white"/>
        </w:rPr>
        <w:t xml:space="preserve"> para satisfacer las pretensiones de los particulares.</w:t>
      </w:r>
    </w:p>
    <w:p w14:paraId="54AB2D59" w14:textId="77777777" w:rsidR="002714E7" w:rsidRDefault="002714E7">
      <w:pPr>
        <w:spacing w:line="360" w:lineRule="auto"/>
        <w:rPr>
          <w:rFonts w:ascii="Palatino Linotype" w:eastAsia="Palatino Linotype" w:hAnsi="Palatino Linotype" w:cs="Palatino Linotype"/>
          <w:color w:val="000000"/>
          <w:highlight w:val="white"/>
        </w:rPr>
      </w:pPr>
    </w:p>
    <w:p w14:paraId="45F7A45F"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highlight w:val="white"/>
        </w:rPr>
        <w:t xml:space="preserve">Por lo </w:t>
      </w:r>
      <w:r>
        <w:rPr>
          <w:rFonts w:ascii="Palatino Linotype" w:eastAsia="Palatino Linotype" w:hAnsi="Palatino Linotype" w:cs="Palatino Linotype"/>
          <w:color w:val="000000"/>
          <w:highlight w:val="white"/>
        </w:rPr>
        <w:t>que</w:t>
      </w:r>
      <w:r>
        <w:rPr>
          <w:rFonts w:ascii="Palatino Linotype" w:eastAsia="Palatino Linotype" w:hAnsi="Palatino Linotype" w:cs="Palatino Linotype"/>
          <w:highlight w:val="white"/>
        </w:rPr>
        <w:t xml:space="preserve"> hace los certificados de no deudor alimentario moroso este es un documento </w:t>
      </w:r>
      <w:r>
        <w:rPr>
          <w:rFonts w:ascii="Palatino Linotype" w:eastAsia="Palatino Linotype" w:hAnsi="Palatino Linotype" w:cs="Palatino Linotype"/>
          <w:color w:val="000000"/>
          <w:highlight w:val="white"/>
        </w:rPr>
        <w:t xml:space="preserve">que deben poseer y administrar los ayuntamientos por deber obrar, en el </w:t>
      </w:r>
      <w:r>
        <w:rPr>
          <w:rFonts w:ascii="Palatino Linotype" w:eastAsia="Palatino Linotype" w:hAnsi="Palatino Linotype" w:cs="Palatino Linotype"/>
          <w:b/>
          <w:color w:val="000000"/>
          <w:highlight w:val="white"/>
        </w:rPr>
        <w:t>expediente laboral</w:t>
      </w:r>
      <w:r>
        <w:rPr>
          <w:rFonts w:ascii="Palatino Linotype" w:eastAsia="Palatino Linotype" w:hAnsi="Palatino Linotype" w:cs="Palatino Linotype"/>
          <w:highlight w:val="white"/>
        </w:rPr>
        <w:t>, en virtud de corresponder a requisitos generales contenidos en los articulados 47 de la Ley del Trabajo de los Servidores Públicos del Estado de México y Municipios, como se observa:</w:t>
      </w:r>
    </w:p>
    <w:p w14:paraId="48699FB6" w14:textId="77777777" w:rsidR="002714E7" w:rsidRDefault="002714E7">
      <w:pPr>
        <w:pBdr>
          <w:top w:val="nil"/>
          <w:left w:val="nil"/>
          <w:bottom w:val="nil"/>
          <w:right w:val="nil"/>
          <w:between w:val="nil"/>
        </w:pBdr>
        <w:spacing w:line="360" w:lineRule="auto"/>
        <w:ind w:left="360"/>
        <w:jc w:val="both"/>
        <w:rPr>
          <w:rFonts w:ascii="Palatino Linotype" w:eastAsia="Palatino Linotype" w:hAnsi="Palatino Linotype" w:cs="Palatino Linotype"/>
          <w:highlight w:val="white"/>
        </w:rPr>
      </w:pPr>
    </w:p>
    <w:tbl>
      <w:tblPr>
        <w:tblStyle w:val="a0"/>
        <w:tblW w:w="9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9"/>
        <w:gridCol w:w="3872"/>
        <w:gridCol w:w="2557"/>
        <w:gridCol w:w="1946"/>
      </w:tblGrid>
      <w:tr w:rsidR="002714E7" w14:paraId="7ABBA59B" w14:textId="77777777">
        <w:tc>
          <w:tcPr>
            <w:tcW w:w="659" w:type="dxa"/>
            <w:shd w:val="clear" w:color="auto" w:fill="D9D9D9"/>
          </w:tcPr>
          <w:p w14:paraId="1720E2BC"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No.</w:t>
            </w:r>
          </w:p>
        </w:tc>
        <w:tc>
          <w:tcPr>
            <w:tcW w:w="3872" w:type="dxa"/>
            <w:shd w:val="clear" w:color="auto" w:fill="D9D9D9"/>
            <w:vAlign w:val="center"/>
          </w:tcPr>
          <w:p w14:paraId="63A70310"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Requisito establecido en la Ley del Trabajo de los Servidores Públicos del Estado y Municipios</w:t>
            </w:r>
          </w:p>
        </w:tc>
        <w:tc>
          <w:tcPr>
            <w:tcW w:w="2557" w:type="dxa"/>
            <w:shd w:val="clear" w:color="auto" w:fill="D9D9D9"/>
            <w:vAlign w:val="center"/>
          </w:tcPr>
          <w:p w14:paraId="192D6291"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Documento que lo acredita</w:t>
            </w:r>
          </w:p>
        </w:tc>
        <w:tc>
          <w:tcPr>
            <w:tcW w:w="1946" w:type="dxa"/>
            <w:shd w:val="clear" w:color="auto" w:fill="D9D9D9"/>
            <w:vAlign w:val="center"/>
          </w:tcPr>
          <w:p w14:paraId="7D2B21C6"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Clasificación de la Información</w:t>
            </w:r>
          </w:p>
        </w:tc>
      </w:tr>
      <w:tr w:rsidR="002714E7" w14:paraId="1CEE8915" w14:textId="77777777">
        <w:tc>
          <w:tcPr>
            <w:tcW w:w="659" w:type="dxa"/>
            <w:vAlign w:val="center"/>
          </w:tcPr>
          <w:p w14:paraId="0BCD351B"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1</w:t>
            </w:r>
          </w:p>
        </w:tc>
        <w:tc>
          <w:tcPr>
            <w:tcW w:w="3872" w:type="dxa"/>
            <w:vAlign w:val="center"/>
          </w:tcPr>
          <w:p w14:paraId="5A7B01C8"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Presentar una solicitud utilizando la forma oficial que se autorice por la institución pública o dependencia correspondiente.</w:t>
            </w:r>
          </w:p>
        </w:tc>
        <w:tc>
          <w:tcPr>
            <w:tcW w:w="2557" w:type="dxa"/>
            <w:vAlign w:val="center"/>
          </w:tcPr>
          <w:p w14:paraId="3C003F9B"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Solicitud de empleo, ficha curricular, currículum vitae o documento análogo</w:t>
            </w:r>
          </w:p>
        </w:tc>
        <w:tc>
          <w:tcPr>
            <w:tcW w:w="1946" w:type="dxa"/>
            <w:vAlign w:val="center"/>
          </w:tcPr>
          <w:p w14:paraId="7094F100"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En versión Pública.</w:t>
            </w:r>
          </w:p>
        </w:tc>
      </w:tr>
      <w:tr w:rsidR="002714E7" w14:paraId="75467E4A" w14:textId="77777777">
        <w:trPr>
          <w:trHeight w:val="517"/>
        </w:trPr>
        <w:tc>
          <w:tcPr>
            <w:tcW w:w="659" w:type="dxa"/>
            <w:vAlign w:val="center"/>
          </w:tcPr>
          <w:p w14:paraId="060DBCAE"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2</w:t>
            </w:r>
          </w:p>
        </w:tc>
        <w:tc>
          <w:tcPr>
            <w:tcW w:w="3872" w:type="dxa"/>
            <w:vAlign w:val="center"/>
          </w:tcPr>
          <w:p w14:paraId="580C0EB7"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Ser de nacionalidad mexicana.</w:t>
            </w:r>
          </w:p>
        </w:tc>
        <w:tc>
          <w:tcPr>
            <w:tcW w:w="2557" w:type="dxa"/>
            <w:vAlign w:val="center"/>
          </w:tcPr>
          <w:p w14:paraId="619D6276"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Acta de nacimiento</w:t>
            </w:r>
          </w:p>
        </w:tc>
        <w:tc>
          <w:tcPr>
            <w:tcW w:w="1946" w:type="dxa"/>
            <w:vAlign w:val="center"/>
          </w:tcPr>
          <w:p w14:paraId="6DD73CDB"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Confidencial</w:t>
            </w:r>
          </w:p>
        </w:tc>
      </w:tr>
      <w:tr w:rsidR="002714E7" w14:paraId="4B489979" w14:textId="77777777">
        <w:tc>
          <w:tcPr>
            <w:tcW w:w="659" w:type="dxa"/>
            <w:vAlign w:val="center"/>
          </w:tcPr>
          <w:p w14:paraId="2C67C9E8"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3</w:t>
            </w:r>
          </w:p>
        </w:tc>
        <w:tc>
          <w:tcPr>
            <w:tcW w:w="3872" w:type="dxa"/>
            <w:vAlign w:val="center"/>
          </w:tcPr>
          <w:p w14:paraId="24B987D9"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Estar en pleno ejercicio de sus derechos civiles y políticos.</w:t>
            </w:r>
          </w:p>
        </w:tc>
        <w:tc>
          <w:tcPr>
            <w:tcW w:w="2557" w:type="dxa"/>
            <w:vAlign w:val="center"/>
          </w:tcPr>
          <w:p w14:paraId="7C9D5D01"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Derogado</w:t>
            </w:r>
          </w:p>
        </w:tc>
        <w:tc>
          <w:tcPr>
            <w:tcW w:w="1946" w:type="dxa"/>
            <w:vAlign w:val="center"/>
          </w:tcPr>
          <w:p w14:paraId="3C05F303"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N/A</w:t>
            </w:r>
          </w:p>
        </w:tc>
      </w:tr>
      <w:tr w:rsidR="002714E7" w14:paraId="4388C729" w14:textId="77777777">
        <w:tc>
          <w:tcPr>
            <w:tcW w:w="659" w:type="dxa"/>
            <w:vAlign w:val="center"/>
          </w:tcPr>
          <w:p w14:paraId="3B349990"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4</w:t>
            </w:r>
          </w:p>
        </w:tc>
        <w:tc>
          <w:tcPr>
            <w:tcW w:w="3872" w:type="dxa"/>
            <w:vAlign w:val="center"/>
          </w:tcPr>
          <w:p w14:paraId="6BF404A6"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Acreditar, cuando proceda, el cumplimiento de la Ley del Servicio Militar Nacional.</w:t>
            </w:r>
          </w:p>
        </w:tc>
        <w:tc>
          <w:tcPr>
            <w:tcW w:w="2557" w:type="dxa"/>
            <w:vAlign w:val="center"/>
          </w:tcPr>
          <w:p w14:paraId="0B633E42"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Cartilla de Servicio Militar</w:t>
            </w:r>
          </w:p>
        </w:tc>
        <w:tc>
          <w:tcPr>
            <w:tcW w:w="1946" w:type="dxa"/>
            <w:vAlign w:val="center"/>
          </w:tcPr>
          <w:p w14:paraId="79581774"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Confidencial</w:t>
            </w:r>
          </w:p>
        </w:tc>
      </w:tr>
      <w:tr w:rsidR="002714E7" w14:paraId="4DF29EBC" w14:textId="77777777">
        <w:tc>
          <w:tcPr>
            <w:tcW w:w="659" w:type="dxa"/>
            <w:vAlign w:val="center"/>
          </w:tcPr>
          <w:p w14:paraId="714D39D9"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5</w:t>
            </w:r>
          </w:p>
        </w:tc>
        <w:tc>
          <w:tcPr>
            <w:tcW w:w="3872" w:type="dxa"/>
            <w:vAlign w:val="center"/>
          </w:tcPr>
          <w:p w14:paraId="3AB11E63"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DEROGADO</w:t>
            </w:r>
          </w:p>
        </w:tc>
        <w:tc>
          <w:tcPr>
            <w:tcW w:w="2557" w:type="dxa"/>
            <w:vAlign w:val="center"/>
          </w:tcPr>
          <w:p w14:paraId="37E78CD0"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DEROGADO</w:t>
            </w:r>
          </w:p>
        </w:tc>
        <w:tc>
          <w:tcPr>
            <w:tcW w:w="1946" w:type="dxa"/>
            <w:vAlign w:val="center"/>
          </w:tcPr>
          <w:p w14:paraId="4911E107"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N/A</w:t>
            </w:r>
          </w:p>
        </w:tc>
      </w:tr>
      <w:tr w:rsidR="002714E7" w14:paraId="0B17646D" w14:textId="77777777">
        <w:tc>
          <w:tcPr>
            <w:tcW w:w="659" w:type="dxa"/>
            <w:vAlign w:val="center"/>
          </w:tcPr>
          <w:p w14:paraId="6FC0804A"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6</w:t>
            </w:r>
          </w:p>
        </w:tc>
        <w:tc>
          <w:tcPr>
            <w:tcW w:w="3872" w:type="dxa"/>
            <w:vAlign w:val="center"/>
          </w:tcPr>
          <w:p w14:paraId="47068999"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No haber sido separado anteriormente del servicio por las </w:t>
            </w:r>
            <w:r>
              <w:rPr>
                <w:rFonts w:ascii="Palatino Linotype" w:eastAsia="Palatino Linotype" w:hAnsi="Palatino Linotype" w:cs="Palatino Linotype"/>
                <w:highlight w:val="white"/>
              </w:rPr>
              <w:lastRenderedPageBreak/>
              <w:t>causas previstas en el artículo 93 de la presente ley</w:t>
            </w:r>
          </w:p>
        </w:tc>
        <w:tc>
          <w:tcPr>
            <w:tcW w:w="2557" w:type="dxa"/>
            <w:vAlign w:val="center"/>
          </w:tcPr>
          <w:p w14:paraId="60D99004"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Manifestación bajo protesta de decir verdad.</w:t>
            </w:r>
          </w:p>
        </w:tc>
        <w:tc>
          <w:tcPr>
            <w:tcW w:w="1946" w:type="dxa"/>
            <w:vAlign w:val="center"/>
          </w:tcPr>
          <w:p w14:paraId="1576D6B4"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Documento íntegro</w:t>
            </w:r>
          </w:p>
        </w:tc>
      </w:tr>
      <w:tr w:rsidR="002714E7" w14:paraId="030E7294" w14:textId="77777777">
        <w:tc>
          <w:tcPr>
            <w:tcW w:w="659" w:type="dxa"/>
            <w:vAlign w:val="center"/>
          </w:tcPr>
          <w:p w14:paraId="1B746372"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7</w:t>
            </w:r>
          </w:p>
        </w:tc>
        <w:tc>
          <w:tcPr>
            <w:tcW w:w="3872" w:type="dxa"/>
            <w:vAlign w:val="center"/>
          </w:tcPr>
          <w:p w14:paraId="5B17C895"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Tener buena salud, lo que se comprobará con los certificados médicos.</w:t>
            </w:r>
          </w:p>
        </w:tc>
        <w:tc>
          <w:tcPr>
            <w:tcW w:w="2557" w:type="dxa"/>
            <w:vAlign w:val="center"/>
          </w:tcPr>
          <w:p w14:paraId="3A76D080"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Certificado Médico</w:t>
            </w:r>
          </w:p>
        </w:tc>
        <w:tc>
          <w:tcPr>
            <w:tcW w:w="1946" w:type="dxa"/>
            <w:vAlign w:val="center"/>
          </w:tcPr>
          <w:p w14:paraId="7B298634"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Confidencial</w:t>
            </w:r>
          </w:p>
        </w:tc>
      </w:tr>
      <w:tr w:rsidR="002714E7" w14:paraId="5CAFEFCC" w14:textId="77777777">
        <w:tc>
          <w:tcPr>
            <w:tcW w:w="659" w:type="dxa"/>
            <w:vAlign w:val="center"/>
          </w:tcPr>
          <w:p w14:paraId="5C4E4AA4"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8</w:t>
            </w:r>
          </w:p>
        </w:tc>
        <w:tc>
          <w:tcPr>
            <w:tcW w:w="3872" w:type="dxa"/>
            <w:vAlign w:val="center"/>
          </w:tcPr>
          <w:p w14:paraId="42925C3B"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Cumplir con los requisitos que se establezcan para los diferentes puestos.</w:t>
            </w:r>
          </w:p>
        </w:tc>
        <w:tc>
          <w:tcPr>
            <w:tcW w:w="2557" w:type="dxa"/>
            <w:vAlign w:val="center"/>
          </w:tcPr>
          <w:p w14:paraId="03E92E6F"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Ley del Trabajo de los Servidores Públicos del Estado y Municipios</w:t>
            </w:r>
          </w:p>
        </w:tc>
        <w:tc>
          <w:tcPr>
            <w:tcW w:w="1946" w:type="dxa"/>
            <w:vAlign w:val="center"/>
          </w:tcPr>
          <w:p w14:paraId="23A71A7D"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Documento íntegro</w:t>
            </w:r>
          </w:p>
        </w:tc>
      </w:tr>
      <w:tr w:rsidR="002714E7" w14:paraId="1A1DDD8B" w14:textId="77777777">
        <w:tc>
          <w:tcPr>
            <w:tcW w:w="659" w:type="dxa"/>
            <w:vAlign w:val="center"/>
          </w:tcPr>
          <w:p w14:paraId="648F3C66"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9</w:t>
            </w:r>
          </w:p>
        </w:tc>
        <w:tc>
          <w:tcPr>
            <w:tcW w:w="3872" w:type="dxa"/>
            <w:vAlign w:val="center"/>
          </w:tcPr>
          <w:p w14:paraId="660D0658"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Acreditar por medio de los exámenes correspondientes los conocimientos y aptitudes necesarios para el desempeño del puesto.</w:t>
            </w:r>
          </w:p>
        </w:tc>
        <w:tc>
          <w:tcPr>
            <w:tcW w:w="2557" w:type="dxa"/>
            <w:vAlign w:val="center"/>
          </w:tcPr>
          <w:p w14:paraId="1CB95063"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El documento obtenido por haber acreditado los exámenes de oposición o de conocimientos o aptitudes necesarios para ejercer el cargo.</w:t>
            </w:r>
          </w:p>
        </w:tc>
        <w:tc>
          <w:tcPr>
            <w:tcW w:w="1946" w:type="dxa"/>
            <w:vAlign w:val="center"/>
          </w:tcPr>
          <w:p w14:paraId="0C4DA775"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En versión Pública.</w:t>
            </w:r>
          </w:p>
        </w:tc>
      </w:tr>
      <w:tr w:rsidR="002714E7" w14:paraId="17F0312B" w14:textId="77777777">
        <w:tc>
          <w:tcPr>
            <w:tcW w:w="659" w:type="dxa"/>
            <w:vAlign w:val="center"/>
          </w:tcPr>
          <w:p w14:paraId="06C8CD28"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10</w:t>
            </w:r>
          </w:p>
        </w:tc>
        <w:tc>
          <w:tcPr>
            <w:tcW w:w="3872" w:type="dxa"/>
            <w:vAlign w:val="center"/>
          </w:tcPr>
          <w:p w14:paraId="607318B9"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No estar inhabilitado para el ejercicio del servicio público.</w:t>
            </w:r>
          </w:p>
        </w:tc>
        <w:tc>
          <w:tcPr>
            <w:tcW w:w="2557" w:type="dxa"/>
            <w:vAlign w:val="center"/>
          </w:tcPr>
          <w:p w14:paraId="3A885CF4"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Constancia de no inhabilitación.</w:t>
            </w:r>
          </w:p>
        </w:tc>
        <w:tc>
          <w:tcPr>
            <w:tcW w:w="1946" w:type="dxa"/>
            <w:vAlign w:val="center"/>
          </w:tcPr>
          <w:p w14:paraId="1C62DE20"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En Versión Pública</w:t>
            </w:r>
          </w:p>
        </w:tc>
      </w:tr>
      <w:tr w:rsidR="002714E7" w14:paraId="18792DAB" w14:textId="77777777">
        <w:tc>
          <w:tcPr>
            <w:tcW w:w="659" w:type="dxa"/>
            <w:vAlign w:val="center"/>
          </w:tcPr>
          <w:p w14:paraId="749AF34B"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lastRenderedPageBreak/>
              <w:t>11</w:t>
            </w:r>
          </w:p>
        </w:tc>
        <w:tc>
          <w:tcPr>
            <w:tcW w:w="3872" w:type="dxa"/>
            <w:vAlign w:val="center"/>
          </w:tcPr>
          <w:p w14:paraId="777478AE"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Presentar certificado expedido por la Unidad del Registro de Deudores Alimentarios Morosos en el que conste, si se encuentra inscrito o no en el mismo.</w:t>
            </w:r>
          </w:p>
        </w:tc>
        <w:tc>
          <w:tcPr>
            <w:tcW w:w="2557" w:type="dxa"/>
            <w:vAlign w:val="center"/>
          </w:tcPr>
          <w:p w14:paraId="4A46B5E7" w14:textId="77777777" w:rsidR="002714E7" w:rsidRDefault="00734FB5">
            <w:pPr>
              <w:tabs>
                <w:tab w:val="left" w:pos="284"/>
                <w:tab w:val="left" w:pos="426"/>
              </w:tabs>
              <w:spacing w:line="360" w:lineRule="auto"/>
              <w:ind w:right="49"/>
              <w:jc w:val="both"/>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Certificado de No Deudor Alimentario Moroso.</w:t>
            </w:r>
          </w:p>
        </w:tc>
        <w:tc>
          <w:tcPr>
            <w:tcW w:w="1946" w:type="dxa"/>
            <w:vAlign w:val="center"/>
          </w:tcPr>
          <w:p w14:paraId="15BD4127" w14:textId="77777777" w:rsidR="002714E7" w:rsidRDefault="00734FB5">
            <w:pPr>
              <w:tabs>
                <w:tab w:val="left" w:pos="284"/>
                <w:tab w:val="left" w:pos="426"/>
              </w:tabs>
              <w:spacing w:line="360" w:lineRule="auto"/>
              <w:ind w:right="49"/>
              <w:jc w:val="center"/>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En versión pública</w:t>
            </w:r>
          </w:p>
        </w:tc>
      </w:tr>
    </w:tbl>
    <w:p w14:paraId="7BD9AAF2" w14:textId="77777777" w:rsidR="002714E7" w:rsidRDefault="002714E7">
      <w:pPr>
        <w:spacing w:line="360" w:lineRule="auto"/>
        <w:jc w:val="both"/>
        <w:rPr>
          <w:rFonts w:ascii="Palatino Linotype" w:eastAsia="Palatino Linotype" w:hAnsi="Palatino Linotype" w:cs="Palatino Linotype"/>
          <w:highlight w:val="white"/>
        </w:rPr>
      </w:pPr>
    </w:p>
    <w:p w14:paraId="687FFE19"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De lo antes mencionado se advierte que, para formar parte del servicio público, los interesados deben cumplir con los elementos señalados, entre los que se encuentran presentar certificado expedido por la Unidad del Registro de Deudores Alimentarios Morosos en el que conste, si se encuentra inscrito o no en el mismo, mismo que puede ser entregado en versión pública. </w:t>
      </w:r>
    </w:p>
    <w:p w14:paraId="1143EC69" w14:textId="77777777" w:rsidR="002714E7" w:rsidRDefault="00734FB5">
      <w:pPr>
        <w:tabs>
          <w:tab w:val="left" w:pos="2316"/>
        </w:tabs>
        <w:spacing w:line="360" w:lineRule="auto"/>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ab/>
      </w:r>
    </w:p>
    <w:p w14:paraId="75D13E20"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highlight w:val="white"/>
        </w:rPr>
      </w:pPr>
      <w:r>
        <w:rPr>
          <w:rFonts w:ascii="Palatino Linotype" w:eastAsia="Palatino Linotype" w:hAnsi="Palatino Linotype" w:cs="Palatino Linotype"/>
          <w:highlight w:val="white"/>
        </w:rPr>
        <w:t xml:space="preserve">Los documentos antes listados, deben obrar invariablemente en el expediente personal de cada uno de los servidores públicos, puesto que son requisitos para el ingreso y permanencia al sector público. Sobre el expediente del personal de los Sujetos Obligados, es que resulta oportuno traer a contexto el contenido del artículo 98 fracción XVII, de la Ley anteriormente mencionada refiere que son obligaciones de las instituciones públicas, el </w:t>
      </w:r>
      <w:r>
        <w:rPr>
          <w:rFonts w:ascii="Palatino Linotype" w:eastAsia="Palatino Linotype" w:hAnsi="Palatino Linotype" w:cs="Palatino Linotype"/>
          <w:b/>
          <w:highlight w:val="white"/>
          <w:u w:val="single"/>
        </w:rPr>
        <w:t>integrar los expedientes de los servidores públicos</w:t>
      </w:r>
      <w:r>
        <w:rPr>
          <w:rFonts w:ascii="Palatino Linotype" w:eastAsia="Palatino Linotype" w:hAnsi="Palatino Linotype" w:cs="Palatino Linotype"/>
          <w:highlight w:val="white"/>
        </w:rPr>
        <w:t xml:space="preserve"> y proporcionar las constancias que éstos soliciten para el trámite de los asuntos de su </w:t>
      </w:r>
      <w:r>
        <w:rPr>
          <w:rFonts w:ascii="Palatino Linotype" w:eastAsia="Palatino Linotype" w:hAnsi="Palatino Linotype" w:cs="Palatino Linotype"/>
          <w:highlight w:val="white"/>
        </w:rPr>
        <w:lastRenderedPageBreak/>
        <w:t>interés en los términos que señalen los ordenamientos respectivos, se inserta su contenido íntegro:</w:t>
      </w:r>
    </w:p>
    <w:p w14:paraId="7749447D" w14:textId="77777777" w:rsidR="002714E7" w:rsidRDefault="00734FB5">
      <w:pPr>
        <w:spacing w:line="360" w:lineRule="auto"/>
        <w:ind w:left="567" w:right="616"/>
        <w:jc w:val="cente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TITULO CUARTO</w:t>
      </w:r>
    </w:p>
    <w:p w14:paraId="50D55AC8" w14:textId="77777777" w:rsidR="002714E7" w:rsidRDefault="00734FB5">
      <w:pPr>
        <w:spacing w:line="360" w:lineRule="auto"/>
        <w:ind w:left="567" w:right="616"/>
        <w:jc w:val="cente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De las Obligaciones de las Instituciones Públicas</w:t>
      </w:r>
    </w:p>
    <w:p w14:paraId="24088FBD" w14:textId="77777777" w:rsidR="002714E7" w:rsidRDefault="00734FB5">
      <w:pPr>
        <w:spacing w:line="360" w:lineRule="auto"/>
        <w:ind w:left="567" w:right="616"/>
        <w:jc w:val="cente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CAPITULO I</w:t>
      </w:r>
    </w:p>
    <w:p w14:paraId="777EFA68" w14:textId="77777777" w:rsidR="002714E7" w:rsidRDefault="00734FB5">
      <w:pPr>
        <w:spacing w:line="360" w:lineRule="auto"/>
        <w:ind w:left="567" w:right="616"/>
        <w:jc w:val="cente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De las Obligaciones en General</w:t>
      </w:r>
    </w:p>
    <w:p w14:paraId="5D596330" w14:textId="77777777" w:rsidR="002714E7" w:rsidRDefault="00734FB5">
      <w:pPr>
        <w:spacing w:line="360" w:lineRule="auto"/>
        <w:ind w:left="567" w:right="616"/>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ARTÍCULO 98. Son obligaciones de las instituciones públicas:</w:t>
      </w:r>
    </w:p>
    <w:p w14:paraId="493F0892" w14:textId="77777777" w:rsidR="002714E7" w:rsidRDefault="00734FB5">
      <w:pPr>
        <w:spacing w:line="360" w:lineRule="auto"/>
        <w:ind w:left="567" w:right="616"/>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p>
    <w:p w14:paraId="1238A49B" w14:textId="77777777" w:rsidR="002714E7" w:rsidRDefault="00734FB5">
      <w:pPr>
        <w:spacing w:line="360" w:lineRule="auto"/>
        <w:ind w:left="567" w:right="616"/>
        <w:jc w:val="both"/>
        <w:rPr>
          <w:rFonts w:ascii="Palatino Linotype" w:eastAsia="Palatino Linotype" w:hAnsi="Palatino Linotype" w:cs="Palatino Linotype"/>
          <w:b/>
          <w:i/>
          <w:highlight w:val="white"/>
        </w:rPr>
      </w:pPr>
      <w:r>
        <w:rPr>
          <w:rFonts w:ascii="Palatino Linotype" w:eastAsia="Palatino Linotype" w:hAnsi="Palatino Linotype" w:cs="Palatino Linotype"/>
          <w:i/>
          <w:highlight w:val="white"/>
        </w:rPr>
        <w:t xml:space="preserve">XVII. Integrar los expedientes de los servidores públicos y </w:t>
      </w:r>
      <w:r>
        <w:rPr>
          <w:rFonts w:ascii="Palatino Linotype" w:eastAsia="Palatino Linotype" w:hAnsi="Palatino Linotype" w:cs="Palatino Linotype"/>
          <w:b/>
          <w:i/>
          <w:highlight w:val="white"/>
        </w:rPr>
        <w:t>proporcionar las constancias que éstos soliciten para el trámite de los asuntos de su interés en los términos que señalen los ordenamientos respectivos.</w:t>
      </w:r>
    </w:p>
    <w:p w14:paraId="220F8070" w14:textId="77777777" w:rsidR="002714E7" w:rsidRDefault="002714E7">
      <w:pPr>
        <w:pBdr>
          <w:top w:val="nil"/>
          <w:left w:val="nil"/>
          <w:bottom w:val="nil"/>
          <w:right w:val="nil"/>
          <w:between w:val="nil"/>
        </w:pBdr>
        <w:spacing w:line="360" w:lineRule="auto"/>
        <w:jc w:val="center"/>
        <w:rPr>
          <w:rFonts w:ascii="Palatino Linotype" w:eastAsia="Palatino Linotype" w:hAnsi="Palatino Linotype" w:cs="Palatino Linotype"/>
          <w:highlight w:val="white"/>
        </w:rPr>
      </w:pPr>
    </w:p>
    <w:p w14:paraId="47BF1005"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Acotado lo anterior, al ya existir un pronunciamiento expreso de la servidora pública referida en la solicitud de información y del servidor público habilitado en respuesta y posteriormente en calidad de informe justificado, no se estima dable ordenar una nueva búsqueda de la información al ya estar demostrado que no se cuenta con el documento, al intentar obtenerlo para dar atención a la solicitud de información interpuesta.</w:t>
      </w:r>
    </w:p>
    <w:p w14:paraId="07D666A9"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highlight w:val="white"/>
        </w:rPr>
      </w:pPr>
    </w:p>
    <w:p w14:paraId="472D28E0"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color w:val="000000"/>
          <w:highlight w:val="white"/>
        </w:rPr>
        <w:lastRenderedPageBreak/>
        <w:t xml:space="preserve">Luego entonces lo procedente es ordenar la entrega del acuerdo de inexistencia correspondiente </w:t>
      </w:r>
      <w:r>
        <w:rPr>
          <w:rFonts w:ascii="Palatino Linotype" w:eastAsia="Palatino Linotype" w:hAnsi="Palatino Linotype" w:cs="Palatino Linotype"/>
          <w:highlight w:val="white"/>
        </w:rPr>
        <w:t xml:space="preserve">que confirme la inexistencia de la información solicitada por parte del Comité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Pr>
          <w:rFonts w:ascii="Palatino Linotype" w:eastAsia="Palatino Linotype" w:hAnsi="Palatino Linotype" w:cs="Palatino Linotype"/>
          <w:b/>
          <w:highlight w:val="white"/>
        </w:rPr>
        <w:t>RECURRENTE</w:t>
      </w:r>
      <w:r>
        <w:rPr>
          <w:rFonts w:ascii="Palatino Linotype" w:eastAsia="Palatino Linotype" w:hAnsi="Palatino Linotype" w:cs="Palatino Linotype"/>
          <w:highlight w:val="white"/>
        </w:rPr>
        <w:t xml:space="preserve"> y comprobar la inexistencia de la información.</w:t>
      </w:r>
    </w:p>
    <w:p w14:paraId="2A85FE28" w14:textId="77777777" w:rsidR="002714E7" w:rsidRDefault="002714E7">
      <w:pPr>
        <w:spacing w:line="360" w:lineRule="auto"/>
        <w:jc w:val="both"/>
        <w:rPr>
          <w:rFonts w:ascii="Palatino Linotype" w:eastAsia="Palatino Linotype" w:hAnsi="Palatino Linotype" w:cs="Palatino Linotype"/>
          <w:highlight w:val="white"/>
        </w:rPr>
      </w:pPr>
    </w:p>
    <w:p w14:paraId="717403C5"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Tiene </w:t>
      </w:r>
      <w:r>
        <w:rPr>
          <w:rFonts w:ascii="Palatino Linotype" w:eastAsia="Palatino Linotype" w:hAnsi="Palatino Linotype" w:cs="Palatino Linotype"/>
          <w:color w:val="000000"/>
          <w:highlight w:val="white"/>
        </w:rPr>
        <w:t>aplicación</w:t>
      </w:r>
      <w:r>
        <w:rPr>
          <w:rFonts w:ascii="Palatino Linotype" w:eastAsia="Palatino Linotype" w:hAnsi="Palatino Linotype" w:cs="Palatino Linotype"/>
          <w:highlight w:val="white"/>
        </w:rPr>
        <w:t xml:space="preserve"> al respecto el criterio de interpretación en el orden administrativo número 0004-11 emitido por este Instituto, cuyo contenido es del tenor literal siguiente:</w:t>
      </w:r>
    </w:p>
    <w:p w14:paraId="0AC18219"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3CA8B15B" w14:textId="77777777" w:rsidR="002714E7" w:rsidRDefault="00734FB5">
      <w:pPr>
        <w:spacing w:line="360" w:lineRule="auto"/>
        <w:ind w:left="851" w:right="902"/>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r>
        <w:rPr>
          <w:rFonts w:ascii="Palatino Linotype" w:eastAsia="Palatino Linotype" w:hAnsi="Palatino Linotype" w:cs="Palatino Linotype"/>
          <w:b/>
          <w:i/>
          <w:highlight w:val="white"/>
        </w:rPr>
        <w:t>INEXISTENCIA. DECLARATORIA DE LA. ALCANCES Y PROCEDIMIENTOS</w:t>
      </w:r>
      <w:r>
        <w:rPr>
          <w:rFonts w:ascii="Palatino Linotype" w:eastAsia="Palatino Linotype" w:hAnsi="Palatino Linotype" w:cs="Palatino Linotype"/>
          <w:i/>
          <w:highlight w:val="white"/>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w:t>
      </w:r>
      <w:r>
        <w:rPr>
          <w:rFonts w:ascii="Palatino Linotype" w:eastAsia="Palatino Linotype" w:hAnsi="Palatino Linotype" w:cs="Palatino Linotype"/>
          <w:i/>
          <w:highlight w:val="white"/>
        </w:rPr>
        <w:lastRenderedPageBreak/>
        <w:t xml:space="preserve">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2EA8B358" w14:textId="77777777" w:rsidR="002714E7" w:rsidRDefault="00734FB5">
      <w:pPr>
        <w:spacing w:line="360" w:lineRule="auto"/>
        <w:ind w:left="851" w:right="902"/>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Bajo el entendido de que dicha búsqueda exhaustiva permitirá dos determinaciones: </w:t>
      </w:r>
    </w:p>
    <w:p w14:paraId="18F51528" w14:textId="77777777" w:rsidR="002714E7" w:rsidRDefault="00734FB5">
      <w:pPr>
        <w:spacing w:line="360" w:lineRule="auto"/>
        <w:ind w:left="851" w:right="902"/>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t>1ª)</w:t>
      </w:r>
      <w:r>
        <w:rPr>
          <w:rFonts w:ascii="Palatino Linotype" w:eastAsia="Palatino Linotype" w:hAnsi="Palatino Linotype" w:cs="Palatino Linotype"/>
          <w:i/>
          <w:highlight w:val="white"/>
        </w:rPr>
        <w:t xml:space="preserve"> Que se localice la documentación que contenga la información solicitada y de ser así la información pueda entregarse al solicitante en la forma en que se encuentra disponible, o </w:t>
      </w:r>
    </w:p>
    <w:p w14:paraId="0D395F60" w14:textId="77777777" w:rsidR="002714E7" w:rsidRDefault="00734FB5">
      <w:pPr>
        <w:spacing w:line="360" w:lineRule="auto"/>
        <w:ind w:left="851" w:right="902"/>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lastRenderedPageBreak/>
        <w:t>2ª)</w:t>
      </w:r>
      <w:r>
        <w:rPr>
          <w:rFonts w:ascii="Palatino Linotype" w:eastAsia="Palatino Linotype" w:hAnsi="Palatino Linotype" w:cs="Palatino Linotype"/>
          <w:i/>
          <w:highlight w:val="white"/>
        </w:rPr>
        <w:t xml:space="preserve"> Que no se haya encontrado documento alguno que contenga la información requerida, por lo </w:t>
      </w:r>
      <w:proofErr w:type="gramStart"/>
      <w:r>
        <w:rPr>
          <w:rFonts w:ascii="Palatino Linotype" w:eastAsia="Palatino Linotype" w:hAnsi="Palatino Linotype" w:cs="Palatino Linotype"/>
          <w:i/>
          <w:highlight w:val="white"/>
        </w:rPr>
        <w:t>que</w:t>
      </w:r>
      <w:proofErr w:type="gramEnd"/>
      <w:r>
        <w:rPr>
          <w:rFonts w:ascii="Palatino Linotype" w:eastAsia="Palatino Linotype" w:hAnsi="Palatino Linotype" w:cs="Palatino Linotype"/>
          <w:i/>
          <w:highlight w:val="white"/>
        </w:rPr>
        <w:t xml:space="preserve"> agotadas las medidas necesarias de búsqueda de la información y de no encontrarla, el Comité de Información deba emitir el dictamen de declaratoria de inexistencia y notificarlo al interesado. </w:t>
      </w:r>
    </w:p>
    <w:p w14:paraId="6D0C900F" w14:textId="77777777" w:rsidR="002714E7" w:rsidRDefault="00734FB5">
      <w:pPr>
        <w:spacing w:line="360" w:lineRule="auto"/>
        <w:ind w:left="851" w:right="902"/>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Pr>
          <w:rFonts w:ascii="Palatino Linotype" w:eastAsia="Palatino Linotype" w:hAnsi="Palatino Linotype" w:cs="Palatino Linotype"/>
          <w:i/>
          <w:highlight w:val="white"/>
        </w:rPr>
        <w:t>aquéllas</w:t>
      </w:r>
      <w:proofErr w:type="gramEnd"/>
      <w:r>
        <w:rPr>
          <w:rFonts w:ascii="Palatino Linotype" w:eastAsia="Palatino Linotype" w:hAnsi="Palatino Linotype" w:cs="Palatino Linotype"/>
          <w:i/>
          <w:highlight w:val="white"/>
        </w:rPr>
        <w:t xml:space="preserve"> circunstancias que se tomaron en cuenta para llegar a determinar que la información requerida no obra en los archivos a cargo.”</w:t>
      </w:r>
    </w:p>
    <w:p w14:paraId="15FF7368" w14:textId="77777777" w:rsidR="002714E7" w:rsidRDefault="002714E7">
      <w:pPr>
        <w:spacing w:line="360" w:lineRule="auto"/>
        <w:ind w:left="851" w:right="900"/>
        <w:jc w:val="both"/>
        <w:rPr>
          <w:rFonts w:ascii="Palatino Linotype" w:eastAsia="Palatino Linotype" w:hAnsi="Palatino Linotype" w:cs="Palatino Linotype"/>
          <w:highlight w:val="white"/>
        </w:rPr>
      </w:pPr>
    </w:p>
    <w:p w14:paraId="03FB1C40"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w:t>
      </w:r>
      <w:r>
        <w:rPr>
          <w:rFonts w:ascii="Palatino Linotype" w:eastAsia="Palatino Linotype" w:hAnsi="Palatino Linotype" w:cs="Palatino Linotype"/>
          <w:b/>
          <w:highlight w:val="white"/>
        </w:rPr>
        <w:t xml:space="preserve">EL SUJETO </w:t>
      </w:r>
      <w:r>
        <w:rPr>
          <w:rFonts w:ascii="Palatino Linotype" w:eastAsia="Palatino Linotype" w:hAnsi="Palatino Linotype" w:cs="Palatino Linotype"/>
          <w:b/>
          <w:highlight w:val="white"/>
        </w:rPr>
        <w:lastRenderedPageBreak/>
        <w:t>OBLIGADO</w:t>
      </w:r>
      <w:r>
        <w:rPr>
          <w:rFonts w:ascii="Palatino Linotype" w:eastAsia="Palatino Linotype" w:hAnsi="Palatino Linotype" w:cs="Palatino Linotype"/>
          <w:highlight w:val="white"/>
        </w:rPr>
        <w:t xml:space="preserve"> debió de haber generado, administrado o poseído la información pero en incumplimiento a la norma no lo llevo a cabo. Tal como se lee del criterio que para mayor referencia se transcribe a continuación:</w:t>
      </w:r>
    </w:p>
    <w:p w14:paraId="537770F5" w14:textId="77777777" w:rsidR="002714E7" w:rsidRDefault="002714E7">
      <w:pPr>
        <w:spacing w:line="360" w:lineRule="auto"/>
        <w:jc w:val="both"/>
        <w:rPr>
          <w:rFonts w:ascii="Palatino Linotype" w:eastAsia="Palatino Linotype" w:hAnsi="Palatino Linotype" w:cs="Palatino Linotype"/>
          <w:highlight w:val="white"/>
        </w:rPr>
      </w:pPr>
    </w:p>
    <w:p w14:paraId="28353934" w14:textId="77777777" w:rsidR="002714E7" w:rsidRDefault="00734FB5">
      <w:pPr>
        <w:spacing w:line="360" w:lineRule="auto"/>
        <w:ind w:left="851" w:right="902"/>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r>
        <w:rPr>
          <w:rFonts w:ascii="Palatino Linotype" w:eastAsia="Palatino Linotype" w:hAnsi="Palatino Linotype" w:cs="Palatino Linotype"/>
          <w:b/>
          <w:i/>
          <w:highlight w:val="white"/>
        </w:rPr>
        <w:t>INEXISTENCIA, CONCEPTO DE, EN MATERIA DE TRANSPARENCIA</w:t>
      </w:r>
      <w:r>
        <w:rPr>
          <w:rFonts w:ascii="Palatino Linotype" w:eastAsia="Palatino Linotype" w:hAnsi="Palatino Linotype" w:cs="Palatino Linotype"/>
          <w:i/>
          <w:highlight w:val="white"/>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Pr>
          <w:rFonts w:ascii="Palatino Linotype" w:eastAsia="Palatino Linotype" w:hAnsi="Palatino Linotype" w:cs="Palatino Linotype"/>
          <w:b/>
          <w:i/>
          <w:highlight w:val="white"/>
        </w:rPr>
        <w:t>supuestos:</w:t>
      </w:r>
      <w:r>
        <w:rPr>
          <w:rFonts w:ascii="Palatino Linotype" w:eastAsia="Palatino Linotype" w:hAnsi="Palatino Linotype" w:cs="Palatino Linotype"/>
          <w:i/>
          <w:highlight w:val="white"/>
        </w:rPr>
        <w:t xml:space="preserve"> </w:t>
      </w:r>
    </w:p>
    <w:p w14:paraId="1CE03D56" w14:textId="77777777" w:rsidR="002714E7" w:rsidRDefault="00734FB5">
      <w:pPr>
        <w:numPr>
          <w:ilvl w:val="0"/>
          <w:numId w:val="7"/>
        </w:numPr>
        <w:tabs>
          <w:tab w:val="left" w:pos="1276"/>
        </w:tabs>
        <w:spacing w:line="360" w:lineRule="auto"/>
        <w:ind w:left="993" w:right="902" w:firstLine="0"/>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619DBD9E" w14:textId="77777777" w:rsidR="002714E7" w:rsidRDefault="00734FB5">
      <w:pPr>
        <w:numPr>
          <w:ilvl w:val="0"/>
          <w:numId w:val="7"/>
        </w:numPr>
        <w:tabs>
          <w:tab w:val="left" w:pos="1276"/>
        </w:tabs>
        <w:spacing w:line="360" w:lineRule="auto"/>
        <w:ind w:left="993" w:right="902" w:firstLine="0"/>
        <w:jc w:val="both"/>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 xml:space="preserve">En los casos en que por las atribuciones conferidas al Sujeto Obligado éste debió generar, administrar o poseer la información, pero en incumplimiento a la normatividad respectiva no llevó a cabo ninguna de esas acciones. </w:t>
      </w:r>
    </w:p>
    <w:p w14:paraId="7B804B22" w14:textId="77777777" w:rsidR="002714E7" w:rsidRDefault="00734FB5">
      <w:pPr>
        <w:spacing w:line="360" w:lineRule="auto"/>
        <w:ind w:left="851" w:right="902"/>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lastRenderedPageBreak/>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3CF5768" w14:textId="77777777" w:rsidR="002714E7" w:rsidRDefault="002714E7">
      <w:pPr>
        <w:spacing w:line="360" w:lineRule="auto"/>
        <w:ind w:left="851" w:right="902"/>
        <w:jc w:val="both"/>
        <w:rPr>
          <w:rFonts w:ascii="Palatino Linotype" w:eastAsia="Palatino Linotype" w:hAnsi="Palatino Linotype" w:cs="Palatino Linotype"/>
          <w:i/>
          <w:highlight w:val="white"/>
        </w:rPr>
      </w:pPr>
    </w:p>
    <w:p w14:paraId="4458F497"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Por tanto, la declaratoria de inexistencia no es un mero trámite por el cual de manera mecánica o simple manifieste que la información no existe en sus archivos</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highlight w:val="white"/>
        </w:rPr>
        <w:t xml:space="preserve">cuando la misma por disposición legal debería de obrar, sino que su contenido y alcance implica la responsabilidad y atribución del Comité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highlight w:val="white"/>
        </w:rPr>
        <w:t>de instruir una búsqueda exhaustiva a todas y cada una de las áreas administrativas de las que se compone, que permitirá:</w:t>
      </w:r>
    </w:p>
    <w:p w14:paraId="23AC2D75" w14:textId="77777777" w:rsidR="002714E7" w:rsidRDefault="00734FB5">
      <w:pPr>
        <w:numPr>
          <w:ilvl w:val="0"/>
          <w:numId w:val="8"/>
        </w:num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Que se localice la documentación que contenga la información solicitada. En este caso habrá que señalar </w:t>
      </w:r>
      <w:proofErr w:type="gramStart"/>
      <w:r>
        <w:rPr>
          <w:rFonts w:ascii="Palatino Linotype" w:eastAsia="Palatino Linotype" w:hAnsi="Palatino Linotype" w:cs="Palatino Linotype"/>
          <w:highlight w:val="white"/>
        </w:rPr>
        <w:t>que</w:t>
      </w:r>
      <w:proofErr w:type="gramEnd"/>
      <w:r>
        <w:rPr>
          <w:rFonts w:ascii="Palatino Linotype" w:eastAsia="Palatino Linotype" w:hAnsi="Palatino Linotype" w:cs="Palatino Linotype"/>
          <w:highlight w:val="white"/>
        </w:rPr>
        <w:t xml:space="preserve"> de acuerdo con las disposiciones transcritas, la información puede obrar en sus archivos ya sea porque la genera, la administra o simplemente la posee.</w:t>
      </w:r>
    </w:p>
    <w:p w14:paraId="1F58AADC" w14:textId="77777777" w:rsidR="002714E7" w:rsidRDefault="002714E7">
      <w:pPr>
        <w:spacing w:line="360" w:lineRule="auto"/>
        <w:ind w:left="720"/>
        <w:jc w:val="both"/>
        <w:rPr>
          <w:rFonts w:ascii="Palatino Linotype" w:eastAsia="Palatino Linotype" w:hAnsi="Palatino Linotype" w:cs="Palatino Linotype"/>
          <w:highlight w:val="white"/>
        </w:rPr>
      </w:pPr>
    </w:p>
    <w:p w14:paraId="279F8D18"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De actualizarse esta primera hipótesis, la información debe entregarse a la parte </w:t>
      </w:r>
      <w:r>
        <w:rPr>
          <w:rFonts w:ascii="Palatino Linotype" w:eastAsia="Palatino Linotype" w:hAnsi="Palatino Linotype" w:cs="Palatino Linotype"/>
          <w:b/>
          <w:highlight w:val="white"/>
        </w:rPr>
        <w:t>RECURRENTE</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a través del o los documentos fuente.</w:t>
      </w:r>
    </w:p>
    <w:p w14:paraId="2EF49D06" w14:textId="77777777" w:rsidR="002714E7" w:rsidRDefault="002714E7">
      <w:pPr>
        <w:spacing w:line="360" w:lineRule="auto"/>
        <w:ind w:left="720"/>
        <w:jc w:val="both"/>
        <w:rPr>
          <w:rFonts w:ascii="Palatino Linotype" w:eastAsia="Palatino Linotype" w:hAnsi="Palatino Linotype" w:cs="Palatino Linotype"/>
          <w:highlight w:val="white"/>
        </w:rPr>
      </w:pPr>
    </w:p>
    <w:p w14:paraId="7938B7B5" w14:textId="77777777" w:rsidR="002714E7" w:rsidRDefault="00734FB5">
      <w:pPr>
        <w:numPr>
          <w:ilvl w:val="0"/>
          <w:numId w:val="8"/>
        </w:num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Que no se localizó documento alguno que contenga la información requerida, en este supuesto, el Comité de Transparencia deberá resolver la declaratoria de inexistencia de la información y notificar al recurrente</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y a este Pleno.</w:t>
      </w:r>
    </w:p>
    <w:p w14:paraId="0FEC945E" w14:textId="77777777" w:rsidR="002714E7" w:rsidRDefault="002714E7">
      <w:pPr>
        <w:spacing w:line="360" w:lineRule="auto"/>
        <w:ind w:left="720"/>
        <w:jc w:val="both"/>
        <w:rPr>
          <w:rFonts w:ascii="Palatino Linotype" w:eastAsia="Palatino Linotype" w:hAnsi="Palatino Linotype" w:cs="Palatino Linotype"/>
          <w:highlight w:val="white"/>
        </w:rPr>
      </w:pPr>
    </w:p>
    <w:p w14:paraId="02048623" w14:textId="77777777" w:rsidR="002714E7" w:rsidRDefault="00734FB5">
      <w:pPr>
        <w:numPr>
          <w:ilvl w:val="0"/>
          <w:numId w:val="8"/>
        </w:numPr>
        <w:spacing w:line="360" w:lineRule="auto"/>
        <w:ind w:left="714" w:hanging="357"/>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Que se ordene siempre que sea materialmente posible, que se genere o reponga la información en caso de que ésta tuviera que existir, derivado del ejercicio de sus facultades.</w:t>
      </w:r>
    </w:p>
    <w:p w14:paraId="029A91BC" w14:textId="77777777" w:rsidR="002714E7" w:rsidRDefault="002714E7">
      <w:pPr>
        <w:spacing w:line="360" w:lineRule="auto"/>
        <w:ind w:left="714"/>
        <w:jc w:val="both"/>
        <w:rPr>
          <w:rFonts w:ascii="Palatino Linotype" w:eastAsia="Palatino Linotype" w:hAnsi="Palatino Linotype" w:cs="Palatino Linotype"/>
          <w:highlight w:val="white"/>
        </w:rPr>
      </w:pPr>
    </w:p>
    <w:p w14:paraId="7ED5826E"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5FF9C272"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highlight w:val="white"/>
        </w:rPr>
      </w:pPr>
    </w:p>
    <w:p w14:paraId="0BA577CB"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Seguidamente devienen las solicitudes de información 00095/</w:t>
      </w:r>
      <w:r>
        <w:rPr>
          <w:rFonts w:ascii="Palatino Linotype" w:eastAsia="Palatino Linotype" w:hAnsi="Palatino Linotype" w:cs="Palatino Linotype"/>
          <w:highlight w:val="white"/>
        </w:rPr>
        <w:t>TLALMANA</w:t>
      </w:r>
      <w:r>
        <w:rPr>
          <w:rFonts w:ascii="Palatino Linotype" w:eastAsia="Palatino Linotype" w:hAnsi="Palatino Linotype" w:cs="Palatino Linotype"/>
          <w:color w:val="000000"/>
          <w:highlight w:val="white"/>
        </w:rPr>
        <w:t>/IP/2024, 00096/</w:t>
      </w:r>
      <w:r>
        <w:rPr>
          <w:rFonts w:ascii="Palatino Linotype" w:eastAsia="Palatino Linotype" w:hAnsi="Palatino Linotype" w:cs="Palatino Linotype"/>
          <w:highlight w:val="white"/>
        </w:rPr>
        <w:t>TLALMANA</w:t>
      </w:r>
      <w:r>
        <w:rPr>
          <w:rFonts w:ascii="Palatino Linotype" w:eastAsia="Palatino Linotype" w:hAnsi="Palatino Linotype" w:cs="Palatino Linotype"/>
          <w:color w:val="000000"/>
          <w:highlight w:val="white"/>
        </w:rPr>
        <w:t>/IP/2024, 00097/</w:t>
      </w:r>
      <w:r>
        <w:rPr>
          <w:rFonts w:ascii="Palatino Linotype" w:eastAsia="Palatino Linotype" w:hAnsi="Palatino Linotype" w:cs="Palatino Linotype"/>
          <w:highlight w:val="white"/>
        </w:rPr>
        <w:t>TLALMANA</w:t>
      </w:r>
      <w:r>
        <w:rPr>
          <w:rFonts w:ascii="Palatino Linotype" w:eastAsia="Palatino Linotype" w:hAnsi="Palatino Linotype" w:cs="Palatino Linotype"/>
          <w:color w:val="000000"/>
          <w:highlight w:val="white"/>
        </w:rPr>
        <w:t>/IP/2024 que dio origen al Recurso de Revisión</w:t>
      </w:r>
      <w:r>
        <w:rPr>
          <w:rFonts w:ascii="Palatino Linotype" w:eastAsia="Palatino Linotype" w:hAnsi="Palatino Linotype" w:cs="Palatino Linotype"/>
          <w:highlight w:val="white"/>
        </w:rPr>
        <w:t xml:space="preserve"> </w:t>
      </w:r>
      <w:r>
        <w:rPr>
          <w:rFonts w:ascii="Palatino Linotype" w:eastAsia="Palatino Linotype" w:hAnsi="Palatino Linotype" w:cs="Palatino Linotype"/>
          <w:color w:val="000000"/>
          <w:highlight w:val="white"/>
        </w:rPr>
        <w:t>04892/INFOEM/IP/RR/2024, 04893/INFOEM/IP/RR/2024, 04894/INFOEM/IP/RR/2024 que al igual que el diverso anterior existieron actos consentidos por lo que en obvio de repeticiones innecesarias se omite su concepto.</w:t>
      </w:r>
    </w:p>
    <w:p w14:paraId="65F15B32"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lastRenderedPageBreak/>
        <w:t>Ahora bien, del Recurso en comento se tuvo a bien impugnar lo relativo a Listas de asistencia con horario de entrada y salida del mes de enero del 2022 al 30 de junio del 2024. Contexto que ciertamente se advierte procedente en virtud que del soporte documental remitido en respuesta no se advierten sus listas de asistencia.</w:t>
      </w:r>
    </w:p>
    <w:p w14:paraId="77446CB2"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170AD936"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Contexto que se replicó en calidad de informe justificado al informar el servidor público habilitado de la Coordinación de Recursos Humanos que no genera lista. No </w:t>
      </w:r>
      <w:proofErr w:type="gramStart"/>
      <w:r>
        <w:rPr>
          <w:rFonts w:ascii="Palatino Linotype" w:eastAsia="Palatino Linotype" w:hAnsi="Palatino Linotype" w:cs="Palatino Linotype"/>
          <w:color w:val="000000"/>
          <w:highlight w:val="white"/>
        </w:rPr>
        <w:t>obstante</w:t>
      </w:r>
      <w:proofErr w:type="gramEnd"/>
      <w:r>
        <w:rPr>
          <w:rFonts w:ascii="Palatino Linotype" w:eastAsia="Palatino Linotype" w:hAnsi="Palatino Linotype" w:cs="Palatino Linotype"/>
          <w:color w:val="000000"/>
          <w:highlight w:val="white"/>
        </w:rPr>
        <w:t xml:space="preserve"> como ya quedó asentado en el anterior Párrafo 48, el </w:t>
      </w:r>
      <w:r>
        <w:rPr>
          <w:rFonts w:ascii="Palatino Linotype" w:eastAsia="Palatino Linotype" w:hAnsi="Palatino Linotype" w:cs="Palatino Linotype"/>
          <w:b/>
          <w:color w:val="000000"/>
          <w:highlight w:val="white"/>
        </w:rPr>
        <w:t>SUJETO OBLIGADO</w:t>
      </w:r>
      <w:r>
        <w:rPr>
          <w:rFonts w:ascii="Palatino Linotype" w:eastAsia="Palatino Linotype" w:hAnsi="Palatino Linotype" w:cs="Palatino Linotype"/>
          <w:color w:val="000000"/>
          <w:highlight w:val="white"/>
        </w:rPr>
        <w:t xml:space="preserve"> cuenta con un marco normativo que lo constriñe a generarlas, poseerlas y administrarlas.</w:t>
      </w:r>
    </w:p>
    <w:p w14:paraId="163B9981" w14:textId="77777777" w:rsidR="002714E7" w:rsidRDefault="002714E7">
      <w:pPr>
        <w:pBdr>
          <w:top w:val="nil"/>
          <w:left w:val="nil"/>
          <w:bottom w:val="nil"/>
          <w:right w:val="nil"/>
          <w:between w:val="nil"/>
        </w:pBdr>
        <w:ind w:left="720"/>
        <w:rPr>
          <w:rFonts w:ascii="Palatino Linotype" w:eastAsia="Palatino Linotype" w:hAnsi="Palatino Linotype" w:cs="Palatino Linotype"/>
          <w:color w:val="000000"/>
          <w:highlight w:val="white"/>
        </w:rPr>
      </w:pPr>
    </w:p>
    <w:p w14:paraId="077C95C6"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En esa misma tesitura es que la hoy </w:t>
      </w:r>
      <w:r>
        <w:rPr>
          <w:rFonts w:ascii="Palatino Linotype" w:eastAsia="Palatino Linotype" w:hAnsi="Palatino Linotype" w:cs="Palatino Linotype"/>
          <w:b/>
          <w:color w:val="000000"/>
          <w:highlight w:val="white"/>
        </w:rPr>
        <w:t>RECURRENTE</w:t>
      </w:r>
      <w:r>
        <w:rPr>
          <w:rFonts w:ascii="Palatino Linotype" w:eastAsia="Palatino Linotype" w:hAnsi="Palatino Linotype" w:cs="Palatino Linotype"/>
          <w:color w:val="000000"/>
          <w:highlight w:val="white"/>
        </w:rPr>
        <w:t xml:space="preserve"> cita en su escrito </w:t>
      </w:r>
      <w:proofErr w:type="spellStart"/>
      <w:r>
        <w:rPr>
          <w:rFonts w:ascii="Palatino Linotype" w:eastAsia="Palatino Linotype" w:hAnsi="Palatino Linotype" w:cs="Palatino Linotype"/>
          <w:color w:val="000000"/>
          <w:highlight w:val="white"/>
        </w:rPr>
        <w:t>recursal</w:t>
      </w:r>
      <w:proofErr w:type="spellEnd"/>
      <w:r>
        <w:rPr>
          <w:rFonts w:ascii="Palatino Linotype" w:eastAsia="Palatino Linotype" w:hAnsi="Palatino Linotype" w:cs="Palatino Linotype"/>
          <w:color w:val="000000"/>
          <w:highlight w:val="white"/>
        </w:rPr>
        <w:t xml:space="preserve"> al Manual de Organización de la Tesorería Municipal, en su Artículo 49, por establecer lo siguiente:</w:t>
      </w:r>
    </w:p>
    <w:p w14:paraId="518A9157"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4BF68A3A" w14:textId="77777777" w:rsidR="002714E7" w:rsidRDefault="00734FB5">
      <w:pPr>
        <w:pBdr>
          <w:top w:val="nil"/>
          <w:left w:val="nil"/>
          <w:bottom w:val="nil"/>
          <w:right w:val="nil"/>
          <w:between w:val="nil"/>
        </w:pBdr>
        <w:spacing w:line="360" w:lineRule="auto"/>
        <w:ind w:left="720" w:right="539"/>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color w:val="000000"/>
          <w:highlight w:val="white"/>
        </w:rPr>
        <w:t>“</w:t>
      </w:r>
      <w:r>
        <w:rPr>
          <w:rFonts w:ascii="Palatino Linotype" w:eastAsia="Palatino Linotype" w:hAnsi="Palatino Linotype" w:cs="Palatino Linotype"/>
          <w:i/>
          <w:color w:val="000000"/>
          <w:highlight w:val="white"/>
        </w:rPr>
        <w:t xml:space="preserve">Artículo 49. La Coordinación de Recursos Humanos, es el área encargada de planear, organizar, dirigir y controlar los recursos humanos necesarios para el desempeño eficiente de las funciones y atribuciones de la administración pública municipal, teniendo como atribuciones las siguientes: V. Controlar, los movimientos administrativos del personal que labora en la administración pública </w:t>
      </w:r>
      <w:r>
        <w:rPr>
          <w:rFonts w:ascii="Palatino Linotype" w:eastAsia="Palatino Linotype" w:hAnsi="Palatino Linotype" w:cs="Palatino Linotype"/>
          <w:i/>
          <w:color w:val="000000"/>
          <w:highlight w:val="white"/>
        </w:rPr>
        <w:lastRenderedPageBreak/>
        <w:t>municipal, como alta, baja, control de asistencia de entrada, salida, licencias, permisos, incapacidades, reportes, periodos vacaciones, días económicos, pensiones alimenticias y cambio de adscripción, incluyendo en su caso a los miembros del cuerpo de seguridad pública municipal;</w:t>
      </w:r>
    </w:p>
    <w:p w14:paraId="4C21A1D2" w14:textId="77777777" w:rsidR="002714E7" w:rsidRDefault="00734FB5">
      <w:pPr>
        <w:pBdr>
          <w:top w:val="nil"/>
          <w:left w:val="nil"/>
          <w:bottom w:val="nil"/>
          <w:right w:val="nil"/>
          <w:between w:val="nil"/>
        </w:pBdr>
        <w:spacing w:line="360" w:lineRule="auto"/>
        <w:ind w:left="720" w:right="539"/>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w:t>
      </w:r>
    </w:p>
    <w:p w14:paraId="4149CB75"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470F1CFF"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Por lo que en adición a lo ya establecido en el análisis del anterior Párrafo 48, lo procedente es realizar una nueva búsqueda exhaustiva y razonable de lo solicitado y de ser el caso que prevalezca la no localización, el documento en que conste la exención de registro en los términos ya establecidos. </w:t>
      </w:r>
    </w:p>
    <w:p w14:paraId="29D84625"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6907B54F"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Ahora bien, de manera particular en el Recurso de Revisión 04894/INFOEM/IP/RR/2024 y, se impugno lo relativo al documento que acredite no estar Inscrito en el Registro de Deudores Alimentarios Morosos y el informe detallado de las funciones y atribuciones específicas de los distintos cargos y/o puestos que se le haya asignado en las distintas Áreas de la Administración 2022-2024 el cual dio inicio en el mes del 01 enero del 2022 al 30 de junio del 2024.</w:t>
      </w:r>
    </w:p>
    <w:p w14:paraId="67C3768E"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50A82424"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Relativo a la lista de asistencia, reitera no generarlas, por lo que en relatadas circunstancias lo procedente es ordenar la nueva búsqueda exhaustiva y razonable en </w:t>
      </w:r>
      <w:r>
        <w:rPr>
          <w:rFonts w:ascii="Palatino Linotype" w:eastAsia="Palatino Linotype" w:hAnsi="Palatino Linotype" w:cs="Palatino Linotype"/>
          <w:color w:val="000000"/>
          <w:highlight w:val="white"/>
        </w:rPr>
        <w:lastRenderedPageBreak/>
        <w:t>los términos ya planteados. Relativo a la Constancia No Deudor Alimentario Moroso no se remite soporte documental al respecto, por lo que es dable ordenar su entrega en términos del marco normativo que se ha señalado con anterioridad.</w:t>
      </w:r>
    </w:p>
    <w:p w14:paraId="5D7F4AE6"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776940E1"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Finalmente respecto de las facultades y atribuciones, se refiere en informe justificado que no se generan informes detallados de funciones; al respecto si bien es cierto se colige que no se generen funciones detalladas específicamente al servidor público del que se requiere la información, si se generan para las áreas administrativas que integran la estructura orgánica del Ayuntamiento, en el caso concreto de la Coordinación de Adquisiciones en donde el servidor público señalado tiene el cargo de Coordinador de Adquisiciones de conformidad con los recibos de nómina remitidos en respuesta. Luego entonces, de acuerdo de manera enunciativa mas no limitativa, el Manual de Procedimientos de la Tesorería Municipal vigente para el año en curso, se advierte que se encuentran disgregadas las funciones y atribuciones de sus áreas administrativas que lo conforman y que les son inherentes a los servidores públicos que se encuentren adscritos a esas áreas, como se advierte del siguiente ejemplo:</w:t>
      </w:r>
    </w:p>
    <w:p w14:paraId="1BEAE416"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1D3CECA5" w14:textId="77777777" w:rsidR="002714E7" w:rsidRDefault="00734FB5">
      <w:pPr>
        <w:pBdr>
          <w:top w:val="nil"/>
          <w:left w:val="nil"/>
          <w:bottom w:val="nil"/>
          <w:right w:val="nil"/>
          <w:between w:val="nil"/>
        </w:pBdr>
        <w:spacing w:line="360" w:lineRule="auto"/>
        <w:jc w:val="center"/>
        <w:rPr>
          <w:rFonts w:ascii="Palatino Linotype" w:eastAsia="Palatino Linotype" w:hAnsi="Palatino Linotype" w:cs="Palatino Linotype"/>
          <w:color w:val="000000"/>
          <w:highlight w:val="white"/>
        </w:rPr>
      </w:pPr>
      <w:r>
        <w:rPr>
          <w:rFonts w:ascii="Palatino Linotype" w:eastAsia="Palatino Linotype" w:hAnsi="Palatino Linotype" w:cs="Palatino Linotype"/>
          <w:noProof/>
          <w:color w:val="000000"/>
          <w:highlight w:val="white"/>
        </w:rPr>
        <w:lastRenderedPageBreak/>
        <w:drawing>
          <wp:inline distT="0" distB="0" distL="0" distR="0" wp14:anchorId="162B3D1D" wp14:editId="13D449FE">
            <wp:extent cx="5537000" cy="4701307"/>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537000" cy="4701307"/>
                    </a:xfrm>
                    <a:prstGeom prst="rect">
                      <a:avLst/>
                    </a:prstGeom>
                    <a:ln/>
                  </pic:spPr>
                </pic:pic>
              </a:graphicData>
            </a:graphic>
          </wp:inline>
        </w:drawing>
      </w:r>
    </w:p>
    <w:p w14:paraId="454F48D0" w14:textId="77777777" w:rsidR="002714E7" w:rsidRDefault="002714E7">
      <w:pPr>
        <w:pBdr>
          <w:top w:val="nil"/>
          <w:left w:val="nil"/>
          <w:bottom w:val="nil"/>
          <w:right w:val="nil"/>
          <w:between w:val="nil"/>
        </w:pBdr>
        <w:spacing w:line="360" w:lineRule="auto"/>
        <w:jc w:val="center"/>
        <w:rPr>
          <w:rFonts w:ascii="Palatino Linotype" w:eastAsia="Palatino Linotype" w:hAnsi="Palatino Linotype" w:cs="Palatino Linotype"/>
          <w:color w:val="000000"/>
          <w:highlight w:val="white"/>
        </w:rPr>
      </w:pPr>
    </w:p>
    <w:p w14:paraId="0DA9295C"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highlight w:val="white"/>
        </w:rPr>
      </w:pPr>
      <w:r>
        <w:rPr>
          <w:rFonts w:ascii="Palatino Linotype" w:eastAsia="Palatino Linotype" w:hAnsi="Palatino Linotype" w:cs="Palatino Linotype"/>
          <w:color w:val="000000"/>
          <w:highlight w:val="white"/>
        </w:rPr>
        <w:t xml:space="preserve">Lo anterior resulta así, en virtud que los sujetos obligados cuentan con el deber de documentar las funciones y atribuciones con que cuentan para el ejercicio de sus funciones de derecho público; toda vez que </w:t>
      </w:r>
      <w:r>
        <w:rPr>
          <w:rFonts w:ascii="Palatino Linotype" w:eastAsia="Palatino Linotype" w:hAnsi="Palatino Linotype" w:cs="Palatino Linotype"/>
          <w:highlight w:val="white"/>
        </w:rPr>
        <w:t xml:space="preserve">de acuerdo con el contenido del artículo </w:t>
      </w:r>
      <w:r>
        <w:rPr>
          <w:rFonts w:ascii="Palatino Linotype" w:eastAsia="Palatino Linotype" w:hAnsi="Palatino Linotype" w:cs="Palatino Linotype"/>
          <w:highlight w:val="white"/>
        </w:rPr>
        <w:lastRenderedPageBreak/>
        <w:t>160 y 166 de la Ley General de Transparencia y Acceso a la Información Pública que a la letra dispone:</w:t>
      </w:r>
    </w:p>
    <w:p w14:paraId="2DA46113" w14:textId="77777777" w:rsidR="002714E7" w:rsidRDefault="002714E7">
      <w:pPr>
        <w:spacing w:line="360" w:lineRule="auto"/>
        <w:jc w:val="both"/>
        <w:rPr>
          <w:rFonts w:ascii="Palatino Linotype" w:eastAsia="Palatino Linotype" w:hAnsi="Palatino Linotype" w:cs="Palatino Linotype"/>
          <w:highlight w:val="white"/>
        </w:rPr>
      </w:pPr>
    </w:p>
    <w:p w14:paraId="162CE7A7" w14:textId="77777777" w:rsidR="002714E7" w:rsidRDefault="00734FB5">
      <w:pPr>
        <w:spacing w:line="360" w:lineRule="auto"/>
        <w:ind w:left="567" w:right="616"/>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r>
        <w:rPr>
          <w:rFonts w:ascii="Palatino Linotype" w:eastAsia="Palatino Linotype" w:hAnsi="Palatino Linotype" w:cs="Palatino Linotype"/>
          <w:b/>
          <w:i/>
          <w:highlight w:val="white"/>
        </w:rPr>
        <w:t>Artículo 160.</w:t>
      </w:r>
      <w:r>
        <w:rPr>
          <w:rFonts w:ascii="Palatino Linotype" w:eastAsia="Palatino Linotype" w:hAnsi="Palatino Linotype" w:cs="Palatino Linotype"/>
          <w:i/>
          <w:highlight w:val="white"/>
        </w:rPr>
        <w:t xml:space="preserve"> </w:t>
      </w:r>
      <w:r>
        <w:rPr>
          <w:rFonts w:ascii="Palatino Linotype" w:eastAsia="Palatino Linotype" w:hAnsi="Palatino Linotype" w:cs="Palatino Linotype"/>
          <w:b/>
          <w:i/>
          <w:highlight w:val="white"/>
        </w:rPr>
        <w:t>Los sujetos obligados deberán otorgar acceso a los documentos que se encuentren en sus archivos</w:t>
      </w:r>
      <w:r>
        <w:rPr>
          <w:rFonts w:ascii="Palatino Linotype" w:eastAsia="Palatino Linotype" w:hAnsi="Palatino Linotype" w:cs="Palatino Linotype"/>
          <w:i/>
          <w:highlight w:val="white"/>
        </w:rPr>
        <w:t xml:space="preserve">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3BFABA9" w14:textId="77777777" w:rsidR="002714E7" w:rsidRDefault="00734FB5">
      <w:pPr>
        <w:spacing w:line="360" w:lineRule="auto"/>
        <w:ind w:left="567" w:right="616"/>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t>…</w:t>
      </w:r>
    </w:p>
    <w:p w14:paraId="7B2962DC" w14:textId="77777777" w:rsidR="002714E7" w:rsidRDefault="00734FB5">
      <w:pPr>
        <w:spacing w:line="360" w:lineRule="auto"/>
        <w:ind w:left="567" w:right="616"/>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t>Artículo 166.</w:t>
      </w:r>
      <w:r>
        <w:rPr>
          <w:rFonts w:ascii="Palatino Linotype" w:eastAsia="Palatino Linotype" w:hAnsi="Palatino Linotype" w:cs="Palatino Linotype"/>
          <w:i/>
          <w:highlight w:val="white"/>
        </w:rPr>
        <w:t xml:space="preserve"> </w:t>
      </w:r>
      <w:r>
        <w:rPr>
          <w:rFonts w:ascii="Palatino Linotype" w:eastAsia="Palatino Linotype" w:hAnsi="Palatino Linotype" w:cs="Palatino Linotype"/>
          <w:b/>
          <w:i/>
          <w:highlight w:val="white"/>
        </w:rPr>
        <w:t xml:space="preserve">La obligación de acceso a la información pública se tendrá por cumplida cuando el solicitante tenga a su disposición la información requerida, </w:t>
      </w:r>
      <w:r>
        <w:rPr>
          <w:rFonts w:ascii="Palatino Linotype" w:eastAsia="Palatino Linotype" w:hAnsi="Palatino Linotype" w:cs="Palatino Linotype"/>
          <w:i/>
          <w:highlight w:val="white"/>
        </w:rPr>
        <w:t>o cuando realice la consulta de la misma en el lugar en el que ésta se localice.</w:t>
      </w:r>
    </w:p>
    <w:p w14:paraId="7DC28469" w14:textId="77777777" w:rsidR="002714E7" w:rsidRDefault="00734FB5">
      <w:pPr>
        <w:spacing w:line="360" w:lineRule="auto"/>
        <w:ind w:left="567" w:right="616"/>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t>…”</w:t>
      </w:r>
    </w:p>
    <w:p w14:paraId="2A5E9EF7" w14:textId="77777777" w:rsidR="002714E7" w:rsidRDefault="002714E7">
      <w:pPr>
        <w:spacing w:line="360" w:lineRule="auto"/>
        <w:jc w:val="both"/>
        <w:rPr>
          <w:rFonts w:ascii="Palatino Linotype" w:eastAsia="Palatino Linotype" w:hAnsi="Palatino Linotype" w:cs="Palatino Linotype"/>
          <w:highlight w:val="white"/>
        </w:rPr>
      </w:pPr>
    </w:p>
    <w:p w14:paraId="0B053616"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Siendo aplicable, el criterio de interpretación en el orden administrativo número 0002-</w:t>
      </w:r>
      <w:r>
        <w:rPr>
          <w:rFonts w:ascii="Palatino Linotype" w:eastAsia="Palatino Linotype" w:hAnsi="Palatino Linotype" w:cs="Palatino Linotype"/>
          <w:color w:val="000000"/>
          <w:highlight w:val="white"/>
        </w:rPr>
        <w:t>11</w:t>
      </w:r>
      <w:r>
        <w:rPr>
          <w:rFonts w:ascii="Palatino Linotype" w:eastAsia="Palatino Linotype" w:hAnsi="Palatino Linotype" w:cs="Palatino Linotype"/>
          <w:highlight w:val="white"/>
        </w:rPr>
        <w:t xml:space="preserve">, emitido por Acuerdo del Pleno del Instituto de Transparencia y Acceso a la Información Pública y Protección de Datos Personales del Estado de México y Municipios, publicado en el Periódico Oficial del Gobierno del Estado Libre </w:t>
      </w:r>
      <w:r>
        <w:rPr>
          <w:rFonts w:ascii="Palatino Linotype" w:eastAsia="Palatino Linotype" w:hAnsi="Palatino Linotype" w:cs="Palatino Linotype"/>
          <w:highlight w:val="white"/>
        </w:rPr>
        <w:lastRenderedPageBreak/>
        <w:t>y Soberano de México “Gaceta del Gobierno” el diecinueve de octubre de dos mil once, cuyo rubro y texto dispone:</w:t>
      </w:r>
    </w:p>
    <w:p w14:paraId="61F8A0FD" w14:textId="77777777" w:rsidR="002714E7" w:rsidRDefault="002714E7">
      <w:pPr>
        <w:spacing w:line="360" w:lineRule="auto"/>
        <w:rPr>
          <w:rFonts w:ascii="Palatino Linotype" w:eastAsia="Palatino Linotype" w:hAnsi="Palatino Linotype" w:cs="Palatino Linotype"/>
          <w:highlight w:val="white"/>
        </w:rPr>
      </w:pPr>
    </w:p>
    <w:p w14:paraId="1A44F031" w14:textId="77777777" w:rsidR="002714E7" w:rsidRDefault="00734FB5">
      <w:pPr>
        <w:spacing w:line="360" w:lineRule="auto"/>
        <w:ind w:left="567" w:right="567"/>
        <w:jc w:val="cente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“CRITERIO 0002-11</w:t>
      </w:r>
    </w:p>
    <w:p w14:paraId="61BF38F4"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t>INFORMACIÓN PÚBLICA, CONCEPTO DE, EN MATERIA DE TRANSPARENCIA. INTERPRETACIÓN TEMÁTICA DE LOS ARTÍCULOS 2, FRACCIÓN V, XV, Y XVI, 3, 4, 11 Y 41.</w:t>
      </w:r>
      <w:r>
        <w:rPr>
          <w:rFonts w:ascii="Palatino Linotype" w:eastAsia="Palatino Linotype" w:hAnsi="Palatino Linotype" w:cs="Palatino Linotype"/>
          <w:i/>
          <w:highlight w:val="white"/>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FF8C878"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En </w:t>
      </w:r>
      <w:proofErr w:type="gramStart"/>
      <w:r>
        <w:rPr>
          <w:rFonts w:ascii="Palatino Linotype" w:eastAsia="Palatino Linotype" w:hAnsi="Palatino Linotype" w:cs="Palatino Linotype"/>
          <w:i/>
          <w:highlight w:val="white"/>
        </w:rPr>
        <w:t>consecuencia</w:t>
      </w:r>
      <w:proofErr w:type="gramEnd"/>
      <w:r>
        <w:rPr>
          <w:rFonts w:ascii="Palatino Linotype" w:eastAsia="Palatino Linotype" w:hAnsi="Palatino Linotype" w:cs="Palatino Linotype"/>
          <w:i/>
          <w:highlight w:val="white"/>
        </w:rPr>
        <w:t xml:space="preserve"> el acceso a la información se refiere a que se cumplan cualquiera de los siguientes tres supuestos:</w:t>
      </w:r>
    </w:p>
    <w:p w14:paraId="062FB003"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1) Que se trate de información registrada en cualquier soporte documental, </w:t>
      </w:r>
      <w:proofErr w:type="gramStart"/>
      <w:r>
        <w:rPr>
          <w:rFonts w:ascii="Palatino Linotype" w:eastAsia="Palatino Linotype" w:hAnsi="Palatino Linotype" w:cs="Palatino Linotype"/>
          <w:i/>
          <w:highlight w:val="white"/>
        </w:rPr>
        <w:t>que</w:t>
      </w:r>
      <w:proofErr w:type="gramEnd"/>
      <w:r>
        <w:rPr>
          <w:rFonts w:ascii="Palatino Linotype" w:eastAsia="Palatino Linotype" w:hAnsi="Palatino Linotype" w:cs="Palatino Linotype"/>
          <w:i/>
          <w:highlight w:val="white"/>
        </w:rPr>
        <w:t xml:space="preserve"> en ejercicio de las atribuciones conferidas, sea generada por los Sujetos Obligados;</w:t>
      </w:r>
    </w:p>
    <w:p w14:paraId="6E8025D9"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2) Que se trate de información registrada en cualquier soporte documental, </w:t>
      </w:r>
      <w:proofErr w:type="gramStart"/>
      <w:r>
        <w:rPr>
          <w:rFonts w:ascii="Palatino Linotype" w:eastAsia="Palatino Linotype" w:hAnsi="Palatino Linotype" w:cs="Palatino Linotype"/>
          <w:i/>
          <w:highlight w:val="white"/>
        </w:rPr>
        <w:t>que</w:t>
      </w:r>
      <w:proofErr w:type="gramEnd"/>
      <w:r>
        <w:rPr>
          <w:rFonts w:ascii="Palatino Linotype" w:eastAsia="Palatino Linotype" w:hAnsi="Palatino Linotype" w:cs="Palatino Linotype"/>
          <w:i/>
          <w:highlight w:val="white"/>
        </w:rPr>
        <w:t xml:space="preserve"> en ejercicio de las atribuciones conferidas, sea administrada por los Sujetos Obligados, y</w:t>
      </w:r>
    </w:p>
    <w:p w14:paraId="4538EFF7"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lastRenderedPageBreak/>
        <w:t xml:space="preserve">3) Que se trate de información registrada en cualquier soporte documental, </w:t>
      </w:r>
      <w:proofErr w:type="gramStart"/>
      <w:r>
        <w:rPr>
          <w:rFonts w:ascii="Palatino Linotype" w:eastAsia="Palatino Linotype" w:hAnsi="Palatino Linotype" w:cs="Palatino Linotype"/>
          <w:i/>
          <w:highlight w:val="white"/>
        </w:rPr>
        <w:t>que</w:t>
      </w:r>
      <w:proofErr w:type="gramEnd"/>
      <w:r>
        <w:rPr>
          <w:rFonts w:ascii="Palatino Linotype" w:eastAsia="Palatino Linotype" w:hAnsi="Palatino Linotype" w:cs="Palatino Linotype"/>
          <w:i/>
          <w:highlight w:val="white"/>
        </w:rPr>
        <w:t xml:space="preserve"> en ejercicio de las atribuciones conferidas, se encuentre en posesión de los Sujetos Obligados.” </w:t>
      </w:r>
    </w:p>
    <w:p w14:paraId="345AB391" w14:textId="77777777" w:rsidR="002714E7" w:rsidRDefault="002714E7">
      <w:pPr>
        <w:spacing w:line="360" w:lineRule="auto"/>
        <w:ind w:left="567" w:right="567"/>
        <w:jc w:val="both"/>
        <w:rPr>
          <w:rFonts w:ascii="Palatino Linotype" w:eastAsia="Palatino Linotype" w:hAnsi="Palatino Linotype" w:cs="Palatino Linotype"/>
          <w:b/>
          <w:i/>
          <w:highlight w:val="white"/>
        </w:rPr>
      </w:pPr>
    </w:p>
    <w:p w14:paraId="16A79D8A" w14:textId="77777777" w:rsidR="002714E7" w:rsidRDefault="00734FB5">
      <w:pPr>
        <w:spacing w:line="360" w:lineRule="auto"/>
        <w:ind w:left="567" w:right="567"/>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(Énfasis Añadido)</w:t>
      </w:r>
    </w:p>
    <w:p w14:paraId="37538522" w14:textId="77777777" w:rsidR="002714E7" w:rsidRDefault="002714E7">
      <w:pPr>
        <w:spacing w:line="360" w:lineRule="auto"/>
        <w:jc w:val="both"/>
        <w:rPr>
          <w:rFonts w:ascii="Palatino Linotype" w:eastAsia="Palatino Linotype" w:hAnsi="Palatino Linotype" w:cs="Palatino Linotype"/>
          <w:i/>
          <w:highlight w:val="white"/>
        </w:rPr>
      </w:pPr>
    </w:p>
    <w:p w14:paraId="1A274691"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Por lo anteriormente expuesto, se precisa que toda aquella información que se encuentra en posesión de los Sujetos Obligado es pública, por lo tanto, esta debe está disponible para quien la solicite, privilegiando el principio de máxima publicidad y éste se tendrá por colmado cuando la información este a disposición del solicitante.</w:t>
      </w:r>
    </w:p>
    <w:p w14:paraId="6FCADAA6"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5433186D"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highlight w:val="white"/>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473CECD5"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07567C0D" w14:textId="77777777" w:rsidR="002714E7" w:rsidRDefault="00734FB5">
      <w:pPr>
        <w:spacing w:line="360" w:lineRule="auto"/>
        <w:ind w:left="567" w:right="567"/>
        <w:jc w:val="both"/>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“CRITERIO 0002-11</w:t>
      </w:r>
    </w:p>
    <w:p w14:paraId="1BE1BBF1"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lastRenderedPageBreak/>
        <w:t>INFORMACIÓN PÚBLICA, CONCEPTO DE, EN MATERIA DE TRANSPARENCIA. INTERPRETACIÓN TEMÁTICA DE LOS ARTÍCULOS 2, FRACCIÓN V, XV, Y XVI, 3, 4,11 Y 41.</w:t>
      </w:r>
      <w:r>
        <w:rPr>
          <w:rFonts w:ascii="Palatino Linotype" w:eastAsia="Palatino Linotype" w:hAnsi="Palatino Linotype" w:cs="Palatino Linotype"/>
          <w:i/>
          <w:highlight w:val="white"/>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DF3CF63"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En </w:t>
      </w:r>
      <w:proofErr w:type="gramStart"/>
      <w:r>
        <w:rPr>
          <w:rFonts w:ascii="Palatino Linotype" w:eastAsia="Palatino Linotype" w:hAnsi="Palatino Linotype" w:cs="Palatino Linotype"/>
          <w:i/>
          <w:highlight w:val="white"/>
        </w:rPr>
        <w:t>consecuencia</w:t>
      </w:r>
      <w:proofErr w:type="gramEnd"/>
      <w:r>
        <w:rPr>
          <w:rFonts w:ascii="Palatino Linotype" w:eastAsia="Palatino Linotype" w:hAnsi="Palatino Linotype" w:cs="Palatino Linotype"/>
          <w:i/>
          <w:highlight w:val="white"/>
        </w:rPr>
        <w:t xml:space="preserve"> el acceso a la información se refiere a que se cumplan cualquiera de los siguientes tres supuestos:</w:t>
      </w:r>
    </w:p>
    <w:p w14:paraId="4D67E3B4"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Que se trate de información registrada en cualquier soporte documental, </w:t>
      </w:r>
      <w:proofErr w:type="gramStart"/>
      <w:r>
        <w:rPr>
          <w:rFonts w:ascii="Palatino Linotype" w:eastAsia="Palatino Linotype" w:hAnsi="Palatino Linotype" w:cs="Palatino Linotype"/>
          <w:i/>
          <w:highlight w:val="white"/>
        </w:rPr>
        <w:t>que</w:t>
      </w:r>
      <w:proofErr w:type="gramEnd"/>
      <w:r>
        <w:rPr>
          <w:rFonts w:ascii="Palatino Linotype" w:eastAsia="Palatino Linotype" w:hAnsi="Palatino Linotype" w:cs="Palatino Linotype"/>
          <w:i/>
          <w:highlight w:val="white"/>
        </w:rPr>
        <w:t xml:space="preserve"> en ejercicio de las atribuciones conferidas, sea generada por los Sujetos Obligados;</w:t>
      </w:r>
    </w:p>
    <w:p w14:paraId="259748F5"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Que se trate de información registrada en cualquier soporte documental, </w:t>
      </w:r>
      <w:proofErr w:type="gramStart"/>
      <w:r>
        <w:rPr>
          <w:rFonts w:ascii="Palatino Linotype" w:eastAsia="Palatino Linotype" w:hAnsi="Palatino Linotype" w:cs="Palatino Linotype"/>
          <w:i/>
          <w:highlight w:val="white"/>
        </w:rPr>
        <w:t>que</w:t>
      </w:r>
      <w:proofErr w:type="gramEnd"/>
      <w:r>
        <w:rPr>
          <w:rFonts w:ascii="Palatino Linotype" w:eastAsia="Palatino Linotype" w:hAnsi="Palatino Linotype" w:cs="Palatino Linotype"/>
          <w:i/>
          <w:highlight w:val="white"/>
        </w:rPr>
        <w:t xml:space="preserve"> en ejercicio de las atribuciones conferidas, sea administrada por los Sujetos Obligados, y</w:t>
      </w:r>
    </w:p>
    <w:p w14:paraId="37D6AD4E" w14:textId="77777777" w:rsidR="002714E7" w:rsidRDefault="00734FB5">
      <w:pPr>
        <w:spacing w:line="360" w:lineRule="auto"/>
        <w:ind w:left="567" w:right="567"/>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highlight w:val="white"/>
        </w:rPr>
        <w:t xml:space="preserve">Que se trate de información registrada en cualquier soporte documental, </w:t>
      </w:r>
      <w:proofErr w:type="gramStart"/>
      <w:r>
        <w:rPr>
          <w:rFonts w:ascii="Palatino Linotype" w:eastAsia="Palatino Linotype" w:hAnsi="Palatino Linotype" w:cs="Palatino Linotype"/>
          <w:i/>
          <w:highlight w:val="white"/>
        </w:rPr>
        <w:t>que</w:t>
      </w:r>
      <w:proofErr w:type="gramEnd"/>
      <w:r>
        <w:rPr>
          <w:rFonts w:ascii="Palatino Linotype" w:eastAsia="Palatino Linotype" w:hAnsi="Palatino Linotype" w:cs="Palatino Linotype"/>
          <w:i/>
          <w:highlight w:val="white"/>
        </w:rPr>
        <w:t xml:space="preserve"> en ejercicio de las atribuciones conferidas, se encuentre en posesión de los Sujetos Obligados.”</w:t>
      </w:r>
    </w:p>
    <w:p w14:paraId="41C35C0F" w14:textId="77777777" w:rsidR="002714E7" w:rsidRDefault="002714E7">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highlight w:val="white"/>
        </w:rPr>
      </w:pPr>
    </w:p>
    <w:p w14:paraId="7EAF734D"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El derecho de acceso a la información encuentra su materia elemental en los documentos, y la Ley de Transparencia local nos brinda el siguiente concepto, para darnos un mejor panorama:</w:t>
      </w:r>
    </w:p>
    <w:p w14:paraId="2BE75898" w14:textId="77777777" w:rsidR="002714E7" w:rsidRDefault="002714E7">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highlight w:val="white"/>
        </w:rPr>
      </w:pPr>
    </w:p>
    <w:p w14:paraId="653E905D"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t xml:space="preserve">XI. Documento: </w:t>
      </w:r>
      <w:r>
        <w:rPr>
          <w:rFonts w:ascii="Palatino Linotype" w:eastAsia="Palatino Linotype" w:hAnsi="Palatino Linotype" w:cs="Palatino Linotype"/>
          <w:i/>
          <w:highlight w:val="white"/>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w:t>
      </w:r>
      <w:proofErr w:type="gramStart"/>
      <w:r>
        <w:rPr>
          <w:rFonts w:ascii="Palatino Linotype" w:eastAsia="Palatino Linotype" w:hAnsi="Palatino Linotype" w:cs="Palatino Linotype"/>
          <w:i/>
          <w:highlight w:val="white"/>
        </w:rPr>
        <w:t>impreso,  sonoro</w:t>
      </w:r>
      <w:proofErr w:type="gramEnd"/>
      <w:r>
        <w:rPr>
          <w:rFonts w:ascii="Palatino Linotype" w:eastAsia="Palatino Linotype" w:hAnsi="Palatino Linotype" w:cs="Palatino Linotype"/>
          <w:i/>
          <w:highlight w:val="white"/>
        </w:rPr>
        <w:t>, visual, electrónico, informático u holográfico;</w:t>
      </w:r>
    </w:p>
    <w:p w14:paraId="2C353520" w14:textId="77777777" w:rsidR="002714E7" w:rsidRDefault="002714E7">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highlight w:val="white"/>
        </w:rPr>
      </w:pPr>
    </w:p>
    <w:p w14:paraId="1043D156"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4C29960"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0882B625"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Resulta</w:t>
      </w:r>
      <w:r>
        <w:rPr>
          <w:rFonts w:ascii="Palatino Linotype" w:eastAsia="Palatino Linotype" w:hAnsi="Palatino Linotype" w:cs="Palatino Linotype"/>
          <w:color w:val="000000"/>
          <w:highlight w:val="white"/>
        </w:rPr>
        <w:t xml:space="preserve"> necesario referir que, el </w:t>
      </w:r>
      <w:r>
        <w:rPr>
          <w:rFonts w:ascii="Palatino Linotype" w:eastAsia="Palatino Linotype" w:hAnsi="Palatino Linotype" w:cs="Palatino Linotype"/>
          <w:highlight w:val="white"/>
        </w:rPr>
        <w:t xml:space="preserve">artículo 6° apartado A fracción I, de la Constitución Política de los Estados Unidos Mexicanos, artículo 5 fracción I de la Constitución Política del Estado Libre y Soberano de México y el artículo 18 de la Ley </w:t>
      </w:r>
      <w:r>
        <w:rPr>
          <w:rFonts w:ascii="Palatino Linotype" w:eastAsia="Palatino Linotype" w:hAnsi="Palatino Linotype" w:cs="Palatino Linotype"/>
          <w:highlight w:val="white"/>
        </w:rPr>
        <w:lastRenderedPageBreak/>
        <w:t xml:space="preserve">de Transparencia y Acceso a la Información Pública del Estado de México y Municipios, guardan una estrecha relación, puesto que los ordenamientos citados concurren refiriendo que </w:t>
      </w:r>
      <w:r>
        <w:rPr>
          <w:rFonts w:ascii="Palatino Linotype" w:eastAsia="Palatino Linotype" w:hAnsi="Palatino Linotype" w:cs="Palatino Linotype"/>
          <w:b/>
          <w:highlight w:val="white"/>
        </w:rPr>
        <w:t>los Sujetos Obligados deberán documentar todo acto que se derive del ejercicio de sus facultades, competencias o funciones,</w:t>
      </w:r>
      <w:r>
        <w:rPr>
          <w:rFonts w:ascii="Palatino Linotype" w:eastAsia="Palatino Linotype" w:hAnsi="Palatino Linotype" w:cs="Palatino Linotype"/>
          <w:highlight w:val="white"/>
        </w:rPr>
        <w:t xml:space="preserve"> considerando desde su origen la eventual publicidad y reutilización de la información que generen, posean o administren.</w:t>
      </w:r>
    </w:p>
    <w:p w14:paraId="19925ABF"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1EB018CC"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Además</w:t>
      </w:r>
      <w:r>
        <w:rPr>
          <w:rFonts w:ascii="Palatino Linotype" w:eastAsia="Palatino Linotype" w:hAnsi="Palatino Linotype" w:cs="Palatino Linotype"/>
          <w:color w:val="000000"/>
          <w:highlight w:val="white"/>
        </w:rPr>
        <w:t>, debemos tomar en cuenta los artículos 4 y 12 (antes transcrito), de la Ley de Transparencia y Acceso a la Información Pública del Estado de México y Municipios, los cuales establecen lo siguiente:</w:t>
      </w:r>
    </w:p>
    <w:p w14:paraId="64B4018E"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68AC8E4F"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b/>
          <w:i/>
          <w:highlight w:val="white"/>
        </w:rPr>
        <w:t xml:space="preserve">Artículo 4. </w:t>
      </w:r>
      <w:r>
        <w:rPr>
          <w:rFonts w:ascii="Palatino Linotype" w:eastAsia="Palatino Linotype" w:hAnsi="Palatino Linotype" w:cs="Palatino Linotype"/>
          <w:i/>
          <w:highlight w:val="white"/>
        </w:rPr>
        <w:t>El derecho humano de acceso a la información pública es la prerrogativa de las personas para buscar, difundir, investigar, recabar, recibir y solicitar información pública, sin necesidad de acreditar personalidad ni interés jurídico.</w:t>
      </w:r>
    </w:p>
    <w:p w14:paraId="3EDC51DA" w14:textId="77777777" w:rsidR="002714E7" w:rsidRDefault="002714E7">
      <w:pPr>
        <w:spacing w:line="360" w:lineRule="auto"/>
        <w:ind w:left="567" w:right="567"/>
        <w:jc w:val="both"/>
        <w:rPr>
          <w:rFonts w:ascii="Palatino Linotype" w:eastAsia="Palatino Linotype" w:hAnsi="Palatino Linotype" w:cs="Palatino Linotype"/>
          <w:i/>
          <w:highlight w:val="white"/>
        </w:rPr>
      </w:pPr>
    </w:p>
    <w:p w14:paraId="253CFA47"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w:t>
      </w:r>
      <w:r>
        <w:rPr>
          <w:rFonts w:ascii="Palatino Linotype" w:eastAsia="Palatino Linotype" w:hAnsi="Palatino Linotype" w:cs="Palatino Linotype"/>
          <w:i/>
          <w:highlight w:val="white"/>
        </w:rPr>
        <w:lastRenderedPageBreak/>
        <w:t>máxima publicidad de la información. Solo podrá ser clasificada excepcionalmente como reservada temporalmente por razones de interés público, en los términos de las causas legítimas y estrictamente necesarias previstas por esta Ley.</w:t>
      </w:r>
    </w:p>
    <w:p w14:paraId="2F5A46B8" w14:textId="77777777" w:rsidR="002714E7" w:rsidRDefault="002714E7">
      <w:pPr>
        <w:spacing w:line="360" w:lineRule="auto"/>
        <w:ind w:left="567" w:right="567"/>
        <w:jc w:val="both"/>
        <w:rPr>
          <w:rFonts w:ascii="Palatino Linotype" w:eastAsia="Palatino Linotype" w:hAnsi="Palatino Linotype" w:cs="Palatino Linotype"/>
          <w:i/>
          <w:highlight w:val="white"/>
        </w:rPr>
      </w:pPr>
    </w:p>
    <w:p w14:paraId="3557BAEA" w14:textId="77777777" w:rsidR="002714E7" w:rsidRDefault="00734FB5">
      <w:pPr>
        <w:spacing w:line="360" w:lineRule="auto"/>
        <w:ind w:left="567" w:right="567"/>
        <w:jc w:val="both"/>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Los sujetos obligados deben poner en práctica, políticas y programas de acceso a la información que se apeguen a criterios de publicidad, veracidad, oportunidad, precisión y suficiencia en beneficio de los solicitantes.</w:t>
      </w:r>
    </w:p>
    <w:p w14:paraId="01AA7416" w14:textId="77777777" w:rsidR="002714E7" w:rsidRDefault="002714E7">
      <w:pPr>
        <w:spacing w:line="360" w:lineRule="auto"/>
        <w:ind w:left="567" w:right="567"/>
        <w:jc w:val="both"/>
        <w:rPr>
          <w:rFonts w:ascii="Palatino Linotype" w:eastAsia="Palatino Linotype" w:hAnsi="Palatino Linotype" w:cs="Palatino Linotype"/>
          <w:i/>
          <w:highlight w:val="white"/>
        </w:rPr>
      </w:pPr>
    </w:p>
    <w:p w14:paraId="033411A4"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highlight w:val="white"/>
          <w:vertAlign w:val="superscript"/>
        </w:rPr>
        <w:footnoteReference w:id="2"/>
      </w:r>
      <w:r>
        <w:rPr>
          <w:rFonts w:ascii="Palatino Linotype" w:eastAsia="Palatino Linotype" w:hAnsi="Palatino Linotype" w:cs="Palatino Linotype"/>
          <w:highlight w:val="whit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F95630B" w14:textId="77777777" w:rsidR="002714E7" w:rsidRDefault="002714E7">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highlight w:val="white"/>
        </w:rPr>
      </w:pPr>
    </w:p>
    <w:p w14:paraId="2105A31E"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Robustece lo anterior la Tesis aislada identificada con la clave I.</w:t>
      </w:r>
      <w:proofErr w:type="gramStart"/>
      <w:r>
        <w:rPr>
          <w:rFonts w:ascii="Palatino Linotype" w:eastAsia="Palatino Linotype" w:hAnsi="Palatino Linotype" w:cs="Palatino Linotype"/>
          <w:highlight w:val="white"/>
        </w:rPr>
        <w:t>4º.A.</w:t>
      </w:r>
      <w:proofErr w:type="gramEnd"/>
      <w:r>
        <w:rPr>
          <w:rFonts w:ascii="Palatino Linotype" w:eastAsia="Palatino Linotype" w:hAnsi="Palatino Linotype" w:cs="Palatino Linotype"/>
          <w:highlight w:val="white"/>
        </w:rPr>
        <w:t>40 A del Cuarto Tribunal colegiado en Materia Administrativa del Primer Circuito, publicada en el Seminario Judicial de la Federación y su Gaceta en el libro XVIII, Marzo 2013, Página 1899.</w:t>
      </w:r>
    </w:p>
    <w:p w14:paraId="704F6720"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31341D6E" w14:textId="77777777" w:rsidR="002714E7" w:rsidRDefault="00734FB5">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b/>
          <w:i/>
          <w:color w:val="000000"/>
          <w:highlight w:val="white"/>
        </w:rPr>
        <w:t>ACCESO A LA INFORMACIÓN. IMPLICACIÓN DEL PRINCIPIO DE MÁXIMA PUBLICIDAD EN EL DERECHO FUNDAMENTAL RELATIVO.</w:t>
      </w:r>
      <w:r>
        <w:rPr>
          <w:rFonts w:ascii="Palatino Linotype" w:eastAsia="Palatino Linotype" w:hAnsi="Palatino Linotype" w:cs="Palatino Linotype"/>
          <w:i/>
          <w:color w:val="000000"/>
          <w:highlight w:val="white"/>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w:t>
      </w:r>
      <w:r>
        <w:rPr>
          <w:rFonts w:ascii="Palatino Linotype" w:eastAsia="Palatino Linotype" w:hAnsi="Palatino Linotype" w:cs="Palatino Linotype"/>
          <w:i/>
          <w:color w:val="000000"/>
          <w:highlight w:val="white"/>
        </w:rPr>
        <w:lastRenderedPageBreak/>
        <w:t>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3759C088" w14:textId="77777777" w:rsidR="002714E7" w:rsidRDefault="002714E7">
      <w:pPr>
        <w:tabs>
          <w:tab w:val="left" w:pos="851"/>
        </w:tabs>
        <w:spacing w:line="360" w:lineRule="auto"/>
        <w:ind w:right="567"/>
        <w:jc w:val="both"/>
        <w:rPr>
          <w:rFonts w:ascii="Palatino Linotype" w:eastAsia="Palatino Linotype" w:hAnsi="Palatino Linotype" w:cs="Palatino Linotype"/>
          <w:highlight w:val="white"/>
        </w:rPr>
      </w:pPr>
    </w:p>
    <w:p w14:paraId="093BE465"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Contexto que se replica en el Recurso de Revisión 04895/INFOEM/IP/RR/2024, 04896/INFOEM/IP/RR/2024; y 05017/INFOEM/IP/RR/2024 y 05018/INFOEM/IP/RR/2024  (en su parte relativa a la lista de asistencia, en donde de igual manera se impugna lo relativo a: </w:t>
      </w:r>
      <w:r>
        <w:rPr>
          <w:rFonts w:ascii="Palatino Linotype" w:eastAsia="Palatino Linotype" w:hAnsi="Palatino Linotype" w:cs="Palatino Linotype"/>
          <w:i/>
          <w:highlight w:val="white"/>
        </w:rPr>
        <w:t xml:space="preserve">"Informe detallado de las funciones y atribuciones específicas de los distintos cargos y/o puestos que se le haya asignado en las distintas Áreas de la Administración 2022-2024 el cual dio inicio en el mes del 01 enero del 2022 al 30 de junio del 2024. 7.- Listas de asistencia con horario de entrada y salida del mes de enero del 2022 al 30 de junio del 2024. El Sujeto Obligado cuenta con una Coordinación de Recursos Humanos y de acuerdo a sus manuales de Organización y de Procedimientos de la Tesorería Municipal </w:t>
      </w:r>
      <w:r>
        <w:rPr>
          <w:rFonts w:ascii="Palatino Linotype" w:eastAsia="Palatino Linotype" w:hAnsi="Palatino Linotype" w:cs="Palatino Linotype"/>
          <w:i/>
          <w:highlight w:val="white"/>
        </w:rPr>
        <w:lastRenderedPageBreak/>
        <w:t>cuenta con facultades y atribuciones para a la entrega de la información de las Listas de asistencia con horario de entrada y salida del mes de enero del 2022 al 30 de junio del 2024."</w:t>
      </w:r>
    </w:p>
    <w:p w14:paraId="59B5B900"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highlight w:val="white"/>
        </w:rPr>
      </w:pPr>
    </w:p>
    <w:p w14:paraId="2B872BB0"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Al tiempo que en el caso concreto se remite un informe justificado en los mismos términos que el diverso anteriormente expuesto, por lo que en obvio de repeticiones innecesarias se tienen por reproducidos los mimos argumentos como si a la letra se insertaren a efecto que el Recurso de </w:t>
      </w:r>
      <w:proofErr w:type="spellStart"/>
      <w:r>
        <w:rPr>
          <w:rFonts w:ascii="Palatino Linotype" w:eastAsia="Palatino Linotype" w:hAnsi="Palatino Linotype" w:cs="Palatino Linotype"/>
          <w:highlight w:val="white"/>
        </w:rPr>
        <w:t>merito</w:t>
      </w:r>
      <w:proofErr w:type="spellEnd"/>
      <w:r>
        <w:rPr>
          <w:rFonts w:ascii="Palatino Linotype" w:eastAsia="Palatino Linotype" w:hAnsi="Palatino Linotype" w:cs="Palatino Linotype"/>
          <w:highlight w:val="white"/>
        </w:rPr>
        <w:t xml:space="preserve"> sea atendido en los mismos términos.</w:t>
      </w:r>
    </w:p>
    <w:p w14:paraId="7BA3CDFC"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56222E96"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 Sin </w:t>
      </w:r>
      <w:proofErr w:type="gramStart"/>
      <w:r>
        <w:rPr>
          <w:rFonts w:ascii="Palatino Linotype" w:eastAsia="Palatino Linotype" w:hAnsi="Palatino Linotype" w:cs="Palatino Linotype"/>
          <w:highlight w:val="white"/>
        </w:rPr>
        <w:t>embargo</w:t>
      </w:r>
      <w:proofErr w:type="gramEnd"/>
      <w:r>
        <w:rPr>
          <w:rFonts w:ascii="Palatino Linotype" w:eastAsia="Palatino Linotype" w:hAnsi="Palatino Linotype" w:cs="Palatino Linotype"/>
          <w:highlight w:val="white"/>
        </w:rPr>
        <w:t xml:space="preserve"> cabe resaltar que para el Recurso de Revisión 04896/INFOEM/IP/RR/2024, adicionalmente se impugna, lo siguiente: “</w:t>
      </w:r>
      <w:r>
        <w:rPr>
          <w:rFonts w:ascii="Palatino Linotype" w:eastAsia="Palatino Linotype" w:hAnsi="Palatino Linotype" w:cs="Palatino Linotype"/>
          <w:i/>
          <w:highlight w:val="white"/>
        </w:rPr>
        <w:t xml:space="preserve">4.- </w:t>
      </w:r>
      <w:r>
        <w:rPr>
          <w:rFonts w:ascii="Palatino Linotype" w:eastAsia="Palatino Linotype" w:hAnsi="Palatino Linotype" w:cs="Palatino Linotype"/>
          <w:i/>
          <w:color w:val="000000"/>
          <w:highlight w:val="white"/>
        </w:rPr>
        <w:t>Documento</w:t>
      </w:r>
      <w:r>
        <w:rPr>
          <w:rFonts w:ascii="Palatino Linotype" w:eastAsia="Palatino Linotype" w:hAnsi="Palatino Linotype" w:cs="Palatino Linotype"/>
          <w:i/>
          <w:highlight w:val="white"/>
        </w:rPr>
        <w:t xml:space="preserve"> que acredite no estar Inscrito en el Registro de Deudores Alimentarios Morosos en el Estado ni en ninguna otra Entidad Federativa…”</w:t>
      </w:r>
    </w:p>
    <w:p w14:paraId="78621C03"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66D99207"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Contexto que resulta improcedente, toda vez que en el archivo denominado </w:t>
      </w:r>
      <w:r>
        <w:rPr>
          <w:rFonts w:ascii="Palatino Linotype" w:eastAsia="Palatino Linotype" w:hAnsi="Palatino Linotype" w:cs="Palatino Linotype"/>
          <w:b/>
          <w:i/>
          <w:highlight w:val="white"/>
        </w:rPr>
        <w:t>Documentos Julio Cesar_Censurado.pdf</w:t>
      </w:r>
      <w:r>
        <w:rPr>
          <w:rFonts w:ascii="Palatino Linotype" w:eastAsia="Palatino Linotype" w:hAnsi="Palatino Linotype" w:cs="Palatino Linotype"/>
          <w:highlight w:val="white"/>
        </w:rPr>
        <w:t xml:space="preserve">, remitido en la respuesta primigenia, se advierte la documental en comento, misma que se encuentra en versión publica; no obstante al igual que en el supuesto primeramente analizado, no se encuentra signado por el servidor público encargado de la protección de datos personales, por lo que en </w:t>
      </w:r>
      <w:r>
        <w:rPr>
          <w:rFonts w:ascii="Palatino Linotype" w:eastAsia="Palatino Linotype" w:hAnsi="Palatino Linotype" w:cs="Palatino Linotype"/>
          <w:highlight w:val="white"/>
        </w:rPr>
        <w:lastRenderedPageBreak/>
        <w:t>los mismos términos anteriormente señalados es dable ordenar el acuerdo del Comité de Transparencia en el que se sustente la versión publica del documento entregado.</w:t>
      </w:r>
    </w:p>
    <w:p w14:paraId="43C408F5"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529886DB"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Respecto del Recurso de Revisión 05018/INFOEM/IP/RR/2024 y 05020/INFOEM/IP/RR/2024, se impugna adicionalmente el </w:t>
      </w:r>
      <w:proofErr w:type="spellStart"/>
      <w:r>
        <w:rPr>
          <w:rFonts w:ascii="Palatino Linotype" w:eastAsia="Palatino Linotype" w:hAnsi="Palatino Linotype" w:cs="Palatino Linotype"/>
          <w:highlight w:val="white"/>
        </w:rPr>
        <w:t>curriculum</w:t>
      </w:r>
      <w:proofErr w:type="spellEnd"/>
      <w:r>
        <w:rPr>
          <w:rFonts w:ascii="Palatino Linotype" w:eastAsia="Palatino Linotype" w:hAnsi="Palatino Linotype" w:cs="Palatino Linotype"/>
          <w:highlight w:val="white"/>
        </w:rPr>
        <w:t xml:space="preserve"> vitae, el cual ciertamente no se remite de manera inicial; sin </w:t>
      </w:r>
      <w:proofErr w:type="gramStart"/>
      <w:r>
        <w:rPr>
          <w:rFonts w:ascii="Palatino Linotype" w:eastAsia="Palatino Linotype" w:hAnsi="Palatino Linotype" w:cs="Palatino Linotype"/>
          <w:highlight w:val="white"/>
        </w:rPr>
        <w:t>embargo</w:t>
      </w:r>
      <w:proofErr w:type="gramEnd"/>
      <w:r>
        <w:rPr>
          <w:rFonts w:ascii="Palatino Linotype" w:eastAsia="Palatino Linotype" w:hAnsi="Palatino Linotype" w:cs="Palatino Linotype"/>
          <w:highlight w:val="white"/>
        </w:rPr>
        <w:t xml:space="preserve"> en calidad de informe justificado fue remitido en versión publica, acompañado de un acuerdo del Comité de Transparencia, en los mismos términos de los diversos acumulados, por lo que es dable ordenar el Acuerdo correspondiente debidamente fundado y motivado.</w:t>
      </w:r>
    </w:p>
    <w:p w14:paraId="407A4FF5"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2F5A4006"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Con la </w:t>
      </w:r>
      <w:r>
        <w:rPr>
          <w:rFonts w:ascii="Palatino Linotype" w:eastAsia="Palatino Linotype" w:hAnsi="Palatino Linotype" w:cs="Palatino Linotype"/>
          <w:highlight w:val="white"/>
        </w:rPr>
        <w:t>determinación</w:t>
      </w:r>
      <w:r>
        <w:rPr>
          <w:rFonts w:ascii="Palatino Linotype" w:eastAsia="Palatino Linotype" w:hAnsi="Palatino Linotype" w:cs="Palatino Linotype"/>
          <w:color w:val="000000"/>
          <w:highlight w:val="white"/>
        </w:rPr>
        <w:t xml:space="preserve"> anterior quedará por colmado el derecho de acceso a la información del ahora Recurrente; toda vez que el Derecho que tutela este Órgano Garante corresponde a la  </w:t>
      </w:r>
      <w:r>
        <w:rPr>
          <w:rFonts w:ascii="Palatino Linotype" w:eastAsia="Palatino Linotype" w:hAnsi="Palatino Linotype" w:cs="Palatino Linotype"/>
          <w:i/>
          <w:color w:val="000000"/>
          <w:highlight w:val="white"/>
        </w:rPr>
        <w:t>igualdad de oportunidades para recibir, buscar e impartir información</w:t>
      </w:r>
      <w:r>
        <w:rPr>
          <w:rFonts w:ascii="Palatino Linotype" w:eastAsia="Palatino Linotype" w:hAnsi="Palatino Linotype" w:cs="Palatino Linotype"/>
          <w:i/>
          <w:color w:val="000000"/>
          <w:highlight w:val="white"/>
          <w:vertAlign w:val="superscript"/>
        </w:rPr>
        <w:footnoteReference w:id="3"/>
      </w:r>
      <w:r>
        <w:rPr>
          <w:rFonts w:ascii="Palatino Linotype" w:eastAsia="Palatino Linotype" w:hAnsi="Palatino Linotype" w:cs="Palatino Linotype"/>
          <w:i/>
          <w:color w:val="000000"/>
          <w:highlight w:val="white"/>
        </w:rPr>
        <w:t xml:space="preserve"> en posesión de cualquier autoridad, entidad, órgano y organismo de los </w:t>
      </w:r>
      <w:r>
        <w:rPr>
          <w:rFonts w:ascii="Palatino Linotype" w:eastAsia="Palatino Linotype" w:hAnsi="Palatino Linotype" w:cs="Palatino Linotype"/>
          <w:color w:val="000000"/>
          <w:highlight w:val="white"/>
        </w:rPr>
        <w:t>poderes</w:t>
      </w:r>
      <w:r>
        <w:rPr>
          <w:rFonts w:ascii="Palatino Linotype" w:eastAsia="Palatino Linotype" w:hAnsi="Palatino Linotype" w:cs="Palatino Linotype"/>
          <w:i/>
          <w:color w:val="000000"/>
          <w:highlight w:val="white"/>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color w:val="000000"/>
          <w:highlight w:val="white"/>
          <w:vertAlign w:val="superscript"/>
        </w:rPr>
        <w:footnoteReference w:id="4"/>
      </w:r>
      <w:r>
        <w:rPr>
          <w:rFonts w:ascii="Palatino Linotype" w:eastAsia="Palatino Linotype" w:hAnsi="Palatino Linotype" w:cs="Palatino Linotype"/>
          <w:i/>
          <w:color w:val="000000"/>
          <w:highlight w:val="white"/>
        </w:rPr>
        <w:t xml:space="preserve"> </w:t>
      </w:r>
      <w:r>
        <w:rPr>
          <w:rFonts w:ascii="Palatino Linotype" w:eastAsia="Palatino Linotype" w:hAnsi="Palatino Linotype" w:cs="Palatino Linotype"/>
          <w:color w:val="000000"/>
          <w:highlight w:val="white"/>
        </w:rPr>
        <w:t xml:space="preserve">que se </w:t>
      </w:r>
      <w:r>
        <w:rPr>
          <w:rFonts w:ascii="Palatino Linotype" w:eastAsia="Palatino Linotype" w:hAnsi="Palatino Linotype" w:cs="Palatino Linotype"/>
          <w:color w:val="000000"/>
          <w:highlight w:val="white"/>
        </w:rPr>
        <w:lastRenderedPageBreak/>
        <w:t xml:space="preserve">constituye como una herramienta fundamental para </w:t>
      </w:r>
      <w:r>
        <w:rPr>
          <w:rFonts w:ascii="Palatino Linotype" w:eastAsia="Palatino Linotype" w:hAnsi="Palatino Linotype" w:cs="Palatino Linotype"/>
          <w:i/>
          <w:color w:val="000000"/>
          <w:highlight w:val="white"/>
        </w:rPr>
        <w:t>ejercer control democrático de las gestiones estatales, de forma tal que puedan cuestionar, indagar y considerar si se está dando un adecuado cumplimiento de las funciones públicas,</w:t>
      </w:r>
      <w:r>
        <w:rPr>
          <w:rFonts w:ascii="Palatino Linotype" w:eastAsia="Palatino Linotype" w:hAnsi="Palatino Linotype" w:cs="Palatino Linotype"/>
          <w:i/>
          <w:color w:val="000000"/>
          <w:highlight w:val="white"/>
          <w:vertAlign w:val="superscript"/>
        </w:rPr>
        <w:footnoteReference w:id="5"/>
      </w:r>
      <w:r>
        <w:rPr>
          <w:rFonts w:ascii="Palatino Linotype" w:eastAsia="Palatino Linotype" w:hAnsi="Palatino Linotype" w:cs="Palatino Linotype"/>
          <w:color w:val="000000"/>
          <w:highlight w:val="white"/>
        </w:rPr>
        <w:t>fomentando</w:t>
      </w:r>
      <w:r>
        <w:rPr>
          <w:rFonts w:ascii="Palatino Linotype" w:eastAsia="Palatino Linotype" w:hAnsi="Palatino Linotype" w:cs="Palatino Linotype"/>
          <w:i/>
          <w:color w:val="000000"/>
          <w:highlight w:val="white"/>
        </w:rPr>
        <w:t xml:space="preserve"> la transparencia de las actividades estatales y</w:t>
      </w:r>
      <w:r>
        <w:rPr>
          <w:rFonts w:ascii="Palatino Linotype" w:eastAsia="Palatino Linotype" w:hAnsi="Palatino Linotype" w:cs="Palatino Linotype"/>
          <w:color w:val="000000"/>
          <w:highlight w:val="white"/>
        </w:rPr>
        <w:t xml:space="preserve"> promoviendo</w:t>
      </w:r>
      <w:r>
        <w:rPr>
          <w:rFonts w:ascii="Palatino Linotype" w:eastAsia="Palatino Linotype" w:hAnsi="Palatino Linotype" w:cs="Palatino Linotype"/>
          <w:i/>
          <w:color w:val="000000"/>
          <w:highlight w:val="white"/>
        </w:rPr>
        <w:t xml:space="preserve"> la responsabilidad de los funcionarios sobre su gestión pública</w:t>
      </w:r>
      <w:r>
        <w:rPr>
          <w:rFonts w:ascii="Palatino Linotype" w:eastAsia="Palatino Linotype" w:hAnsi="Palatino Linotype" w:cs="Palatino Linotype"/>
          <w:i/>
          <w:color w:val="000000"/>
          <w:highlight w:val="white"/>
          <w:vertAlign w:val="superscript"/>
        </w:rPr>
        <w:footnoteReference w:id="6"/>
      </w:r>
      <w:r>
        <w:rPr>
          <w:rFonts w:ascii="Palatino Linotype" w:eastAsia="Palatino Linotype" w:hAnsi="Palatino Linotype" w:cs="Palatino Linotype"/>
          <w:i/>
          <w:color w:val="000000"/>
          <w:highlight w:val="white"/>
        </w:rPr>
        <w:t xml:space="preserve"> </w:t>
      </w:r>
      <w:r>
        <w:rPr>
          <w:rFonts w:ascii="Palatino Linotype" w:eastAsia="Palatino Linotype" w:hAnsi="Palatino Linotype" w:cs="Palatino Linotype"/>
          <w:color w:val="000000"/>
          <w:highlight w:val="white"/>
        </w:rPr>
        <w:t>que permite</w:t>
      </w:r>
      <w:r>
        <w:rPr>
          <w:rFonts w:ascii="Palatino Linotype" w:eastAsia="Palatino Linotype" w:hAnsi="Palatino Linotype" w:cs="Palatino Linotype"/>
          <w:i/>
          <w:color w:val="000000"/>
          <w:highlight w:val="white"/>
        </w:rPr>
        <w:t xml:space="preserve"> saber qué están haciendo los gobiernos por sus pueblos, sin lo cual la verdad languidecería y la participación en el gobierno permanecería fragmentada.</w:t>
      </w:r>
      <w:r>
        <w:rPr>
          <w:rFonts w:ascii="Palatino Linotype" w:eastAsia="Palatino Linotype" w:hAnsi="Palatino Linotype" w:cs="Palatino Linotype"/>
          <w:i/>
          <w:color w:val="000000"/>
          <w:highlight w:val="white"/>
          <w:vertAlign w:val="superscript"/>
        </w:rPr>
        <w:footnoteReference w:id="7"/>
      </w:r>
      <w:r>
        <w:rPr>
          <w:rFonts w:ascii="Palatino Linotype" w:eastAsia="Palatino Linotype" w:hAnsi="Palatino Linotype" w:cs="Palatino Linotype"/>
          <w:color w:val="000000"/>
          <w:highlight w:val="white"/>
        </w:rPr>
        <w:t xml:space="preserve"> ” </w:t>
      </w:r>
    </w:p>
    <w:p w14:paraId="3456EDBD" w14:textId="77777777" w:rsidR="002714E7" w:rsidRDefault="002714E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05EB310C"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AC5547B" w14:textId="77777777" w:rsidR="002714E7" w:rsidRDefault="002714E7">
      <w:pPr>
        <w:pBdr>
          <w:top w:val="nil"/>
          <w:left w:val="nil"/>
          <w:bottom w:val="nil"/>
          <w:right w:val="nil"/>
          <w:between w:val="nil"/>
        </w:pBdr>
        <w:ind w:left="720"/>
        <w:rPr>
          <w:rFonts w:ascii="Palatino Linotype" w:eastAsia="Palatino Linotype" w:hAnsi="Palatino Linotype" w:cs="Palatino Linotype"/>
          <w:color w:val="000000"/>
          <w:highlight w:val="white"/>
        </w:rPr>
      </w:pPr>
    </w:p>
    <w:p w14:paraId="6F46B238" w14:textId="77777777" w:rsidR="002714E7" w:rsidRDefault="00734FB5">
      <w:pPr>
        <w:spacing w:line="360" w:lineRule="auto"/>
        <w:ind w:left="426" w:right="62"/>
        <w:jc w:val="both"/>
        <w:rPr>
          <w:rFonts w:ascii="Palatino Linotype" w:eastAsia="Palatino Linotype" w:hAnsi="Palatino Linotype" w:cs="Palatino Linotype"/>
          <w:b/>
          <w:i/>
          <w:color w:val="000000"/>
          <w:highlight w:val="white"/>
        </w:rPr>
      </w:pPr>
      <w:r>
        <w:rPr>
          <w:rFonts w:ascii="Palatino Linotype" w:eastAsia="Palatino Linotype" w:hAnsi="Palatino Linotype" w:cs="Palatino Linotype"/>
          <w:b/>
          <w:i/>
          <w:color w:val="000000"/>
          <w:highlight w:val="white"/>
        </w:rPr>
        <w:t>“CRITERIO 0002-11</w:t>
      </w:r>
    </w:p>
    <w:p w14:paraId="06300FC0" w14:textId="77777777" w:rsidR="002714E7" w:rsidRDefault="00734FB5">
      <w:pPr>
        <w:spacing w:line="360" w:lineRule="auto"/>
        <w:ind w:left="425" w:right="62"/>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b/>
          <w:i/>
          <w:color w:val="000000"/>
          <w:highlight w:val="white"/>
        </w:rPr>
        <w:lastRenderedPageBreak/>
        <w:t>INFORMACIÓN PÚBLICA, CONCEPTO DE, EN MATERIA DE TRANSPARENCIA. INTERPRETACIÓN TEMÁTICA DE LOS ARTÍCULOS 2, FRACCIÓN V, XV, Y XVI, 3, 4,11 Y 41.</w:t>
      </w:r>
      <w:r>
        <w:rPr>
          <w:rFonts w:ascii="Palatino Linotype" w:eastAsia="Palatino Linotype" w:hAnsi="Palatino Linotype" w:cs="Palatino Linotype"/>
          <w:i/>
          <w:color w:val="000000"/>
          <w:highlight w:val="white"/>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CD8E089" w14:textId="77777777" w:rsidR="002714E7" w:rsidRDefault="00734FB5">
      <w:pPr>
        <w:spacing w:line="360" w:lineRule="auto"/>
        <w:ind w:left="425" w:right="62"/>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En </w:t>
      </w:r>
      <w:proofErr w:type="gramStart"/>
      <w:r>
        <w:rPr>
          <w:rFonts w:ascii="Palatino Linotype" w:eastAsia="Palatino Linotype" w:hAnsi="Palatino Linotype" w:cs="Palatino Linotype"/>
          <w:i/>
          <w:color w:val="000000"/>
          <w:highlight w:val="white"/>
        </w:rPr>
        <w:t>consecuencia</w:t>
      </w:r>
      <w:proofErr w:type="gramEnd"/>
      <w:r>
        <w:rPr>
          <w:rFonts w:ascii="Palatino Linotype" w:eastAsia="Palatino Linotype" w:hAnsi="Palatino Linotype" w:cs="Palatino Linotype"/>
          <w:i/>
          <w:color w:val="000000"/>
          <w:highlight w:val="white"/>
        </w:rPr>
        <w:t xml:space="preserve"> el acceso a la información se refiere a que se cumplan cualquiera de los siguientes tres supuestos:</w:t>
      </w:r>
    </w:p>
    <w:p w14:paraId="272AD2EB" w14:textId="77777777" w:rsidR="002714E7" w:rsidRDefault="00734FB5">
      <w:pPr>
        <w:spacing w:line="360" w:lineRule="auto"/>
        <w:ind w:left="425" w:right="62"/>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Que se trate de información registrada en cualquier soporte documental, </w:t>
      </w:r>
      <w:proofErr w:type="gramStart"/>
      <w:r>
        <w:rPr>
          <w:rFonts w:ascii="Palatino Linotype" w:eastAsia="Palatino Linotype" w:hAnsi="Palatino Linotype" w:cs="Palatino Linotype"/>
          <w:i/>
          <w:color w:val="000000"/>
          <w:highlight w:val="white"/>
        </w:rPr>
        <w:t>que</w:t>
      </w:r>
      <w:proofErr w:type="gramEnd"/>
      <w:r>
        <w:rPr>
          <w:rFonts w:ascii="Palatino Linotype" w:eastAsia="Palatino Linotype" w:hAnsi="Palatino Linotype" w:cs="Palatino Linotype"/>
          <w:i/>
          <w:color w:val="000000"/>
          <w:highlight w:val="white"/>
        </w:rPr>
        <w:t xml:space="preserve"> en ejercicio de las atribuciones conferidas, sea generada por los Sujetos Obligados;</w:t>
      </w:r>
    </w:p>
    <w:p w14:paraId="30EA519F" w14:textId="77777777" w:rsidR="002714E7" w:rsidRDefault="00734FB5">
      <w:pPr>
        <w:spacing w:line="360" w:lineRule="auto"/>
        <w:ind w:left="425" w:right="62"/>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Que se trate de información registrada en cualquier soporte documental, </w:t>
      </w:r>
      <w:proofErr w:type="gramStart"/>
      <w:r>
        <w:rPr>
          <w:rFonts w:ascii="Palatino Linotype" w:eastAsia="Palatino Linotype" w:hAnsi="Palatino Linotype" w:cs="Palatino Linotype"/>
          <w:i/>
          <w:color w:val="000000"/>
          <w:highlight w:val="white"/>
        </w:rPr>
        <w:t>que</w:t>
      </w:r>
      <w:proofErr w:type="gramEnd"/>
      <w:r>
        <w:rPr>
          <w:rFonts w:ascii="Palatino Linotype" w:eastAsia="Palatino Linotype" w:hAnsi="Palatino Linotype" w:cs="Palatino Linotype"/>
          <w:i/>
          <w:color w:val="000000"/>
          <w:highlight w:val="white"/>
        </w:rPr>
        <w:t xml:space="preserve"> en ejercicio de las atribuciones conferidas, sea administrada por los Sujetos Obligados, y</w:t>
      </w:r>
    </w:p>
    <w:p w14:paraId="284A08D8" w14:textId="77777777" w:rsidR="002714E7" w:rsidRDefault="00734FB5">
      <w:pPr>
        <w:spacing w:line="360" w:lineRule="auto"/>
        <w:ind w:left="425" w:right="62"/>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 xml:space="preserve">Que se trate de información registrada en cualquier soporte documental, </w:t>
      </w:r>
      <w:proofErr w:type="gramStart"/>
      <w:r>
        <w:rPr>
          <w:rFonts w:ascii="Palatino Linotype" w:eastAsia="Palatino Linotype" w:hAnsi="Palatino Linotype" w:cs="Palatino Linotype"/>
          <w:i/>
          <w:color w:val="000000"/>
          <w:highlight w:val="white"/>
        </w:rPr>
        <w:t>que</w:t>
      </w:r>
      <w:proofErr w:type="gramEnd"/>
      <w:r>
        <w:rPr>
          <w:rFonts w:ascii="Palatino Linotype" w:eastAsia="Palatino Linotype" w:hAnsi="Palatino Linotype" w:cs="Palatino Linotype"/>
          <w:i/>
          <w:color w:val="000000"/>
          <w:highlight w:val="white"/>
        </w:rPr>
        <w:t xml:space="preserve"> en ejercicio de las atribuciones conferidas, se encuentre en posesión de los Sujetos Obligados.”</w:t>
      </w:r>
    </w:p>
    <w:p w14:paraId="3B421645" w14:textId="77777777" w:rsidR="002714E7" w:rsidRDefault="002714E7">
      <w:pPr>
        <w:spacing w:line="360" w:lineRule="auto"/>
        <w:ind w:left="567" w:right="-504"/>
        <w:jc w:val="both"/>
        <w:rPr>
          <w:rFonts w:ascii="Palatino Linotype" w:eastAsia="Palatino Linotype" w:hAnsi="Palatino Linotype" w:cs="Palatino Linotype"/>
          <w:i/>
          <w:color w:val="000000"/>
          <w:highlight w:val="white"/>
        </w:rPr>
      </w:pPr>
    </w:p>
    <w:p w14:paraId="715D19B3"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El derecho de acceso a la información encuentra su materia elemental en los documentos, y la Ley de Transparencia </w:t>
      </w:r>
      <w:proofErr w:type="gramStart"/>
      <w:r>
        <w:rPr>
          <w:rFonts w:ascii="Palatino Linotype" w:eastAsia="Palatino Linotype" w:hAnsi="Palatino Linotype" w:cs="Palatino Linotype"/>
          <w:color w:val="000000"/>
          <w:highlight w:val="white"/>
        </w:rPr>
        <w:t>local  nos</w:t>
      </w:r>
      <w:proofErr w:type="gramEnd"/>
      <w:r>
        <w:rPr>
          <w:rFonts w:ascii="Palatino Linotype" w:eastAsia="Palatino Linotype" w:hAnsi="Palatino Linotype" w:cs="Palatino Linotype"/>
          <w:color w:val="000000"/>
          <w:highlight w:val="white"/>
        </w:rPr>
        <w:t xml:space="preserve"> brinda el siguiente concepto, para darnos un mejor panorama:</w:t>
      </w:r>
    </w:p>
    <w:p w14:paraId="1BAFD08E" w14:textId="77777777" w:rsidR="002714E7" w:rsidRDefault="00734FB5">
      <w:pPr>
        <w:spacing w:line="360" w:lineRule="auto"/>
        <w:ind w:left="425" w:right="62"/>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b/>
          <w:i/>
          <w:color w:val="000000"/>
          <w:highlight w:val="white"/>
        </w:rPr>
        <w:lastRenderedPageBreak/>
        <w:t xml:space="preserve">XI. Documento: </w:t>
      </w:r>
      <w:r>
        <w:rPr>
          <w:rFonts w:ascii="Palatino Linotype" w:eastAsia="Palatino Linotype" w:hAnsi="Palatino Linotype" w:cs="Palatino Linotype"/>
          <w:i/>
          <w:color w:val="000000"/>
          <w:highlight w:val="white"/>
        </w:rPr>
        <w:t xml:space="preserve">Los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i/>
          <w:color w:val="000000"/>
          <w:highlight w:val="white"/>
        </w:rPr>
        <w:t>cualquier otro registro</w:t>
      </w:r>
      <w:r>
        <w:rPr>
          <w:rFonts w:ascii="Palatino Linotype" w:eastAsia="Palatino Linotype" w:hAnsi="Palatino Linotype" w:cs="Palatino Linotype"/>
          <w:i/>
          <w:color w:val="000000"/>
          <w:highlight w:val="white"/>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2E09A0C" w14:textId="77777777" w:rsidR="002714E7" w:rsidRDefault="002714E7">
      <w:pPr>
        <w:spacing w:line="360" w:lineRule="auto"/>
        <w:ind w:left="425" w:right="-504"/>
        <w:jc w:val="both"/>
        <w:rPr>
          <w:rFonts w:ascii="Palatino Linotype" w:eastAsia="Palatino Linotype" w:hAnsi="Palatino Linotype" w:cs="Palatino Linotype"/>
          <w:i/>
          <w:color w:val="000000"/>
          <w:highlight w:val="white"/>
        </w:rPr>
      </w:pPr>
    </w:p>
    <w:p w14:paraId="3D829C9F"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Es así que, todos los actos de autoridad que realicen los Sujetos Obligados </w:t>
      </w:r>
      <w:r>
        <w:rPr>
          <w:rFonts w:ascii="Palatino Linotype" w:eastAsia="Palatino Linotype" w:hAnsi="Palatino Linotype" w:cs="Palatino Linotype"/>
          <w:b/>
          <w:color w:val="000000"/>
          <w:highlight w:val="white"/>
        </w:rPr>
        <w:t xml:space="preserve">deben estar </w:t>
      </w:r>
      <w:r>
        <w:rPr>
          <w:rFonts w:ascii="Palatino Linotype" w:eastAsia="Palatino Linotype" w:hAnsi="Palatino Linotype" w:cs="Palatino Linotype"/>
          <w:color w:val="000000"/>
          <w:highlight w:val="white"/>
        </w:rPr>
        <w:t>documentados y, bajo el más alto estándar de transparencia deberán poner toda la información que se encuentre en su posesión, a disposición de los particulares que la soliciten.</w:t>
      </w:r>
    </w:p>
    <w:p w14:paraId="56BF4691" w14:textId="77777777" w:rsidR="002714E7" w:rsidRDefault="002714E7">
      <w:pPr>
        <w:pBdr>
          <w:top w:val="nil"/>
          <w:left w:val="nil"/>
          <w:bottom w:val="nil"/>
          <w:right w:val="nil"/>
          <w:between w:val="nil"/>
        </w:pBdr>
        <w:spacing w:line="360" w:lineRule="auto"/>
        <w:ind w:right="-504"/>
        <w:jc w:val="both"/>
        <w:rPr>
          <w:rFonts w:ascii="Palatino Linotype" w:eastAsia="Palatino Linotype" w:hAnsi="Palatino Linotype" w:cs="Palatino Linotype"/>
          <w:color w:val="000000"/>
          <w:highlight w:val="white"/>
        </w:rPr>
      </w:pPr>
    </w:p>
    <w:p w14:paraId="03031B78"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Además, debemos tomar en cuenta los artículos 4 y 12 (antes transcrito), de la Ley de Transparencia y Acceso a la Información Pública del Estado de México y Municipios, los cuales establecen lo siguiente:</w:t>
      </w:r>
    </w:p>
    <w:p w14:paraId="29418890"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5220B81B" w14:textId="77777777" w:rsidR="002714E7" w:rsidRDefault="00734FB5">
      <w:pPr>
        <w:spacing w:line="360" w:lineRule="auto"/>
        <w:ind w:left="425" w:right="-79"/>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b/>
          <w:i/>
          <w:color w:val="000000"/>
          <w:highlight w:val="white"/>
        </w:rPr>
        <w:t xml:space="preserve">“Artículo 4. </w:t>
      </w:r>
      <w:r>
        <w:rPr>
          <w:rFonts w:ascii="Palatino Linotype" w:eastAsia="Palatino Linotype" w:hAnsi="Palatino Linotype" w:cs="Palatino Linotype"/>
          <w:i/>
          <w:color w:val="000000"/>
          <w:highlight w:val="white"/>
        </w:rPr>
        <w:t>El derecho humano de acceso a la información pública es la prerrogativa de las personas para buscar, difundir, investigar, recabar, recibir y solicitar información pública, sin necesidad de acreditar personalidad ni interés jurídico.</w:t>
      </w:r>
    </w:p>
    <w:p w14:paraId="4C43D2B4" w14:textId="77777777" w:rsidR="002714E7" w:rsidRDefault="00734FB5">
      <w:pPr>
        <w:spacing w:line="360" w:lineRule="auto"/>
        <w:ind w:left="426" w:right="-79"/>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b/>
          <w:i/>
          <w:color w:val="000000"/>
          <w:highlight w:val="white"/>
        </w:rPr>
        <w:lastRenderedPageBreak/>
        <w:t>Toda la información</w:t>
      </w:r>
      <w:r>
        <w:rPr>
          <w:rFonts w:ascii="Palatino Linotype" w:eastAsia="Palatino Linotype" w:hAnsi="Palatino Linotype" w:cs="Palatino Linotype"/>
          <w:i/>
          <w:color w:val="000000"/>
          <w:highlight w:val="white"/>
        </w:rPr>
        <w:t xml:space="preserve"> generada, obtenida, adquirida, transformada, administrada o </w:t>
      </w:r>
      <w:r>
        <w:rPr>
          <w:rFonts w:ascii="Palatino Linotype" w:eastAsia="Palatino Linotype" w:hAnsi="Palatino Linotype" w:cs="Palatino Linotype"/>
          <w:b/>
          <w:i/>
          <w:color w:val="000000"/>
          <w:highlight w:val="white"/>
        </w:rPr>
        <w:t>en posesión de los sujetos obligados es pública</w:t>
      </w:r>
      <w:r>
        <w:rPr>
          <w:rFonts w:ascii="Palatino Linotype" w:eastAsia="Palatino Linotype" w:hAnsi="Palatino Linotype" w:cs="Palatino Linotype"/>
          <w:i/>
          <w:color w:val="000000"/>
          <w:highlight w:val="white"/>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0F716A2" w14:textId="77777777" w:rsidR="002714E7" w:rsidRDefault="00734FB5">
      <w:pPr>
        <w:spacing w:line="360" w:lineRule="auto"/>
        <w:ind w:left="426" w:right="-79"/>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highlight w:val="white"/>
        </w:rPr>
        <w:t>Los sujetos obligados deben poner en práctica, políticas y programas de acceso a la información que se apeguen a criterios de publicidad, veracidad, oportunidad, precisión y suficiencia en beneficio de los solicitantes.”</w:t>
      </w:r>
    </w:p>
    <w:p w14:paraId="022C3D7D" w14:textId="77777777" w:rsidR="002714E7" w:rsidRDefault="002714E7">
      <w:pPr>
        <w:spacing w:line="360" w:lineRule="auto"/>
        <w:ind w:left="426" w:right="-504"/>
        <w:jc w:val="both"/>
        <w:rPr>
          <w:rFonts w:ascii="Palatino Linotype" w:eastAsia="Palatino Linotype" w:hAnsi="Palatino Linotype" w:cs="Palatino Linotype"/>
          <w:i/>
          <w:color w:val="000000"/>
          <w:highlight w:val="white"/>
        </w:rPr>
      </w:pPr>
    </w:p>
    <w:p w14:paraId="763FA8D1"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color w:val="000000"/>
          <w:highlight w:val="white"/>
          <w:vertAlign w:val="superscript"/>
        </w:rPr>
        <w:footnoteReference w:id="8"/>
      </w:r>
      <w:r>
        <w:rPr>
          <w:rFonts w:ascii="Palatino Linotype" w:eastAsia="Palatino Linotype" w:hAnsi="Palatino Linotype" w:cs="Palatino Linotype"/>
          <w:color w:val="000000"/>
          <w:highlight w:val="white"/>
        </w:rPr>
        <w:t xml:space="preserve"> y máxima publicidad, sobre éste último se debe poner mayor énfasis, puesto </w:t>
      </w:r>
      <w:r>
        <w:rPr>
          <w:rFonts w:ascii="Palatino Linotype" w:eastAsia="Palatino Linotype" w:hAnsi="Palatino Linotype" w:cs="Palatino Linotype"/>
          <w:color w:val="000000"/>
          <w:highlight w:val="white"/>
        </w:rPr>
        <w:lastRenderedPageBreak/>
        <w:t>que establece que toda la información en posesión de los Sujetos Obligados será pública, completa, oportuna y accesible, lo que permite que la ciudadanía tenga un amplio acceso sobre lo que es el actuar de las autoridades.</w:t>
      </w:r>
    </w:p>
    <w:p w14:paraId="033C53EA" w14:textId="77777777" w:rsidR="002714E7" w:rsidRDefault="002714E7">
      <w:pPr>
        <w:spacing w:line="360" w:lineRule="auto"/>
        <w:ind w:right="-504"/>
        <w:jc w:val="both"/>
        <w:rPr>
          <w:rFonts w:ascii="Palatino Linotype" w:eastAsia="Palatino Linotype" w:hAnsi="Palatino Linotype" w:cs="Palatino Linotype"/>
          <w:color w:val="000000"/>
          <w:highlight w:val="white"/>
        </w:rPr>
      </w:pPr>
    </w:p>
    <w:p w14:paraId="3C6BF779"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Robustece lo anterior la Tesis aislada identificada con la clave I.</w:t>
      </w:r>
      <w:proofErr w:type="gramStart"/>
      <w:r>
        <w:rPr>
          <w:rFonts w:ascii="Palatino Linotype" w:eastAsia="Palatino Linotype" w:hAnsi="Palatino Linotype" w:cs="Palatino Linotype"/>
          <w:color w:val="000000"/>
          <w:highlight w:val="white"/>
        </w:rPr>
        <w:t>4º.A.</w:t>
      </w:r>
      <w:proofErr w:type="gramEnd"/>
      <w:r>
        <w:rPr>
          <w:rFonts w:ascii="Palatino Linotype" w:eastAsia="Palatino Linotype" w:hAnsi="Palatino Linotype" w:cs="Palatino Linotype"/>
          <w:color w:val="000000"/>
          <w:highlight w:val="white"/>
        </w:rPr>
        <w:t>40 A del Cuarto Tribunal colegiado en Materia Administrativa del Primer Circuito, publicada en el Seminario Judicial de la Federación y su Gaceta en el libro XVIII, Marzo 2013, Página 1899.</w:t>
      </w:r>
    </w:p>
    <w:p w14:paraId="1501B108"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7CF142BD" w14:textId="77777777" w:rsidR="002714E7" w:rsidRDefault="00734FB5">
      <w:pPr>
        <w:pBdr>
          <w:top w:val="nil"/>
          <w:left w:val="nil"/>
          <w:bottom w:val="nil"/>
          <w:right w:val="nil"/>
          <w:between w:val="nil"/>
        </w:pBdr>
        <w:tabs>
          <w:tab w:val="left" w:pos="851"/>
        </w:tabs>
        <w:spacing w:line="360" w:lineRule="auto"/>
        <w:ind w:left="425" w:right="397"/>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b/>
          <w:i/>
          <w:color w:val="000000"/>
          <w:highlight w:val="white"/>
        </w:rPr>
        <w:t>“ACCESO A LA INFORMACIÓN. IMPLICACIÓN DEL PRINCIPIO DE MÁXIMA PUBLICIDAD EN EL DERECHO FUNDAMENTAL RELATIVO.</w:t>
      </w:r>
      <w:r>
        <w:rPr>
          <w:rFonts w:ascii="Palatino Linotype" w:eastAsia="Palatino Linotype" w:hAnsi="Palatino Linotype" w:cs="Palatino Linotype"/>
          <w:i/>
          <w:color w:val="000000"/>
          <w:highlight w:val="white"/>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w:t>
      </w:r>
      <w:r>
        <w:rPr>
          <w:rFonts w:ascii="Palatino Linotype" w:eastAsia="Palatino Linotype" w:hAnsi="Palatino Linotype" w:cs="Palatino Linotype"/>
          <w:i/>
          <w:color w:val="000000"/>
          <w:highlight w:val="white"/>
        </w:rPr>
        <w:lastRenderedPageBreak/>
        <w:t>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4E9A4DC3" w14:textId="77777777" w:rsidR="002714E7" w:rsidRDefault="002714E7">
      <w:pPr>
        <w:pBdr>
          <w:top w:val="nil"/>
          <w:left w:val="nil"/>
          <w:bottom w:val="nil"/>
          <w:right w:val="nil"/>
          <w:between w:val="nil"/>
        </w:pBdr>
        <w:tabs>
          <w:tab w:val="left" w:pos="851"/>
        </w:tabs>
        <w:spacing w:line="360" w:lineRule="auto"/>
        <w:ind w:left="425" w:right="-504"/>
        <w:jc w:val="both"/>
        <w:rPr>
          <w:rFonts w:ascii="Palatino Linotype" w:eastAsia="Palatino Linotype" w:hAnsi="Palatino Linotype" w:cs="Palatino Linotype"/>
          <w:i/>
          <w:color w:val="000000"/>
          <w:highlight w:val="white"/>
        </w:rPr>
      </w:pPr>
    </w:p>
    <w:p w14:paraId="10A60A7C" w14:textId="77777777" w:rsidR="002714E7" w:rsidRDefault="00734FB5">
      <w:pPr>
        <w:keepNext/>
        <w:keepLines/>
        <w:spacing w:line="360" w:lineRule="auto"/>
        <w:ind w:right="-504"/>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QUINTO. De la versión pública.</w:t>
      </w:r>
    </w:p>
    <w:p w14:paraId="4CECE5F4" w14:textId="77777777" w:rsidR="002714E7" w:rsidRDefault="00734FB5">
      <w:pPr>
        <w:keepNext/>
        <w:keepLines/>
        <w:numPr>
          <w:ilvl w:val="0"/>
          <w:numId w:val="2"/>
        </w:numPr>
        <w:tabs>
          <w:tab w:val="left" w:pos="284"/>
        </w:tabs>
        <w:spacing w:line="360" w:lineRule="auto"/>
        <w:ind w:right="-504"/>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 xml:space="preserve">Nociones generales. </w:t>
      </w:r>
    </w:p>
    <w:p w14:paraId="373E903E"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Debe destacarse que, debido naturaleza de la información solicitada, </w:t>
      </w:r>
      <w:r>
        <w:rPr>
          <w:rFonts w:ascii="Palatino Linotype" w:eastAsia="Palatino Linotype" w:hAnsi="Palatino Linotype" w:cs="Palatino Linotype"/>
          <w:highlight w:val="white"/>
        </w:rPr>
        <w:t>eventualmente</w:t>
      </w:r>
      <w:r>
        <w:rPr>
          <w:rFonts w:ascii="Palatino Linotype" w:eastAsia="Palatino Linotype" w:hAnsi="Palatino Linotype" w:cs="Palatino Linotype"/>
          <w:color w:val="000000"/>
          <w:highlight w:val="white"/>
        </w:rPr>
        <w:t xml:space="preserve"> pudieran obran datos personales susceptibles de protegerse y </w:t>
      </w:r>
      <w:r>
        <w:rPr>
          <w:rFonts w:ascii="Palatino Linotype" w:eastAsia="Palatino Linotype" w:hAnsi="Palatino Linotype" w:cs="Palatino Linotype"/>
          <w:highlight w:val="white"/>
        </w:rPr>
        <w:t>susceptible</w:t>
      </w:r>
      <w:r>
        <w:rPr>
          <w:rFonts w:ascii="Palatino Linotype" w:eastAsia="Palatino Linotype" w:hAnsi="Palatino Linotype" w:cs="Palatino Linotype"/>
          <w:color w:val="000000"/>
          <w:highlight w:val="white"/>
        </w:rPr>
        <w:t xml:space="preserve"> de clasificarse como reservada, por lo que el </w:t>
      </w:r>
      <w:r>
        <w:rPr>
          <w:rFonts w:ascii="Palatino Linotype" w:eastAsia="Palatino Linotype" w:hAnsi="Palatino Linotype" w:cs="Palatino Linotype"/>
          <w:b/>
          <w:color w:val="000000"/>
          <w:highlight w:val="white"/>
        </w:rPr>
        <w:t xml:space="preserve">Sujeto Obligado </w:t>
      </w:r>
      <w:r>
        <w:rPr>
          <w:rFonts w:ascii="Palatino Linotype" w:eastAsia="Palatino Linotype" w:hAnsi="Palatino Linotype" w:cs="Palatino Linotype"/>
          <w:color w:val="000000"/>
          <w:highlight w:val="white"/>
        </w:rPr>
        <w:t xml:space="preserve">deberá de </w:t>
      </w:r>
      <w:r>
        <w:rPr>
          <w:rFonts w:ascii="Palatino Linotype" w:eastAsia="Palatino Linotype" w:hAnsi="Palatino Linotype" w:cs="Palatino Linotype"/>
          <w:color w:val="000000"/>
          <w:highlight w:val="white"/>
        </w:rPr>
        <w:lastRenderedPageBreak/>
        <w:t xml:space="preserve">hacer la adecuada versión pública, protegiendo los datos que no son susceptibles de ser proporcionados. </w:t>
      </w:r>
    </w:p>
    <w:p w14:paraId="763062C0" w14:textId="77777777" w:rsidR="002714E7" w:rsidRDefault="002714E7">
      <w:pPr>
        <w:spacing w:line="360" w:lineRule="auto"/>
        <w:ind w:right="-504"/>
        <w:jc w:val="both"/>
        <w:rPr>
          <w:rFonts w:ascii="Palatino Linotype" w:eastAsia="Palatino Linotype" w:hAnsi="Palatino Linotype" w:cs="Palatino Linotype"/>
          <w:color w:val="000000"/>
          <w:highlight w:val="white"/>
        </w:rPr>
      </w:pPr>
    </w:p>
    <w:p w14:paraId="394963D9"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De este modo, en armonía entre los principios constitucionales de máxima publicidad y de protección de datos personales, la Ley permite la elaboración de versiones </w:t>
      </w:r>
      <w:r>
        <w:rPr>
          <w:rFonts w:ascii="Palatino Linotype" w:eastAsia="Palatino Linotype" w:hAnsi="Palatino Linotype" w:cs="Palatino Linotype"/>
          <w:color w:val="000000"/>
          <w:highlight w:val="white"/>
        </w:rPr>
        <w:t>públicas</w:t>
      </w:r>
      <w:r>
        <w:rPr>
          <w:rFonts w:ascii="Palatino Linotype" w:eastAsia="Palatino Linotype" w:hAnsi="Palatino Linotype" w:cs="Palatino Linotype"/>
          <w:highlight w:val="white"/>
        </w:rPr>
        <w:t xml:space="preserve"> en las que se suprima aquella información relacionada con la vida privada de los particulares y de los servidores públicos.</w:t>
      </w:r>
    </w:p>
    <w:p w14:paraId="4F885EA9"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3DA469A3"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Entonces, 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Pr>
          <w:rFonts w:ascii="Palatino Linotype" w:eastAsia="Palatino Linotype" w:hAnsi="Palatino Linotype" w:cs="Palatino Linotype"/>
          <w:i/>
          <w:highlight w:val="white"/>
        </w:rPr>
        <w:t>.</w:t>
      </w:r>
    </w:p>
    <w:p w14:paraId="67756FCC" w14:textId="77777777" w:rsidR="002714E7" w:rsidRDefault="002714E7">
      <w:pPr>
        <w:spacing w:line="360" w:lineRule="auto"/>
        <w:ind w:right="-504"/>
        <w:jc w:val="both"/>
        <w:rPr>
          <w:rFonts w:ascii="Palatino Linotype" w:eastAsia="Palatino Linotype" w:hAnsi="Palatino Linotype" w:cs="Palatino Linotype"/>
          <w:color w:val="000000"/>
          <w:highlight w:val="white"/>
        </w:rPr>
      </w:pPr>
    </w:p>
    <w:p w14:paraId="1F4EE04B" w14:textId="77777777" w:rsidR="002714E7" w:rsidRDefault="00734F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Cabe destacar que, para la realización de la clasificación de la información, se deben seguir una serie de pasos y procedimientos, por lo que es menester reiterar los mismos:</w:t>
      </w:r>
    </w:p>
    <w:p w14:paraId="2FFF6867" w14:textId="77777777" w:rsidR="002714E7" w:rsidRDefault="002714E7">
      <w:pPr>
        <w:tabs>
          <w:tab w:val="left" w:pos="284"/>
        </w:tabs>
        <w:spacing w:line="360" w:lineRule="auto"/>
        <w:ind w:right="-504"/>
        <w:jc w:val="both"/>
        <w:rPr>
          <w:rFonts w:ascii="Palatino Linotype" w:eastAsia="Palatino Linotype" w:hAnsi="Palatino Linotype" w:cs="Palatino Linotype"/>
          <w:color w:val="000000"/>
          <w:highlight w:val="white"/>
        </w:rPr>
      </w:pPr>
    </w:p>
    <w:tbl>
      <w:tblPr>
        <w:tblStyle w:val="a1"/>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237"/>
      </w:tblGrid>
      <w:tr w:rsidR="002714E7" w14:paraId="42917EEE" w14:textId="77777777">
        <w:tc>
          <w:tcPr>
            <w:tcW w:w="2689" w:type="dxa"/>
          </w:tcPr>
          <w:p w14:paraId="7454F202" w14:textId="77777777" w:rsidR="002714E7" w:rsidRDefault="00734FB5">
            <w:pPr>
              <w:tabs>
                <w:tab w:val="left" w:pos="284"/>
              </w:tabs>
              <w:spacing w:line="360" w:lineRule="auto"/>
              <w:ind w:right="-76"/>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a) Requisitos previos.</w:t>
            </w:r>
          </w:p>
        </w:tc>
        <w:tc>
          <w:tcPr>
            <w:tcW w:w="6237" w:type="dxa"/>
          </w:tcPr>
          <w:p w14:paraId="79D53893" w14:textId="77777777" w:rsidR="002714E7" w:rsidRDefault="00734FB5">
            <w:pPr>
              <w:tabs>
                <w:tab w:val="left" w:pos="284"/>
              </w:tabs>
              <w:spacing w:line="360" w:lineRule="auto"/>
              <w:ind w:right="6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Los artículos 100 y 122 de la Ley Estatal y de la Ley General, respectivamente, señalan </w:t>
            </w:r>
            <w:proofErr w:type="gramStart"/>
            <w:r>
              <w:rPr>
                <w:rFonts w:ascii="Palatino Linotype" w:eastAsia="Palatino Linotype" w:hAnsi="Palatino Linotype" w:cs="Palatino Linotype"/>
                <w:color w:val="000000"/>
                <w:highlight w:val="white"/>
              </w:rPr>
              <w:t>que</w:t>
            </w:r>
            <w:proofErr w:type="gramEnd"/>
            <w:r>
              <w:rPr>
                <w:rFonts w:ascii="Palatino Linotype" w:eastAsia="Palatino Linotype" w:hAnsi="Palatino Linotype" w:cs="Palatino Linotype"/>
                <w:color w:val="000000"/>
                <w:highlight w:val="white"/>
              </w:rPr>
              <w:t xml:space="preserve"> si los Sujetos Obligados determinan que la información actualiza alguno de los supuestos de clasificación, es deber de los titulares de las áreas proponer su clasificación y no del Comité de Transparencia. </w:t>
            </w:r>
          </w:p>
          <w:p w14:paraId="03E8575E" w14:textId="77777777" w:rsidR="002714E7" w:rsidRDefault="00734FB5">
            <w:pPr>
              <w:tabs>
                <w:tab w:val="left" w:pos="284"/>
              </w:tabs>
              <w:spacing w:line="360" w:lineRule="auto"/>
              <w:ind w:right="6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Al hacerlo tienen que precisar de qué información se trata, señalando el supuesto de clasificación (confidencialidad o reserva).</w:t>
            </w:r>
          </w:p>
          <w:p w14:paraId="036C5D49" w14:textId="77777777" w:rsidR="002714E7" w:rsidRDefault="00734FB5">
            <w:pPr>
              <w:tabs>
                <w:tab w:val="left" w:pos="284"/>
              </w:tabs>
              <w:spacing w:line="360" w:lineRule="auto"/>
              <w:ind w:right="6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Además, se debe señalar el procedimiento, de los tres que establecen los artículos 132 y 106 de la Ley Estatal y General, respectivamente.</w:t>
            </w:r>
          </w:p>
          <w:p w14:paraId="6F436C78" w14:textId="77777777" w:rsidR="002714E7" w:rsidRDefault="00734FB5">
            <w:pPr>
              <w:tabs>
                <w:tab w:val="left" w:pos="284"/>
              </w:tabs>
              <w:spacing w:line="360" w:lineRule="auto"/>
              <w:ind w:right="6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highlight w:val="white"/>
                <w:u w:val="single"/>
              </w:rPr>
              <w:t>no se puede hacer un acuerdo para clasificar de manera general todos los documentos de un expediente o área, sin</w:t>
            </w:r>
            <w:r>
              <w:rPr>
                <w:rFonts w:ascii="Palatino Linotype" w:eastAsia="Palatino Linotype" w:hAnsi="Palatino Linotype" w:cs="Palatino Linotype"/>
                <w:color w:val="000000"/>
                <w:highlight w:val="white"/>
              </w:rPr>
              <w:t xml:space="preserve"> individualizar su análisis y tampoco se puede hacer un acuerdo por cada dato que </w:t>
            </w:r>
            <w:r>
              <w:rPr>
                <w:rFonts w:ascii="Palatino Linotype" w:eastAsia="Palatino Linotype" w:hAnsi="Palatino Linotype" w:cs="Palatino Linotype"/>
                <w:color w:val="000000"/>
                <w:highlight w:val="white"/>
              </w:rPr>
              <w:lastRenderedPageBreak/>
              <w:t>se vaya a clasificar dentro de un documento con diez datos, por ejemplo, susceptibles de ser clasificados.</w:t>
            </w:r>
          </w:p>
          <w:p w14:paraId="08A52538" w14:textId="77777777" w:rsidR="002714E7" w:rsidRDefault="002714E7">
            <w:pPr>
              <w:tabs>
                <w:tab w:val="left" w:pos="284"/>
              </w:tabs>
              <w:spacing w:line="360" w:lineRule="auto"/>
              <w:ind w:right="69"/>
              <w:jc w:val="both"/>
              <w:rPr>
                <w:rFonts w:ascii="Palatino Linotype" w:eastAsia="Palatino Linotype" w:hAnsi="Palatino Linotype" w:cs="Palatino Linotype"/>
                <w:highlight w:val="white"/>
              </w:rPr>
            </w:pPr>
          </w:p>
        </w:tc>
      </w:tr>
      <w:tr w:rsidR="002714E7" w14:paraId="619AF05D" w14:textId="77777777">
        <w:tc>
          <w:tcPr>
            <w:tcW w:w="2689" w:type="dxa"/>
          </w:tcPr>
          <w:p w14:paraId="62BF4308" w14:textId="77777777" w:rsidR="002714E7" w:rsidRDefault="00734FB5">
            <w:pPr>
              <w:tabs>
                <w:tab w:val="left" w:pos="284"/>
              </w:tabs>
              <w:spacing w:line="360" w:lineRule="auto"/>
              <w:ind w:right="-76"/>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b) Supuestos de clasificación.</w:t>
            </w:r>
          </w:p>
        </w:tc>
        <w:tc>
          <w:tcPr>
            <w:tcW w:w="6237" w:type="dxa"/>
          </w:tcPr>
          <w:p w14:paraId="5E7B6A30" w14:textId="77777777" w:rsidR="002714E7" w:rsidRDefault="00734FB5">
            <w:pPr>
              <w:tabs>
                <w:tab w:val="left" w:pos="284"/>
              </w:tabs>
              <w:spacing w:line="360" w:lineRule="auto"/>
              <w:ind w:right="6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Las disposiciones constitucionales y legales en la materia establecen los dos supuestos generales para clasificar la información: por reserva y por confidencialidad.</w:t>
            </w:r>
          </w:p>
          <w:p w14:paraId="3FA59CF0" w14:textId="77777777" w:rsidR="002714E7" w:rsidRDefault="00734FB5">
            <w:pPr>
              <w:tabs>
                <w:tab w:val="left" w:pos="284"/>
              </w:tabs>
              <w:spacing w:line="360" w:lineRule="auto"/>
              <w:ind w:right="6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F82736F" w14:textId="77777777" w:rsidR="002714E7" w:rsidRDefault="00734FB5">
            <w:pPr>
              <w:tabs>
                <w:tab w:val="left" w:pos="284"/>
              </w:tabs>
              <w:spacing w:line="360" w:lineRule="auto"/>
              <w:ind w:right="6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El </w:t>
            </w:r>
            <w:r>
              <w:rPr>
                <w:rFonts w:ascii="Palatino Linotype" w:eastAsia="Palatino Linotype" w:hAnsi="Palatino Linotype" w:cs="Palatino Linotype"/>
                <w:b/>
                <w:color w:val="000000"/>
                <w:highlight w:val="white"/>
              </w:rPr>
              <w:t>Sujeto Obligado</w:t>
            </w:r>
            <w:r>
              <w:rPr>
                <w:rFonts w:ascii="Palatino Linotype" w:eastAsia="Palatino Linotype" w:hAnsi="Palatino Linotype" w:cs="Palatino Linotype"/>
                <w:color w:val="000000"/>
                <w:highlight w:val="white"/>
              </w:rPr>
              <w:t xml:space="preserve"> debe identificar claramente el tipo de información y hacer un juicio de subsunción o encaje para acreditar que el supuesto de hecho corresponde </w:t>
            </w:r>
            <w:r>
              <w:rPr>
                <w:rFonts w:ascii="Palatino Linotype" w:eastAsia="Palatino Linotype" w:hAnsi="Palatino Linotype" w:cs="Palatino Linotype"/>
                <w:color w:val="000000"/>
                <w:highlight w:val="white"/>
              </w:rPr>
              <w:lastRenderedPageBreak/>
              <w:t>estrictamente con la hipótesis jurídica. Esto también lo debe de realizar el servidor público habilitado y el titular del área que administra la información.</w:t>
            </w:r>
          </w:p>
          <w:p w14:paraId="5A9357C4" w14:textId="77777777" w:rsidR="002714E7" w:rsidRDefault="002714E7">
            <w:pPr>
              <w:tabs>
                <w:tab w:val="left" w:pos="284"/>
              </w:tabs>
              <w:spacing w:line="360" w:lineRule="auto"/>
              <w:ind w:right="69"/>
              <w:jc w:val="both"/>
              <w:rPr>
                <w:rFonts w:ascii="Palatino Linotype" w:eastAsia="Palatino Linotype" w:hAnsi="Palatino Linotype" w:cs="Palatino Linotype"/>
                <w:highlight w:val="white"/>
              </w:rPr>
            </w:pPr>
          </w:p>
        </w:tc>
      </w:tr>
      <w:tr w:rsidR="002714E7" w14:paraId="2A9567B5" w14:textId="77777777">
        <w:tc>
          <w:tcPr>
            <w:tcW w:w="2689" w:type="dxa"/>
          </w:tcPr>
          <w:p w14:paraId="10040AC9" w14:textId="77777777" w:rsidR="002714E7" w:rsidRDefault="00734FB5">
            <w:pPr>
              <w:tabs>
                <w:tab w:val="left" w:pos="284"/>
              </w:tabs>
              <w:spacing w:line="360" w:lineRule="auto"/>
              <w:ind w:right="-76"/>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c) Formalidades para emitir el acuerdo de clasificación.</w:t>
            </w:r>
          </w:p>
        </w:tc>
        <w:tc>
          <w:tcPr>
            <w:tcW w:w="6237" w:type="dxa"/>
          </w:tcPr>
          <w:p w14:paraId="061E832F" w14:textId="77777777" w:rsidR="002714E7" w:rsidRDefault="00734FB5">
            <w:pPr>
              <w:tabs>
                <w:tab w:val="left" w:pos="284"/>
              </w:tabs>
              <w:spacing w:line="360" w:lineRule="auto"/>
              <w:ind w:right="6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El Comité de Transparencia, según lo dispuesto en los artículos cuenta con las facultades para aprobar, modificar o revocar la clasificación de la información que haya propuesto. </w:t>
            </w:r>
          </w:p>
          <w:p w14:paraId="5B9B6476" w14:textId="77777777" w:rsidR="002714E7" w:rsidRDefault="00734FB5">
            <w:pPr>
              <w:tabs>
                <w:tab w:val="left" w:pos="284"/>
              </w:tabs>
              <w:spacing w:line="360" w:lineRule="auto"/>
              <w:ind w:right="6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Es necesario que </w:t>
            </w:r>
            <w:r>
              <w:rPr>
                <w:rFonts w:ascii="Palatino Linotype" w:eastAsia="Palatino Linotype" w:hAnsi="Palatino Linotype" w:cs="Palatino Linotype"/>
                <w:b/>
                <w:color w:val="000000"/>
                <w:highlight w:val="white"/>
                <w:u w:val="single"/>
              </w:rPr>
              <w:t>el acto reúna con los requisitos elementales</w:t>
            </w:r>
            <w:r>
              <w:rPr>
                <w:rFonts w:ascii="Palatino Linotype" w:eastAsia="Palatino Linotype" w:hAnsi="Palatino Linotype" w:cs="Palatino Linotype"/>
                <w:color w:val="000000"/>
                <w:highlight w:val="white"/>
              </w:rPr>
              <w:t>, entre ellos, que la autoridad que va a emitir el acto de autoridad sea la legalmente facultada para ello.</w:t>
            </w:r>
          </w:p>
          <w:p w14:paraId="7369DA28" w14:textId="77777777" w:rsidR="002714E7" w:rsidRDefault="00734FB5">
            <w:pPr>
              <w:tabs>
                <w:tab w:val="left" w:pos="284"/>
              </w:tabs>
              <w:spacing w:line="360" w:lineRule="auto"/>
              <w:ind w:right="6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w:t>
            </w:r>
            <w:r>
              <w:rPr>
                <w:rFonts w:ascii="Palatino Linotype" w:eastAsia="Palatino Linotype" w:hAnsi="Palatino Linotype" w:cs="Palatino Linotype"/>
                <w:color w:val="000000"/>
                <w:highlight w:val="white"/>
              </w:rPr>
              <w:lastRenderedPageBreak/>
              <w:t>adoptadas previamente por los titulares de áreas y que son sujetas a control, en primera instancia, por el Comité de Transparencia.</w:t>
            </w:r>
          </w:p>
          <w:p w14:paraId="3EE321D3" w14:textId="77777777" w:rsidR="002714E7" w:rsidRDefault="002714E7">
            <w:pPr>
              <w:tabs>
                <w:tab w:val="left" w:pos="284"/>
              </w:tabs>
              <w:spacing w:line="360" w:lineRule="auto"/>
              <w:ind w:right="69"/>
              <w:jc w:val="both"/>
              <w:rPr>
                <w:rFonts w:ascii="Palatino Linotype" w:eastAsia="Palatino Linotype" w:hAnsi="Palatino Linotype" w:cs="Palatino Linotype"/>
                <w:highlight w:val="white"/>
              </w:rPr>
            </w:pPr>
          </w:p>
        </w:tc>
      </w:tr>
      <w:tr w:rsidR="002714E7" w14:paraId="683B884E" w14:textId="77777777">
        <w:tc>
          <w:tcPr>
            <w:tcW w:w="2689" w:type="dxa"/>
          </w:tcPr>
          <w:p w14:paraId="40B84C3E" w14:textId="77777777" w:rsidR="002714E7" w:rsidRDefault="002714E7">
            <w:pPr>
              <w:tabs>
                <w:tab w:val="left" w:pos="284"/>
              </w:tabs>
              <w:spacing w:line="360" w:lineRule="auto"/>
              <w:ind w:right="-76"/>
              <w:rPr>
                <w:rFonts w:ascii="Palatino Linotype" w:eastAsia="Palatino Linotype" w:hAnsi="Palatino Linotype" w:cs="Palatino Linotype"/>
                <w:highlight w:val="white"/>
              </w:rPr>
            </w:pPr>
          </w:p>
          <w:p w14:paraId="7951B6EB" w14:textId="77777777" w:rsidR="002714E7" w:rsidRDefault="00734FB5">
            <w:pPr>
              <w:tabs>
                <w:tab w:val="left" w:pos="284"/>
              </w:tabs>
              <w:spacing w:line="360" w:lineRule="auto"/>
              <w:ind w:right="-76"/>
              <w:jc w:val="both"/>
              <w:rPr>
                <w:rFonts w:ascii="Palatino Linotype" w:eastAsia="Palatino Linotype" w:hAnsi="Palatino Linotype" w:cs="Palatino Linotype"/>
                <w:highlight w:val="white"/>
              </w:rPr>
            </w:pPr>
            <w:r>
              <w:rPr>
                <w:rFonts w:ascii="Palatino Linotype" w:eastAsia="Palatino Linotype" w:hAnsi="Palatino Linotype" w:cs="Palatino Linotype"/>
                <w:color w:val="000000"/>
                <w:highlight w:val="white"/>
              </w:rPr>
              <w:t xml:space="preserve">d) Requisitos de fondo del acuerdo de clasificación. </w:t>
            </w:r>
          </w:p>
        </w:tc>
        <w:tc>
          <w:tcPr>
            <w:tcW w:w="6237" w:type="dxa"/>
          </w:tcPr>
          <w:p w14:paraId="4EE351C0" w14:textId="77777777" w:rsidR="002714E7" w:rsidRDefault="00734FB5">
            <w:pPr>
              <w:tabs>
                <w:tab w:val="left" w:pos="284"/>
              </w:tabs>
              <w:spacing w:line="360" w:lineRule="auto"/>
              <w:ind w:right="6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color w:val="000000"/>
                <w:highlight w:val="white"/>
              </w:rPr>
              <w:t>Sujetos Obligados</w:t>
            </w:r>
            <w:r>
              <w:rPr>
                <w:rFonts w:ascii="Palatino Linotype" w:eastAsia="Palatino Linotype" w:hAnsi="Palatino Linotype" w:cs="Palatino Linotype"/>
                <w:color w:val="000000"/>
                <w:highlight w:val="white"/>
              </w:rPr>
              <w:t xml:space="preserve">, por lo que deberán fundar y motivar debidamente la clasificación. </w:t>
            </w:r>
          </w:p>
          <w:p w14:paraId="01C420AD" w14:textId="77777777" w:rsidR="002714E7" w:rsidRDefault="00734FB5">
            <w:pPr>
              <w:tabs>
                <w:tab w:val="left" w:pos="284"/>
              </w:tabs>
              <w:spacing w:line="360" w:lineRule="auto"/>
              <w:ind w:right="6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De lo anterior, se desprende </w:t>
            </w:r>
            <w:proofErr w:type="gramStart"/>
            <w:r>
              <w:rPr>
                <w:rFonts w:ascii="Palatino Linotype" w:eastAsia="Palatino Linotype" w:hAnsi="Palatino Linotype" w:cs="Palatino Linotype"/>
                <w:color w:val="000000"/>
                <w:highlight w:val="white"/>
              </w:rPr>
              <w:t>que</w:t>
            </w:r>
            <w:proofErr w:type="gramEnd"/>
            <w:r>
              <w:rPr>
                <w:rFonts w:ascii="Palatino Linotype" w:eastAsia="Palatino Linotype" w:hAnsi="Palatino Linotype" w:cs="Palatino Linotype"/>
                <w:color w:val="000000"/>
                <w:highlight w:val="white"/>
              </w:rPr>
              <w:t xml:space="preserve"> para una correcta </w:t>
            </w:r>
            <w:r>
              <w:rPr>
                <w:rFonts w:ascii="Palatino Linotype" w:eastAsia="Palatino Linotype" w:hAnsi="Palatino Linotype" w:cs="Palatino Linotype"/>
                <w:b/>
                <w:color w:val="000000"/>
                <w:highlight w:val="white"/>
              </w:rPr>
              <w:t>clasificación total o parcial</w:t>
            </w:r>
            <w:r>
              <w:rPr>
                <w:rFonts w:ascii="Palatino Linotype" w:eastAsia="Palatino Linotype" w:hAnsi="Palatino Linotype" w:cs="Palatino Linotype"/>
                <w:color w:val="000000"/>
                <w:highlight w:val="white"/>
              </w:rPr>
              <w:t xml:space="preserve">, esto es determinar los datos que se suprimen en las versiones públicas, es necesario fundar y motivar, de manera correcta, la clasificación; considerando que todo acto que la autoridad pronuncie en el ejercicio de sus atribuciones, debe expresar los </w:t>
            </w:r>
            <w:r>
              <w:rPr>
                <w:rFonts w:ascii="Palatino Linotype" w:eastAsia="Palatino Linotype" w:hAnsi="Palatino Linotype" w:cs="Palatino Linotype"/>
                <w:color w:val="000000"/>
                <w:highlight w:val="white"/>
              </w:rPr>
              <w:lastRenderedPageBreak/>
              <w:t>fundamentos legales que le dieron origen y las razones por las que se deben aplicar al caso concreto.</w:t>
            </w:r>
          </w:p>
          <w:p w14:paraId="5C262BDE" w14:textId="77777777" w:rsidR="002714E7" w:rsidRDefault="00734FB5">
            <w:pPr>
              <w:tabs>
                <w:tab w:val="left" w:pos="284"/>
              </w:tabs>
              <w:spacing w:line="360" w:lineRule="auto"/>
              <w:ind w:right="6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F6DC522" w14:textId="77777777" w:rsidR="002714E7" w:rsidRDefault="00734FB5">
            <w:pPr>
              <w:tabs>
                <w:tab w:val="left" w:pos="284"/>
              </w:tabs>
              <w:spacing w:line="360" w:lineRule="auto"/>
              <w:ind w:right="6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En ese mismo sentido, el numeral trigésimo tercero fracción V de los Lineamientos Generales, precisa que para motivar la clasificación se deben acreditar las circunstancias de tiempo, modo y lugar.</w:t>
            </w:r>
          </w:p>
          <w:p w14:paraId="71307FE4" w14:textId="77777777" w:rsidR="002714E7" w:rsidRDefault="00734FB5">
            <w:pPr>
              <w:tabs>
                <w:tab w:val="left" w:pos="284"/>
              </w:tabs>
              <w:spacing w:line="360" w:lineRule="auto"/>
              <w:ind w:right="6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Ahora bien, </w:t>
            </w:r>
            <w:r>
              <w:rPr>
                <w:rFonts w:ascii="Palatino Linotype" w:eastAsia="Palatino Linotype" w:hAnsi="Palatino Linotype" w:cs="Palatino Linotype"/>
                <w:b/>
                <w:color w:val="000000"/>
                <w:highlight w:val="white"/>
                <w:u w:val="single"/>
              </w:rPr>
              <w:t>para cada caso además de fundar y motivar</w:t>
            </w:r>
            <w:r>
              <w:rPr>
                <w:rFonts w:ascii="Palatino Linotype" w:eastAsia="Palatino Linotype" w:hAnsi="Palatino Linotype" w:cs="Palatino Linotype"/>
                <w:color w:val="000000"/>
                <w:highlight w:val="white"/>
              </w:rPr>
              <w:t xml:space="preserve">, se debe identificar con claridad que datos contenidos en las documentales que son susceptibles de suprimirse, por ejemplo; Clave Única de Registro de Población (CURP), Registro Federal de Contribuyentes (R.F.C.), </w:t>
            </w:r>
            <w:r>
              <w:rPr>
                <w:rFonts w:ascii="Palatino Linotype" w:eastAsia="Palatino Linotype" w:hAnsi="Palatino Linotype" w:cs="Palatino Linotype"/>
                <w:color w:val="000000"/>
                <w:highlight w:val="white"/>
              </w:rPr>
              <w:lastRenderedPageBreak/>
              <w:t>claves de seguros, préstamos o descuentos personales, secretos bancario, fiduciario, industrial, comercial, fiscal, bursátil y postal, cuya titularidad corresponda a particulares, entre otros.</w:t>
            </w:r>
          </w:p>
          <w:p w14:paraId="6CA74629" w14:textId="77777777" w:rsidR="002714E7" w:rsidRDefault="002714E7">
            <w:pPr>
              <w:tabs>
                <w:tab w:val="left" w:pos="284"/>
              </w:tabs>
              <w:spacing w:line="360" w:lineRule="auto"/>
              <w:ind w:right="69"/>
              <w:jc w:val="both"/>
              <w:rPr>
                <w:rFonts w:ascii="Palatino Linotype" w:eastAsia="Palatino Linotype" w:hAnsi="Palatino Linotype" w:cs="Palatino Linotype"/>
                <w:color w:val="000000"/>
                <w:highlight w:val="white"/>
              </w:rPr>
            </w:pPr>
          </w:p>
        </w:tc>
      </w:tr>
      <w:tr w:rsidR="002714E7" w14:paraId="3DA2B3FE" w14:textId="77777777">
        <w:tc>
          <w:tcPr>
            <w:tcW w:w="2689" w:type="dxa"/>
          </w:tcPr>
          <w:p w14:paraId="4EE90A73" w14:textId="77777777" w:rsidR="002714E7" w:rsidRDefault="00734FB5">
            <w:pPr>
              <w:tabs>
                <w:tab w:val="left" w:pos="284"/>
              </w:tabs>
              <w:spacing w:line="360" w:lineRule="auto"/>
              <w:ind w:right="-76"/>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 xml:space="preserve">e) Condiciones especiales de la clasificación de la información como confidencial. </w:t>
            </w:r>
          </w:p>
        </w:tc>
        <w:tc>
          <w:tcPr>
            <w:tcW w:w="6237" w:type="dxa"/>
          </w:tcPr>
          <w:p w14:paraId="5D42D01E" w14:textId="77777777" w:rsidR="002714E7" w:rsidRDefault="00734FB5">
            <w:pPr>
              <w:tabs>
                <w:tab w:val="left" w:pos="284"/>
              </w:tabs>
              <w:spacing w:line="360" w:lineRule="auto"/>
              <w:ind w:right="6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Los artículos 148 y 120 de la Ley Estatal y de la Ley General, respectivamente, establecen </w:t>
            </w:r>
            <w:proofErr w:type="gramStart"/>
            <w:r>
              <w:rPr>
                <w:rFonts w:ascii="Palatino Linotype" w:eastAsia="Palatino Linotype" w:hAnsi="Palatino Linotype" w:cs="Palatino Linotype"/>
                <w:color w:val="000000"/>
                <w:highlight w:val="white"/>
              </w:rPr>
              <w:t>que</w:t>
            </w:r>
            <w:proofErr w:type="gramEnd"/>
            <w:r>
              <w:rPr>
                <w:rFonts w:ascii="Palatino Linotype" w:eastAsia="Palatino Linotype" w:hAnsi="Palatino Linotype" w:cs="Palatino Linotype"/>
                <w:color w:val="000000"/>
                <w:highlight w:val="white"/>
              </w:rPr>
              <w:t xml:space="preserve"> aun tratándose de datos personales, se podrán proporcionar, incluso sin solicitar el consentimiento de su titular. </w:t>
            </w:r>
          </w:p>
          <w:p w14:paraId="6736EFC7" w14:textId="77777777" w:rsidR="002714E7" w:rsidRDefault="00734FB5">
            <w:pPr>
              <w:tabs>
                <w:tab w:val="left" w:pos="284"/>
              </w:tabs>
              <w:spacing w:line="360" w:lineRule="auto"/>
              <w:ind w:right="69"/>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199A02D" w14:textId="77777777" w:rsidR="002714E7" w:rsidRDefault="00734FB5">
            <w:pPr>
              <w:tabs>
                <w:tab w:val="left" w:pos="284"/>
              </w:tabs>
              <w:spacing w:line="360" w:lineRule="auto"/>
              <w:ind w:right="69"/>
              <w:rPr>
                <w:rFonts w:ascii="Palatino Linotype" w:eastAsia="Palatino Linotype" w:hAnsi="Palatino Linotype" w:cs="Palatino Linotype"/>
                <w:highlight w:val="white"/>
              </w:rPr>
            </w:pPr>
            <w:r>
              <w:rPr>
                <w:rFonts w:ascii="Palatino Linotype" w:eastAsia="Palatino Linotype" w:hAnsi="Palatino Linotype" w:cs="Palatino Linotype"/>
                <w:color w:val="000000"/>
                <w:highlight w:val="white"/>
              </w:rPr>
              <w:t xml:space="preserve">Pero si la información que se pretende clasificar como confidencial no se encuentra en los supuestos de los artículos señalados y es posible, se deberá consultar al titular de los datos si permite o no el acceso. De no ser </w:t>
            </w:r>
            <w:r>
              <w:rPr>
                <w:rFonts w:ascii="Palatino Linotype" w:eastAsia="Palatino Linotype" w:hAnsi="Palatino Linotype" w:cs="Palatino Linotype"/>
                <w:color w:val="000000"/>
                <w:highlight w:val="white"/>
              </w:rPr>
              <w:lastRenderedPageBreak/>
              <w:t>posible, la realización de la consulta, procede, fundando y motivando, la clasificación.</w:t>
            </w:r>
          </w:p>
        </w:tc>
      </w:tr>
    </w:tbl>
    <w:p w14:paraId="25DFE25A"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highlight w:val="white"/>
        </w:rPr>
      </w:pPr>
    </w:p>
    <w:p w14:paraId="18FB70B0" w14:textId="77777777" w:rsidR="002714E7" w:rsidRDefault="00734FB5">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110. </w:t>
      </w:r>
      <w:r>
        <w:rPr>
          <w:rFonts w:ascii="Palatino Linotype" w:eastAsia="Palatino Linotype" w:hAnsi="Palatino Linotype" w:cs="Palatino Linotype"/>
          <w:highlight w:val="white"/>
        </w:rPr>
        <w:t xml:space="preserve">Entre los datos personales que se localizan en el documento que se ordena entregar, se encuentran la fotografía y la firma de los servidores públicos, por lo que se analizará si procede su clasificación o, </w:t>
      </w:r>
      <w:proofErr w:type="gramStart"/>
      <w:r>
        <w:rPr>
          <w:rFonts w:ascii="Palatino Linotype" w:eastAsia="Palatino Linotype" w:hAnsi="Palatino Linotype" w:cs="Palatino Linotype"/>
          <w:highlight w:val="white"/>
        </w:rPr>
        <w:t>si</w:t>
      </w:r>
      <w:proofErr w:type="gramEnd"/>
      <w:r>
        <w:rPr>
          <w:rFonts w:ascii="Palatino Linotype" w:eastAsia="Palatino Linotype" w:hAnsi="Palatino Linotype" w:cs="Palatino Linotype"/>
          <w:highlight w:val="white"/>
        </w:rPr>
        <w:t xml:space="preserve"> por el contrario, su publicidad.</w:t>
      </w:r>
    </w:p>
    <w:p w14:paraId="011EC930" w14:textId="77777777" w:rsidR="002714E7" w:rsidRDefault="00734FB5">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 </w:t>
      </w:r>
    </w:p>
    <w:p w14:paraId="1518E139" w14:textId="77777777" w:rsidR="002714E7" w:rsidRDefault="00734FB5">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111. Fotografía de servidores públicos</w:t>
      </w:r>
      <w:r>
        <w:rPr>
          <w:rFonts w:ascii="Palatino Linotype" w:eastAsia="Palatino Linotype" w:hAnsi="Palatino Linotype" w:cs="Palatino Linotype"/>
          <w:highlight w:val="white"/>
        </w:rPr>
        <w:t>: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768516AE" w14:textId="77777777" w:rsidR="002714E7" w:rsidRDefault="00734FB5">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 112. 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w:t>
      </w:r>
      <w:r>
        <w:rPr>
          <w:rFonts w:ascii="Palatino Linotype" w:eastAsia="Palatino Linotype" w:hAnsi="Palatino Linotype" w:cs="Palatino Linotype"/>
          <w:highlight w:val="white"/>
        </w:rPr>
        <w:lastRenderedPageBreak/>
        <w:t>identificaría a una persona como servidor público, por lo que es posible advertir que existe cierto interés público, cuando la fotografía obra en documentos de servidores públicos vinculados con el cumplimiento de disposiciones legales.</w:t>
      </w:r>
    </w:p>
    <w:p w14:paraId="6AC407C8" w14:textId="77777777" w:rsidR="002714E7" w:rsidRDefault="00734FB5">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 113. Por lo anterior, cuando las fotografías de los servidores públicos obran en documentos que dan cuenta del cumplimiento de funciones, requisitos legales o los acredita como servidores públicos,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7D6B81E8" w14:textId="77777777" w:rsidR="002714E7" w:rsidRDefault="00734FB5">
      <w:pPr>
        <w:spacing w:before="240" w:after="240" w:line="360" w:lineRule="auto"/>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 </w:t>
      </w:r>
    </w:p>
    <w:p w14:paraId="2063A3F5" w14:textId="77777777" w:rsidR="002714E7" w:rsidRDefault="00734FB5">
      <w:pPr>
        <w:spacing w:before="240" w:after="240" w:line="360" w:lineRule="auto"/>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 </w:t>
      </w:r>
    </w:p>
    <w:p w14:paraId="2995BF74" w14:textId="77777777" w:rsidR="002714E7" w:rsidRDefault="00734FB5">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114. </w:t>
      </w:r>
      <w:r>
        <w:rPr>
          <w:rFonts w:ascii="Palatino Linotype" w:eastAsia="Palatino Linotype" w:hAnsi="Palatino Linotype" w:cs="Palatino Linotype"/>
          <w:highlight w:val="white"/>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w:t>
      </w:r>
      <w:r>
        <w:rPr>
          <w:rFonts w:ascii="Palatino Linotype" w:eastAsia="Palatino Linotype" w:hAnsi="Palatino Linotype" w:cs="Palatino Linotype"/>
          <w:highlight w:val="white"/>
        </w:rPr>
        <w:lastRenderedPageBreak/>
        <w:t>México y Municipios, por lo que en las versiones públicas que se ordenen, no podrá clasificarse esa información.</w:t>
      </w:r>
    </w:p>
    <w:p w14:paraId="70DE899F" w14:textId="77777777" w:rsidR="002714E7" w:rsidRDefault="00734FB5">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sz w:val="28"/>
          <w:szCs w:val="28"/>
          <w:highlight w:val="white"/>
        </w:rPr>
        <w:t xml:space="preserve"> </w:t>
      </w:r>
      <w:r>
        <w:rPr>
          <w:rFonts w:ascii="Palatino Linotype" w:eastAsia="Palatino Linotype" w:hAnsi="Palatino Linotype" w:cs="Palatino Linotype"/>
          <w:b/>
          <w:highlight w:val="white"/>
        </w:rPr>
        <w:t xml:space="preserve">115. </w:t>
      </w:r>
      <w:r>
        <w:rPr>
          <w:rFonts w:ascii="Palatino Linotype" w:eastAsia="Palatino Linotype" w:hAnsi="Palatino Linotype" w:cs="Palatino Linotype"/>
          <w:highlight w:val="white"/>
        </w:rPr>
        <w:t xml:space="preserve">Además, no escapa de la óptica de </w:t>
      </w:r>
      <w:proofErr w:type="gramStart"/>
      <w:r>
        <w:rPr>
          <w:rFonts w:ascii="Palatino Linotype" w:eastAsia="Palatino Linotype" w:hAnsi="Palatino Linotype" w:cs="Palatino Linotype"/>
          <w:highlight w:val="white"/>
        </w:rPr>
        <w:t>éste</w:t>
      </w:r>
      <w:proofErr w:type="gramEnd"/>
      <w:r>
        <w:rPr>
          <w:rFonts w:ascii="Palatino Linotype" w:eastAsia="Palatino Linotype" w:hAnsi="Palatino Linotype" w:cs="Palatino Linotype"/>
          <w:highlight w:val="white"/>
        </w:rPr>
        <w:t xml:space="preserve"> órgano garante que el documento que da cuenta de lo requerido es un título o cédula profesional, por lo que resulta conveniente traer a contexto el criterio 001/2013 y 015/2017 del Instituto Nacional de Transparencia, Acceso a la Información y Protección de Datos Personales, cuyo rubro y contenido son los siguientes:</w:t>
      </w:r>
    </w:p>
    <w:p w14:paraId="245299B7" w14:textId="77777777" w:rsidR="002714E7" w:rsidRDefault="00734FB5">
      <w:pPr>
        <w:spacing w:before="240" w:after="240" w:line="360" w:lineRule="auto"/>
        <w:ind w:left="720"/>
        <w:rPr>
          <w:rFonts w:ascii="Palatino Linotype" w:eastAsia="Palatino Linotype" w:hAnsi="Palatino Linotype" w:cs="Palatino Linotype"/>
          <w:sz w:val="28"/>
          <w:szCs w:val="28"/>
          <w:highlight w:val="white"/>
        </w:rPr>
      </w:pPr>
      <w:r>
        <w:rPr>
          <w:rFonts w:ascii="Palatino Linotype" w:eastAsia="Palatino Linotype" w:hAnsi="Palatino Linotype" w:cs="Palatino Linotype"/>
          <w:sz w:val="28"/>
          <w:szCs w:val="28"/>
          <w:highlight w:val="white"/>
        </w:rPr>
        <w:t xml:space="preserve"> </w:t>
      </w:r>
    </w:p>
    <w:p w14:paraId="0FDFCC30" w14:textId="77777777" w:rsidR="002714E7" w:rsidRDefault="00734FB5">
      <w:pPr>
        <w:spacing w:line="360" w:lineRule="auto"/>
        <w:ind w:left="560" w:right="820"/>
        <w:jc w:val="both"/>
        <w:rPr>
          <w:rFonts w:ascii="Palatino Linotype" w:eastAsia="Palatino Linotype" w:hAnsi="Palatino Linotype" w:cs="Palatino Linotype"/>
          <w:i/>
          <w:sz w:val="22"/>
          <w:szCs w:val="22"/>
          <w:highlight w:val="white"/>
        </w:rPr>
      </w:pPr>
      <w:r>
        <w:rPr>
          <w:rFonts w:ascii="Palatino Linotype" w:eastAsia="Palatino Linotype" w:hAnsi="Palatino Linotype" w:cs="Palatino Linotype"/>
          <w:b/>
          <w:i/>
          <w:sz w:val="22"/>
          <w:szCs w:val="22"/>
          <w:highlight w:val="white"/>
        </w:rPr>
        <w:t xml:space="preserve">Fotografía de una persona física que conste en su título o cédula profesional no es susceptible de clasificarse con carácter de confidencial. </w:t>
      </w:r>
      <w:r>
        <w:rPr>
          <w:rFonts w:ascii="Palatino Linotype" w:eastAsia="Palatino Linotype" w:hAnsi="Palatino Linotype" w:cs="Palatino Linotype"/>
          <w:i/>
          <w:sz w:val="22"/>
          <w:szCs w:val="22"/>
          <w:highlight w:val="white"/>
        </w:rPr>
        <w:t>La fotografía contenida en un título o cédula profesional no es susceptible de clasificarse con el carácter de confidencial, en términos de lo dispuesto en el artículo 18, fracción II de la Ley Federal de Transparencia y Acceso a la información Pública Gubernamental, no obstante ser un dato personal, en virtud del interés público que existe de conocer que la persona que se ostenta con una calidad profesional determinada es la misma que aparece en los documentos oficiales de referencia. Lo anterior es así, ya que en el momento en que una persona se somete a un registro fotográfico con el objetivo de recibir una identificación oficial que lo avala como profesionista, consiente que tanto la imagen de su rostro como su nombre y profesión, sean elementos de acreditación e identificación frente a terceros.</w:t>
      </w:r>
    </w:p>
    <w:p w14:paraId="17A90496" w14:textId="77777777" w:rsidR="002714E7" w:rsidRDefault="00734FB5">
      <w:pPr>
        <w:spacing w:line="360" w:lineRule="auto"/>
        <w:ind w:left="560" w:right="820"/>
        <w:jc w:val="both"/>
        <w:rPr>
          <w:rFonts w:ascii="Palatino Linotype" w:eastAsia="Palatino Linotype" w:hAnsi="Palatino Linotype" w:cs="Palatino Linotype"/>
          <w:i/>
          <w:sz w:val="22"/>
          <w:szCs w:val="22"/>
          <w:highlight w:val="white"/>
        </w:rPr>
      </w:pPr>
      <w:r>
        <w:rPr>
          <w:rFonts w:ascii="Palatino Linotype" w:eastAsia="Palatino Linotype" w:hAnsi="Palatino Linotype" w:cs="Palatino Linotype"/>
          <w:i/>
          <w:sz w:val="22"/>
          <w:szCs w:val="22"/>
          <w:highlight w:val="white"/>
        </w:rPr>
        <w:lastRenderedPageBreak/>
        <w:t xml:space="preserve"> </w:t>
      </w:r>
    </w:p>
    <w:p w14:paraId="4A21BC58" w14:textId="77777777" w:rsidR="002714E7" w:rsidRDefault="00734FB5">
      <w:pPr>
        <w:spacing w:line="360" w:lineRule="auto"/>
        <w:ind w:left="560" w:right="820"/>
        <w:jc w:val="both"/>
        <w:rPr>
          <w:rFonts w:ascii="Palatino Linotype" w:eastAsia="Palatino Linotype" w:hAnsi="Palatino Linotype" w:cs="Palatino Linotype"/>
          <w:i/>
          <w:sz w:val="22"/>
          <w:szCs w:val="22"/>
          <w:highlight w:val="white"/>
        </w:rPr>
      </w:pPr>
      <w:r>
        <w:rPr>
          <w:rFonts w:ascii="Palatino Linotype" w:eastAsia="Palatino Linotype" w:hAnsi="Palatino Linotype" w:cs="Palatino Linotype"/>
          <w:b/>
          <w:i/>
          <w:sz w:val="22"/>
          <w:szCs w:val="22"/>
          <w:highlight w:val="white"/>
        </w:rPr>
        <w:t>Fotografía en título o cédula profesional es de acceso público.</w:t>
      </w:r>
      <w:r>
        <w:rPr>
          <w:rFonts w:ascii="Palatino Linotype" w:eastAsia="Palatino Linotype" w:hAnsi="Palatino Linotype" w:cs="Palatino Linotype"/>
          <w:i/>
          <w:sz w:val="22"/>
          <w:szCs w:val="22"/>
          <w:highlight w:val="white"/>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0B434B3F" w14:textId="77777777" w:rsidR="002714E7" w:rsidRDefault="00734FB5">
      <w:pPr>
        <w:spacing w:before="240" w:after="240" w:line="360" w:lineRule="auto"/>
        <w:jc w:val="both"/>
        <w:rPr>
          <w:rFonts w:ascii="Arial" w:eastAsia="Arial" w:hAnsi="Arial" w:cs="Arial"/>
          <w:highlight w:val="white"/>
        </w:rPr>
      </w:pPr>
      <w:r>
        <w:rPr>
          <w:rFonts w:ascii="Arial" w:eastAsia="Arial" w:hAnsi="Arial" w:cs="Arial"/>
          <w:highlight w:val="white"/>
        </w:rPr>
        <w:t xml:space="preserve"> </w:t>
      </w:r>
    </w:p>
    <w:p w14:paraId="2FAA6A1B" w14:textId="77777777" w:rsidR="002714E7" w:rsidRDefault="00734FB5">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116. </w:t>
      </w:r>
      <w:r>
        <w:rPr>
          <w:sz w:val="14"/>
          <w:szCs w:val="14"/>
          <w:highlight w:val="white"/>
        </w:rPr>
        <w:t xml:space="preserve">  </w:t>
      </w:r>
      <w:r>
        <w:rPr>
          <w:rFonts w:ascii="Palatino Linotype" w:eastAsia="Palatino Linotype" w:hAnsi="Palatino Linotype" w:cs="Palatino Linotype"/>
          <w:highlight w:val="white"/>
        </w:rPr>
        <w:t>Resultando así que, la fotografía de los servidores públicos, cuando obre en título o cédula profesional es de acceso público y no procede su clasificación como información confidencial, aún y cuando corresponde a un dato personal.</w:t>
      </w:r>
    </w:p>
    <w:p w14:paraId="37B56CD2" w14:textId="77777777" w:rsidR="002714E7" w:rsidRDefault="00734FB5">
      <w:pPr>
        <w:spacing w:before="240" w:after="240" w:line="360" w:lineRule="auto"/>
        <w:jc w:val="both"/>
        <w:rPr>
          <w:rFonts w:ascii="Palatino Linotype" w:eastAsia="Palatino Linotype" w:hAnsi="Palatino Linotype" w:cs="Palatino Linotype"/>
          <w:b/>
          <w:sz w:val="20"/>
          <w:szCs w:val="20"/>
          <w:highlight w:val="white"/>
        </w:rPr>
      </w:pPr>
      <w:r>
        <w:rPr>
          <w:rFonts w:ascii="Palatino Linotype" w:eastAsia="Palatino Linotype" w:hAnsi="Palatino Linotype" w:cs="Palatino Linotype"/>
          <w:b/>
          <w:sz w:val="20"/>
          <w:szCs w:val="20"/>
          <w:highlight w:val="white"/>
        </w:rPr>
        <w:t xml:space="preserve"> </w:t>
      </w:r>
    </w:p>
    <w:p w14:paraId="461C740E" w14:textId="77777777" w:rsidR="002714E7" w:rsidRDefault="00734FB5">
      <w:pPr>
        <w:spacing w:before="240" w:after="240" w:line="360" w:lineRule="auto"/>
        <w:jc w:val="both"/>
        <w:rPr>
          <w:rFonts w:ascii="Palatino Linotype" w:eastAsia="Palatino Linotype" w:hAnsi="Palatino Linotype" w:cs="Palatino Linotype"/>
          <w:b/>
          <w:highlight w:val="white"/>
        </w:rPr>
      </w:pPr>
      <w:r>
        <w:rPr>
          <w:rFonts w:ascii="Palatino Linotype" w:eastAsia="Palatino Linotype" w:hAnsi="Palatino Linotype" w:cs="Palatino Linotype"/>
          <w:highlight w:val="white"/>
        </w:rPr>
        <w:t>-</w:t>
      </w:r>
      <w:r>
        <w:rPr>
          <w:sz w:val="14"/>
          <w:szCs w:val="14"/>
          <w:highlight w:val="white"/>
        </w:rPr>
        <w:t xml:space="preserve">                     </w:t>
      </w:r>
      <w:r>
        <w:rPr>
          <w:rFonts w:ascii="Palatino Linotype" w:eastAsia="Palatino Linotype" w:hAnsi="Palatino Linotype" w:cs="Palatino Linotype"/>
          <w:b/>
          <w:highlight w:val="white"/>
        </w:rPr>
        <w:t>Firma de los servidores públicos</w:t>
      </w:r>
    </w:p>
    <w:p w14:paraId="4C9D06AA" w14:textId="77777777" w:rsidR="002714E7" w:rsidRDefault="00734FB5">
      <w:pPr>
        <w:spacing w:before="240" w:after="240" w:line="360" w:lineRule="auto"/>
        <w:jc w:val="both"/>
        <w:rPr>
          <w:rFonts w:ascii="Palatino Linotype" w:eastAsia="Palatino Linotype" w:hAnsi="Palatino Linotype" w:cs="Palatino Linotype"/>
          <w:b/>
          <w:sz w:val="20"/>
          <w:szCs w:val="20"/>
          <w:highlight w:val="white"/>
        </w:rPr>
      </w:pPr>
      <w:r>
        <w:rPr>
          <w:rFonts w:ascii="Palatino Linotype" w:eastAsia="Palatino Linotype" w:hAnsi="Palatino Linotype" w:cs="Palatino Linotype"/>
          <w:b/>
          <w:sz w:val="20"/>
          <w:szCs w:val="20"/>
          <w:highlight w:val="white"/>
        </w:rPr>
        <w:t xml:space="preserve"> </w:t>
      </w:r>
    </w:p>
    <w:p w14:paraId="3F158FD5" w14:textId="77777777" w:rsidR="002714E7" w:rsidRDefault="00734FB5">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117. </w:t>
      </w:r>
      <w:r>
        <w:rPr>
          <w:sz w:val="14"/>
          <w:szCs w:val="14"/>
          <w:highlight w:val="white"/>
        </w:rPr>
        <w:t xml:space="preserve"> </w:t>
      </w:r>
      <w:r>
        <w:rPr>
          <w:rFonts w:ascii="Palatino Linotype" w:eastAsia="Palatino Linotype" w:hAnsi="Palatino Linotype" w:cs="Palatino Linotype"/>
          <w:highlight w:val="white"/>
        </w:rPr>
        <w:t xml:space="preserve">Sobre dicho dato, cabe precisar que, en el presente caso, se trata de los servidores públicos en su calidad de particular, por lo que, es de señalar que la firma es un dato </w:t>
      </w:r>
      <w:r>
        <w:rPr>
          <w:rFonts w:ascii="Palatino Linotype" w:eastAsia="Palatino Linotype" w:hAnsi="Palatino Linotype" w:cs="Palatino Linotype"/>
          <w:highlight w:val="white"/>
        </w:rPr>
        <w:lastRenderedPageBreak/>
        <w:t>personal confidencial y únicamente será público dicho dato cuando sirva para la emisión de un acto de autoridad, en ejercicio de sus funciones.</w:t>
      </w:r>
    </w:p>
    <w:p w14:paraId="393BC3AF" w14:textId="77777777" w:rsidR="002714E7" w:rsidRDefault="00734FB5">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 </w:t>
      </w:r>
    </w:p>
    <w:p w14:paraId="44CEDA3B" w14:textId="77777777" w:rsidR="002714E7" w:rsidRDefault="00734FB5">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118.</w:t>
      </w:r>
      <w:r>
        <w:rPr>
          <w:sz w:val="14"/>
          <w:szCs w:val="14"/>
          <w:highlight w:val="white"/>
        </w:rPr>
        <w:t xml:space="preserve">  </w:t>
      </w:r>
      <w:r>
        <w:rPr>
          <w:rFonts w:ascii="Palatino Linotype" w:eastAsia="Palatino Linotype" w:hAnsi="Palatino Linotype" w:cs="Palatino Linotype"/>
          <w:highlight w:val="white"/>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4E96D21D" w14:textId="77777777" w:rsidR="002714E7" w:rsidRDefault="00734FB5">
      <w:pPr>
        <w:spacing w:before="240" w:after="240" w:line="360" w:lineRule="auto"/>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 </w:t>
      </w:r>
    </w:p>
    <w:p w14:paraId="0B0783B9" w14:textId="77777777" w:rsidR="002714E7" w:rsidRDefault="00734FB5">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119. </w:t>
      </w:r>
      <w:r>
        <w:rPr>
          <w:rFonts w:ascii="Palatino Linotype" w:eastAsia="Palatino Linotype" w:hAnsi="Palatino Linotype" w:cs="Palatino Linotype"/>
          <w:highlight w:val="white"/>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3A54F3E0" w14:textId="77777777" w:rsidR="002714E7" w:rsidRDefault="00734FB5">
      <w:pPr>
        <w:shd w:val="clear" w:color="auto" w:fill="FFFFFF"/>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 </w:t>
      </w:r>
    </w:p>
    <w:p w14:paraId="681C9D88" w14:textId="77777777" w:rsidR="002714E7" w:rsidRDefault="00734FB5">
      <w:pPr>
        <w:spacing w:line="360" w:lineRule="auto"/>
        <w:ind w:left="860" w:right="820"/>
        <w:jc w:val="both"/>
        <w:rPr>
          <w:rFonts w:ascii="Palatino Linotype" w:eastAsia="Palatino Linotype" w:hAnsi="Palatino Linotype" w:cs="Palatino Linotype"/>
          <w:i/>
          <w:sz w:val="22"/>
          <w:szCs w:val="22"/>
          <w:highlight w:val="white"/>
        </w:rPr>
      </w:pPr>
      <w:r>
        <w:rPr>
          <w:rFonts w:ascii="Palatino Linotype" w:eastAsia="Palatino Linotype" w:hAnsi="Palatino Linotype" w:cs="Palatino Linotype"/>
          <w:b/>
          <w:i/>
          <w:sz w:val="22"/>
          <w:szCs w:val="22"/>
          <w:highlight w:val="white"/>
        </w:rPr>
        <w:t>“Firma y rúbrica de servidores públicos.</w:t>
      </w:r>
      <w:r>
        <w:rPr>
          <w:rFonts w:ascii="Palatino Linotype" w:eastAsia="Palatino Linotype" w:hAnsi="Palatino Linotype" w:cs="Palatino Linotype"/>
          <w:i/>
          <w:sz w:val="22"/>
          <w:szCs w:val="22"/>
          <w:highlight w:val="white"/>
        </w:rPr>
        <w:t xml:space="preserve"> Si bien la firma y la rúbrica son datos personales confidenciales, cuando un servidor público emite un acto como autoridad, </w:t>
      </w:r>
      <w:r>
        <w:rPr>
          <w:rFonts w:ascii="Palatino Linotype" w:eastAsia="Palatino Linotype" w:hAnsi="Palatino Linotype" w:cs="Palatino Linotype"/>
          <w:i/>
          <w:sz w:val="22"/>
          <w:szCs w:val="22"/>
          <w:highlight w:val="white"/>
        </w:rPr>
        <w:lastRenderedPageBreak/>
        <w:t>en ejercicio de las funciones que tiene conferidas, la firma o rúbrica mediante la cual se valida dicho acto es pública.”</w:t>
      </w:r>
    </w:p>
    <w:p w14:paraId="2CD45D59" w14:textId="77777777" w:rsidR="002714E7" w:rsidRDefault="00734FB5">
      <w:pPr>
        <w:spacing w:before="240" w:after="240" w:line="360" w:lineRule="auto"/>
        <w:jc w:val="both"/>
        <w:rPr>
          <w:rFonts w:ascii="Palatino Linotype" w:eastAsia="Palatino Linotype" w:hAnsi="Palatino Linotype" w:cs="Palatino Linotype"/>
          <w:sz w:val="20"/>
          <w:szCs w:val="20"/>
          <w:highlight w:val="white"/>
        </w:rPr>
      </w:pPr>
      <w:r>
        <w:rPr>
          <w:rFonts w:ascii="Palatino Linotype" w:eastAsia="Palatino Linotype" w:hAnsi="Palatino Linotype" w:cs="Palatino Linotype"/>
          <w:sz w:val="20"/>
          <w:szCs w:val="20"/>
          <w:highlight w:val="white"/>
        </w:rPr>
        <w:t xml:space="preserve"> </w:t>
      </w:r>
    </w:p>
    <w:p w14:paraId="6A0DEB3B" w14:textId="77777777" w:rsidR="002714E7" w:rsidRDefault="00734FB5">
      <w:pPr>
        <w:spacing w:before="240" w:after="240" w:line="360" w:lineRule="auto"/>
        <w:ind w:left="140"/>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120. </w:t>
      </w:r>
      <w:r>
        <w:rPr>
          <w:sz w:val="14"/>
          <w:szCs w:val="14"/>
          <w:highlight w:val="white"/>
        </w:rPr>
        <w:t xml:space="preserve"> </w:t>
      </w:r>
      <w:r>
        <w:rPr>
          <w:rFonts w:ascii="Palatino Linotype" w:eastAsia="Palatino Linotype" w:hAnsi="Palatino Linotype" w:cs="Palatino Linotype"/>
          <w:highlight w:val="white"/>
        </w:rPr>
        <w:t xml:space="preserve">Conforme a lo expuesto, en el presente caso, procede la clasificación, en términos del artículo 143, fracción I de la Ley de Transparencia y Acceso a la Información Pública del Estado de México y Municipios. </w:t>
      </w:r>
    </w:p>
    <w:p w14:paraId="330636B6" w14:textId="77777777" w:rsidR="002714E7" w:rsidRDefault="00734FB5">
      <w:pPr>
        <w:spacing w:before="240" w:after="240" w:line="360" w:lineRule="auto"/>
        <w:ind w:left="14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 </w:t>
      </w:r>
    </w:p>
    <w:p w14:paraId="106DBCC3" w14:textId="77777777" w:rsidR="002714E7" w:rsidRDefault="00734FB5">
      <w:pPr>
        <w:spacing w:before="240" w:after="240" w:line="360" w:lineRule="auto"/>
        <w:ind w:left="140"/>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121. </w:t>
      </w:r>
      <w:r>
        <w:rPr>
          <w:rFonts w:ascii="Palatino Linotype" w:eastAsia="Palatino Linotype" w:hAnsi="Palatino Linotype" w:cs="Palatino Linotype"/>
          <w:highlight w:val="whit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CEF33BE"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highlight w:val="white"/>
        </w:rPr>
      </w:pPr>
    </w:p>
    <w:p w14:paraId="5FA0F4FC" w14:textId="77777777" w:rsidR="002714E7" w:rsidRDefault="00734FB5">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bookmarkStart w:id="8" w:name="_heading=h.4d34og8" w:colFirst="0" w:colLast="0"/>
      <w:bookmarkEnd w:id="8"/>
      <w:r>
        <w:rPr>
          <w:rFonts w:ascii="Palatino Linotype" w:eastAsia="Palatino Linotype" w:hAnsi="Palatino Linotype" w:cs="Palatino Linotype"/>
          <w:color w:val="222222"/>
          <w:highlight w:val="white"/>
        </w:rPr>
        <w:t xml:space="preserve">122. Por lo anteriormente expuesto y fundado, este </w:t>
      </w:r>
      <w:r>
        <w:rPr>
          <w:rFonts w:ascii="Palatino Linotype" w:eastAsia="Palatino Linotype" w:hAnsi="Palatino Linotype" w:cs="Palatino Linotype"/>
          <w:b/>
          <w:color w:val="222222"/>
          <w:highlight w:val="white"/>
        </w:rPr>
        <w:t>ÓRGANO GARANTE</w:t>
      </w:r>
      <w:r>
        <w:rPr>
          <w:rFonts w:ascii="Palatino Linotype" w:eastAsia="Palatino Linotype" w:hAnsi="Palatino Linotype" w:cs="Palatino Linotype"/>
          <w:color w:val="222222"/>
          <w:highlight w:val="white"/>
        </w:rPr>
        <w:t xml:space="preserve"> emite los siguientes: </w:t>
      </w:r>
    </w:p>
    <w:p w14:paraId="3CE35624"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white"/>
        </w:rPr>
      </w:pPr>
    </w:p>
    <w:p w14:paraId="786C80CF" w14:textId="77777777" w:rsidR="002714E7" w:rsidRDefault="00734FB5">
      <w:pPr>
        <w:pStyle w:val="Ttulo1"/>
        <w:spacing w:before="0" w:line="360" w:lineRule="auto"/>
        <w:jc w:val="center"/>
        <w:rPr>
          <w:rFonts w:ascii="Palatino Linotype" w:eastAsia="Palatino Linotype" w:hAnsi="Palatino Linotype" w:cs="Palatino Linotype"/>
          <w:b/>
          <w:color w:val="000000"/>
          <w:sz w:val="24"/>
          <w:szCs w:val="24"/>
          <w:highlight w:val="white"/>
        </w:rPr>
      </w:pPr>
      <w:r>
        <w:rPr>
          <w:rFonts w:ascii="Palatino Linotype" w:eastAsia="Palatino Linotype" w:hAnsi="Palatino Linotype" w:cs="Palatino Linotype"/>
          <w:b/>
          <w:color w:val="000000"/>
          <w:sz w:val="24"/>
          <w:szCs w:val="24"/>
          <w:highlight w:val="white"/>
        </w:rPr>
        <w:t>R E S O L U T I V O S</w:t>
      </w:r>
    </w:p>
    <w:p w14:paraId="75968E51" w14:textId="77777777" w:rsidR="002714E7" w:rsidRDefault="002714E7">
      <w:pPr>
        <w:spacing w:line="360" w:lineRule="auto"/>
        <w:jc w:val="both"/>
        <w:rPr>
          <w:rFonts w:ascii="Palatino Linotype" w:eastAsia="Palatino Linotype" w:hAnsi="Palatino Linotype" w:cs="Palatino Linotype"/>
          <w:b/>
          <w:highlight w:val="white"/>
        </w:rPr>
      </w:pPr>
    </w:p>
    <w:p w14:paraId="2BDEA2DA" w14:textId="77777777" w:rsidR="002714E7" w:rsidRDefault="00734FB5">
      <w:pPr>
        <w:spacing w:line="360" w:lineRule="auto"/>
        <w:ind w:right="-28"/>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lastRenderedPageBreak/>
        <w:t>PRIMERO</w:t>
      </w:r>
      <w:r>
        <w:rPr>
          <w:rFonts w:ascii="Palatino Linotype" w:eastAsia="Palatino Linotype" w:hAnsi="Palatino Linotype" w:cs="Palatino Linotype"/>
          <w:highlight w:val="white"/>
        </w:rPr>
        <w:t>. Resultan fundadas las</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highlight w:val="white"/>
        </w:rPr>
        <w:t xml:space="preserve">razones o motivos de inconformidad hechos valer en el Recurso de Revisión </w:t>
      </w:r>
      <w:r>
        <w:rPr>
          <w:rFonts w:ascii="Palatino Linotype" w:eastAsia="Palatino Linotype" w:hAnsi="Palatino Linotype" w:cs="Palatino Linotype"/>
          <w:b/>
          <w:highlight w:val="white"/>
        </w:rPr>
        <w:t xml:space="preserve">04733/INFOEM/IP/RR/2024, </w:t>
      </w:r>
      <w:r>
        <w:rPr>
          <w:rFonts w:ascii="Palatino Linotype" w:eastAsia="Palatino Linotype" w:hAnsi="Palatino Linotype" w:cs="Palatino Linotype"/>
          <w:highlight w:val="white"/>
        </w:rPr>
        <w:t xml:space="preserve">en términos de los </w:t>
      </w:r>
      <w:r>
        <w:rPr>
          <w:rFonts w:ascii="Palatino Linotype" w:eastAsia="Palatino Linotype" w:hAnsi="Palatino Linotype" w:cs="Palatino Linotype"/>
          <w:b/>
          <w:highlight w:val="white"/>
        </w:rPr>
        <w:t>Considerandos</w:t>
      </w:r>
      <w:r>
        <w:rPr>
          <w:rFonts w:ascii="Palatino Linotype" w:eastAsia="Palatino Linotype" w:hAnsi="Palatino Linotype" w:cs="Palatino Linotype"/>
          <w:highlight w:val="white"/>
        </w:rPr>
        <w:t xml:space="preserve"> </w:t>
      </w:r>
      <w:r>
        <w:rPr>
          <w:rFonts w:ascii="Palatino Linotype" w:eastAsia="Palatino Linotype" w:hAnsi="Palatino Linotype" w:cs="Palatino Linotype"/>
          <w:b/>
          <w:highlight w:val="white"/>
        </w:rPr>
        <w:t xml:space="preserve">Cuarto y Quinto </w:t>
      </w:r>
      <w:r>
        <w:rPr>
          <w:rFonts w:ascii="Palatino Linotype" w:eastAsia="Palatino Linotype" w:hAnsi="Palatino Linotype" w:cs="Palatino Linotype"/>
          <w:highlight w:val="white"/>
        </w:rPr>
        <w:t>de la presente Resolución.</w:t>
      </w:r>
    </w:p>
    <w:p w14:paraId="171A4E8E" w14:textId="77777777" w:rsidR="002714E7" w:rsidRDefault="002714E7">
      <w:pPr>
        <w:spacing w:line="360" w:lineRule="auto"/>
        <w:ind w:right="-28"/>
        <w:jc w:val="both"/>
        <w:rPr>
          <w:rFonts w:ascii="Palatino Linotype" w:eastAsia="Palatino Linotype" w:hAnsi="Palatino Linotype" w:cs="Palatino Linotype"/>
          <w:highlight w:val="white"/>
        </w:rPr>
      </w:pPr>
    </w:p>
    <w:p w14:paraId="67444A64" w14:textId="77777777" w:rsidR="002714E7" w:rsidRDefault="00734FB5">
      <w:pPr>
        <w:spacing w:line="360" w:lineRule="auto"/>
        <w:ind w:right="-28"/>
        <w:jc w:val="both"/>
        <w:rPr>
          <w:rFonts w:ascii="Palatino Linotype" w:eastAsia="Palatino Linotype" w:hAnsi="Palatino Linotype" w:cs="Palatino Linotype"/>
          <w:highlight w:val="white"/>
        </w:rPr>
      </w:pPr>
      <w:bookmarkStart w:id="9" w:name="_heading=h.26in1rg" w:colFirst="0" w:colLast="0"/>
      <w:bookmarkEnd w:id="9"/>
      <w:r>
        <w:rPr>
          <w:rFonts w:ascii="Palatino Linotype" w:eastAsia="Palatino Linotype" w:hAnsi="Palatino Linotype" w:cs="Palatino Linotype"/>
          <w:b/>
          <w:highlight w:val="white"/>
        </w:rPr>
        <w:t xml:space="preserve">SEGUNDO. </w:t>
      </w:r>
      <w:r>
        <w:rPr>
          <w:rFonts w:ascii="Palatino Linotype" w:eastAsia="Palatino Linotype" w:hAnsi="Palatino Linotype" w:cs="Palatino Linotype"/>
          <w:color w:val="000000"/>
          <w:highlight w:val="white"/>
        </w:rPr>
        <w:t xml:space="preserve">Se </w:t>
      </w:r>
      <w:r>
        <w:rPr>
          <w:rFonts w:ascii="Palatino Linotype" w:eastAsia="Palatino Linotype" w:hAnsi="Palatino Linotype" w:cs="Palatino Linotype"/>
          <w:b/>
          <w:color w:val="000000"/>
          <w:highlight w:val="white"/>
        </w:rPr>
        <w:t xml:space="preserve">REVOCA </w:t>
      </w:r>
      <w:r>
        <w:rPr>
          <w:rFonts w:ascii="Palatino Linotype" w:eastAsia="Palatino Linotype" w:hAnsi="Palatino Linotype" w:cs="Palatino Linotype"/>
          <w:color w:val="000000"/>
          <w:highlight w:val="white"/>
        </w:rPr>
        <w:t xml:space="preserve">la respuesta emitida por </w:t>
      </w:r>
      <w:r w:rsidR="009E6DDC">
        <w:rPr>
          <w:rFonts w:ascii="Palatino Linotype" w:eastAsia="Palatino Linotype" w:hAnsi="Palatino Linotype" w:cs="Palatino Linotype"/>
          <w:color w:val="000000"/>
          <w:highlight w:val="white"/>
        </w:rPr>
        <w:t xml:space="preserve">el </w:t>
      </w:r>
      <w:r>
        <w:rPr>
          <w:rFonts w:ascii="Palatino Linotype" w:eastAsia="Palatino Linotype" w:hAnsi="Palatino Linotype" w:cs="Palatino Linotype"/>
          <w:highlight w:val="white"/>
        </w:rPr>
        <w:t>Ayuntamiento de Tlalmanalco</w:t>
      </w:r>
      <w:r>
        <w:rPr>
          <w:rFonts w:ascii="Palatino Linotype" w:eastAsia="Palatino Linotype" w:hAnsi="Palatino Linotype" w:cs="Palatino Linotype"/>
          <w:b/>
          <w:color w:val="000000"/>
          <w:highlight w:val="white"/>
        </w:rPr>
        <w:t xml:space="preserve"> </w:t>
      </w:r>
      <w:r>
        <w:rPr>
          <w:rFonts w:ascii="Palatino Linotype" w:eastAsia="Palatino Linotype" w:hAnsi="Palatino Linotype" w:cs="Palatino Linotype"/>
          <w:color w:val="000000"/>
          <w:highlight w:val="white"/>
        </w:rPr>
        <w:t xml:space="preserve">y se </w:t>
      </w:r>
      <w:r>
        <w:rPr>
          <w:rFonts w:ascii="Palatino Linotype" w:eastAsia="Palatino Linotype" w:hAnsi="Palatino Linotype" w:cs="Palatino Linotype"/>
          <w:b/>
          <w:color w:val="000000"/>
          <w:highlight w:val="white"/>
        </w:rPr>
        <w:t>ORDENA</w:t>
      </w:r>
      <w:r>
        <w:rPr>
          <w:rFonts w:ascii="Palatino Linotype" w:eastAsia="Palatino Linotype" w:hAnsi="Palatino Linotype" w:cs="Palatino Linotype"/>
          <w:color w:val="000000"/>
          <w:highlight w:val="white"/>
        </w:rPr>
        <w:t xml:space="preserve"> entregar vía Sistema de Acceso a la Información Mexiquense (SAIMEX), la siguiente información del servidor público referido en la solicitud de información </w:t>
      </w:r>
      <w:r>
        <w:rPr>
          <w:rFonts w:ascii="Palatino Linotype" w:eastAsia="Palatino Linotype" w:hAnsi="Palatino Linotype" w:cs="Palatino Linotype"/>
          <w:b/>
          <w:color w:val="000000"/>
          <w:highlight w:val="white"/>
        </w:rPr>
        <w:t>00092/TLALMANA/IP/2024</w:t>
      </w:r>
      <w:r>
        <w:rPr>
          <w:rFonts w:ascii="Palatino Linotype" w:eastAsia="Palatino Linotype" w:hAnsi="Palatino Linotype" w:cs="Palatino Linotype"/>
          <w:color w:val="000000"/>
          <w:highlight w:val="white"/>
        </w:rPr>
        <w:t>:</w:t>
      </w:r>
    </w:p>
    <w:p w14:paraId="41E6CFFF" w14:textId="77777777" w:rsidR="002714E7" w:rsidRDefault="002714E7">
      <w:pPr>
        <w:spacing w:line="360" w:lineRule="auto"/>
        <w:ind w:right="-28"/>
        <w:jc w:val="both"/>
        <w:rPr>
          <w:rFonts w:ascii="Palatino Linotype" w:eastAsia="Palatino Linotype" w:hAnsi="Palatino Linotype" w:cs="Palatino Linotype"/>
          <w:b/>
          <w:highlight w:val="white"/>
        </w:rPr>
      </w:pPr>
    </w:p>
    <w:p w14:paraId="4EC6322B" w14:textId="77777777" w:rsidR="002714E7" w:rsidRDefault="00734FB5">
      <w:pPr>
        <w:numPr>
          <w:ilvl w:val="0"/>
          <w:numId w:val="6"/>
        </w:num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Curricular Vitae, al 1 de julio de 2024;</w:t>
      </w:r>
    </w:p>
    <w:p w14:paraId="247F6EDE" w14:textId="77777777" w:rsidR="002714E7" w:rsidRDefault="002714E7">
      <w:pPr>
        <w:pBdr>
          <w:top w:val="nil"/>
          <w:left w:val="nil"/>
          <w:bottom w:val="nil"/>
          <w:right w:val="nil"/>
          <w:between w:val="nil"/>
        </w:pBdr>
        <w:spacing w:line="360" w:lineRule="auto"/>
        <w:ind w:left="1146" w:right="-28"/>
        <w:jc w:val="both"/>
        <w:rPr>
          <w:rFonts w:ascii="Palatino Linotype" w:eastAsia="Palatino Linotype" w:hAnsi="Palatino Linotype" w:cs="Palatino Linotype"/>
          <w:b/>
          <w:color w:val="000000"/>
          <w:highlight w:val="white"/>
        </w:rPr>
      </w:pPr>
    </w:p>
    <w:p w14:paraId="47CD0CEB" w14:textId="77777777" w:rsidR="002714E7" w:rsidRDefault="00734FB5">
      <w:pPr>
        <w:numPr>
          <w:ilvl w:val="0"/>
          <w:numId w:val="6"/>
        </w:num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 xml:space="preserve">Comprobante de </w:t>
      </w:r>
      <w:r>
        <w:rPr>
          <w:rFonts w:ascii="Palatino Linotype" w:eastAsia="Palatino Linotype" w:hAnsi="Palatino Linotype" w:cs="Palatino Linotype"/>
          <w:b/>
          <w:highlight w:val="white"/>
        </w:rPr>
        <w:t>último</w:t>
      </w:r>
      <w:r>
        <w:rPr>
          <w:rFonts w:ascii="Palatino Linotype" w:eastAsia="Palatino Linotype" w:hAnsi="Palatino Linotype" w:cs="Palatino Linotype"/>
          <w:b/>
          <w:color w:val="000000"/>
          <w:highlight w:val="white"/>
        </w:rPr>
        <w:t xml:space="preserve"> grado </w:t>
      </w:r>
      <w:r>
        <w:rPr>
          <w:rFonts w:ascii="Palatino Linotype" w:eastAsia="Palatino Linotype" w:hAnsi="Palatino Linotype" w:cs="Palatino Linotype"/>
          <w:b/>
          <w:highlight w:val="white"/>
        </w:rPr>
        <w:t>de</w:t>
      </w:r>
      <w:r>
        <w:rPr>
          <w:rFonts w:ascii="Palatino Linotype" w:eastAsia="Palatino Linotype" w:hAnsi="Palatino Linotype" w:cs="Palatino Linotype"/>
          <w:b/>
          <w:color w:val="000000"/>
          <w:highlight w:val="white"/>
        </w:rPr>
        <w:t xml:space="preserve"> estudios, al 1 de julio de 2024;</w:t>
      </w:r>
    </w:p>
    <w:p w14:paraId="20757E25" w14:textId="77777777" w:rsidR="002714E7" w:rsidRDefault="002714E7">
      <w:pPr>
        <w:pBdr>
          <w:top w:val="nil"/>
          <w:left w:val="nil"/>
          <w:bottom w:val="nil"/>
          <w:right w:val="nil"/>
          <w:between w:val="nil"/>
        </w:pBdr>
        <w:spacing w:line="360" w:lineRule="auto"/>
        <w:ind w:left="1146" w:right="-28"/>
        <w:jc w:val="both"/>
        <w:rPr>
          <w:rFonts w:ascii="Palatino Linotype" w:eastAsia="Palatino Linotype" w:hAnsi="Palatino Linotype" w:cs="Palatino Linotype"/>
          <w:b/>
          <w:color w:val="000000"/>
          <w:highlight w:val="white"/>
        </w:rPr>
      </w:pPr>
    </w:p>
    <w:p w14:paraId="5675250F" w14:textId="77777777" w:rsidR="002714E7" w:rsidRDefault="00734FB5">
      <w:pPr>
        <w:numPr>
          <w:ilvl w:val="0"/>
          <w:numId w:val="6"/>
        </w:num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Nombramiento, Formato Único de Movimiento o contrato de los cargos ocupados en áreas de la actual administración pública municipal, al 30 de junio del 2024;</w:t>
      </w:r>
    </w:p>
    <w:p w14:paraId="671BA58F" w14:textId="77777777" w:rsidR="002714E7" w:rsidRDefault="002714E7">
      <w:pPr>
        <w:pBdr>
          <w:top w:val="nil"/>
          <w:left w:val="nil"/>
          <w:bottom w:val="nil"/>
          <w:right w:val="nil"/>
          <w:between w:val="nil"/>
        </w:pBdr>
        <w:spacing w:line="360" w:lineRule="auto"/>
        <w:ind w:left="1146" w:right="-28"/>
        <w:jc w:val="both"/>
        <w:rPr>
          <w:rFonts w:ascii="Palatino Linotype" w:eastAsia="Palatino Linotype" w:hAnsi="Palatino Linotype" w:cs="Palatino Linotype"/>
          <w:b/>
          <w:color w:val="000000"/>
          <w:highlight w:val="white"/>
        </w:rPr>
      </w:pPr>
    </w:p>
    <w:p w14:paraId="2AAB5B7B" w14:textId="77777777" w:rsidR="002714E7" w:rsidRDefault="00734FB5">
      <w:pPr>
        <w:numPr>
          <w:ilvl w:val="0"/>
          <w:numId w:val="6"/>
        </w:num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Certificado de No Deudor Alimentario Moroso, al 1 de julio de 2024;</w:t>
      </w:r>
    </w:p>
    <w:p w14:paraId="0AE1532E" w14:textId="77777777" w:rsidR="002714E7" w:rsidRDefault="002714E7">
      <w:pPr>
        <w:pBdr>
          <w:top w:val="nil"/>
          <w:left w:val="nil"/>
          <w:bottom w:val="nil"/>
          <w:right w:val="nil"/>
          <w:between w:val="nil"/>
        </w:pBdr>
        <w:spacing w:line="360" w:lineRule="auto"/>
        <w:ind w:left="1146" w:right="-28"/>
        <w:jc w:val="both"/>
        <w:rPr>
          <w:rFonts w:ascii="Palatino Linotype" w:eastAsia="Palatino Linotype" w:hAnsi="Palatino Linotype" w:cs="Palatino Linotype"/>
          <w:b/>
          <w:color w:val="000000"/>
          <w:highlight w:val="white"/>
        </w:rPr>
      </w:pPr>
    </w:p>
    <w:p w14:paraId="0140C8DB" w14:textId="77777777" w:rsidR="002714E7" w:rsidRDefault="00734FB5">
      <w:pPr>
        <w:numPr>
          <w:ilvl w:val="0"/>
          <w:numId w:val="6"/>
        </w:num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lastRenderedPageBreak/>
        <w:t>Documento en que consten las funciones y atribuciones específicas de los distintos cargos asignados en las distintas áreas de la actual administración pública municipal, al 30 de junio del 2024;</w:t>
      </w:r>
    </w:p>
    <w:p w14:paraId="2D66356E" w14:textId="77777777" w:rsidR="002714E7" w:rsidRDefault="002714E7">
      <w:pPr>
        <w:pBdr>
          <w:top w:val="nil"/>
          <w:left w:val="nil"/>
          <w:bottom w:val="nil"/>
          <w:right w:val="nil"/>
          <w:between w:val="nil"/>
        </w:pBdr>
        <w:spacing w:line="360" w:lineRule="auto"/>
        <w:ind w:left="1146" w:right="-28"/>
        <w:jc w:val="both"/>
        <w:rPr>
          <w:rFonts w:ascii="Palatino Linotype" w:eastAsia="Palatino Linotype" w:hAnsi="Palatino Linotype" w:cs="Palatino Linotype"/>
          <w:b/>
          <w:color w:val="000000"/>
          <w:highlight w:val="white"/>
        </w:rPr>
      </w:pPr>
    </w:p>
    <w:p w14:paraId="451C7575" w14:textId="77777777" w:rsidR="002714E7" w:rsidRDefault="00734FB5">
      <w:pPr>
        <w:numPr>
          <w:ilvl w:val="0"/>
          <w:numId w:val="6"/>
        </w:num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Listas de asistencia del 1 de enero de 2022 al 30 de junio del 2024;</w:t>
      </w:r>
    </w:p>
    <w:p w14:paraId="6FD2ED32" w14:textId="77777777" w:rsidR="002714E7" w:rsidRDefault="002714E7">
      <w:pPr>
        <w:pBdr>
          <w:top w:val="nil"/>
          <w:left w:val="nil"/>
          <w:bottom w:val="nil"/>
          <w:right w:val="nil"/>
          <w:between w:val="nil"/>
        </w:pBdr>
        <w:spacing w:line="360" w:lineRule="auto"/>
        <w:ind w:left="1146" w:right="-28"/>
        <w:jc w:val="both"/>
        <w:rPr>
          <w:rFonts w:ascii="Palatino Linotype" w:eastAsia="Palatino Linotype" w:hAnsi="Palatino Linotype" w:cs="Palatino Linotype"/>
          <w:b/>
          <w:color w:val="000000"/>
          <w:highlight w:val="white"/>
        </w:rPr>
      </w:pPr>
    </w:p>
    <w:p w14:paraId="09E277AD" w14:textId="77777777" w:rsidR="002714E7" w:rsidRDefault="00734FB5">
      <w:pPr>
        <w:numPr>
          <w:ilvl w:val="0"/>
          <w:numId w:val="6"/>
        </w:num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 xml:space="preserve">Acuerdo del Comité de Transparencia en el </w:t>
      </w:r>
      <w:proofErr w:type="gramStart"/>
      <w:r>
        <w:rPr>
          <w:rFonts w:ascii="Palatino Linotype" w:eastAsia="Palatino Linotype" w:hAnsi="Palatino Linotype" w:cs="Palatino Linotype"/>
          <w:b/>
          <w:color w:val="000000"/>
          <w:highlight w:val="white"/>
        </w:rPr>
        <w:t>que</w:t>
      </w:r>
      <w:proofErr w:type="gramEnd"/>
      <w:r>
        <w:rPr>
          <w:rFonts w:ascii="Palatino Linotype" w:eastAsia="Palatino Linotype" w:hAnsi="Palatino Linotype" w:cs="Palatino Linotype"/>
          <w:b/>
          <w:color w:val="000000"/>
          <w:highlight w:val="white"/>
        </w:rPr>
        <w:t xml:space="preserve"> de manera fundada y motivada, sustente la versión </w:t>
      </w:r>
      <w:r>
        <w:rPr>
          <w:rFonts w:ascii="Palatino Linotype" w:eastAsia="Palatino Linotype" w:hAnsi="Palatino Linotype" w:cs="Palatino Linotype"/>
          <w:b/>
          <w:highlight w:val="white"/>
        </w:rPr>
        <w:t>pública</w:t>
      </w:r>
      <w:r>
        <w:rPr>
          <w:rFonts w:ascii="Palatino Linotype" w:eastAsia="Palatino Linotype" w:hAnsi="Palatino Linotype" w:cs="Palatino Linotype"/>
          <w:b/>
          <w:color w:val="000000"/>
          <w:highlight w:val="white"/>
        </w:rPr>
        <w:t xml:space="preserve"> de los recibos de nómina y pago, remitidos en informe justificado.</w:t>
      </w:r>
    </w:p>
    <w:p w14:paraId="5015D986" w14:textId="77777777" w:rsidR="002714E7" w:rsidRDefault="002714E7">
      <w:pPr>
        <w:pBdr>
          <w:top w:val="nil"/>
          <w:left w:val="nil"/>
          <w:bottom w:val="nil"/>
          <w:right w:val="nil"/>
          <w:between w:val="nil"/>
        </w:pBdr>
        <w:spacing w:line="360" w:lineRule="auto"/>
        <w:ind w:right="-28"/>
        <w:jc w:val="both"/>
        <w:rPr>
          <w:rFonts w:ascii="Palatino Linotype" w:eastAsia="Palatino Linotype" w:hAnsi="Palatino Linotype" w:cs="Palatino Linotype"/>
          <w:b/>
          <w:highlight w:val="white"/>
        </w:rPr>
      </w:pPr>
    </w:p>
    <w:p w14:paraId="7146D3ED" w14:textId="77777777" w:rsidR="002714E7" w:rsidRDefault="00734FB5">
      <w:pPr>
        <w:spacing w:line="360" w:lineRule="auto"/>
        <w:ind w:right="-28"/>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De ser procedente, 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453D1AAA" w14:textId="77777777" w:rsidR="002714E7" w:rsidRDefault="002714E7">
      <w:pPr>
        <w:spacing w:line="360" w:lineRule="auto"/>
        <w:ind w:right="-28"/>
        <w:jc w:val="both"/>
        <w:rPr>
          <w:rFonts w:ascii="Palatino Linotype" w:eastAsia="Palatino Linotype" w:hAnsi="Palatino Linotype" w:cs="Palatino Linotype"/>
          <w:highlight w:val="white"/>
        </w:rPr>
      </w:pPr>
    </w:p>
    <w:p w14:paraId="5434D76E" w14:textId="77777777" w:rsidR="002714E7" w:rsidRDefault="00734FB5">
      <w:pPr>
        <w:shd w:val="clear" w:color="auto" w:fill="FFFFFF"/>
        <w:tabs>
          <w:tab w:val="left" w:pos="993"/>
        </w:tabs>
        <w:spacing w:line="360" w:lineRule="auto"/>
        <w:ind w:right="-28"/>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Para el caso de que el servidor público, cuente con exención para el registro de asistencia, deberá remitirse el documento en que conste o se advierta dicha prerrogativa; caso contrario, deberá emitir el acuerdo emitido por el Comité de </w:t>
      </w:r>
      <w:r>
        <w:rPr>
          <w:rFonts w:ascii="Palatino Linotype" w:eastAsia="Palatino Linotype" w:hAnsi="Palatino Linotype" w:cs="Palatino Linotype"/>
          <w:highlight w:val="white"/>
        </w:rPr>
        <w:lastRenderedPageBreak/>
        <w:t xml:space="preserve">Transparencia en el </w:t>
      </w:r>
      <w:proofErr w:type="gramStart"/>
      <w:r>
        <w:rPr>
          <w:rFonts w:ascii="Palatino Linotype" w:eastAsia="Palatino Linotype" w:hAnsi="Palatino Linotype" w:cs="Palatino Linotype"/>
          <w:highlight w:val="white"/>
        </w:rPr>
        <w:t>que</w:t>
      </w:r>
      <w:proofErr w:type="gramEnd"/>
      <w:r>
        <w:rPr>
          <w:rFonts w:ascii="Palatino Linotype" w:eastAsia="Palatino Linotype" w:hAnsi="Palatino Linotype" w:cs="Palatino Linotype"/>
          <w:highlight w:val="white"/>
        </w:rPr>
        <w:t xml:space="preserve"> de manera fundada y motivada, declare la inexistencia de la información en términos de los artículos 49, fracciones II y XIII, 169 y 170 de la Ley de Transparencia y Acceso a la Información Pública del Estado de México y Municipios.</w:t>
      </w:r>
    </w:p>
    <w:p w14:paraId="0A39717A" w14:textId="77777777" w:rsidR="002714E7" w:rsidRDefault="002714E7">
      <w:pPr>
        <w:pBdr>
          <w:top w:val="nil"/>
          <w:left w:val="nil"/>
          <w:bottom w:val="nil"/>
          <w:right w:val="nil"/>
          <w:between w:val="nil"/>
        </w:pBdr>
        <w:spacing w:line="360" w:lineRule="auto"/>
        <w:ind w:left="851" w:right="-28"/>
        <w:jc w:val="both"/>
        <w:rPr>
          <w:rFonts w:ascii="Palatino Linotype" w:eastAsia="Palatino Linotype" w:hAnsi="Palatino Linotype" w:cs="Palatino Linotype"/>
          <w:b/>
          <w:highlight w:val="white"/>
        </w:rPr>
      </w:pPr>
    </w:p>
    <w:p w14:paraId="58C318FB" w14:textId="77777777" w:rsidR="002714E7" w:rsidRDefault="00734FB5">
      <w:pPr>
        <w:spacing w:line="360" w:lineRule="auto"/>
        <w:ind w:right="-28"/>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TERCERO</w:t>
      </w:r>
      <w:r>
        <w:rPr>
          <w:rFonts w:ascii="Palatino Linotype" w:eastAsia="Palatino Linotype" w:hAnsi="Palatino Linotype" w:cs="Palatino Linotype"/>
          <w:highlight w:val="white"/>
        </w:rPr>
        <w:t>. Resultan parcialmente fundadas las</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highlight w:val="white"/>
        </w:rPr>
        <w:t xml:space="preserve">razones o motivos de inconformidad hechos valer en el Recurso de Revisión </w:t>
      </w:r>
      <w:r>
        <w:rPr>
          <w:rFonts w:ascii="Palatino Linotype" w:eastAsia="Palatino Linotype" w:hAnsi="Palatino Linotype" w:cs="Palatino Linotype"/>
          <w:b/>
          <w:highlight w:val="white"/>
        </w:rPr>
        <w:t xml:space="preserve">04891/INFOEM/IP/RR/2024, 04892/INFOEM/IP/RR/2024, 04893/INFOEM/IP/RR/2024, 04894/INFOEM/IP/RR/2024, 04895/INFOEM/IP/RR/2024, 04896/INFOEM/IP/RR/2024, 05017/INFOEM/IP/RR/2024, 05018/INFOEM/IP/RR/2024 y, 05020/INFOEM/IP/RR/2024 </w:t>
      </w:r>
      <w:r>
        <w:rPr>
          <w:rFonts w:ascii="Palatino Linotype" w:eastAsia="Palatino Linotype" w:hAnsi="Palatino Linotype" w:cs="Palatino Linotype"/>
          <w:highlight w:val="white"/>
        </w:rPr>
        <w:t xml:space="preserve">en términos de los </w:t>
      </w:r>
      <w:r>
        <w:rPr>
          <w:rFonts w:ascii="Palatino Linotype" w:eastAsia="Palatino Linotype" w:hAnsi="Palatino Linotype" w:cs="Palatino Linotype"/>
          <w:b/>
          <w:highlight w:val="white"/>
        </w:rPr>
        <w:t>Considerandos</w:t>
      </w:r>
      <w:r>
        <w:rPr>
          <w:rFonts w:ascii="Palatino Linotype" w:eastAsia="Palatino Linotype" w:hAnsi="Palatino Linotype" w:cs="Palatino Linotype"/>
          <w:highlight w:val="white"/>
        </w:rPr>
        <w:t xml:space="preserve"> </w:t>
      </w:r>
      <w:r>
        <w:rPr>
          <w:rFonts w:ascii="Palatino Linotype" w:eastAsia="Palatino Linotype" w:hAnsi="Palatino Linotype" w:cs="Palatino Linotype"/>
          <w:b/>
          <w:highlight w:val="white"/>
        </w:rPr>
        <w:t xml:space="preserve">Cuarto y Quinto </w:t>
      </w:r>
      <w:r>
        <w:rPr>
          <w:rFonts w:ascii="Palatino Linotype" w:eastAsia="Palatino Linotype" w:hAnsi="Palatino Linotype" w:cs="Palatino Linotype"/>
          <w:highlight w:val="white"/>
        </w:rPr>
        <w:t>de la presente Resolución.</w:t>
      </w:r>
    </w:p>
    <w:p w14:paraId="4FA22FD9" w14:textId="77777777" w:rsidR="002714E7" w:rsidRDefault="002714E7">
      <w:pPr>
        <w:spacing w:line="360" w:lineRule="auto"/>
        <w:ind w:right="-28"/>
        <w:jc w:val="both"/>
        <w:rPr>
          <w:rFonts w:ascii="Palatino Linotype" w:eastAsia="Palatino Linotype" w:hAnsi="Palatino Linotype" w:cs="Palatino Linotype"/>
          <w:highlight w:val="white"/>
        </w:rPr>
      </w:pPr>
    </w:p>
    <w:p w14:paraId="1C12696E" w14:textId="77777777" w:rsidR="002714E7" w:rsidRDefault="00734FB5">
      <w:pPr>
        <w:spacing w:line="360" w:lineRule="auto"/>
        <w:ind w:right="-28"/>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CUARTO. </w:t>
      </w:r>
      <w:r>
        <w:rPr>
          <w:rFonts w:ascii="Palatino Linotype" w:eastAsia="Palatino Linotype" w:hAnsi="Palatino Linotype" w:cs="Palatino Linotype"/>
          <w:color w:val="000000"/>
          <w:highlight w:val="white"/>
        </w:rPr>
        <w:t xml:space="preserve">Se </w:t>
      </w:r>
      <w:r>
        <w:rPr>
          <w:rFonts w:ascii="Palatino Linotype" w:eastAsia="Palatino Linotype" w:hAnsi="Palatino Linotype" w:cs="Palatino Linotype"/>
          <w:b/>
          <w:color w:val="000000"/>
          <w:highlight w:val="white"/>
        </w:rPr>
        <w:t xml:space="preserve">MODIFICAN </w:t>
      </w:r>
      <w:r>
        <w:rPr>
          <w:rFonts w:ascii="Palatino Linotype" w:eastAsia="Palatino Linotype" w:hAnsi="Palatino Linotype" w:cs="Palatino Linotype"/>
          <w:color w:val="000000"/>
          <w:highlight w:val="white"/>
        </w:rPr>
        <w:t>las respuestas emitidas por</w:t>
      </w:r>
      <w:r w:rsidR="009E6DDC">
        <w:rPr>
          <w:rFonts w:ascii="Palatino Linotype" w:eastAsia="Palatino Linotype" w:hAnsi="Palatino Linotype" w:cs="Palatino Linotype"/>
          <w:color w:val="000000"/>
          <w:highlight w:val="white"/>
        </w:rPr>
        <w:t xml:space="preserve"> el</w:t>
      </w:r>
      <w:r>
        <w:rPr>
          <w:rFonts w:ascii="Palatino Linotype" w:eastAsia="Palatino Linotype" w:hAnsi="Palatino Linotype" w:cs="Palatino Linotype"/>
          <w:color w:val="000000"/>
          <w:highlight w:val="white"/>
        </w:rPr>
        <w:t xml:space="preserve"> </w:t>
      </w:r>
      <w:r>
        <w:rPr>
          <w:rFonts w:ascii="Palatino Linotype" w:eastAsia="Palatino Linotype" w:hAnsi="Palatino Linotype" w:cs="Palatino Linotype"/>
          <w:highlight w:val="white"/>
        </w:rPr>
        <w:t>Ayuntamiento de Tlalmanalco</w:t>
      </w:r>
      <w:r>
        <w:rPr>
          <w:rFonts w:ascii="Palatino Linotype" w:eastAsia="Palatino Linotype" w:hAnsi="Palatino Linotype" w:cs="Palatino Linotype"/>
          <w:b/>
          <w:color w:val="000000"/>
          <w:highlight w:val="white"/>
        </w:rPr>
        <w:t xml:space="preserve"> </w:t>
      </w:r>
      <w:r>
        <w:rPr>
          <w:rFonts w:ascii="Palatino Linotype" w:eastAsia="Palatino Linotype" w:hAnsi="Palatino Linotype" w:cs="Palatino Linotype"/>
          <w:color w:val="000000"/>
          <w:highlight w:val="white"/>
        </w:rPr>
        <w:t xml:space="preserve">a las solicitudes de información y se </w:t>
      </w:r>
      <w:r>
        <w:rPr>
          <w:rFonts w:ascii="Palatino Linotype" w:eastAsia="Palatino Linotype" w:hAnsi="Palatino Linotype" w:cs="Palatino Linotype"/>
          <w:b/>
          <w:color w:val="000000"/>
          <w:highlight w:val="white"/>
        </w:rPr>
        <w:t>ORDENA</w:t>
      </w:r>
      <w:r>
        <w:rPr>
          <w:rFonts w:ascii="Palatino Linotype" w:eastAsia="Palatino Linotype" w:hAnsi="Palatino Linotype" w:cs="Palatino Linotype"/>
          <w:color w:val="000000"/>
          <w:highlight w:val="white"/>
        </w:rPr>
        <w:t xml:space="preserve"> entregar vía Sistema de Acceso a la Información Mexiquense (SAIMEX), la siguiente información, en versión pública:</w:t>
      </w:r>
    </w:p>
    <w:p w14:paraId="09637363" w14:textId="77777777" w:rsidR="002714E7" w:rsidRDefault="002714E7">
      <w:pPr>
        <w:spacing w:line="360" w:lineRule="auto"/>
        <w:ind w:right="-28"/>
        <w:jc w:val="both"/>
        <w:rPr>
          <w:rFonts w:ascii="Palatino Linotype" w:eastAsia="Palatino Linotype" w:hAnsi="Palatino Linotype" w:cs="Palatino Linotype"/>
          <w:highlight w:val="white"/>
        </w:rPr>
      </w:pPr>
    </w:p>
    <w:p w14:paraId="474E48F3" w14:textId="77777777" w:rsidR="002714E7" w:rsidRDefault="00734FB5">
      <w:pPr>
        <w:numPr>
          <w:ilvl w:val="0"/>
          <w:numId w:val="6"/>
        </w:numPr>
        <w:pBdr>
          <w:top w:val="nil"/>
          <w:left w:val="nil"/>
          <w:bottom w:val="nil"/>
          <w:right w:val="nil"/>
          <w:between w:val="nil"/>
        </w:pBdr>
        <w:spacing w:line="360" w:lineRule="auto"/>
        <w:ind w:right="-28"/>
        <w:jc w:val="both"/>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Acuerdo mediante el cual de manera fundada y motivada se declare la inexistencia del Certificado de No Deudor Alimentario Moroso</w:t>
      </w:r>
      <w:r>
        <w:rPr>
          <w:rFonts w:ascii="Palatino Linotype" w:eastAsia="Palatino Linotype" w:hAnsi="Palatino Linotype" w:cs="Palatino Linotype"/>
          <w:b/>
          <w:color w:val="000000"/>
          <w:highlight w:val="white"/>
        </w:rPr>
        <w:t xml:space="preserve"> de la </w:t>
      </w:r>
      <w:r>
        <w:rPr>
          <w:rFonts w:ascii="Palatino Linotype" w:eastAsia="Palatino Linotype" w:hAnsi="Palatino Linotype" w:cs="Palatino Linotype"/>
          <w:b/>
          <w:color w:val="000000"/>
          <w:highlight w:val="white"/>
        </w:rPr>
        <w:lastRenderedPageBreak/>
        <w:t>servidora pública referida en la solicitud de información 00094/TLALMANA/IP/2024, al 2 de julio de 2024;</w:t>
      </w:r>
    </w:p>
    <w:p w14:paraId="21515DA8" w14:textId="77777777" w:rsidR="002714E7" w:rsidRDefault="002714E7">
      <w:pPr>
        <w:pBdr>
          <w:top w:val="nil"/>
          <w:left w:val="nil"/>
          <w:bottom w:val="nil"/>
          <w:right w:val="nil"/>
          <w:between w:val="nil"/>
        </w:pBdr>
        <w:spacing w:line="360" w:lineRule="auto"/>
        <w:ind w:left="720" w:right="-28"/>
        <w:rPr>
          <w:rFonts w:ascii="Palatino Linotype" w:eastAsia="Palatino Linotype" w:hAnsi="Palatino Linotype" w:cs="Palatino Linotype"/>
          <w:b/>
          <w:color w:val="000000"/>
          <w:highlight w:val="white"/>
        </w:rPr>
      </w:pPr>
    </w:p>
    <w:p w14:paraId="4982C588" w14:textId="77777777" w:rsidR="002714E7" w:rsidRDefault="00734FB5">
      <w:pPr>
        <w:numPr>
          <w:ilvl w:val="0"/>
          <w:numId w:val="6"/>
        </w:numPr>
        <w:pBdr>
          <w:top w:val="nil"/>
          <w:left w:val="nil"/>
          <w:bottom w:val="nil"/>
          <w:right w:val="nil"/>
          <w:between w:val="nil"/>
        </w:pBdr>
        <w:spacing w:line="360" w:lineRule="auto"/>
        <w:ind w:right="-28"/>
        <w:jc w:val="both"/>
        <w:rPr>
          <w:rFonts w:ascii="Palatino Linotype" w:eastAsia="Palatino Linotype" w:hAnsi="Palatino Linotype" w:cs="Palatino Linotype"/>
          <w:b/>
          <w:highlight w:val="white"/>
        </w:rPr>
      </w:pPr>
      <w:r>
        <w:rPr>
          <w:rFonts w:ascii="Palatino Linotype" w:eastAsia="Palatino Linotype" w:hAnsi="Palatino Linotype" w:cs="Palatino Linotype"/>
          <w:b/>
          <w:color w:val="000000"/>
          <w:highlight w:val="white"/>
        </w:rPr>
        <w:t>Listas de asistencias de los servidores públicos referidos en las solicitudes de información 00094/TLALMANA/IP/2024, 00095/TLALMANA/IP/2024, 00096/TLALMANA/IP/2024, 00097/TLALMANA/IP/2024, 00098/TLALMANA/IP/2024, 00099/TLALMANA/IP/2024, 00106/TLALMANA/IP/2024, 00105/TLALMANA/IP/2024 y 00104/TLALMANA/IP/2024, del 1 de enero de 2022 al 30 de junio del 2024;</w:t>
      </w:r>
    </w:p>
    <w:p w14:paraId="38E0C188" w14:textId="77777777" w:rsidR="002714E7" w:rsidRDefault="002714E7">
      <w:pPr>
        <w:pBdr>
          <w:top w:val="nil"/>
          <w:left w:val="nil"/>
          <w:bottom w:val="nil"/>
          <w:right w:val="nil"/>
          <w:between w:val="nil"/>
        </w:pBdr>
        <w:spacing w:line="360" w:lineRule="auto"/>
        <w:ind w:left="720" w:right="-28"/>
        <w:rPr>
          <w:rFonts w:ascii="Palatino Linotype" w:eastAsia="Palatino Linotype" w:hAnsi="Palatino Linotype" w:cs="Palatino Linotype"/>
          <w:b/>
          <w:color w:val="000000"/>
          <w:highlight w:val="white"/>
        </w:rPr>
      </w:pPr>
    </w:p>
    <w:p w14:paraId="216D510E" w14:textId="77777777" w:rsidR="002714E7" w:rsidRDefault="00734FB5">
      <w:pPr>
        <w:numPr>
          <w:ilvl w:val="0"/>
          <w:numId w:val="6"/>
        </w:numPr>
        <w:pBdr>
          <w:top w:val="nil"/>
          <w:left w:val="nil"/>
          <w:bottom w:val="nil"/>
          <w:right w:val="nil"/>
          <w:between w:val="nil"/>
        </w:pBdr>
        <w:spacing w:line="360" w:lineRule="auto"/>
        <w:ind w:right="-28"/>
        <w:jc w:val="both"/>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Certificado de No Deudor Alimentario Moroso</w:t>
      </w:r>
      <w:r>
        <w:rPr>
          <w:rFonts w:ascii="Palatino Linotype" w:eastAsia="Palatino Linotype" w:hAnsi="Palatino Linotype" w:cs="Palatino Linotype"/>
          <w:b/>
          <w:color w:val="000000"/>
          <w:highlight w:val="white"/>
        </w:rPr>
        <w:t xml:space="preserve"> del servidor público referido en la solicitud de información 00097/TLALMANA/IP/2024, al 3 de julio de 2024;</w:t>
      </w:r>
    </w:p>
    <w:p w14:paraId="79CB46F8" w14:textId="77777777" w:rsidR="002714E7" w:rsidRDefault="002714E7">
      <w:pPr>
        <w:pBdr>
          <w:top w:val="nil"/>
          <w:left w:val="nil"/>
          <w:bottom w:val="nil"/>
          <w:right w:val="nil"/>
          <w:between w:val="nil"/>
        </w:pBdr>
        <w:ind w:left="720"/>
        <w:rPr>
          <w:rFonts w:ascii="Palatino Linotype" w:eastAsia="Palatino Linotype" w:hAnsi="Palatino Linotype" w:cs="Palatino Linotype"/>
          <w:b/>
          <w:color w:val="000000"/>
          <w:highlight w:val="white"/>
        </w:rPr>
      </w:pPr>
    </w:p>
    <w:p w14:paraId="066EA3D7" w14:textId="77777777" w:rsidR="002714E7" w:rsidRDefault="00734FB5">
      <w:pPr>
        <w:numPr>
          <w:ilvl w:val="0"/>
          <w:numId w:val="6"/>
        </w:numPr>
        <w:pBdr>
          <w:top w:val="nil"/>
          <w:left w:val="nil"/>
          <w:bottom w:val="nil"/>
          <w:right w:val="nil"/>
          <w:between w:val="nil"/>
        </w:pBdr>
        <w:spacing w:line="360" w:lineRule="auto"/>
        <w:ind w:right="-28"/>
        <w:jc w:val="both"/>
        <w:rPr>
          <w:rFonts w:ascii="Palatino Linotype" w:eastAsia="Palatino Linotype" w:hAnsi="Palatino Linotype" w:cs="Palatino Linotype"/>
          <w:b/>
          <w:highlight w:val="white"/>
        </w:rPr>
      </w:pPr>
      <w:r>
        <w:rPr>
          <w:rFonts w:ascii="Palatino Linotype" w:eastAsia="Palatino Linotype" w:hAnsi="Palatino Linotype" w:cs="Palatino Linotype"/>
          <w:b/>
          <w:highlight w:val="white"/>
        </w:rPr>
        <w:t xml:space="preserve">Documento en que consten o se adviertan las funciones y atribuciones </w:t>
      </w:r>
      <w:r>
        <w:rPr>
          <w:rFonts w:ascii="Palatino Linotype" w:eastAsia="Palatino Linotype" w:hAnsi="Palatino Linotype" w:cs="Palatino Linotype"/>
          <w:b/>
          <w:color w:val="000000"/>
          <w:highlight w:val="white"/>
        </w:rPr>
        <w:t xml:space="preserve">de los servidores públicos referidos en las solicitudes de información 00097/TLALMANA/IP/2024, 00098/TLALMANA/IP/2024, 00099/TLALMANA/IP/2024 en </w:t>
      </w:r>
      <w:r>
        <w:rPr>
          <w:rFonts w:ascii="Palatino Linotype" w:eastAsia="Palatino Linotype" w:hAnsi="Palatino Linotype" w:cs="Palatino Linotype"/>
          <w:b/>
          <w:highlight w:val="white"/>
        </w:rPr>
        <w:t>los cargos que hayan ocupado en áreas de la Administración Pública Municipal 2022-2024, al 30 de junio del 2024;</w:t>
      </w:r>
    </w:p>
    <w:p w14:paraId="5D901970" w14:textId="77777777" w:rsidR="002714E7" w:rsidRDefault="002714E7">
      <w:pPr>
        <w:pBdr>
          <w:top w:val="nil"/>
          <w:left w:val="nil"/>
          <w:bottom w:val="nil"/>
          <w:right w:val="nil"/>
          <w:between w:val="nil"/>
        </w:pBdr>
        <w:spacing w:line="360" w:lineRule="auto"/>
        <w:ind w:left="720" w:right="-28"/>
        <w:rPr>
          <w:rFonts w:ascii="Palatino Linotype" w:eastAsia="Palatino Linotype" w:hAnsi="Palatino Linotype" w:cs="Palatino Linotype"/>
          <w:b/>
          <w:color w:val="000000"/>
          <w:highlight w:val="white"/>
        </w:rPr>
      </w:pPr>
    </w:p>
    <w:p w14:paraId="7C2CCF93" w14:textId="77777777" w:rsidR="002714E7" w:rsidRDefault="00734FB5">
      <w:pPr>
        <w:numPr>
          <w:ilvl w:val="0"/>
          <w:numId w:val="6"/>
        </w:num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 xml:space="preserve">Acuerdo del Comité de Transparencia en el </w:t>
      </w:r>
      <w:proofErr w:type="gramStart"/>
      <w:r>
        <w:rPr>
          <w:rFonts w:ascii="Palatino Linotype" w:eastAsia="Palatino Linotype" w:hAnsi="Palatino Linotype" w:cs="Palatino Linotype"/>
          <w:b/>
          <w:color w:val="000000"/>
          <w:highlight w:val="white"/>
        </w:rPr>
        <w:t>que</w:t>
      </w:r>
      <w:proofErr w:type="gramEnd"/>
      <w:r>
        <w:rPr>
          <w:rFonts w:ascii="Palatino Linotype" w:eastAsia="Palatino Linotype" w:hAnsi="Palatino Linotype" w:cs="Palatino Linotype"/>
          <w:b/>
          <w:color w:val="000000"/>
          <w:highlight w:val="white"/>
        </w:rPr>
        <w:t xml:space="preserve"> de manera fundada y motivada, sustente la versión </w:t>
      </w:r>
      <w:r>
        <w:rPr>
          <w:rFonts w:ascii="Palatino Linotype" w:eastAsia="Palatino Linotype" w:hAnsi="Palatino Linotype" w:cs="Palatino Linotype"/>
          <w:b/>
          <w:highlight w:val="white"/>
        </w:rPr>
        <w:t>pública</w:t>
      </w:r>
      <w:r>
        <w:rPr>
          <w:rFonts w:ascii="Palatino Linotype" w:eastAsia="Palatino Linotype" w:hAnsi="Palatino Linotype" w:cs="Palatino Linotype"/>
          <w:b/>
          <w:color w:val="000000"/>
          <w:highlight w:val="white"/>
        </w:rPr>
        <w:t xml:space="preserve"> </w:t>
      </w:r>
      <w:r>
        <w:rPr>
          <w:rFonts w:ascii="Palatino Linotype" w:eastAsia="Palatino Linotype" w:hAnsi="Palatino Linotype" w:cs="Palatino Linotype"/>
          <w:b/>
          <w:highlight w:val="white"/>
        </w:rPr>
        <w:t>del Certificado de No Deudor Alimentario Moroso</w:t>
      </w:r>
      <w:r>
        <w:rPr>
          <w:rFonts w:ascii="Palatino Linotype" w:eastAsia="Palatino Linotype" w:hAnsi="Palatino Linotype" w:cs="Palatino Linotype"/>
          <w:b/>
          <w:color w:val="000000"/>
          <w:highlight w:val="white"/>
        </w:rPr>
        <w:t xml:space="preserve"> remitido en respuesta a la solicitud de información 00099/TLALMANA/IP/2024;</w:t>
      </w:r>
    </w:p>
    <w:p w14:paraId="5E243E33" w14:textId="77777777" w:rsidR="002714E7" w:rsidRDefault="002714E7">
      <w:pPr>
        <w:pBdr>
          <w:top w:val="nil"/>
          <w:left w:val="nil"/>
          <w:bottom w:val="nil"/>
          <w:right w:val="nil"/>
          <w:between w:val="nil"/>
        </w:pBdr>
        <w:spacing w:line="360" w:lineRule="auto"/>
        <w:ind w:left="720"/>
        <w:rPr>
          <w:rFonts w:ascii="Palatino Linotype" w:eastAsia="Palatino Linotype" w:hAnsi="Palatino Linotype" w:cs="Palatino Linotype"/>
          <w:b/>
          <w:color w:val="000000"/>
          <w:highlight w:val="white"/>
        </w:rPr>
      </w:pPr>
    </w:p>
    <w:p w14:paraId="2F7317D9" w14:textId="77777777" w:rsidR="002714E7" w:rsidRDefault="00734FB5">
      <w:pPr>
        <w:numPr>
          <w:ilvl w:val="0"/>
          <w:numId w:val="6"/>
        </w:num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highlight w:val="white"/>
        </w:rPr>
        <w:t xml:space="preserve">Acuerdo del Comité de Transparencia en el </w:t>
      </w:r>
      <w:proofErr w:type="gramStart"/>
      <w:r>
        <w:rPr>
          <w:rFonts w:ascii="Palatino Linotype" w:eastAsia="Palatino Linotype" w:hAnsi="Palatino Linotype" w:cs="Palatino Linotype"/>
          <w:b/>
          <w:color w:val="000000"/>
          <w:highlight w:val="white"/>
        </w:rPr>
        <w:t>que</w:t>
      </w:r>
      <w:proofErr w:type="gramEnd"/>
      <w:r>
        <w:rPr>
          <w:rFonts w:ascii="Palatino Linotype" w:eastAsia="Palatino Linotype" w:hAnsi="Palatino Linotype" w:cs="Palatino Linotype"/>
          <w:b/>
          <w:color w:val="000000"/>
          <w:highlight w:val="white"/>
        </w:rPr>
        <w:t xml:space="preserve"> de manera fundada y motivada, sustente la versión </w:t>
      </w:r>
      <w:r>
        <w:rPr>
          <w:rFonts w:ascii="Palatino Linotype" w:eastAsia="Palatino Linotype" w:hAnsi="Palatino Linotype" w:cs="Palatino Linotype"/>
          <w:b/>
          <w:highlight w:val="white"/>
        </w:rPr>
        <w:t>pública</w:t>
      </w:r>
      <w:r>
        <w:rPr>
          <w:rFonts w:ascii="Palatino Linotype" w:eastAsia="Palatino Linotype" w:hAnsi="Palatino Linotype" w:cs="Palatino Linotype"/>
          <w:b/>
          <w:color w:val="000000"/>
          <w:highlight w:val="white"/>
        </w:rPr>
        <w:t xml:space="preserve"> </w:t>
      </w:r>
      <w:r>
        <w:rPr>
          <w:rFonts w:ascii="Palatino Linotype" w:eastAsia="Palatino Linotype" w:hAnsi="Palatino Linotype" w:cs="Palatino Linotype"/>
          <w:b/>
          <w:highlight w:val="white"/>
        </w:rPr>
        <w:t xml:space="preserve">de los </w:t>
      </w:r>
      <w:proofErr w:type="spellStart"/>
      <w:r>
        <w:rPr>
          <w:rFonts w:ascii="Palatino Linotype" w:eastAsia="Palatino Linotype" w:hAnsi="Palatino Linotype" w:cs="Palatino Linotype"/>
          <w:b/>
          <w:highlight w:val="white"/>
        </w:rPr>
        <w:t>Curriculum</w:t>
      </w:r>
      <w:proofErr w:type="spellEnd"/>
      <w:r>
        <w:rPr>
          <w:rFonts w:ascii="Palatino Linotype" w:eastAsia="Palatino Linotype" w:hAnsi="Palatino Linotype" w:cs="Palatino Linotype"/>
          <w:b/>
          <w:highlight w:val="white"/>
        </w:rPr>
        <w:t xml:space="preserve"> Vitae</w:t>
      </w:r>
      <w:r>
        <w:rPr>
          <w:rFonts w:ascii="Palatino Linotype" w:eastAsia="Palatino Linotype" w:hAnsi="Palatino Linotype" w:cs="Palatino Linotype"/>
          <w:b/>
          <w:color w:val="000000"/>
          <w:highlight w:val="white"/>
        </w:rPr>
        <w:t xml:space="preserve"> remitidos en informe justificado a los Recursos de Revisión 05018/INFOEM/IP/RR/2024 y, 05020/INFOEM/IP/RR/2024.</w:t>
      </w:r>
    </w:p>
    <w:p w14:paraId="6D66BA31" w14:textId="77777777" w:rsidR="002714E7" w:rsidRDefault="002714E7">
      <w:pPr>
        <w:pBdr>
          <w:top w:val="nil"/>
          <w:left w:val="nil"/>
          <w:bottom w:val="nil"/>
          <w:right w:val="nil"/>
          <w:between w:val="nil"/>
        </w:pBdr>
        <w:spacing w:line="360" w:lineRule="auto"/>
        <w:ind w:right="-28"/>
        <w:jc w:val="both"/>
        <w:rPr>
          <w:rFonts w:ascii="Palatino Linotype" w:eastAsia="Palatino Linotype" w:hAnsi="Palatino Linotype" w:cs="Palatino Linotype"/>
          <w:b/>
          <w:highlight w:val="white"/>
        </w:rPr>
      </w:pPr>
    </w:p>
    <w:p w14:paraId="1901EC41" w14:textId="77777777" w:rsidR="002714E7" w:rsidRDefault="00734FB5">
      <w:pPr>
        <w:spacing w:line="360" w:lineRule="auto"/>
        <w:ind w:right="-28"/>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De ser procedente, 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79D1363A" w14:textId="77777777" w:rsidR="002714E7" w:rsidRDefault="002714E7">
      <w:pPr>
        <w:spacing w:line="360" w:lineRule="auto"/>
        <w:ind w:right="-28"/>
        <w:jc w:val="both"/>
        <w:rPr>
          <w:rFonts w:ascii="Palatino Linotype" w:eastAsia="Palatino Linotype" w:hAnsi="Palatino Linotype" w:cs="Palatino Linotype"/>
          <w:highlight w:val="white"/>
        </w:rPr>
      </w:pPr>
    </w:p>
    <w:p w14:paraId="6A1A4D3F" w14:textId="77777777" w:rsidR="002714E7" w:rsidRDefault="00734FB5">
      <w:pPr>
        <w:shd w:val="clear" w:color="auto" w:fill="FFFFFF"/>
        <w:tabs>
          <w:tab w:val="left" w:pos="993"/>
        </w:tabs>
        <w:spacing w:line="360" w:lineRule="auto"/>
        <w:ind w:right="-28"/>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Para el caso de que algún servidor público, cuente con exención para el registro de asistencia, deberá remitirse el documento en que conste o se advierta dicha </w:t>
      </w:r>
      <w:r>
        <w:rPr>
          <w:rFonts w:ascii="Palatino Linotype" w:eastAsia="Palatino Linotype" w:hAnsi="Palatino Linotype" w:cs="Palatino Linotype"/>
          <w:highlight w:val="white"/>
        </w:rPr>
        <w:lastRenderedPageBreak/>
        <w:t xml:space="preserve">prerrogativa; caso contrario, deberá emitir el acuerdo emitido por el Comité de Transparencia en el </w:t>
      </w:r>
      <w:proofErr w:type="gramStart"/>
      <w:r>
        <w:rPr>
          <w:rFonts w:ascii="Palatino Linotype" w:eastAsia="Palatino Linotype" w:hAnsi="Palatino Linotype" w:cs="Palatino Linotype"/>
          <w:highlight w:val="white"/>
        </w:rPr>
        <w:t>que</w:t>
      </w:r>
      <w:proofErr w:type="gramEnd"/>
      <w:r>
        <w:rPr>
          <w:rFonts w:ascii="Palatino Linotype" w:eastAsia="Palatino Linotype" w:hAnsi="Palatino Linotype" w:cs="Palatino Linotype"/>
          <w:highlight w:val="white"/>
        </w:rPr>
        <w:t xml:space="preserve"> de manera fundada y motivada, declare la inexistencia de la información en términos de los artículos 49, fracciones II y XIII, 169 y 170 de la Ley de Transparencia y Acceso a la Información Pública del Estado de México y Municipios.</w:t>
      </w:r>
    </w:p>
    <w:p w14:paraId="0E126599" w14:textId="77777777" w:rsidR="002714E7" w:rsidRDefault="002714E7">
      <w:pPr>
        <w:shd w:val="clear" w:color="auto" w:fill="FFFFFF"/>
        <w:tabs>
          <w:tab w:val="left" w:pos="993"/>
        </w:tabs>
        <w:spacing w:line="360" w:lineRule="auto"/>
        <w:ind w:right="-28"/>
        <w:jc w:val="both"/>
        <w:rPr>
          <w:rFonts w:ascii="Palatino Linotype" w:eastAsia="Palatino Linotype" w:hAnsi="Palatino Linotype" w:cs="Palatino Linotype"/>
          <w:highlight w:val="white"/>
        </w:rPr>
      </w:pPr>
    </w:p>
    <w:p w14:paraId="72D04DC9" w14:textId="77777777" w:rsidR="002714E7" w:rsidRDefault="00734FB5">
      <w:pPr>
        <w:shd w:val="clear" w:color="auto" w:fill="FFFFFF"/>
        <w:tabs>
          <w:tab w:val="left" w:pos="993"/>
        </w:tabs>
        <w:spacing w:line="360" w:lineRule="auto"/>
        <w:ind w:right="-28"/>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QUINTO. Notifíquese </w:t>
      </w:r>
      <w:r>
        <w:rPr>
          <w:rFonts w:ascii="Palatino Linotype" w:eastAsia="Palatino Linotype" w:hAnsi="Palatino Linotype" w:cs="Palatino Linotype"/>
          <w:highlight w:val="whit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highlight w:val="white"/>
        </w:rPr>
        <w:t>dé cumplimiento a lo ordenado dentro del plazo de diez días hábiles,</w:t>
      </w:r>
      <w:r>
        <w:rPr>
          <w:rFonts w:ascii="Palatino Linotype" w:eastAsia="Palatino Linotype" w:hAnsi="Palatino Linotype" w:cs="Palatino Linotype"/>
          <w:highlight w:val="whit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45027E" w14:textId="77777777" w:rsidR="002714E7" w:rsidRDefault="002714E7">
      <w:pPr>
        <w:shd w:val="clear" w:color="auto" w:fill="FFFFFF"/>
        <w:tabs>
          <w:tab w:val="left" w:pos="993"/>
        </w:tabs>
        <w:spacing w:line="360" w:lineRule="auto"/>
        <w:ind w:right="-28"/>
        <w:jc w:val="both"/>
        <w:rPr>
          <w:rFonts w:ascii="Palatino Linotype" w:eastAsia="Palatino Linotype" w:hAnsi="Palatino Linotype" w:cs="Palatino Linotype"/>
          <w:highlight w:val="white"/>
        </w:rPr>
      </w:pPr>
    </w:p>
    <w:p w14:paraId="3E7D79F5" w14:textId="77777777" w:rsidR="002714E7" w:rsidRDefault="00734FB5">
      <w:pPr>
        <w:shd w:val="clear" w:color="auto" w:fill="FFFFFF"/>
        <w:tabs>
          <w:tab w:val="left" w:pos="993"/>
        </w:tabs>
        <w:spacing w:line="360" w:lineRule="auto"/>
        <w:ind w:right="-28"/>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SEXTO. </w:t>
      </w:r>
      <w:r>
        <w:rPr>
          <w:rFonts w:ascii="Palatino Linotype" w:eastAsia="Palatino Linotype" w:hAnsi="Palatino Linotype" w:cs="Palatino Linotype"/>
          <w:highlight w:val="whit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de manera fundada y motivada, podrá solicitar una ampliación de plazo para el cumplimiento de la presente Resolución.</w:t>
      </w:r>
    </w:p>
    <w:p w14:paraId="6EBC9234" w14:textId="77777777" w:rsidR="002714E7" w:rsidRDefault="00734FB5">
      <w:pPr>
        <w:tabs>
          <w:tab w:val="left" w:pos="8080"/>
        </w:tabs>
        <w:spacing w:line="360" w:lineRule="auto"/>
        <w:ind w:right="-28"/>
        <w:jc w:val="both"/>
        <w:rPr>
          <w:rFonts w:ascii="Palatino Linotype" w:eastAsia="Palatino Linotype" w:hAnsi="Palatino Linotype" w:cs="Palatino Linotype"/>
          <w:highlight w:val="white"/>
        </w:rPr>
      </w:pPr>
      <w:bookmarkStart w:id="10" w:name="_heading=h.lnxbz9" w:colFirst="0" w:colLast="0"/>
      <w:bookmarkEnd w:id="10"/>
      <w:r>
        <w:rPr>
          <w:rFonts w:ascii="Palatino Linotype" w:eastAsia="Palatino Linotype" w:hAnsi="Palatino Linotype" w:cs="Palatino Linotype"/>
          <w:b/>
          <w:highlight w:val="white"/>
        </w:rPr>
        <w:lastRenderedPageBreak/>
        <w:t xml:space="preserve">SÉPTIMO. </w:t>
      </w:r>
      <w:r>
        <w:rPr>
          <w:rFonts w:ascii="Palatino Linotype" w:eastAsia="Palatino Linotype" w:hAnsi="Palatino Linotype" w:cs="Palatino Linotype"/>
          <w:highlight w:val="white"/>
        </w:rPr>
        <w:t xml:space="preserve">Notifíquese al </w:t>
      </w:r>
      <w:r>
        <w:rPr>
          <w:rFonts w:ascii="Palatino Linotype" w:eastAsia="Palatino Linotype" w:hAnsi="Palatino Linotype" w:cs="Palatino Linotype"/>
          <w:b/>
          <w:highlight w:val="white"/>
        </w:rPr>
        <w:t>Recurrente</w:t>
      </w:r>
      <w:r>
        <w:rPr>
          <w:rFonts w:ascii="Palatino Linotype" w:eastAsia="Palatino Linotype" w:hAnsi="Palatino Linotype" w:cs="Palatino Linotype"/>
          <w:highlight w:val="white"/>
        </w:rPr>
        <w:t xml:space="preserve"> la presente Resolución, vía </w:t>
      </w:r>
      <w:r>
        <w:rPr>
          <w:rFonts w:ascii="Palatino Linotype" w:eastAsia="Palatino Linotype" w:hAnsi="Palatino Linotype" w:cs="Palatino Linotype"/>
          <w:b/>
          <w:highlight w:val="white"/>
        </w:rPr>
        <w:t>SAIMEX</w:t>
      </w:r>
      <w:r>
        <w:rPr>
          <w:rFonts w:ascii="Palatino Linotype" w:eastAsia="Palatino Linotype" w:hAnsi="Palatino Linotype" w:cs="Palatino Linotype"/>
          <w:highlight w:val="white"/>
        </w:rPr>
        <w:t>.</w:t>
      </w:r>
    </w:p>
    <w:p w14:paraId="5341CBCD" w14:textId="77777777" w:rsidR="002714E7" w:rsidRDefault="002714E7">
      <w:pPr>
        <w:tabs>
          <w:tab w:val="left" w:pos="8080"/>
        </w:tabs>
        <w:spacing w:line="360" w:lineRule="auto"/>
        <w:ind w:right="-28"/>
        <w:jc w:val="both"/>
        <w:rPr>
          <w:rFonts w:ascii="Palatino Linotype" w:eastAsia="Palatino Linotype" w:hAnsi="Palatino Linotype" w:cs="Palatino Linotype"/>
          <w:highlight w:val="white"/>
        </w:rPr>
      </w:pPr>
    </w:p>
    <w:p w14:paraId="1E345B81" w14:textId="77777777" w:rsidR="002714E7" w:rsidRDefault="00734FB5">
      <w:pPr>
        <w:shd w:val="clear" w:color="auto" w:fill="FFFFFF"/>
        <w:tabs>
          <w:tab w:val="left" w:pos="993"/>
        </w:tabs>
        <w:spacing w:line="360" w:lineRule="auto"/>
        <w:ind w:right="-28"/>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OCTAVO. </w:t>
      </w:r>
      <w:r>
        <w:rPr>
          <w:rFonts w:ascii="Palatino Linotype" w:eastAsia="Palatino Linotype" w:hAnsi="Palatino Linotype" w:cs="Palatino Linotype"/>
          <w:highlight w:val="white"/>
        </w:rPr>
        <w:t>Se hace del conocimiento del</w:t>
      </w:r>
      <w:r>
        <w:rPr>
          <w:rFonts w:ascii="Palatino Linotype" w:eastAsia="Palatino Linotype" w:hAnsi="Palatino Linotype" w:cs="Palatino Linotype"/>
          <w:b/>
          <w:highlight w:val="white"/>
        </w:rPr>
        <w:t xml:space="preserve"> Recurrente </w:t>
      </w:r>
      <w:r>
        <w:rPr>
          <w:rFonts w:ascii="Palatino Linotype" w:eastAsia="Palatino Linotype" w:hAnsi="Palatino Linotype" w:cs="Palatino Linotype"/>
          <w:highlight w:val="white"/>
        </w:rPr>
        <w:t>que, de conformidad con lo establecido en el artículo 196 de la Ley de Transparencia y Acceso a la Información Pública del Estado de México y Municipios, en caso de que considere que la resolución le cause algún perjuicio podrá impugnar vía recurso de inconformidad ante el Instituto Nacional de Transparencia, Acceso a la Información y Protección de Datos Personales o, vía juicio de amparo en los términos de las leyes aplicables.</w:t>
      </w:r>
    </w:p>
    <w:p w14:paraId="59A72A25" w14:textId="77777777" w:rsidR="002714E7" w:rsidRDefault="002714E7">
      <w:pPr>
        <w:shd w:val="clear" w:color="auto" w:fill="FFFFFF"/>
        <w:tabs>
          <w:tab w:val="left" w:pos="993"/>
        </w:tabs>
        <w:spacing w:line="360" w:lineRule="auto"/>
        <w:ind w:right="-28"/>
        <w:jc w:val="both"/>
        <w:rPr>
          <w:rFonts w:ascii="Palatino Linotype" w:eastAsia="Palatino Linotype" w:hAnsi="Palatino Linotype" w:cs="Palatino Linotype"/>
          <w:highlight w:val="white"/>
        </w:rPr>
      </w:pPr>
    </w:p>
    <w:p w14:paraId="7D08B5D0" w14:textId="77777777" w:rsidR="009E6DDC" w:rsidRPr="003C7186" w:rsidRDefault="009E6DDC" w:rsidP="009E6DDC">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4451E8">
        <w:rPr>
          <w:rFonts w:ascii="Palatino Linotype" w:hAnsi="Palatino Linotype"/>
        </w:rPr>
        <w:t xml:space="preserve"> EMITIENDO VOTO PARTICULAR</w:t>
      </w:r>
      <w:r w:rsidRPr="003C7186">
        <w:rPr>
          <w:rFonts w:ascii="Palatino Linotype" w:hAnsi="Palatino Linotype"/>
        </w:rPr>
        <w:t>; SHARON CRISTINA MORALES MARTÍNEZ; LUIS GUSTAVO PARRA NORIEGA</w:t>
      </w:r>
      <w:r w:rsidR="004451E8">
        <w:rPr>
          <w:rFonts w:ascii="Palatino Linotype" w:hAnsi="Palatino Linotype"/>
        </w:rPr>
        <w:t xml:space="preserve"> EMITIENDO VOTO PARTICULAR</w:t>
      </w:r>
      <w:r>
        <w:rPr>
          <w:rFonts w:ascii="Palatino Linotype" w:hAnsi="Palatino Linotype"/>
        </w:rPr>
        <w:t xml:space="preserve"> Y GUADALUPE RAMÍREZ PEÑA</w:t>
      </w:r>
      <w:r w:rsidR="004451E8">
        <w:rPr>
          <w:rFonts w:ascii="Palatino Linotype" w:hAnsi="Palatino Linotype"/>
        </w:rPr>
        <w:t xml:space="preserve"> EMITIENDO VOTO PARTICULAR</w:t>
      </w:r>
      <w:r>
        <w:rPr>
          <w:rFonts w:ascii="Palatino Linotype" w:hAnsi="Palatino Linotype"/>
        </w:rPr>
        <w:t xml:space="preserve">;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OCTAVA </w:t>
      </w:r>
      <w:r w:rsidRPr="003C7186">
        <w:rPr>
          <w:rFonts w:ascii="Palatino Linotype" w:hAnsi="Palatino Linotype"/>
        </w:rPr>
        <w:t xml:space="preserve">SESIÓN ORDINARIA CELEBRADA EL </w:t>
      </w:r>
      <w:r>
        <w:rPr>
          <w:rFonts w:ascii="Palatino Linotype" w:hAnsi="Palatino Linotype"/>
        </w:rPr>
        <w:t>SEIS</w:t>
      </w:r>
      <w:r w:rsidRPr="003C7186">
        <w:rPr>
          <w:rFonts w:ascii="Palatino Linotype" w:hAnsi="Palatino Linotype"/>
        </w:rPr>
        <w:t xml:space="preserve"> </w:t>
      </w:r>
      <w:r>
        <w:rPr>
          <w:rFonts w:ascii="Palatino Linotype" w:hAnsi="Palatino Linotype"/>
        </w:rPr>
        <w:t>(06) DE NOVIEMBRE</w:t>
      </w:r>
      <w:r w:rsidRPr="003C7186">
        <w:rPr>
          <w:rFonts w:ascii="Palatino Linotype" w:hAnsi="Palatino Linotype"/>
        </w:rPr>
        <w:t xml:space="preserve"> DE DOS MIL VEINTICUATRO, ANTE EL SECRETARIO TÉCNICO DEL PLENO ALEXIS TAPIA RAMÍREZ. </w:t>
      </w:r>
    </w:p>
    <w:p w14:paraId="5233EDBD" w14:textId="77777777" w:rsidR="009E6DDC" w:rsidRPr="00902BA4" w:rsidRDefault="009E6DDC" w:rsidP="009E6DDC">
      <w:pPr>
        <w:widowControl w:val="0"/>
        <w:autoSpaceDE w:val="0"/>
        <w:autoSpaceDN w:val="0"/>
        <w:adjustRightInd w:val="0"/>
        <w:spacing w:after="200" w:line="276" w:lineRule="auto"/>
        <w:ind w:left="-142" w:right="-234"/>
        <w:rPr>
          <w:rFonts w:ascii="Calibri" w:hAnsi="Calibri" w:cs="Calibri"/>
        </w:rPr>
      </w:pPr>
    </w:p>
    <w:p w14:paraId="2D344B32" w14:textId="77777777" w:rsidR="009E6DDC" w:rsidRDefault="009E6DDC" w:rsidP="009E6DDC">
      <w:pPr>
        <w:spacing w:before="240" w:after="240" w:line="360" w:lineRule="auto"/>
        <w:ind w:firstLine="1"/>
        <w:jc w:val="both"/>
        <w:rPr>
          <w:rFonts w:ascii="Palatino Linotype" w:hAnsi="Palatino Linotype"/>
        </w:rPr>
      </w:pPr>
      <w:bookmarkStart w:id="11" w:name="_Hlk96506827"/>
    </w:p>
    <w:bookmarkEnd w:id="11"/>
    <w:p w14:paraId="4A358758" w14:textId="77777777" w:rsidR="002714E7" w:rsidRDefault="002714E7">
      <w:pPr>
        <w:spacing w:line="360" w:lineRule="auto"/>
        <w:jc w:val="both"/>
        <w:rPr>
          <w:rFonts w:ascii="Palatino Linotype" w:eastAsia="Palatino Linotype" w:hAnsi="Palatino Linotype" w:cs="Palatino Linotype"/>
          <w:color w:val="222222"/>
          <w:highlight w:val="white"/>
        </w:rPr>
      </w:pPr>
    </w:p>
    <w:p w14:paraId="02960E11" w14:textId="77777777" w:rsidR="002714E7" w:rsidRDefault="002714E7">
      <w:pPr>
        <w:spacing w:line="360" w:lineRule="auto"/>
        <w:jc w:val="both"/>
        <w:rPr>
          <w:rFonts w:ascii="Palatino Linotype" w:eastAsia="Palatino Linotype" w:hAnsi="Palatino Linotype" w:cs="Palatino Linotype"/>
          <w:color w:val="222222"/>
          <w:highlight w:val="white"/>
        </w:rPr>
      </w:pPr>
    </w:p>
    <w:p w14:paraId="51A66682" w14:textId="77777777" w:rsidR="002714E7" w:rsidRDefault="002714E7">
      <w:pPr>
        <w:spacing w:line="360" w:lineRule="auto"/>
        <w:jc w:val="both"/>
        <w:rPr>
          <w:rFonts w:ascii="Palatino Linotype" w:eastAsia="Palatino Linotype" w:hAnsi="Palatino Linotype" w:cs="Palatino Linotype"/>
          <w:color w:val="222222"/>
          <w:highlight w:val="white"/>
        </w:rPr>
      </w:pPr>
    </w:p>
    <w:p w14:paraId="77B77C3E" w14:textId="77777777" w:rsidR="002714E7" w:rsidRDefault="002714E7">
      <w:pPr>
        <w:spacing w:line="360" w:lineRule="auto"/>
        <w:jc w:val="both"/>
        <w:rPr>
          <w:rFonts w:ascii="Palatino Linotype" w:eastAsia="Palatino Linotype" w:hAnsi="Palatino Linotype" w:cs="Palatino Linotype"/>
          <w:color w:val="222222"/>
          <w:highlight w:val="white"/>
        </w:rPr>
      </w:pPr>
    </w:p>
    <w:p w14:paraId="55264065" w14:textId="77777777" w:rsidR="002714E7" w:rsidRDefault="002714E7">
      <w:pPr>
        <w:spacing w:line="360" w:lineRule="auto"/>
        <w:jc w:val="both"/>
        <w:rPr>
          <w:rFonts w:ascii="Palatino Linotype" w:eastAsia="Palatino Linotype" w:hAnsi="Palatino Linotype" w:cs="Palatino Linotype"/>
          <w:color w:val="222222"/>
          <w:highlight w:val="white"/>
        </w:rPr>
      </w:pPr>
    </w:p>
    <w:p w14:paraId="378155DB" w14:textId="77777777" w:rsidR="002714E7" w:rsidRDefault="002714E7">
      <w:pPr>
        <w:spacing w:line="360" w:lineRule="auto"/>
        <w:jc w:val="both"/>
        <w:rPr>
          <w:rFonts w:ascii="Palatino Linotype" w:eastAsia="Palatino Linotype" w:hAnsi="Palatino Linotype" w:cs="Palatino Linotype"/>
          <w:color w:val="222222"/>
          <w:highlight w:val="white"/>
        </w:rPr>
      </w:pPr>
    </w:p>
    <w:p w14:paraId="77C7935D" w14:textId="77777777" w:rsidR="002714E7" w:rsidRDefault="002714E7">
      <w:pPr>
        <w:spacing w:line="360" w:lineRule="auto"/>
        <w:jc w:val="both"/>
        <w:rPr>
          <w:rFonts w:ascii="Palatino Linotype" w:eastAsia="Palatino Linotype" w:hAnsi="Palatino Linotype" w:cs="Palatino Linotype"/>
          <w:color w:val="222222"/>
          <w:highlight w:val="white"/>
        </w:rPr>
      </w:pPr>
    </w:p>
    <w:p w14:paraId="3E6D4AB3" w14:textId="77777777" w:rsidR="002714E7" w:rsidRDefault="002714E7">
      <w:pPr>
        <w:spacing w:line="360" w:lineRule="auto"/>
        <w:jc w:val="both"/>
        <w:rPr>
          <w:rFonts w:ascii="Palatino Linotype" w:eastAsia="Palatino Linotype" w:hAnsi="Palatino Linotype" w:cs="Palatino Linotype"/>
          <w:color w:val="222222"/>
          <w:highlight w:val="white"/>
        </w:rPr>
      </w:pPr>
    </w:p>
    <w:p w14:paraId="01D78EDF" w14:textId="77777777" w:rsidR="002714E7" w:rsidRDefault="002714E7">
      <w:pPr>
        <w:spacing w:line="360" w:lineRule="auto"/>
        <w:jc w:val="both"/>
        <w:rPr>
          <w:rFonts w:ascii="Palatino Linotype" w:eastAsia="Palatino Linotype" w:hAnsi="Palatino Linotype" w:cs="Palatino Linotype"/>
          <w:color w:val="222222"/>
          <w:highlight w:val="white"/>
        </w:rPr>
      </w:pPr>
    </w:p>
    <w:p w14:paraId="4590AC52" w14:textId="77777777" w:rsidR="002714E7" w:rsidRDefault="002714E7">
      <w:pPr>
        <w:spacing w:line="360" w:lineRule="auto"/>
        <w:rPr>
          <w:rFonts w:ascii="Palatino Linotype" w:eastAsia="Palatino Linotype" w:hAnsi="Palatino Linotype" w:cs="Palatino Linotype"/>
          <w:highlight w:val="white"/>
        </w:rPr>
      </w:pPr>
    </w:p>
    <w:p w14:paraId="5A2F9F2E" w14:textId="77777777" w:rsidR="002714E7" w:rsidRDefault="002714E7">
      <w:pPr>
        <w:spacing w:line="360" w:lineRule="auto"/>
        <w:rPr>
          <w:rFonts w:ascii="Palatino Linotype" w:eastAsia="Palatino Linotype" w:hAnsi="Palatino Linotype" w:cs="Palatino Linotype"/>
          <w:highlight w:val="white"/>
        </w:rPr>
      </w:pPr>
    </w:p>
    <w:sectPr w:rsidR="002714E7">
      <w:headerReference w:type="even" r:id="rId10"/>
      <w:headerReference w:type="default" r:id="rId11"/>
      <w:footerReference w:type="default" r:id="rId12"/>
      <w:headerReference w:type="first" r:id="rId13"/>
      <w:footerReference w:type="first" r:id="rId14"/>
      <w:pgSz w:w="12240" w:h="15840"/>
      <w:pgMar w:top="80" w:right="1608" w:bottom="1418" w:left="1588" w:header="709" w:footer="73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78283" w14:textId="77777777" w:rsidR="002F6DC9" w:rsidRDefault="002F6DC9">
      <w:r>
        <w:separator/>
      </w:r>
    </w:p>
  </w:endnote>
  <w:endnote w:type="continuationSeparator" w:id="0">
    <w:p w14:paraId="7C77DDE4" w14:textId="77777777" w:rsidR="002F6DC9" w:rsidRDefault="002F6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Segoe Print"/>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86FF" w14:textId="77777777" w:rsidR="00734FB5" w:rsidRDefault="00734FB5">
    <w:pPr>
      <w:pBdr>
        <w:top w:val="nil"/>
        <w:left w:val="nil"/>
        <w:bottom w:val="nil"/>
        <w:right w:val="nil"/>
        <w:between w:val="nil"/>
      </w:pBdr>
      <w:tabs>
        <w:tab w:val="center" w:pos="4419"/>
        <w:tab w:val="right" w:pos="8838"/>
      </w:tabs>
      <w:jc w:val="right"/>
      <w:rPr>
        <w:color w:val="000000"/>
      </w:rPr>
    </w:pPr>
  </w:p>
  <w:p w14:paraId="00D0BD0E" w14:textId="77777777" w:rsidR="00734FB5" w:rsidRDefault="00734FB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B90291">
      <w:rPr>
        <w:b/>
        <w:noProof/>
        <w:color w:val="000000"/>
      </w:rPr>
      <w:t>132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B90291">
      <w:rPr>
        <w:b/>
        <w:noProof/>
        <w:color w:val="000000"/>
      </w:rPr>
      <w:t>132</w:t>
    </w:r>
    <w:r>
      <w:rPr>
        <w:b/>
        <w:color w:val="000000"/>
      </w:rPr>
      <w:fldChar w:fldCharType="end"/>
    </w:r>
  </w:p>
  <w:p w14:paraId="62F18273" w14:textId="77777777" w:rsidR="00734FB5" w:rsidRDefault="00734FB5">
    <w:pPr>
      <w:pBdr>
        <w:top w:val="nil"/>
        <w:left w:val="nil"/>
        <w:bottom w:val="nil"/>
        <w:right w:val="nil"/>
        <w:between w:val="nil"/>
      </w:pBdr>
      <w:tabs>
        <w:tab w:val="center" w:pos="4419"/>
        <w:tab w:val="right" w:pos="8838"/>
      </w:tabs>
      <w:rPr>
        <w:color w:val="000000"/>
      </w:rPr>
    </w:pPr>
  </w:p>
  <w:p w14:paraId="662650BD" w14:textId="77777777" w:rsidR="00734FB5" w:rsidRDefault="00734FB5"/>
  <w:p w14:paraId="66F45B98" w14:textId="77777777" w:rsidR="00734FB5" w:rsidRDefault="00734FB5"/>
  <w:p w14:paraId="476AB680" w14:textId="77777777" w:rsidR="00734FB5" w:rsidRDefault="00734FB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744E" w14:textId="77777777" w:rsidR="00734FB5" w:rsidRDefault="00734FB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B90291">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B90291">
      <w:rPr>
        <w:b/>
        <w:noProof/>
        <w:color w:val="000000"/>
      </w:rPr>
      <w:t>132</w:t>
    </w:r>
    <w:r>
      <w:rPr>
        <w:b/>
        <w:color w:val="000000"/>
      </w:rPr>
      <w:fldChar w:fldCharType="end"/>
    </w:r>
  </w:p>
  <w:p w14:paraId="51F7BBE3" w14:textId="77777777" w:rsidR="00734FB5" w:rsidRDefault="00734FB5">
    <w:pPr>
      <w:pBdr>
        <w:top w:val="nil"/>
        <w:left w:val="nil"/>
        <w:bottom w:val="nil"/>
        <w:right w:val="nil"/>
        <w:between w:val="nil"/>
      </w:pBdr>
      <w:tabs>
        <w:tab w:val="center" w:pos="4419"/>
        <w:tab w:val="right" w:pos="8838"/>
      </w:tabs>
      <w:rPr>
        <w:color w:val="000000"/>
      </w:rPr>
    </w:pPr>
  </w:p>
  <w:p w14:paraId="27EFCE5B" w14:textId="77777777" w:rsidR="00734FB5" w:rsidRDefault="00734FB5"/>
  <w:p w14:paraId="35CC3933" w14:textId="77777777" w:rsidR="00734FB5" w:rsidRDefault="00734FB5"/>
  <w:p w14:paraId="76BB1F95" w14:textId="77777777" w:rsidR="00734FB5" w:rsidRDefault="00734F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3A9F1" w14:textId="77777777" w:rsidR="002F6DC9" w:rsidRDefault="002F6DC9">
      <w:r>
        <w:separator/>
      </w:r>
    </w:p>
  </w:footnote>
  <w:footnote w:type="continuationSeparator" w:id="0">
    <w:p w14:paraId="4539D022" w14:textId="77777777" w:rsidR="002F6DC9" w:rsidRDefault="002F6DC9">
      <w:r>
        <w:continuationSeparator/>
      </w:r>
    </w:p>
  </w:footnote>
  <w:footnote w:id="1">
    <w:p w14:paraId="1588F264" w14:textId="77777777" w:rsidR="00734FB5" w:rsidRDefault="00734FB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14:paraId="41C7983B" w14:textId="77777777" w:rsidR="00734FB5" w:rsidRDefault="00734FB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Transparencia y Acceso a la Información Pública del Estado de México y Municipios. Artículo 9. …</w:t>
      </w:r>
    </w:p>
    <w:p w14:paraId="2127E83A" w14:textId="77777777" w:rsidR="00734FB5" w:rsidRDefault="00734FB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II. Eficacia: Obligación del Instituto para tutelar, de manera efectiva, el derecho de acceso a la información;</w:t>
      </w:r>
    </w:p>
    <w:p w14:paraId="1304B5EA" w14:textId="77777777" w:rsidR="00734FB5" w:rsidRDefault="00734FB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p>
  </w:footnote>
  <w:footnote w:id="3">
    <w:p w14:paraId="36C3985E" w14:textId="77777777" w:rsidR="00734FB5" w:rsidRDefault="00734FB5">
      <w:pPr>
        <w:pBdr>
          <w:top w:val="nil"/>
          <w:left w:val="nil"/>
          <w:bottom w:val="nil"/>
          <w:right w:val="nil"/>
          <w:between w:val="nil"/>
        </w:pBdr>
        <w:rPr>
          <w:color w:val="000000"/>
        </w:rPr>
      </w:pPr>
      <w:r>
        <w:rPr>
          <w:vertAlign w:val="superscript"/>
        </w:rPr>
        <w:footnoteRef/>
      </w:r>
      <w:r>
        <w:rPr>
          <w:color w:val="000000"/>
        </w:rPr>
        <w:t xml:space="preserve"> Convención Americana sobre Derechos Humanos. Artículo 13.</w:t>
      </w:r>
    </w:p>
  </w:footnote>
  <w:footnote w:id="4">
    <w:p w14:paraId="08B91722" w14:textId="77777777" w:rsidR="00734FB5" w:rsidRDefault="00734FB5">
      <w:pPr>
        <w:pBdr>
          <w:top w:val="nil"/>
          <w:left w:val="nil"/>
          <w:bottom w:val="nil"/>
          <w:right w:val="nil"/>
          <w:between w:val="nil"/>
        </w:pBdr>
        <w:rPr>
          <w:color w:val="000000"/>
        </w:rPr>
      </w:pPr>
      <w:r>
        <w:rPr>
          <w:vertAlign w:val="superscript"/>
        </w:rPr>
        <w:footnoteRef/>
      </w:r>
      <w:r>
        <w:rPr>
          <w:color w:val="000000"/>
        </w:rPr>
        <w:t xml:space="preserve"> Constitución Política de los Estados Unidos Mexicanos. Artículo sexto, sección A, Fracción I.</w:t>
      </w:r>
    </w:p>
  </w:footnote>
  <w:footnote w:id="5">
    <w:p w14:paraId="3FB923AE" w14:textId="77777777" w:rsidR="00734FB5" w:rsidRDefault="00734FB5">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6">
    <w:p w14:paraId="3C9AAA1F" w14:textId="77777777" w:rsidR="00734FB5" w:rsidRDefault="00734FB5">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7">
    <w:p w14:paraId="147D2DEC" w14:textId="77777777" w:rsidR="00734FB5" w:rsidRDefault="00734FB5">
      <w:pPr>
        <w:pBdr>
          <w:top w:val="nil"/>
          <w:left w:val="nil"/>
          <w:bottom w:val="nil"/>
          <w:right w:val="nil"/>
          <w:between w:val="nil"/>
        </w:pBdr>
        <w:rPr>
          <w:color w:val="00000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8">
    <w:p w14:paraId="2157753A" w14:textId="77777777" w:rsidR="00734FB5" w:rsidRDefault="00734FB5">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14:paraId="3338F847" w14:textId="77777777" w:rsidR="00734FB5" w:rsidRDefault="00734FB5">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2B999D34" w14:textId="77777777" w:rsidR="00734FB5" w:rsidRDefault="00734FB5">
      <w:pPr>
        <w:pBdr>
          <w:top w:val="nil"/>
          <w:left w:val="nil"/>
          <w:bottom w:val="nil"/>
          <w:right w:val="nil"/>
          <w:between w:val="nil"/>
        </w:pBdr>
        <w:rPr>
          <w:color w:val="000000"/>
        </w:rPr>
      </w:pPr>
      <w:r>
        <w:rPr>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7BA0" w14:textId="77777777" w:rsidR="00734FB5" w:rsidRDefault="002F6DC9">
    <w:pPr>
      <w:pBdr>
        <w:top w:val="nil"/>
        <w:left w:val="nil"/>
        <w:bottom w:val="nil"/>
        <w:right w:val="nil"/>
        <w:between w:val="nil"/>
      </w:pBdr>
      <w:tabs>
        <w:tab w:val="center" w:pos="4419"/>
        <w:tab w:val="right" w:pos="8838"/>
      </w:tabs>
      <w:rPr>
        <w:color w:val="000000"/>
      </w:rPr>
    </w:pPr>
    <w:r>
      <w:rPr>
        <w:color w:val="000000"/>
      </w:rPr>
      <w:pict w14:anchorId="3FC3B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p w14:paraId="34567EB2" w14:textId="77777777" w:rsidR="00734FB5" w:rsidRDefault="00734FB5"/>
  <w:p w14:paraId="754736C5" w14:textId="77777777" w:rsidR="00734FB5" w:rsidRDefault="00734FB5"/>
  <w:p w14:paraId="480D280A" w14:textId="77777777" w:rsidR="00734FB5" w:rsidRDefault="00734FB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A752" w14:textId="77777777" w:rsidR="00734FB5" w:rsidRDefault="00734FB5">
    <w:pPr>
      <w:widowControl w:val="0"/>
      <w:pBdr>
        <w:top w:val="nil"/>
        <w:left w:val="nil"/>
        <w:bottom w:val="nil"/>
        <w:right w:val="nil"/>
        <w:between w:val="nil"/>
      </w:pBdr>
      <w:spacing w:line="276" w:lineRule="auto"/>
    </w:pPr>
  </w:p>
  <w:tbl>
    <w:tblPr>
      <w:tblStyle w:val="a2"/>
      <w:tblW w:w="9356" w:type="dxa"/>
      <w:tblInd w:w="0" w:type="dxa"/>
      <w:tblLayout w:type="fixed"/>
      <w:tblLook w:val="0400" w:firstRow="0" w:lastRow="0" w:firstColumn="0" w:lastColumn="0" w:noHBand="0" w:noVBand="1"/>
    </w:tblPr>
    <w:tblGrid>
      <w:gridCol w:w="1843"/>
      <w:gridCol w:w="7513"/>
    </w:tblGrid>
    <w:tr w:rsidR="00734FB5" w14:paraId="6F25B1B6" w14:textId="77777777">
      <w:trPr>
        <w:trHeight w:val="1435"/>
      </w:trPr>
      <w:tc>
        <w:tcPr>
          <w:tcW w:w="1843" w:type="dxa"/>
          <w:shd w:val="clear" w:color="auto" w:fill="auto"/>
        </w:tcPr>
        <w:p w14:paraId="75BDB201" w14:textId="77777777" w:rsidR="00734FB5" w:rsidRDefault="00734FB5">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7513" w:type="dxa"/>
          <w:shd w:val="clear" w:color="auto" w:fill="auto"/>
        </w:tcPr>
        <w:p w14:paraId="0962B991" w14:textId="77777777" w:rsidR="00734FB5" w:rsidRDefault="00734FB5"/>
        <w:tbl>
          <w:tblPr>
            <w:tblStyle w:val="a3"/>
            <w:tblW w:w="5669" w:type="dxa"/>
            <w:tblInd w:w="1594" w:type="dxa"/>
            <w:tblBorders>
              <w:top w:val="nil"/>
              <w:left w:val="nil"/>
              <w:bottom w:val="nil"/>
              <w:right w:val="nil"/>
              <w:insideH w:val="nil"/>
              <w:insideV w:val="nil"/>
            </w:tblBorders>
            <w:tblLayout w:type="fixed"/>
            <w:tblLook w:val="0400" w:firstRow="0" w:lastRow="0" w:firstColumn="0" w:lastColumn="0" w:noHBand="0" w:noVBand="1"/>
          </w:tblPr>
          <w:tblGrid>
            <w:gridCol w:w="2551"/>
            <w:gridCol w:w="3118"/>
          </w:tblGrid>
          <w:tr w:rsidR="00734FB5" w14:paraId="5FED4AF7" w14:textId="77777777">
            <w:trPr>
              <w:trHeight w:val="338"/>
            </w:trPr>
            <w:tc>
              <w:tcPr>
                <w:tcW w:w="2551" w:type="dxa"/>
              </w:tcPr>
              <w:p w14:paraId="2B75A40D" w14:textId="77777777" w:rsidR="00734FB5" w:rsidRDefault="00734FB5">
                <w:pPr>
                  <w:tabs>
                    <w:tab w:val="right" w:pos="8838"/>
                  </w:tabs>
                  <w:ind w:right="-105"/>
                  <w:rPr>
                    <w:rFonts w:ascii="Palatino Linotype" w:eastAsia="Palatino Linotype" w:hAnsi="Palatino Linotype" w:cs="Palatino Linotype"/>
                    <w:b/>
                    <w:sz w:val="22"/>
                    <w:szCs w:val="22"/>
                  </w:rPr>
                </w:pPr>
              </w:p>
              <w:p w14:paraId="5B235F49" w14:textId="77777777" w:rsidR="00734FB5" w:rsidRDefault="00734FB5">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tcPr>
              <w:p w14:paraId="770B682E" w14:textId="77777777" w:rsidR="00734FB5" w:rsidRDefault="00734FB5">
                <w:pPr>
                  <w:tabs>
                    <w:tab w:val="right" w:pos="8838"/>
                  </w:tabs>
                  <w:ind w:right="-105" w:hanging="101"/>
                  <w:jc w:val="both"/>
                  <w:rPr>
                    <w:rFonts w:ascii="Palatino Linotype" w:eastAsia="Palatino Linotype" w:hAnsi="Palatino Linotype" w:cs="Palatino Linotype"/>
                    <w:sz w:val="22"/>
                    <w:szCs w:val="22"/>
                  </w:rPr>
                </w:pPr>
              </w:p>
              <w:p w14:paraId="0BA8A5CC" w14:textId="77777777" w:rsidR="00734FB5" w:rsidRDefault="00734FB5">
                <w:pPr>
                  <w:tabs>
                    <w:tab w:val="right" w:pos="8838"/>
                  </w:tabs>
                  <w:ind w:right="-105" w:hanging="10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04733/INFOEM/IP/RR/2024 y acumulados</w:t>
                </w:r>
              </w:p>
            </w:tc>
          </w:tr>
          <w:tr w:rsidR="00734FB5" w14:paraId="0F2BB3B0" w14:textId="77777777">
            <w:trPr>
              <w:trHeight w:val="283"/>
            </w:trPr>
            <w:tc>
              <w:tcPr>
                <w:tcW w:w="2551" w:type="dxa"/>
              </w:tcPr>
              <w:p w14:paraId="2D61C6FD" w14:textId="77777777" w:rsidR="00734FB5" w:rsidRDefault="00734FB5">
                <w:pPr>
                  <w:tabs>
                    <w:tab w:val="right" w:pos="8838"/>
                  </w:tabs>
                  <w:ind w:right="-105"/>
                  <w:rPr>
                    <w:rFonts w:ascii="Palatino Linotype" w:eastAsia="Palatino Linotype" w:hAnsi="Palatino Linotype" w:cs="Palatino Linotype"/>
                    <w:b/>
                    <w:sz w:val="22"/>
                    <w:szCs w:val="22"/>
                  </w:rPr>
                </w:pPr>
                <w:bookmarkStart w:id="12" w:name="_heading=h.2s8eyo1" w:colFirst="0" w:colLast="0"/>
                <w:bookmarkEnd w:id="12"/>
                <w:r>
                  <w:rPr>
                    <w:rFonts w:ascii="Palatino Linotype" w:eastAsia="Palatino Linotype" w:hAnsi="Palatino Linotype" w:cs="Palatino Linotype"/>
                    <w:b/>
                    <w:sz w:val="22"/>
                    <w:szCs w:val="22"/>
                  </w:rPr>
                  <w:t>Sujeto Obligado:</w:t>
                </w:r>
              </w:p>
            </w:tc>
            <w:tc>
              <w:tcPr>
                <w:tcW w:w="3118" w:type="dxa"/>
              </w:tcPr>
              <w:p w14:paraId="1B1BA8E9" w14:textId="77777777" w:rsidR="00734FB5" w:rsidRDefault="00734FB5">
                <w:pPr>
                  <w:tabs>
                    <w:tab w:val="left" w:pos="2834"/>
                    <w:tab w:val="right" w:pos="8838"/>
                  </w:tabs>
                  <w:ind w:left="-113" w:right="-10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Tlalmanalco</w:t>
                </w:r>
              </w:p>
            </w:tc>
          </w:tr>
          <w:tr w:rsidR="00734FB5" w14:paraId="705166E7" w14:textId="77777777">
            <w:trPr>
              <w:trHeight w:val="283"/>
            </w:trPr>
            <w:tc>
              <w:tcPr>
                <w:tcW w:w="2551" w:type="dxa"/>
              </w:tcPr>
              <w:p w14:paraId="1A990D87" w14:textId="77777777" w:rsidR="00734FB5" w:rsidRDefault="00734FB5">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tcPr>
              <w:p w14:paraId="7CA8BC6C" w14:textId="77777777" w:rsidR="00734FB5" w:rsidRDefault="00734FB5">
                <w:pPr>
                  <w:tabs>
                    <w:tab w:val="right" w:pos="8838"/>
                  </w:tabs>
                  <w:ind w:left="-113"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María del Rosario Mejía Ayala</w:t>
                </w:r>
              </w:p>
            </w:tc>
          </w:tr>
        </w:tbl>
        <w:p w14:paraId="7DE5ACDE" w14:textId="77777777" w:rsidR="00734FB5" w:rsidRDefault="00734FB5">
          <w:pPr>
            <w:tabs>
              <w:tab w:val="right" w:pos="8838"/>
            </w:tabs>
            <w:ind w:left="-28"/>
            <w:jc w:val="both"/>
            <w:rPr>
              <w:rFonts w:ascii="Arial" w:eastAsia="Arial" w:hAnsi="Arial" w:cs="Arial"/>
              <w:b/>
              <w:sz w:val="22"/>
              <w:szCs w:val="22"/>
            </w:rPr>
          </w:pPr>
        </w:p>
      </w:tc>
    </w:tr>
  </w:tbl>
  <w:p w14:paraId="141F9712" w14:textId="77777777" w:rsidR="00734FB5" w:rsidRDefault="002F6DC9">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5242CA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104.3pt;margin-top:-133.1pt;width:663.5pt;height:12in;z-index:-251659776;mso-position-horizontal:absolute;mso-position-horizontal-relative:margin;mso-position-vertical:absolute;mso-position-vertical-relative:margin">
          <v:imagedata r:id="rId1" o:title="image1"/>
          <w10:wrap anchorx="margin" anchory="margin"/>
        </v:shape>
      </w:pict>
    </w:r>
  </w:p>
  <w:p w14:paraId="1AF33C12" w14:textId="77777777" w:rsidR="00734FB5" w:rsidRDefault="00734FB5"/>
  <w:p w14:paraId="005450AA" w14:textId="77777777" w:rsidR="00734FB5" w:rsidRDefault="00734FB5"/>
  <w:p w14:paraId="3DA7403B" w14:textId="77777777" w:rsidR="00734FB5" w:rsidRDefault="00734FB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C6E3F" w14:textId="77777777" w:rsidR="00734FB5" w:rsidRDefault="00734FB5">
    <w:pPr>
      <w:widowControl w:val="0"/>
      <w:pBdr>
        <w:top w:val="nil"/>
        <w:left w:val="nil"/>
        <w:bottom w:val="nil"/>
        <w:right w:val="nil"/>
        <w:between w:val="nil"/>
      </w:pBdr>
      <w:spacing w:line="276" w:lineRule="auto"/>
    </w:pPr>
  </w:p>
  <w:tbl>
    <w:tblPr>
      <w:tblStyle w:val="a4"/>
      <w:tblW w:w="9498" w:type="dxa"/>
      <w:tblInd w:w="0" w:type="dxa"/>
      <w:tblLayout w:type="fixed"/>
      <w:tblLook w:val="0400" w:firstRow="0" w:lastRow="0" w:firstColumn="0" w:lastColumn="0" w:noHBand="0" w:noVBand="1"/>
    </w:tblPr>
    <w:tblGrid>
      <w:gridCol w:w="1560"/>
      <w:gridCol w:w="7938"/>
    </w:tblGrid>
    <w:tr w:rsidR="00734FB5" w14:paraId="2AC4A689" w14:textId="77777777">
      <w:trPr>
        <w:trHeight w:val="1435"/>
      </w:trPr>
      <w:tc>
        <w:tcPr>
          <w:tcW w:w="1560" w:type="dxa"/>
          <w:shd w:val="clear" w:color="auto" w:fill="auto"/>
        </w:tcPr>
        <w:p w14:paraId="00CE5556" w14:textId="77777777" w:rsidR="00734FB5" w:rsidRDefault="00734FB5">
          <w:pPr>
            <w:tabs>
              <w:tab w:val="right" w:pos="4273"/>
            </w:tabs>
            <w:rPr>
              <w:rFonts w:ascii="Garamond" w:eastAsia="Garamond" w:hAnsi="Garamond" w:cs="Garamond"/>
              <w:sz w:val="22"/>
              <w:szCs w:val="22"/>
            </w:rPr>
          </w:pPr>
        </w:p>
      </w:tc>
      <w:tc>
        <w:tcPr>
          <w:tcW w:w="7938" w:type="dxa"/>
          <w:shd w:val="clear" w:color="auto" w:fill="auto"/>
        </w:tcPr>
        <w:p w14:paraId="06AC6DAE" w14:textId="77777777" w:rsidR="00734FB5" w:rsidRDefault="00734FB5">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5"/>
            <w:tblW w:w="8940" w:type="dxa"/>
            <w:tblInd w:w="1879" w:type="dxa"/>
            <w:tblBorders>
              <w:top w:val="nil"/>
              <w:left w:val="nil"/>
              <w:bottom w:val="nil"/>
              <w:right w:val="nil"/>
              <w:insideH w:val="nil"/>
              <w:insideV w:val="nil"/>
            </w:tblBorders>
            <w:tblLayout w:type="fixed"/>
            <w:tblLook w:val="0400" w:firstRow="0" w:lastRow="0" w:firstColumn="0" w:lastColumn="0" w:noHBand="0" w:noVBand="1"/>
          </w:tblPr>
          <w:tblGrid>
            <w:gridCol w:w="2490"/>
            <w:gridCol w:w="3210"/>
            <w:gridCol w:w="3240"/>
          </w:tblGrid>
          <w:tr w:rsidR="00734FB5" w14:paraId="3154D6B0" w14:textId="77777777">
            <w:trPr>
              <w:trHeight w:val="144"/>
            </w:trPr>
            <w:tc>
              <w:tcPr>
                <w:tcW w:w="2490" w:type="dxa"/>
              </w:tcPr>
              <w:p w14:paraId="1FF870D9" w14:textId="77777777" w:rsidR="00734FB5" w:rsidRDefault="00734FB5">
                <w:pPr>
                  <w:tabs>
                    <w:tab w:val="right" w:pos="8838"/>
                  </w:tabs>
                  <w:ind w:left="-74" w:right="-105"/>
                  <w:rPr>
                    <w:rFonts w:ascii="Palatino Linotype" w:eastAsia="Palatino Linotype" w:hAnsi="Palatino Linotype" w:cs="Palatino Linotype"/>
                    <w:b/>
                    <w:sz w:val="22"/>
                    <w:szCs w:val="22"/>
                  </w:rPr>
                </w:pPr>
                <w:bookmarkStart w:id="13" w:name="_heading=h.17dp8vu" w:colFirst="0" w:colLast="0"/>
                <w:bookmarkEnd w:id="13"/>
                <w:r>
                  <w:rPr>
                    <w:rFonts w:ascii="Palatino Linotype" w:eastAsia="Palatino Linotype" w:hAnsi="Palatino Linotype" w:cs="Palatino Linotype"/>
                    <w:b/>
                    <w:sz w:val="22"/>
                    <w:szCs w:val="22"/>
                  </w:rPr>
                  <w:t>Recurso de Revisión:</w:t>
                </w:r>
              </w:p>
            </w:tc>
            <w:tc>
              <w:tcPr>
                <w:tcW w:w="3210" w:type="dxa"/>
              </w:tcPr>
              <w:p w14:paraId="190E027F" w14:textId="77777777" w:rsidR="00734FB5" w:rsidRDefault="00734FB5">
                <w:pPr>
                  <w:tabs>
                    <w:tab w:val="right" w:pos="8838"/>
                  </w:tabs>
                  <w:ind w:left="-3"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04733/INFOEM/IP/RR/2024 y acumulados</w:t>
                </w:r>
              </w:p>
            </w:tc>
            <w:tc>
              <w:tcPr>
                <w:tcW w:w="3240" w:type="dxa"/>
              </w:tcPr>
              <w:p w14:paraId="4982932C" w14:textId="77777777" w:rsidR="00734FB5" w:rsidRDefault="00734FB5">
                <w:pPr>
                  <w:tabs>
                    <w:tab w:val="right" w:pos="8838"/>
                  </w:tabs>
                  <w:ind w:left="-74" w:right="-105"/>
                  <w:jc w:val="both"/>
                  <w:rPr>
                    <w:rFonts w:ascii="Palatino Linotype" w:eastAsia="Palatino Linotype" w:hAnsi="Palatino Linotype" w:cs="Palatino Linotype"/>
                    <w:sz w:val="22"/>
                    <w:szCs w:val="22"/>
                  </w:rPr>
                </w:pPr>
              </w:p>
            </w:tc>
          </w:tr>
          <w:tr w:rsidR="00734FB5" w14:paraId="5A74660B" w14:textId="77777777">
            <w:trPr>
              <w:trHeight w:val="144"/>
            </w:trPr>
            <w:tc>
              <w:tcPr>
                <w:tcW w:w="2490" w:type="dxa"/>
              </w:tcPr>
              <w:p w14:paraId="1EBCFC0D" w14:textId="77777777" w:rsidR="00734FB5" w:rsidRDefault="00734FB5">
                <w:pPr>
                  <w:tabs>
                    <w:tab w:val="right" w:pos="8838"/>
                  </w:tabs>
                  <w:ind w:left="-74" w:right="-105"/>
                  <w:rPr>
                    <w:rFonts w:ascii="Palatino Linotype" w:eastAsia="Palatino Linotype" w:hAnsi="Palatino Linotype" w:cs="Palatino Linotype"/>
                    <w:b/>
                    <w:sz w:val="22"/>
                    <w:szCs w:val="22"/>
                  </w:rPr>
                </w:pPr>
                <w:bookmarkStart w:id="14" w:name="_heading=h.3rdcrjn" w:colFirst="0" w:colLast="0"/>
                <w:bookmarkEnd w:id="14"/>
                <w:r>
                  <w:rPr>
                    <w:rFonts w:ascii="Palatino Linotype" w:eastAsia="Palatino Linotype" w:hAnsi="Palatino Linotype" w:cs="Palatino Linotype"/>
                    <w:b/>
                    <w:sz w:val="22"/>
                    <w:szCs w:val="22"/>
                  </w:rPr>
                  <w:t>Recurrente:</w:t>
                </w:r>
              </w:p>
            </w:tc>
            <w:tc>
              <w:tcPr>
                <w:tcW w:w="3210" w:type="dxa"/>
              </w:tcPr>
              <w:p w14:paraId="531E3798" w14:textId="21E2AE16" w:rsidR="00734FB5" w:rsidRDefault="00C60976">
                <w:pPr>
                  <w:tabs>
                    <w:tab w:val="left" w:pos="3122"/>
                    <w:tab w:val="right" w:pos="8838"/>
                  </w:tabs>
                  <w:ind w:right="17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XXX </w:t>
                </w:r>
                <w:proofErr w:type="spellStart"/>
                <w:r>
                  <w:rPr>
                    <w:rFonts w:ascii="Palatino Linotype" w:eastAsia="Palatino Linotype" w:hAnsi="Palatino Linotype" w:cs="Palatino Linotype"/>
                    <w:sz w:val="22"/>
                    <w:szCs w:val="22"/>
                  </w:rPr>
                  <w:t>XXX</w:t>
                </w:r>
                <w:proofErr w:type="spellEnd"/>
              </w:p>
            </w:tc>
            <w:tc>
              <w:tcPr>
                <w:tcW w:w="3240" w:type="dxa"/>
              </w:tcPr>
              <w:p w14:paraId="494796E3" w14:textId="77777777" w:rsidR="00734FB5" w:rsidRDefault="00734FB5">
                <w:pPr>
                  <w:tabs>
                    <w:tab w:val="left" w:pos="3122"/>
                    <w:tab w:val="right" w:pos="8838"/>
                  </w:tabs>
                  <w:ind w:right="-105"/>
                  <w:jc w:val="both"/>
                  <w:rPr>
                    <w:rFonts w:ascii="Palatino Linotype" w:eastAsia="Palatino Linotype" w:hAnsi="Palatino Linotype" w:cs="Palatino Linotype"/>
                    <w:sz w:val="22"/>
                    <w:szCs w:val="22"/>
                  </w:rPr>
                </w:pPr>
              </w:p>
            </w:tc>
          </w:tr>
          <w:tr w:rsidR="00734FB5" w14:paraId="28E46A59" w14:textId="77777777">
            <w:trPr>
              <w:trHeight w:val="283"/>
            </w:trPr>
            <w:tc>
              <w:tcPr>
                <w:tcW w:w="2490" w:type="dxa"/>
              </w:tcPr>
              <w:p w14:paraId="3E7B9D32" w14:textId="77777777" w:rsidR="00734FB5" w:rsidRDefault="00734FB5">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10" w:type="dxa"/>
              </w:tcPr>
              <w:p w14:paraId="274A61E7" w14:textId="77777777" w:rsidR="00734FB5" w:rsidRDefault="00734FB5">
                <w:pPr>
                  <w:tabs>
                    <w:tab w:val="left" w:pos="2834"/>
                    <w:tab w:val="right" w:pos="8838"/>
                  </w:tabs>
                  <w:ind w:left="-3"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Tlalmanalco</w:t>
                </w:r>
              </w:p>
            </w:tc>
            <w:tc>
              <w:tcPr>
                <w:tcW w:w="3240" w:type="dxa"/>
              </w:tcPr>
              <w:p w14:paraId="6B9AB37B" w14:textId="77777777" w:rsidR="00734FB5" w:rsidRDefault="00734FB5">
                <w:pPr>
                  <w:tabs>
                    <w:tab w:val="left" w:pos="2834"/>
                    <w:tab w:val="right" w:pos="8838"/>
                  </w:tabs>
                  <w:ind w:left="-74" w:right="-105"/>
                  <w:jc w:val="both"/>
                  <w:rPr>
                    <w:rFonts w:ascii="Palatino Linotype" w:eastAsia="Palatino Linotype" w:hAnsi="Palatino Linotype" w:cs="Palatino Linotype"/>
                    <w:sz w:val="22"/>
                    <w:szCs w:val="22"/>
                  </w:rPr>
                </w:pPr>
              </w:p>
            </w:tc>
          </w:tr>
          <w:tr w:rsidR="00734FB5" w14:paraId="6AB1A366" w14:textId="77777777">
            <w:trPr>
              <w:trHeight w:val="283"/>
            </w:trPr>
            <w:tc>
              <w:tcPr>
                <w:tcW w:w="2490" w:type="dxa"/>
              </w:tcPr>
              <w:p w14:paraId="5DD0AB20" w14:textId="77777777" w:rsidR="00734FB5" w:rsidRDefault="00734FB5">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10" w:type="dxa"/>
              </w:tcPr>
              <w:p w14:paraId="2941DFD1" w14:textId="77777777" w:rsidR="00734FB5" w:rsidRDefault="00734FB5">
                <w:pPr>
                  <w:tabs>
                    <w:tab w:val="right" w:pos="8838"/>
                  </w:tabs>
                  <w:ind w:left="-3"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c>
              <w:tcPr>
                <w:tcW w:w="3240" w:type="dxa"/>
              </w:tcPr>
              <w:p w14:paraId="5F340BB2" w14:textId="77777777" w:rsidR="00734FB5" w:rsidRDefault="00734FB5">
                <w:pPr>
                  <w:tabs>
                    <w:tab w:val="right" w:pos="8838"/>
                  </w:tabs>
                  <w:ind w:left="-74" w:right="-105"/>
                  <w:jc w:val="both"/>
                  <w:rPr>
                    <w:rFonts w:ascii="Palatino Linotype" w:eastAsia="Palatino Linotype" w:hAnsi="Palatino Linotype" w:cs="Palatino Linotype"/>
                    <w:sz w:val="22"/>
                    <w:szCs w:val="22"/>
                  </w:rPr>
                </w:pPr>
              </w:p>
            </w:tc>
          </w:tr>
        </w:tbl>
        <w:p w14:paraId="3BD663EF" w14:textId="77777777" w:rsidR="00734FB5" w:rsidRDefault="00734FB5">
          <w:pPr>
            <w:tabs>
              <w:tab w:val="right" w:pos="8838"/>
            </w:tabs>
            <w:ind w:left="-28"/>
            <w:jc w:val="both"/>
            <w:rPr>
              <w:rFonts w:ascii="Arial" w:eastAsia="Arial" w:hAnsi="Arial" w:cs="Arial"/>
              <w:b/>
              <w:sz w:val="22"/>
              <w:szCs w:val="22"/>
            </w:rPr>
          </w:pPr>
        </w:p>
      </w:tc>
    </w:tr>
  </w:tbl>
  <w:p w14:paraId="5535A006" w14:textId="77777777" w:rsidR="00734FB5" w:rsidRDefault="002F6DC9">
    <w:pPr>
      <w:rPr>
        <w:color w:val="000000"/>
      </w:rPr>
    </w:pPr>
    <w:r>
      <w:rPr>
        <w:color w:val="000000"/>
        <w:sz w:val="14"/>
        <w:szCs w:val="14"/>
      </w:rPr>
      <w:pict w14:anchorId="676B2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75.8pt;margin-top:-134.3pt;width:663.5pt;height:12in;z-index:-251658752;mso-position-horizontal:absolute;mso-position-horizontal-relative:margin;mso-position-vertical:absolute;mso-position-vertical-relative:margin">
          <v:imagedata r:id="rId1" o:title="image1"/>
          <w10:wrap anchorx="margin" anchory="margin"/>
        </v:shape>
      </w:pict>
    </w:r>
  </w:p>
  <w:p w14:paraId="0548E03F" w14:textId="77777777" w:rsidR="00734FB5" w:rsidRDefault="00734FB5"/>
  <w:p w14:paraId="57CF9119" w14:textId="77777777" w:rsidR="00734FB5" w:rsidRDefault="00734F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62AEE"/>
    <w:multiLevelType w:val="multilevel"/>
    <w:tmpl w:val="420AD6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9FA0AD1"/>
    <w:multiLevelType w:val="multilevel"/>
    <w:tmpl w:val="4D5081B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7905237"/>
    <w:multiLevelType w:val="multilevel"/>
    <w:tmpl w:val="C0446114"/>
    <w:lvl w:ilvl="0">
      <w:start w:val="1"/>
      <w:numFmt w:val="lowerLetter"/>
      <w:lvlText w:val="%1)"/>
      <w:lvlJc w:val="left"/>
      <w:pPr>
        <w:ind w:left="114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8D71FF4"/>
    <w:multiLevelType w:val="multilevel"/>
    <w:tmpl w:val="2D662008"/>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513E6B0E"/>
    <w:multiLevelType w:val="multilevel"/>
    <w:tmpl w:val="9E70C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3F0145"/>
    <w:multiLevelType w:val="multilevel"/>
    <w:tmpl w:val="B7189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8B218F1"/>
    <w:multiLevelType w:val="multilevel"/>
    <w:tmpl w:val="175A5F64"/>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8"/>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D614257"/>
    <w:multiLevelType w:val="multilevel"/>
    <w:tmpl w:val="AFE2272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74969144">
    <w:abstractNumId w:val="6"/>
  </w:num>
  <w:num w:numId="2" w16cid:durableId="1482892375">
    <w:abstractNumId w:val="7"/>
  </w:num>
  <w:num w:numId="3" w16cid:durableId="1153565820">
    <w:abstractNumId w:val="0"/>
  </w:num>
  <w:num w:numId="4" w16cid:durableId="994065775">
    <w:abstractNumId w:val="5"/>
  </w:num>
  <w:num w:numId="5" w16cid:durableId="900290056">
    <w:abstractNumId w:val="4"/>
  </w:num>
  <w:num w:numId="6" w16cid:durableId="1219586008">
    <w:abstractNumId w:val="2"/>
  </w:num>
  <w:num w:numId="7" w16cid:durableId="27723755">
    <w:abstractNumId w:val="3"/>
  </w:num>
  <w:num w:numId="8" w16cid:durableId="2032492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4E7"/>
    <w:rsid w:val="00042DD8"/>
    <w:rsid w:val="001B6E59"/>
    <w:rsid w:val="002714E7"/>
    <w:rsid w:val="002F6DC9"/>
    <w:rsid w:val="004451E8"/>
    <w:rsid w:val="00536704"/>
    <w:rsid w:val="0065224E"/>
    <w:rsid w:val="00734FB5"/>
    <w:rsid w:val="009E6DDC"/>
    <w:rsid w:val="00A93086"/>
    <w:rsid w:val="00B368B8"/>
    <w:rsid w:val="00B90291"/>
    <w:rsid w:val="00C0034E"/>
    <w:rsid w:val="00C60976"/>
    <w:rsid w:val="00C64E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55C3E"/>
  <w15:docId w15:val="{444CDBA3-1DD3-4E89-8246-0BAB4AD4C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C79"/>
  </w:style>
  <w:style w:type="paragraph" w:styleId="Ttulo1">
    <w:name w:val="heading 1"/>
    <w:basedOn w:val="Normal"/>
    <w:next w:val="Normal"/>
    <w:link w:val="Ttulo1Car"/>
    <w:uiPriority w:val="9"/>
    <w:qFormat/>
    <w:rsid w:val="001C2C7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C2C7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1C2C79"/>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rsid w:val="001C2C79"/>
    <w:rPr>
      <w:rFonts w:asciiTheme="majorHAnsi" w:eastAsiaTheme="majorEastAsia" w:hAnsiTheme="majorHAnsi" w:cstheme="majorBidi"/>
      <w:color w:val="2E74B5" w:themeColor="accent1" w:themeShade="BF"/>
      <w:sz w:val="26"/>
      <w:szCs w:val="26"/>
      <w:lang w:eastAsia="es-MX"/>
    </w:rPr>
  </w:style>
  <w:style w:type="paragraph" w:styleId="Piedepgina">
    <w:name w:val="footer"/>
    <w:basedOn w:val="Normal"/>
    <w:link w:val="PiedepginaCar"/>
    <w:uiPriority w:val="99"/>
    <w:unhideWhenUsed/>
    <w:rsid w:val="001C2C79"/>
    <w:pPr>
      <w:tabs>
        <w:tab w:val="center" w:pos="4419"/>
        <w:tab w:val="right" w:pos="8838"/>
      </w:tabs>
    </w:pPr>
  </w:style>
  <w:style w:type="character" w:customStyle="1" w:styleId="PiedepginaCar">
    <w:name w:val="Pie de página Car"/>
    <w:basedOn w:val="Fuentedeprrafopredeter"/>
    <w:link w:val="Piedepgina"/>
    <w:uiPriority w:val="99"/>
    <w:rsid w:val="001C2C79"/>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5328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53281"/>
    <w:rPr>
      <w:rFonts w:ascii="Times New Roman" w:eastAsia="Times New Roman" w:hAnsi="Times New Roman" w:cs="Times New Roman"/>
      <w:sz w:val="24"/>
      <w:szCs w:val="24"/>
      <w:lang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D37F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D37F5"/>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5D37F5"/>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D37F5"/>
    <w:rPr>
      <w:vertAlign w:val="superscript"/>
    </w:rPr>
  </w:style>
  <w:style w:type="table" w:styleId="Tablaconcuadrcula">
    <w:name w:val="Table Grid"/>
    <w:basedOn w:val="Tablanormal"/>
    <w:uiPriority w:val="39"/>
    <w:rsid w:val="00C84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
    <w:name w:val="Grid Table 1 Light"/>
    <w:basedOn w:val="Tablanormal"/>
    <w:uiPriority w:val="46"/>
    <w:rsid w:val="00C8457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
    <w:name w:val="Hyperlink"/>
    <w:aliases w:val="Hipervínculo1,Hipervínculo11,Hipervínculo12,Hipervínculo13,Hipervínculo14,Hipervínculo15"/>
    <w:basedOn w:val="Fuentedeprrafopredeter"/>
    <w:uiPriority w:val="99"/>
    <w:unhideWhenUsed/>
    <w:qFormat/>
    <w:rsid w:val="008058D0"/>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4WhTDzRfQRZVAEpcIr4jahpKlA==">CgMxLjAyCGguZ2pkZ3hzMghoLmdqZGd4czIJaC4zMGowemxsMgloLjFmb2I5dGUyCWguM3pueXNoNzIJaC4yZXQ5MnAwMghoLnR5amN3dDIJaC4zZHk2dmttMgloLjF0M2g1c2YyCWguNGQzNG9nODIJaC4yNmluMXJnMghoLmxueGJ6OTIJaC4yczhleW8xMgloLjE3ZHA4dnUyCWguM3JkY3JqbjgAciExMm1xWFVyS1QzanNMNjhEVzdmMGlpTm4zZVpwU2ZBMmE=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132</Pages>
  <Words>24062</Words>
  <Characters>132341</Characters>
  <Application>Microsoft Office Word</Application>
  <DocSecurity>0</DocSecurity>
  <Lines>1102</Lines>
  <Paragraphs>312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inf03m612@outlook.com</cp:lastModifiedBy>
  <cp:revision>8</cp:revision>
  <cp:lastPrinted>2024-11-07T18:27:00Z</cp:lastPrinted>
  <dcterms:created xsi:type="dcterms:W3CDTF">2024-10-22T17:34:00Z</dcterms:created>
  <dcterms:modified xsi:type="dcterms:W3CDTF">2024-11-20T17:26:00Z</dcterms:modified>
</cp:coreProperties>
</file>