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AF3" w14:textId="4BD2C266" w:rsidR="00D262C2" w:rsidRDefault="00D262C2" w:rsidP="00A90B26">
      <w:pPr>
        <w:tabs>
          <w:tab w:val="left" w:pos="3465"/>
        </w:tabs>
        <w:spacing w:line="360" w:lineRule="auto"/>
        <w:jc w:val="both"/>
        <w:rPr>
          <w:rFonts w:ascii="Palatino Linotype" w:hAnsi="Palatino Linotype"/>
        </w:rPr>
      </w:pPr>
      <w:r w:rsidRPr="00A90B26">
        <w:rPr>
          <w:rFonts w:ascii="Palatino Linotype" w:hAnsi="Palatino Linotype"/>
        </w:rPr>
        <w:t>Resolución del Pleno del Instituto de Transparencia, Acceso a la Información Pública y Protección de Datos Personales del Estado de México y Municipios, con domicilio en Me</w:t>
      </w:r>
      <w:r w:rsidR="00385055" w:rsidRPr="00A90B26">
        <w:rPr>
          <w:rFonts w:ascii="Palatino Linotype" w:hAnsi="Palatino Linotype"/>
        </w:rPr>
        <w:t xml:space="preserve">tepec, Estado de México; de </w:t>
      </w:r>
      <w:r w:rsidR="00EB0F2D" w:rsidRPr="00EB0F2D">
        <w:rPr>
          <w:rFonts w:ascii="Palatino Linotype" w:hAnsi="Palatino Linotype"/>
        </w:rPr>
        <w:t>veintiuno (21)</w:t>
      </w:r>
      <w:r w:rsidR="00EE130A" w:rsidRPr="00EB0F2D">
        <w:rPr>
          <w:rFonts w:ascii="Palatino Linotype" w:hAnsi="Palatino Linotype"/>
        </w:rPr>
        <w:t xml:space="preserve"> de </w:t>
      </w:r>
      <w:r w:rsidR="002032D1" w:rsidRPr="00EB0F2D">
        <w:rPr>
          <w:rFonts w:ascii="Palatino Linotype" w:hAnsi="Palatino Linotype"/>
        </w:rPr>
        <w:t>noviembre</w:t>
      </w:r>
      <w:r w:rsidR="00EE130A" w:rsidRPr="00A90B26">
        <w:rPr>
          <w:rFonts w:ascii="Palatino Linotype" w:hAnsi="Palatino Linotype"/>
        </w:rPr>
        <w:t xml:space="preserve"> </w:t>
      </w:r>
      <w:r w:rsidRPr="00A90B26">
        <w:rPr>
          <w:rFonts w:ascii="Palatino Linotype" w:hAnsi="Palatino Linotype"/>
        </w:rPr>
        <w:t xml:space="preserve">de dos mil </w:t>
      </w:r>
      <w:r w:rsidR="002032D1" w:rsidRPr="00A90B26">
        <w:rPr>
          <w:rFonts w:ascii="Palatino Linotype" w:hAnsi="Palatino Linotype"/>
        </w:rPr>
        <w:t>veinticuatro</w:t>
      </w:r>
      <w:r w:rsidRPr="00A90B26">
        <w:rPr>
          <w:rFonts w:ascii="Palatino Linotype" w:hAnsi="Palatino Linotype"/>
        </w:rPr>
        <w:t>.</w:t>
      </w:r>
    </w:p>
    <w:p w14:paraId="183D2CE1" w14:textId="77777777" w:rsidR="00A90B26" w:rsidRPr="00A90B26" w:rsidRDefault="00A90B26" w:rsidP="00A90B26">
      <w:pPr>
        <w:tabs>
          <w:tab w:val="left" w:pos="3465"/>
        </w:tabs>
        <w:spacing w:line="360" w:lineRule="auto"/>
        <w:jc w:val="both"/>
        <w:rPr>
          <w:rFonts w:ascii="Palatino Linotype" w:hAnsi="Palatino Linotype"/>
        </w:rPr>
      </w:pPr>
    </w:p>
    <w:p w14:paraId="024DCA95" w14:textId="3AF09553" w:rsidR="00D262C2" w:rsidRDefault="00D262C2" w:rsidP="00A90B26">
      <w:pPr>
        <w:spacing w:line="360" w:lineRule="auto"/>
        <w:jc w:val="both"/>
        <w:rPr>
          <w:rFonts w:ascii="Palatino Linotype" w:hAnsi="Palatino Linotype"/>
        </w:rPr>
      </w:pPr>
      <w:r w:rsidRPr="00A90B26">
        <w:rPr>
          <w:rFonts w:ascii="Palatino Linotype" w:hAnsi="Palatino Linotype"/>
          <w:b/>
        </w:rPr>
        <w:t>VISTO</w:t>
      </w:r>
      <w:r w:rsidR="00EE130A" w:rsidRPr="00A90B26">
        <w:rPr>
          <w:rFonts w:ascii="Palatino Linotype" w:hAnsi="Palatino Linotype"/>
        </w:rPr>
        <w:t xml:space="preserve"> el </w:t>
      </w:r>
      <w:r w:rsidRPr="00A90B26">
        <w:rPr>
          <w:rFonts w:ascii="Palatino Linotype" w:hAnsi="Palatino Linotype"/>
        </w:rPr>
        <w:t>expediente electrónico formado con motivo de</w:t>
      </w:r>
      <w:r w:rsidR="00EE130A" w:rsidRPr="00A90B26">
        <w:rPr>
          <w:rFonts w:ascii="Palatino Linotype" w:hAnsi="Palatino Linotype"/>
        </w:rPr>
        <w:t xml:space="preserve">l </w:t>
      </w:r>
      <w:r w:rsidR="002032D1" w:rsidRPr="00A90B26">
        <w:rPr>
          <w:rFonts w:ascii="Palatino Linotype" w:hAnsi="Palatino Linotype"/>
        </w:rPr>
        <w:t>R</w:t>
      </w:r>
      <w:r w:rsidRPr="00A90B26">
        <w:rPr>
          <w:rFonts w:ascii="Palatino Linotype" w:hAnsi="Palatino Linotype"/>
        </w:rPr>
        <w:t>ecurso</w:t>
      </w:r>
      <w:r w:rsidR="00EE130A" w:rsidRPr="00A90B26">
        <w:rPr>
          <w:rFonts w:ascii="Palatino Linotype" w:hAnsi="Palatino Linotype"/>
        </w:rPr>
        <w:t xml:space="preserve"> </w:t>
      </w:r>
      <w:r w:rsidRPr="00A90B26">
        <w:rPr>
          <w:rFonts w:ascii="Palatino Linotype" w:hAnsi="Palatino Linotype"/>
        </w:rPr>
        <w:t xml:space="preserve">de </w:t>
      </w:r>
      <w:r w:rsidR="002032D1" w:rsidRPr="00A90B26">
        <w:rPr>
          <w:rFonts w:ascii="Palatino Linotype" w:hAnsi="Palatino Linotype"/>
        </w:rPr>
        <w:t>R</w:t>
      </w:r>
      <w:r w:rsidRPr="00A90B26">
        <w:rPr>
          <w:rFonts w:ascii="Palatino Linotype" w:hAnsi="Palatino Linotype"/>
        </w:rPr>
        <w:t>evisión</w:t>
      </w:r>
      <w:r w:rsidR="00EE130A" w:rsidRPr="00A90B26">
        <w:rPr>
          <w:rFonts w:ascii="Palatino Linotype" w:hAnsi="Palatino Linotype"/>
          <w:b/>
        </w:rPr>
        <w:t xml:space="preserve"> </w:t>
      </w:r>
      <w:r w:rsidR="002032D1" w:rsidRPr="00A90B26">
        <w:rPr>
          <w:rFonts w:ascii="Palatino Linotype" w:hAnsi="Palatino Linotype"/>
          <w:b/>
        </w:rPr>
        <w:t>02023/INFOEM/IP/RR/2024</w:t>
      </w:r>
      <w:r w:rsidRPr="00A90B26">
        <w:rPr>
          <w:rFonts w:ascii="Palatino Linotype" w:hAnsi="Palatino Linotype" w:cs="Arial"/>
          <w:b/>
          <w:bCs/>
        </w:rPr>
        <w:t xml:space="preserve">; </w:t>
      </w:r>
      <w:r w:rsidRPr="00A90B26">
        <w:rPr>
          <w:rFonts w:ascii="Palatino Linotype" w:hAnsi="Palatino Linotype"/>
        </w:rPr>
        <w:t>promovido</w:t>
      </w:r>
      <w:r w:rsidR="00EE130A" w:rsidRPr="00A90B26">
        <w:rPr>
          <w:rFonts w:ascii="Palatino Linotype" w:hAnsi="Palatino Linotype"/>
        </w:rPr>
        <w:t xml:space="preserve"> por </w:t>
      </w:r>
      <w:r w:rsidR="00E71B54">
        <w:rPr>
          <w:rFonts w:ascii="Palatino Linotype" w:hAnsi="Palatino Linotype"/>
          <w:b/>
        </w:rPr>
        <w:t>XXX XXX</w:t>
      </w:r>
      <w:r w:rsidR="00EE130A" w:rsidRPr="00A90B26">
        <w:rPr>
          <w:rFonts w:ascii="Palatino Linotype" w:hAnsi="Palatino Linotype"/>
        </w:rPr>
        <w:t xml:space="preserve"> </w:t>
      </w:r>
      <w:r w:rsidR="002032D1" w:rsidRPr="00A90B26">
        <w:rPr>
          <w:rFonts w:ascii="Palatino Linotype" w:hAnsi="Palatino Linotype"/>
        </w:rPr>
        <w:t>quien en lo sucesivo será identificada</w:t>
      </w:r>
      <w:r w:rsidR="00B4318F" w:rsidRPr="00A90B26">
        <w:rPr>
          <w:rFonts w:ascii="Palatino Linotype" w:hAnsi="Palatino Linotype"/>
        </w:rPr>
        <w:t xml:space="preserve"> </w:t>
      </w:r>
      <w:r w:rsidR="00B4318F" w:rsidRPr="00A90B26">
        <w:rPr>
          <w:rFonts w:ascii="Palatino Linotype" w:hAnsi="Palatino Linotype" w:cs="Arial"/>
        </w:rPr>
        <w:t xml:space="preserve">como </w:t>
      </w:r>
      <w:r w:rsidR="002032D1" w:rsidRPr="00A90B26">
        <w:rPr>
          <w:rFonts w:ascii="Palatino Linotype" w:hAnsi="Palatino Linotype" w:cs="Arial"/>
          <w:b/>
        </w:rPr>
        <w:t xml:space="preserve">LA </w:t>
      </w:r>
      <w:r w:rsidRPr="00A90B26">
        <w:rPr>
          <w:rFonts w:ascii="Palatino Linotype" w:hAnsi="Palatino Linotype" w:cs="Arial"/>
          <w:b/>
        </w:rPr>
        <w:t>RECURRENTE</w:t>
      </w:r>
      <w:r w:rsidRPr="00A90B26">
        <w:rPr>
          <w:rFonts w:ascii="Palatino Linotype" w:hAnsi="Palatino Linotype" w:cs="Arial"/>
        </w:rPr>
        <w:t>, en contra de la respuesta de</w:t>
      </w:r>
      <w:r w:rsidR="002032D1" w:rsidRPr="00A90B26">
        <w:rPr>
          <w:rFonts w:ascii="Palatino Linotype" w:hAnsi="Palatino Linotype" w:cs="Arial"/>
        </w:rPr>
        <w:t xml:space="preserve"> </w:t>
      </w:r>
      <w:r w:rsidRPr="00A90B26">
        <w:rPr>
          <w:rFonts w:ascii="Palatino Linotype" w:hAnsi="Palatino Linotype" w:cs="Arial"/>
        </w:rPr>
        <w:t>l</w:t>
      </w:r>
      <w:r w:rsidR="002032D1" w:rsidRPr="00A90B26">
        <w:rPr>
          <w:rFonts w:ascii="Palatino Linotype" w:hAnsi="Palatino Linotype" w:cs="Arial"/>
        </w:rPr>
        <w:t>a</w:t>
      </w:r>
      <w:r w:rsidRPr="00A90B26">
        <w:rPr>
          <w:rFonts w:ascii="Palatino Linotype" w:hAnsi="Palatino Linotype"/>
        </w:rPr>
        <w:t xml:space="preserve"> </w:t>
      </w:r>
      <w:r w:rsidR="002032D1" w:rsidRPr="00A90B26">
        <w:rPr>
          <w:rFonts w:ascii="Palatino Linotype" w:eastAsia="Calibri" w:hAnsi="Palatino Linotype" w:cs="Tahoma"/>
          <w:b/>
          <w:lang w:eastAsia="en-US"/>
        </w:rPr>
        <w:t>Secretaría de Cultura y Turismo</w:t>
      </w:r>
      <w:r w:rsidRPr="00A90B26">
        <w:rPr>
          <w:rFonts w:ascii="Palatino Linotype" w:hAnsi="Palatino Linotype"/>
          <w:b/>
        </w:rPr>
        <w:t xml:space="preserve">, </w:t>
      </w:r>
      <w:r w:rsidRPr="00A90B26">
        <w:rPr>
          <w:rFonts w:ascii="Palatino Linotype" w:hAnsi="Palatino Linotype"/>
        </w:rPr>
        <w:t>en lo sucesivo el</w:t>
      </w:r>
      <w:r w:rsidRPr="00A90B26">
        <w:rPr>
          <w:rFonts w:ascii="Palatino Linotype" w:hAnsi="Palatino Linotype"/>
          <w:b/>
        </w:rPr>
        <w:t xml:space="preserve"> SUJETO OBLIGADO, </w:t>
      </w:r>
      <w:r w:rsidRPr="00A90B26">
        <w:rPr>
          <w:rFonts w:ascii="Palatino Linotype" w:hAnsi="Palatino Linotype"/>
        </w:rPr>
        <w:t xml:space="preserve">se procede a dictar la presente </w:t>
      </w:r>
      <w:r w:rsidR="002032D1" w:rsidRPr="00A90B26">
        <w:rPr>
          <w:rFonts w:ascii="Palatino Linotype" w:hAnsi="Palatino Linotype"/>
        </w:rPr>
        <w:t>Re</w:t>
      </w:r>
      <w:r w:rsidRPr="00A90B26">
        <w:rPr>
          <w:rFonts w:ascii="Palatino Linotype" w:hAnsi="Palatino Linotype"/>
        </w:rPr>
        <w:t>solución, con base en los</w:t>
      </w:r>
      <w:r w:rsidR="00EE130A" w:rsidRPr="00A90B26">
        <w:rPr>
          <w:rFonts w:ascii="Palatino Linotype" w:hAnsi="Palatino Linotype"/>
        </w:rPr>
        <w:t xml:space="preserve"> siguiente</w:t>
      </w:r>
      <w:r w:rsidR="002032D1" w:rsidRPr="00A90B26">
        <w:rPr>
          <w:rFonts w:ascii="Palatino Linotype" w:hAnsi="Palatino Linotype"/>
        </w:rPr>
        <w:t>s</w:t>
      </w:r>
      <w:r w:rsidRPr="00A90B26">
        <w:rPr>
          <w:rFonts w:ascii="Palatino Linotype" w:hAnsi="Palatino Linotype"/>
        </w:rPr>
        <w:t>:</w:t>
      </w:r>
    </w:p>
    <w:p w14:paraId="7DEF7D8A" w14:textId="77777777" w:rsidR="00A90B26" w:rsidRPr="00A90B26" w:rsidRDefault="00A90B26" w:rsidP="00A90B26">
      <w:pPr>
        <w:spacing w:line="360" w:lineRule="auto"/>
        <w:jc w:val="both"/>
        <w:rPr>
          <w:rFonts w:ascii="Palatino Linotype" w:hAnsi="Palatino Linotype"/>
          <w:b/>
        </w:rPr>
      </w:pPr>
    </w:p>
    <w:p w14:paraId="7D61627C" w14:textId="77777777" w:rsidR="00D262C2" w:rsidRDefault="00D262C2" w:rsidP="00A90B26">
      <w:pPr>
        <w:pStyle w:val="Ttulo1"/>
        <w:spacing w:before="0" w:line="360" w:lineRule="auto"/>
        <w:jc w:val="center"/>
        <w:rPr>
          <w:rFonts w:ascii="Palatino Linotype" w:hAnsi="Palatino Linotype"/>
          <w:b/>
          <w:color w:val="auto"/>
          <w:sz w:val="24"/>
          <w:szCs w:val="24"/>
        </w:rPr>
      </w:pPr>
      <w:bookmarkStart w:id="0" w:name="_Toc461555884"/>
      <w:bookmarkStart w:id="1" w:name="_Toc466371847"/>
      <w:bookmarkStart w:id="2" w:name="_Toc81233123"/>
      <w:r w:rsidRPr="00A90B26">
        <w:rPr>
          <w:rFonts w:ascii="Palatino Linotype" w:hAnsi="Palatino Linotype"/>
          <w:b/>
          <w:color w:val="auto"/>
          <w:sz w:val="24"/>
          <w:szCs w:val="24"/>
        </w:rPr>
        <w:t>ANTECEDENTES</w:t>
      </w:r>
      <w:bookmarkEnd w:id="0"/>
      <w:bookmarkEnd w:id="1"/>
      <w:bookmarkEnd w:id="2"/>
    </w:p>
    <w:p w14:paraId="24E96790" w14:textId="77777777" w:rsidR="00A90B26" w:rsidRPr="00A90B26" w:rsidRDefault="00A90B26" w:rsidP="00A90B26"/>
    <w:p w14:paraId="51D9E292" w14:textId="60A93F54" w:rsidR="003A3A1B" w:rsidRPr="00A90B26" w:rsidRDefault="003A3A1B" w:rsidP="00A90B26">
      <w:pPr>
        <w:pStyle w:val="Prrafodelista"/>
        <w:numPr>
          <w:ilvl w:val="0"/>
          <w:numId w:val="8"/>
        </w:numPr>
        <w:tabs>
          <w:tab w:val="left" w:pos="284"/>
        </w:tabs>
        <w:spacing w:line="360" w:lineRule="auto"/>
        <w:ind w:left="0" w:firstLine="0"/>
        <w:jc w:val="both"/>
        <w:rPr>
          <w:rFonts w:ascii="Palatino Linotype" w:hAnsi="Palatino Linotype"/>
          <w:i/>
          <w:iCs/>
          <w:color w:val="000000"/>
          <w:sz w:val="24"/>
        </w:rPr>
      </w:pPr>
      <w:r w:rsidRPr="00A90B26">
        <w:rPr>
          <w:rFonts w:ascii="Palatino Linotype" w:eastAsia="Calibri" w:hAnsi="Palatino Linotype" w:cs="Arial"/>
          <w:sz w:val="24"/>
          <w:lang w:val="es-ES"/>
        </w:rPr>
        <w:t xml:space="preserve">El </w:t>
      </w:r>
      <w:r w:rsidR="002032D1" w:rsidRPr="00A90B26">
        <w:rPr>
          <w:rFonts w:ascii="Palatino Linotype" w:eastAsia="Calibri" w:hAnsi="Palatino Linotype" w:cs="Arial"/>
          <w:sz w:val="24"/>
          <w:lang w:val="es-ES"/>
        </w:rPr>
        <w:t>once de marzo</w:t>
      </w:r>
      <w:r w:rsidRPr="00A90B26">
        <w:rPr>
          <w:rFonts w:ascii="Palatino Linotype" w:eastAsia="Calibri" w:hAnsi="Palatino Linotype" w:cs="Arial"/>
          <w:sz w:val="24"/>
          <w:lang w:val="es-ES"/>
        </w:rPr>
        <w:t xml:space="preserve"> de dos mil </w:t>
      </w:r>
      <w:r w:rsidR="002032D1" w:rsidRPr="00A90B26">
        <w:rPr>
          <w:rFonts w:ascii="Palatino Linotype" w:eastAsia="Calibri" w:hAnsi="Palatino Linotype" w:cs="Arial"/>
          <w:sz w:val="24"/>
          <w:lang w:val="es-ES"/>
        </w:rPr>
        <w:t>veinticuatro</w:t>
      </w:r>
      <w:r w:rsidRPr="00A90B26">
        <w:rPr>
          <w:rFonts w:ascii="Palatino Linotype" w:eastAsia="Calibri" w:hAnsi="Palatino Linotype" w:cs="Arial"/>
          <w:sz w:val="24"/>
          <w:lang w:val="es-ES"/>
        </w:rPr>
        <w:t>,</w:t>
      </w:r>
      <w:r w:rsidRPr="00A90B26">
        <w:rPr>
          <w:rFonts w:ascii="Palatino Linotype" w:eastAsia="Calibri" w:hAnsi="Palatino Linotype"/>
          <w:sz w:val="24"/>
          <w:lang w:val="es-ES"/>
        </w:rPr>
        <w:t xml:space="preserve"> se</w:t>
      </w:r>
      <w:r w:rsidRPr="00A90B26">
        <w:rPr>
          <w:rFonts w:ascii="Palatino Linotype" w:hAnsi="Palatino Linotype"/>
          <w:b/>
          <w:sz w:val="24"/>
        </w:rPr>
        <w:t xml:space="preserve"> </w:t>
      </w:r>
      <w:r w:rsidRPr="00A90B26">
        <w:rPr>
          <w:rFonts w:ascii="Palatino Linotype" w:hAnsi="Palatino Linotype"/>
          <w:sz w:val="24"/>
        </w:rPr>
        <w:t xml:space="preserve">presentó </w:t>
      </w:r>
      <w:r w:rsidRPr="00A90B26">
        <w:rPr>
          <w:rFonts w:ascii="Palatino Linotype" w:eastAsia="Calibri" w:hAnsi="Palatino Linotype" w:cs="Arial"/>
          <w:sz w:val="24"/>
          <w:lang w:val="es-ES"/>
        </w:rPr>
        <w:t xml:space="preserve">ante el </w:t>
      </w:r>
      <w:r w:rsidRPr="00A90B26">
        <w:rPr>
          <w:rFonts w:ascii="Palatino Linotype" w:eastAsia="Calibri" w:hAnsi="Palatino Linotype" w:cs="Arial"/>
          <w:b/>
          <w:sz w:val="24"/>
          <w:lang w:val="es-ES"/>
        </w:rPr>
        <w:t>SUJETO OBLIGADO,</w:t>
      </w:r>
      <w:r w:rsidRPr="00A90B26">
        <w:rPr>
          <w:rFonts w:ascii="Palatino Linotype" w:eastAsia="Calibri" w:hAnsi="Palatino Linotype" w:cs="Arial"/>
          <w:sz w:val="24"/>
        </w:rPr>
        <w:t xml:space="preserve"> vía </w:t>
      </w:r>
      <w:r w:rsidRPr="00A90B26">
        <w:rPr>
          <w:rFonts w:ascii="Palatino Linotype" w:eastAsia="Calibri" w:hAnsi="Palatino Linotype" w:cs="Arial"/>
          <w:sz w:val="24"/>
          <w:lang w:val="es-ES"/>
        </w:rPr>
        <w:t>Sistema de Acceso a la Información Mexiquense (</w:t>
      </w:r>
      <w:r w:rsidRPr="00A90B26">
        <w:rPr>
          <w:rFonts w:ascii="Palatino Linotype" w:eastAsia="Calibri" w:hAnsi="Palatino Linotype" w:cs="Arial"/>
          <w:b/>
          <w:sz w:val="24"/>
          <w:lang w:val="es-ES"/>
        </w:rPr>
        <w:t>SAIMEX</w:t>
      </w:r>
      <w:r w:rsidRPr="00A90B26">
        <w:rPr>
          <w:rFonts w:ascii="Palatino Linotype" w:eastAsia="Calibri" w:hAnsi="Palatino Linotype" w:cs="Arial"/>
          <w:sz w:val="24"/>
          <w:lang w:val="es-ES"/>
        </w:rPr>
        <w:t>), la solicitud de información pública registrada con el número</w:t>
      </w:r>
      <w:r w:rsidRPr="00A90B26">
        <w:rPr>
          <w:rFonts w:ascii="Palatino Linotype" w:eastAsia="Calibri" w:hAnsi="Palatino Linotype" w:cs="Arial"/>
          <w:b/>
          <w:bCs/>
          <w:sz w:val="24"/>
        </w:rPr>
        <w:t xml:space="preserve">  </w:t>
      </w:r>
      <w:r w:rsidR="002032D1" w:rsidRPr="00A90B26">
        <w:rPr>
          <w:rFonts w:ascii="Palatino Linotype" w:eastAsia="Calibri" w:hAnsi="Palatino Linotype" w:cs="Arial"/>
          <w:b/>
          <w:bCs/>
          <w:sz w:val="24"/>
        </w:rPr>
        <w:t>00092/SCTUR/IP/2024</w:t>
      </w:r>
      <w:r w:rsidRPr="00A90B26">
        <w:rPr>
          <w:rFonts w:ascii="Palatino Linotype" w:hAnsi="Palatino Linotype" w:cs="Arial"/>
          <w:b/>
          <w:sz w:val="24"/>
          <w:lang w:val="es-ES"/>
        </w:rPr>
        <w:t xml:space="preserve">, </w:t>
      </w:r>
      <w:r w:rsidRPr="00A90B26">
        <w:rPr>
          <w:rFonts w:ascii="Palatino Linotype" w:eastAsia="Calibri" w:hAnsi="Palatino Linotype" w:cs="Arial"/>
          <w:sz w:val="24"/>
          <w:lang w:val="es-ES"/>
        </w:rPr>
        <w:t>mediante la cual se requirió lo siguiente:</w:t>
      </w:r>
    </w:p>
    <w:p w14:paraId="2936C90B" w14:textId="77777777" w:rsidR="00A90B26" w:rsidRPr="00A90B26" w:rsidRDefault="00A90B26" w:rsidP="00A90B26">
      <w:pPr>
        <w:pStyle w:val="Prrafodelista"/>
        <w:tabs>
          <w:tab w:val="left" w:pos="284"/>
        </w:tabs>
        <w:spacing w:line="360" w:lineRule="auto"/>
        <w:ind w:left="0"/>
        <w:jc w:val="both"/>
        <w:rPr>
          <w:rFonts w:ascii="Palatino Linotype" w:hAnsi="Palatino Linotype"/>
          <w:i/>
          <w:iCs/>
          <w:color w:val="000000"/>
          <w:sz w:val="24"/>
        </w:rPr>
      </w:pPr>
    </w:p>
    <w:p w14:paraId="0B1F22A6" w14:textId="703020F9" w:rsidR="002032D1" w:rsidRDefault="003A3A1B" w:rsidP="00A90B26">
      <w:pPr>
        <w:tabs>
          <w:tab w:val="left" w:pos="8222"/>
        </w:tabs>
        <w:spacing w:line="360" w:lineRule="auto"/>
        <w:ind w:left="567" w:right="567"/>
        <w:contextualSpacing/>
        <w:jc w:val="both"/>
        <w:rPr>
          <w:rFonts w:ascii="Palatino Linotype" w:eastAsia="Calibri" w:hAnsi="Palatino Linotype" w:cs="Arial"/>
          <w:lang w:val="es-ES"/>
        </w:rPr>
      </w:pPr>
      <w:r w:rsidRPr="00A90B26">
        <w:rPr>
          <w:rFonts w:ascii="Palatino Linotype" w:eastAsia="Calibri" w:hAnsi="Palatino Linotype" w:cs="Arial"/>
          <w:i/>
          <w:lang w:val="es-ES"/>
        </w:rPr>
        <w:t>“</w:t>
      </w:r>
      <w:r w:rsidR="002032D1" w:rsidRPr="00A90B26">
        <w:rPr>
          <w:rFonts w:ascii="Palatino Linotype" w:eastAsia="Calibri" w:hAnsi="Palatino Linotype" w:cs="Arial"/>
          <w:i/>
          <w:lang w:val="es-ES"/>
        </w:rPr>
        <w:t xml:space="preserve">SOLICITO EL MONTO TOTAL (PRESUPUESTO ANUAL) POR CONCEPTO DE INGRESOS AL FIDEICOMISO DE LA SECRETARÍA DE CULTURA Y TURISMO, ANTES SUBSECRETARIA DE TURISMO, LOS MONTOS TOTALES ANUALES AÑO POR AÑO, LOS EVENTOS, PROYECTOS Y EL MONTO DE INVERSIÓN DESTINADOS A LOS MISMOS, POR CONCEPTO DE EJECUSIÓN DE DICHO FIDEICOMISO, ADEMÁS DE ESPECIFICAR LOS GASTOS Y PROVEDORES CON RAZON </w:t>
      </w:r>
      <w:r w:rsidR="002032D1" w:rsidRPr="00A90B26">
        <w:rPr>
          <w:rFonts w:ascii="Palatino Linotype" w:eastAsia="Calibri" w:hAnsi="Palatino Linotype" w:cs="Arial"/>
          <w:i/>
          <w:lang w:val="es-ES"/>
        </w:rPr>
        <w:lastRenderedPageBreak/>
        <w:t>SOCIAL QUE INTERVINIERON EN EL PROCESO DE EJECUSIÓN POR MISMOS EVENTOS Y/O PROYECTOS DEL RECURSO EN CITA, CORRESPONDIENTES A LOS MESES DE NOVIEMBRE DE 2020 AL MES DE FEBRERO 2024.</w:t>
      </w:r>
      <w:r w:rsidRPr="00A90B26">
        <w:rPr>
          <w:rFonts w:ascii="Palatino Linotype" w:eastAsia="Calibri" w:hAnsi="Palatino Linotype" w:cs="Arial"/>
          <w:i/>
          <w:lang w:val="es-ES"/>
        </w:rPr>
        <w:t xml:space="preserve">” </w:t>
      </w:r>
      <w:r w:rsidRPr="00A90B26">
        <w:rPr>
          <w:rFonts w:ascii="Palatino Linotype" w:eastAsia="Calibri" w:hAnsi="Palatino Linotype" w:cs="Arial"/>
          <w:lang w:val="es-ES"/>
        </w:rPr>
        <w:t>(Sic)</w:t>
      </w:r>
    </w:p>
    <w:p w14:paraId="35CB7AA5" w14:textId="77777777" w:rsidR="00A90B26" w:rsidRPr="00A90B26" w:rsidRDefault="00A90B26" w:rsidP="00A90B26">
      <w:pPr>
        <w:tabs>
          <w:tab w:val="left" w:pos="8222"/>
        </w:tabs>
        <w:spacing w:line="360" w:lineRule="auto"/>
        <w:ind w:left="567" w:right="567"/>
        <w:contextualSpacing/>
        <w:jc w:val="both"/>
        <w:rPr>
          <w:rFonts w:ascii="Palatino Linotype" w:eastAsia="Calibri" w:hAnsi="Palatino Linotype" w:cs="Arial"/>
          <w:lang w:val="es-ES"/>
        </w:rPr>
      </w:pPr>
    </w:p>
    <w:p w14:paraId="3D749329" w14:textId="4480F6FF" w:rsidR="00385055" w:rsidRPr="00A90B26" w:rsidRDefault="00A840AB" w:rsidP="00A90B26">
      <w:pPr>
        <w:pStyle w:val="Prrafodelista"/>
        <w:numPr>
          <w:ilvl w:val="0"/>
          <w:numId w:val="8"/>
        </w:numPr>
        <w:tabs>
          <w:tab w:val="left" w:pos="284"/>
        </w:tabs>
        <w:spacing w:line="360" w:lineRule="auto"/>
        <w:ind w:left="0" w:firstLine="0"/>
        <w:jc w:val="both"/>
        <w:rPr>
          <w:rFonts w:ascii="Palatino Linotype" w:hAnsi="Palatino Linotype"/>
          <w:i/>
          <w:iCs/>
          <w:color w:val="000000"/>
          <w:sz w:val="24"/>
        </w:rPr>
      </w:pPr>
      <w:r w:rsidRPr="00A90B26">
        <w:rPr>
          <w:rFonts w:ascii="Palatino Linotype" w:eastAsia="Calibri" w:hAnsi="Palatino Linotype" w:cs="Arial"/>
          <w:sz w:val="24"/>
          <w:lang w:val="es-AR"/>
        </w:rPr>
        <w:t>Se señaló</w:t>
      </w:r>
      <w:r w:rsidR="00D262C2" w:rsidRPr="00A90B26">
        <w:rPr>
          <w:rFonts w:ascii="Palatino Linotype" w:hAnsi="Palatino Linotype" w:cs="Arial"/>
          <w:sz w:val="24"/>
          <w:lang w:val="es-ES"/>
        </w:rPr>
        <w:t xml:space="preserve"> como </w:t>
      </w:r>
      <w:r w:rsidR="00D262C2" w:rsidRPr="00A90B26">
        <w:rPr>
          <w:rFonts w:ascii="Palatino Linotype" w:eastAsiaTheme="minorHAnsi" w:hAnsi="Palatino Linotype"/>
          <w:color w:val="000000"/>
          <w:sz w:val="24"/>
          <w:lang w:eastAsia="en-US"/>
        </w:rPr>
        <w:t>modalidad</w:t>
      </w:r>
      <w:r w:rsidR="00D262C2" w:rsidRPr="00A90B26">
        <w:rPr>
          <w:rFonts w:ascii="Palatino Linotype" w:hAnsi="Palatino Linotype" w:cs="Arial"/>
          <w:sz w:val="24"/>
          <w:lang w:val="es-ES"/>
        </w:rPr>
        <w:t xml:space="preserve"> de entrega de la información </w:t>
      </w:r>
      <w:r w:rsidRPr="00A90B26">
        <w:rPr>
          <w:rFonts w:ascii="Palatino Linotype" w:hAnsi="Palatino Linotype" w:cs="Arial"/>
          <w:sz w:val="24"/>
          <w:lang w:val="es-ES"/>
        </w:rPr>
        <w:t xml:space="preserve">a través de </w:t>
      </w:r>
      <w:r w:rsidRPr="00A90B26">
        <w:rPr>
          <w:rFonts w:ascii="Palatino Linotype" w:hAnsi="Palatino Linotype" w:cs="Arial"/>
          <w:b/>
          <w:sz w:val="24"/>
          <w:lang w:val="es-ES"/>
        </w:rPr>
        <w:t>SAIMEX</w:t>
      </w:r>
      <w:r w:rsidRPr="00A90B26">
        <w:rPr>
          <w:rFonts w:ascii="Palatino Linotype" w:hAnsi="Palatino Linotype" w:cs="Arial"/>
          <w:sz w:val="24"/>
          <w:lang w:val="es-ES"/>
        </w:rPr>
        <w:t>.</w:t>
      </w:r>
    </w:p>
    <w:p w14:paraId="7989615D" w14:textId="77777777" w:rsidR="002032D1" w:rsidRPr="00A90B26" w:rsidRDefault="002032D1" w:rsidP="00A90B26">
      <w:pPr>
        <w:pStyle w:val="Prrafodelista"/>
        <w:tabs>
          <w:tab w:val="left" w:pos="284"/>
        </w:tabs>
        <w:spacing w:line="360" w:lineRule="auto"/>
        <w:ind w:left="0"/>
        <w:jc w:val="both"/>
        <w:rPr>
          <w:rFonts w:ascii="Palatino Linotype" w:hAnsi="Palatino Linotype"/>
          <w:i/>
          <w:iCs/>
          <w:color w:val="000000"/>
          <w:sz w:val="24"/>
        </w:rPr>
      </w:pPr>
    </w:p>
    <w:p w14:paraId="46C14B3E" w14:textId="4C5DC496" w:rsidR="003A3A1B" w:rsidRPr="00A90B26" w:rsidRDefault="0035780A" w:rsidP="00A90B26">
      <w:pPr>
        <w:pStyle w:val="Prrafodelista"/>
        <w:numPr>
          <w:ilvl w:val="0"/>
          <w:numId w:val="8"/>
        </w:numPr>
        <w:tabs>
          <w:tab w:val="left" w:pos="284"/>
        </w:tabs>
        <w:spacing w:line="360" w:lineRule="auto"/>
        <w:ind w:left="0" w:firstLine="0"/>
        <w:jc w:val="both"/>
        <w:rPr>
          <w:rFonts w:ascii="Palatino Linotype" w:hAnsi="Palatino Linotype"/>
          <w:i/>
          <w:iCs/>
          <w:color w:val="000000"/>
          <w:sz w:val="24"/>
        </w:rPr>
      </w:pPr>
      <w:r w:rsidRPr="00A90B26">
        <w:rPr>
          <w:rFonts w:ascii="Palatino Linotype" w:eastAsiaTheme="minorHAnsi" w:hAnsi="Palatino Linotype"/>
          <w:color w:val="000000"/>
          <w:sz w:val="24"/>
          <w:lang w:eastAsia="en-US"/>
        </w:rPr>
        <w:t xml:space="preserve">El </w:t>
      </w:r>
      <w:r w:rsidR="005247EB" w:rsidRPr="00A90B26">
        <w:rPr>
          <w:rFonts w:ascii="Palatino Linotype" w:eastAsiaTheme="minorHAnsi" w:hAnsi="Palatino Linotype"/>
          <w:color w:val="000000"/>
          <w:sz w:val="24"/>
          <w:lang w:eastAsia="en-US"/>
        </w:rPr>
        <w:t>nueve de abril</w:t>
      </w:r>
      <w:r w:rsidR="009D6F0A" w:rsidRPr="00A90B26">
        <w:rPr>
          <w:rFonts w:ascii="Palatino Linotype" w:eastAsiaTheme="minorHAnsi" w:hAnsi="Palatino Linotype"/>
          <w:color w:val="000000"/>
          <w:sz w:val="24"/>
          <w:lang w:eastAsia="en-US"/>
        </w:rPr>
        <w:t xml:space="preserve"> </w:t>
      </w:r>
      <w:r w:rsidR="003A3A1B" w:rsidRPr="00A90B26">
        <w:rPr>
          <w:rFonts w:ascii="Palatino Linotype" w:eastAsiaTheme="minorHAnsi" w:hAnsi="Palatino Linotype"/>
          <w:color w:val="000000"/>
          <w:sz w:val="24"/>
          <w:lang w:eastAsia="en-US"/>
        </w:rPr>
        <w:t xml:space="preserve">de dos mil </w:t>
      </w:r>
      <w:r w:rsidR="002032D1" w:rsidRPr="00A90B26">
        <w:rPr>
          <w:rFonts w:ascii="Palatino Linotype" w:eastAsiaTheme="minorHAnsi" w:hAnsi="Palatino Linotype"/>
          <w:color w:val="000000"/>
          <w:sz w:val="24"/>
          <w:lang w:eastAsia="en-US"/>
        </w:rPr>
        <w:t>veinticuatro</w:t>
      </w:r>
      <w:r w:rsidR="003A3A1B" w:rsidRPr="00A90B26">
        <w:rPr>
          <w:rFonts w:ascii="Palatino Linotype" w:eastAsiaTheme="minorHAnsi" w:hAnsi="Palatino Linotype"/>
          <w:color w:val="000000"/>
          <w:sz w:val="24"/>
          <w:lang w:eastAsia="en-US"/>
        </w:rPr>
        <w:t xml:space="preserve">, el </w:t>
      </w:r>
      <w:r w:rsidR="003A3A1B" w:rsidRPr="00A90B26">
        <w:rPr>
          <w:rFonts w:ascii="Palatino Linotype" w:eastAsiaTheme="minorHAnsi" w:hAnsi="Palatino Linotype"/>
          <w:b/>
          <w:bCs/>
          <w:color w:val="000000"/>
          <w:sz w:val="24"/>
          <w:lang w:eastAsia="en-US"/>
        </w:rPr>
        <w:t>SUJETO OBLIGADO</w:t>
      </w:r>
      <w:r w:rsidR="003A3A1B" w:rsidRPr="00A90B26">
        <w:rPr>
          <w:rFonts w:ascii="Palatino Linotype" w:eastAsiaTheme="minorHAnsi" w:hAnsi="Palatino Linotype"/>
          <w:color w:val="000000"/>
          <w:sz w:val="24"/>
          <w:lang w:eastAsia="en-US"/>
        </w:rPr>
        <w:t xml:space="preserve"> dio respuesta a la solicitud de </w:t>
      </w:r>
      <w:r w:rsidR="003A3A1B" w:rsidRPr="00A90B26">
        <w:rPr>
          <w:rFonts w:ascii="Palatino Linotype" w:hAnsi="Palatino Linotype" w:cs="Arial"/>
          <w:sz w:val="24"/>
          <w:lang w:val="es-ES"/>
        </w:rPr>
        <w:t>información</w:t>
      </w:r>
      <w:r w:rsidR="003A3A1B" w:rsidRPr="00A90B26">
        <w:rPr>
          <w:rFonts w:ascii="Palatino Linotype" w:eastAsiaTheme="minorHAnsi" w:hAnsi="Palatino Linotype"/>
          <w:color w:val="000000"/>
          <w:sz w:val="24"/>
          <w:lang w:eastAsia="en-US"/>
        </w:rPr>
        <w:t xml:space="preserve"> </w:t>
      </w:r>
      <w:r w:rsidR="005247EB" w:rsidRPr="00A90B26">
        <w:rPr>
          <w:rFonts w:ascii="Palatino Linotype" w:eastAsiaTheme="minorHAnsi" w:hAnsi="Palatino Linotype"/>
          <w:color w:val="000000"/>
          <w:sz w:val="24"/>
          <w:lang w:eastAsia="en-US"/>
        </w:rPr>
        <w:t xml:space="preserve">a través del archivo denominado </w:t>
      </w:r>
      <w:r w:rsidR="005247EB" w:rsidRPr="00A90B26">
        <w:rPr>
          <w:rFonts w:ascii="Palatino Linotype" w:eastAsiaTheme="minorHAnsi" w:hAnsi="Palatino Linotype"/>
          <w:b/>
          <w:i/>
          <w:color w:val="000000"/>
          <w:sz w:val="24"/>
          <w:lang w:eastAsia="en-US"/>
        </w:rPr>
        <w:t>sol_92_saimex_202408-04-2024-170031.pdf</w:t>
      </w:r>
      <w:r w:rsidR="005247EB" w:rsidRPr="00A90B26">
        <w:rPr>
          <w:rFonts w:ascii="Palatino Linotype" w:eastAsiaTheme="minorHAnsi" w:hAnsi="Palatino Linotype"/>
          <w:color w:val="000000"/>
          <w:sz w:val="24"/>
          <w:lang w:eastAsia="en-US"/>
        </w:rPr>
        <w:t xml:space="preserve">, cuyo contenido corresponde a un oficio signado por el Encargado de Despacho de la Dirección General de Planeación y Desarrollo Turístico Sostenible, mediante el cual informa que se hace llegar de manera adjunta los montos totales anuales por año, requeridos en la solicitud de información inicial como se observa: </w:t>
      </w:r>
    </w:p>
    <w:p w14:paraId="0168BEFF" w14:textId="77777777" w:rsidR="005247EB" w:rsidRPr="00A90B26" w:rsidRDefault="005247EB" w:rsidP="00A90B26">
      <w:pPr>
        <w:pStyle w:val="Prrafodelista"/>
        <w:tabs>
          <w:tab w:val="left" w:pos="426"/>
        </w:tabs>
        <w:spacing w:line="360" w:lineRule="auto"/>
        <w:ind w:left="0"/>
        <w:jc w:val="both"/>
        <w:rPr>
          <w:rFonts w:ascii="Palatino Linotype" w:eastAsia="MS Mincho" w:hAnsi="Palatino Linotype"/>
          <w:sz w:val="24"/>
        </w:rPr>
      </w:pPr>
    </w:p>
    <w:p w14:paraId="16FCB241" w14:textId="7340D1D0" w:rsidR="005247EB" w:rsidRPr="00A90B26" w:rsidRDefault="005247EB" w:rsidP="00A90B26">
      <w:pPr>
        <w:pStyle w:val="Prrafodelista"/>
        <w:tabs>
          <w:tab w:val="left" w:pos="426"/>
        </w:tabs>
        <w:spacing w:line="360" w:lineRule="auto"/>
        <w:ind w:left="0"/>
        <w:jc w:val="both"/>
        <w:rPr>
          <w:rFonts w:ascii="Palatino Linotype" w:eastAsia="MS Mincho" w:hAnsi="Palatino Linotype"/>
          <w:sz w:val="24"/>
        </w:rPr>
      </w:pPr>
      <w:r w:rsidRPr="00A90B26">
        <w:rPr>
          <w:rFonts w:ascii="Palatino Linotype" w:eastAsia="MS Mincho" w:hAnsi="Palatino Linotype"/>
          <w:noProof/>
          <w:sz w:val="24"/>
        </w:rPr>
        <w:lastRenderedPageBreak/>
        <w:drawing>
          <wp:inline distT="0" distB="0" distL="0" distR="0" wp14:anchorId="18BE2043" wp14:editId="441DD3E4">
            <wp:extent cx="5742940" cy="33013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301365"/>
                    </a:xfrm>
                    <a:prstGeom prst="rect">
                      <a:avLst/>
                    </a:prstGeom>
                  </pic:spPr>
                </pic:pic>
              </a:graphicData>
            </a:graphic>
          </wp:inline>
        </w:drawing>
      </w:r>
    </w:p>
    <w:p w14:paraId="4756AC57" w14:textId="5239512C" w:rsidR="005247EB" w:rsidRPr="00A90B26" w:rsidRDefault="005247EB" w:rsidP="00A90B26">
      <w:pPr>
        <w:pStyle w:val="Prrafodelista"/>
        <w:tabs>
          <w:tab w:val="left" w:pos="426"/>
        </w:tabs>
        <w:spacing w:line="360" w:lineRule="auto"/>
        <w:ind w:left="0"/>
        <w:jc w:val="center"/>
        <w:rPr>
          <w:rFonts w:ascii="Palatino Linotype" w:eastAsia="MS Mincho" w:hAnsi="Palatino Linotype"/>
          <w:b/>
          <w:sz w:val="24"/>
        </w:rPr>
      </w:pPr>
      <w:r w:rsidRPr="00A90B26">
        <w:rPr>
          <w:rFonts w:ascii="Palatino Linotype" w:eastAsia="MS Mincho" w:hAnsi="Palatino Linotype"/>
          <w:b/>
          <w:sz w:val="24"/>
        </w:rPr>
        <w:t>(…)</w:t>
      </w:r>
    </w:p>
    <w:p w14:paraId="7BEBEEA1" w14:textId="42219EF0" w:rsidR="005247EB" w:rsidRPr="00A90B26" w:rsidRDefault="005247EB" w:rsidP="00A90B26">
      <w:pPr>
        <w:pStyle w:val="Prrafodelista"/>
        <w:tabs>
          <w:tab w:val="left" w:pos="426"/>
        </w:tabs>
        <w:spacing w:line="360" w:lineRule="auto"/>
        <w:ind w:left="0"/>
        <w:jc w:val="center"/>
        <w:rPr>
          <w:rFonts w:ascii="Palatino Linotype" w:eastAsia="MS Mincho" w:hAnsi="Palatino Linotype"/>
          <w:b/>
          <w:sz w:val="24"/>
        </w:rPr>
      </w:pPr>
      <w:r w:rsidRPr="00A90B26">
        <w:rPr>
          <w:rFonts w:ascii="Palatino Linotype" w:eastAsia="MS Mincho" w:hAnsi="Palatino Linotype"/>
          <w:b/>
          <w:noProof/>
          <w:sz w:val="24"/>
        </w:rPr>
        <w:lastRenderedPageBreak/>
        <w:drawing>
          <wp:inline distT="0" distB="0" distL="0" distR="0" wp14:anchorId="1EDB3AA0" wp14:editId="3092B814">
            <wp:extent cx="4218581" cy="465844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4678" cy="4665177"/>
                    </a:xfrm>
                    <a:prstGeom prst="rect">
                      <a:avLst/>
                    </a:prstGeom>
                  </pic:spPr>
                </pic:pic>
              </a:graphicData>
            </a:graphic>
          </wp:inline>
        </w:drawing>
      </w:r>
    </w:p>
    <w:p w14:paraId="07ACA68B" w14:textId="6248820C" w:rsidR="005247EB" w:rsidRDefault="005247EB" w:rsidP="00A90B26">
      <w:pPr>
        <w:pStyle w:val="Prrafodelista"/>
        <w:tabs>
          <w:tab w:val="left" w:pos="426"/>
        </w:tabs>
        <w:spacing w:line="360" w:lineRule="auto"/>
        <w:ind w:left="0"/>
        <w:jc w:val="center"/>
        <w:rPr>
          <w:rFonts w:ascii="Palatino Linotype" w:eastAsia="MS Mincho" w:hAnsi="Palatino Linotype"/>
          <w:b/>
          <w:sz w:val="24"/>
        </w:rPr>
      </w:pPr>
      <w:r w:rsidRPr="00A90B26">
        <w:rPr>
          <w:rFonts w:ascii="Palatino Linotype" w:eastAsia="MS Mincho" w:hAnsi="Palatino Linotype"/>
          <w:b/>
          <w:sz w:val="24"/>
        </w:rPr>
        <w:t>(…)</w:t>
      </w:r>
    </w:p>
    <w:p w14:paraId="5A2CE900" w14:textId="77777777" w:rsidR="00A90B26" w:rsidRPr="00A90B26" w:rsidRDefault="00A90B26" w:rsidP="00A90B26">
      <w:pPr>
        <w:pStyle w:val="Prrafodelista"/>
        <w:tabs>
          <w:tab w:val="left" w:pos="426"/>
        </w:tabs>
        <w:spacing w:line="360" w:lineRule="auto"/>
        <w:ind w:left="0"/>
        <w:jc w:val="center"/>
        <w:rPr>
          <w:rFonts w:ascii="Palatino Linotype" w:eastAsia="MS Mincho" w:hAnsi="Palatino Linotype"/>
          <w:b/>
          <w:sz w:val="24"/>
        </w:rPr>
      </w:pPr>
    </w:p>
    <w:p w14:paraId="10F02AAC" w14:textId="65E7780F" w:rsidR="009D6F0A" w:rsidRPr="00A90B26" w:rsidRDefault="009D6F0A"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hAnsi="Palatino Linotype" w:cs="Arial"/>
          <w:lang w:val="es-ES" w:eastAsia="en-US"/>
        </w:rPr>
        <w:t xml:space="preserve">Derivado de la respuesta emitida por el </w:t>
      </w:r>
      <w:r w:rsidRPr="00A90B26">
        <w:rPr>
          <w:rFonts w:ascii="Palatino Linotype" w:hAnsi="Palatino Linotype" w:cs="Arial"/>
          <w:b/>
          <w:lang w:val="es-ES" w:eastAsia="en-US"/>
        </w:rPr>
        <w:t>SUJETO OBLIGADO</w:t>
      </w:r>
      <w:r w:rsidRPr="00A90B26">
        <w:rPr>
          <w:rFonts w:ascii="Palatino Linotype" w:hAnsi="Palatino Linotype" w:cs="Arial"/>
          <w:lang w:val="es-ES" w:eastAsia="en-US"/>
        </w:rPr>
        <w:t xml:space="preserve">, el </w:t>
      </w:r>
      <w:r w:rsidR="0019413E" w:rsidRPr="00A90B26">
        <w:rPr>
          <w:rFonts w:ascii="Palatino Linotype" w:hAnsi="Palatino Linotype" w:cs="Arial"/>
          <w:b/>
          <w:lang w:val="es-ES" w:eastAsia="en-US"/>
        </w:rPr>
        <w:t>nueve de abril</w:t>
      </w:r>
      <w:r w:rsidRPr="00A90B26">
        <w:rPr>
          <w:rFonts w:ascii="Palatino Linotype" w:hAnsi="Palatino Linotype" w:cs="Arial"/>
          <w:b/>
          <w:lang w:val="es-ES" w:eastAsia="en-US"/>
        </w:rPr>
        <w:t xml:space="preserve"> de dos mil </w:t>
      </w:r>
      <w:r w:rsidR="002032D1" w:rsidRPr="00A90B26">
        <w:rPr>
          <w:rFonts w:ascii="Palatino Linotype" w:hAnsi="Palatino Linotype" w:cs="Arial"/>
          <w:b/>
          <w:lang w:val="es-ES" w:eastAsia="en-US"/>
        </w:rPr>
        <w:t>veinticuatro</w:t>
      </w:r>
      <w:r w:rsidR="0019413E" w:rsidRPr="00A90B26">
        <w:rPr>
          <w:rFonts w:ascii="Palatino Linotype" w:hAnsi="Palatino Linotype" w:cs="Arial"/>
          <w:lang w:val="es-ES" w:eastAsia="en-US"/>
        </w:rPr>
        <w:t xml:space="preserve">, estando en tiempo y forma, </w:t>
      </w:r>
      <w:r w:rsidRPr="00A90B26">
        <w:rPr>
          <w:rFonts w:ascii="Palatino Linotype" w:hAnsi="Palatino Linotype" w:cs="Arial"/>
          <w:lang w:val="es-ES" w:eastAsia="en-US"/>
        </w:rPr>
        <w:t>l</w:t>
      </w:r>
      <w:r w:rsidR="0019413E" w:rsidRPr="00A90B26">
        <w:rPr>
          <w:rFonts w:ascii="Palatino Linotype" w:hAnsi="Palatino Linotype" w:cs="Arial"/>
          <w:lang w:val="es-ES" w:eastAsia="en-US"/>
        </w:rPr>
        <w:t>a</w:t>
      </w:r>
      <w:r w:rsidRPr="00A90B26">
        <w:rPr>
          <w:rFonts w:ascii="Palatino Linotype" w:hAnsi="Palatino Linotype" w:cs="Arial"/>
          <w:lang w:val="es-ES" w:eastAsia="en-US"/>
        </w:rPr>
        <w:t xml:space="preserve"> </w:t>
      </w:r>
      <w:r w:rsidRPr="00A90B26">
        <w:rPr>
          <w:rFonts w:ascii="Palatino Linotype" w:hAnsi="Palatino Linotype" w:cs="Arial"/>
          <w:b/>
          <w:lang w:val="es-ES" w:eastAsia="en-US"/>
        </w:rPr>
        <w:t>PARTICULAR</w:t>
      </w:r>
      <w:r w:rsidRPr="00A90B26">
        <w:rPr>
          <w:rFonts w:ascii="Palatino Linotype" w:hAnsi="Palatino Linotype" w:cs="Arial"/>
          <w:lang w:val="es-ES" w:eastAsia="en-US"/>
        </w:rPr>
        <w:t xml:space="preserve"> interpuso el recurso de revisión</w:t>
      </w:r>
      <w:r w:rsidRPr="00A90B26">
        <w:rPr>
          <w:rFonts w:ascii="Palatino Linotype" w:hAnsi="Palatino Linotype"/>
          <w:b/>
          <w:bCs/>
          <w:color w:val="FF0000"/>
        </w:rPr>
        <w:t xml:space="preserve"> </w:t>
      </w:r>
      <w:r w:rsidRPr="00A90B26">
        <w:rPr>
          <w:rFonts w:ascii="Palatino Linotype" w:hAnsi="Palatino Linotype" w:cs="Arial"/>
          <w:b/>
          <w:bCs/>
          <w:lang w:eastAsia="en-US"/>
        </w:rPr>
        <w:t> </w:t>
      </w:r>
      <w:r w:rsidR="002032D1" w:rsidRPr="00A90B26">
        <w:rPr>
          <w:rFonts w:ascii="Palatino Linotype" w:hAnsi="Palatino Linotype" w:cs="Arial"/>
          <w:b/>
          <w:bCs/>
          <w:lang w:eastAsia="en-US"/>
        </w:rPr>
        <w:t>02023/INFOEM/IP/RR/2024</w:t>
      </w:r>
      <w:r w:rsidRPr="00A90B26">
        <w:rPr>
          <w:rFonts w:ascii="Palatino Linotype" w:eastAsia="Calibri" w:hAnsi="Palatino Linotype" w:cs="Arial"/>
          <w:b/>
          <w:lang w:val="es-ES" w:eastAsia="en-US"/>
        </w:rPr>
        <w:t>;</w:t>
      </w:r>
      <w:r w:rsidRPr="00A90B26">
        <w:rPr>
          <w:rFonts w:ascii="Palatino Linotype" w:hAnsi="Palatino Linotype" w:cs="Arial"/>
          <w:lang w:val="es-ES" w:eastAsia="en-US"/>
        </w:rPr>
        <w:t xml:space="preserve"> impugnación en la que refirió lo siguiente:</w:t>
      </w:r>
    </w:p>
    <w:p w14:paraId="68A1B12B" w14:textId="77777777" w:rsidR="009D6F0A" w:rsidRPr="00A90B26" w:rsidRDefault="009D6F0A" w:rsidP="00A90B26">
      <w:pPr>
        <w:tabs>
          <w:tab w:val="left" w:pos="426"/>
        </w:tabs>
        <w:spacing w:line="360" w:lineRule="auto"/>
        <w:ind w:left="851"/>
        <w:contextualSpacing/>
        <w:jc w:val="both"/>
        <w:rPr>
          <w:rFonts w:ascii="Palatino Linotype" w:eastAsia="MS Mincho" w:hAnsi="Palatino Linotype"/>
          <w:lang w:eastAsia="en-US"/>
        </w:rPr>
      </w:pPr>
    </w:p>
    <w:p w14:paraId="1E16B0AA" w14:textId="1E69CFC0" w:rsidR="009D6F0A" w:rsidRPr="00A90B26" w:rsidRDefault="009D6F0A" w:rsidP="00A90B26">
      <w:pPr>
        <w:numPr>
          <w:ilvl w:val="0"/>
          <w:numId w:val="19"/>
        </w:numPr>
        <w:spacing w:line="360" w:lineRule="auto"/>
        <w:ind w:right="567"/>
        <w:contextualSpacing/>
        <w:jc w:val="both"/>
        <w:rPr>
          <w:rFonts w:ascii="Palatino Linotype" w:hAnsi="Palatino Linotype" w:cs="Arial"/>
          <w:i/>
          <w:lang w:val="es-ES" w:eastAsia="en-US"/>
        </w:rPr>
      </w:pPr>
      <w:r w:rsidRPr="00A90B26">
        <w:rPr>
          <w:rFonts w:ascii="Palatino Linotype" w:hAnsi="Palatino Linotype" w:cs="Arial"/>
          <w:b/>
          <w:lang w:val="es-ES" w:eastAsia="en-US"/>
        </w:rPr>
        <w:lastRenderedPageBreak/>
        <w:t>Acto impugnado:</w:t>
      </w:r>
      <w:r w:rsidRPr="00A90B26">
        <w:rPr>
          <w:rFonts w:ascii="Palatino Linotype" w:hAnsi="Palatino Linotype" w:cs="Arial"/>
          <w:i/>
          <w:lang w:val="es-ES" w:eastAsia="en-US"/>
        </w:rPr>
        <w:t xml:space="preserve"> “</w:t>
      </w:r>
      <w:r w:rsidR="0019413E" w:rsidRPr="00A90B26">
        <w:rPr>
          <w:rFonts w:ascii="Palatino Linotype" w:hAnsi="Palatino Linotype" w:cs="Arial"/>
          <w:i/>
          <w:lang w:val="es-ES" w:eastAsia="en-US"/>
        </w:rPr>
        <w:t>Se revise lo solicitado y no se den ligas, se cumpla el requerimiento por formatos en pdf como fue la solicitud, se cumpla bajo la ley la información es Pública. No se da por desahogada la solicitud inicial, distorsiona con ligas para no entregar la información real.”</w:t>
      </w:r>
    </w:p>
    <w:p w14:paraId="67842EC4" w14:textId="77777777" w:rsidR="009D6F0A" w:rsidRPr="00A90B26" w:rsidRDefault="009D6F0A" w:rsidP="00A90B26">
      <w:pPr>
        <w:spacing w:line="360" w:lineRule="auto"/>
        <w:ind w:left="851" w:right="567"/>
        <w:contextualSpacing/>
        <w:jc w:val="both"/>
        <w:rPr>
          <w:rFonts w:ascii="Palatino Linotype" w:hAnsi="Palatino Linotype" w:cs="Arial"/>
          <w:i/>
          <w:lang w:val="es-ES" w:eastAsia="en-US"/>
        </w:rPr>
      </w:pPr>
    </w:p>
    <w:p w14:paraId="5502FA35" w14:textId="6DB918A6" w:rsidR="009D6F0A" w:rsidRPr="00A90B26" w:rsidRDefault="009D6F0A" w:rsidP="00A90B26">
      <w:pPr>
        <w:numPr>
          <w:ilvl w:val="0"/>
          <w:numId w:val="19"/>
        </w:numPr>
        <w:spacing w:line="360" w:lineRule="auto"/>
        <w:ind w:right="567"/>
        <w:contextualSpacing/>
        <w:jc w:val="both"/>
        <w:rPr>
          <w:rFonts w:ascii="Palatino Linotype" w:hAnsi="Palatino Linotype" w:cs="Arial"/>
          <w:i/>
          <w:lang w:val="es-ES" w:eastAsia="en-US"/>
        </w:rPr>
      </w:pPr>
      <w:r w:rsidRPr="00A90B26">
        <w:rPr>
          <w:rFonts w:ascii="Palatino Linotype" w:hAnsi="Palatino Linotype" w:cs="Arial"/>
          <w:b/>
          <w:lang w:val="es-ES" w:eastAsia="en-US"/>
        </w:rPr>
        <w:t>Razones o motivos de inconformidad:</w:t>
      </w:r>
      <w:r w:rsidRPr="00A90B26">
        <w:rPr>
          <w:rFonts w:ascii="Palatino Linotype" w:hAnsi="Palatino Linotype" w:cs="Arial"/>
          <w:i/>
          <w:lang w:val="es-ES" w:eastAsia="en-US"/>
        </w:rPr>
        <w:t xml:space="preserve"> “</w:t>
      </w:r>
      <w:r w:rsidR="0019413E" w:rsidRPr="00A90B26">
        <w:rPr>
          <w:rFonts w:ascii="Palatino Linotype" w:hAnsi="Palatino Linotype" w:cs="Arial"/>
          <w:i/>
          <w:lang w:val="es-ES" w:eastAsia="en-US"/>
        </w:rPr>
        <w:t>Se revise lo solicitado y no se den ligas, se cumpla el requerimiento por formatos en pdf como fue la solicitud, se cumpla bajo la ley la información es Pública. No se da por desahogada la solicitud inicial, distorsiona con ligas para no entregar la información real.</w:t>
      </w:r>
      <w:r w:rsidRPr="00A90B26">
        <w:rPr>
          <w:rFonts w:ascii="Palatino Linotype" w:hAnsi="Palatino Linotype" w:cs="Arial"/>
          <w:i/>
          <w:lang w:val="es-ES" w:eastAsia="en-US"/>
        </w:rPr>
        <w:t xml:space="preserve">”. </w:t>
      </w:r>
      <w:r w:rsidRPr="00A90B26">
        <w:rPr>
          <w:rFonts w:ascii="Palatino Linotype" w:hAnsi="Palatino Linotype" w:cs="Arial"/>
          <w:lang w:val="es-ES" w:eastAsia="en-US"/>
        </w:rPr>
        <w:t>(Sic)</w:t>
      </w:r>
    </w:p>
    <w:p w14:paraId="581095A3" w14:textId="77777777" w:rsidR="0019413E" w:rsidRPr="00A90B26" w:rsidRDefault="0019413E" w:rsidP="00A90B26">
      <w:pPr>
        <w:pStyle w:val="Prrafodelista"/>
        <w:spacing w:line="360" w:lineRule="auto"/>
        <w:rPr>
          <w:rFonts w:ascii="Palatino Linotype" w:hAnsi="Palatino Linotype" w:cs="Arial"/>
          <w:sz w:val="24"/>
          <w:lang w:val="es-ES" w:eastAsia="en-US"/>
        </w:rPr>
      </w:pPr>
    </w:p>
    <w:p w14:paraId="43E7A6F9" w14:textId="77777777" w:rsidR="009D6F0A" w:rsidRPr="00A90B26" w:rsidRDefault="009D6F0A"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lang w:eastAsia="en-US"/>
        </w:rPr>
      </w:pPr>
      <w:r w:rsidRPr="00A90B26">
        <w:rPr>
          <w:rFonts w:ascii="Palatino Linotype" w:eastAsia="MS Mincho" w:hAnsi="Palatino Linotype"/>
          <w:sz w:val="24"/>
          <w:lang w:eastAsia="en-US"/>
        </w:rPr>
        <w:t xml:space="preserve">Se registró el recurso de revisión bajo el número de expediente al rubro indicado, asimismo con fundamento en lo dispuesto por el artículo 185 fracción I de </w:t>
      </w:r>
      <w:r w:rsidRPr="00A90B26">
        <w:rPr>
          <w:rFonts w:ascii="Palatino Linotype" w:eastAsia="MS Mincho" w:hAnsi="Palatino Linotype"/>
          <w:b/>
          <w:sz w:val="24"/>
          <w:lang w:eastAsia="en-US"/>
        </w:rPr>
        <w:t>la Ley de Transparencia y Acceso a la Información Pública del Estado de México y Municipios</w:t>
      </w:r>
      <w:r w:rsidRPr="00A90B26">
        <w:rPr>
          <w:rFonts w:ascii="Palatino Linotype" w:eastAsia="MS Mincho" w:hAnsi="Palatino Linotype"/>
          <w:sz w:val="24"/>
          <w:lang w:eastAsia="en-US"/>
        </w:rPr>
        <w:t xml:space="preserve"> se turnó a la Comisionada </w:t>
      </w:r>
      <w:r w:rsidRPr="00A90B26">
        <w:rPr>
          <w:rFonts w:ascii="Palatino Linotype" w:eastAsia="MS Mincho" w:hAnsi="Palatino Linotype"/>
          <w:b/>
          <w:sz w:val="24"/>
          <w:lang w:eastAsia="en-US"/>
        </w:rPr>
        <w:t>María del Rosario Mejía Ayala</w:t>
      </w:r>
      <w:r w:rsidRPr="00A90B26">
        <w:rPr>
          <w:rFonts w:ascii="Palatino Linotype" w:eastAsia="MS Mincho" w:hAnsi="Palatino Linotype"/>
          <w:sz w:val="24"/>
          <w:lang w:eastAsia="en-US"/>
        </w:rPr>
        <w:t>, con el objeto de su análisis.</w:t>
      </w:r>
    </w:p>
    <w:p w14:paraId="58E85B52" w14:textId="77777777" w:rsidR="009D6F0A" w:rsidRPr="00A90B26" w:rsidRDefault="009D6F0A" w:rsidP="00A90B26">
      <w:pPr>
        <w:pStyle w:val="Prrafodelista"/>
        <w:tabs>
          <w:tab w:val="left" w:pos="426"/>
        </w:tabs>
        <w:spacing w:line="360" w:lineRule="auto"/>
        <w:ind w:left="0"/>
        <w:jc w:val="both"/>
        <w:rPr>
          <w:rFonts w:ascii="Palatino Linotype" w:eastAsia="MS Mincho" w:hAnsi="Palatino Linotype"/>
          <w:sz w:val="24"/>
          <w:lang w:eastAsia="en-US"/>
        </w:rPr>
      </w:pPr>
    </w:p>
    <w:p w14:paraId="597D73B5" w14:textId="4C047E01" w:rsidR="009D6F0A" w:rsidRPr="00A90B26" w:rsidRDefault="009D6F0A"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lang w:eastAsia="en-US"/>
        </w:rPr>
      </w:pPr>
      <w:r w:rsidRPr="00A90B26">
        <w:rPr>
          <w:rFonts w:ascii="Palatino Linotype" w:eastAsia="MS Mincho" w:hAnsi="Palatino Linotype"/>
          <w:sz w:val="24"/>
          <w:lang w:eastAsia="en-US"/>
        </w:rPr>
        <w:t>La Comisionada Ponente con fundamento en lo dispuesto por el artículo 185 fracción II de la ley de la materia, a través del acuerdo de admisión de fecha</w:t>
      </w:r>
      <w:r w:rsidRPr="00A90B26">
        <w:rPr>
          <w:rFonts w:ascii="Palatino Linotype" w:eastAsia="MS Mincho" w:hAnsi="Palatino Linotype"/>
          <w:b/>
          <w:sz w:val="24"/>
          <w:lang w:eastAsia="en-US"/>
        </w:rPr>
        <w:t xml:space="preserve"> </w:t>
      </w:r>
      <w:r w:rsidR="0019413E" w:rsidRPr="00A90B26">
        <w:rPr>
          <w:rFonts w:ascii="Palatino Linotype" w:eastAsia="MS Mincho" w:hAnsi="Palatino Linotype"/>
          <w:sz w:val="24"/>
          <w:lang w:eastAsia="en-US"/>
        </w:rPr>
        <w:t>veintitrés de abril</w:t>
      </w:r>
      <w:r w:rsidRPr="00A90B26">
        <w:rPr>
          <w:rFonts w:ascii="Palatino Linotype" w:eastAsia="MS Mincho" w:hAnsi="Palatino Linotype"/>
          <w:sz w:val="24"/>
          <w:lang w:eastAsia="en-US"/>
        </w:rPr>
        <w:t xml:space="preserve"> de dos mil </w:t>
      </w:r>
      <w:r w:rsidR="002032D1" w:rsidRPr="00A90B26">
        <w:rPr>
          <w:rFonts w:ascii="Palatino Linotype" w:eastAsia="MS Mincho" w:hAnsi="Palatino Linotype"/>
          <w:sz w:val="24"/>
          <w:lang w:eastAsia="en-US"/>
        </w:rPr>
        <w:t>veinticuatro</w:t>
      </w:r>
      <w:r w:rsidRPr="00A90B26">
        <w:rPr>
          <w:rFonts w:ascii="Palatino Linotype" w:eastAsia="MS Mincho" w:hAnsi="Palatino Linotype"/>
          <w:sz w:val="24"/>
          <w:lang w:eastAsia="en-US"/>
        </w:rPr>
        <w:t xml:space="preserve">, puso a disposición de las partes el expediente electrónico vía </w:t>
      </w:r>
      <w:r w:rsidRPr="00A90B26">
        <w:rPr>
          <w:rFonts w:ascii="Palatino Linotype" w:eastAsia="MS Mincho" w:hAnsi="Palatino Linotype"/>
          <w:b/>
          <w:sz w:val="24"/>
          <w:lang w:eastAsia="en-US"/>
        </w:rPr>
        <w:t>SAIMEX</w:t>
      </w:r>
      <w:r w:rsidRPr="00A90B26">
        <w:rPr>
          <w:rFonts w:ascii="Palatino Linotype" w:eastAsia="MS Mincho" w:hAnsi="Palatino Linotype"/>
          <w:sz w:val="24"/>
          <w:lang w:eastAsia="en-US"/>
        </w:rPr>
        <w:t xml:space="preserve"> a efecto de que en un plazo máximo de siete días manifestaran lo que a derecho convinieran, ofrecieran pruebas y alegatos según corresponda al caso concreto, de esta forma para que el SUJETO OBLIGADO presentara el informe justificado procedente.</w:t>
      </w:r>
    </w:p>
    <w:p w14:paraId="7D8B94DE" w14:textId="77777777" w:rsidR="009D6F0A" w:rsidRPr="00A90B26" w:rsidRDefault="009D6F0A" w:rsidP="00A90B26">
      <w:pPr>
        <w:pStyle w:val="Prrafodelista"/>
        <w:tabs>
          <w:tab w:val="left" w:pos="426"/>
        </w:tabs>
        <w:spacing w:line="360" w:lineRule="auto"/>
        <w:ind w:left="0"/>
        <w:jc w:val="both"/>
        <w:rPr>
          <w:rFonts w:ascii="Palatino Linotype" w:eastAsia="MS Mincho" w:hAnsi="Palatino Linotype"/>
          <w:sz w:val="24"/>
          <w:lang w:eastAsia="en-US"/>
        </w:rPr>
      </w:pPr>
    </w:p>
    <w:p w14:paraId="6C886823" w14:textId="117A540B" w:rsidR="00A606D0" w:rsidRPr="00A90B26" w:rsidRDefault="00A606D0"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rPr>
      </w:pPr>
      <w:r w:rsidRPr="00A90B26">
        <w:rPr>
          <w:rFonts w:ascii="Palatino Linotype" w:hAnsi="Palatino Linotype" w:cs="Arial"/>
          <w:sz w:val="24"/>
        </w:rPr>
        <w:lastRenderedPageBreak/>
        <w:t xml:space="preserve">El  </w:t>
      </w:r>
      <w:r w:rsidRPr="00A90B26">
        <w:rPr>
          <w:rFonts w:ascii="Palatino Linotype" w:hAnsi="Palatino Linotype" w:cs="Arial"/>
          <w:b/>
          <w:sz w:val="24"/>
        </w:rPr>
        <w:t>SUJETO OBLIGADO</w:t>
      </w:r>
      <w:r w:rsidRPr="00A90B26">
        <w:rPr>
          <w:rFonts w:ascii="Palatino Linotype" w:hAnsi="Palatino Linotype" w:cs="Arial"/>
          <w:sz w:val="24"/>
        </w:rPr>
        <w:t xml:space="preserve"> </w:t>
      </w:r>
      <w:r w:rsidR="0019413E" w:rsidRPr="00A90B26">
        <w:rPr>
          <w:rFonts w:ascii="Palatino Linotype" w:hAnsi="Palatino Linotype" w:cs="Arial"/>
          <w:sz w:val="24"/>
        </w:rPr>
        <w:t>r</w:t>
      </w:r>
      <w:r w:rsidRPr="00A90B26">
        <w:rPr>
          <w:rFonts w:ascii="Palatino Linotype" w:hAnsi="Palatino Linotype" w:cs="Arial"/>
          <w:sz w:val="24"/>
        </w:rPr>
        <w:t>indió informe justificado,</w:t>
      </w:r>
      <w:r w:rsidR="0019413E" w:rsidRPr="00A90B26">
        <w:rPr>
          <w:rFonts w:ascii="Palatino Linotype" w:hAnsi="Palatino Linotype" w:cs="Arial"/>
          <w:sz w:val="24"/>
        </w:rPr>
        <w:t xml:space="preserve"> en el que de manera general señaló que confirmaba su respuesta inicial sin agregar elementos novedosos que la modifiquen o revoque.</w:t>
      </w:r>
      <w:r w:rsidRPr="00A90B26">
        <w:rPr>
          <w:rFonts w:ascii="Palatino Linotype" w:hAnsi="Palatino Linotype" w:cs="Arial"/>
          <w:sz w:val="24"/>
        </w:rPr>
        <w:t xml:space="preserve"> </w:t>
      </w:r>
      <w:r w:rsidR="0019413E" w:rsidRPr="00A90B26">
        <w:rPr>
          <w:rFonts w:ascii="Palatino Linotype" w:hAnsi="Palatino Linotype" w:cs="Arial"/>
          <w:sz w:val="24"/>
        </w:rPr>
        <w:t xml:space="preserve">Por su parte </w:t>
      </w:r>
      <w:r w:rsidRPr="00A90B26">
        <w:rPr>
          <w:rFonts w:ascii="Palatino Linotype" w:hAnsi="Palatino Linotype" w:cs="Arial"/>
          <w:sz w:val="24"/>
        </w:rPr>
        <w:t>l</w:t>
      </w:r>
      <w:r w:rsidR="0019413E" w:rsidRPr="00A90B26">
        <w:rPr>
          <w:rFonts w:ascii="Palatino Linotype" w:hAnsi="Palatino Linotype" w:cs="Arial"/>
          <w:sz w:val="24"/>
        </w:rPr>
        <w:t>a</w:t>
      </w:r>
      <w:r w:rsidRPr="00A90B26">
        <w:rPr>
          <w:rFonts w:ascii="Palatino Linotype" w:hAnsi="Palatino Linotype" w:cs="Arial"/>
          <w:b/>
          <w:sz w:val="24"/>
        </w:rPr>
        <w:t xml:space="preserve"> RECURRENTE</w:t>
      </w:r>
      <w:r w:rsidR="0019413E" w:rsidRPr="00A90B26">
        <w:rPr>
          <w:rFonts w:ascii="Palatino Linotype" w:hAnsi="Palatino Linotype" w:cs="Arial"/>
          <w:sz w:val="24"/>
        </w:rPr>
        <w:t xml:space="preserve"> fue omisa</w:t>
      </w:r>
      <w:r w:rsidRPr="00A90B26">
        <w:rPr>
          <w:rFonts w:ascii="Palatino Linotype" w:hAnsi="Palatino Linotype" w:cs="Arial"/>
          <w:sz w:val="24"/>
        </w:rPr>
        <w:t xml:space="preserve"> en realizar manifestaciones, presentar pruebas, alegatos o expresar lo que a su derecho conviniera y asistiera. </w:t>
      </w:r>
    </w:p>
    <w:p w14:paraId="18D6AB24" w14:textId="77777777" w:rsidR="00A606D0" w:rsidRPr="00A90B26" w:rsidRDefault="00A606D0" w:rsidP="00A90B26">
      <w:pPr>
        <w:pStyle w:val="Prrafodelista"/>
        <w:tabs>
          <w:tab w:val="left" w:pos="426"/>
        </w:tabs>
        <w:spacing w:line="360" w:lineRule="auto"/>
        <w:ind w:left="0"/>
        <w:jc w:val="both"/>
        <w:rPr>
          <w:rFonts w:ascii="Palatino Linotype" w:eastAsia="MS Mincho" w:hAnsi="Palatino Linotype"/>
          <w:sz w:val="24"/>
        </w:rPr>
      </w:pPr>
    </w:p>
    <w:p w14:paraId="5ADAD97E" w14:textId="64004D8C" w:rsidR="00A606D0" w:rsidRDefault="00A606D0"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rPr>
      </w:pPr>
      <w:r w:rsidRPr="00A90B26">
        <w:rPr>
          <w:rFonts w:ascii="Palatino Linotype" w:eastAsia="MS Mincho" w:hAnsi="Palatino Linotype"/>
          <w:sz w:val="24"/>
        </w:rPr>
        <w:t xml:space="preserve">La Comisionada Ponente decretó el cierre de instrucción en fecha </w:t>
      </w:r>
      <w:r w:rsidR="00E241A3" w:rsidRPr="00A90B26">
        <w:rPr>
          <w:rFonts w:ascii="Palatino Linotype" w:eastAsia="MS Mincho" w:hAnsi="Palatino Linotype"/>
          <w:b/>
          <w:sz w:val="24"/>
        </w:rPr>
        <w:t>diecinueve</w:t>
      </w:r>
      <w:r w:rsidRPr="00A90B26">
        <w:rPr>
          <w:rFonts w:ascii="Palatino Linotype" w:eastAsia="MS Mincho" w:hAnsi="Palatino Linotype"/>
          <w:b/>
          <w:sz w:val="24"/>
        </w:rPr>
        <w:t xml:space="preserve"> de </w:t>
      </w:r>
      <w:r w:rsidR="00E241A3" w:rsidRPr="00A90B26">
        <w:rPr>
          <w:rFonts w:ascii="Palatino Linotype" w:eastAsia="MS Mincho" w:hAnsi="Palatino Linotype"/>
          <w:b/>
          <w:sz w:val="24"/>
        </w:rPr>
        <w:t>noviembre</w:t>
      </w:r>
      <w:r w:rsidRPr="00A90B26">
        <w:rPr>
          <w:rFonts w:ascii="Palatino Linotype" w:eastAsia="MS Mincho" w:hAnsi="Palatino Linotype"/>
          <w:sz w:val="24"/>
        </w:rPr>
        <w:t xml:space="preserve"> de dos mil </w:t>
      </w:r>
      <w:r w:rsidR="002032D1" w:rsidRPr="00A90B26">
        <w:rPr>
          <w:rFonts w:ascii="Palatino Linotype" w:eastAsia="MS Mincho" w:hAnsi="Palatino Linotype"/>
          <w:sz w:val="24"/>
        </w:rPr>
        <w:t>veinticuatro</w:t>
      </w:r>
      <w:r w:rsidRPr="00A90B26">
        <w:rPr>
          <w:rFonts w:ascii="Palatino Linotype" w:eastAsia="MS Mincho" w:hAnsi="Palatino Linotype"/>
          <w:sz w:val="24"/>
        </w:rPr>
        <w:t>, a efecto de presentar al Pleno el correspondiente proyecto de resolución y------------------------------------------------------------</w:t>
      </w:r>
      <w:r w:rsidR="003B28FF" w:rsidRPr="00A90B26">
        <w:rPr>
          <w:rFonts w:ascii="Palatino Linotype" w:eastAsia="MS Mincho" w:hAnsi="Palatino Linotype"/>
          <w:sz w:val="24"/>
        </w:rPr>
        <w:t>--------------------</w:t>
      </w:r>
    </w:p>
    <w:p w14:paraId="26C56835" w14:textId="77777777" w:rsidR="00A90B26" w:rsidRPr="00A90B26" w:rsidRDefault="00A90B26" w:rsidP="00A90B26">
      <w:pPr>
        <w:pStyle w:val="Prrafodelista"/>
        <w:rPr>
          <w:rFonts w:ascii="Palatino Linotype" w:eastAsia="MS Mincho" w:hAnsi="Palatino Linotype"/>
          <w:sz w:val="24"/>
        </w:rPr>
      </w:pPr>
    </w:p>
    <w:p w14:paraId="04BCC781" w14:textId="77777777" w:rsidR="003E15D6" w:rsidRPr="00A90B26" w:rsidRDefault="003E15D6" w:rsidP="00A90B26">
      <w:pPr>
        <w:pStyle w:val="Ttulo2"/>
        <w:spacing w:before="0" w:line="360" w:lineRule="auto"/>
        <w:jc w:val="center"/>
        <w:rPr>
          <w:rFonts w:ascii="Palatino Linotype" w:hAnsi="Palatino Linotype"/>
          <w:b/>
          <w:color w:val="000000" w:themeColor="text1"/>
          <w:sz w:val="24"/>
          <w:szCs w:val="24"/>
        </w:rPr>
      </w:pPr>
      <w:bookmarkStart w:id="3" w:name="_Toc81233124"/>
      <w:r w:rsidRPr="00A90B26">
        <w:rPr>
          <w:rFonts w:ascii="Palatino Linotype" w:hAnsi="Palatino Linotype"/>
          <w:b/>
          <w:color w:val="000000" w:themeColor="text1"/>
          <w:sz w:val="24"/>
          <w:szCs w:val="24"/>
        </w:rPr>
        <w:t>CONSIDERANDO</w:t>
      </w:r>
      <w:bookmarkEnd w:id="3"/>
    </w:p>
    <w:p w14:paraId="593E63AC" w14:textId="77777777" w:rsidR="003E15D6" w:rsidRPr="00A90B26" w:rsidRDefault="003E15D6" w:rsidP="00A90B26">
      <w:pPr>
        <w:spacing w:line="360" w:lineRule="auto"/>
        <w:rPr>
          <w:rFonts w:ascii="Palatino Linotype" w:hAnsi="Palatino Linotype"/>
          <w:lang w:eastAsia="en-US"/>
        </w:rPr>
      </w:pPr>
    </w:p>
    <w:p w14:paraId="55A31D9D" w14:textId="59322080" w:rsidR="003E15D6" w:rsidRPr="00A90B26" w:rsidRDefault="003E15D6" w:rsidP="00A90B26">
      <w:pPr>
        <w:pStyle w:val="Ttulo2"/>
        <w:spacing w:before="0" w:line="360" w:lineRule="auto"/>
        <w:rPr>
          <w:rFonts w:ascii="Palatino Linotype" w:hAnsi="Palatino Linotype"/>
          <w:b/>
          <w:color w:val="auto"/>
          <w:sz w:val="24"/>
          <w:szCs w:val="24"/>
        </w:rPr>
      </w:pPr>
      <w:bookmarkStart w:id="4" w:name="_Toc461555890"/>
      <w:bookmarkStart w:id="5" w:name="_Toc466371859"/>
      <w:bookmarkStart w:id="6" w:name="_Toc81233125"/>
      <w:r w:rsidRPr="00A90B26">
        <w:rPr>
          <w:rFonts w:ascii="Palatino Linotype" w:hAnsi="Palatino Linotype"/>
          <w:b/>
          <w:color w:val="auto"/>
          <w:sz w:val="24"/>
          <w:szCs w:val="24"/>
        </w:rPr>
        <w:t>PRIMERO. De la competencia</w:t>
      </w:r>
      <w:bookmarkEnd w:id="4"/>
      <w:bookmarkEnd w:id="5"/>
      <w:bookmarkEnd w:id="6"/>
    </w:p>
    <w:p w14:paraId="6232931B" w14:textId="77777777" w:rsidR="003E15D6" w:rsidRPr="00A90B26" w:rsidRDefault="008A657A"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rPr>
      </w:pPr>
      <w:r w:rsidRPr="00A90B26">
        <w:rPr>
          <w:rFonts w:ascii="Palatino Linotype" w:eastAsia="Calibri" w:hAnsi="Palatino Linotype"/>
          <w:sz w:val="24"/>
          <w:lang w:val="es-ES" w:eastAsia="es-ES"/>
        </w:rPr>
        <w:t xml:space="preserve">Este </w:t>
      </w:r>
      <w:r w:rsidR="00B00358" w:rsidRPr="00A90B26">
        <w:rPr>
          <w:rFonts w:ascii="Palatino Linotype" w:eastAsia="Calibri" w:hAnsi="Palatino Linotype"/>
          <w:bCs/>
          <w:color w:val="000000" w:themeColor="text1"/>
          <w:sz w:val="24"/>
        </w:rPr>
        <w:t xml:space="preserve">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w:t>
      </w:r>
      <w:r w:rsidR="00B00358" w:rsidRPr="00A90B26">
        <w:rPr>
          <w:rFonts w:ascii="Palatino Linotype" w:eastAsia="Calibri" w:hAnsi="Palatino Linotype"/>
          <w:bCs/>
          <w:color w:val="000000" w:themeColor="text1"/>
          <w:sz w:val="24"/>
        </w:rPr>
        <w:lastRenderedPageBreak/>
        <w:t>11 del Reglamento Interior del Instituto de Transparencia, Acceso a la Información Pública y Protección de Datos Personales del Estado de México y Municipios</w:t>
      </w:r>
      <w:r w:rsidR="00B00358" w:rsidRPr="00A90B26">
        <w:rPr>
          <w:rFonts w:ascii="Palatino Linotype" w:eastAsiaTheme="minorEastAsia" w:hAnsi="Palatino Linotype"/>
          <w:sz w:val="24"/>
          <w:lang w:val="es-ES_tradnl" w:eastAsia="es-ES"/>
        </w:rPr>
        <w:t>.</w:t>
      </w:r>
    </w:p>
    <w:p w14:paraId="3EE900A9" w14:textId="77777777" w:rsidR="00A90B26" w:rsidRPr="00A90B26" w:rsidRDefault="00A90B26" w:rsidP="00A90B26">
      <w:pPr>
        <w:pStyle w:val="Prrafodelista"/>
        <w:tabs>
          <w:tab w:val="left" w:pos="426"/>
        </w:tabs>
        <w:spacing w:line="360" w:lineRule="auto"/>
        <w:ind w:left="0"/>
        <w:jc w:val="both"/>
        <w:rPr>
          <w:rFonts w:ascii="Palatino Linotype" w:eastAsia="MS Mincho" w:hAnsi="Palatino Linotype"/>
          <w:sz w:val="24"/>
        </w:rPr>
      </w:pPr>
    </w:p>
    <w:p w14:paraId="1647F03E" w14:textId="71225973" w:rsidR="003E15D6" w:rsidRDefault="003E15D6" w:rsidP="00A90B26">
      <w:pPr>
        <w:pStyle w:val="Ttulo2"/>
        <w:tabs>
          <w:tab w:val="left" w:pos="284"/>
          <w:tab w:val="left" w:pos="426"/>
        </w:tabs>
        <w:spacing w:before="0" w:line="360" w:lineRule="auto"/>
        <w:rPr>
          <w:rFonts w:ascii="Palatino Linotype" w:hAnsi="Palatino Linotype"/>
          <w:b/>
          <w:color w:val="auto"/>
          <w:sz w:val="24"/>
          <w:szCs w:val="24"/>
        </w:rPr>
      </w:pPr>
      <w:r w:rsidRPr="00A90B26">
        <w:rPr>
          <w:rFonts w:ascii="Palatino Linotype" w:eastAsia="Calibri" w:hAnsi="Palatino Linotype" w:cs="Arial"/>
          <w:sz w:val="24"/>
          <w:szCs w:val="24"/>
          <w:lang w:val="es-ES_tradnl" w:eastAsia="es-ES"/>
        </w:rPr>
        <w:tab/>
      </w:r>
      <w:bookmarkStart w:id="7" w:name="_Toc461555891"/>
      <w:bookmarkStart w:id="8" w:name="_Toc466371860"/>
      <w:bookmarkStart w:id="9" w:name="_Toc81233126"/>
      <w:r w:rsidRPr="00A90B26">
        <w:rPr>
          <w:rFonts w:ascii="Palatino Linotype" w:hAnsi="Palatino Linotype"/>
          <w:b/>
          <w:color w:val="auto"/>
          <w:sz w:val="24"/>
          <w:szCs w:val="24"/>
        </w:rPr>
        <w:t>SEGUNDO. De la oportunidad y procedencia.</w:t>
      </w:r>
      <w:bookmarkEnd w:id="7"/>
      <w:bookmarkEnd w:id="8"/>
      <w:bookmarkEnd w:id="9"/>
    </w:p>
    <w:p w14:paraId="7CE8CCB9" w14:textId="77777777" w:rsidR="00A90B26" w:rsidRPr="00A90B26" w:rsidRDefault="00A90B26" w:rsidP="00A90B26">
      <w:pPr>
        <w:rPr>
          <w:lang w:eastAsia="en-US"/>
        </w:rPr>
      </w:pPr>
    </w:p>
    <w:p w14:paraId="0F472855" w14:textId="26947B5B" w:rsidR="00E241A3" w:rsidRPr="00A90B26" w:rsidRDefault="003E15D6" w:rsidP="00A90B26">
      <w:pPr>
        <w:pStyle w:val="Prrafodelista"/>
        <w:numPr>
          <w:ilvl w:val="0"/>
          <w:numId w:val="8"/>
        </w:numPr>
        <w:tabs>
          <w:tab w:val="left" w:pos="426"/>
        </w:tabs>
        <w:spacing w:line="360" w:lineRule="auto"/>
        <w:ind w:left="0" w:firstLine="0"/>
        <w:jc w:val="both"/>
        <w:rPr>
          <w:rFonts w:ascii="Palatino Linotype" w:eastAsia="MS Mincho" w:hAnsi="Palatino Linotype"/>
          <w:sz w:val="24"/>
        </w:rPr>
      </w:pPr>
      <w:r w:rsidRPr="00A90B26">
        <w:rPr>
          <w:rFonts w:ascii="Palatino Linotype" w:eastAsia="Calibri" w:hAnsi="Palatino Linotype" w:cs="Arial"/>
          <w:sz w:val="24"/>
          <w:lang w:val="es-ES_tradnl" w:eastAsia="es-ES"/>
        </w:rPr>
        <w:t>El medio de impugnación fue presentado a través del SAIMEX, en el formato previamente aprobado para tal efecto y dentro del plazo legal d</w:t>
      </w:r>
      <w:r w:rsidR="00E241A3" w:rsidRPr="00A90B26">
        <w:rPr>
          <w:rFonts w:ascii="Palatino Linotype" w:eastAsia="Calibri" w:hAnsi="Palatino Linotype" w:cs="Arial"/>
          <w:sz w:val="24"/>
          <w:lang w:val="es-ES_tradnl" w:eastAsia="es-ES"/>
        </w:rPr>
        <w:t>e quince días hábiles otorgados y</w:t>
      </w:r>
      <w:r w:rsidRPr="00A90B26">
        <w:rPr>
          <w:rFonts w:ascii="Palatino Linotype" w:eastAsia="Calibri" w:hAnsi="Palatino Linotype" w:cs="Arial"/>
          <w:sz w:val="24"/>
          <w:lang w:val="es-ES_tradnl" w:eastAsia="es-ES"/>
        </w:rPr>
        <w:t>, éste se encuentran dentro de los márgenes temporales previstos en el artículo 178 de la Ley de Transparencia y Acceso a la Información Pública del Estado de México y Municipios.</w:t>
      </w:r>
    </w:p>
    <w:p w14:paraId="294D2874" w14:textId="77777777" w:rsidR="00E241A3" w:rsidRPr="00A90B26" w:rsidRDefault="00E241A3" w:rsidP="00A90B26">
      <w:pPr>
        <w:pStyle w:val="Prrafodelista"/>
        <w:tabs>
          <w:tab w:val="left" w:pos="426"/>
        </w:tabs>
        <w:spacing w:line="360" w:lineRule="auto"/>
        <w:ind w:left="0"/>
        <w:jc w:val="both"/>
        <w:rPr>
          <w:rFonts w:ascii="Palatino Linotype" w:eastAsia="MS Mincho" w:hAnsi="Palatino Linotype"/>
          <w:sz w:val="24"/>
        </w:rPr>
      </w:pPr>
    </w:p>
    <w:p w14:paraId="7EDE7C2B" w14:textId="77777777" w:rsidR="00CA7C37" w:rsidRPr="00A90B26" w:rsidRDefault="00CE5940"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10" w:name="_Toc455991148"/>
      <w:bookmarkStart w:id="11" w:name="_Toc450120669"/>
      <w:bookmarkStart w:id="12" w:name="_Toc461555896"/>
      <w:bookmarkStart w:id="13" w:name="_Toc462154385"/>
      <w:bookmarkStart w:id="14" w:name="_Toc462660376"/>
      <w:bookmarkStart w:id="15" w:name="_Toc462660687"/>
      <w:bookmarkStart w:id="16" w:name="_Toc462660766"/>
      <w:bookmarkStart w:id="17" w:name="_Toc465264624"/>
      <w:bookmarkStart w:id="18" w:name="_Toc465264870"/>
      <w:bookmarkStart w:id="19" w:name="_Toc465266520"/>
      <w:bookmarkStart w:id="20" w:name="_Toc466302258"/>
      <w:bookmarkStart w:id="21" w:name="_Toc466371866"/>
      <w:bookmarkStart w:id="22" w:name="_Toc466371925"/>
      <w:bookmarkStart w:id="23" w:name="_Toc466377654"/>
      <w:bookmarkStart w:id="24" w:name="_Toc478549736"/>
      <w:bookmarkStart w:id="25" w:name="_Toc478572850"/>
      <w:bookmarkStart w:id="26" w:name="_Toc479238537"/>
    </w:p>
    <w:p w14:paraId="7FFE7B3C" w14:textId="77777777" w:rsidR="00E241A3" w:rsidRPr="00A90B26" w:rsidRDefault="00E241A3" w:rsidP="00A90B26">
      <w:pPr>
        <w:tabs>
          <w:tab w:val="left" w:pos="426"/>
        </w:tabs>
        <w:spacing w:line="360" w:lineRule="auto"/>
        <w:contextualSpacing/>
        <w:jc w:val="both"/>
        <w:rPr>
          <w:rFonts w:ascii="Palatino Linotype" w:eastAsia="MS Mincho" w:hAnsi="Palatino Linotype"/>
          <w:lang w:eastAsia="en-US"/>
        </w:rPr>
      </w:pPr>
    </w:p>
    <w:p w14:paraId="32D2B35B" w14:textId="34652386" w:rsidR="008E75E9" w:rsidRPr="00A90B26" w:rsidRDefault="00CA7C37" w:rsidP="00A90B26">
      <w:pPr>
        <w:pStyle w:val="Ttulo1"/>
        <w:tabs>
          <w:tab w:val="left" w:pos="284"/>
          <w:tab w:val="left" w:pos="426"/>
        </w:tabs>
        <w:spacing w:before="0" w:line="360" w:lineRule="auto"/>
        <w:rPr>
          <w:rFonts w:ascii="Palatino Linotype" w:hAnsi="Palatino Linotype"/>
          <w:b/>
          <w:color w:val="auto"/>
          <w:sz w:val="24"/>
          <w:szCs w:val="24"/>
        </w:rPr>
      </w:pPr>
      <w:bookmarkStart w:id="27" w:name="_Toc500360400"/>
      <w:bookmarkStart w:id="28" w:name="_Toc81233127"/>
      <w:bookmarkStart w:id="29" w:name="_Toc459174366"/>
      <w:bookmarkStart w:id="30" w:name="_Toc459659884"/>
      <w:bookmarkStart w:id="31" w:name="_Toc461687280"/>
      <w:bookmarkStart w:id="32" w:name="_Toc462771051"/>
      <w:bookmarkStart w:id="33" w:name="_Toc464139201"/>
      <w:bookmarkStart w:id="34" w:name="_Toc495427545"/>
      <w:bookmarkStart w:id="35" w:name="_Toc499296549"/>
      <w:r w:rsidRPr="00A90B26">
        <w:rPr>
          <w:rFonts w:ascii="Palatino Linotype" w:hAnsi="Palatino Linotype"/>
          <w:b/>
          <w:color w:val="auto"/>
          <w:sz w:val="24"/>
          <w:szCs w:val="24"/>
        </w:rPr>
        <w:t>TERCERO. De las causales de improcedencia y sobreseimiento.</w:t>
      </w:r>
      <w:bookmarkEnd w:id="27"/>
      <w:bookmarkEnd w:id="28"/>
      <w:bookmarkEnd w:id="29"/>
      <w:bookmarkEnd w:id="30"/>
      <w:bookmarkEnd w:id="31"/>
      <w:bookmarkEnd w:id="32"/>
      <w:bookmarkEnd w:id="33"/>
      <w:bookmarkEnd w:id="34"/>
      <w:bookmarkEnd w:id="35"/>
    </w:p>
    <w:p w14:paraId="583786BE" w14:textId="77777777" w:rsidR="008E75E9" w:rsidRPr="00A90B26" w:rsidRDefault="008E75E9" w:rsidP="00A90B26">
      <w:pPr>
        <w:spacing w:line="360" w:lineRule="auto"/>
        <w:rPr>
          <w:rFonts w:ascii="Palatino Linotype" w:hAnsi="Palatino Linotype"/>
        </w:rPr>
      </w:pPr>
    </w:p>
    <w:p w14:paraId="454B9C20" w14:textId="77777777" w:rsidR="00CA7C37" w:rsidRPr="00A90B26" w:rsidRDefault="00D262C2"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hAnsi="Palatino Linotype" w:cs="Arial"/>
        </w:rPr>
        <w:t>E</w:t>
      </w:r>
      <w:r w:rsidR="00777616" w:rsidRPr="00A90B26">
        <w:rPr>
          <w:rFonts w:ascii="Palatino Linotype" w:hAnsi="Palatino Linotype" w:cs="Arial"/>
        </w:rPr>
        <w:t xml:space="preserve">s </w:t>
      </w:r>
      <w:r w:rsidR="00777616" w:rsidRPr="00A90B26">
        <w:rPr>
          <w:rFonts w:ascii="Palatino Linotype" w:eastAsiaTheme="minorEastAsia" w:hAnsi="Palatino Linotype" w:cs="Arial"/>
          <w:lang w:val="es-ES_tradnl"/>
        </w:rPr>
        <w:t>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61796C" w14:textId="77777777" w:rsidR="00CA7C37" w:rsidRPr="00A90B26" w:rsidRDefault="00777616"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eastAsia="MS Mincho" w:hAnsi="Palatino Linotype"/>
          <w:color w:val="000000"/>
        </w:rPr>
        <w:lastRenderedPageBreak/>
        <w:t xml:space="preserve">Siendo </w:t>
      </w:r>
      <w:r w:rsidRPr="00A90B26">
        <w:rPr>
          <w:rFonts w:ascii="Palatino Linotype" w:eastAsiaTheme="minorEastAsia" w:hAnsi="Palatino Linotype" w:cs="Arial"/>
          <w:lang w:val="es-ES_tradnl"/>
        </w:rPr>
        <w:t xml:space="preserve">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w:t>
      </w:r>
      <w:r w:rsidRPr="00A90B26">
        <w:rPr>
          <w:rFonts w:ascii="Palatino Linotype" w:eastAsiaTheme="minorEastAsia" w:hAnsi="Palatino Linotype" w:cs="Arial"/>
          <w:i/>
          <w:lang w:val="es-ES_tradnl"/>
        </w:rPr>
        <w:t>máxime</w:t>
      </w:r>
      <w:r w:rsidRPr="00A90B26">
        <w:rPr>
          <w:rFonts w:ascii="Palatino Linotype" w:eastAsiaTheme="minorEastAsia" w:hAnsi="Palatino Linotype" w:cs="Arial"/>
          <w:lang w:val="es-ES_tradnl"/>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r w:rsidRPr="00A90B26">
        <w:rPr>
          <w:rFonts w:ascii="Palatino Linotype" w:eastAsia="MS Mincho" w:hAnsi="Palatino Linotype"/>
          <w:color w:val="000000"/>
          <w:lang w:val="es-ES_tradnl"/>
        </w:rPr>
        <w:t xml:space="preserve"> </w:t>
      </w:r>
      <w:r w:rsidRPr="00A90B26">
        <w:rPr>
          <w:rFonts w:ascii="Palatino Linotype" w:eastAsia="MS Mincho" w:hAnsi="Palatino Linotype"/>
          <w:color w:val="000000"/>
        </w:rPr>
        <w:t xml:space="preserve">Estudio </w:t>
      </w:r>
      <w:r w:rsidRPr="00A90B26">
        <w:rPr>
          <w:rFonts w:ascii="Palatino Linotype" w:eastAsiaTheme="minorEastAsia" w:hAnsi="Palatino Linotype" w:cs="Arial"/>
          <w:lang w:val="es-ES_tradnl"/>
        </w:rPr>
        <w:t>de causales de improcedencia que no son incompatibles con el derecho de acceso a la justicia, ya que éste no se coarta por regular causas de improcedencia y sobreseimiento con tales fines</w:t>
      </w:r>
      <w:r w:rsidRPr="00A90B26">
        <w:rPr>
          <w:rFonts w:ascii="Palatino Linotype" w:eastAsiaTheme="minorEastAsia" w:hAnsi="Palatino Linotype"/>
          <w:vertAlign w:val="superscript"/>
          <w:lang w:val="es-ES_tradnl"/>
        </w:rPr>
        <w:footnoteReference w:id="1"/>
      </w:r>
      <w:r w:rsidRPr="00A90B26">
        <w:rPr>
          <w:rFonts w:ascii="Palatino Linotype" w:eastAsiaTheme="minorEastAsia" w:hAnsi="Palatino Linotype" w:cs="Arial"/>
          <w:lang w:val="es-ES_tradnl"/>
        </w:rPr>
        <w:t>.</w:t>
      </w:r>
    </w:p>
    <w:p w14:paraId="7C04AAD0" w14:textId="77777777" w:rsidR="00271B00" w:rsidRPr="00A90B26" w:rsidRDefault="00271B00" w:rsidP="00A90B26">
      <w:pPr>
        <w:tabs>
          <w:tab w:val="left" w:pos="426"/>
        </w:tabs>
        <w:spacing w:line="360" w:lineRule="auto"/>
        <w:contextualSpacing/>
        <w:jc w:val="both"/>
        <w:rPr>
          <w:rFonts w:ascii="Palatino Linotype" w:eastAsia="MS Mincho" w:hAnsi="Palatino Linotype"/>
          <w:lang w:eastAsia="en-US"/>
        </w:rPr>
      </w:pPr>
    </w:p>
    <w:p w14:paraId="1BFC5588" w14:textId="77777777" w:rsidR="00CA7C37" w:rsidRPr="00A90B26" w:rsidRDefault="0072759C"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eastAsia="MS Mincho" w:hAnsi="Palatino Linotype"/>
          <w:color w:val="000000"/>
        </w:rPr>
        <w:t xml:space="preserve">En </w:t>
      </w:r>
      <w:r w:rsidRPr="00A90B26">
        <w:rPr>
          <w:rFonts w:ascii="Palatino Linotype" w:eastAsiaTheme="minorEastAsia" w:hAnsi="Palatino Linotype" w:cs="Arial"/>
          <w:lang w:val="es-ES_tradnl"/>
        </w:rPr>
        <w:t xml:space="preserve">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 solicitud, porque no se podría entender el derecho de acceso a la información sin la </w:t>
      </w:r>
      <w:r w:rsidRPr="00A90B26">
        <w:rPr>
          <w:rFonts w:ascii="Palatino Linotype" w:eastAsiaTheme="minorEastAsia" w:hAnsi="Palatino Linotype" w:cs="Arial"/>
          <w:lang w:val="es-ES_tradnl"/>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r w:rsidR="004A5C5F" w:rsidRPr="00A90B26">
        <w:rPr>
          <w:rFonts w:ascii="Palatino Linotype" w:eastAsiaTheme="minorEastAsia" w:hAnsi="Palatino Linotype" w:cs="Arial"/>
          <w:lang w:val="es-ES_tradnl"/>
        </w:rPr>
        <w:t xml:space="preserve"> </w:t>
      </w:r>
      <w:r w:rsidRPr="00A90B26">
        <w:rPr>
          <w:rFonts w:ascii="Palatino Linotype" w:eastAsiaTheme="minorEastAsia" w:hAnsi="Palatino Linotype" w:cs="Arial"/>
          <w:lang w:val="es-ES_tradnl"/>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65CB0011" w14:textId="77777777" w:rsidR="008E75E9" w:rsidRPr="00A90B26" w:rsidRDefault="008E75E9" w:rsidP="00A90B26">
      <w:pPr>
        <w:tabs>
          <w:tab w:val="left" w:pos="426"/>
        </w:tabs>
        <w:spacing w:line="360" w:lineRule="auto"/>
        <w:contextualSpacing/>
        <w:jc w:val="both"/>
        <w:rPr>
          <w:rFonts w:ascii="Palatino Linotype" w:eastAsiaTheme="minorEastAsia" w:hAnsi="Palatino Linotype" w:cs="Arial"/>
          <w:lang w:val="es-ES_tradnl"/>
        </w:rPr>
      </w:pPr>
    </w:p>
    <w:p w14:paraId="37CE6FAE" w14:textId="5CB7A309" w:rsidR="008E75E9" w:rsidRPr="00A90B26" w:rsidRDefault="008E75E9" w:rsidP="00A90B26">
      <w:pPr>
        <w:tabs>
          <w:tab w:val="left" w:pos="426"/>
        </w:tabs>
        <w:spacing w:line="360" w:lineRule="auto"/>
        <w:contextualSpacing/>
        <w:jc w:val="both"/>
        <w:rPr>
          <w:rFonts w:ascii="Palatino Linotype" w:eastAsia="MS Mincho" w:hAnsi="Palatino Linotype"/>
          <w:b/>
          <w:lang w:eastAsia="en-US"/>
        </w:rPr>
      </w:pPr>
      <w:r w:rsidRPr="00A90B26">
        <w:rPr>
          <w:rFonts w:ascii="Palatino Linotype" w:eastAsiaTheme="minorEastAsia" w:hAnsi="Palatino Linotype" w:cs="Arial"/>
          <w:b/>
          <w:lang w:val="es-ES_tradnl"/>
        </w:rPr>
        <w:t xml:space="preserve">I. </w:t>
      </w:r>
      <w:r w:rsidR="00271B00" w:rsidRPr="00A90B26">
        <w:rPr>
          <w:rFonts w:ascii="Palatino Linotype" w:eastAsiaTheme="minorEastAsia" w:hAnsi="Palatino Linotype" w:cs="Arial"/>
          <w:b/>
          <w:lang w:val="es-ES_tradnl"/>
        </w:rPr>
        <w:t>De la información entregada</w:t>
      </w:r>
    </w:p>
    <w:p w14:paraId="0FF07AEC" w14:textId="77777777" w:rsidR="00CA7C37" w:rsidRPr="00A90B26" w:rsidRDefault="00CA7C37" w:rsidP="00A90B26">
      <w:pPr>
        <w:tabs>
          <w:tab w:val="left" w:pos="426"/>
        </w:tabs>
        <w:spacing w:line="360" w:lineRule="auto"/>
        <w:contextualSpacing/>
        <w:jc w:val="both"/>
        <w:rPr>
          <w:rFonts w:ascii="Palatino Linotype" w:eastAsia="MS Mincho" w:hAnsi="Palatino Linotype"/>
          <w:lang w:eastAsia="en-US"/>
        </w:rPr>
      </w:pPr>
    </w:p>
    <w:p w14:paraId="3B20DD84" w14:textId="25545315" w:rsidR="000F6A46" w:rsidRPr="00A90B26" w:rsidRDefault="0072759C" w:rsidP="00A90B26">
      <w:pPr>
        <w:numPr>
          <w:ilvl w:val="0"/>
          <w:numId w:val="8"/>
        </w:numPr>
        <w:tabs>
          <w:tab w:val="left" w:pos="426"/>
        </w:tabs>
        <w:spacing w:line="360" w:lineRule="auto"/>
        <w:ind w:left="0" w:firstLine="0"/>
        <w:contextualSpacing/>
        <w:jc w:val="both"/>
        <w:rPr>
          <w:rFonts w:ascii="Palatino Linotype" w:eastAsia="MS Mincho" w:hAnsi="Palatino Linotype"/>
          <w:lang w:eastAsia="en-US"/>
        </w:rPr>
      </w:pPr>
      <w:r w:rsidRPr="00A90B26">
        <w:rPr>
          <w:rFonts w:ascii="Palatino Linotype" w:eastAsia="MS Mincho" w:hAnsi="Palatino Linotype"/>
          <w:color w:val="000000"/>
        </w:rPr>
        <w:t xml:space="preserve">Por lo que </w:t>
      </w:r>
      <w:r w:rsidR="00DA08A9" w:rsidRPr="00A90B26">
        <w:rPr>
          <w:rFonts w:ascii="Palatino Linotype" w:eastAsia="MS Mincho" w:hAnsi="Palatino Linotype"/>
          <w:color w:val="000000"/>
        </w:rPr>
        <w:t xml:space="preserve">se </w:t>
      </w:r>
      <w:r w:rsidRPr="00A90B26">
        <w:rPr>
          <w:rFonts w:ascii="Palatino Linotype" w:eastAsia="Palatino Linotype" w:hAnsi="Palatino Linotype" w:cs="Palatino Linotype"/>
          <w:color w:val="000000"/>
        </w:rPr>
        <w:t xml:space="preserve">advierte </w:t>
      </w:r>
      <w:r w:rsidR="00DA08A9" w:rsidRPr="00A90B26">
        <w:rPr>
          <w:rFonts w:ascii="Palatino Linotype" w:eastAsia="Palatino Linotype" w:hAnsi="Palatino Linotype" w:cs="Palatino Linotype"/>
          <w:color w:val="000000"/>
        </w:rPr>
        <w:t>d</w:t>
      </w:r>
      <w:r w:rsidR="0035780A" w:rsidRPr="00A90B26">
        <w:rPr>
          <w:rFonts w:ascii="Palatino Linotype" w:eastAsia="Palatino Linotype" w:hAnsi="Palatino Linotype" w:cs="Palatino Linotype"/>
          <w:color w:val="000000"/>
        </w:rPr>
        <w:t>el contenido de la solicitud</w:t>
      </w:r>
      <w:r w:rsidRPr="00A90B26">
        <w:rPr>
          <w:rFonts w:ascii="Palatino Linotype" w:eastAsia="Palatino Linotype" w:hAnsi="Palatino Linotype" w:cs="Palatino Linotype"/>
          <w:color w:val="000000"/>
        </w:rPr>
        <w:t xml:space="preserve"> de información</w:t>
      </w:r>
      <w:r w:rsidR="00DA08A9" w:rsidRPr="00A90B26">
        <w:rPr>
          <w:rFonts w:ascii="Palatino Linotype" w:eastAsia="Palatino Linotype" w:hAnsi="Palatino Linotype" w:cs="Palatino Linotype"/>
          <w:color w:val="000000"/>
        </w:rPr>
        <w:t>,</w:t>
      </w:r>
      <w:r w:rsidRPr="00A90B26">
        <w:rPr>
          <w:rFonts w:ascii="Palatino Linotype" w:eastAsia="Palatino Linotype" w:hAnsi="Palatino Linotype" w:cs="Palatino Linotype"/>
          <w:color w:val="000000"/>
        </w:rPr>
        <w:t xml:space="preserve"> el </w:t>
      </w:r>
      <w:r w:rsidRPr="00A90B26">
        <w:rPr>
          <w:rFonts w:ascii="Palatino Linotype" w:eastAsia="Palatino Linotype" w:hAnsi="Palatino Linotype" w:cs="Palatino Linotype"/>
          <w:b/>
          <w:color w:val="000000"/>
        </w:rPr>
        <w:t xml:space="preserve">RECURRENTE </w:t>
      </w:r>
      <w:r w:rsidR="00CA7C37" w:rsidRPr="00A90B26">
        <w:rPr>
          <w:rFonts w:ascii="Palatino Linotype" w:eastAsia="Palatino Linotype" w:hAnsi="Palatino Linotype" w:cs="Palatino Linotype"/>
          <w:color w:val="000000"/>
        </w:rPr>
        <w:t>requirió</w:t>
      </w:r>
      <w:r w:rsidR="00DA08A9" w:rsidRPr="00A90B26">
        <w:rPr>
          <w:rFonts w:ascii="Palatino Linotype" w:eastAsia="Palatino Linotype" w:hAnsi="Palatino Linotype" w:cs="Palatino Linotype"/>
          <w:color w:val="000000"/>
        </w:rPr>
        <w:t xml:space="preserve"> </w:t>
      </w:r>
      <w:r w:rsidRPr="00A90B26">
        <w:rPr>
          <w:rFonts w:ascii="Palatino Linotype" w:eastAsia="Palatino Linotype" w:hAnsi="Palatino Linotype" w:cs="Palatino Linotype"/>
          <w:color w:val="000000"/>
        </w:rPr>
        <w:t>lo siguiente:</w:t>
      </w:r>
    </w:p>
    <w:p w14:paraId="0A02E094" w14:textId="77777777" w:rsidR="00A90B26" w:rsidRPr="00A90B26" w:rsidRDefault="00A90B26" w:rsidP="00A90B26">
      <w:pPr>
        <w:tabs>
          <w:tab w:val="left" w:pos="426"/>
        </w:tabs>
        <w:spacing w:line="360" w:lineRule="auto"/>
        <w:contextualSpacing/>
        <w:jc w:val="both"/>
        <w:rPr>
          <w:rFonts w:ascii="Palatino Linotype" w:eastAsia="MS Mincho" w:hAnsi="Palatino Linotype"/>
          <w:lang w:eastAsia="en-US"/>
        </w:rPr>
      </w:pPr>
    </w:p>
    <w:p w14:paraId="72540A73" w14:textId="7150B01E" w:rsidR="00271B00" w:rsidRPr="00A90B26" w:rsidRDefault="00271B00" w:rsidP="00A90B26">
      <w:pPr>
        <w:pStyle w:val="Prrafodelista"/>
        <w:numPr>
          <w:ilvl w:val="0"/>
          <w:numId w:val="22"/>
        </w:numPr>
        <w:tabs>
          <w:tab w:val="left" w:pos="426"/>
        </w:tabs>
        <w:spacing w:line="360" w:lineRule="auto"/>
        <w:jc w:val="both"/>
        <w:rPr>
          <w:rFonts w:ascii="Palatino Linotype" w:eastAsia="MS Mincho" w:hAnsi="Palatino Linotype"/>
          <w:sz w:val="24"/>
          <w:lang w:eastAsia="en-US"/>
        </w:rPr>
      </w:pPr>
      <w:r w:rsidRPr="00A90B26">
        <w:rPr>
          <w:rFonts w:ascii="Palatino Linotype" w:eastAsia="MS Mincho" w:hAnsi="Palatino Linotype"/>
          <w:b/>
          <w:color w:val="000000"/>
          <w:sz w:val="24"/>
        </w:rPr>
        <w:t>Monto del presupuesto anual  por concepto de ingresos al fideicomiso de la Secretaría de Cultura y Turismo, antes Subsecretaria de Turismo;</w:t>
      </w:r>
    </w:p>
    <w:p w14:paraId="338396D4" w14:textId="11EE01C7" w:rsidR="00271B00" w:rsidRPr="00A90B26" w:rsidRDefault="00271B00" w:rsidP="00A90B26">
      <w:pPr>
        <w:pStyle w:val="Prrafodelista"/>
        <w:numPr>
          <w:ilvl w:val="0"/>
          <w:numId w:val="22"/>
        </w:numPr>
        <w:tabs>
          <w:tab w:val="left" w:pos="426"/>
        </w:tabs>
        <w:spacing w:line="360" w:lineRule="auto"/>
        <w:jc w:val="both"/>
        <w:rPr>
          <w:rFonts w:ascii="Palatino Linotype" w:eastAsia="MS Mincho" w:hAnsi="Palatino Linotype"/>
          <w:sz w:val="24"/>
          <w:lang w:eastAsia="en-US"/>
        </w:rPr>
      </w:pPr>
      <w:r w:rsidRPr="00A90B26">
        <w:rPr>
          <w:rFonts w:ascii="Palatino Linotype" w:eastAsia="MS Mincho" w:hAnsi="Palatino Linotype"/>
          <w:b/>
          <w:color w:val="000000"/>
          <w:sz w:val="24"/>
        </w:rPr>
        <w:t>Montos totales anuales año por año, los eventos, proyectos y el monto de inversión destinados a los mismos, por concepto de ejecución de dicho Fideicomiso; y</w:t>
      </w:r>
    </w:p>
    <w:p w14:paraId="61D244A8" w14:textId="2A6E58C0" w:rsidR="000F6A46" w:rsidRPr="00A90B26" w:rsidRDefault="00271B00" w:rsidP="00A90B26">
      <w:pPr>
        <w:pStyle w:val="Prrafodelista"/>
        <w:numPr>
          <w:ilvl w:val="0"/>
          <w:numId w:val="22"/>
        </w:numPr>
        <w:tabs>
          <w:tab w:val="left" w:pos="426"/>
        </w:tabs>
        <w:spacing w:line="360" w:lineRule="auto"/>
        <w:jc w:val="both"/>
        <w:rPr>
          <w:rFonts w:ascii="Palatino Linotype" w:eastAsia="MS Mincho" w:hAnsi="Palatino Linotype"/>
          <w:sz w:val="24"/>
          <w:lang w:eastAsia="en-US"/>
        </w:rPr>
      </w:pPr>
      <w:r w:rsidRPr="00A90B26">
        <w:rPr>
          <w:rFonts w:ascii="Palatino Linotype" w:eastAsia="MS Mincho" w:hAnsi="Palatino Linotype"/>
          <w:b/>
          <w:color w:val="000000"/>
          <w:sz w:val="24"/>
        </w:rPr>
        <w:lastRenderedPageBreak/>
        <w:t>Especificación de gastos y proveedores con razón social que intervinieron en el proceso de ejecución por mismos eventos y/o proyectos de los recursos en cita, de los meses de noviembre de 2020 al mes de febrero 2024.</w:t>
      </w:r>
    </w:p>
    <w:p w14:paraId="1FF6C183" w14:textId="075E31D4" w:rsidR="00F27AAE" w:rsidRPr="00A90B26" w:rsidRDefault="00336CF4" w:rsidP="00A90B26">
      <w:pPr>
        <w:numPr>
          <w:ilvl w:val="0"/>
          <w:numId w:val="8"/>
        </w:numPr>
        <w:tabs>
          <w:tab w:val="left" w:pos="426"/>
        </w:tabs>
        <w:spacing w:line="360" w:lineRule="auto"/>
        <w:ind w:left="0" w:firstLine="0"/>
        <w:contextualSpacing/>
        <w:jc w:val="both"/>
        <w:rPr>
          <w:rFonts w:ascii="Palatino Linotype" w:hAnsi="Palatino Linotype" w:cs="Tahoma"/>
          <w:bCs/>
        </w:rPr>
      </w:pPr>
      <w:r w:rsidRPr="00A90B26">
        <w:rPr>
          <w:rFonts w:ascii="Palatino Linotype" w:eastAsia="MS Mincho" w:hAnsi="Palatino Linotype"/>
          <w:color w:val="000000"/>
        </w:rPr>
        <w:t xml:space="preserve">Conforme a lo anterior, el </w:t>
      </w:r>
      <w:r w:rsidRPr="00A90B26">
        <w:rPr>
          <w:rFonts w:ascii="Palatino Linotype" w:eastAsia="MS Mincho" w:hAnsi="Palatino Linotype"/>
          <w:b/>
          <w:bCs/>
          <w:color w:val="000000"/>
        </w:rPr>
        <w:t>SUJETO OBLIGADO</w:t>
      </w:r>
      <w:r w:rsidRPr="00A90B26">
        <w:rPr>
          <w:rFonts w:ascii="Palatino Linotype" w:eastAsia="MS Mincho" w:hAnsi="Palatino Linotype"/>
          <w:color w:val="000000"/>
        </w:rPr>
        <w:t xml:space="preserve"> emitió respuesta </w:t>
      </w:r>
      <w:r w:rsidR="00271B00" w:rsidRPr="00A90B26">
        <w:rPr>
          <w:rFonts w:ascii="Palatino Linotype" w:eastAsia="MS Mincho" w:hAnsi="Palatino Linotype"/>
          <w:color w:val="000000"/>
        </w:rPr>
        <w:t xml:space="preserve">ya descrita en el anterior Párrafo 2; toda vez que </w:t>
      </w:r>
      <w:r w:rsidR="00F27AAE" w:rsidRPr="00A90B26">
        <w:rPr>
          <w:rFonts w:ascii="Palatino Linotype" w:eastAsia="Calibri" w:hAnsi="Palatino Linotype" w:cs="Arial"/>
        </w:rPr>
        <w:t>e</w:t>
      </w:r>
      <w:r w:rsidR="00271B00" w:rsidRPr="00A90B26">
        <w:rPr>
          <w:rFonts w:ascii="Palatino Linotype" w:eastAsia="Calibri" w:hAnsi="Palatino Linotype" w:cs="Arial"/>
        </w:rPr>
        <w:t>l derecho  de</w:t>
      </w:r>
      <w:r w:rsidR="00F27AAE" w:rsidRPr="00A90B26">
        <w:rPr>
          <w:rFonts w:ascii="Palatino Linotype" w:eastAsia="Calibri" w:hAnsi="Palatino Linotype" w:cs="Arial"/>
        </w:rPr>
        <w:t xml:space="preserve"> acceso a la información versa sobre los documentos generados, obtenidos, adquiridos, transformados, administrados o en pos</w:t>
      </w:r>
      <w:r w:rsidR="00271B00" w:rsidRPr="00A90B26">
        <w:rPr>
          <w:rFonts w:ascii="Palatino Linotype" w:eastAsia="Calibri" w:hAnsi="Palatino Linotype" w:cs="Arial"/>
        </w:rPr>
        <w:t>esión de los Sujetos Obligados.</w:t>
      </w:r>
    </w:p>
    <w:p w14:paraId="23D1C23A" w14:textId="77777777" w:rsidR="00A90B26" w:rsidRPr="00A90B26" w:rsidRDefault="00A90B26" w:rsidP="00A90B26">
      <w:pPr>
        <w:tabs>
          <w:tab w:val="left" w:pos="426"/>
        </w:tabs>
        <w:spacing w:line="360" w:lineRule="auto"/>
        <w:contextualSpacing/>
        <w:jc w:val="both"/>
        <w:rPr>
          <w:rFonts w:ascii="Palatino Linotype" w:hAnsi="Palatino Linotype" w:cs="Tahoma"/>
          <w:bCs/>
        </w:rPr>
      </w:pPr>
    </w:p>
    <w:p w14:paraId="7C58F998" w14:textId="05D3BA10" w:rsidR="008E75E9" w:rsidRPr="00A90B26" w:rsidRDefault="00271B00"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eastAsia="MS Mincho" w:hAnsi="Palatino Linotype"/>
          <w:color w:val="000000"/>
          <w:sz w:val="24"/>
        </w:rPr>
        <w:t>En ese contexto respecto de la información entregada</w:t>
      </w:r>
      <w:r w:rsidR="00920DE3" w:rsidRPr="00A90B26">
        <w:rPr>
          <w:rFonts w:ascii="Palatino Linotype" w:eastAsia="Calibri" w:hAnsi="Palatino Linotype" w:cs="Arial"/>
          <w:sz w:val="24"/>
        </w:rPr>
        <w:t>, este Órgano Garante</w:t>
      </w:r>
      <w:r w:rsidR="00920DE3" w:rsidRPr="00A90B26">
        <w:rPr>
          <w:rFonts w:ascii="Palatino Linotype" w:eastAsia="Calibri" w:hAnsi="Palatino Linotype" w:cs="Arial"/>
          <w:sz w:val="24"/>
          <w:lang w:val="es-ES_tradnl"/>
        </w:rPr>
        <w:t xml:space="preserve"> no se encuentra facultado para manifestarse sobre la veracidad de la información proporcionada por parte de los </w:t>
      </w:r>
      <w:r w:rsidR="0035780A" w:rsidRPr="00A90B26">
        <w:rPr>
          <w:rFonts w:ascii="Palatino Linotype" w:eastAsia="Calibri" w:hAnsi="Palatino Linotype" w:cs="Arial"/>
          <w:b/>
          <w:sz w:val="24"/>
          <w:lang w:val="es-ES_tradnl"/>
        </w:rPr>
        <w:t>SUJETOS OBLIGADOS</w:t>
      </w:r>
      <w:r w:rsidRPr="00A90B26">
        <w:rPr>
          <w:rFonts w:ascii="Palatino Linotype" w:eastAsia="Calibri" w:hAnsi="Palatino Linotype" w:cs="Arial"/>
          <w:sz w:val="24"/>
          <w:lang w:val="es-ES_tradnl"/>
        </w:rPr>
        <w:t>; toda vez  que e</w:t>
      </w:r>
      <w:r w:rsidRPr="00A90B26">
        <w:rPr>
          <w:rFonts w:ascii="Palatino Linotype" w:hAnsi="Palatino Linotype" w:cs="Arial"/>
          <w:color w:val="000000"/>
          <w:sz w:val="24"/>
        </w:rPr>
        <w:t>este Instituto</w:t>
      </w:r>
      <w:r w:rsidR="008E75E9" w:rsidRPr="00A90B26">
        <w:rPr>
          <w:rFonts w:ascii="Palatino Linotype" w:hAnsi="Palatino Linotype" w:cs="Arial"/>
          <w:color w:val="000000"/>
          <w:sz w:val="24"/>
        </w:rPr>
        <w:t xml:space="preserve"> carece de facultades para dudar de la veracidad en relación a la información proporcionada, en consecuencia, se determina que la respuesta satisface los requerimientos antes señalados.</w:t>
      </w:r>
    </w:p>
    <w:p w14:paraId="1BB185E9" w14:textId="77777777" w:rsidR="00AC3133" w:rsidRPr="00A90B26" w:rsidRDefault="00AC3133" w:rsidP="00A90B26">
      <w:pPr>
        <w:pStyle w:val="Prrafodelista"/>
        <w:spacing w:line="360" w:lineRule="auto"/>
        <w:ind w:left="0"/>
        <w:jc w:val="both"/>
        <w:rPr>
          <w:rFonts w:ascii="Palatino Linotype" w:hAnsi="Palatino Linotype" w:cs="Arial"/>
          <w:sz w:val="24"/>
        </w:rPr>
      </w:pPr>
    </w:p>
    <w:p w14:paraId="02685B9C" w14:textId="0883AD8F" w:rsidR="00AC3133" w:rsidRPr="00A90B26" w:rsidRDefault="00AC3133" w:rsidP="00A90B26">
      <w:pPr>
        <w:pStyle w:val="Prrafodelista"/>
        <w:spacing w:line="360" w:lineRule="auto"/>
        <w:ind w:left="0"/>
        <w:jc w:val="both"/>
        <w:rPr>
          <w:rFonts w:ascii="Palatino Linotype" w:hAnsi="Palatino Linotype" w:cs="Arial"/>
          <w:b/>
          <w:color w:val="000000"/>
          <w:sz w:val="24"/>
        </w:rPr>
      </w:pPr>
      <w:r w:rsidRPr="00A90B26">
        <w:rPr>
          <w:rFonts w:ascii="Palatino Linotype" w:hAnsi="Palatino Linotype" w:cs="Arial"/>
          <w:b/>
          <w:color w:val="000000"/>
          <w:sz w:val="24"/>
        </w:rPr>
        <w:t>II. Actuaciones</w:t>
      </w:r>
      <w:r w:rsidR="0035780A" w:rsidRPr="00A90B26">
        <w:rPr>
          <w:rFonts w:ascii="Palatino Linotype" w:hAnsi="Palatino Linotype" w:cs="Arial"/>
          <w:b/>
          <w:color w:val="000000"/>
          <w:sz w:val="24"/>
        </w:rPr>
        <w:t xml:space="preserve"> del sobreseimiento.</w:t>
      </w:r>
    </w:p>
    <w:p w14:paraId="0BF68550" w14:textId="77777777" w:rsidR="00271B00" w:rsidRPr="00A90B26" w:rsidRDefault="00271B00" w:rsidP="00A90B26">
      <w:pPr>
        <w:pStyle w:val="Prrafodelista"/>
        <w:spacing w:line="360" w:lineRule="auto"/>
        <w:ind w:left="0"/>
        <w:jc w:val="both"/>
        <w:rPr>
          <w:rFonts w:ascii="Palatino Linotype" w:hAnsi="Palatino Linotype" w:cs="Arial"/>
          <w:sz w:val="24"/>
        </w:rPr>
      </w:pPr>
    </w:p>
    <w:p w14:paraId="00D40C86" w14:textId="5B96AAC7" w:rsidR="00271B00" w:rsidRPr="00A90B26" w:rsidRDefault="00271B00"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eastAsia="Palatino Linotype" w:hAnsi="Palatino Linotype" w:cs="Palatino Linotype"/>
          <w:sz w:val="24"/>
        </w:rPr>
        <w:t>Ahora bien, es de recordar</w:t>
      </w:r>
      <w:r w:rsidR="00011D22" w:rsidRPr="00A90B26">
        <w:rPr>
          <w:rFonts w:ascii="Palatino Linotype" w:eastAsia="Palatino Linotype" w:hAnsi="Palatino Linotype" w:cs="Palatino Linotype"/>
          <w:sz w:val="24"/>
        </w:rPr>
        <w:t xml:space="preserve"> que la</w:t>
      </w:r>
      <w:r w:rsidR="0044160B" w:rsidRPr="00A90B26">
        <w:rPr>
          <w:rFonts w:ascii="Palatino Linotype" w:eastAsia="Palatino Linotype" w:hAnsi="Palatino Linotype" w:cs="Palatino Linotype"/>
          <w:sz w:val="24"/>
        </w:rPr>
        <w:t xml:space="preserve"> respuesta versó en la entrega de dos oficios que a su vez contienen los montos asignados al Fideicomiso de referencia de los años 2020 a febrero de 2024 y, el </w:t>
      </w:r>
      <w:r w:rsidR="0044160B" w:rsidRPr="00A90B26">
        <w:rPr>
          <w:rFonts w:ascii="Palatino Linotype" w:hAnsi="Palatino Linotype" w:cs="Arial"/>
          <w:sz w:val="24"/>
        </w:rPr>
        <w:t>desglose</w:t>
      </w:r>
      <w:r w:rsidR="0044160B" w:rsidRPr="00A90B26">
        <w:rPr>
          <w:rFonts w:ascii="Palatino Linotype" w:eastAsia="Palatino Linotype" w:hAnsi="Palatino Linotype" w:cs="Palatino Linotype"/>
          <w:sz w:val="24"/>
        </w:rPr>
        <w:t xml:space="preserve"> de los eventos, proyectos, monto de inversión y listado de proveedores de los años 2021 a 2023, manifestando que es la totalidad de información con la que se contaba al respecto</w:t>
      </w:r>
      <w:r w:rsidR="003D7E96" w:rsidRPr="00A90B26">
        <w:rPr>
          <w:rFonts w:ascii="Palatino Linotype" w:eastAsia="Palatino Linotype" w:hAnsi="Palatino Linotype" w:cs="Palatino Linotype"/>
          <w:sz w:val="24"/>
        </w:rPr>
        <w:t>.</w:t>
      </w:r>
    </w:p>
    <w:p w14:paraId="29AA21A0" w14:textId="77777777" w:rsidR="003D7E96" w:rsidRPr="00A90B26" w:rsidRDefault="003D7E96" w:rsidP="00A90B26">
      <w:pPr>
        <w:pStyle w:val="Prrafodelista"/>
        <w:spacing w:line="360" w:lineRule="auto"/>
        <w:ind w:left="0"/>
        <w:jc w:val="both"/>
        <w:rPr>
          <w:rFonts w:ascii="Palatino Linotype" w:hAnsi="Palatino Linotype" w:cs="Arial"/>
          <w:sz w:val="24"/>
        </w:rPr>
      </w:pPr>
    </w:p>
    <w:p w14:paraId="4CA9D055" w14:textId="629A5D93" w:rsidR="003D7E96" w:rsidRPr="00A90B26" w:rsidRDefault="003D7E96"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sz w:val="24"/>
        </w:rPr>
        <w:lastRenderedPageBreak/>
        <w:t xml:space="preserve">En esa tesitura no se advierte que el </w:t>
      </w:r>
      <w:r w:rsidRPr="00A90B26">
        <w:rPr>
          <w:rFonts w:ascii="Palatino Linotype" w:hAnsi="Palatino Linotype" w:cs="Arial"/>
          <w:b/>
          <w:sz w:val="24"/>
        </w:rPr>
        <w:t>SUJETO OBLIGADO</w:t>
      </w:r>
      <w:r w:rsidRPr="00A90B26">
        <w:rPr>
          <w:rFonts w:ascii="Palatino Linotype" w:hAnsi="Palatino Linotype" w:cs="Arial"/>
          <w:sz w:val="24"/>
        </w:rPr>
        <w:t xml:space="preserve"> haya pretendido colmar la solicitud de información mediante la entrega de hipervínculos o que haya propuesto un cambio de modalidad diverso del SAIMEX como asegura el ahora recurrente en su escrito recursal, como ya quedo transcrito en su literalidad en su anterior Párrafo 4.</w:t>
      </w:r>
    </w:p>
    <w:p w14:paraId="6FB52362" w14:textId="77777777" w:rsidR="0035780A" w:rsidRPr="00A90B26" w:rsidRDefault="0035780A" w:rsidP="00A90B26">
      <w:pPr>
        <w:spacing w:line="360" w:lineRule="auto"/>
        <w:jc w:val="both"/>
        <w:rPr>
          <w:rFonts w:ascii="Palatino Linotype" w:hAnsi="Palatino Linotype" w:cs="Arial"/>
        </w:rPr>
      </w:pPr>
    </w:p>
    <w:p w14:paraId="788F95B4" w14:textId="72A2920D" w:rsidR="00AC3133" w:rsidRPr="00A90B26" w:rsidRDefault="0003690B"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sz w:val="24"/>
        </w:rPr>
        <w:t>Contexto que</w:t>
      </w:r>
      <w:r w:rsidR="00AC3133" w:rsidRPr="00A90B26">
        <w:rPr>
          <w:rFonts w:ascii="Palatino Linotype" w:hAnsi="Palatino Linotype" w:cs="Arial"/>
          <w:sz w:val="24"/>
        </w:rPr>
        <w:t xml:space="preserve">, a todas luces no guarda relación con la respuesta emitida por el </w:t>
      </w:r>
      <w:r w:rsidR="0035780A" w:rsidRPr="00A90B26">
        <w:rPr>
          <w:rFonts w:ascii="Palatino Linotype" w:hAnsi="Palatino Linotype" w:cs="Arial"/>
          <w:b/>
          <w:sz w:val="24"/>
        </w:rPr>
        <w:t>SUJETO OBLIGADO</w:t>
      </w:r>
      <w:r w:rsidR="00AC3133" w:rsidRPr="00A90B26">
        <w:rPr>
          <w:rFonts w:ascii="Palatino Linotype" w:hAnsi="Palatino Linotype" w:cs="Arial"/>
          <w:sz w:val="24"/>
        </w:rPr>
        <w:t>, toda vez que, en ningún momento refirió la clasificación de la información.</w:t>
      </w:r>
    </w:p>
    <w:p w14:paraId="55984E06" w14:textId="77777777" w:rsidR="0035780A" w:rsidRPr="00A90B26" w:rsidRDefault="0035780A" w:rsidP="00A90B26">
      <w:pPr>
        <w:pStyle w:val="Prrafodelista"/>
        <w:spacing w:line="360" w:lineRule="auto"/>
        <w:ind w:left="0"/>
        <w:jc w:val="both"/>
        <w:rPr>
          <w:rFonts w:ascii="Palatino Linotype" w:hAnsi="Palatino Linotype" w:cs="Arial"/>
          <w:sz w:val="24"/>
        </w:rPr>
      </w:pPr>
    </w:p>
    <w:p w14:paraId="1DCEFE3B" w14:textId="30B50E4B" w:rsidR="0035780A" w:rsidRPr="00A90B26" w:rsidRDefault="0035780A"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color w:val="000000"/>
          <w:sz w:val="24"/>
        </w:rPr>
        <w:t xml:space="preserve">Sirve de sustento </w:t>
      </w:r>
      <w:r w:rsidRPr="00A90B26">
        <w:rPr>
          <w:rFonts w:ascii="Palatino Linotype" w:hAnsi="Palatino Linotype"/>
          <w:color w:val="000000"/>
          <w:sz w:val="24"/>
        </w:rPr>
        <w:t>la Jurisprudencia No. 29 visible a foja 19 del Apéndice al Semanario Judicial de la Federación 1917-1995, Torno VI, Materia Común, Primera Parte, Tesis de la Suprema Corte de Justicia, que contiene:</w:t>
      </w:r>
    </w:p>
    <w:p w14:paraId="7BEB1CDC" w14:textId="77777777" w:rsidR="00A90B26" w:rsidRPr="00A90B26" w:rsidRDefault="00A90B26" w:rsidP="00A90B26">
      <w:pPr>
        <w:pStyle w:val="Prrafodelista"/>
        <w:rPr>
          <w:rFonts w:ascii="Palatino Linotype" w:hAnsi="Palatino Linotype" w:cs="Arial"/>
          <w:sz w:val="24"/>
        </w:rPr>
      </w:pPr>
    </w:p>
    <w:p w14:paraId="28FBDAE0" w14:textId="77777777" w:rsidR="0035780A" w:rsidRDefault="0035780A" w:rsidP="00A90B26">
      <w:pPr>
        <w:shd w:val="clear" w:color="auto" w:fill="FFFFFF"/>
        <w:spacing w:line="360" w:lineRule="auto"/>
        <w:ind w:left="567" w:right="567"/>
        <w:jc w:val="both"/>
        <w:rPr>
          <w:rFonts w:ascii="Palatino Linotype" w:hAnsi="Palatino Linotype"/>
          <w:i/>
          <w:iCs/>
          <w:color w:val="000000"/>
        </w:rPr>
      </w:pPr>
      <w:r w:rsidRPr="00A90B26">
        <w:rPr>
          <w:rFonts w:ascii="Palatino Linotype" w:hAnsi="Palatino Linotype"/>
          <w:b/>
          <w:bCs/>
          <w:i/>
          <w:iCs/>
          <w:color w:val="000000"/>
        </w:rPr>
        <w:t>AGRAVIOS EN LA REVISION. DEBEN ESTAR EN RELACION DIRECTA CON LOS FUNDAMENTOS Y CONSIDERACIONES DE LA SENTENCIA</w:t>
      </w:r>
      <w:r w:rsidRPr="00A90B26">
        <w:rPr>
          <w:rFonts w:ascii="Palatino Linotype" w:hAnsi="Palatino Linotype"/>
          <w:i/>
          <w:iCs/>
          <w:color w:val="000000"/>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3A67E3C8" w14:textId="77777777" w:rsidR="00A90B26" w:rsidRPr="00A90B26" w:rsidRDefault="00A90B26" w:rsidP="00A90B26">
      <w:pPr>
        <w:shd w:val="clear" w:color="auto" w:fill="FFFFFF"/>
        <w:spacing w:line="360" w:lineRule="auto"/>
        <w:ind w:left="567" w:right="567"/>
        <w:jc w:val="both"/>
        <w:rPr>
          <w:rFonts w:ascii="Palatino Linotype" w:hAnsi="Palatino Linotype"/>
          <w:i/>
          <w:iCs/>
          <w:color w:val="000000"/>
        </w:rPr>
      </w:pPr>
    </w:p>
    <w:p w14:paraId="52FB1E22" w14:textId="3AFACF02" w:rsidR="00266A9C" w:rsidRPr="00A90B26" w:rsidRDefault="0003690B"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color w:val="000000"/>
          <w:sz w:val="24"/>
        </w:rPr>
        <w:t>U</w:t>
      </w:r>
      <w:r w:rsidR="0035780A" w:rsidRPr="00A90B26">
        <w:rPr>
          <w:rFonts w:ascii="Palatino Linotype" w:hAnsi="Palatino Linotype" w:cs="Arial"/>
          <w:color w:val="000000"/>
          <w:sz w:val="24"/>
        </w:rPr>
        <w:t xml:space="preserve">na vez analizado que </w:t>
      </w:r>
      <w:r w:rsidRPr="00A90B26">
        <w:rPr>
          <w:rFonts w:ascii="Palatino Linotype" w:hAnsi="Palatino Linotype" w:cs="Arial"/>
          <w:color w:val="000000"/>
          <w:sz w:val="24"/>
        </w:rPr>
        <w:t xml:space="preserve">no existen hipervínculos o enlaces de Internet a </w:t>
      </w:r>
      <w:r w:rsidR="00266A9C" w:rsidRPr="00A90B26">
        <w:rPr>
          <w:rFonts w:ascii="Palatino Linotype" w:hAnsi="Palatino Linotype" w:cs="Arial"/>
          <w:color w:val="000000"/>
          <w:sz w:val="24"/>
        </w:rPr>
        <w:t>examinar</w:t>
      </w:r>
      <w:r w:rsidR="00A90B26" w:rsidRPr="00A90B26">
        <w:rPr>
          <w:rFonts w:ascii="Palatino Linotype" w:hAnsi="Palatino Linotype" w:cs="Arial"/>
          <w:color w:val="000000"/>
          <w:sz w:val="24"/>
        </w:rPr>
        <w:t>,</w:t>
      </w:r>
      <w:r w:rsidR="00266A9C" w:rsidRPr="00A90B26">
        <w:rPr>
          <w:rFonts w:ascii="Palatino Linotype" w:hAnsi="Palatino Linotype" w:cs="Arial"/>
          <w:color w:val="000000"/>
          <w:sz w:val="24"/>
        </w:rPr>
        <w:t xml:space="preserve"> que se pretenda distorsionar la solicitud con enlaces o que esta sea falsa como asevera el particular</w:t>
      </w:r>
      <w:r w:rsidR="0035780A" w:rsidRPr="00A90B26">
        <w:rPr>
          <w:rFonts w:ascii="Palatino Linotype" w:hAnsi="Palatino Linotype" w:cs="Arial"/>
          <w:color w:val="000000"/>
          <w:sz w:val="24"/>
        </w:rPr>
        <w:t>, s</w:t>
      </w:r>
      <w:r w:rsidR="00A301DA" w:rsidRPr="00A90B26">
        <w:rPr>
          <w:rFonts w:ascii="Palatino Linotype" w:hAnsi="Palatino Linotype" w:cs="Arial"/>
          <w:color w:val="000000"/>
          <w:sz w:val="24"/>
        </w:rPr>
        <w:t>e determina que el</w:t>
      </w:r>
      <w:r w:rsidR="0035780A" w:rsidRPr="00A90B26">
        <w:rPr>
          <w:rFonts w:ascii="Palatino Linotype" w:hAnsi="Palatino Linotype" w:cs="Arial"/>
          <w:color w:val="000000"/>
          <w:sz w:val="24"/>
        </w:rPr>
        <w:t xml:space="preserve"> escrito</w:t>
      </w:r>
      <w:r w:rsidR="00A301DA" w:rsidRPr="00A90B26">
        <w:rPr>
          <w:rFonts w:ascii="Palatino Linotype" w:hAnsi="Palatino Linotype" w:cs="Arial"/>
          <w:color w:val="000000"/>
          <w:sz w:val="24"/>
        </w:rPr>
        <w:t xml:space="preserve"> recursal </w:t>
      </w:r>
      <w:r w:rsidR="0035780A" w:rsidRPr="00A90B26">
        <w:rPr>
          <w:rFonts w:ascii="Palatino Linotype" w:hAnsi="Palatino Linotype" w:cs="Arial"/>
          <w:color w:val="000000"/>
          <w:sz w:val="24"/>
        </w:rPr>
        <w:t>no actualizan ninguna causal d</w:t>
      </w:r>
      <w:r w:rsidR="00A301DA" w:rsidRPr="00A90B26">
        <w:rPr>
          <w:rFonts w:ascii="Palatino Linotype" w:hAnsi="Palatino Linotype" w:cs="Arial"/>
          <w:color w:val="000000"/>
          <w:sz w:val="24"/>
        </w:rPr>
        <w:t xml:space="preserve">e procedencia </w:t>
      </w:r>
      <w:r w:rsidR="00266A9C" w:rsidRPr="00A90B26">
        <w:rPr>
          <w:rFonts w:ascii="Palatino Linotype" w:hAnsi="Palatino Linotype" w:cs="Arial"/>
          <w:color w:val="000000"/>
          <w:sz w:val="24"/>
        </w:rPr>
        <w:t xml:space="preserve">ya que no guarda relación con las constancias que obran en el expediente electrónico en que se actúa; </w:t>
      </w:r>
      <w:r w:rsidR="00A90B26" w:rsidRPr="00A90B26">
        <w:rPr>
          <w:rFonts w:ascii="Palatino Linotype" w:hAnsi="Palatino Linotype" w:cs="Arial"/>
          <w:color w:val="000000"/>
          <w:sz w:val="24"/>
        </w:rPr>
        <w:t>es decir</w:t>
      </w:r>
      <w:r w:rsidR="00A301DA" w:rsidRPr="00A90B26">
        <w:rPr>
          <w:rFonts w:ascii="Palatino Linotype" w:hAnsi="Palatino Linotype" w:cs="Arial"/>
          <w:color w:val="000000"/>
          <w:sz w:val="24"/>
        </w:rPr>
        <w:t xml:space="preserve"> </w:t>
      </w:r>
      <w:r w:rsidR="0035780A" w:rsidRPr="00A90B26">
        <w:rPr>
          <w:rFonts w:ascii="Palatino Linotype" w:hAnsi="Palatino Linotype" w:cs="Arial"/>
          <w:color w:val="000000"/>
          <w:sz w:val="24"/>
        </w:rPr>
        <w:t xml:space="preserve">con la solicitud </w:t>
      </w:r>
      <w:r w:rsidR="00266A9C" w:rsidRPr="00A90B26">
        <w:rPr>
          <w:rFonts w:ascii="Palatino Linotype" w:hAnsi="Palatino Linotype" w:cs="Arial"/>
          <w:color w:val="000000"/>
          <w:sz w:val="24"/>
        </w:rPr>
        <w:t xml:space="preserve">de información </w:t>
      </w:r>
      <w:r w:rsidR="0035780A" w:rsidRPr="00A90B26">
        <w:rPr>
          <w:rFonts w:ascii="Palatino Linotype" w:hAnsi="Palatino Linotype" w:cs="Arial"/>
          <w:color w:val="000000"/>
          <w:sz w:val="24"/>
        </w:rPr>
        <w:t xml:space="preserve">o </w:t>
      </w:r>
      <w:r w:rsidR="00266A9C" w:rsidRPr="00A90B26">
        <w:rPr>
          <w:rFonts w:ascii="Palatino Linotype" w:hAnsi="Palatino Linotype" w:cs="Arial"/>
          <w:color w:val="000000"/>
          <w:sz w:val="24"/>
        </w:rPr>
        <w:t xml:space="preserve">con </w:t>
      </w:r>
      <w:r w:rsidR="0035780A" w:rsidRPr="00A90B26">
        <w:rPr>
          <w:rFonts w:ascii="Palatino Linotype" w:hAnsi="Palatino Linotype" w:cs="Arial"/>
          <w:color w:val="000000"/>
          <w:sz w:val="24"/>
        </w:rPr>
        <w:t xml:space="preserve">la respuesta. </w:t>
      </w:r>
    </w:p>
    <w:p w14:paraId="0A0933A3" w14:textId="77777777" w:rsidR="00266A9C" w:rsidRPr="00A90B26" w:rsidRDefault="00266A9C" w:rsidP="00A90B26">
      <w:pPr>
        <w:pStyle w:val="Prrafodelista"/>
        <w:spacing w:line="360" w:lineRule="auto"/>
        <w:ind w:left="0"/>
        <w:jc w:val="both"/>
        <w:rPr>
          <w:rFonts w:ascii="Palatino Linotype" w:hAnsi="Palatino Linotype" w:cs="Arial"/>
          <w:sz w:val="24"/>
        </w:rPr>
      </w:pPr>
    </w:p>
    <w:p w14:paraId="7E3E7B41" w14:textId="2AB5FCAE" w:rsidR="0035780A" w:rsidRPr="00A90B26" w:rsidRDefault="0035780A"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color w:val="000000"/>
          <w:sz w:val="24"/>
        </w:rPr>
        <w:t>En consecuencia, l</w:t>
      </w:r>
      <w:r w:rsidRPr="00A90B26">
        <w:rPr>
          <w:rFonts w:ascii="Palatino Linotype" w:eastAsia="Calibri" w:hAnsi="Palatino Linotype" w:cs="Arial"/>
          <w:sz w:val="24"/>
        </w:rPr>
        <w:t xml:space="preserve">a falta de actualización de causal de procedencia, trae consigo que el </w:t>
      </w:r>
      <w:r w:rsidR="00A90B26" w:rsidRPr="00A90B26">
        <w:rPr>
          <w:rFonts w:ascii="Palatino Linotype" w:eastAsia="Calibri" w:hAnsi="Palatino Linotype" w:cs="Arial"/>
          <w:sz w:val="24"/>
        </w:rPr>
        <w:t>Recurso de R</w:t>
      </w:r>
      <w:r w:rsidRPr="00A90B26">
        <w:rPr>
          <w:rFonts w:ascii="Palatino Linotype" w:eastAsia="Calibri" w:hAnsi="Palatino Linotype" w:cs="Arial"/>
          <w:sz w:val="24"/>
        </w:rPr>
        <w:t>evisión sea desechado por improcedente, de acuerdo al artículo 191 de la citada ley:</w:t>
      </w:r>
    </w:p>
    <w:p w14:paraId="58CA111C" w14:textId="77777777" w:rsidR="00A90B26" w:rsidRPr="00A90B26" w:rsidRDefault="00A90B26" w:rsidP="00A90B26">
      <w:pPr>
        <w:pStyle w:val="Prrafodelista"/>
        <w:rPr>
          <w:rFonts w:ascii="Palatino Linotype" w:hAnsi="Palatino Linotype" w:cs="Arial"/>
          <w:sz w:val="24"/>
        </w:rPr>
      </w:pPr>
    </w:p>
    <w:p w14:paraId="585FF3FA"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Artículo 191. El recurso será desechado por improcedente cuando:</w:t>
      </w:r>
    </w:p>
    <w:p w14:paraId="7E59F9E9" w14:textId="111EDBDA" w:rsidR="0035780A" w:rsidRPr="00A90B26"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 xml:space="preserve">I. Sea extemporáneo por haber transcurrido el plazo establecido en la presente Ley, a partir de la respuesta; </w:t>
      </w:r>
    </w:p>
    <w:p w14:paraId="5CD56B62"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 xml:space="preserve">II. Se esté tramitando ante el Poder Judicial de la Federación algún recurso o medio de defensa interpuesto por el recurrente; </w:t>
      </w:r>
    </w:p>
    <w:p w14:paraId="028585AB"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b/>
          <w:i/>
          <w:sz w:val="24"/>
        </w:rPr>
      </w:pPr>
      <w:r w:rsidRPr="00A90B26">
        <w:rPr>
          <w:rFonts w:ascii="Palatino Linotype" w:hAnsi="Palatino Linotype"/>
          <w:b/>
          <w:i/>
          <w:sz w:val="24"/>
        </w:rPr>
        <w:t xml:space="preserve">III. No actualice alguno de los supuestos previstos en la presente Ley; </w:t>
      </w:r>
    </w:p>
    <w:p w14:paraId="57659649"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 xml:space="preserve">IV. No se haya desahogado la prevención en los términos establecidos en la presente Ley; </w:t>
      </w:r>
    </w:p>
    <w:p w14:paraId="6F434BF4"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b/>
          <w:i/>
          <w:sz w:val="24"/>
        </w:rPr>
      </w:pPr>
      <w:r w:rsidRPr="00A90B26">
        <w:rPr>
          <w:rFonts w:ascii="Palatino Linotype" w:hAnsi="Palatino Linotype"/>
          <w:b/>
          <w:i/>
          <w:sz w:val="24"/>
        </w:rPr>
        <w:t xml:space="preserve">V. Se impugne la veracidad de la información proporcionada; </w:t>
      </w:r>
    </w:p>
    <w:p w14:paraId="03C5D3E5" w14:textId="77777777" w:rsidR="0035780A" w:rsidRPr="00A90B26"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 xml:space="preserve">VI. Se trate de una consulta, o trámite en específico; y </w:t>
      </w:r>
    </w:p>
    <w:p w14:paraId="575E9C3B" w14:textId="77777777" w:rsidR="0035780A" w:rsidRDefault="0035780A" w:rsidP="00A90B26">
      <w:pPr>
        <w:pStyle w:val="Prrafodelista"/>
        <w:tabs>
          <w:tab w:val="left" w:pos="567"/>
        </w:tabs>
        <w:spacing w:line="360" w:lineRule="auto"/>
        <w:ind w:left="567" w:right="822"/>
        <w:jc w:val="both"/>
        <w:rPr>
          <w:rFonts w:ascii="Palatino Linotype" w:hAnsi="Palatino Linotype"/>
          <w:i/>
          <w:sz w:val="24"/>
        </w:rPr>
      </w:pPr>
      <w:r w:rsidRPr="00A90B26">
        <w:rPr>
          <w:rFonts w:ascii="Palatino Linotype" w:hAnsi="Palatino Linotype"/>
          <w:i/>
          <w:sz w:val="24"/>
        </w:rPr>
        <w:t>VII. El recurrente amplíe su solicitud en el recurso de revisión, únicamente respecto de los nuevos contenidos.</w:t>
      </w:r>
    </w:p>
    <w:p w14:paraId="67E4FE61" w14:textId="77777777" w:rsidR="00A90B26" w:rsidRPr="00A90B26" w:rsidRDefault="00A90B26" w:rsidP="00A90B26">
      <w:pPr>
        <w:pStyle w:val="Prrafodelista"/>
        <w:tabs>
          <w:tab w:val="left" w:pos="567"/>
        </w:tabs>
        <w:spacing w:line="360" w:lineRule="auto"/>
        <w:ind w:left="567" w:right="822"/>
        <w:jc w:val="both"/>
        <w:rPr>
          <w:rFonts w:ascii="Palatino Linotype" w:hAnsi="Palatino Linotype"/>
          <w:i/>
          <w:sz w:val="24"/>
        </w:rPr>
      </w:pPr>
    </w:p>
    <w:p w14:paraId="0143A211" w14:textId="30725281" w:rsidR="0035780A" w:rsidRPr="00A90B26" w:rsidRDefault="00A90B26"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eastAsia="Calibri" w:hAnsi="Palatino Linotype" w:cs="Arial"/>
          <w:sz w:val="24"/>
        </w:rPr>
        <w:t>Es así que, el R</w:t>
      </w:r>
      <w:r w:rsidR="0035780A" w:rsidRPr="00A90B26">
        <w:rPr>
          <w:rFonts w:ascii="Palatino Linotype" w:eastAsia="Calibri" w:hAnsi="Palatino Linotype" w:cs="Arial"/>
          <w:sz w:val="24"/>
        </w:rPr>
        <w:t xml:space="preserve">ecurso </w:t>
      </w:r>
      <w:r w:rsidR="00A301DA" w:rsidRPr="00A90B26">
        <w:rPr>
          <w:rFonts w:ascii="Palatino Linotype" w:eastAsia="Calibri" w:hAnsi="Palatino Linotype" w:cs="Arial"/>
          <w:sz w:val="24"/>
        </w:rPr>
        <w:t xml:space="preserve">de </w:t>
      </w:r>
      <w:r w:rsidRPr="00A90B26">
        <w:rPr>
          <w:rFonts w:ascii="Palatino Linotype" w:eastAsia="Calibri" w:hAnsi="Palatino Linotype" w:cs="Arial"/>
          <w:sz w:val="24"/>
        </w:rPr>
        <w:t>R</w:t>
      </w:r>
      <w:r w:rsidR="00A301DA" w:rsidRPr="00A90B26">
        <w:rPr>
          <w:rFonts w:ascii="Palatino Linotype" w:eastAsia="Calibri" w:hAnsi="Palatino Linotype" w:cs="Arial"/>
          <w:sz w:val="24"/>
        </w:rPr>
        <w:t>evisión actualiza</w:t>
      </w:r>
      <w:r w:rsidR="0035780A" w:rsidRPr="00A90B26">
        <w:rPr>
          <w:rFonts w:ascii="Palatino Linotype" w:eastAsia="Calibri" w:hAnsi="Palatino Linotype" w:cs="Arial"/>
          <w:sz w:val="24"/>
        </w:rPr>
        <w:t xml:space="preserve"> la causal de sobreseimiento establecida en la fracción IV del artículo 192, en rel</w:t>
      </w:r>
      <w:r w:rsidRPr="00A90B26">
        <w:rPr>
          <w:rFonts w:ascii="Palatino Linotype" w:eastAsia="Calibri" w:hAnsi="Palatino Linotype" w:cs="Arial"/>
          <w:sz w:val="24"/>
        </w:rPr>
        <w:t>ación a las fracciones III y V</w:t>
      </w:r>
      <w:r w:rsidR="0035780A" w:rsidRPr="00A90B26">
        <w:rPr>
          <w:rFonts w:ascii="Palatino Linotype" w:eastAsia="Calibri" w:hAnsi="Palatino Linotype" w:cs="Arial"/>
          <w:sz w:val="24"/>
        </w:rPr>
        <w:t xml:space="preserve"> del artículo 191, ambos de la Ley de Transparencia y Acceso a la Información Pública del Estado de México y Municipios.</w:t>
      </w:r>
    </w:p>
    <w:p w14:paraId="7C30181F" w14:textId="77777777" w:rsidR="0035780A" w:rsidRPr="00A90B26" w:rsidRDefault="0035780A" w:rsidP="00A90B26">
      <w:pPr>
        <w:pStyle w:val="Prrafodelista"/>
        <w:spacing w:line="360" w:lineRule="auto"/>
        <w:ind w:left="0"/>
        <w:jc w:val="both"/>
        <w:rPr>
          <w:rFonts w:ascii="Palatino Linotype" w:hAnsi="Palatino Linotype" w:cs="Arial"/>
          <w:sz w:val="24"/>
        </w:rPr>
      </w:pPr>
    </w:p>
    <w:p w14:paraId="4A9C2E79" w14:textId="46300F28" w:rsidR="0035780A" w:rsidRPr="00A90B26" w:rsidRDefault="0035780A"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eastAsia="Calibri" w:hAnsi="Palatino Linotype" w:cs="Arial"/>
          <w:sz w:val="24"/>
          <w:lang w:val="es-ES_tradnl" w:eastAsia="es-ES"/>
        </w:rPr>
        <w:t>No obstante, a efecto de no vulnerar los derechos del particular, este Órgano Garante deja a salvo sus derechos para que, si así lo desea, presente una nueva solicitud de acceso a la información requiriendo información que sea de su interés.</w:t>
      </w:r>
    </w:p>
    <w:p w14:paraId="574CED5A" w14:textId="77777777" w:rsidR="00A90B26" w:rsidRPr="00A90B26" w:rsidRDefault="00A90B26" w:rsidP="00A90B26">
      <w:pPr>
        <w:pStyle w:val="Prrafodelista"/>
        <w:spacing w:line="360" w:lineRule="auto"/>
        <w:rPr>
          <w:rFonts w:ascii="Palatino Linotype" w:hAnsi="Palatino Linotype" w:cs="Arial"/>
          <w:sz w:val="24"/>
        </w:rPr>
      </w:pPr>
    </w:p>
    <w:p w14:paraId="5577CFFB" w14:textId="4043CED7" w:rsidR="003D6B6E" w:rsidRPr="00A90B26" w:rsidRDefault="0035780A" w:rsidP="00A90B26">
      <w:pPr>
        <w:pStyle w:val="Prrafodelista"/>
        <w:numPr>
          <w:ilvl w:val="0"/>
          <w:numId w:val="8"/>
        </w:numPr>
        <w:spacing w:line="360" w:lineRule="auto"/>
        <w:ind w:left="0" w:firstLine="0"/>
        <w:jc w:val="both"/>
        <w:rPr>
          <w:rFonts w:ascii="Palatino Linotype" w:hAnsi="Palatino Linotype" w:cs="Arial"/>
          <w:sz w:val="24"/>
        </w:rPr>
      </w:pPr>
      <w:r w:rsidRPr="00A90B26">
        <w:rPr>
          <w:rFonts w:ascii="Palatino Linotype" w:hAnsi="Palatino Linotype" w:cs="Arial"/>
          <w:color w:val="222222"/>
          <w:sz w:val="24"/>
          <w:lang w:val="es-ES_tradnl"/>
        </w:rPr>
        <w:t xml:space="preserve">Por lo anteriormente expuesto y fundado, este </w:t>
      </w:r>
      <w:r w:rsidRPr="00A90B26">
        <w:rPr>
          <w:rFonts w:ascii="Palatino Linotype" w:hAnsi="Palatino Linotype" w:cs="Arial"/>
          <w:b/>
          <w:bCs/>
          <w:color w:val="222222"/>
          <w:sz w:val="24"/>
          <w:lang w:val="es-ES_tradnl"/>
        </w:rPr>
        <w:t>ÓRGANO GARANTE</w:t>
      </w:r>
      <w:r w:rsidRPr="00A90B26">
        <w:rPr>
          <w:rFonts w:ascii="Palatino Linotype" w:hAnsi="Palatino Linotype" w:cs="Arial"/>
          <w:color w:val="222222"/>
          <w:sz w:val="24"/>
          <w:lang w:val="es-ES_tradnl"/>
        </w:rPr>
        <w:t xml:space="preserve"> emite los siguientes:</w:t>
      </w:r>
      <w:bookmarkStart w:id="36" w:name="_Toc466371865"/>
      <w:bookmarkStart w:id="37" w:name="_Toc466377653"/>
      <w:bookmarkStart w:id="38" w:name="_Toc495427547"/>
      <w:bookmarkStart w:id="39" w:name="_Toc49790536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42F1B5" w14:textId="77777777" w:rsidR="00A90B26" w:rsidRPr="00A90B26" w:rsidRDefault="00A90B26" w:rsidP="00A90B26">
      <w:pPr>
        <w:pStyle w:val="Prrafodelista"/>
        <w:rPr>
          <w:rFonts w:ascii="Palatino Linotype" w:hAnsi="Palatino Linotype" w:cs="Arial"/>
          <w:sz w:val="24"/>
        </w:rPr>
      </w:pPr>
    </w:p>
    <w:p w14:paraId="7FA35164" w14:textId="77777777" w:rsidR="00D262C2" w:rsidRPr="00A90B26" w:rsidRDefault="00D262C2" w:rsidP="00A90B26">
      <w:pPr>
        <w:pStyle w:val="Ttulo1"/>
        <w:spacing w:before="0" w:line="360" w:lineRule="auto"/>
        <w:jc w:val="center"/>
        <w:rPr>
          <w:rFonts w:ascii="Palatino Linotype" w:hAnsi="Palatino Linotype"/>
          <w:b/>
          <w:color w:val="000000" w:themeColor="text1"/>
          <w:sz w:val="24"/>
          <w:szCs w:val="24"/>
        </w:rPr>
      </w:pPr>
      <w:bookmarkStart w:id="40" w:name="_Toc81233128"/>
      <w:r w:rsidRPr="00A90B26">
        <w:rPr>
          <w:rFonts w:ascii="Palatino Linotype" w:hAnsi="Palatino Linotype"/>
          <w:b/>
          <w:color w:val="000000" w:themeColor="text1"/>
          <w:sz w:val="24"/>
          <w:szCs w:val="24"/>
        </w:rPr>
        <w:t>R E S O L U T I V O S</w:t>
      </w:r>
      <w:bookmarkEnd w:id="36"/>
      <w:bookmarkEnd w:id="37"/>
      <w:bookmarkEnd w:id="38"/>
      <w:bookmarkEnd w:id="39"/>
      <w:bookmarkEnd w:id="40"/>
    </w:p>
    <w:p w14:paraId="377671EC" w14:textId="77777777" w:rsidR="00FA6533" w:rsidRPr="00A90B26" w:rsidRDefault="00FA6533" w:rsidP="00A90B26">
      <w:pPr>
        <w:spacing w:line="360" w:lineRule="auto"/>
        <w:rPr>
          <w:rFonts w:ascii="Palatino Linotype" w:hAnsi="Palatino Linotype"/>
        </w:rPr>
      </w:pPr>
    </w:p>
    <w:p w14:paraId="55FD49AB" w14:textId="7FE01D9A" w:rsidR="00D262C2" w:rsidRDefault="00D262C2" w:rsidP="00A90B2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A90B26">
        <w:rPr>
          <w:rFonts w:ascii="Palatino Linotype" w:hAnsi="Palatino Linotype"/>
          <w:b/>
        </w:rPr>
        <w:t>PRIMERO.</w:t>
      </w:r>
      <w:r w:rsidRPr="00A90B26">
        <w:rPr>
          <w:rFonts w:ascii="Palatino Linotype" w:hAnsi="Palatino Linotype"/>
        </w:rPr>
        <w:t xml:space="preserve"> </w:t>
      </w:r>
      <w:r w:rsidR="00A90B26" w:rsidRPr="00A90B26">
        <w:rPr>
          <w:rFonts w:ascii="Palatino Linotype" w:eastAsia="Palatino Linotype" w:hAnsi="Palatino Linotype" w:cs="Palatino Linotype"/>
        </w:rPr>
        <w:t>Se</w:t>
      </w:r>
      <w:r w:rsidR="00A90B26" w:rsidRPr="00A90B26">
        <w:rPr>
          <w:rFonts w:ascii="Palatino Linotype" w:eastAsia="Palatino Linotype" w:hAnsi="Palatino Linotype" w:cs="Palatino Linotype"/>
          <w:b/>
        </w:rPr>
        <w:t xml:space="preserve"> SOBRESEE </w:t>
      </w:r>
      <w:r w:rsidR="00A90B26" w:rsidRPr="00A90B26">
        <w:rPr>
          <w:rFonts w:ascii="Palatino Linotype" w:eastAsia="Palatino Linotype" w:hAnsi="Palatino Linotype" w:cs="Palatino Linotype"/>
        </w:rPr>
        <w:t xml:space="preserve">el recurso de revisión número </w:t>
      </w:r>
      <w:r w:rsidR="00A90B26" w:rsidRPr="00A90B26">
        <w:rPr>
          <w:rFonts w:ascii="Palatino Linotype" w:eastAsia="Palatino Linotype" w:hAnsi="Palatino Linotype" w:cs="Palatino Linotype"/>
          <w:b/>
        </w:rPr>
        <w:t xml:space="preserve">02023/INFOEM/IP/RR/2024, </w:t>
      </w:r>
      <w:r w:rsidR="00A90B26" w:rsidRPr="00A90B26">
        <w:rPr>
          <w:rFonts w:ascii="Palatino Linotype" w:eastAsia="Palatino Linotype" w:hAnsi="Palatino Linotype" w:cs="Palatino Linotype"/>
        </w:rPr>
        <w:t>porque una vez admitido se actualizó la causal de improcedencia prevista en artículo 192</w:t>
      </w:r>
      <w:r w:rsidR="00EB0F2D">
        <w:rPr>
          <w:rFonts w:ascii="Palatino Linotype" w:eastAsia="Palatino Linotype" w:hAnsi="Palatino Linotype" w:cs="Palatino Linotype"/>
        </w:rPr>
        <w:t>,</w:t>
      </w:r>
      <w:r w:rsidR="00A90B26" w:rsidRPr="00A90B26">
        <w:rPr>
          <w:rFonts w:ascii="Palatino Linotype" w:eastAsia="Palatino Linotype" w:hAnsi="Palatino Linotype" w:cs="Palatino Linotype"/>
        </w:rPr>
        <w:t xml:space="preserve"> fracción IV, en relación con la fracción III</w:t>
      </w:r>
      <w:r w:rsidR="00EB0F2D">
        <w:rPr>
          <w:rFonts w:ascii="Palatino Linotype" w:eastAsia="Palatino Linotype" w:hAnsi="Palatino Linotype" w:cs="Palatino Linotype"/>
        </w:rPr>
        <w:t>,</w:t>
      </w:r>
      <w:r w:rsidR="00A90B26" w:rsidRPr="00A90B26">
        <w:rPr>
          <w:rFonts w:ascii="Palatino Linotype" w:eastAsia="Palatino Linotype" w:hAnsi="Palatino Linotype" w:cs="Palatino Linotype"/>
        </w:rPr>
        <w:t xml:space="preserve"> del artículo 191, de la Ley de Transparencia vigente en la entidad, quedando sin materia en términos del </w:t>
      </w:r>
      <w:r w:rsidR="00A90B26" w:rsidRPr="00A90B26">
        <w:rPr>
          <w:rFonts w:ascii="Palatino Linotype" w:eastAsia="Palatino Linotype" w:hAnsi="Palatino Linotype" w:cs="Palatino Linotype"/>
          <w:b/>
        </w:rPr>
        <w:t>Considerando Tercero</w:t>
      </w:r>
      <w:r w:rsidR="00A90B26" w:rsidRPr="00A90B26">
        <w:rPr>
          <w:rFonts w:ascii="Palatino Linotype" w:eastAsia="Palatino Linotype" w:hAnsi="Palatino Linotype" w:cs="Palatino Linotype"/>
        </w:rPr>
        <w:t xml:space="preserve"> de la presente Resolución.</w:t>
      </w:r>
    </w:p>
    <w:p w14:paraId="60D9EFCF" w14:textId="77777777" w:rsidR="00A90B26" w:rsidRPr="00A90B26" w:rsidRDefault="00A90B26" w:rsidP="00A90B26">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71000447" w14:textId="203BAC95" w:rsidR="00D262C2" w:rsidRDefault="00D262C2" w:rsidP="00A90B26">
      <w:pPr>
        <w:pStyle w:val="Sinespaciado"/>
        <w:spacing w:line="360" w:lineRule="auto"/>
        <w:jc w:val="both"/>
        <w:rPr>
          <w:rFonts w:ascii="Palatino Linotype" w:eastAsia="Calibri" w:hAnsi="Palatino Linotype" w:cs="Arial"/>
          <w:b/>
          <w:bCs/>
          <w:sz w:val="24"/>
          <w:szCs w:val="24"/>
          <w:lang w:val="es-ES"/>
        </w:rPr>
      </w:pPr>
      <w:r w:rsidRPr="00A90B26">
        <w:rPr>
          <w:rFonts w:ascii="Palatino Linotype" w:eastAsia="Calibri" w:hAnsi="Palatino Linotype" w:cs="Arial"/>
          <w:b/>
          <w:bCs/>
          <w:sz w:val="24"/>
          <w:szCs w:val="24"/>
          <w:lang w:val="es-ES"/>
        </w:rPr>
        <w:t xml:space="preserve">SEGUNDO. REMÍTASE </w:t>
      </w:r>
      <w:r w:rsidRPr="00A90B26">
        <w:rPr>
          <w:rFonts w:ascii="Palatino Linotype" w:eastAsia="Calibri" w:hAnsi="Palatino Linotype" w:cs="Arial"/>
          <w:bCs/>
          <w:sz w:val="24"/>
          <w:szCs w:val="24"/>
          <w:lang w:val="es-ES"/>
        </w:rPr>
        <w:t xml:space="preserve">a través del Sistema de Acceso a la Información Mexiquense </w:t>
      </w:r>
      <w:r w:rsidRPr="00A90B26">
        <w:rPr>
          <w:rFonts w:ascii="Palatino Linotype" w:eastAsia="Calibri" w:hAnsi="Palatino Linotype" w:cs="Arial"/>
          <w:b/>
          <w:bCs/>
          <w:sz w:val="24"/>
          <w:szCs w:val="24"/>
          <w:lang w:val="es-ES"/>
        </w:rPr>
        <w:t xml:space="preserve">(SAIMEX) </w:t>
      </w:r>
      <w:r w:rsidR="00A90B26" w:rsidRPr="00A90B26">
        <w:rPr>
          <w:rFonts w:ascii="Palatino Linotype" w:eastAsia="Calibri" w:hAnsi="Palatino Linotype" w:cs="Arial"/>
          <w:bCs/>
          <w:sz w:val="24"/>
          <w:szCs w:val="24"/>
          <w:lang w:val="es-ES"/>
        </w:rPr>
        <w:t>la presente R</w:t>
      </w:r>
      <w:r w:rsidRPr="00A90B26">
        <w:rPr>
          <w:rFonts w:ascii="Palatino Linotype" w:eastAsia="Calibri" w:hAnsi="Palatino Linotype" w:cs="Arial"/>
          <w:bCs/>
          <w:sz w:val="24"/>
          <w:szCs w:val="24"/>
          <w:lang w:val="es-ES"/>
        </w:rPr>
        <w:t>esolución al Titular de la Unidad de Transparencia del</w:t>
      </w:r>
      <w:r w:rsidRPr="00A90B26">
        <w:rPr>
          <w:rFonts w:ascii="Palatino Linotype" w:eastAsia="Calibri" w:hAnsi="Palatino Linotype" w:cs="Arial"/>
          <w:b/>
          <w:bCs/>
          <w:sz w:val="24"/>
          <w:szCs w:val="24"/>
          <w:lang w:val="es-ES"/>
        </w:rPr>
        <w:t xml:space="preserve"> SUJETO OBLIGADO. </w:t>
      </w:r>
    </w:p>
    <w:p w14:paraId="5485488D" w14:textId="77777777" w:rsidR="00A90B26" w:rsidRPr="00A90B26" w:rsidRDefault="00A90B26" w:rsidP="00A90B26">
      <w:pPr>
        <w:pStyle w:val="Sinespaciado"/>
        <w:spacing w:line="360" w:lineRule="auto"/>
        <w:jc w:val="both"/>
        <w:rPr>
          <w:rFonts w:ascii="Palatino Linotype" w:eastAsia="Calibri" w:hAnsi="Palatino Linotype" w:cs="Arial"/>
          <w:b/>
          <w:bCs/>
          <w:sz w:val="24"/>
          <w:szCs w:val="24"/>
          <w:lang w:val="es-ES"/>
        </w:rPr>
      </w:pPr>
    </w:p>
    <w:p w14:paraId="28B10BDC" w14:textId="70FDBDEB" w:rsidR="00D262C2" w:rsidRDefault="00D262C2" w:rsidP="00A90B26">
      <w:pPr>
        <w:pStyle w:val="Sinespaciado"/>
        <w:spacing w:line="360" w:lineRule="auto"/>
        <w:jc w:val="both"/>
        <w:rPr>
          <w:rFonts w:ascii="Palatino Linotype" w:eastAsia="Times New Roman" w:hAnsi="Palatino Linotype" w:cs="Times New Roman"/>
          <w:b/>
          <w:color w:val="222222"/>
          <w:sz w:val="24"/>
          <w:szCs w:val="24"/>
          <w:lang w:val="es-ES" w:eastAsia="es-MX"/>
        </w:rPr>
      </w:pPr>
      <w:r w:rsidRPr="00A90B26">
        <w:rPr>
          <w:rFonts w:ascii="Palatino Linotype" w:eastAsia="Times New Roman" w:hAnsi="Palatino Linotype" w:cs="Arial"/>
          <w:b/>
          <w:sz w:val="24"/>
          <w:szCs w:val="24"/>
        </w:rPr>
        <w:t xml:space="preserve">TERCERO. </w:t>
      </w:r>
      <w:r w:rsidRPr="00A90B26">
        <w:rPr>
          <w:rFonts w:ascii="Palatino Linotype" w:eastAsia="Times New Roman" w:hAnsi="Palatino Linotype" w:cs="Times New Roman"/>
          <w:b/>
          <w:bCs/>
          <w:sz w:val="24"/>
          <w:szCs w:val="24"/>
          <w:lang w:val="es-ES"/>
        </w:rPr>
        <w:t xml:space="preserve">Notifíquese </w:t>
      </w:r>
      <w:r w:rsidRPr="00A90B26">
        <w:rPr>
          <w:rFonts w:ascii="Palatino Linotype" w:eastAsia="Times New Roman" w:hAnsi="Palatino Linotype" w:cs="Times New Roman"/>
          <w:bCs/>
          <w:color w:val="222222"/>
          <w:sz w:val="24"/>
          <w:szCs w:val="24"/>
          <w:lang w:val="es-ES"/>
        </w:rPr>
        <w:t>a</w:t>
      </w:r>
      <w:r w:rsidR="00FA6533" w:rsidRPr="00A90B26">
        <w:rPr>
          <w:rFonts w:ascii="Palatino Linotype" w:eastAsia="Times New Roman" w:hAnsi="Palatino Linotype" w:cs="Times New Roman"/>
          <w:bCs/>
          <w:color w:val="222222"/>
          <w:sz w:val="24"/>
          <w:szCs w:val="24"/>
          <w:lang w:val="es-ES"/>
        </w:rPr>
        <w:t>l</w:t>
      </w:r>
      <w:r w:rsidRPr="00A90B26">
        <w:rPr>
          <w:rFonts w:ascii="Palatino Linotype" w:eastAsia="Times New Roman" w:hAnsi="Palatino Linotype" w:cs="Times New Roman"/>
          <w:bCs/>
          <w:color w:val="222222"/>
          <w:sz w:val="24"/>
          <w:szCs w:val="24"/>
          <w:lang w:val="es-ES"/>
        </w:rPr>
        <w:t xml:space="preserve"> </w:t>
      </w:r>
      <w:r w:rsidR="00FA6533" w:rsidRPr="00A90B26">
        <w:rPr>
          <w:rFonts w:ascii="Palatino Linotype" w:hAnsi="Palatino Linotype"/>
          <w:b/>
          <w:sz w:val="24"/>
          <w:szCs w:val="24"/>
        </w:rPr>
        <w:t>RECURRENTE</w:t>
      </w:r>
      <w:r w:rsidRPr="00A90B26">
        <w:rPr>
          <w:rFonts w:ascii="Palatino Linotype" w:hAnsi="Palatino Linotype"/>
          <w:b/>
          <w:sz w:val="24"/>
          <w:szCs w:val="24"/>
        </w:rPr>
        <w:t xml:space="preserve"> </w:t>
      </w:r>
      <w:r w:rsidR="00A90B26" w:rsidRPr="00A90B26">
        <w:rPr>
          <w:rFonts w:ascii="Palatino Linotype" w:eastAsia="Times New Roman" w:hAnsi="Palatino Linotype" w:cs="Times New Roman"/>
          <w:color w:val="222222"/>
          <w:sz w:val="24"/>
          <w:szCs w:val="24"/>
          <w:lang w:val="es-ES" w:eastAsia="es-MX"/>
        </w:rPr>
        <w:t>la presente R</w:t>
      </w:r>
      <w:r w:rsidR="001F6479" w:rsidRPr="00A90B26">
        <w:rPr>
          <w:rFonts w:ascii="Palatino Linotype" w:eastAsia="Times New Roman" w:hAnsi="Palatino Linotype" w:cs="Times New Roman"/>
          <w:color w:val="222222"/>
          <w:sz w:val="24"/>
          <w:szCs w:val="24"/>
          <w:lang w:val="es-ES" w:eastAsia="es-MX"/>
        </w:rPr>
        <w:t xml:space="preserve">esolución a través del Sistema de Acceso a la Información Mexiquense </w:t>
      </w:r>
      <w:r w:rsidR="001F6479" w:rsidRPr="00A90B26">
        <w:rPr>
          <w:rFonts w:ascii="Palatino Linotype" w:eastAsia="Times New Roman" w:hAnsi="Palatino Linotype" w:cs="Times New Roman"/>
          <w:b/>
          <w:color w:val="222222"/>
          <w:sz w:val="24"/>
          <w:szCs w:val="24"/>
          <w:lang w:val="es-ES" w:eastAsia="es-MX"/>
        </w:rPr>
        <w:t>(SAIMEX).</w:t>
      </w:r>
    </w:p>
    <w:p w14:paraId="2B20B856" w14:textId="4C58EC60" w:rsidR="00D262C2" w:rsidRPr="00A90B26" w:rsidRDefault="00D262C2" w:rsidP="00A90B26">
      <w:pPr>
        <w:pStyle w:val="Prrafodelista"/>
        <w:spacing w:line="360" w:lineRule="auto"/>
        <w:ind w:left="0"/>
        <w:jc w:val="both"/>
        <w:rPr>
          <w:rFonts w:ascii="Palatino Linotype" w:eastAsia="MS Mincho" w:hAnsi="Palatino Linotype"/>
          <w:sz w:val="24"/>
          <w:lang w:val="es-ES"/>
        </w:rPr>
      </w:pPr>
      <w:r w:rsidRPr="00A90B26">
        <w:rPr>
          <w:rFonts w:ascii="Palatino Linotype" w:eastAsia="MS Mincho" w:hAnsi="Palatino Linotype"/>
          <w:b/>
          <w:sz w:val="24"/>
        </w:rPr>
        <w:t>CUARTO.</w:t>
      </w:r>
      <w:r w:rsidRPr="00A90B26">
        <w:rPr>
          <w:rFonts w:ascii="Palatino Linotype" w:eastAsia="MS Mincho" w:hAnsi="Palatino Linotype"/>
          <w:sz w:val="24"/>
        </w:rPr>
        <w:t xml:space="preserve"> </w:t>
      </w:r>
      <w:r w:rsidRPr="00A90B26">
        <w:rPr>
          <w:rFonts w:ascii="Palatino Linotype" w:eastAsia="MS Mincho" w:hAnsi="Palatino Linotype"/>
          <w:sz w:val="24"/>
          <w:lang w:val="es-ES"/>
        </w:rPr>
        <w:t>Se hace del conocimiento de</w:t>
      </w:r>
      <w:r w:rsidR="00FA6533" w:rsidRPr="00A90B26">
        <w:rPr>
          <w:rFonts w:ascii="Palatino Linotype" w:eastAsia="MS Mincho" w:hAnsi="Palatino Linotype"/>
          <w:sz w:val="24"/>
          <w:lang w:val="es-ES"/>
        </w:rPr>
        <w:t>l</w:t>
      </w:r>
      <w:r w:rsidRPr="00A90B26">
        <w:rPr>
          <w:rFonts w:ascii="Palatino Linotype" w:eastAsia="MS Mincho" w:hAnsi="Palatino Linotype"/>
          <w:sz w:val="24"/>
          <w:lang w:val="es-ES"/>
        </w:rPr>
        <w:t xml:space="preserve"> </w:t>
      </w:r>
      <w:r w:rsidR="00FA6533" w:rsidRPr="00A90B26">
        <w:rPr>
          <w:rFonts w:ascii="Palatino Linotype" w:hAnsi="Palatino Linotype"/>
          <w:b/>
          <w:sz w:val="24"/>
        </w:rPr>
        <w:t>RECURRENTE</w:t>
      </w:r>
      <w:r w:rsidRPr="00A90B26">
        <w:rPr>
          <w:rFonts w:ascii="Palatino Linotype" w:hAnsi="Palatino Linotype"/>
          <w:b/>
          <w:sz w:val="24"/>
        </w:rPr>
        <w:t xml:space="preserve"> </w:t>
      </w:r>
      <w:r w:rsidRPr="00A90B26">
        <w:rPr>
          <w:rFonts w:ascii="Palatino Linotype" w:eastAsia="MS Mincho" w:hAnsi="Palatino Linotype"/>
          <w:sz w:val="24"/>
          <w:lang w:val="es-ES"/>
        </w:rPr>
        <w:t>que, de conformidad con lo establecido en el artículo 196 de la Ley de Transparencia y Acceso a la Información Pública del Estado de México y Municipios, e</w:t>
      </w:r>
      <w:r w:rsidR="00A90B26">
        <w:rPr>
          <w:rFonts w:ascii="Palatino Linotype" w:eastAsia="MS Mincho" w:hAnsi="Palatino Linotype"/>
          <w:sz w:val="24"/>
          <w:lang w:val="es-ES"/>
        </w:rPr>
        <w:t>n caso de que considere que la R</w:t>
      </w:r>
      <w:r w:rsidRPr="00A90B26">
        <w:rPr>
          <w:rFonts w:ascii="Palatino Linotype" w:eastAsia="MS Mincho" w:hAnsi="Palatino Linotype"/>
          <w:sz w:val="24"/>
          <w:lang w:val="es-ES"/>
        </w:rPr>
        <w:t xml:space="preserve">esolución le cause algún perjuicio podrá impugnarla </w:t>
      </w:r>
      <w:r w:rsidRPr="00A90B26">
        <w:rPr>
          <w:rFonts w:ascii="Palatino Linotype" w:eastAsia="MS Mincho" w:hAnsi="Palatino Linotype"/>
          <w:bCs/>
          <w:sz w:val="24"/>
          <w:lang w:val="es-ES"/>
        </w:rPr>
        <w:t xml:space="preserve">vía juicio de amparo </w:t>
      </w:r>
      <w:r w:rsidRPr="00A90B26">
        <w:rPr>
          <w:rFonts w:ascii="Palatino Linotype" w:eastAsia="MS Mincho" w:hAnsi="Palatino Linotype"/>
          <w:sz w:val="24"/>
          <w:lang w:val="es-ES"/>
        </w:rPr>
        <w:t>en los términos de las leyes aplicables.</w:t>
      </w:r>
    </w:p>
    <w:p w14:paraId="214C84AD" w14:textId="77777777" w:rsidR="00D262C2" w:rsidRPr="00A90B26" w:rsidRDefault="00D262C2" w:rsidP="00A90B26">
      <w:pPr>
        <w:pStyle w:val="Prrafodelista"/>
        <w:spacing w:line="360" w:lineRule="auto"/>
        <w:ind w:left="0"/>
        <w:jc w:val="both"/>
        <w:rPr>
          <w:rFonts w:ascii="Palatino Linotype" w:hAnsi="Palatino Linotype"/>
          <w:color w:val="000000" w:themeColor="text1"/>
          <w:sz w:val="24"/>
        </w:rPr>
      </w:pPr>
    </w:p>
    <w:p w14:paraId="02EB9667" w14:textId="77777777" w:rsidR="00EB0F2D" w:rsidRPr="003C7186" w:rsidRDefault="00EB0F2D" w:rsidP="00EB0F2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505E9E8E" w14:textId="77777777" w:rsidR="00FA6533" w:rsidRPr="00A90B26" w:rsidRDefault="00FA6533" w:rsidP="00A90B26">
      <w:pPr>
        <w:spacing w:line="360" w:lineRule="auto"/>
        <w:rPr>
          <w:rFonts w:ascii="Palatino Linotype" w:hAnsi="Palatino Linotype"/>
        </w:rPr>
      </w:pPr>
    </w:p>
    <w:p w14:paraId="58F58DF1" w14:textId="77777777" w:rsidR="00FA6533" w:rsidRPr="00A90B26" w:rsidRDefault="00FA6533" w:rsidP="00A90B26">
      <w:pPr>
        <w:spacing w:line="360" w:lineRule="auto"/>
        <w:rPr>
          <w:rFonts w:ascii="Palatino Linotype" w:hAnsi="Palatino Linotype"/>
        </w:rPr>
      </w:pPr>
    </w:p>
    <w:p w14:paraId="5F534704" w14:textId="77777777" w:rsidR="00FA6533" w:rsidRPr="00A90B26" w:rsidRDefault="00FA6533" w:rsidP="00A90B26">
      <w:pPr>
        <w:spacing w:line="360" w:lineRule="auto"/>
        <w:rPr>
          <w:rFonts w:ascii="Palatino Linotype" w:hAnsi="Palatino Linotype"/>
        </w:rPr>
      </w:pPr>
    </w:p>
    <w:p w14:paraId="18D856F2" w14:textId="77777777" w:rsidR="00FA6533" w:rsidRPr="00A90B26" w:rsidRDefault="00FA6533" w:rsidP="00A90B26">
      <w:pPr>
        <w:spacing w:line="360" w:lineRule="auto"/>
        <w:rPr>
          <w:rFonts w:ascii="Palatino Linotype" w:hAnsi="Palatino Linotype"/>
        </w:rPr>
      </w:pPr>
    </w:p>
    <w:p w14:paraId="3E8C4A5F" w14:textId="77777777" w:rsidR="00FA6533" w:rsidRPr="00A90B26" w:rsidRDefault="00FA6533" w:rsidP="00A90B26">
      <w:pPr>
        <w:spacing w:line="360" w:lineRule="auto"/>
        <w:rPr>
          <w:rFonts w:ascii="Palatino Linotype" w:hAnsi="Palatino Linotype"/>
        </w:rPr>
      </w:pPr>
    </w:p>
    <w:p w14:paraId="270DEACA" w14:textId="77777777" w:rsidR="00FA6533" w:rsidRPr="00A90B26" w:rsidRDefault="00FA6533" w:rsidP="00A90B26">
      <w:pPr>
        <w:spacing w:line="360" w:lineRule="auto"/>
        <w:rPr>
          <w:rFonts w:ascii="Palatino Linotype" w:hAnsi="Palatino Linotype"/>
        </w:rPr>
      </w:pPr>
    </w:p>
    <w:p w14:paraId="5BF51DC6" w14:textId="77777777" w:rsidR="00FA6533" w:rsidRPr="00A90B26" w:rsidRDefault="00FA6533" w:rsidP="00A90B26">
      <w:pPr>
        <w:spacing w:line="360" w:lineRule="auto"/>
        <w:rPr>
          <w:rFonts w:ascii="Palatino Linotype" w:hAnsi="Palatino Linotype"/>
        </w:rPr>
      </w:pPr>
    </w:p>
    <w:p w14:paraId="65841F53" w14:textId="77777777" w:rsidR="00FA6533" w:rsidRPr="00A90B26" w:rsidRDefault="00FA6533" w:rsidP="00A90B26">
      <w:pPr>
        <w:spacing w:line="360" w:lineRule="auto"/>
        <w:rPr>
          <w:rFonts w:ascii="Palatino Linotype" w:hAnsi="Palatino Linotype"/>
        </w:rPr>
      </w:pPr>
    </w:p>
    <w:p w14:paraId="18B2B0A9" w14:textId="77777777" w:rsidR="00FA6533" w:rsidRPr="00A90B26" w:rsidRDefault="00FA6533" w:rsidP="00A90B26">
      <w:pPr>
        <w:spacing w:line="360" w:lineRule="auto"/>
        <w:rPr>
          <w:rFonts w:ascii="Palatino Linotype" w:hAnsi="Palatino Linotype"/>
        </w:rPr>
      </w:pPr>
    </w:p>
    <w:p w14:paraId="1A300064" w14:textId="704D2AD3" w:rsidR="00FA6533" w:rsidRPr="00A90B26" w:rsidRDefault="00FA6533" w:rsidP="00A90B26">
      <w:pPr>
        <w:spacing w:line="360" w:lineRule="auto"/>
        <w:rPr>
          <w:rFonts w:ascii="Palatino Linotype" w:hAnsi="Palatino Linotype"/>
        </w:rPr>
      </w:pPr>
    </w:p>
    <w:p w14:paraId="5B70C25C" w14:textId="5A2A48AB" w:rsidR="008510BE" w:rsidRPr="00A90B26" w:rsidRDefault="008510BE" w:rsidP="00A90B26">
      <w:pPr>
        <w:spacing w:line="360" w:lineRule="auto"/>
        <w:rPr>
          <w:rFonts w:ascii="Palatino Linotype" w:hAnsi="Palatino Linotype"/>
        </w:rPr>
      </w:pPr>
    </w:p>
    <w:p w14:paraId="23329E84" w14:textId="67F7F1FC" w:rsidR="008510BE" w:rsidRPr="00A90B26" w:rsidRDefault="008510BE" w:rsidP="00A90B26">
      <w:pPr>
        <w:spacing w:line="360" w:lineRule="auto"/>
        <w:rPr>
          <w:rFonts w:ascii="Palatino Linotype" w:hAnsi="Palatino Linotype"/>
        </w:rPr>
      </w:pPr>
    </w:p>
    <w:p w14:paraId="2E0B4E0E" w14:textId="02BE2C15" w:rsidR="008510BE" w:rsidRPr="00A90B26" w:rsidRDefault="008510BE" w:rsidP="00A90B26">
      <w:pPr>
        <w:spacing w:line="360" w:lineRule="auto"/>
        <w:rPr>
          <w:rFonts w:ascii="Palatino Linotype" w:hAnsi="Palatino Linotype"/>
        </w:rPr>
      </w:pPr>
    </w:p>
    <w:p w14:paraId="54ADCF8F" w14:textId="2B00880E" w:rsidR="008510BE" w:rsidRPr="00A90B26" w:rsidRDefault="008510BE" w:rsidP="00A90B26">
      <w:pPr>
        <w:spacing w:line="360" w:lineRule="auto"/>
        <w:rPr>
          <w:rFonts w:ascii="Palatino Linotype" w:hAnsi="Palatino Linotype"/>
        </w:rPr>
      </w:pPr>
    </w:p>
    <w:p w14:paraId="4E70492B" w14:textId="44B3C66B" w:rsidR="008510BE" w:rsidRPr="00A90B26" w:rsidRDefault="008510BE" w:rsidP="00A90B26">
      <w:pPr>
        <w:spacing w:line="360" w:lineRule="auto"/>
        <w:rPr>
          <w:rFonts w:ascii="Palatino Linotype" w:hAnsi="Palatino Linotype"/>
        </w:rPr>
      </w:pPr>
    </w:p>
    <w:p w14:paraId="3FCFE1DE" w14:textId="2518EA2D" w:rsidR="008510BE" w:rsidRPr="00A90B26" w:rsidRDefault="008510BE" w:rsidP="00A90B26">
      <w:pPr>
        <w:spacing w:line="360" w:lineRule="auto"/>
        <w:rPr>
          <w:rFonts w:ascii="Palatino Linotype" w:hAnsi="Palatino Linotype"/>
        </w:rPr>
      </w:pPr>
    </w:p>
    <w:p w14:paraId="47DC82BC" w14:textId="71903D96" w:rsidR="008510BE" w:rsidRPr="00A90B26" w:rsidRDefault="008510BE" w:rsidP="00A90B26">
      <w:pPr>
        <w:spacing w:line="360" w:lineRule="auto"/>
        <w:rPr>
          <w:rFonts w:ascii="Palatino Linotype" w:hAnsi="Palatino Linotype"/>
        </w:rPr>
      </w:pPr>
    </w:p>
    <w:p w14:paraId="459794C9" w14:textId="6333AF12" w:rsidR="008510BE" w:rsidRPr="00A90B26" w:rsidRDefault="008510BE" w:rsidP="00A90B26">
      <w:pPr>
        <w:spacing w:line="360" w:lineRule="auto"/>
        <w:rPr>
          <w:rFonts w:ascii="Palatino Linotype" w:hAnsi="Palatino Linotype"/>
        </w:rPr>
      </w:pPr>
    </w:p>
    <w:p w14:paraId="0F0F8D15" w14:textId="77777777" w:rsidR="00FA6533" w:rsidRPr="00A90B26" w:rsidRDefault="00FA6533" w:rsidP="00A90B26">
      <w:pPr>
        <w:spacing w:line="360" w:lineRule="auto"/>
        <w:rPr>
          <w:rFonts w:ascii="Palatino Linotype" w:hAnsi="Palatino Linotype"/>
        </w:rPr>
      </w:pPr>
    </w:p>
    <w:sectPr w:rsidR="00FA6533" w:rsidRPr="00A90B26" w:rsidSect="00A90B26">
      <w:headerReference w:type="even" r:id="rId10"/>
      <w:headerReference w:type="default" r:id="rId11"/>
      <w:footerReference w:type="default" r:id="rId12"/>
      <w:headerReference w:type="first" r:id="rId13"/>
      <w:footerReference w:type="first" r:id="rId14"/>
      <w:pgSz w:w="12240" w:h="15840"/>
      <w:pgMar w:top="80" w:right="1608" w:bottom="1843"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F795" w14:textId="77777777" w:rsidR="00E50BD0" w:rsidRDefault="00E50BD0" w:rsidP="00D262C2">
      <w:r>
        <w:separator/>
      </w:r>
    </w:p>
  </w:endnote>
  <w:endnote w:type="continuationSeparator" w:id="0">
    <w:p w14:paraId="0F59EEB4" w14:textId="77777777" w:rsidR="00E50BD0" w:rsidRDefault="00E50BD0" w:rsidP="00D2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EDBF" w14:textId="77777777" w:rsidR="003D7E96" w:rsidRDefault="003D7E96">
    <w:pPr>
      <w:pStyle w:val="Piedepgina"/>
      <w:jc w:val="right"/>
    </w:pPr>
    <w:r>
      <w:rPr>
        <w:lang w:val="es-ES"/>
      </w:rPr>
      <w:t xml:space="preserve">Página </w:t>
    </w:r>
    <w:r>
      <w:rPr>
        <w:b/>
        <w:bCs/>
      </w:rPr>
      <w:fldChar w:fldCharType="begin"/>
    </w:r>
    <w:r>
      <w:rPr>
        <w:b/>
        <w:bCs/>
      </w:rPr>
      <w:instrText>PAGE</w:instrText>
    </w:r>
    <w:r>
      <w:rPr>
        <w:b/>
        <w:bCs/>
      </w:rPr>
      <w:fldChar w:fldCharType="separate"/>
    </w:r>
    <w:r w:rsidR="00E234D5">
      <w:rPr>
        <w:b/>
        <w:bCs/>
        <w:noProof/>
      </w:rPr>
      <w:t>15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234D5">
      <w:rPr>
        <w:b/>
        <w:bCs/>
        <w:noProof/>
      </w:rPr>
      <w:t>15</w:t>
    </w:r>
    <w:r>
      <w:rPr>
        <w:b/>
        <w:bCs/>
      </w:rPr>
      <w:fldChar w:fldCharType="end"/>
    </w:r>
  </w:p>
  <w:p w14:paraId="240EA050" w14:textId="77777777" w:rsidR="003D7E96" w:rsidRDefault="003D7E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D665" w14:textId="77777777" w:rsidR="003D7E96" w:rsidRDefault="003D7E96">
    <w:pPr>
      <w:pStyle w:val="Piedepgina"/>
      <w:jc w:val="right"/>
    </w:pPr>
    <w:r>
      <w:rPr>
        <w:lang w:val="es-ES"/>
      </w:rPr>
      <w:t xml:space="preserve">Página </w:t>
    </w:r>
    <w:r>
      <w:rPr>
        <w:b/>
        <w:bCs/>
      </w:rPr>
      <w:fldChar w:fldCharType="begin"/>
    </w:r>
    <w:r>
      <w:rPr>
        <w:b/>
        <w:bCs/>
      </w:rPr>
      <w:instrText>PAGE</w:instrText>
    </w:r>
    <w:r>
      <w:rPr>
        <w:b/>
        <w:bCs/>
      </w:rPr>
      <w:fldChar w:fldCharType="separate"/>
    </w:r>
    <w:r w:rsidR="00E234D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234D5">
      <w:rPr>
        <w:b/>
        <w:bCs/>
        <w:noProof/>
      </w:rPr>
      <w:t>15</w:t>
    </w:r>
    <w:r>
      <w:rPr>
        <w:b/>
        <w:bCs/>
      </w:rPr>
      <w:fldChar w:fldCharType="end"/>
    </w:r>
  </w:p>
  <w:p w14:paraId="743CA95E" w14:textId="77777777" w:rsidR="003D7E96" w:rsidRDefault="003D7E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5E21" w14:textId="77777777" w:rsidR="00E50BD0" w:rsidRDefault="00E50BD0" w:rsidP="00D262C2">
      <w:r>
        <w:separator/>
      </w:r>
    </w:p>
  </w:footnote>
  <w:footnote w:type="continuationSeparator" w:id="0">
    <w:p w14:paraId="2F7361E1" w14:textId="77777777" w:rsidR="00E50BD0" w:rsidRDefault="00E50BD0" w:rsidP="00D262C2">
      <w:r>
        <w:continuationSeparator/>
      </w:r>
    </w:p>
  </w:footnote>
  <w:footnote w:id="1">
    <w:p w14:paraId="703611B2" w14:textId="77777777" w:rsidR="003D7E96" w:rsidRPr="00911081" w:rsidRDefault="003D7E96" w:rsidP="00777616">
      <w:pPr>
        <w:jc w:val="both"/>
        <w:rPr>
          <w:rFonts w:ascii="Palatino Linotype" w:hAnsi="Palatino Linotype"/>
          <w:b/>
          <w:bCs/>
          <w:i/>
          <w:sz w:val="16"/>
          <w:szCs w:val="16"/>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551C94E" w14:textId="77777777" w:rsidR="003D7E96" w:rsidRPr="00911081" w:rsidRDefault="003D7E96" w:rsidP="0077761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Pr>
          <w:rFonts w:ascii="Palatino Linotype" w:hAnsi="Palatino Linotype"/>
          <w:i/>
          <w:sz w:val="16"/>
          <w:szCs w:val="16"/>
        </w:rPr>
        <w:t xml:space="preserve"> </w:t>
      </w:r>
      <w:hyperlink r:id="rId1" w:history="1">
        <w:r w:rsidRPr="00911081">
          <w:rPr>
            <w:rStyle w:val="Hipervnculo"/>
            <w:rFonts w:ascii="Palatino Linotype" w:hAnsi="Palatino Linotype"/>
            <w:i/>
            <w:sz w:val="16"/>
            <w:szCs w:val="16"/>
          </w:rPr>
          <w:t>73 y 74 de la Ley de Amparo</w:t>
        </w:r>
      </w:hyperlink>
      <w:r w:rsidRPr="005D5598">
        <w:rPr>
          <w:rStyle w:val="apple-converted-space"/>
          <w:rFonts w:ascii="Palatino Linotype" w:hAnsi="Palatino Linotype"/>
          <w:i/>
          <w:sz w:val="16"/>
          <w:szCs w:val="16"/>
        </w:rPr>
        <w:t xml:space="preserve"> </w:t>
      </w:r>
      <w:r w:rsidRPr="00911081">
        <w:rPr>
          <w:rFonts w:ascii="Palatino Linotype" w:hAnsi="Palatino Linotype"/>
          <w:i/>
          <w:sz w:val="16"/>
          <w:szCs w:val="16"/>
        </w:rPr>
        <w:t>con el artículo</w:t>
      </w:r>
      <w:r>
        <w:rPr>
          <w:rFonts w:ascii="Palatino Linotype" w:hAnsi="Palatino Linotype"/>
          <w:i/>
          <w:sz w:val="16"/>
          <w:szCs w:val="16"/>
        </w:rPr>
        <w:t xml:space="preserve"> </w:t>
      </w:r>
      <w:hyperlink r:id="rId2" w:history="1">
        <w:r w:rsidRPr="00911081">
          <w:rPr>
            <w:rStyle w:val="Hipervnculo"/>
            <w:rFonts w:ascii="Palatino Linotype" w:hAnsi="Palatino Linotype"/>
            <w:i/>
            <w:sz w:val="16"/>
            <w:szCs w:val="16"/>
          </w:rPr>
          <w:t>25.1 de la Convención Americana sobre Derechos Humanos</w:t>
        </w:r>
      </w:hyperlink>
      <w:r w:rsidRPr="005D5598">
        <w:rPr>
          <w:rStyle w:val="Hipervnculo"/>
          <w:rFonts w:ascii="Palatino Linotype" w:hAnsi="Palatino Linotype"/>
          <w:i/>
          <w:sz w:val="16"/>
          <w:szCs w:val="16"/>
        </w:rPr>
        <w:t xml:space="preserve">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8DFF" w14:textId="77777777" w:rsidR="003D7E96" w:rsidRDefault="00E50BD0">
    <w:pPr>
      <w:pStyle w:val="Encabezado"/>
    </w:pPr>
    <w:r>
      <w:rPr>
        <w:noProof/>
      </w:rPr>
      <w:pict w14:anchorId="0E5E6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3D7E96" w:rsidRPr="005C106F" w14:paraId="28A04828" w14:textId="77777777" w:rsidTr="00BB456B">
      <w:trPr>
        <w:trHeight w:val="1435"/>
      </w:trPr>
      <w:tc>
        <w:tcPr>
          <w:tcW w:w="2268" w:type="dxa"/>
          <w:shd w:val="clear" w:color="auto" w:fill="auto"/>
        </w:tcPr>
        <w:p w14:paraId="6194331C" w14:textId="77777777" w:rsidR="003D7E96" w:rsidRPr="005C106F" w:rsidRDefault="003D7E96" w:rsidP="00BB456B">
          <w:pPr>
            <w:tabs>
              <w:tab w:val="right" w:pos="4273"/>
            </w:tabs>
            <w:rPr>
              <w:rFonts w:ascii="Garamond" w:eastAsia="Calibri" w:hAnsi="Garamond"/>
              <w:sz w:val="16"/>
              <w:szCs w:val="16"/>
              <w:lang w:eastAsia="en-US"/>
            </w:rPr>
          </w:pPr>
        </w:p>
      </w:tc>
      <w:tc>
        <w:tcPr>
          <w:tcW w:w="6946" w:type="dxa"/>
          <w:shd w:val="clear" w:color="auto" w:fill="auto"/>
        </w:tcPr>
        <w:p w14:paraId="0D799DBB" w14:textId="77777777" w:rsidR="003D7E96" w:rsidRDefault="003D7E96" w:rsidP="00BB456B"/>
        <w:tbl>
          <w:tblPr>
            <w:tblW w:w="6662" w:type="dxa"/>
            <w:tblInd w:w="40" w:type="dxa"/>
            <w:tblLayout w:type="fixed"/>
            <w:tblLook w:val="0420" w:firstRow="1" w:lastRow="0" w:firstColumn="0" w:lastColumn="0" w:noHBand="0" w:noVBand="1"/>
          </w:tblPr>
          <w:tblGrid>
            <w:gridCol w:w="2551"/>
            <w:gridCol w:w="4111"/>
          </w:tblGrid>
          <w:tr w:rsidR="003D7E96" w14:paraId="3B813FA8" w14:textId="77777777" w:rsidTr="00BB456B">
            <w:trPr>
              <w:trHeight w:val="150"/>
            </w:trPr>
            <w:tc>
              <w:tcPr>
                <w:tcW w:w="2551" w:type="dxa"/>
                <w:shd w:val="clear" w:color="auto" w:fill="auto"/>
              </w:tcPr>
              <w:p w14:paraId="0DA4B945" w14:textId="77777777" w:rsidR="003D7E96" w:rsidRPr="00020E73" w:rsidRDefault="003D7E96" w:rsidP="00BB456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3645799" w14:textId="6E5418C6" w:rsidR="003D7E96" w:rsidRPr="009D6F0A" w:rsidRDefault="003D7E96" w:rsidP="0019413E">
                <w:pPr>
                  <w:tabs>
                    <w:tab w:val="right" w:pos="8838"/>
                  </w:tabs>
                  <w:ind w:left="-108" w:right="-102"/>
                  <w:rPr>
                    <w:rFonts w:ascii="Palatino Linotype" w:eastAsia="Calibri" w:hAnsi="Palatino Linotype" w:cs="Tahoma"/>
                    <w:b/>
                    <w:bCs/>
                    <w:sz w:val="22"/>
                    <w:szCs w:val="22"/>
                    <w:lang w:val="es-ES" w:eastAsia="en-US"/>
                  </w:rPr>
                </w:pPr>
                <w:r w:rsidRPr="009D6F0A">
                  <w:rPr>
                    <w:rFonts w:ascii="Palatino Linotype" w:eastAsia="Calibri" w:hAnsi="Palatino Linotype" w:cs="Tahoma"/>
                    <w:b/>
                    <w:bCs/>
                    <w:sz w:val="22"/>
                    <w:szCs w:val="22"/>
                    <w:lang w:eastAsia="en-US"/>
                  </w:rPr>
                  <w:t xml:space="preserve"> </w:t>
                </w:r>
                <w:r>
                  <w:rPr>
                    <w:rFonts w:ascii="Palatino Linotype" w:eastAsia="Calibri" w:hAnsi="Palatino Linotype" w:cs="Tahoma"/>
                    <w:b/>
                    <w:bCs/>
                    <w:sz w:val="22"/>
                    <w:szCs w:val="22"/>
                    <w:lang w:eastAsia="en-US"/>
                  </w:rPr>
                  <w:t xml:space="preserve"> 02023/INFOEM/IP/RR/2024</w:t>
                </w:r>
              </w:p>
            </w:tc>
          </w:tr>
          <w:tr w:rsidR="003D7E96" w14:paraId="494B29A0" w14:textId="77777777" w:rsidTr="00BB456B">
            <w:trPr>
              <w:trHeight w:val="295"/>
            </w:trPr>
            <w:tc>
              <w:tcPr>
                <w:tcW w:w="2551" w:type="dxa"/>
                <w:shd w:val="clear" w:color="auto" w:fill="auto"/>
              </w:tcPr>
              <w:p w14:paraId="6873D6E9" w14:textId="77777777" w:rsidR="003D7E96" w:rsidRPr="00020E73" w:rsidRDefault="003D7E96" w:rsidP="00BB456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F08A267" w14:textId="47F3C128" w:rsidR="003D7E96" w:rsidRPr="009D6F0A" w:rsidRDefault="003D7E96" w:rsidP="009D6F0A">
                <w:pPr>
                  <w:tabs>
                    <w:tab w:val="left" w:pos="2834"/>
                    <w:tab w:val="right" w:pos="8838"/>
                  </w:tabs>
                  <w:ind w:right="-102"/>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eastAsia="en-US"/>
                  </w:rPr>
                  <w:t>Secretaría de Cultura y Turismo</w:t>
                </w:r>
              </w:p>
            </w:tc>
          </w:tr>
          <w:tr w:rsidR="003D7E96" w14:paraId="37ED1D20" w14:textId="77777777" w:rsidTr="00BB456B">
            <w:trPr>
              <w:trHeight w:val="295"/>
            </w:trPr>
            <w:tc>
              <w:tcPr>
                <w:tcW w:w="2551" w:type="dxa"/>
                <w:shd w:val="clear" w:color="auto" w:fill="auto"/>
              </w:tcPr>
              <w:p w14:paraId="6388C1A7" w14:textId="09531C5A" w:rsidR="003D7E96" w:rsidRPr="00020E73" w:rsidRDefault="00A90B26" w:rsidP="00BB456B">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w:t>
                </w:r>
                <w:r w:rsidR="003D7E96">
                  <w:rPr>
                    <w:rFonts w:ascii="Palatino Linotype" w:eastAsia="Calibri" w:hAnsi="Palatino Linotype" w:cs="Tahoma"/>
                    <w:b/>
                    <w:sz w:val="22"/>
                    <w:szCs w:val="22"/>
                    <w:lang w:val="es-ES" w:eastAsia="en-US"/>
                  </w:rPr>
                  <w:t>onente</w:t>
                </w:r>
                <w:r w:rsidR="003D7E96" w:rsidRPr="00020E73">
                  <w:rPr>
                    <w:rFonts w:ascii="Palatino Linotype" w:eastAsia="Calibri" w:hAnsi="Palatino Linotype" w:cs="Tahoma"/>
                    <w:b/>
                    <w:sz w:val="22"/>
                    <w:szCs w:val="22"/>
                    <w:lang w:val="es-ES" w:eastAsia="en-US"/>
                  </w:rPr>
                  <w:t>:</w:t>
                </w:r>
              </w:p>
            </w:tc>
            <w:tc>
              <w:tcPr>
                <w:tcW w:w="4111" w:type="dxa"/>
                <w:shd w:val="clear" w:color="auto" w:fill="auto"/>
              </w:tcPr>
              <w:p w14:paraId="107A1E67" w14:textId="40D403DC" w:rsidR="003D7E96" w:rsidRPr="009D6F0A" w:rsidRDefault="003D7E96" w:rsidP="00123E3C">
                <w:pPr>
                  <w:tabs>
                    <w:tab w:val="right" w:pos="8838"/>
                  </w:tabs>
                  <w:ind w:left="-108" w:right="171"/>
                  <w:rPr>
                    <w:rFonts w:ascii="Palatino Linotype" w:eastAsia="Calibri" w:hAnsi="Palatino Linotype" w:cs="Tahoma"/>
                    <w:b/>
                    <w:sz w:val="22"/>
                    <w:szCs w:val="22"/>
                    <w:lang w:val="es-ES" w:eastAsia="en-US"/>
                  </w:rPr>
                </w:pPr>
                <w:r w:rsidRPr="009D6F0A">
                  <w:rPr>
                    <w:rFonts w:ascii="Palatino Linotype" w:eastAsia="Calibri" w:hAnsi="Palatino Linotype" w:cs="Tahoma"/>
                    <w:b/>
                    <w:sz w:val="22"/>
                    <w:szCs w:val="22"/>
                    <w:lang w:val="es-ES" w:eastAsia="en-US"/>
                  </w:rPr>
                  <w:t xml:space="preserve">  María del Rosario Mejía Ayala</w:t>
                </w:r>
              </w:p>
            </w:tc>
          </w:tr>
        </w:tbl>
        <w:p w14:paraId="1E8327F3" w14:textId="77777777" w:rsidR="003D7E96" w:rsidRPr="005C106F" w:rsidRDefault="003D7E96" w:rsidP="00BB456B">
          <w:pPr>
            <w:tabs>
              <w:tab w:val="right" w:pos="8838"/>
            </w:tabs>
            <w:ind w:left="-28"/>
            <w:jc w:val="both"/>
            <w:rPr>
              <w:rFonts w:ascii="Arial" w:eastAsia="Calibri" w:hAnsi="Arial" w:cs="Arial"/>
              <w:b/>
              <w:sz w:val="22"/>
              <w:szCs w:val="22"/>
              <w:lang w:eastAsia="en-US"/>
            </w:rPr>
          </w:pPr>
        </w:p>
      </w:tc>
    </w:tr>
  </w:tbl>
  <w:p w14:paraId="27FCE6D2" w14:textId="77777777" w:rsidR="003D7E96" w:rsidRPr="00443C6B" w:rsidRDefault="00E50BD0" w:rsidP="00BB456B">
    <w:pPr>
      <w:pStyle w:val="Encabezado"/>
      <w:rPr>
        <w:sz w:val="14"/>
      </w:rPr>
    </w:pPr>
    <w:r>
      <w:rPr>
        <w:noProof/>
        <w:sz w:val="14"/>
      </w:rPr>
      <w:pict w14:anchorId="5D97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3D7E96" w:rsidRPr="00330DA7" w14:paraId="02DA7783" w14:textId="77777777" w:rsidTr="00BB456B">
      <w:trPr>
        <w:trHeight w:val="1435"/>
      </w:trPr>
      <w:tc>
        <w:tcPr>
          <w:tcW w:w="2268" w:type="dxa"/>
          <w:shd w:val="clear" w:color="auto" w:fill="auto"/>
        </w:tcPr>
        <w:p w14:paraId="1E35F1DC" w14:textId="77777777" w:rsidR="003D7E96" w:rsidRPr="00330DA7" w:rsidRDefault="003D7E96" w:rsidP="00BB456B">
          <w:pPr>
            <w:tabs>
              <w:tab w:val="right" w:pos="4273"/>
            </w:tabs>
            <w:rPr>
              <w:rFonts w:ascii="Garamond" w:eastAsia="Calibri" w:hAnsi="Garamond"/>
              <w:sz w:val="22"/>
              <w:szCs w:val="22"/>
              <w:lang w:eastAsia="en-US"/>
            </w:rPr>
          </w:pPr>
        </w:p>
      </w:tc>
      <w:tc>
        <w:tcPr>
          <w:tcW w:w="6804" w:type="dxa"/>
          <w:shd w:val="clear" w:color="auto" w:fill="auto"/>
        </w:tcPr>
        <w:tbl>
          <w:tblPr>
            <w:tblW w:w="10880" w:type="dxa"/>
            <w:tblInd w:w="40" w:type="dxa"/>
            <w:tblLayout w:type="fixed"/>
            <w:tblLook w:val="0420" w:firstRow="1" w:lastRow="0" w:firstColumn="0" w:lastColumn="0" w:noHBand="0" w:noVBand="1"/>
          </w:tblPr>
          <w:tblGrid>
            <w:gridCol w:w="2444"/>
            <w:gridCol w:w="4218"/>
            <w:gridCol w:w="4218"/>
          </w:tblGrid>
          <w:tr w:rsidR="003D7E96" w:rsidRPr="00330DA7" w14:paraId="1B6D8CF3" w14:textId="77777777" w:rsidTr="00B4318F">
            <w:trPr>
              <w:trHeight w:val="144"/>
            </w:trPr>
            <w:tc>
              <w:tcPr>
                <w:tcW w:w="2444" w:type="dxa"/>
                <w:shd w:val="clear" w:color="auto" w:fill="auto"/>
              </w:tcPr>
              <w:p w14:paraId="168C4CDB" w14:textId="77777777" w:rsidR="003D7E96" w:rsidRPr="00020E73" w:rsidRDefault="003D7E96" w:rsidP="00385055">
                <w:pPr>
                  <w:tabs>
                    <w:tab w:val="right" w:pos="8838"/>
                  </w:tabs>
                  <w:ind w:left="-264" w:right="-105" w:firstLine="195"/>
                  <w:jc w:val="both"/>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F6D2F6C" w14:textId="00FBD27E" w:rsidR="003D7E96" w:rsidRPr="009D6F0A" w:rsidRDefault="003D7E96" w:rsidP="002032D1">
                <w:pPr>
                  <w:tabs>
                    <w:tab w:val="right" w:pos="8838"/>
                  </w:tabs>
                  <w:ind w:left="-74" w:right="-105"/>
                  <w:jc w:val="both"/>
                  <w:rPr>
                    <w:rFonts w:ascii="Palatino Linotype" w:eastAsia="Calibri" w:hAnsi="Palatino Linotype" w:cs="Tahoma"/>
                    <w:b/>
                    <w:bCs/>
                    <w:sz w:val="22"/>
                    <w:szCs w:val="22"/>
                    <w:lang w:val="es-ES" w:eastAsia="en-US"/>
                  </w:rPr>
                </w:pPr>
                <w:r w:rsidRPr="009D6F0A">
                  <w:rPr>
                    <w:rFonts w:ascii="Palatino Linotype" w:eastAsia="Calibri" w:hAnsi="Palatino Linotype" w:cs="Tahoma"/>
                    <w:b/>
                    <w:bCs/>
                    <w:sz w:val="22"/>
                    <w:szCs w:val="22"/>
                    <w:lang w:val="es-ES" w:eastAsia="en-US"/>
                  </w:rPr>
                  <w:t>0</w:t>
                </w:r>
                <w:r>
                  <w:rPr>
                    <w:rFonts w:ascii="Palatino Linotype" w:eastAsia="Calibri" w:hAnsi="Palatino Linotype" w:cs="Tahoma"/>
                    <w:b/>
                    <w:bCs/>
                    <w:sz w:val="22"/>
                    <w:szCs w:val="22"/>
                    <w:lang w:val="es-ES" w:eastAsia="en-US"/>
                  </w:rPr>
                  <w:t>2023/INFOEM/IP/RR/2024</w:t>
                </w:r>
              </w:p>
            </w:tc>
            <w:tc>
              <w:tcPr>
                <w:tcW w:w="4218" w:type="dxa"/>
              </w:tcPr>
              <w:p w14:paraId="3AC10F1D" w14:textId="77777777" w:rsidR="003D7E96" w:rsidRDefault="003D7E96" w:rsidP="00BB456B">
                <w:pPr>
                  <w:tabs>
                    <w:tab w:val="right" w:pos="8838"/>
                  </w:tabs>
                  <w:ind w:left="-74" w:right="-105"/>
                  <w:jc w:val="both"/>
                  <w:rPr>
                    <w:rFonts w:ascii="Palatino Linotype" w:eastAsia="Calibri" w:hAnsi="Palatino Linotype" w:cs="Tahoma"/>
                    <w:sz w:val="22"/>
                    <w:szCs w:val="22"/>
                    <w:lang w:eastAsia="en-US"/>
                  </w:rPr>
                </w:pPr>
              </w:p>
            </w:tc>
          </w:tr>
          <w:tr w:rsidR="003D7E96" w:rsidRPr="00330DA7" w14:paraId="0D8FAFC9" w14:textId="77777777" w:rsidTr="00B4318F">
            <w:trPr>
              <w:trHeight w:val="144"/>
            </w:trPr>
            <w:tc>
              <w:tcPr>
                <w:tcW w:w="2444" w:type="dxa"/>
                <w:shd w:val="clear" w:color="auto" w:fill="auto"/>
              </w:tcPr>
              <w:p w14:paraId="54C50FB5" w14:textId="77777777" w:rsidR="003D7E96" w:rsidRPr="00020E73" w:rsidRDefault="003D7E96" w:rsidP="00385055">
                <w:pPr>
                  <w:tabs>
                    <w:tab w:val="right" w:pos="8838"/>
                  </w:tabs>
                  <w:ind w:left="-74" w:right="-105"/>
                  <w:jc w:val="both"/>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6F86CE5" w14:textId="3BA06338" w:rsidR="003D7E96" w:rsidRPr="009D6F0A" w:rsidRDefault="00E71B54" w:rsidP="00385055">
                <w:pPr>
                  <w:tabs>
                    <w:tab w:val="left" w:pos="3122"/>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XXX XXX</w:t>
                </w:r>
              </w:p>
            </w:tc>
            <w:tc>
              <w:tcPr>
                <w:tcW w:w="4218" w:type="dxa"/>
              </w:tcPr>
              <w:p w14:paraId="23765460" w14:textId="77777777" w:rsidR="003D7E96" w:rsidRPr="00020E73" w:rsidRDefault="003D7E96" w:rsidP="00BB456B">
                <w:pPr>
                  <w:tabs>
                    <w:tab w:val="left" w:pos="3122"/>
                    <w:tab w:val="right" w:pos="8838"/>
                  </w:tabs>
                  <w:ind w:left="-74" w:right="-105"/>
                  <w:jc w:val="both"/>
                  <w:rPr>
                    <w:rFonts w:ascii="Palatino Linotype" w:eastAsia="Calibri" w:hAnsi="Palatino Linotype" w:cs="Tahoma"/>
                    <w:sz w:val="22"/>
                    <w:szCs w:val="22"/>
                    <w:lang w:val="es-ES" w:eastAsia="en-US"/>
                  </w:rPr>
                </w:pPr>
              </w:p>
            </w:tc>
          </w:tr>
          <w:tr w:rsidR="003D7E96" w:rsidRPr="00330DA7" w14:paraId="499C23B5" w14:textId="77777777" w:rsidTr="00B4318F">
            <w:trPr>
              <w:trHeight w:val="283"/>
            </w:trPr>
            <w:tc>
              <w:tcPr>
                <w:tcW w:w="2444" w:type="dxa"/>
                <w:shd w:val="clear" w:color="auto" w:fill="auto"/>
              </w:tcPr>
              <w:p w14:paraId="5C575B61" w14:textId="77777777" w:rsidR="003D7E96" w:rsidRPr="00020E73" w:rsidRDefault="003D7E96" w:rsidP="00385055">
                <w:pPr>
                  <w:tabs>
                    <w:tab w:val="right" w:pos="8838"/>
                  </w:tabs>
                  <w:ind w:left="-74" w:right="-105"/>
                  <w:jc w:val="both"/>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E597C45" w14:textId="236BC810" w:rsidR="003D7E96" w:rsidRPr="009D6F0A" w:rsidRDefault="003D7E96" w:rsidP="009D6F0A">
                <w:pPr>
                  <w:tabs>
                    <w:tab w:val="left" w:pos="2834"/>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eastAsia="en-US"/>
                  </w:rPr>
                  <w:t>Secretaría de Cultura y Turismo</w:t>
                </w:r>
              </w:p>
            </w:tc>
            <w:tc>
              <w:tcPr>
                <w:tcW w:w="4218" w:type="dxa"/>
              </w:tcPr>
              <w:p w14:paraId="6A012959" w14:textId="77777777" w:rsidR="003D7E96" w:rsidRDefault="003D7E96" w:rsidP="00BB456B">
                <w:pPr>
                  <w:tabs>
                    <w:tab w:val="left" w:pos="2834"/>
                    <w:tab w:val="right" w:pos="8838"/>
                  </w:tabs>
                  <w:ind w:left="-74" w:right="-105"/>
                  <w:jc w:val="both"/>
                  <w:rPr>
                    <w:rFonts w:ascii="Palatino Linotype" w:eastAsia="Calibri" w:hAnsi="Palatino Linotype" w:cs="Tahoma"/>
                    <w:sz w:val="22"/>
                    <w:szCs w:val="22"/>
                    <w:lang w:eastAsia="en-US"/>
                  </w:rPr>
                </w:pPr>
              </w:p>
            </w:tc>
          </w:tr>
          <w:tr w:rsidR="003D7E96" w:rsidRPr="00330DA7" w14:paraId="66A98134" w14:textId="77777777" w:rsidTr="00B4318F">
            <w:trPr>
              <w:trHeight w:val="283"/>
            </w:trPr>
            <w:tc>
              <w:tcPr>
                <w:tcW w:w="2444" w:type="dxa"/>
                <w:shd w:val="clear" w:color="auto" w:fill="auto"/>
              </w:tcPr>
              <w:p w14:paraId="0612B192" w14:textId="77777777" w:rsidR="003D7E96" w:rsidRPr="00020E73" w:rsidRDefault="003D7E96" w:rsidP="00385055">
                <w:pPr>
                  <w:tabs>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632E736" w14:textId="77777777" w:rsidR="003D7E96" w:rsidRPr="009D6F0A" w:rsidRDefault="003D7E96" w:rsidP="00385055">
                <w:pPr>
                  <w:tabs>
                    <w:tab w:val="right" w:pos="8838"/>
                  </w:tabs>
                  <w:ind w:left="-74" w:right="-105"/>
                  <w:jc w:val="both"/>
                  <w:rPr>
                    <w:rFonts w:ascii="Palatino Linotype" w:eastAsia="Calibri" w:hAnsi="Palatino Linotype" w:cs="Tahoma"/>
                    <w:b/>
                    <w:sz w:val="22"/>
                    <w:szCs w:val="22"/>
                    <w:lang w:val="es-ES" w:eastAsia="en-US"/>
                  </w:rPr>
                </w:pPr>
                <w:r w:rsidRPr="009D6F0A">
                  <w:rPr>
                    <w:rFonts w:ascii="Palatino Linotype" w:eastAsia="Calibri" w:hAnsi="Palatino Linotype" w:cs="Tahoma"/>
                    <w:b/>
                    <w:sz w:val="22"/>
                    <w:szCs w:val="22"/>
                    <w:lang w:val="es-ES" w:eastAsia="en-US"/>
                  </w:rPr>
                  <w:t>María del Rosario Mejía Ayala</w:t>
                </w:r>
              </w:p>
            </w:tc>
            <w:tc>
              <w:tcPr>
                <w:tcW w:w="4218" w:type="dxa"/>
              </w:tcPr>
              <w:p w14:paraId="39DCCCCC" w14:textId="77777777" w:rsidR="003D7E96" w:rsidRDefault="003D7E96" w:rsidP="00BB456B">
                <w:pPr>
                  <w:tabs>
                    <w:tab w:val="right" w:pos="8838"/>
                  </w:tabs>
                  <w:ind w:left="-74" w:right="-105"/>
                  <w:jc w:val="both"/>
                  <w:rPr>
                    <w:rFonts w:ascii="Palatino Linotype" w:eastAsia="Calibri" w:hAnsi="Palatino Linotype" w:cs="Tahoma"/>
                    <w:sz w:val="22"/>
                    <w:szCs w:val="22"/>
                    <w:lang w:val="es-ES" w:eastAsia="en-US"/>
                  </w:rPr>
                </w:pPr>
              </w:p>
            </w:tc>
          </w:tr>
        </w:tbl>
        <w:p w14:paraId="0FCE9297" w14:textId="77777777" w:rsidR="003D7E96" w:rsidRPr="00330DA7" w:rsidRDefault="003D7E96" w:rsidP="00BB456B">
          <w:pPr>
            <w:tabs>
              <w:tab w:val="right" w:pos="8838"/>
            </w:tabs>
            <w:ind w:left="-28"/>
            <w:jc w:val="both"/>
            <w:rPr>
              <w:rFonts w:ascii="Arial" w:eastAsia="Calibri" w:hAnsi="Arial" w:cs="Arial"/>
              <w:b/>
              <w:sz w:val="22"/>
              <w:szCs w:val="22"/>
              <w:lang w:eastAsia="en-US"/>
            </w:rPr>
          </w:pPr>
        </w:p>
      </w:tc>
    </w:tr>
  </w:tbl>
  <w:p w14:paraId="1227891A" w14:textId="77777777" w:rsidR="003D7E96" w:rsidRPr="00827FA0" w:rsidRDefault="00E50BD0" w:rsidP="00BB456B">
    <w:pPr>
      <w:pStyle w:val="Encabezado"/>
      <w:rPr>
        <w:sz w:val="2"/>
        <w:szCs w:val="22"/>
      </w:rPr>
    </w:pPr>
    <w:r>
      <w:rPr>
        <w:noProof/>
        <w:sz w:val="2"/>
        <w:szCs w:val="22"/>
      </w:rPr>
      <w:pict w14:anchorId="01043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0FC"/>
    <w:multiLevelType w:val="hybridMultilevel"/>
    <w:tmpl w:val="6D500C42"/>
    <w:lvl w:ilvl="0" w:tplc="E36EB920">
      <w:start w:val="1"/>
      <w:numFmt w:val="decimal"/>
      <w:lvlText w:val="%1."/>
      <w:lvlJc w:val="left"/>
      <w:pPr>
        <w:ind w:left="1287" w:hanging="360"/>
      </w:pPr>
      <w:rPr>
        <w:rFonts w:ascii="Palatino Linotype" w:hAnsi="Palatino Linotype" w:hint="default"/>
        <w:b/>
        <w:i w:val="0"/>
        <w:color w:val="auto"/>
        <w:sz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CC505E4"/>
    <w:multiLevelType w:val="hybridMultilevel"/>
    <w:tmpl w:val="30EA058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CFC5D4A"/>
    <w:multiLevelType w:val="hybridMultilevel"/>
    <w:tmpl w:val="0818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94EDB"/>
    <w:multiLevelType w:val="hybridMultilevel"/>
    <w:tmpl w:val="F534564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B6342B"/>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B753FA"/>
    <w:multiLevelType w:val="hybridMultilevel"/>
    <w:tmpl w:val="724C630E"/>
    <w:lvl w:ilvl="0" w:tplc="C3A05FB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E66EF1"/>
    <w:multiLevelType w:val="hybridMultilevel"/>
    <w:tmpl w:val="EBD4BF7E"/>
    <w:lvl w:ilvl="0" w:tplc="E36EB920">
      <w:start w:val="1"/>
      <w:numFmt w:val="decimal"/>
      <w:lvlText w:val="%1."/>
      <w:lvlJc w:val="left"/>
      <w:pPr>
        <w:ind w:left="72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BD220F"/>
    <w:multiLevelType w:val="hybridMultilevel"/>
    <w:tmpl w:val="1C1484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581E45FA"/>
    <w:multiLevelType w:val="hybridMultilevel"/>
    <w:tmpl w:val="53C8B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2E2A13"/>
    <w:multiLevelType w:val="hybridMultilevel"/>
    <w:tmpl w:val="8F96F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341121"/>
    <w:multiLevelType w:val="hybridMultilevel"/>
    <w:tmpl w:val="E006D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AE148C"/>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A66DEE"/>
    <w:multiLevelType w:val="hybridMultilevel"/>
    <w:tmpl w:val="B9325F8A"/>
    <w:lvl w:ilvl="0" w:tplc="B5CE193C">
      <w:start w:val="1"/>
      <w:numFmt w:val="lowerLetter"/>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5901BAE"/>
    <w:multiLevelType w:val="hybridMultilevel"/>
    <w:tmpl w:val="482E9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08319B"/>
    <w:multiLevelType w:val="hybridMultilevel"/>
    <w:tmpl w:val="F60022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A8F08F5"/>
    <w:multiLevelType w:val="hybridMultilevel"/>
    <w:tmpl w:val="1610BF1A"/>
    <w:lvl w:ilvl="0" w:tplc="DF14A7E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123A4F"/>
    <w:multiLevelType w:val="hybridMultilevel"/>
    <w:tmpl w:val="6FF6C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7337931">
    <w:abstractNumId w:val="16"/>
  </w:num>
  <w:num w:numId="2" w16cid:durableId="2108773884">
    <w:abstractNumId w:val="5"/>
  </w:num>
  <w:num w:numId="3" w16cid:durableId="2120446102">
    <w:abstractNumId w:val="8"/>
  </w:num>
  <w:num w:numId="4" w16cid:durableId="936979855">
    <w:abstractNumId w:val="20"/>
  </w:num>
  <w:num w:numId="5" w16cid:durableId="1582376368">
    <w:abstractNumId w:val="14"/>
  </w:num>
  <w:num w:numId="6" w16cid:durableId="2081052043">
    <w:abstractNumId w:val="19"/>
  </w:num>
  <w:num w:numId="7" w16cid:durableId="2048333982">
    <w:abstractNumId w:val="7"/>
  </w:num>
  <w:num w:numId="8" w16cid:durableId="1228878597">
    <w:abstractNumId w:val="6"/>
  </w:num>
  <w:num w:numId="9" w16cid:durableId="1046182750">
    <w:abstractNumId w:val="11"/>
  </w:num>
  <w:num w:numId="10" w16cid:durableId="1422146533">
    <w:abstractNumId w:val="13"/>
  </w:num>
  <w:num w:numId="11" w16cid:durableId="990401216">
    <w:abstractNumId w:val="3"/>
  </w:num>
  <w:num w:numId="12" w16cid:durableId="366032055">
    <w:abstractNumId w:val="18"/>
  </w:num>
  <w:num w:numId="13" w16cid:durableId="1254364628">
    <w:abstractNumId w:val="12"/>
  </w:num>
  <w:num w:numId="14" w16cid:durableId="1497648020">
    <w:abstractNumId w:val="2"/>
  </w:num>
  <w:num w:numId="15" w16cid:durableId="1868636868">
    <w:abstractNumId w:val="15"/>
  </w:num>
  <w:num w:numId="16" w16cid:durableId="138544215">
    <w:abstractNumId w:val="4"/>
  </w:num>
  <w:num w:numId="17" w16cid:durableId="1667660084">
    <w:abstractNumId w:val="0"/>
  </w:num>
  <w:num w:numId="18" w16cid:durableId="1175993602">
    <w:abstractNumId w:val="9"/>
  </w:num>
  <w:num w:numId="19" w16cid:durableId="473833413">
    <w:abstractNumId w:val="1"/>
  </w:num>
  <w:num w:numId="20" w16cid:durableId="683745285">
    <w:abstractNumId w:val="10"/>
  </w:num>
  <w:num w:numId="21" w16cid:durableId="1334724913">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2" w16cid:durableId="1680812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C2"/>
    <w:rsid w:val="00011D22"/>
    <w:rsid w:val="0003690B"/>
    <w:rsid w:val="000376D1"/>
    <w:rsid w:val="00073D93"/>
    <w:rsid w:val="0009677C"/>
    <w:rsid w:val="000A2CFE"/>
    <w:rsid w:val="000A4672"/>
    <w:rsid w:val="000B1799"/>
    <w:rsid w:val="000C77B0"/>
    <w:rsid w:val="000D2EDA"/>
    <w:rsid w:val="000F587B"/>
    <w:rsid w:val="000F6A46"/>
    <w:rsid w:val="000F7407"/>
    <w:rsid w:val="00123E3C"/>
    <w:rsid w:val="00153908"/>
    <w:rsid w:val="00182B7B"/>
    <w:rsid w:val="0019413E"/>
    <w:rsid w:val="00197B29"/>
    <w:rsid w:val="001A43F8"/>
    <w:rsid w:val="001D749F"/>
    <w:rsid w:val="001E6AD4"/>
    <w:rsid w:val="001F32E2"/>
    <w:rsid w:val="001F6479"/>
    <w:rsid w:val="002032D1"/>
    <w:rsid w:val="00211573"/>
    <w:rsid w:val="00221ACB"/>
    <w:rsid w:val="00266A9C"/>
    <w:rsid w:val="00271B00"/>
    <w:rsid w:val="002A5C0F"/>
    <w:rsid w:val="002B01A1"/>
    <w:rsid w:val="002B1C24"/>
    <w:rsid w:val="002C7D83"/>
    <w:rsid w:val="002E217B"/>
    <w:rsid w:val="00300344"/>
    <w:rsid w:val="00333E0E"/>
    <w:rsid w:val="00335000"/>
    <w:rsid w:val="00336CF4"/>
    <w:rsid w:val="00345F0F"/>
    <w:rsid w:val="0035780A"/>
    <w:rsid w:val="003742E9"/>
    <w:rsid w:val="00385055"/>
    <w:rsid w:val="003A3A1B"/>
    <w:rsid w:val="003B28FF"/>
    <w:rsid w:val="003B4592"/>
    <w:rsid w:val="003D6B6E"/>
    <w:rsid w:val="003D7E96"/>
    <w:rsid w:val="003E15D6"/>
    <w:rsid w:val="003F7904"/>
    <w:rsid w:val="004162E2"/>
    <w:rsid w:val="0044160B"/>
    <w:rsid w:val="00450649"/>
    <w:rsid w:val="00461C0A"/>
    <w:rsid w:val="00487F5A"/>
    <w:rsid w:val="0049603A"/>
    <w:rsid w:val="004A5C5F"/>
    <w:rsid w:val="004D3734"/>
    <w:rsid w:val="004F5B11"/>
    <w:rsid w:val="005156AA"/>
    <w:rsid w:val="0051701C"/>
    <w:rsid w:val="005247EB"/>
    <w:rsid w:val="005A1A29"/>
    <w:rsid w:val="00625088"/>
    <w:rsid w:val="00625A8B"/>
    <w:rsid w:val="00665E4A"/>
    <w:rsid w:val="00683D4F"/>
    <w:rsid w:val="00692838"/>
    <w:rsid w:val="006E23AD"/>
    <w:rsid w:val="006E6C81"/>
    <w:rsid w:val="0072759C"/>
    <w:rsid w:val="00744232"/>
    <w:rsid w:val="00751ACD"/>
    <w:rsid w:val="00777616"/>
    <w:rsid w:val="00786EBD"/>
    <w:rsid w:val="007A2848"/>
    <w:rsid w:val="00815FD1"/>
    <w:rsid w:val="008510BE"/>
    <w:rsid w:val="008974EF"/>
    <w:rsid w:val="00897AD3"/>
    <w:rsid w:val="008A2090"/>
    <w:rsid w:val="008A657A"/>
    <w:rsid w:val="008D7D0D"/>
    <w:rsid w:val="008D7D88"/>
    <w:rsid w:val="008E30E8"/>
    <w:rsid w:val="008E75E9"/>
    <w:rsid w:val="008F30AD"/>
    <w:rsid w:val="00914A15"/>
    <w:rsid w:val="00920DE3"/>
    <w:rsid w:val="00971839"/>
    <w:rsid w:val="009B3654"/>
    <w:rsid w:val="009B63B3"/>
    <w:rsid w:val="009C6B7F"/>
    <w:rsid w:val="009D0B04"/>
    <w:rsid w:val="009D6F0A"/>
    <w:rsid w:val="009E3FFB"/>
    <w:rsid w:val="00A301DA"/>
    <w:rsid w:val="00A606D0"/>
    <w:rsid w:val="00A74171"/>
    <w:rsid w:val="00A840AB"/>
    <w:rsid w:val="00A90B26"/>
    <w:rsid w:val="00AC3133"/>
    <w:rsid w:val="00AC7075"/>
    <w:rsid w:val="00AD153C"/>
    <w:rsid w:val="00B00358"/>
    <w:rsid w:val="00B20D21"/>
    <w:rsid w:val="00B4318F"/>
    <w:rsid w:val="00BB456B"/>
    <w:rsid w:val="00C00F5A"/>
    <w:rsid w:val="00C1034D"/>
    <w:rsid w:val="00C21A6D"/>
    <w:rsid w:val="00C63F88"/>
    <w:rsid w:val="00CA7C37"/>
    <w:rsid w:val="00CC0337"/>
    <w:rsid w:val="00CD620C"/>
    <w:rsid w:val="00CE31D1"/>
    <w:rsid w:val="00CE36E5"/>
    <w:rsid w:val="00CE5940"/>
    <w:rsid w:val="00CF4117"/>
    <w:rsid w:val="00D262C2"/>
    <w:rsid w:val="00D36816"/>
    <w:rsid w:val="00D51ED8"/>
    <w:rsid w:val="00D52765"/>
    <w:rsid w:val="00D94412"/>
    <w:rsid w:val="00DA08A9"/>
    <w:rsid w:val="00DA4B06"/>
    <w:rsid w:val="00DB1ED4"/>
    <w:rsid w:val="00DB56B0"/>
    <w:rsid w:val="00DB64AC"/>
    <w:rsid w:val="00DD388F"/>
    <w:rsid w:val="00DF11B4"/>
    <w:rsid w:val="00E07D34"/>
    <w:rsid w:val="00E234D5"/>
    <w:rsid w:val="00E241A3"/>
    <w:rsid w:val="00E35C4A"/>
    <w:rsid w:val="00E36BE6"/>
    <w:rsid w:val="00E50BD0"/>
    <w:rsid w:val="00E62564"/>
    <w:rsid w:val="00E71B54"/>
    <w:rsid w:val="00E86044"/>
    <w:rsid w:val="00E8720C"/>
    <w:rsid w:val="00E93589"/>
    <w:rsid w:val="00EB0F2D"/>
    <w:rsid w:val="00EC1E30"/>
    <w:rsid w:val="00ED53F1"/>
    <w:rsid w:val="00EE130A"/>
    <w:rsid w:val="00F27AAE"/>
    <w:rsid w:val="00F31445"/>
    <w:rsid w:val="00F7003F"/>
    <w:rsid w:val="00F70D85"/>
    <w:rsid w:val="00F84E06"/>
    <w:rsid w:val="00F93F02"/>
    <w:rsid w:val="00FA6533"/>
    <w:rsid w:val="00FC280A"/>
    <w:rsid w:val="00FD3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2C03"/>
  <w15:chartTrackingRefBased/>
  <w15:docId w15:val="{648A1FE2-FD1D-475D-8905-1BEC8D94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0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262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262C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62C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D262C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262C2"/>
    <w:pPr>
      <w:tabs>
        <w:tab w:val="center" w:pos="4419"/>
        <w:tab w:val="right" w:pos="8838"/>
      </w:tabs>
    </w:pPr>
  </w:style>
  <w:style w:type="character" w:customStyle="1" w:styleId="EncabezadoCar">
    <w:name w:val="Encabezado Car"/>
    <w:basedOn w:val="Fuentedeprrafopredeter"/>
    <w:link w:val="Encabezado"/>
    <w:uiPriority w:val="99"/>
    <w:rsid w:val="00D262C2"/>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262C2"/>
    <w:pPr>
      <w:tabs>
        <w:tab w:val="center" w:pos="4419"/>
        <w:tab w:val="right" w:pos="8838"/>
      </w:tabs>
    </w:pPr>
  </w:style>
  <w:style w:type="character" w:customStyle="1" w:styleId="PiedepginaCar">
    <w:name w:val="Pie de página Car"/>
    <w:basedOn w:val="Fuentedeprrafopredeter"/>
    <w:link w:val="Piedepgina"/>
    <w:uiPriority w:val="99"/>
    <w:rsid w:val="00D262C2"/>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262C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262C2"/>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262C2"/>
    <w:rPr>
      <w:color w:val="0563C1"/>
      <w:u w:val="single"/>
    </w:rPr>
  </w:style>
  <w:style w:type="paragraph" w:styleId="Sinespaciado">
    <w:name w:val="No Spacing"/>
    <w:aliases w:val="Francesa,INAI"/>
    <w:link w:val="SinespaciadoCar"/>
    <w:uiPriority w:val="1"/>
    <w:qFormat/>
    <w:rsid w:val="00D262C2"/>
    <w:pPr>
      <w:spacing w:after="0" w:line="240" w:lineRule="auto"/>
    </w:p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62C2"/>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locked/>
    <w:rsid w:val="00D262C2"/>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62C2"/>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D262C2"/>
    <w:rPr>
      <w:rFonts w:ascii="Times New Roman" w:eastAsia="Times New Roman" w:hAnsi="Times New Roman" w:cs="Times New Roman"/>
      <w:sz w:val="20"/>
      <w:szCs w:val="20"/>
      <w:lang w:eastAsia="es-MX"/>
    </w:rPr>
  </w:style>
  <w:style w:type="character" w:customStyle="1" w:styleId="SinespaciadoCar">
    <w:name w:val="Sin espaciado Car"/>
    <w:aliases w:val="Francesa Car,INAI Car"/>
    <w:link w:val="Sinespaciado"/>
    <w:uiPriority w:val="1"/>
    <w:locked/>
    <w:rsid w:val="00D262C2"/>
  </w:style>
  <w:style w:type="paragraph" w:styleId="TDC1">
    <w:name w:val="toc 1"/>
    <w:basedOn w:val="Normal"/>
    <w:next w:val="Normal"/>
    <w:autoRedefine/>
    <w:uiPriority w:val="39"/>
    <w:unhideWhenUsed/>
    <w:rsid w:val="00D262C2"/>
    <w:pPr>
      <w:spacing w:after="100" w:line="259" w:lineRule="auto"/>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D262C2"/>
    <w:pPr>
      <w:spacing w:after="100" w:line="259" w:lineRule="auto"/>
      <w:ind w:left="440"/>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D262C2"/>
    <w:pPr>
      <w:spacing w:after="100" w:line="259" w:lineRule="auto"/>
      <w:ind w:left="220"/>
    </w:pPr>
    <w:rPr>
      <w:rFonts w:asciiTheme="minorHAnsi" w:eastAsiaTheme="minorHAnsi" w:hAnsiTheme="minorHAnsi" w:cstheme="minorBidi"/>
      <w:sz w:val="22"/>
      <w:szCs w:val="22"/>
      <w:lang w:eastAsia="en-US"/>
    </w:rPr>
  </w:style>
  <w:style w:type="paragraph" w:styleId="TtuloTDC">
    <w:name w:val="TOC Heading"/>
    <w:basedOn w:val="Ttulo1"/>
    <w:next w:val="Normal"/>
    <w:uiPriority w:val="39"/>
    <w:semiHidden/>
    <w:unhideWhenUsed/>
    <w:qFormat/>
    <w:rsid w:val="00D262C2"/>
    <w:pPr>
      <w:outlineLvl w:val="9"/>
    </w:pPr>
  </w:style>
  <w:style w:type="table" w:customStyle="1" w:styleId="Tablaconcuadrcula1">
    <w:name w:val="Tabla con cuadrícula1"/>
    <w:basedOn w:val="Tablanormal"/>
    <w:next w:val="Tablaconcuadrcula"/>
    <w:uiPriority w:val="59"/>
    <w:rsid w:val="00D262C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2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8720C"/>
    <w:rPr>
      <w:color w:val="954F72" w:themeColor="followedHyperlink"/>
      <w:u w:val="single"/>
    </w:rPr>
  </w:style>
  <w:style w:type="character" w:customStyle="1" w:styleId="apple-converted-space">
    <w:name w:val="apple-converted-space"/>
    <w:basedOn w:val="Fuentedeprrafopredeter"/>
    <w:rsid w:val="00777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2692">
      <w:bodyDiv w:val="1"/>
      <w:marLeft w:val="0"/>
      <w:marRight w:val="0"/>
      <w:marTop w:val="0"/>
      <w:marBottom w:val="0"/>
      <w:divBdr>
        <w:top w:val="none" w:sz="0" w:space="0" w:color="auto"/>
        <w:left w:val="none" w:sz="0" w:space="0" w:color="auto"/>
        <w:bottom w:val="none" w:sz="0" w:space="0" w:color="auto"/>
        <w:right w:val="none" w:sz="0" w:space="0" w:color="auto"/>
      </w:divBdr>
    </w:div>
    <w:div w:id="248005594">
      <w:bodyDiv w:val="1"/>
      <w:marLeft w:val="0"/>
      <w:marRight w:val="0"/>
      <w:marTop w:val="0"/>
      <w:marBottom w:val="0"/>
      <w:divBdr>
        <w:top w:val="none" w:sz="0" w:space="0" w:color="auto"/>
        <w:left w:val="none" w:sz="0" w:space="0" w:color="auto"/>
        <w:bottom w:val="none" w:sz="0" w:space="0" w:color="auto"/>
        <w:right w:val="none" w:sz="0" w:space="0" w:color="auto"/>
      </w:divBdr>
    </w:div>
    <w:div w:id="676613946">
      <w:bodyDiv w:val="1"/>
      <w:marLeft w:val="0"/>
      <w:marRight w:val="0"/>
      <w:marTop w:val="0"/>
      <w:marBottom w:val="0"/>
      <w:divBdr>
        <w:top w:val="none" w:sz="0" w:space="0" w:color="auto"/>
        <w:left w:val="none" w:sz="0" w:space="0" w:color="auto"/>
        <w:bottom w:val="none" w:sz="0" w:space="0" w:color="auto"/>
        <w:right w:val="none" w:sz="0" w:space="0" w:color="auto"/>
      </w:divBdr>
    </w:div>
    <w:div w:id="786697382">
      <w:bodyDiv w:val="1"/>
      <w:marLeft w:val="0"/>
      <w:marRight w:val="0"/>
      <w:marTop w:val="0"/>
      <w:marBottom w:val="0"/>
      <w:divBdr>
        <w:top w:val="none" w:sz="0" w:space="0" w:color="auto"/>
        <w:left w:val="none" w:sz="0" w:space="0" w:color="auto"/>
        <w:bottom w:val="none" w:sz="0" w:space="0" w:color="auto"/>
        <w:right w:val="none" w:sz="0" w:space="0" w:color="auto"/>
      </w:divBdr>
    </w:div>
    <w:div w:id="826046637">
      <w:bodyDiv w:val="1"/>
      <w:marLeft w:val="0"/>
      <w:marRight w:val="0"/>
      <w:marTop w:val="0"/>
      <w:marBottom w:val="0"/>
      <w:divBdr>
        <w:top w:val="none" w:sz="0" w:space="0" w:color="auto"/>
        <w:left w:val="none" w:sz="0" w:space="0" w:color="auto"/>
        <w:bottom w:val="none" w:sz="0" w:space="0" w:color="auto"/>
        <w:right w:val="none" w:sz="0" w:space="0" w:color="auto"/>
      </w:divBdr>
    </w:div>
    <w:div w:id="911089127">
      <w:bodyDiv w:val="1"/>
      <w:marLeft w:val="0"/>
      <w:marRight w:val="0"/>
      <w:marTop w:val="0"/>
      <w:marBottom w:val="0"/>
      <w:divBdr>
        <w:top w:val="none" w:sz="0" w:space="0" w:color="auto"/>
        <w:left w:val="none" w:sz="0" w:space="0" w:color="auto"/>
        <w:bottom w:val="none" w:sz="0" w:space="0" w:color="auto"/>
        <w:right w:val="none" w:sz="0" w:space="0" w:color="auto"/>
      </w:divBdr>
    </w:div>
    <w:div w:id="954750466">
      <w:bodyDiv w:val="1"/>
      <w:marLeft w:val="0"/>
      <w:marRight w:val="0"/>
      <w:marTop w:val="0"/>
      <w:marBottom w:val="0"/>
      <w:divBdr>
        <w:top w:val="none" w:sz="0" w:space="0" w:color="auto"/>
        <w:left w:val="none" w:sz="0" w:space="0" w:color="auto"/>
        <w:bottom w:val="none" w:sz="0" w:space="0" w:color="auto"/>
        <w:right w:val="none" w:sz="0" w:space="0" w:color="auto"/>
      </w:divBdr>
    </w:div>
    <w:div w:id="963996473">
      <w:bodyDiv w:val="1"/>
      <w:marLeft w:val="0"/>
      <w:marRight w:val="0"/>
      <w:marTop w:val="0"/>
      <w:marBottom w:val="0"/>
      <w:divBdr>
        <w:top w:val="none" w:sz="0" w:space="0" w:color="auto"/>
        <w:left w:val="none" w:sz="0" w:space="0" w:color="auto"/>
        <w:bottom w:val="none" w:sz="0" w:space="0" w:color="auto"/>
        <w:right w:val="none" w:sz="0" w:space="0" w:color="auto"/>
      </w:divBdr>
    </w:div>
    <w:div w:id="1035957852">
      <w:bodyDiv w:val="1"/>
      <w:marLeft w:val="0"/>
      <w:marRight w:val="0"/>
      <w:marTop w:val="0"/>
      <w:marBottom w:val="0"/>
      <w:divBdr>
        <w:top w:val="none" w:sz="0" w:space="0" w:color="auto"/>
        <w:left w:val="none" w:sz="0" w:space="0" w:color="auto"/>
        <w:bottom w:val="none" w:sz="0" w:space="0" w:color="auto"/>
        <w:right w:val="none" w:sz="0" w:space="0" w:color="auto"/>
      </w:divBdr>
    </w:div>
    <w:div w:id="1138298830">
      <w:bodyDiv w:val="1"/>
      <w:marLeft w:val="0"/>
      <w:marRight w:val="0"/>
      <w:marTop w:val="0"/>
      <w:marBottom w:val="0"/>
      <w:divBdr>
        <w:top w:val="none" w:sz="0" w:space="0" w:color="auto"/>
        <w:left w:val="none" w:sz="0" w:space="0" w:color="auto"/>
        <w:bottom w:val="none" w:sz="0" w:space="0" w:color="auto"/>
        <w:right w:val="none" w:sz="0" w:space="0" w:color="auto"/>
      </w:divBdr>
    </w:div>
    <w:div w:id="1182551003">
      <w:bodyDiv w:val="1"/>
      <w:marLeft w:val="0"/>
      <w:marRight w:val="0"/>
      <w:marTop w:val="0"/>
      <w:marBottom w:val="0"/>
      <w:divBdr>
        <w:top w:val="none" w:sz="0" w:space="0" w:color="auto"/>
        <w:left w:val="none" w:sz="0" w:space="0" w:color="auto"/>
        <w:bottom w:val="none" w:sz="0" w:space="0" w:color="auto"/>
        <w:right w:val="none" w:sz="0" w:space="0" w:color="auto"/>
      </w:divBdr>
    </w:div>
    <w:div w:id="1217738422">
      <w:bodyDiv w:val="1"/>
      <w:marLeft w:val="0"/>
      <w:marRight w:val="0"/>
      <w:marTop w:val="0"/>
      <w:marBottom w:val="0"/>
      <w:divBdr>
        <w:top w:val="none" w:sz="0" w:space="0" w:color="auto"/>
        <w:left w:val="none" w:sz="0" w:space="0" w:color="auto"/>
        <w:bottom w:val="none" w:sz="0" w:space="0" w:color="auto"/>
        <w:right w:val="none" w:sz="0" w:space="0" w:color="auto"/>
      </w:divBdr>
    </w:div>
    <w:div w:id="1856339680">
      <w:bodyDiv w:val="1"/>
      <w:marLeft w:val="0"/>
      <w:marRight w:val="0"/>
      <w:marTop w:val="0"/>
      <w:marBottom w:val="0"/>
      <w:divBdr>
        <w:top w:val="none" w:sz="0" w:space="0" w:color="auto"/>
        <w:left w:val="none" w:sz="0" w:space="0" w:color="auto"/>
        <w:bottom w:val="none" w:sz="0" w:space="0" w:color="auto"/>
        <w:right w:val="none" w:sz="0" w:space="0" w:color="auto"/>
      </w:divBdr>
    </w:div>
    <w:div w:id="1939673479">
      <w:bodyDiv w:val="1"/>
      <w:marLeft w:val="0"/>
      <w:marRight w:val="0"/>
      <w:marTop w:val="0"/>
      <w:marBottom w:val="0"/>
      <w:divBdr>
        <w:top w:val="none" w:sz="0" w:space="0" w:color="auto"/>
        <w:left w:val="none" w:sz="0" w:space="0" w:color="auto"/>
        <w:bottom w:val="none" w:sz="0" w:space="0" w:color="auto"/>
        <w:right w:val="none" w:sz="0" w:space="0" w:color="auto"/>
      </w:divBdr>
    </w:div>
    <w:div w:id="2120444969">
      <w:bodyDiv w:val="1"/>
      <w:marLeft w:val="0"/>
      <w:marRight w:val="0"/>
      <w:marTop w:val="0"/>
      <w:marBottom w:val="0"/>
      <w:divBdr>
        <w:top w:val="none" w:sz="0" w:space="0" w:color="auto"/>
        <w:left w:val="none" w:sz="0" w:space="0" w:color="auto"/>
        <w:bottom w:val="none" w:sz="0" w:space="0" w:color="auto"/>
        <w:right w:val="none" w:sz="0" w:space="0" w:color="auto"/>
      </w:divBdr>
    </w:div>
    <w:div w:id="21355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52C7-AC04-4250-B33D-3FE4272D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2395</Words>
  <Characters>13175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inf03m612@outlook.com</cp:lastModifiedBy>
  <cp:revision>9</cp:revision>
  <cp:lastPrinted>2024-11-25T18:16:00Z</cp:lastPrinted>
  <dcterms:created xsi:type="dcterms:W3CDTF">2024-11-12T20:21:00Z</dcterms:created>
  <dcterms:modified xsi:type="dcterms:W3CDTF">2024-12-05T00:20:00Z</dcterms:modified>
</cp:coreProperties>
</file>