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1972C" w14:textId="77777777" w:rsidR="0054534E" w:rsidRDefault="0054534E">
      <w:pPr>
        <w:widowControl w:val="0"/>
        <w:pBdr>
          <w:top w:val="nil"/>
          <w:left w:val="nil"/>
          <w:bottom w:val="nil"/>
          <w:right w:val="nil"/>
          <w:between w:val="nil"/>
        </w:pBdr>
        <w:spacing w:line="276" w:lineRule="auto"/>
      </w:pPr>
    </w:p>
    <w:p w14:paraId="0C8152D2" w14:textId="77777777" w:rsidR="0054534E" w:rsidRDefault="00557EB4">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catorce (14) de agosto de dos mil veinticuatro.</w:t>
      </w:r>
    </w:p>
    <w:p w14:paraId="585301FA" w14:textId="77777777" w:rsidR="0054534E" w:rsidRDefault="0054534E">
      <w:pPr>
        <w:tabs>
          <w:tab w:val="left" w:pos="3465"/>
        </w:tabs>
        <w:spacing w:line="360" w:lineRule="auto"/>
        <w:jc w:val="both"/>
        <w:rPr>
          <w:rFonts w:ascii="Palatino Linotype" w:eastAsia="Palatino Linotype" w:hAnsi="Palatino Linotype" w:cs="Palatino Linotype"/>
        </w:rPr>
      </w:pPr>
    </w:p>
    <w:p w14:paraId="037FBCCD" w14:textId="1624C93D" w:rsidR="0054534E" w:rsidRDefault="00557EB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w:t>
      </w:r>
      <w:r w:rsidR="00BE446A">
        <w:rPr>
          <w:rFonts w:ascii="Palatino Linotype" w:eastAsia="Palatino Linotype" w:hAnsi="Palatino Linotype" w:cs="Palatino Linotype"/>
        </w:rPr>
        <w:t xml:space="preserve"> motivo del recurso de revisión</w:t>
      </w:r>
      <w:r>
        <w:rPr>
          <w:rFonts w:ascii="Palatino Linotype" w:eastAsia="Palatino Linotype" w:hAnsi="Palatino Linotype" w:cs="Palatino Linotype"/>
          <w:b/>
        </w:rPr>
        <w:t> 08333/INFOEM/IP/RR/2023</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promovido por</w:t>
      </w:r>
      <w:r>
        <w:rPr>
          <w:rFonts w:ascii="Palatino Linotype" w:eastAsia="Palatino Linotype" w:hAnsi="Palatino Linotype" w:cs="Palatino Linotype"/>
          <w:b/>
        </w:rPr>
        <w:t xml:space="preserve"> </w:t>
      </w:r>
      <w:r w:rsidR="00AE03F7">
        <w:rPr>
          <w:rFonts w:ascii="Palatino Linotype" w:eastAsia="Palatino Linotype" w:hAnsi="Palatino Linotype" w:cs="Palatino Linotype"/>
          <w:b/>
        </w:rPr>
        <w:t xml:space="preserve">XXX </w:t>
      </w:r>
      <w:proofErr w:type="spellStart"/>
      <w:r w:rsidR="00AE03F7">
        <w:rPr>
          <w:rFonts w:ascii="Palatino Linotype" w:eastAsia="Palatino Linotype" w:hAnsi="Palatino Linotype" w:cs="Palatino Linotype"/>
          <w:b/>
        </w:rPr>
        <w:t>XXX</w:t>
      </w:r>
      <w:proofErr w:type="spellEnd"/>
      <w:r>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 la </w:t>
      </w:r>
      <w:r>
        <w:rPr>
          <w:rFonts w:ascii="Palatino Linotype" w:eastAsia="Palatino Linotype" w:hAnsi="Palatino Linotype" w:cs="Palatino Linotype"/>
          <w:b/>
        </w:rPr>
        <w:t xml:space="preserve">Procuraduría de Protección al Ambiente del Estado de México,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567AA3F1" w14:textId="77777777" w:rsidR="0054534E" w:rsidRDefault="0054534E">
      <w:pPr>
        <w:spacing w:line="360" w:lineRule="auto"/>
        <w:jc w:val="both"/>
        <w:rPr>
          <w:rFonts w:ascii="Palatino Linotype" w:eastAsia="Palatino Linotype" w:hAnsi="Palatino Linotype" w:cs="Palatino Linotype"/>
        </w:rPr>
      </w:pPr>
    </w:p>
    <w:p w14:paraId="39F0397B" w14:textId="77777777" w:rsidR="0054534E" w:rsidRDefault="00557EB4">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 N T E C E D E N T E S</w:t>
      </w:r>
    </w:p>
    <w:p w14:paraId="4FD9F0DC" w14:textId="77777777" w:rsidR="0054534E" w:rsidRDefault="0054534E">
      <w:pPr>
        <w:pStyle w:val="Ttulo1"/>
        <w:spacing w:before="0" w:line="360" w:lineRule="auto"/>
        <w:jc w:val="center"/>
        <w:rPr>
          <w:rFonts w:ascii="Palatino Linotype" w:eastAsia="Palatino Linotype" w:hAnsi="Palatino Linotype" w:cs="Palatino Linotype"/>
          <w:b/>
          <w:color w:val="000000"/>
          <w:sz w:val="24"/>
          <w:szCs w:val="24"/>
        </w:rPr>
      </w:pPr>
    </w:p>
    <w:p w14:paraId="76FA0534"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nueve de noviembre de dos mil veintitrés,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color w:val="000000"/>
        </w:rPr>
        <w:t xml:space="preserve"> 00137/PROPAEM/IP/2023; </w:t>
      </w:r>
      <w:r>
        <w:rPr>
          <w:rFonts w:ascii="Palatino Linotype" w:eastAsia="Palatino Linotype" w:hAnsi="Palatino Linotype" w:cs="Palatino Linotype"/>
        </w:rPr>
        <w:t xml:space="preserve">en la que </w:t>
      </w:r>
      <w:r>
        <w:rPr>
          <w:rFonts w:ascii="Palatino Linotype" w:eastAsia="Palatino Linotype" w:hAnsi="Palatino Linotype" w:cs="Palatino Linotype"/>
          <w:color w:val="000000"/>
        </w:rPr>
        <w:t>se solicitó la siguiente información:</w:t>
      </w:r>
    </w:p>
    <w:p w14:paraId="70A6A18F" w14:textId="77777777" w:rsidR="0054534E" w:rsidRDefault="0054534E">
      <w:pPr>
        <w:pBdr>
          <w:top w:val="nil"/>
          <w:left w:val="nil"/>
          <w:bottom w:val="nil"/>
          <w:right w:val="nil"/>
          <w:between w:val="nil"/>
        </w:pBdr>
        <w:spacing w:line="360" w:lineRule="auto"/>
        <w:ind w:left="360"/>
        <w:jc w:val="both"/>
        <w:rPr>
          <w:rFonts w:ascii="Palatino Linotype" w:eastAsia="Palatino Linotype" w:hAnsi="Palatino Linotype" w:cs="Palatino Linotype"/>
        </w:rPr>
      </w:pPr>
    </w:p>
    <w:p w14:paraId="4390ECF3" w14:textId="77777777" w:rsidR="0054534E" w:rsidRDefault="00557EB4">
      <w:pPr>
        <w:pBdr>
          <w:top w:val="nil"/>
          <w:left w:val="nil"/>
          <w:bottom w:val="nil"/>
          <w:right w:val="nil"/>
          <w:between w:val="nil"/>
        </w:pBdr>
        <w:ind w:left="426" w:right="47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el nivel y rango y adscripción de los todos servidores públicos de la procuraduría de protección del ambiente del estado de México, y la justificación de ser el caso del que no se encuentren en su unidad de adscripción, lo anterior en atención a las medidas de austeridad publicadas en el 2021, donde indica que los servidores </w:t>
      </w:r>
      <w:proofErr w:type="spellStart"/>
      <w:r>
        <w:rPr>
          <w:rFonts w:ascii="Palatino Linotype" w:eastAsia="Palatino Linotype" w:hAnsi="Palatino Linotype" w:cs="Palatino Linotype"/>
          <w:i/>
          <w:color w:val="000000"/>
        </w:rPr>
        <w:t>publicos</w:t>
      </w:r>
      <w:proofErr w:type="spellEnd"/>
      <w:r>
        <w:rPr>
          <w:rFonts w:ascii="Palatino Linotype" w:eastAsia="Palatino Linotype" w:hAnsi="Palatino Linotype" w:cs="Palatino Linotype"/>
          <w:i/>
          <w:color w:val="000000"/>
        </w:rPr>
        <w:t xml:space="preserve"> deben encontrarse laborando en la </w:t>
      </w:r>
      <w:proofErr w:type="spellStart"/>
      <w:r>
        <w:rPr>
          <w:rFonts w:ascii="Palatino Linotype" w:eastAsia="Palatino Linotype" w:hAnsi="Palatino Linotype" w:cs="Palatino Linotype"/>
          <w:i/>
          <w:color w:val="000000"/>
        </w:rPr>
        <w:t>area</w:t>
      </w:r>
      <w:proofErr w:type="spellEnd"/>
      <w:r>
        <w:rPr>
          <w:rFonts w:ascii="Palatino Linotype" w:eastAsia="Palatino Linotype" w:hAnsi="Palatino Linotype" w:cs="Palatino Linotype"/>
          <w:i/>
          <w:color w:val="000000"/>
        </w:rPr>
        <w:t xml:space="preserve"> de </w:t>
      </w:r>
      <w:proofErr w:type="spellStart"/>
      <w:r>
        <w:rPr>
          <w:rFonts w:ascii="Palatino Linotype" w:eastAsia="Palatino Linotype" w:hAnsi="Palatino Linotype" w:cs="Palatino Linotype"/>
          <w:i/>
          <w:color w:val="000000"/>
        </w:rPr>
        <w:t>adscrpción</w:t>
      </w:r>
      <w:proofErr w:type="spellEnd"/>
      <w:r>
        <w:rPr>
          <w:rFonts w:ascii="Palatino Linotype" w:eastAsia="Palatino Linotype" w:hAnsi="Palatino Linotype" w:cs="Palatino Linotype"/>
          <w:i/>
          <w:color w:val="000000"/>
        </w:rPr>
        <w:t xml:space="preserve"> de la plaza </w:t>
      </w:r>
      <w:r>
        <w:rPr>
          <w:rFonts w:ascii="Palatino Linotype" w:eastAsia="Palatino Linotype" w:hAnsi="Palatino Linotype" w:cs="Palatino Linotype"/>
          <w:i/>
          <w:color w:val="000000"/>
        </w:rPr>
        <w:lastRenderedPageBreak/>
        <w:t xml:space="preserve">de lo contario la justificación de aquellas personas con plazas que </w:t>
      </w:r>
      <w:proofErr w:type="spellStart"/>
      <w:r>
        <w:rPr>
          <w:rFonts w:ascii="Palatino Linotype" w:eastAsia="Palatino Linotype" w:hAnsi="Palatino Linotype" w:cs="Palatino Linotype"/>
          <w:i/>
          <w:color w:val="000000"/>
        </w:rPr>
        <w:t>opran</w:t>
      </w:r>
      <w:proofErr w:type="spellEnd"/>
      <w:r>
        <w:rPr>
          <w:rFonts w:ascii="Palatino Linotype" w:eastAsia="Palatino Linotype" w:hAnsi="Palatino Linotype" w:cs="Palatino Linotype"/>
          <w:i/>
          <w:color w:val="000000"/>
        </w:rPr>
        <w:t xml:space="preserve"> en una </w:t>
      </w:r>
      <w:proofErr w:type="spellStart"/>
      <w:r>
        <w:rPr>
          <w:rFonts w:ascii="Palatino Linotype" w:eastAsia="Palatino Linotype" w:hAnsi="Palatino Linotype" w:cs="Palatino Linotype"/>
          <w:i/>
          <w:color w:val="000000"/>
        </w:rPr>
        <w:t>area</w:t>
      </w:r>
      <w:proofErr w:type="spellEnd"/>
      <w:r>
        <w:rPr>
          <w:rFonts w:ascii="Palatino Linotype" w:eastAsia="Palatino Linotype" w:hAnsi="Palatino Linotype" w:cs="Palatino Linotype"/>
          <w:i/>
          <w:color w:val="000000"/>
        </w:rPr>
        <w:t xml:space="preserve"> diferente a la de su adscripción sic)</w:t>
      </w:r>
    </w:p>
    <w:p w14:paraId="29DF05D0" w14:textId="77777777" w:rsidR="0054534E" w:rsidRDefault="0054534E">
      <w:pPr>
        <w:pBdr>
          <w:top w:val="nil"/>
          <w:left w:val="nil"/>
          <w:bottom w:val="nil"/>
          <w:right w:val="nil"/>
          <w:between w:val="nil"/>
        </w:pBdr>
        <w:ind w:left="426" w:right="476"/>
        <w:jc w:val="both"/>
        <w:rPr>
          <w:rFonts w:ascii="Palatino Linotype" w:eastAsia="Palatino Linotype" w:hAnsi="Palatino Linotype" w:cs="Palatino Linotype"/>
          <w:i/>
          <w:color w:val="000000"/>
        </w:rPr>
      </w:pPr>
    </w:p>
    <w:p w14:paraId="6BEEC6BD" w14:textId="77777777" w:rsidR="0054534E" w:rsidRDefault="00557EB4">
      <w:pPr>
        <w:numPr>
          <w:ilvl w:val="0"/>
          <w:numId w:val="2"/>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424B3A1E" w14:textId="77777777" w:rsidR="0054534E" w:rsidRDefault="0054534E">
      <w:pPr>
        <w:pBdr>
          <w:top w:val="nil"/>
          <w:left w:val="nil"/>
          <w:bottom w:val="nil"/>
          <w:right w:val="nil"/>
          <w:between w:val="nil"/>
        </w:pBdr>
        <w:ind w:right="616"/>
        <w:jc w:val="both"/>
        <w:rPr>
          <w:rFonts w:ascii="Palatino Linotype" w:eastAsia="Palatino Linotype" w:hAnsi="Palatino Linotype" w:cs="Palatino Linotype"/>
          <w:i/>
          <w:color w:val="000000"/>
        </w:rPr>
      </w:pPr>
    </w:p>
    <w:p w14:paraId="5B017BAC" w14:textId="77777777" w:rsidR="0054534E" w:rsidRDefault="0054534E"/>
    <w:p w14:paraId="62F2491A"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primero de diciembre de dos mil veintitrés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través del archivo siguiente: </w:t>
      </w:r>
    </w:p>
    <w:p w14:paraId="03EB5F90" w14:textId="77777777" w:rsidR="0054534E" w:rsidRDefault="002B3FCF">
      <w:pPr>
        <w:numPr>
          <w:ilvl w:val="0"/>
          <w:numId w:val="3"/>
        </w:numPr>
        <w:pBdr>
          <w:top w:val="nil"/>
          <w:left w:val="nil"/>
          <w:bottom w:val="nil"/>
          <w:right w:val="nil"/>
          <w:between w:val="nil"/>
        </w:pBdr>
        <w:jc w:val="both"/>
        <w:rPr>
          <w:rFonts w:ascii="Palatino Linotype" w:eastAsia="Palatino Linotype" w:hAnsi="Palatino Linotype" w:cs="Palatino Linotype"/>
          <w:i/>
          <w:color w:val="000000"/>
          <w:sz w:val="22"/>
          <w:szCs w:val="22"/>
        </w:rPr>
      </w:pPr>
      <w:hyperlink r:id="rId8">
        <w:r w:rsidR="00557EB4">
          <w:rPr>
            <w:rFonts w:ascii="Palatino Linotype" w:eastAsia="Palatino Linotype" w:hAnsi="Palatino Linotype" w:cs="Palatino Linotype"/>
            <w:b/>
            <w:i/>
            <w:color w:val="000000"/>
            <w:sz w:val="22"/>
            <w:szCs w:val="22"/>
          </w:rPr>
          <w:t>respuesta saimex 137.pdf</w:t>
        </w:r>
      </w:hyperlink>
      <w:r w:rsidR="00557EB4">
        <w:rPr>
          <w:rFonts w:ascii="Palatino Linotype" w:eastAsia="Palatino Linotype" w:hAnsi="Palatino Linotype" w:cs="Palatino Linotype"/>
          <w:b/>
          <w:i/>
          <w:color w:val="000000"/>
          <w:sz w:val="22"/>
          <w:szCs w:val="22"/>
        </w:rPr>
        <w:t xml:space="preserve">: </w:t>
      </w:r>
      <w:r w:rsidR="00557EB4">
        <w:rPr>
          <w:rFonts w:ascii="Palatino Linotype" w:eastAsia="Palatino Linotype" w:hAnsi="Palatino Linotype" w:cs="Palatino Linotype"/>
          <w:color w:val="000000"/>
          <w:sz w:val="22"/>
          <w:szCs w:val="22"/>
        </w:rPr>
        <w:t>Oficio firmado por el Jefe de la Unidad de Apoyo Administrativo y Gestión Documental y Servidor Público Habilitado y dirigido a la P. en D. Elizabeth Pichardo Pereira, Titular De la Unidad de Transparencia Procuraduría de Protección al Medio Ambiente, Estado de México, en don donde informo que “</w:t>
      </w:r>
      <w:r w:rsidR="00557EB4">
        <w:rPr>
          <w:rFonts w:ascii="Palatino Linotype" w:eastAsia="Palatino Linotype" w:hAnsi="Palatino Linotype" w:cs="Palatino Linotype"/>
          <w:i/>
          <w:color w:val="000000"/>
          <w:sz w:val="22"/>
          <w:szCs w:val="22"/>
        </w:rPr>
        <w:t>después de una búsqueda exhaustiva en los archivos de la Unidad de Apoyo Administrativo y Gestión Documental, le contestamos la siguiente información:</w:t>
      </w:r>
    </w:p>
    <w:p w14:paraId="77BDC71D" w14:textId="77777777" w:rsidR="0054534E" w:rsidRDefault="00557EB4">
      <w:pPr>
        <w:pBdr>
          <w:top w:val="nil"/>
          <w:left w:val="nil"/>
          <w:bottom w:val="nil"/>
          <w:right w:val="nil"/>
          <w:between w:val="nil"/>
        </w:pBd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68C9F64" w14:textId="77777777" w:rsidR="0054534E" w:rsidRDefault="00557EB4">
      <w:pPr>
        <w:pBdr>
          <w:top w:val="nil"/>
          <w:left w:val="nil"/>
          <w:bottom w:val="nil"/>
          <w:right w:val="nil"/>
          <w:between w:val="nil"/>
        </w:pBdr>
        <w:ind w:left="72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Por lo que respecta al nivel y rango de adscripción de todos los Servidores Públicos de la Procuraduría de Protección al Ambiente del Estado de México, me permito proporcionar dicho listado que se adjunta como </w:t>
      </w:r>
      <w:r>
        <w:rPr>
          <w:rFonts w:ascii="Palatino Linotype" w:eastAsia="Palatino Linotype" w:hAnsi="Palatino Linotype" w:cs="Palatino Linotype"/>
          <w:b/>
          <w:i/>
          <w:color w:val="000000"/>
          <w:sz w:val="22"/>
          <w:szCs w:val="22"/>
        </w:rPr>
        <w:t xml:space="preserve">ANEXO UNICO. </w:t>
      </w:r>
    </w:p>
    <w:p w14:paraId="1BCBA2E9" w14:textId="77777777" w:rsidR="0054534E" w:rsidRDefault="0054534E">
      <w:pPr>
        <w:pBdr>
          <w:top w:val="nil"/>
          <w:left w:val="nil"/>
          <w:bottom w:val="nil"/>
          <w:right w:val="nil"/>
          <w:between w:val="nil"/>
        </w:pBdr>
        <w:ind w:left="720"/>
        <w:jc w:val="both"/>
        <w:rPr>
          <w:rFonts w:ascii="Palatino Linotype" w:eastAsia="Palatino Linotype" w:hAnsi="Palatino Linotype" w:cs="Palatino Linotype"/>
          <w:b/>
          <w:i/>
          <w:color w:val="000000"/>
          <w:sz w:val="22"/>
          <w:szCs w:val="22"/>
        </w:rPr>
      </w:pPr>
    </w:p>
    <w:p w14:paraId="6E35877A" w14:textId="77777777" w:rsidR="0054534E" w:rsidRDefault="00557EB4">
      <w:pPr>
        <w:pBdr>
          <w:top w:val="nil"/>
          <w:left w:val="nil"/>
          <w:bottom w:val="nil"/>
          <w:right w:val="nil"/>
          <w:between w:val="nil"/>
        </w:pBdr>
        <w:ind w:left="72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val="es-MX" w:eastAsia="es-MX"/>
        </w:rPr>
        <w:lastRenderedPageBreak/>
        <w:drawing>
          <wp:inline distT="0" distB="0" distL="0" distR="0" wp14:anchorId="0F51F790" wp14:editId="56930B2E">
            <wp:extent cx="4168140" cy="7537450"/>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168140" cy="7537450"/>
                    </a:xfrm>
                    <a:prstGeom prst="rect">
                      <a:avLst/>
                    </a:prstGeom>
                    <a:ln/>
                  </pic:spPr>
                </pic:pic>
              </a:graphicData>
            </a:graphic>
          </wp:inline>
        </w:drawing>
      </w:r>
    </w:p>
    <w:p w14:paraId="169B546D" w14:textId="77777777" w:rsidR="0054534E" w:rsidRDefault="00557EB4">
      <w:pPr>
        <w:pBdr>
          <w:top w:val="nil"/>
          <w:left w:val="nil"/>
          <w:bottom w:val="nil"/>
          <w:right w:val="nil"/>
          <w:between w:val="nil"/>
        </w:pBdr>
        <w:ind w:left="72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val="es-MX" w:eastAsia="es-MX"/>
        </w:rPr>
        <w:lastRenderedPageBreak/>
        <w:drawing>
          <wp:inline distT="0" distB="0" distL="0" distR="0" wp14:anchorId="6220C292" wp14:editId="1DD5333B">
            <wp:extent cx="4267796" cy="1305107"/>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4267796" cy="1305107"/>
                    </a:xfrm>
                    <a:prstGeom prst="rect">
                      <a:avLst/>
                    </a:prstGeom>
                    <a:ln/>
                  </pic:spPr>
                </pic:pic>
              </a:graphicData>
            </a:graphic>
          </wp:inline>
        </w:drawing>
      </w:r>
    </w:p>
    <w:p w14:paraId="60028BDF" w14:textId="77777777" w:rsidR="0054534E" w:rsidRDefault="00557EB4">
      <w:pPr>
        <w:pBdr>
          <w:top w:val="nil"/>
          <w:left w:val="nil"/>
          <w:bottom w:val="nil"/>
          <w:right w:val="nil"/>
          <w:between w:val="nil"/>
        </w:pBdr>
        <w:ind w:left="720"/>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b/>
          <w:i/>
          <w:noProof/>
          <w:color w:val="000000"/>
          <w:sz w:val="22"/>
          <w:szCs w:val="22"/>
          <w:lang w:val="es-MX" w:eastAsia="es-MX"/>
        </w:rPr>
        <w:drawing>
          <wp:inline distT="0" distB="0" distL="0" distR="0" wp14:anchorId="171B3042" wp14:editId="091714F1">
            <wp:extent cx="3980461" cy="2753633"/>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r="3945" b="61355"/>
                    <a:stretch>
                      <a:fillRect/>
                    </a:stretch>
                  </pic:blipFill>
                  <pic:spPr>
                    <a:xfrm>
                      <a:off x="0" y="0"/>
                      <a:ext cx="3980461" cy="2753633"/>
                    </a:xfrm>
                    <a:prstGeom prst="rect">
                      <a:avLst/>
                    </a:prstGeom>
                    <a:ln/>
                  </pic:spPr>
                </pic:pic>
              </a:graphicData>
            </a:graphic>
          </wp:inline>
        </w:drawing>
      </w:r>
    </w:p>
    <w:p w14:paraId="5CBCE5A4" w14:textId="77777777" w:rsidR="0054534E" w:rsidRDefault="00557EB4">
      <w:pPr>
        <w:pBdr>
          <w:top w:val="nil"/>
          <w:left w:val="nil"/>
          <w:bottom w:val="nil"/>
          <w:right w:val="nil"/>
          <w:between w:val="nil"/>
        </w:pBdr>
        <w:ind w:left="720"/>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          </w:t>
      </w:r>
      <w:r>
        <w:rPr>
          <w:rFonts w:ascii="Palatino Linotype" w:eastAsia="Palatino Linotype" w:hAnsi="Palatino Linotype" w:cs="Palatino Linotype"/>
          <w:b/>
          <w:i/>
          <w:noProof/>
          <w:color w:val="000000"/>
          <w:sz w:val="22"/>
          <w:szCs w:val="22"/>
          <w:lang w:val="es-MX" w:eastAsia="es-MX"/>
        </w:rPr>
        <w:drawing>
          <wp:inline distT="0" distB="0" distL="0" distR="0" wp14:anchorId="558B2788" wp14:editId="56787F45">
            <wp:extent cx="4105848" cy="3367189"/>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b="40192"/>
                    <a:stretch>
                      <a:fillRect/>
                    </a:stretch>
                  </pic:blipFill>
                  <pic:spPr>
                    <a:xfrm>
                      <a:off x="0" y="0"/>
                      <a:ext cx="4105848" cy="3367189"/>
                    </a:xfrm>
                    <a:prstGeom prst="rect">
                      <a:avLst/>
                    </a:prstGeom>
                    <a:ln/>
                  </pic:spPr>
                </pic:pic>
              </a:graphicData>
            </a:graphic>
          </wp:inline>
        </w:drawing>
      </w:r>
    </w:p>
    <w:p w14:paraId="55C2B98A" w14:textId="77777777" w:rsidR="0054534E" w:rsidRDefault="00557EB4">
      <w:pPr>
        <w:pBdr>
          <w:top w:val="nil"/>
          <w:left w:val="nil"/>
          <w:bottom w:val="nil"/>
          <w:right w:val="nil"/>
          <w:between w:val="nil"/>
        </w:pBdr>
        <w:ind w:left="720"/>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b/>
          <w:i/>
          <w:noProof/>
          <w:color w:val="000000"/>
          <w:sz w:val="22"/>
          <w:szCs w:val="22"/>
          <w:lang w:val="es-MX" w:eastAsia="es-MX"/>
        </w:rPr>
        <w:drawing>
          <wp:inline distT="0" distB="0" distL="0" distR="0" wp14:anchorId="67B7655D" wp14:editId="01B87ED3">
            <wp:extent cx="3953427" cy="2219635"/>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953427" cy="2219635"/>
                    </a:xfrm>
                    <a:prstGeom prst="rect">
                      <a:avLst/>
                    </a:prstGeom>
                    <a:ln/>
                  </pic:spPr>
                </pic:pic>
              </a:graphicData>
            </a:graphic>
          </wp:inline>
        </w:drawing>
      </w:r>
    </w:p>
    <w:p w14:paraId="2A54D1BB" w14:textId="77777777" w:rsidR="0054534E" w:rsidRDefault="0054534E">
      <w:pPr>
        <w:pBdr>
          <w:top w:val="nil"/>
          <w:left w:val="nil"/>
          <w:bottom w:val="nil"/>
          <w:right w:val="nil"/>
          <w:between w:val="nil"/>
        </w:pBdr>
        <w:tabs>
          <w:tab w:val="left" w:pos="0"/>
        </w:tabs>
        <w:ind w:left="851" w:right="474"/>
        <w:jc w:val="both"/>
        <w:rPr>
          <w:rFonts w:ascii="Palatino Linotype" w:eastAsia="Palatino Linotype" w:hAnsi="Palatino Linotype" w:cs="Palatino Linotype"/>
          <w:i/>
          <w:color w:val="000000"/>
          <w:sz w:val="22"/>
          <w:szCs w:val="22"/>
        </w:rPr>
      </w:pPr>
    </w:p>
    <w:p w14:paraId="12FEAA4F" w14:textId="77777777" w:rsidR="0054534E" w:rsidRDefault="0054534E">
      <w:pPr>
        <w:pStyle w:val="Ttulo1"/>
        <w:spacing w:before="0" w:line="360" w:lineRule="auto"/>
        <w:jc w:val="center"/>
        <w:rPr>
          <w:rFonts w:ascii="Palatino Linotype" w:eastAsia="Palatino Linotype" w:hAnsi="Palatino Linotype" w:cs="Palatino Linotype"/>
          <w:b/>
          <w:color w:val="000000"/>
          <w:sz w:val="24"/>
          <w:szCs w:val="24"/>
        </w:rPr>
      </w:pPr>
    </w:p>
    <w:p w14:paraId="4ED85517" w14:textId="77777777" w:rsidR="0054534E" w:rsidRDefault="0054534E"/>
    <w:p w14:paraId="5C453CA1"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cuatro de diciembre de dos mil veintitrés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EL PARTICULAR</w:t>
      </w:r>
      <w:r>
        <w:rPr>
          <w:rFonts w:ascii="Palatino Linotype" w:eastAsia="Palatino Linotype" w:hAnsi="Palatino Linotype" w:cs="Palatino Linotype"/>
          <w:color w:val="000000"/>
        </w:rPr>
        <w:t xml:space="preserve"> interpuso el recurso de revisión en contra de la respuesta, manifestando las siguientes razones o motivos de inconformidad:</w:t>
      </w:r>
    </w:p>
    <w:p w14:paraId="6733CE31" w14:textId="77777777" w:rsidR="0054534E" w:rsidRDefault="00557EB4">
      <w:pPr>
        <w:numPr>
          <w:ilvl w:val="0"/>
          <w:numId w:val="2"/>
        </w:numPr>
        <w:pBdr>
          <w:top w:val="nil"/>
          <w:left w:val="nil"/>
          <w:bottom w:val="nil"/>
          <w:right w:val="nil"/>
          <w:between w:val="nil"/>
        </w:pBdr>
        <w:ind w:left="993" w:right="474"/>
        <w:jc w:val="both"/>
        <w:rPr>
          <w:rFonts w:ascii="Palatino Linotype" w:eastAsia="Palatino Linotype" w:hAnsi="Palatino Linotype" w:cs="Palatino Linotype"/>
          <w:i/>
          <w:color w:val="000000"/>
          <w:sz w:val="22"/>
          <w:szCs w:val="22"/>
        </w:rPr>
      </w:pPr>
      <w:bookmarkStart w:id="1" w:name="_heading=h.30j0zll" w:colFirst="0" w:colLast="0"/>
      <w:bookmarkEnd w:id="1"/>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“la respuesta del sujeto obligado” (sic)</w:t>
      </w:r>
    </w:p>
    <w:p w14:paraId="497A289C" w14:textId="77777777" w:rsidR="0054534E" w:rsidRDefault="00557EB4">
      <w:pPr>
        <w:numPr>
          <w:ilvl w:val="0"/>
          <w:numId w:val="2"/>
        </w:numPr>
        <w:pBdr>
          <w:top w:val="nil"/>
          <w:left w:val="nil"/>
          <w:bottom w:val="nil"/>
          <w:right w:val="nil"/>
          <w:between w:val="nil"/>
        </w:pBdr>
        <w:ind w:left="993" w:right="474"/>
        <w:jc w:val="both"/>
        <w:rPr>
          <w:rFonts w:ascii="Palatino Linotype" w:eastAsia="Palatino Linotype" w:hAnsi="Palatino Linotype" w:cs="Palatino Linotype"/>
          <w:i/>
          <w:color w:val="000000"/>
          <w:sz w:val="22"/>
          <w:szCs w:val="22"/>
        </w:rPr>
      </w:pPr>
      <w:bookmarkStart w:id="2" w:name="_heading=h.1fob9te" w:colFirst="0" w:colLast="0"/>
      <w:bookmarkEnd w:id="2"/>
      <w:r>
        <w:rPr>
          <w:rFonts w:ascii="Palatino Linotype" w:eastAsia="Palatino Linotype" w:hAnsi="Palatino Linotype" w:cs="Palatino Linotype"/>
          <w:b/>
          <w:color w:val="000000"/>
          <w:sz w:val="22"/>
          <w:szCs w:val="22"/>
        </w:rPr>
        <w:lastRenderedPageBreak/>
        <w:t xml:space="preserve">Razones o Motivos de inconformidad: </w:t>
      </w:r>
      <w:r>
        <w:rPr>
          <w:rFonts w:ascii="Palatino Linotype" w:eastAsia="Palatino Linotype" w:hAnsi="Palatino Linotype" w:cs="Palatino Linotype"/>
          <w:i/>
          <w:color w:val="000000"/>
          <w:sz w:val="22"/>
          <w:szCs w:val="22"/>
        </w:rPr>
        <w:t xml:space="preserve">“el sujeto obligado niega la información solicitada por este gobernado, ya que en su respuesta no me establece el rango, nivel de los servidores </w:t>
      </w:r>
      <w:proofErr w:type="spellStart"/>
      <w:r>
        <w:rPr>
          <w:rFonts w:ascii="Palatino Linotype" w:eastAsia="Palatino Linotype" w:hAnsi="Palatino Linotype" w:cs="Palatino Linotype"/>
          <w:i/>
          <w:color w:val="000000"/>
          <w:sz w:val="22"/>
          <w:szCs w:val="22"/>
        </w:rPr>
        <w:t>publicos</w:t>
      </w:r>
      <w:proofErr w:type="spellEnd"/>
      <w:r>
        <w:rPr>
          <w:rFonts w:ascii="Palatino Linotype" w:eastAsia="Palatino Linotype" w:hAnsi="Palatino Linotype" w:cs="Palatino Linotype"/>
          <w:i/>
          <w:color w:val="000000"/>
          <w:sz w:val="22"/>
          <w:szCs w:val="22"/>
        </w:rPr>
        <w:t xml:space="preserve"> adscritos a la subprocuraduría de protección al ambiente, </w:t>
      </w:r>
      <w:proofErr w:type="spellStart"/>
      <w:r>
        <w:rPr>
          <w:rFonts w:ascii="Palatino Linotype" w:eastAsia="Palatino Linotype" w:hAnsi="Palatino Linotype" w:cs="Palatino Linotype"/>
          <w:i/>
          <w:color w:val="000000"/>
          <w:sz w:val="22"/>
          <w:szCs w:val="22"/>
        </w:rPr>
        <w:t>asi</w:t>
      </w:r>
      <w:proofErr w:type="spellEnd"/>
      <w:r>
        <w:rPr>
          <w:rFonts w:ascii="Palatino Linotype" w:eastAsia="Palatino Linotype" w:hAnsi="Palatino Linotype" w:cs="Palatino Linotype"/>
          <w:i/>
          <w:color w:val="000000"/>
          <w:sz w:val="22"/>
          <w:szCs w:val="22"/>
        </w:rPr>
        <w:t xml:space="preserve"> mismo no me informa el lugar de adscripción de los mismos y en caso de no estar en su </w:t>
      </w:r>
      <w:proofErr w:type="spellStart"/>
      <w:r>
        <w:rPr>
          <w:rFonts w:ascii="Palatino Linotype" w:eastAsia="Palatino Linotype" w:hAnsi="Palatino Linotype" w:cs="Palatino Linotype"/>
          <w:i/>
          <w:color w:val="000000"/>
          <w:sz w:val="22"/>
          <w:szCs w:val="22"/>
        </w:rPr>
        <w:t>area</w:t>
      </w:r>
      <w:proofErr w:type="spellEnd"/>
      <w:r>
        <w:rPr>
          <w:rFonts w:ascii="Palatino Linotype" w:eastAsia="Palatino Linotype" w:hAnsi="Palatino Linotype" w:cs="Palatino Linotype"/>
          <w:i/>
          <w:color w:val="000000"/>
          <w:sz w:val="22"/>
          <w:szCs w:val="22"/>
        </w:rPr>
        <w:t xml:space="preserve"> correspondiente la justificación, o excepción que de acuerdo a la norma no se encuentren laborando en su lugar de adscripción.” (sic)</w:t>
      </w:r>
    </w:p>
    <w:p w14:paraId="6E74B758" w14:textId="77777777" w:rsidR="0054534E" w:rsidRDefault="0054534E">
      <w:pPr>
        <w:spacing w:line="360" w:lineRule="auto"/>
        <w:rPr>
          <w:rFonts w:ascii="Palatino Linotype" w:eastAsia="Palatino Linotype" w:hAnsi="Palatino Linotype" w:cs="Palatino Linotype"/>
          <w:i/>
          <w:color w:val="000000"/>
        </w:rPr>
      </w:pPr>
    </w:p>
    <w:p w14:paraId="0EAAA089"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notificado el </w:t>
      </w:r>
      <w:r>
        <w:rPr>
          <w:rFonts w:ascii="Palatino Linotype" w:eastAsia="Palatino Linotype" w:hAnsi="Palatino Linotype" w:cs="Palatino Linotype"/>
          <w:b/>
          <w:color w:val="000000"/>
        </w:rPr>
        <w:t>cinco de diciembre de dos mil veintitrés</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42DD5B18" w14:textId="77777777" w:rsidR="0054534E" w:rsidRDefault="0054534E">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40FC91D1"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PARTICULAR </w:t>
      </w:r>
      <w:r>
        <w:rPr>
          <w:rFonts w:ascii="Palatino Linotype" w:eastAsia="Palatino Linotype" w:hAnsi="Palatino Linotype" w:cs="Palatino Linotype"/>
        </w:rPr>
        <w:t>dejó</w:t>
      </w:r>
      <w:r>
        <w:rPr>
          <w:rFonts w:ascii="Palatino Linotype" w:eastAsia="Palatino Linotype" w:hAnsi="Palatino Linotype" w:cs="Palatino Linotype"/>
          <w:color w:val="000000"/>
        </w:rPr>
        <w:t xml:space="preserve"> de realizar manifestaciones que a su derecho conviniera y asistiera.</w:t>
      </w:r>
    </w:p>
    <w:p w14:paraId="3472E08F" w14:textId="77777777" w:rsidR="0054534E" w:rsidRDefault="0054534E">
      <w:pPr>
        <w:spacing w:line="360" w:lineRule="auto"/>
        <w:rPr>
          <w:rFonts w:ascii="Palatino Linotype" w:eastAsia="Palatino Linotype" w:hAnsi="Palatino Linotype" w:cs="Palatino Linotype"/>
        </w:rPr>
      </w:pPr>
    </w:p>
    <w:p w14:paraId="361D9B6D"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remitió los siguientes archivos:</w:t>
      </w:r>
    </w:p>
    <w:p w14:paraId="28E07765" w14:textId="77777777" w:rsidR="0054534E" w:rsidRDefault="002B3FC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hyperlink r:id="rId14">
        <w:r w:rsidR="00557EB4">
          <w:rPr>
            <w:rFonts w:ascii="Palatino Linotype" w:eastAsia="Palatino Linotype" w:hAnsi="Palatino Linotype" w:cs="Palatino Linotype"/>
            <w:b/>
            <w:i/>
            <w:color w:val="000000"/>
            <w:sz w:val="22"/>
            <w:szCs w:val="22"/>
          </w:rPr>
          <w:t>RR SOL 137.pdf</w:t>
        </w:r>
      </w:hyperlink>
      <w:r w:rsidR="00557EB4">
        <w:rPr>
          <w:rFonts w:ascii="Palatino Linotype" w:eastAsia="Palatino Linotype" w:hAnsi="Palatino Linotype" w:cs="Palatino Linotype"/>
          <w:b/>
          <w:i/>
          <w:color w:val="000000"/>
          <w:sz w:val="22"/>
          <w:szCs w:val="22"/>
        </w:rPr>
        <w:t xml:space="preserve">: </w:t>
      </w:r>
    </w:p>
    <w:p w14:paraId="46512C84" w14:textId="77777777" w:rsidR="0054534E" w:rsidRDefault="00557EB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remite nuevamente el ANEXO </w:t>
      </w:r>
      <w:r>
        <w:rPr>
          <w:rFonts w:ascii="Palatino Linotype" w:eastAsia="Palatino Linotype" w:hAnsi="Palatino Linotype" w:cs="Palatino Linotype"/>
          <w:sz w:val="22"/>
          <w:szCs w:val="22"/>
        </w:rPr>
        <w:t>ÚNICO</w:t>
      </w:r>
      <w:r>
        <w:rPr>
          <w:rFonts w:ascii="Palatino Linotype" w:eastAsia="Palatino Linotype" w:hAnsi="Palatino Linotype" w:cs="Palatino Linotype"/>
          <w:color w:val="000000"/>
          <w:sz w:val="22"/>
          <w:szCs w:val="22"/>
        </w:rPr>
        <w:t xml:space="preserve"> proporcionado en respuesta primigenia y adicionalmente manifiesta que al tratarse de información </w:t>
      </w:r>
      <w:r>
        <w:rPr>
          <w:rFonts w:ascii="Palatino Linotype" w:eastAsia="Palatino Linotype" w:hAnsi="Palatino Linotype" w:cs="Palatino Linotype"/>
          <w:sz w:val="22"/>
          <w:szCs w:val="22"/>
        </w:rPr>
        <w:t>pública</w:t>
      </w:r>
      <w:r>
        <w:rPr>
          <w:rFonts w:ascii="Palatino Linotype" w:eastAsia="Palatino Linotype" w:hAnsi="Palatino Linotype" w:cs="Palatino Linotype"/>
          <w:color w:val="000000"/>
          <w:sz w:val="22"/>
          <w:szCs w:val="22"/>
        </w:rPr>
        <w:t xml:space="preserve">, la misma puede consultarse en el IPOMEX, proporcionando el siguiente link de acceso </w:t>
      </w:r>
    </w:p>
    <w:p w14:paraId="3325A117" w14:textId="77777777" w:rsidR="0054534E" w:rsidRDefault="00557EB4">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1DE6168F" wp14:editId="1EFC1E61">
            <wp:extent cx="3543795" cy="1686160"/>
            <wp:effectExtent l="0" t="0" r="0" b="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3543795" cy="1686160"/>
                    </a:xfrm>
                    <a:prstGeom prst="rect">
                      <a:avLst/>
                    </a:prstGeom>
                    <a:ln/>
                  </pic:spPr>
                </pic:pic>
              </a:graphicData>
            </a:graphic>
          </wp:inline>
        </w:drawing>
      </w:r>
    </w:p>
    <w:p w14:paraId="45A1C0BA" w14:textId="77777777" w:rsidR="0054534E" w:rsidRDefault="0054534E">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696B8373" w14:textId="77777777" w:rsidR="0054534E" w:rsidRDefault="0054534E">
      <w:pPr>
        <w:rPr>
          <w:rFonts w:ascii="Palatino Linotype" w:eastAsia="Palatino Linotype" w:hAnsi="Palatino Linotype" w:cs="Palatino Linotype"/>
        </w:rPr>
      </w:pPr>
    </w:p>
    <w:p w14:paraId="5C9EB17C"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seis de febrero de dos mil veinticuatro,</w:t>
      </w:r>
      <w:r>
        <w:rPr>
          <w:rFonts w:ascii="Palatino Linotype" w:eastAsia="Palatino Linotype" w:hAnsi="Palatino Linotype" w:cs="Palatino Linotype"/>
          <w:color w:val="000000"/>
        </w:rPr>
        <w:t xml:space="preserve"> se amplió el término para resolver; al respecto es menester realizar las siguientes precisiones.</w:t>
      </w:r>
    </w:p>
    <w:p w14:paraId="4F0BD2AA" w14:textId="77777777" w:rsidR="0054534E" w:rsidRDefault="0054534E">
      <w:pPr>
        <w:spacing w:line="360" w:lineRule="auto"/>
        <w:rPr>
          <w:rFonts w:ascii="Palatino Linotype" w:eastAsia="Palatino Linotype" w:hAnsi="Palatino Linotype" w:cs="Palatino Linotype"/>
        </w:rPr>
      </w:pPr>
    </w:p>
    <w:p w14:paraId="139D9DD3" w14:textId="77777777" w:rsidR="0054534E" w:rsidRDefault="00557EB4">
      <w:pPr>
        <w:numPr>
          <w:ilvl w:val="0"/>
          <w:numId w:val="1"/>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20BC67DE" w14:textId="77777777" w:rsidR="0054534E" w:rsidRDefault="005453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E97CAC"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660C832"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ED0DC9" w14:textId="77777777" w:rsidR="0054534E" w:rsidRDefault="0054534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636E051"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248467C" w14:textId="77777777" w:rsidR="0054534E" w:rsidRDefault="0054534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9C4F2B1"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539F3C81" w14:textId="77777777" w:rsidR="0054534E" w:rsidRDefault="00557EB4">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Complejidad del </w:t>
      </w:r>
      <w:r>
        <w:rPr>
          <w:rFonts w:ascii="Palatino Linotype" w:eastAsia="Palatino Linotype" w:hAnsi="Palatino Linotype" w:cs="Palatino Linotype"/>
          <w:sz w:val="22"/>
          <w:szCs w:val="22"/>
        </w:rPr>
        <w:t>asunto</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1EE0F04A" w14:textId="77777777" w:rsidR="0054534E" w:rsidRDefault="00557EB4">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366F0F0A" w14:textId="77777777" w:rsidR="0054534E" w:rsidRDefault="00557EB4">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5DA0C966" w14:textId="77777777" w:rsidR="0054534E" w:rsidRDefault="00557EB4">
      <w:pPr>
        <w:spacing w:line="360" w:lineRule="auto"/>
        <w:ind w:left="851"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7C5B34EE" w14:textId="77777777" w:rsidR="0054534E" w:rsidRDefault="0054534E">
      <w:pPr>
        <w:spacing w:line="360" w:lineRule="auto"/>
        <w:ind w:left="851" w:hanging="284"/>
        <w:jc w:val="both"/>
        <w:rPr>
          <w:rFonts w:ascii="Palatino Linotype" w:eastAsia="Palatino Linotype" w:hAnsi="Palatino Linotype" w:cs="Palatino Linotype"/>
        </w:rPr>
      </w:pPr>
    </w:p>
    <w:p w14:paraId="520A775C"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jurisdiccional o cuasi jurisdiccional respectivo supere notoriamente al que podría </w:t>
      </w:r>
      <w:r>
        <w:rPr>
          <w:rFonts w:ascii="Palatino Linotype" w:eastAsia="Palatino Linotype" w:hAnsi="Palatino Linotype" w:cs="Palatino Linotype"/>
          <w:color w:val="000000"/>
        </w:rPr>
        <w:lastRenderedPageBreak/>
        <w:t>considerarse normal, debe concluirse que es una excluyente de responsabilidad en relación con la actuación del funcionario, como ha acontecido en el caso que nos ocupa.</w:t>
      </w:r>
    </w:p>
    <w:p w14:paraId="7691E9A6" w14:textId="77777777" w:rsidR="0054534E" w:rsidRDefault="005453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6BD6E5A"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color w:val="000000"/>
        </w:rPr>
        <w:t>INDEBIDAMENTE</w:t>
      </w:r>
      <w:r>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Pr>
          <w:rFonts w:ascii="Palatino Linotype" w:eastAsia="Palatino Linotype" w:hAnsi="Palatino Linotype" w:cs="Palatino Linotype"/>
          <w:color w:val="000000"/>
        </w:rPr>
        <w:t xml:space="preserve">,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3C3F6603" w14:textId="77777777" w:rsidR="0054534E" w:rsidRDefault="0054534E">
      <w:pPr>
        <w:spacing w:line="360" w:lineRule="auto"/>
        <w:jc w:val="both"/>
        <w:rPr>
          <w:rFonts w:ascii="Palatino Linotype" w:eastAsia="Palatino Linotype" w:hAnsi="Palatino Linotype" w:cs="Palatino Linotype"/>
        </w:rPr>
      </w:pPr>
    </w:p>
    <w:p w14:paraId="67394978"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C46C45" w14:textId="77777777" w:rsidR="0054534E" w:rsidRDefault="0054534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97A4737"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ello, este organismo garante comprometido con la tutela de los derechos humanos confiados, señala que este exceso del plazo legal para resolver el presente asunto, resulta de carácter excepcional.</w:t>
      </w:r>
    </w:p>
    <w:p w14:paraId="430AF301" w14:textId="77777777" w:rsidR="0054534E" w:rsidRDefault="0054534E">
      <w:pPr>
        <w:spacing w:line="360" w:lineRule="auto"/>
        <w:jc w:val="both"/>
        <w:rPr>
          <w:rFonts w:ascii="Palatino Linotype" w:eastAsia="Palatino Linotype" w:hAnsi="Palatino Linotype" w:cs="Palatino Linotype"/>
        </w:rPr>
      </w:pPr>
    </w:p>
    <w:p w14:paraId="16194808"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62ED0623" w14:textId="77777777" w:rsidR="0054534E" w:rsidRDefault="00557EB4">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3A116580" w14:textId="77777777" w:rsidR="0054534E" w:rsidRDefault="0054534E">
      <w:pPr>
        <w:spacing w:line="360" w:lineRule="auto"/>
        <w:ind w:left="425" w:right="476"/>
        <w:jc w:val="both"/>
        <w:rPr>
          <w:rFonts w:ascii="Palatino Linotype" w:eastAsia="Palatino Linotype" w:hAnsi="Palatino Linotype" w:cs="Palatino Linotype"/>
          <w:b/>
          <w:sz w:val="22"/>
          <w:szCs w:val="22"/>
        </w:rPr>
      </w:pPr>
    </w:p>
    <w:p w14:paraId="486FB1D9" w14:textId="77777777" w:rsidR="0054534E" w:rsidRDefault="00557EB4">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00069D37" w14:textId="77777777" w:rsidR="0054534E" w:rsidRDefault="0054534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8C9F01E"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3" w:name="_heading=h.3znysh7" w:colFirst="0" w:colLast="0"/>
      <w:bookmarkEnd w:id="3"/>
      <w:r>
        <w:rPr>
          <w:rFonts w:ascii="Palatino Linotype" w:eastAsia="Palatino Linotype" w:hAnsi="Palatino Linotype" w:cs="Palatino Linotype"/>
          <w:color w:val="000000"/>
        </w:rPr>
        <w:t xml:space="preserve">Seguidamente, mediante acuerdo de </w:t>
      </w:r>
      <w:r>
        <w:rPr>
          <w:rFonts w:ascii="Palatino Linotype" w:eastAsia="Palatino Linotype" w:hAnsi="Palatino Linotype" w:cs="Palatino Linotype"/>
          <w:b/>
          <w:color w:val="000000"/>
        </w:rPr>
        <w:t>seis de agosto de dos mil veinticuatro</w:t>
      </w:r>
      <w:r>
        <w:rPr>
          <w:rFonts w:ascii="Palatino Linotype" w:eastAsia="Palatino Linotype" w:hAnsi="Palatino Linotype" w:cs="Palatino Linotype"/>
          <w:color w:val="000000"/>
        </w:rPr>
        <w:t>, se decretó el cierre de instrucción, por lo que no habiendo más que hacer constar, y------------------------------------------------------------------------------------------------------------</w:t>
      </w:r>
    </w:p>
    <w:p w14:paraId="160D7E07" w14:textId="77777777" w:rsidR="0054534E" w:rsidRDefault="0054534E">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1EA88C7C" w14:textId="77777777" w:rsidR="0054534E" w:rsidRDefault="00557EB4">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43222C56" w14:textId="77777777" w:rsidR="0054534E" w:rsidRDefault="0054534E">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110BA4DB" w14:textId="77777777" w:rsidR="0054534E" w:rsidRDefault="00557EB4">
      <w:pPr>
        <w:pStyle w:val="Ttulo2"/>
        <w:spacing w:before="0" w:line="360" w:lineRule="auto"/>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lastRenderedPageBreak/>
        <w:t>PRIMERO. De la competencia</w:t>
      </w:r>
    </w:p>
    <w:p w14:paraId="06C00F39" w14:textId="77777777" w:rsidR="0054534E" w:rsidRDefault="00557EB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Pr>
          <w:color w:val="000000"/>
        </w:rPr>
        <w:t xml:space="preserve"> 7°, </w:t>
      </w:r>
      <w:r>
        <w:rPr>
          <w:rFonts w:ascii="Palatino Linotype" w:eastAsia="Palatino Linotype" w:hAnsi="Palatino Linotype" w:cs="Palatino Linotype"/>
          <w:color w:val="000000"/>
        </w:rPr>
        <w:t>9°, fracciones I y XXIII y 11 del Reglamento Interior del Instituto de Transparencia, Acceso a la Información</w:t>
      </w:r>
      <w:r>
        <w:rPr>
          <w:rFonts w:ascii="Palatino Linotype" w:eastAsia="Palatino Linotype" w:hAnsi="Palatino Linotype" w:cs="Palatino Linotype"/>
        </w:rPr>
        <w:t xml:space="preserve"> Pública y Protección de Datos Personales del Estado de México y Municipios.</w:t>
      </w:r>
    </w:p>
    <w:p w14:paraId="1114B0E3" w14:textId="77777777" w:rsidR="0054534E" w:rsidRDefault="0054534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1D2AA43" w14:textId="77777777" w:rsidR="0054534E" w:rsidRDefault="00557EB4">
      <w:pPr>
        <w:pStyle w:val="Ttulo2"/>
        <w:spacing w:before="0" w:line="360" w:lineRule="auto"/>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SEGUNDO. De la oportunidad y procedencia.</w:t>
      </w:r>
    </w:p>
    <w:p w14:paraId="69DAB636" w14:textId="77777777" w:rsidR="0054534E" w:rsidRDefault="00557E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 respuesta el </w:t>
      </w:r>
      <w:r>
        <w:rPr>
          <w:rFonts w:ascii="Palatino Linotype" w:eastAsia="Palatino Linotype" w:hAnsi="Palatino Linotype" w:cs="Palatino Linotype"/>
          <w:b/>
          <w:color w:val="000000"/>
        </w:rPr>
        <w:t>primero de diciembre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de dos mil veintitrés</w:t>
      </w:r>
      <w:r>
        <w:rPr>
          <w:rFonts w:ascii="Palatino Linotype" w:eastAsia="Palatino Linotype" w:hAnsi="Palatino Linotype" w:cs="Palatino Linotype"/>
          <w:color w:val="000000"/>
        </w:rPr>
        <w:t xml:space="preserve">, de tal forma que el plazo para interponer el recurso de revisión transcurrió del día </w:t>
      </w:r>
      <w:r>
        <w:rPr>
          <w:rFonts w:ascii="Palatino Linotype" w:eastAsia="Palatino Linotype" w:hAnsi="Palatino Linotype" w:cs="Palatino Linotype"/>
          <w:b/>
          <w:color w:val="000000"/>
        </w:rPr>
        <w:t>cuatro de diciembre del dos mil veintitrés al doce de enero de dos mil veinticuatro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 inconformidad el día </w:t>
      </w:r>
      <w:r>
        <w:rPr>
          <w:rFonts w:ascii="Palatino Linotype" w:eastAsia="Palatino Linotype" w:hAnsi="Palatino Linotype" w:cs="Palatino Linotype"/>
          <w:b/>
          <w:color w:val="000000"/>
        </w:rPr>
        <w:t xml:space="preserve">cuatro de </w:t>
      </w:r>
      <w:r>
        <w:rPr>
          <w:rFonts w:ascii="Palatino Linotype" w:eastAsia="Palatino Linotype" w:hAnsi="Palatino Linotype" w:cs="Palatino Linotype"/>
          <w:b/>
          <w:color w:val="000000"/>
        </w:rPr>
        <w:lastRenderedPageBreak/>
        <w:t>diciembre de dos mil veintitrés</w:t>
      </w:r>
      <w:r>
        <w:rPr>
          <w:rFonts w:ascii="Palatino Linotype" w:eastAsia="Palatino Linotype" w:hAnsi="Palatino Linotype" w:cs="Palatino Linotype"/>
          <w:color w:val="000000"/>
        </w:rPr>
        <w:t>; por lo que se estima que la inconformidad se presentó dentro del lapso legalmente establecido para tal efecto.</w:t>
      </w:r>
    </w:p>
    <w:p w14:paraId="068D28B6" w14:textId="77777777" w:rsidR="0054534E" w:rsidRDefault="0054534E">
      <w:pPr>
        <w:spacing w:line="360" w:lineRule="auto"/>
        <w:jc w:val="both"/>
        <w:rPr>
          <w:rFonts w:ascii="Palatino Linotype" w:eastAsia="Palatino Linotype" w:hAnsi="Palatino Linotype" w:cs="Palatino Linotype"/>
        </w:rPr>
      </w:pPr>
    </w:p>
    <w:p w14:paraId="705F8197" w14:textId="77777777" w:rsidR="00A77B3B" w:rsidRDefault="00557EB4" w:rsidP="00A77B3B">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w:t>
      </w:r>
      <w:r w:rsidR="00A77B3B">
        <w:rPr>
          <w:rFonts w:ascii="Palatino Linotype" w:eastAsia="Palatino Linotype" w:hAnsi="Palatino Linotype" w:cs="Palatino Linotype"/>
        </w:rPr>
        <w:t xml:space="preserve"> y resuelva el presente recurso</w:t>
      </w:r>
    </w:p>
    <w:p w14:paraId="1AFB75E5" w14:textId="77777777" w:rsidR="00A77B3B" w:rsidRPr="00A77B3B" w:rsidRDefault="00A77B3B" w:rsidP="00A77B3B">
      <w:pPr>
        <w:spacing w:line="360" w:lineRule="auto"/>
        <w:jc w:val="both"/>
        <w:rPr>
          <w:rFonts w:ascii="Palatino Linotype" w:eastAsia="Palatino Linotype" w:hAnsi="Palatino Linotype" w:cs="Palatino Linotype"/>
        </w:rPr>
      </w:pPr>
    </w:p>
    <w:p w14:paraId="3BE6855E" w14:textId="77777777" w:rsidR="00A77B3B" w:rsidRDefault="00A77B3B" w:rsidP="00A77B3B">
      <w:pPr>
        <w:keepNext/>
        <w:keepLines/>
        <w:spacing w:before="240" w:line="360" w:lineRule="auto"/>
        <w:rPr>
          <w:rFonts w:ascii="Palatino Linotype" w:eastAsia="Palatino Linotype" w:hAnsi="Palatino Linotype" w:cs="Palatino Linotype"/>
          <w:b/>
        </w:rPr>
      </w:pPr>
      <w:r>
        <w:rPr>
          <w:rFonts w:ascii="Palatino Linotype" w:eastAsia="Palatino Linotype" w:hAnsi="Palatino Linotype" w:cs="Palatino Linotype"/>
          <w:b/>
        </w:rPr>
        <w:t>TERCERO. De las causales del sobreseimiento.</w:t>
      </w:r>
    </w:p>
    <w:p w14:paraId="15974350" w14:textId="77777777" w:rsidR="00A77B3B" w:rsidRDefault="00A77B3B" w:rsidP="00A77B3B">
      <w:pPr>
        <w:numPr>
          <w:ilvl w:val="0"/>
          <w:numId w:val="1"/>
        </w:numPr>
        <w:spacing w:line="360" w:lineRule="auto"/>
        <w:ind w:left="0" w:firstLine="0"/>
        <w:jc w:val="both"/>
        <w:rPr>
          <w:color w:val="000000"/>
        </w:rPr>
      </w:pPr>
      <w:r>
        <w:rPr>
          <w:rFonts w:ascii="Palatino Linotype" w:eastAsia="Palatino Linotype" w:hAnsi="Palatino Linotype" w:cs="Palatino Linotype"/>
          <w:color w:val="000000"/>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Pr>
          <w:rFonts w:ascii="Palatino Linotype" w:eastAsia="Palatino Linotype" w:hAnsi="Palatino Linotype" w:cs="Palatino Linotype"/>
          <w:color w:val="000000"/>
        </w:rPr>
        <w:t>desechamiento</w:t>
      </w:r>
      <w:proofErr w:type="spellEnd"/>
      <w:r>
        <w:rPr>
          <w:rFonts w:ascii="Palatino Linotype" w:eastAsia="Palatino Linotype" w:hAnsi="Palatino Linotype" w:cs="Palatino Linotype"/>
          <w:color w:val="000000"/>
        </w:rPr>
        <w:t xml:space="preserve"> o </w:t>
      </w:r>
      <w:r>
        <w:rPr>
          <w:rFonts w:ascii="Palatino Linotype" w:eastAsia="Palatino Linotype" w:hAnsi="Palatino Linotype" w:cs="Palatino Linotype"/>
          <w:b/>
          <w:color w:val="000000"/>
          <w:u w:val="single"/>
        </w:rPr>
        <w:t>sobreseimiento</w:t>
      </w:r>
      <w:r>
        <w:rPr>
          <w:rFonts w:ascii="Palatino Linotype" w:eastAsia="Palatino Linotype" w:hAnsi="Palatino Linotype" w:cs="Palatino Linotype"/>
          <w:color w:val="000000"/>
        </w:rPr>
        <w:t xml:space="preserve">; y, en su caso, ordenar la entrega de la información respecto a la falta de respuesta por parte del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w:t>
      </w:r>
    </w:p>
    <w:p w14:paraId="66FE1792" w14:textId="77777777" w:rsidR="00A77B3B" w:rsidRDefault="00A77B3B" w:rsidP="00A77B3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3CDB2F21" w14:textId="77777777" w:rsidR="00A77B3B" w:rsidRPr="00A77B3B" w:rsidRDefault="00A77B3B" w:rsidP="00A77B3B">
      <w:pPr>
        <w:numPr>
          <w:ilvl w:val="0"/>
          <w:numId w:val="1"/>
        </w:numPr>
        <w:spacing w:line="360" w:lineRule="auto"/>
        <w:ind w:left="0" w:firstLine="0"/>
        <w:jc w:val="both"/>
        <w:rPr>
          <w:color w:val="000000"/>
        </w:rPr>
      </w:pPr>
      <w:r>
        <w:rPr>
          <w:rFonts w:ascii="Palatino Linotype" w:eastAsia="Palatino Linotype" w:hAnsi="Palatino Linotype" w:cs="Palatino Linotype"/>
          <w:color w:val="000000"/>
        </w:rPr>
        <w:t>Ahora bien, en el presente caso el recurrente solicitó:</w:t>
      </w:r>
    </w:p>
    <w:p w14:paraId="3FABDED4" w14:textId="77777777" w:rsidR="00A77B3B" w:rsidRDefault="00A77B3B" w:rsidP="00A77B3B">
      <w:pPr>
        <w:pStyle w:val="Prrafodelista"/>
        <w:rPr>
          <w:rFonts w:ascii="Palatino Linotype" w:eastAsia="Palatino Linotype" w:hAnsi="Palatino Linotype" w:cs="Palatino Linotype"/>
          <w:color w:val="000000"/>
        </w:rPr>
      </w:pPr>
    </w:p>
    <w:p w14:paraId="3F903CB0" w14:textId="77777777" w:rsidR="00A77B3B" w:rsidRPr="00E93A72" w:rsidRDefault="00A77B3B" w:rsidP="00A77B3B">
      <w:pPr>
        <w:numPr>
          <w:ilvl w:val="0"/>
          <w:numId w:val="5"/>
        </w:numPr>
        <w:pBdr>
          <w:top w:val="nil"/>
          <w:left w:val="nil"/>
          <w:bottom w:val="nil"/>
          <w:right w:val="nil"/>
          <w:between w:val="nil"/>
        </w:pBdr>
        <w:ind w:left="851" w:right="616"/>
        <w:jc w:val="both"/>
        <w:rPr>
          <w:rFonts w:ascii="Palatino Linotype" w:eastAsia="Palatino Linotype" w:hAnsi="Palatino Linotype" w:cs="Palatino Linotype"/>
          <w:color w:val="000000"/>
          <w:szCs w:val="22"/>
        </w:rPr>
      </w:pPr>
      <w:r w:rsidRPr="00E93A72">
        <w:rPr>
          <w:rFonts w:ascii="Palatino Linotype" w:eastAsia="Palatino Linotype" w:hAnsi="Palatino Linotype" w:cs="Palatino Linotype"/>
          <w:color w:val="000000"/>
          <w:szCs w:val="22"/>
        </w:rPr>
        <w:t xml:space="preserve">Nivel,  rango y adscripción de los todos servidores públicos </w:t>
      </w:r>
    </w:p>
    <w:p w14:paraId="1B750554" w14:textId="77777777" w:rsidR="00A77B3B" w:rsidRPr="00E93A72" w:rsidRDefault="00A77B3B" w:rsidP="00A77B3B">
      <w:pPr>
        <w:numPr>
          <w:ilvl w:val="0"/>
          <w:numId w:val="5"/>
        </w:numPr>
        <w:pBdr>
          <w:top w:val="nil"/>
          <w:left w:val="nil"/>
          <w:bottom w:val="nil"/>
          <w:right w:val="nil"/>
          <w:between w:val="nil"/>
        </w:pBdr>
        <w:ind w:left="851" w:right="616"/>
        <w:jc w:val="both"/>
        <w:rPr>
          <w:rFonts w:ascii="Palatino Linotype" w:eastAsia="Palatino Linotype" w:hAnsi="Palatino Linotype" w:cs="Palatino Linotype"/>
          <w:b/>
          <w:color w:val="000000"/>
          <w:szCs w:val="22"/>
        </w:rPr>
      </w:pPr>
      <w:r w:rsidRPr="00E93A72">
        <w:rPr>
          <w:rFonts w:ascii="Palatino Linotype" w:eastAsia="Palatino Linotype" w:hAnsi="Palatino Linotype" w:cs="Palatino Linotype"/>
          <w:color w:val="000000"/>
          <w:szCs w:val="22"/>
        </w:rPr>
        <w:t xml:space="preserve">justificación de ser el caso del que no se encuentren en su unidad de adscripción, lo anterior en atención a las medidas de austeridad publicadas en el 2021, donde indica que los servidores públicos deben encontrarse laborando en la área de adscripción de la plaza de lo </w:t>
      </w:r>
      <w:r w:rsidRPr="00E93A72">
        <w:rPr>
          <w:rFonts w:ascii="Palatino Linotype" w:eastAsia="Palatino Linotype" w:hAnsi="Palatino Linotype" w:cs="Palatino Linotype"/>
          <w:szCs w:val="22"/>
        </w:rPr>
        <w:t>contrario</w:t>
      </w:r>
      <w:r w:rsidRPr="00E93A72">
        <w:rPr>
          <w:rFonts w:ascii="Palatino Linotype" w:eastAsia="Palatino Linotype" w:hAnsi="Palatino Linotype" w:cs="Palatino Linotype"/>
          <w:color w:val="000000"/>
          <w:szCs w:val="22"/>
        </w:rPr>
        <w:t xml:space="preserve"> la justificación de aquellas personas con plazas que operan en una área diferente a la de su adscripción</w:t>
      </w:r>
    </w:p>
    <w:p w14:paraId="735A35BD" w14:textId="77777777" w:rsidR="00A77B3B" w:rsidRDefault="00A77B3B" w:rsidP="00A77B3B">
      <w:pPr>
        <w:pBdr>
          <w:top w:val="nil"/>
          <w:left w:val="nil"/>
          <w:bottom w:val="nil"/>
          <w:right w:val="nil"/>
          <w:between w:val="nil"/>
        </w:pBdr>
        <w:ind w:left="720"/>
        <w:rPr>
          <w:rFonts w:ascii="Palatino Linotype" w:eastAsia="Palatino Linotype" w:hAnsi="Palatino Linotype" w:cs="Palatino Linotype"/>
          <w:color w:val="000000"/>
        </w:rPr>
      </w:pPr>
    </w:p>
    <w:p w14:paraId="66CC85C6" w14:textId="77777777" w:rsidR="00A77B3B" w:rsidRDefault="00A77B3B" w:rsidP="00A77B3B">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Para tal efecto,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emitió la respuesta ya transcrita en el anterior Párrafo 2, a lo que </w:t>
      </w:r>
      <w:r>
        <w:rPr>
          <w:rFonts w:ascii="Palatino Linotype" w:eastAsia="Palatino Linotype" w:hAnsi="Palatino Linotype" w:cs="Palatino Linotype"/>
          <w:b/>
        </w:rPr>
        <w:t>EL PARTICULAR</w:t>
      </w:r>
      <w:r>
        <w:rPr>
          <w:rFonts w:ascii="Palatino Linotype" w:eastAsia="Palatino Linotype" w:hAnsi="Palatino Linotype" w:cs="Palatino Linotype"/>
        </w:rPr>
        <w:t xml:space="preserve"> se inconformó arguyendo lo siguiente:</w:t>
      </w:r>
    </w:p>
    <w:p w14:paraId="4F34EF58" w14:textId="77777777" w:rsidR="00A77B3B" w:rsidRPr="00E93A72" w:rsidRDefault="00A77B3B" w:rsidP="00A77B3B">
      <w:pPr>
        <w:numPr>
          <w:ilvl w:val="0"/>
          <w:numId w:val="2"/>
        </w:numPr>
        <w:tabs>
          <w:tab w:val="left" w:pos="933"/>
        </w:tabs>
        <w:ind w:left="993" w:right="616"/>
        <w:jc w:val="both"/>
        <w:rPr>
          <w:rFonts w:ascii="Palatino Linotype" w:eastAsia="Palatino Linotype" w:hAnsi="Palatino Linotype" w:cs="Palatino Linotype"/>
          <w:i/>
          <w:szCs w:val="22"/>
        </w:rPr>
      </w:pPr>
      <w:r w:rsidRPr="00E93A72">
        <w:rPr>
          <w:rFonts w:ascii="Palatino Linotype" w:eastAsia="Palatino Linotype" w:hAnsi="Palatino Linotype" w:cs="Palatino Linotype"/>
          <w:b/>
          <w:szCs w:val="22"/>
        </w:rPr>
        <w:t xml:space="preserve">Acto impugnado: </w:t>
      </w:r>
      <w:r w:rsidRPr="00E93A72">
        <w:rPr>
          <w:rFonts w:ascii="Palatino Linotype" w:eastAsia="Palatino Linotype" w:hAnsi="Palatino Linotype" w:cs="Palatino Linotype"/>
          <w:i/>
          <w:szCs w:val="22"/>
        </w:rPr>
        <w:t>“la respuesta del sujeto obligado” (sic)</w:t>
      </w:r>
    </w:p>
    <w:p w14:paraId="3CCEEAD2" w14:textId="77777777" w:rsidR="00A77B3B" w:rsidRPr="00E93A72" w:rsidRDefault="00A77B3B" w:rsidP="00A77B3B">
      <w:pPr>
        <w:numPr>
          <w:ilvl w:val="0"/>
          <w:numId w:val="2"/>
        </w:numPr>
        <w:tabs>
          <w:tab w:val="left" w:pos="933"/>
        </w:tabs>
        <w:ind w:left="993" w:right="616"/>
        <w:jc w:val="both"/>
        <w:rPr>
          <w:rFonts w:ascii="Palatino Linotype" w:eastAsia="Palatino Linotype" w:hAnsi="Palatino Linotype" w:cs="Palatino Linotype"/>
          <w:i/>
          <w:szCs w:val="22"/>
        </w:rPr>
      </w:pPr>
      <w:r w:rsidRPr="00E93A72">
        <w:rPr>
          <w:rFonts w:ascii="Palatino Linotype" w:eastAsia="Palatino Linotype" w:hAnsi="Palatino Linotype" w:cs="Palatino Linotype"/>
          <w:b/>
          <w:szCs w:val="22"/>
        </w:rPr>
        <w:t xml:space="preserve">Razones o Motivos de inconformidad: </w:t>
      </w:r>
      <w:r w:rsidRPr="00E93A72">
        <w:rPr>
          <w:rFonts w:ascii="Palatino Linotype" w:eastAsia="Palatino Linotype" w:hAnsi="Palatino Linotype" w:cs="Palatino Linotype"/>
          <w:i/>
          <w:szCs w:val="22"/>
        </w:rPr>
        <w:t xml:space="preserve">“el sujeto obligado niega la información solicitada por este gobernado, ya que en su respuesta no me establece el rango, nivel de los servidores </w:t>
      </w:r>
      <w:proofErr w:type="spellStart"/>
      <w:r w:rsidRPr="00E93A72">
        <w:rPr>
          <w:rFonts w:ascii="Palatino Linotype" w:eastAsia="Palatino Linotype" w:hAnsi="Palatino Linotype" w:cs="Palatino Linotype"/>
          <w:i/>
          <w:szCs w:val="22"/>
        </w:rPr>
        <w:t>publicos</w:t>
      </w:r>
      <w:proofErr w:type="spellEnd"/>
      <w:r w:rsidRPr="00E93A72">
        <w:rPr>
          <w:rFonts w:ascii="Palatino Linotype" w:eastAsia="Palatino Linotype" w:hAnsi="Palatino Linotype" w:cs="Palatino Linotype"/>
          <w:i/>
          <w:szCs w:val="22"/>
        </w:rPr>
        <w:t xml:space="preserve"> adscritos a la subprocuraduría de protección al ambiente, </w:t>
      </w:r>
      <w:proofErr w:type="spellStart"/>
      <w:r w:rsidRPr="00E93A72">
        <w:rPr>
          <w:rFonts w:ascii="Palatino Linotype" w:eastAsia="Palatino Linotype" w:hAnsi="Palatino Linotype" w:cs="Palatino Linotype"/>
          <w:i/>
          <w:szCs w:val="22"/>
        </w:rPr>
        <w:t>asi</w:t>
      </w:r>
      <w:proofErr w:type="spellEnd"/>
      <w:r w:rsidRPr="00E93A72">
        <w:rPr>
          <w:rFonts w:ascii="Palatino Linotype" w:eastAsia="Palatino Linotype" w:hAnsi="Palatino Linotype" w:cs="Palatino Linotype"/>
          <w:i/>
          <w:szCs w:val="22"/>
        </w:rPr>
        <w:t xml:space="preserve"> mismo no me informa el lugar de adscripción de los mismos y en caso de no estar en su </w:t>
      </w:r>
      <w:proofErr w:type="spellStart"/>
      <w:r w:rsidRPr="00E93A72">
        <w:rPr>
          <w:rFonts w:ascii="Palatino Linotype" w:eastAsia="Palatino Linotype" w:hAnsi="Palatino Linotype" w:cs="Palatino Linotype"/>
          <w:i/>
          <w:szCs w:val="22"/>
        </w:rPr>
        <w:t>area</w:t>
      </w:r>
      <w:proofErr w:type="spellEnd"/>
      <w:r w:rsidRPr="00E93A72">
        <w:rPr>
          <w:rFonts w:ascii="Palatino Linotype" w:eastAsia="Palatino Linotype" w:hAnsi="Palatino Linotype" w:cs="Palatino Linotype"/>
          <w:i/>
          <w:szCs w:val="22"/>
        </w:rPr>
        <w:t xml:space="preserve"> correspondiente la justificación, o excepción que de acuerdo a la norma no se encuentren laborando en su lugar de adscripción.” (sic)</w:t>
      </w:r>
    </w:p>
    <w:p w14:paraId="69134AAF" w14:textId="77777777" w:rsidR="00A77B3B" w:rsidRDefault="00A77B3B" w:rsidP="00A77B3B">
      <w:pPr>
        <w:spacing w:line="360" w:lineRule="auto"/>
        <w:jc w:val="both"/>
        <w:rPr>
          <w:rFonts w:ascii="Palatino Linotype" w:eastAsia="Palatino Linotype" w:hAnsi="Palatino Linotype" w:cs="Palatino Linotype"/>
        </w:rPr>
      </w:pPr>
    </w:p>
    <w:p w14:paraId="242517F5" w14:textId="77777777" w:rsidR="00A77B3B" w:rsidRPr="00A77B3B" w:rsidRDefault="00A77B3B" w:rsidP="00A77B3B">
      <w:pPr>
        <w:numPr>
          <w:ilvl w:val="0"/>
          <w:numId w:val="1"/>
        </w:numPr>
        <w:spacing w:line="360" w:lineRule="auto"/>
        <w:ind w:left="0" w:firstLine="0"/>
        <w:jc w:val="both"/>
        <w:rPr>
          <w:color w:val="000000"/>
        </w:rPr>
      </w:pPr>
      <w:r>
        <w:rPr>
          <w:rFonts w:ascii="Palatino Linotype" w:eastAsia="Palatino Linotype" w:hAnsi="Palatino Linotype" w:cs="Palatino Linotype"/>
        </w:rPr>
        <w:t xml:space="preserve">En etapa de manifestaciones,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nuevamente el anexo único y proporciono una liga de acceso del IPOMEX en donde refirió podía consultar la información solicitada</w:t>
      </w:r>
    </w:p>
    <w:p w14:paraId="3E14D990" w14:textId="77777777" w:rsidR="00A77B3B" w:rsidRDefault="00A77B3B" w:rsidP="00A77B3B">
      <w:pPr>
        <w:spacing w:line="360" w:lineRule="auto"/>
        <w:jc w:val="both"/>
        <w:rPr>
          <w:color w:val="000000"/>
        </w:rPr>
      </w:pPr>
    </w:p>
    <w:p w14:paraId="40EB2EB2" w14:textId="77777777" w:rsidR="00A77B3B" w:rsidRPr="00A77B3B" w:rsidRDefault="00A77B3B" w:rsidP="00A77B3B">
      <w:pPr>
        <w:numPr>
          <w:ilvl w:val="0"/>
          <w:numId w:val="1"/>
        </w:numPr>
        <w:spacing w:line="360" w:lineRule="auto"/>
        <w:ind w:left="0" w:firstLine="0"/>
        <w:jc w:val="both"/>
        <w:rPr>
          <w:color w:val="000000"/>
        </w:rPr>
      </w:pPr>
      <w:r>
        <w:rPr>
          <w:rFonts w:ascii="Palatino Linotype" w:eastAsia="Palatino Linotype" w:hAnsi="Palatino Linotype" w:cs="Palatino Linotype"/>
          <w:color w:val="000000"/>
        </w:rPr>
        <w:t xml:space="preserve">De lo anterior, </w:t>
      </w:r>
      <w:r w:rsidRPr="00A77B3B">
        <w:rPr>
          <w:rFonts w:ascii="Palatino Linotype" w:eastAsia="Palatino Linotype" w:hAnsi="Palatino Linotype" w:cs="Palatino Linotype"/>
          <w:color w:val="000000"/>
        </w:rPr>
        <w:t xml:space="preserve">se advierte que los motivos o razones de inconformidad no guardan relación con la solicitud de acceso a la información, ni con la respuesta emitida por el Sujeto Obligado, pues el </w:t>
      </w:r>
      <w:r w:rsidRPr="00A77B3B">
        <w:rPr>
          <w:rFonts w:ascii="Palatino Linotype" w:eastAsia="Palatino Linotype" w:hAnsi="Palatino Linotype" w:cs="Palatino Linotype"/>
          <w:b/>
          <w:color w:val="000000"/>
        </w:rPr>
        <w:t xml:space="preserve">RECURRENTE </w:t>
      </w:r>
      <w:r w:rsidRPr="00A77B3B">
        <w:rPr>
          <w:rFonts w:ascii="Palatino Linotype" w:eastAsia="Palatino Linotype" w:hAnsi="Palatino Linotype" w:cs="Palatino Linotype"/>
          <w:color w:val="000000"/>
        </w:rPr>
        <w:t xml:space="preserve">se inconformo por </w:t>
      </w:r>
      <w:r w:rsidRPr="00A77B3B">
        <w:rPr>
          <w:rFonts w:ascii="Palatino Linotype" w:eastAsia="Palatino Linotype" w:hAnsi="Palatino Linotype" w:cs="Palatino Linotype"/>
          <w:i/>
          <w:color w:val="000000"/>
        </w:rPr>
        <w:t xml:space="preserve">no me establece el rango, nivel de los servidores </w:t>
      </w:r>
      <w:proofErr w:type="spellStart"/>
      <w:r w:rsidRPr="00A77B3B">
        <w:rPr>
          <w:rFonts w:ascii="Palatino Linotype" w:eastAsia="Palatino Linotype" w:hAnsi="Palatino Linotype" w:cs="Palatino Linotype"/>
          <w:i/>
          <w:color w:val="000000"/>
        </w:rPr>
        <w:t>publicos</w:t>
      </w:r>
      <w:proofErr w:type="spellEnd"/>
      <w:r w:rsidRPr="00A77B3B">
        <w:rPr>
          <w:rFonts w:ascii="Palatino Linotype" w:eastAsia="Palatino Linotype" w:hAnsi="Palatino Linotype" w:cs="Palatino Linotype"/>
          <w:i/>
          <w:color w:val="000000"/>
        </w:rPr>
        <w:t xml:space="preserve"> adscritos a la subprocuraduría de protección al ambiente</w:t>
      </w:r>
      <w:r w:rsidRPr="00A77B3B">
        <w:rPr>
          <w:rFonts w:ascii="Palatino Linotype" w:eastAsia="Palatino Linotype" w:hAnsi="Palatino Linotype" w:cs="Palatino Linotype"/>
          <w:color w:val="000000"/>
        </w:rPr>
        <w:t>, sin embargo de</w:t>
      </w:r>
      <w:r>
        <w:rPr>
          <w:rFonts w:ascii="Palatino Linotype" w:eastAsia="Palatino Linotype" w:hAnsi="Palatino Linotype" w:cs="Palatino Linotype"/>
          <w:color w:val="000000"/>
        </w:rPr>
        <w:t xml:space="preserve">l </w:t>
      </w:r>
      <w:r w:rsidRPr="00A77B3B">
        <w:rPr>
          <w:rFonts w:ascii="Palatino Linotype" w:eastAsia="Palatino Linotype" w:hAnsi="Palatino Linotype" w:cs="Palatino Linotype"/>
          <w:color w:val="000000"/>
        </w:rPr>
        <w:t xml:space="preserve"> Manual de Organización ni en la estructura orgánica del IPOMEX, no se advierte </w:t>
      </w:r>
      <w:r>
        <w:rPr>
          <w:rFonts w:ascii="Palatino Linotype" w:eastAsia="Palatino Linotype" w:hAnsi="Palatino Linotype" w:cs="Palatino Linotype"/>
          <w:color w:val="000000"/>
        </w:rPr>
        <w:t>que exista el área que refiere</w:t>
      </w:r>
      <w:r w:rsidRPr="00A77B3B">
        <w:rPr>
          <w:rFonts w:ascii="Palatino Linotype" w:eastAsia="Palatino Linotype" w:hAnsi="Palatino Linotype" w:cs="Palatino Linotype"/>
          <w:color w:val="000000"/>
        </w:rPr>
        <w:t xml:space="preserve">, por lo que al respecto, debemos precisar que, para la interposición del recurso de revisión, los motivos de inconformidad deben tener relación con la solicitud o bien con la respuesta proporcionada para que se actualice alguna causal de procedencia. </w:t>
      </w:r>
    </w:p>
    <w:p w14:paraId="196B4426" w14:textId="77777777" w:rsidR="00A77B3B" w:rsidRDefault="00A77B3B" w:rsidP="00A77B3B">
      <w:pPr>
        <w:pBdr>
          <w:top w:val="nil"/>
          <w:left w:val="nil"/>
          <w:bottom w:val="nil"/>
          <w:right w:val="nil"/>
          <w:between w:val="nil"/>
        </w:pBdr>
        <w:ind w:left="720"/>
        <w:rPr>
          <w:rFonts w:ascii="Palatino Linotype" w:eastAsia="Palatino Linotype" w:hAnsi="Palatino Linotype" w:cs="Palatino Linotype"/>
          <w:color w:val="000000"/>
        </w:rPr>
      </w:pPr>
    </w:p>
    <w:p w14:paraId="43222558" w14:textId="77777777" w:rsidR="00A77B3B" w:rsidRPr="00A77B3B" w:rsidRDefault="00A77B3B" w:rsidP="00A77B3B">
      <w:pPr>
        <w:numPr>
          <w:ilvl w:val="0"/>
          <w:numId w:val="1"/>
        </w:numPr>
        <w:spacing w:line="360" w:lineRule="auto"/>
        <w:ind w:left="0" w:firstLine="0"/>
        <w:jc w:val="both"/>
        <w:rPr>
          <w:color w:val="000000"/>
        </w:rPr>
      </w:pPr>
      <w:r>
        <w:rPr>
          <w:rFonts w:ascii="Palatino Linotype" w:eastAsia="Palatino Linotype" w:hAnsi="Palatino Linotype" w:cs="Palatino Linotype"/>
          <w:color w:val="000000"/>
        </w:rPr>
        <w:lastRenderedPageBreak/>
        <w:t xml:space="preserve">Sirve de sustento la Jurisprudencia No. 29 visible a foja 19 del Apéndice al Semanario Judicial de la Federación 1917-1995, </w:t>
      </w:r>
      <w:r>
        <w:rPr>
          <w:rFonts w:ascii="Palatino Linotype" w:eastAsia="Palatino Linotype" w:hAnsi="Palatino Linotype" w:cs="Palatino Linotype"/>
        </w:rPr>
        <w:t>Tomo</w:t>
      </w:r>
      <w:r>
        <w:rPr>
          <w:rFonts w:ascii="Palatino Linotype" w:eastAsia="Palatino Linotype" w:hAnsi="Palatino Linotype" w:cs="Palatino Linotype"/>
          <w:color w:val="000000"/>
        </w:rPr>
        <w:t xml:space="preserve"> VI, Materia Común, Primera Parte, Tesis de la Suprema Corte de Justicia, que contiene:</w:t>
      </w:r>
    </w:p>
    <w:p w14:paraId="0FFF7C03" w14:textId="77777777" w:rsidR="00A77B3B" w:rsidRDefault="00A77B3B" w:rsidP="00A77B3B">
      <w:pPr>
        <w:spacing w:line="360" w:lineRule="auto"/>
        <w:jc w:val="both"/>
        <w:rPr>
          <w:color w:val="000000"/>
        </w:rPr>
      </w:pPr>
    </w:p>
    <w:p w14:paraId="574526CD" w14:textId="77777777" w:rsidR="00A77B3B" w:rsidRPr="00A77B3B" w:rsidRDefault="00A77B3B" w:rsidP="00A77B3B">
      <w:pPr>
        <w:shd w:val="clear" w:color="auto" w:fill="FFFFFF"/>
        <w:spacing w:after="240"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AGRAVIOS EN LA REVISION. DEBEN ESTAR EN RELACION DIRECTA CON LOS FUNDAMENTOS Y CONSIDERACIONES DE LA SENTENCIA</w:t>
      </w:r>
      <w:r>
        <w:rPr>
          <w:rFonts w:ascii="Palatino Linotype" w:eastAsia="Palatino Linotype" w:hAnsi="Palatino Linotype" w:cs="Palatino Linotype"/>
          <w:i/>
          <w:color w:val="000000"/>
          <w:sz w:val="22"/>
          <w:szCs w:val="22"/>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14:paraId="12EE6AA8" w14:textId="77777777" w:rsidR="00A77B3B" w:rsidRPr="00A77B3B" w:rsidRDefault="00A77B3B" w:rsidP="00A77B3B">
      <w:pPr>
        <w:numPr>
          <w:ilvl w:val="0"/>
          <w:numId w:val="1"/>
        </w:numPr>
        <w:spacing w:line="360" w:lineRule="auto"/>
        <w:ind w:left="0" w:firstLine="0"/>
        <w:jc w:val="both"/>
        <w:rPr>
          <w:color w:val="000000"/>
        </w:rPr>
      </w:pPr>
      <w:r>
        <w:rPr>
          <w:rFonts w:ascii="Palatino Linotype" w:eastAsia="Palatino Linotype" w:hAnsi="Palatino Linotype" w:cs="Palatino Linotype"/>
          <w:color w:val="000000"/>
        </w:rPr>
        <w:t xml:space="preserve">Luego entonces, al no guardar relación los motivos de inconformidad hechos valer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con la solicitud o bien, con la respuesta, no se configura causal de procedencia alguna, trayendo consigo que el recurso de revisión sea desechado por improcedente, de acuerdo a lo estipulado en el artículo 191 fracción III en relación con el 192 fracción IV de la citada  ley que refieren lo siguiente: </w:t>
      </w:r>
    </w:p>
    <w:p w14:paraId="5F7E5CE3" w14:textId="77777777" w:rsidR="00A77B3B" w:rsidRDefault="00A77B3B" w:rsidP="00A77B3B">
      <w:pPr>
        <w:spacing w:line="360" w:lineRule="auto"/>
        <w:jc w:val="both"/>
        <w:rPr>
          <w:color w:val="000000"/>
        </w:rPr>
      </w:pPr>
    </w:p>
    <w:p w14:paraId="0DBE509A"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191. El recurso será desechado por improcedente cuando:</w:t>
      </w:r>
    </w:p>
    <w:p w14:paraId="5926D925"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sz w:val="22"/>
          <w:szCs w:val="22"/>
        </w:rPr>
      </w:pPr>
    </w:p>
    <w:p w14:paraId="426538EF"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Sea extemporáneo por haber transcurrido el plazo establecido en la presente Ley, a partir de la respuesta; </w:t>
      </w:r>
    </w:p>
    <w:p w14:paraId="4045F028"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II. Se esté tramitando ante el Poder Judicial de la Federación algún recurso o medio de defensa interpuesto por el recurrente; </w:t>
      </w:r>
    </w:p>
    <w:p w14:paraId="561B055F"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III. No actualice alguno de los supuestos previstos en la presente Ley; </w:t>
      </w:r>
    </w:p>
    <w:p w14:paraId="65A9FB5B"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No se haya desahogado la prevención en los términos establecidos en la presente Ley; </w:t>
      </w:r>
    </w:p>
    <w:p w14:paraId="451CB6D6"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Se impugne la veracidad de la información proporcionada; </w:t>
      </w:r>
    </w:p>
    <w:p w14:paraId="799F1557"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Se trate de una consulta, o trámite en específico; y </w:t>
      </w:r>
    </w:p>
    <w:p w14:paraId="6702B67F"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 El recurrente amplíe su solicitud en el recurso de revisión, únicamente respecto de los nuevos contenidos.</w:t>
      </w:r>
    </w:p>
    <w:p w14:paraId="6E2004C5" w14:textId="77777777" w:rsidR="00A77B3B" w:rsidRDefault="00A77B3B" w:rsidP="00A77B3B">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p>
    <w:p w14:paraId="5D63E337"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192. El recurso será sobreseído, en todo o en parte, cuando una vez admitido, se actualicen alguno de los siguientes supuestos:</w:t>
      </w:r>
    </w:p>
    <w:p w14:paraId="5C109350"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El recurrente se desista expresamente del recurso; </w:t>
      </w:r>
    </w:p>
    <w:p w14:paraId="02F05835"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El recurrente fallezca o, tratándose de personas jurídicas colectivas, se disuelva; </w:t>
      </w:r>
    </w:p>
    <w:p w14:paraId="59748B32"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El sujeto obligado responsable del acto lo modifique o revoque de tal manera que el recurso de revisión quede sin materia; </w:t>
      </w:r>
    </w:p>
    <w:p w14:paraId="670CE1DE"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IV. Admitido el recurso de revisión, aparezca alguna causal de improcedencia en los términos de la presente Ley; y </w:t>
      </w:r>
    </w:p>
    <w:p w14:paraId="7441F748" w14:textId="77777777" w:rsidR="00A77B3B" w:rsidRDefault="00A77B3B" w:rsidP="00A77B3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Cuando por cualquier motivo quede sin materia el recurso.</w:t>
      </w:r>
    </w:p>
    <w:p w14:paraId="21B88C1B" w14:textId="77777777" w:rsidR="00A77B3B" w:rsidRDefault="00A77B3B" w:rsidP="00A77B3B">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3FE3A088" w14:textId="77777777" w:rsidR="00A77B3B" w:rsidRDefault="00A77B3B" w:rsidP="00A77B3B">
      <w:pPr>
        <w:numPr>
          <w:ilvl w:val="0"/>
          <w:numId w:val="1"/>
        </w:numPr>
        <w:spacing w:line="360" w:lineRule="auto"/>
        <w:ind w:left="0" w:firstLine="0"/>
        <w:jc w:val="both"/>
        <w:rPr>
          <w:color w:val="000000"/>
        </w:rPr>
      </w:pPr>
      <w:r>
        <w:rPr>
          <w:rFonts w:ascii="Palatino Linotype" w:eastAsia="Palatino Linotype" w:hAnsi="Palatino Linotype" w:cs="Palatino Linotype"/>
          <w:color w:val="000000"/>
        </w:rPr>
        <w:t>Es así que, el presente recurso de revisión actualiza la causal de sobreseimiento establecida en el artículo 192, fracción IV, en relación con el artículo 191 fracción III, de la Ley de Transparencia y Acceso a la Información Pública del Estado de México y Municipios.</w:t>
      </w:r>
    </w:p>
    <w:p w14:paraId="1A924824" w14:textId="77777777" w:rsidR="00A77B3B" w:rsidRDefault="00A77B3B" w:rsidP="00A77B3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8E65289" w14:textId="77777777" w:rsidR="00A77B3B" w:rsidRDefault="00A77B3B" w:rsidP="00A77B3B">
      <w:pPr>
        <w:numPr>
          <w:ilvl w:val="0"/>
          <w:numId w:val="1"/>
        </w:numPr>
        <w:spacing w:line="360" w:lineRule="auto"/>
        <w:ind w:left="0" w:firstLine="0"/>
        <w:jc w:val="both"/>
        <w:rPr>
          <w:color w:val="000000"/>
        </w:rPr>
      </w:pPr>
      <w:r>
        <w:rPr>
          <w:rFonts w:ascii="Palatino Linotype" w:eastAsia="Palatino Linotype" w:hAnsi="Palatino Linotype" w:cs="Palatino Linotype"/>
          <w:color w:val="000000"/>
        </w:rPr>
        <w:lastRenderedPageBreak/>
        <w:t xml:space="preserve">Finalmente, no pasa desapercibido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vía informe justificado remitió información relativa a la solicitada, sin embargo, este resulta inatendible al haberse configurado el sobreseimiento del presente recurso, lo que impide entrar al estudio del asunto</w:t>
      </w:r>
    </w:p>
    <w:p w14:paraId="36F93A38" w14:textId="77777777" w:rsidR="00A77B3B" w:rsidRDefault="00A77B3B" w:rsidP="00A77B3B">
      <w:pPr>
        <w:pStyle w:val="Prrafodelista"/>
        <w:rPr>
          <w:rFonts w:ascii="Palatino Linotype" w:eastAsia="Palatino Linotype" w:hAnsi="Palatino Linotype" w:cs="Palatino Linotype"/>
          <w:color w:val="000000"/>
        </w:rPr>
      </w:pPr>
    </w:p>
    <w:p w14:paraId="123B5847" w14:textId="77777777" w:rsidR="00A77B3B" w:rsidRDefault="00A77B3B" w:rsidP="00A77B3B">
      <w:pPr>
        <w:numPr>
          <w:ilvl w:val="0"/>
          <w:numId w:val="1"/>
        </w:numPr>
        <w:spacing w:line="360" w:lineRule="auto"/>
        <w:ind w:left="0" w:firstLine="0"/>
        <w:jc w:val="both"/>
        <w:rPr>
          <w:color w:val="000000"/>
        </w:rPr>
      </w:pPr>
      <w:r w:rsidRPr="00A77B3B">
        <w:rPr>
          <w:rFonts w:ascii="Palatino Linotype" w:eastAsia="Palatino Linotype" w:hAnsi="Palatino Linotype" w:cs="Palatino Linotype"/>
          <w:color w:val="000000"/>
        </w:rPr>
        <w:t>No obstante, a efecto de no vulnerar los derechos del particular, este Órgano Garante deja a salvo sus derechos para que, si así lo desea, presente una nueva solicitud de acceso a la información requiriendo información que sea de su interés.</w:t>
      </w:r>
    </w:p>
    <w:p w14:paraId="09B65EC8" w14:textId="77777777" w:rsidR="00A77B3B" w:rsidRDefault="00A77B3B" w:rsidP="00A77B3B">
      <w:pPr>
        <w:pStyle w:val="Prrafodelista"/>
        <w:rPr>
          <w:rFonts w:ascii="Palatino Linotype" w:eastAsia="Palatino Linotype" w:hAnsi="Palatino Linotype" w:cs="Palatino Linotype"/>
          <w:color w:val="222222"/>
        </w:rPr>
      </w:pPr>
    </w:p>
    <w:p w14:paraId="345EE0F8" w14:textId="77777777" w:rsidR="00A77B3B" w:rsidRPr="00A77B3B" w:rsidRDefault="00A77B3B" w:rsidP="00A77B3B">
      <w:pPr>
        <w:numPr>
          <w:ilvl w:val="0"/>
          <w:numId w:val="1"/>
        </w:numPr>
        <w:spacing w:line="360" w:lineRule="auto"/>
        <w:ind w:left="0" w:firstLine="0"/>
        <w:jc w:val="both"/>
        <w:rPr>
          <w:color w:val="000000"/>
        </w:rPr>
      </w:pPr>
      <w:r w:rsidRPr="00A77B3B">
        <w:rPr>
          <w:rFonts w:ascii="Palatino Linotype" w:eastAsia="Palatino Linotype" w:hAnsi="Palatino Linotype" w:cs="Palatino Linotype"/>
          <w:color w:val="222222"/>
        </w:rPr>
        <w:t xml:space="preserve">Por lo anteriormente expuesto y fundado, este </w:t>
      </w:r>
      <w:r w:rsidRPr="00A77B3B">
        <w:rPr>
          <w:rFonts w:ascii="Palatino Linotype" w:eastAsia="Palatino Linotype" w:hAnsi="Palatino Linotype" w:cs="Palatino Linotype"/>
          <w:b/>
          <w:color w:val="222222"/>
        </w:rPr>
        <w:t>ÓRGANO GARANTE</w:t>
      </w:r>
      <w:r w:rsidRPr="00A77B3B">
        <w:rPr>
          <w:rFonts w:ascii="Palatino Linotype" w:eastAsia="Palatino Linotype" w:hAnsi="Palatino Linotype" w:cs="Palatino Linotype"/>
          <w:color w:val="222222"/>
        </w:rPr>
        <w:t xml:space="preserve"> emite los siguientes:</w:t>
      </w:r>
    </w:p>
    <w:p w14:paraId="36E95A6B" w14:textId="77777777" w:rsidR="00A77B3B" w:rsidRDefault="00A77B3B" w:rsidP="00A77B3B">
      <w:pPr>
        <w:pStyle w:val="Prrafodelista"/>
        <w:rPr>
          <w:color w:val="000000"/>
        </w:rPr>
      </w:pPr>
    </w:p>
    <w:p w14:paraId="313E89EC" w14:textId="77777777" w:rsidR="00A77B3B" w:rsidRPr="00A77B3B" w:rsidRDefault="00A77B3B" w:rsidP="00A77B3B">
      <w:pPr>
        <w:pBdr>
          <w:top w:val="nil"/>
          <w:left w:val="nil"/>
          <w:bottom w:val="nil"/>
          <w:right w:val="nil"/>
          <w:between w:val="nil"/>
        </w:pBdr>
        <w:tabs>
          <w:tab w:val="left" w:pos="426"/>
        </w:tabs>
        <w:spacing w:line="360" w:lineRule="auto"/>
        <w:jc w:val="both"/>
        <w:rPr>
          <w:color w:val="000000"/>
        </w:rPr>
      </w:pPr>
    </w:p>
    <w:p w14:paraId="473DEE69" w14:textId="77777777" w:rsidR="00A77B3B" w:rsidRPr="00A77B3B" w:rsidRDefault="00A77B3B" w:rsidP="00A77B3B">
      <w:pPr>
        <w:spacing w:after="240" w:line="360" w:lineRule="auto"/>
        <w:jc w:val="center"/>
        <w:rPr>
          <w:rFonts w:ascii="Palatino Linotype" w:eastAsia="Palatino Linotype" w:hAnsi="Palatino Linotype" w:cs="Palatino Linotype"/>
          <w:b/>
        </w:rPr>
      </w:pPr>
      <w:r w:rsidRPr="00A77B3B">
        <w:rPr>
          <w:rFonts w:ascii="Palatino Linotype" w:eastAsia="Palatino Linotype" w:hAnsi="Palatino Linotype" w:cs="Palatino Linotype"/>
          <w:b/>
        </w:rPr>
        <w:t>R E S O L U T I V O S</w:t>
      </w:r>
    </w:p>
    <w:p w14:paraId="2DF01D85" w14:textId="77777777" w:rsidR="00A77B3B" w:rsidRDefault="00A77B3B" w:rsidP="00A77B3B"/>
    <w:p w14:paraId="6FA935F4" w14:textId="77777777" w:rsidR="00A77B3B" w:rsidRDefault="00A77B3B" w:rsidP="00A77B3B">
      <w:pPr>
        <w:spacing w:after="240" w:line="360" w:lineRule="auto"/>
        <w:jc w:val="both"/>
        <w:rPr>
          <w:rFonts w:ascii="Palatino Linotype" w:eastAsia="Palatino Linotype" w:hAnsi="Palatino Linotype" w:cs="Palatino Linotype"/>
        </w:rPr>
      </w:pPr>
      <w:r w:rsidRPr="00A21030">
        <w:rPr>
          <w:rFonts w:ascii="Palatino Linotype" w:eastAsia="Palatino Linotype" w:hAnsi="Palatino Linotype" w:cs="Palatino Linotype"/>
          <w:b/>
        </w:rPr>
        <w:t>PRIMERO.</w:t>
      </w:r>
      <w:r w:rsidRPr="00A21030">
        <w:rPr>
          <w:rFonts w:ascii="Palatino Linotype" w:eastAsia="Palatino Linotype" w:hAnsi="Palatino Linotype" w:cs="Palatino Linotype"/>
        </w:rPr>
        <w:t xml:space="preserve"> Se </w:t>
      </w:r>
      <w:r w:rsidRPr="00A21030">
        <w:rPr>
          <w:rFonts w:ascii="Palatino Linotype" w:eastAsia="Palatino Linotype" w:hAnsi="Palatino Linotype" w:cs="Palatino Linotype"/>
          <w:b/>
        </w:rPr>
        <w:t xml:space="preserve">SOBRESEE el </w:t>
      </w:r>
      <w:r w:rsidRPr="00A21030">
        <w:rPr>
          <w:rFonts w:ascii="Palatino Linotype" w:eastAsia="Palatino Linotype" w:hAnsi="Palatino Linotype" w:cs="Palatino Linotype"/>
        </w:rPr>
        <w:t xml:space="preserve">recurso de revisión número </w:t>
      </w:r>
      <w:r w:rsidRPr="00A21030">
        <w:rPr>
          <w:rFonts w:ascii="Palatino Linotype" w:eastAsia="Palatino Linotype" w:hAnsi="Palatino Linotype" w:cs="Palatino Linotype"/>
          <w:b/>
        </w:rPr>
        <w:t> 08333/INFOEM/IP/RR/2023</w:t>
      </w:r>
      <w:r w:rsidRPr="00A21030">
        <w:rPr>
          <w:rFonts w:ascii="Palatino Linotype" w:eastAsia="Palatino Linotype" w:hAnsi="Palatino Linotype" w:cs="Palatino Linotype"/>
        </w:rPr>
        <w:t xml:space="preserve">, conforme al artículo </w:t>
      </w:r>
      <w:r w:rsidRPr="00A21030">
        <w:rPr>
          <w:rFonts w:ascii="Palatino Linotype" w:eastAsia="Palatino Linotype" w:hAnsi="Palatino Linotype" w:cs="Palatino Linotype"/>
          <w:b/>
        </w:rPr>
        <w:t>192 fracción IV</w:t>
      </w:r>
      <w:r w:rsidRPr="00A21030">
        <w:rPr>
          <w:rFonts w:ascii="Palatino Linotype" w:eastAsia="Palatino Linotype" w:hAnsi="Palatino Linotype" w:cs="Palatino Linotype"/>
        </w:rPr>
        <w:t xml:space="preserve">, en relación a la </w:t>
      </w:r>
      <w:r w:rsidRPr="00A21030">
        <w:rPr>
          <w:rFonts w:ascii="Palatino Linotype" w:eastAsia="Palatino Linotype" w:hAnsi="Palatino Linotype" w:cs="Palatino Linotype"/>
          <w:b/>
        </w:rPr>
        <w:t>fracción III</w:t>
      </w:r>
      <w:r w:rsidRPr="00A21030">
        <w:rPr>
          <w:rFonts w:ascii="Palatino Linotype" w:eastAsia="Palatino Linotype" w:hAnsi="Palatino Linotype" w:cs="Palatino Linotype"/>
        </w:rPr>
        <w:t xml:space="preserve"> del artículo </w:t>
      </w:r>
      <w:r w:rsidRPr="00A21030">
        <w:rPr>
          <w:rFonts w:ascii="Palatino Linotype" w:eastAsia="Palatino Linotype" w:hAnsi="Palatino Linotype" w:cs="Palatino Linotype"/>
          <w:b/>
        </w:rPr>
        <w:t>191</w:t>
      </w:r>
      <w:r w:rsidRPr="00A21030">
        <w:rPr>
          <w:rFonts w:ascii="Palatino Linotype" w:eastAsia="Palatino Linotype" w:hAnsi="Palatino Linotype" w:cs="Palatino Linotype"/>
        </w:rPr>
        <w:t xml:space="preserve">, de la Ley de Transparencia y Acceso a la Información Pública del Estado de México y Municipios, en términos del </w:t>
      </w:r>
      <w:r w:rsidRPr="00A21030">
        <w:rPr>
          <w:rFonts w:ascii="Palatino Linotype" w:eastAsia="Palatino Linotype" w:hAnsi="Palatino Linotype" w:cs="Palatino Linotype"/>
          <w:b/>
        </w:rPr>
        <w:t>Considerando TERCERO</w:t>
      </w:r>
      <w:r w:rsidRPr="00A21030">
        <w:rPr>
          <w:rFonts w:ascii="Palatino Linotype" w:eastAsia="Palatino Linotype" w:hAnsi="Palatino Linotype" w:cs="Palatino Linotype"/>
        </w:rPr>
        <w:t xml:space="preserve"> de la presente resolución.</w:t>
      </w:r>
    </w:p>
    <w:p w14:paraId="4987CC26" w14:textId="77777777" w:rsidR="00A77B3B" w:rsidRDefault="00A77B3B" w:rsidP="00A77B3B">
      <w:pPr>
        <w:pBdr>
          <w:top w:val="nil"/>
          <w:left w:val="nil"/>
          <w:bottom w:val="nil"/>
          <w:right w:val="nil"/>
          <w:between w:val="nil"/>
        </w:pBdr>
        <w:spacing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SEGUNDO. REMÍTASE </w:t>
      </w:r>
      <w:r>
        <w:rPr>
          <w:rFonts w:ascii="Palatino Linotype" w:eastAsia="Palatino Linotype" w:hAnsi="Palatino Linotype" w:cs="Palatino Linotype"/>
          <w:color w:val="000000"/>
        </w:rPr>
        <w:t xml:space="preserve">a través del Sistema de Acceso a la Información Mexiquense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la presente resolución al Titular de la Unidad de Transparencia del</w:t>
      </w:r>
      <w:r>
        <w:rPr>
          <w:rFonts w:ascii="Palatino Linotype" w:eastAsia="Palatino Linotype" w:hAnsi="Palatino Linotype" w:cs="Palatino Linotype"/>
          <w:b/>
          <w:color w:val="000000"/>
        </w:rPr>
        <w:t xml:space="preserve"> SUJETO OBLIGADO. </w:t>
      </w:r>
    </w:p>
    <w:p w14:paraId="79AFA70B" w14:textId="77777777" w:rsidR="00A77B3B" w:rsidRDefault="00A77B3B" w:rsidP="00A77B3B">
      <w:pPr>
        <w:pBdr>
          <w:top w:val="nil"/>
          <w:left w:val="nil"/>
          <w:bottom w:val="nil"/>
          <w:right w:val="nil"/>
          <w:between w:val="nil"/>
        </w:pBdr>
        <w:spacing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rPr>
        <w:t xml:space="preserve">TERCERO. Notifíquese al RECURRENTE </w:t>
      </w:r>
      <w:r>
        <w:rPr>
          <w:rFonts w:ascii="Palatino Linotype" w:eastAsia="Palatino Linotype" w:hAnsi="Palatino Linotype" w:cs="Palatino Linotype"/>
          <w:color w:val="222222"/>
        </w:rPr>
        <w:t>la presente resolución</w:t>
      </w:r>
      <w:r w:rsidR="00BE446A">
        <w:rPr>
          <w:rFonts w:ascii="Palatino Linotype" w:eastAsia="Palatino Linotype" w:hAnsi="Palatino Linotype" w:cs="Palatino Linotype"/>
          <w:color w:val="222222"/>
        </w:rPr>
        <w:t xml:space="preserve"> vía SAIMEX</w:t>
      </w:r>
      <w:r>
        <w:rPr>
          <w:rFonts w:ascii="Palatino Linotype" w:eastAsia="Palatino Linotype" w:hAnsi="Palatino Linotype" w:cs="Palatino Linotype"/>
          <w:color w:val="222222"/>
        </w:rPr>
        <w:t>.</w:t>
      </w:r>
    </w:p>
    <w:p w14:paraId="62A837A5" w14:textId="77777777" w:rsidR="00A77B3B" w:rsidRDefault="00A77B3B" w:rsidP="00A77B3B">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CUARTO.</w:t>
      </w:r>
      <w:r>
        <w:rPr>
          <w:rFonts w:ascii="Palatino Linotype" w:eastAsia="Palatino Linotype" w:hAnsi="Palatino Linotype" w:cs="Palatino Linotype"/>
          <w:color w:val="000000"/>
        </w:rPr>
        <w:t xml:space="preserve"> Se hace del conocimiento del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que, de conformidad con lo establecido en el artículo 196 de la Ley de Transparencia y Acceso a la Información Pública del Estado de México y Municipios, en caso de que considere 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14:paraId="6A6BAF72" w14:textId="77777777" w:rsidR="00A77B3B" w:rsidRDefault="00A77B3B" w:rsidP="00A77B3B">
      <w:pPr>
        <w:spacing w:line="360" w:lineRule="auto"/>
        <w:ind w:right="48"/>
        <w:jc w:val="both"/>
        <w:rPr>
          <w:rFonts w:ascii="Palatino Linotype" w:eastAsia="Palatino Linotype" w:hAnsi="Palatino Linotype" w:cs="Palatino Linotype"/>
        </w:rPr>
      </w:pPr>
    </w:p>
    <w:p w14:paraId="4036A7F1" w14:textId="77777777" w:rsidR="00BE446A" w:rsidRDefault="00BE446A" w:rsidP="00BE446A">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VIGÉ</w:t>
      </w:r>
      <w:r w:rsidRPr="003C7186">
        <w:rPr>
          <w:rFonts w:ascii="Palatino Linotype" w:hAnsi="Palatino Linotype"/>
        </w:rPr>
        <w:t xml:space="preserve">SIMA </w:t>
      </w:r>
      <w:r>
        <w:rPr>
          <w:rFonts w:ascii="Palatino Linotype" w:hAnsi="Palatino Linotype"/>
        </w:rPr>
        <w:t>OCTAVA</w:t>
      </w:r>
      <w:r w:rsidRPr="003C7186">
        <w:rPr>
          <w:rFonts w:ascii="Palatino Linotype" w:hAnsi="Palatino Linotype"/>
        </w:rPr>
        <w:t xml:space="preserve"> SESIÓN ORDINARIA CELEBRADA EL </w:t>
      </w:r>
      <w:r>
        <w:rPr>
          <w:rFonts w:ascii="Palatino Linotype" w:hAnsi="Palatino Linotype"/>
        </w:rPr>
        <w:t>CATORCE</w:t>
      </w:r>
      <w:r w:rsidRPr="003C7186">
        <w:rPr>
          <w:rFonts w:ascii="Palatino Linotype" w:hAnsi="Palatino Linotype"/>
        </w:rPr>
        <w:t xml:space="preserve"> </w:t>
      </w:r>
      <w:r>
        <w:rPr>
          <w:rFonts w:ascii="Palatino Linotype" w:hAnsi="Palatino Linotype"/>
        </w:rPr>
        <w:t>(14) DE AGOSTO</w:t>
      </w:r>
      <w:r w:rsidRPr="003C7186">
        <w:rPr>
          <w:rFonts w:ascii="Palatino Linotype" w:hAnsi="Palatino Linotype"/>
        </w:rPr>
        <w:t xml:space="preserve"> DE DOS MIL VEINTICUATRO, ANTE EL SECRETARIO TÉCNICO DEL PLENO ALEXIS TAPIA RAMÍREZ. </w:t>
      </w:r>
    </w:p>
    <w:p w14:paraId="0BD5A83D" w14:textId="77777777" w:rsidR="00A77B3B" w:rsidRDefault="00A77B3B" w:rsidP="00A77B3B">
      <w:pPr>
        <w:spacing w:line="360" w:lineRule="auto"/>
        <w:ind w:right="48"/>
        <w:jc w:val="both"/>
        <w:rPr>
          <w:rFonts w:ascii="Palatino Linotype" w:eastAsia="Palatino Linotype" w:hAnsi="Palatino Linotype" w:cs="Palatino Linotype"/>
        </w:rPr>
      </w:pPr>
    </w:p>
    <w:p w14:paraId="1EA3DDEA" w14:textId="77777777" w:rsidR="00A77B3B" w:rsidRDefault="00A77B3B" w:rsidP="00A77B3B">
      <w:pPr>
        <w:spacing w:line="360" w:lineRule="auto"/>
        <w:ind w:right="48"/>
        <w:rPr>
          <w:rFonts w:ascii="Palatino Linotype" w:eastAsia="Palatino Linotype" w:hAnsi="Palatino Linotype" w:cs="Palatino Linotype"/>
        </w:rPr>
      </w:pPr>
    </w:p>
    <w:p w14:paraId="0F8524DD" w14:textId="77777777" w:rsidR="00A77B3B" w:rsidRDefault="00A77B3B" w:rsidP="00A77B3B">
      <w:pPr>
        <w:spacing w:line="360" w:lineRule="auto"/>
        <w:ind w:right="49"/>
        <w:jc w:val="both"/>
        <w:rPr>
          <w:rFonts w:ascii="Palatino Linotype" w:eastAsia="Palatino Linotype" w:hAnsi="Palatino Linotype" w:cs="Palatino Linotype"/>
        </w:rPr>
      </w:pPr>
    </w:p>
    <w:p w14:paraId="01E3F760" w14:textId="77777777" w:rsidR="00A77B3B" w:rsidRDefault="00A77B3B" w:rsidP="00A77B3B">
      <w:pPr>
        <w:spacing w:line="360" w:lineRule="auto"/>
        <w:ind w:right="49"/>
        <w:jc w:val="both"/>
        <w:rPr>
          <w:rFonts w:ascii="Palatino Linotype" w:eastAsia="Palatino Linotype" w:hAnsi="Palatino Linotype" w:cs="Palatino Linotype"/>
        </w:rPr>
      </w:pPr>
    </w:p>
    <w:p w14:paraId="2195BD1F" w14:textId="77777777" w:rsidR="0054534E" w:rsidRDefault="0054534E">
      <w:pPr>
        <w:pBdr>
          <w:top w:val="nil"/>
          <w:left w:val="nil"/>
          <w:bottom w:val="nil"/>
          <w:right w:val="nil"/>
          <w:between w:val="nil"/>
        </w:pBdr>
        <w:spacing w:line="360" w:lineRule="auto"/>
        <w:rPr>
          <w:rFonts w:ascii="Palatino Linotype" w:eastAsia="Palatino Linotype" w:hAnsi="Palatino Linotype" w:cs="Palatino Linotype"/>
        </w:rPr>
      </w:pPr>
    </w:p>
    <w:p w14:paraId="08851E4B" w14:textId="77777777" w:rsidR="00E93A72" w:rsidRDefault="00E93A72">
      <w:pPr>
        <w:pBdr>
          <w:top w:val="nil"/>
          <w:left w:val="nil"/>
          <w:bottom w:val="nil"/>
          <w:right w:val="nil"/>
          <w:between w:val="nil"/>
        </w:pBdr>
        <w:spacing w:line="360" w:lineRule="auto"/>
        <w:rPr>
          <w:rFonts w:ascii="Palatino Linotype" w:eastAsia="Palatino Linotype" w:hAnsi="Palatino Linotype" w:cs="Palatino Linotype"/>
        </w:rPr>
      </w:pPr>
    </w:p>
    <w:p w14:paraId="75E7C70F" w14:textId="77777777" w:rsidR="00E93A72" w:rsidRDefault="00E93A72">
      <w:pPr>
        <w:pBdr>
          <w:top w:val="nil"/>
          <w:left w:val="nil"/>
          <w:bottom w:val="nil"/>
          <w:right w:val="nil"/>
          <w:between w:val="nil"/>
        </w:pBdr>
        <w:spacing w:line="360" w:lineRule="auto"/>
        <w:rPr>
          <w:rFonts w:ascii="Palatino Linotype" w:eastAsia="Palatino Linotype" w:hAnsi="Palatino Linotype" w:cs="Palatino Linotype"/>
        </w:rPr>
      </w:pPr>
    </w:p>
    <w:p w14:paraId="57CC83E8" w14:textId="77777777" w:rsidR="00A21030" w:rsidRDefault="00A21030">
      <w:pPr>
        <w:pBdr>
          <w:top w:val="nil"/>
          <w:left w:val="nil"/>
          <w:bottom w:val="nil"/>
          <w:right w:val="nil"/>
          <w:between w:val="nil"/>
        </w:pBdr>
        <w:spacing w:line="360" w:lineRule="auto"/>
        <w:rPr>
          <w:rFonts w:ascii="Palatino Linotype" w:eastAsia="Palatino Linotype" w:hAnsi="Palatino Linotype" w:cs="Palatino Linotype"/>
        </w:rPr>
      </w:pPr>
    </w:p>
    <w:p w14:paraId="5BED460D" w14:textId="77777777" w:rsidR="00A21030" w:rsidRDefault="00A21030">
      <w:pPr>
        <w:pBdr>
          <w:top w:val="nil"/>
          <w:left w:val="nil"/>
          <w:bottom w:val="nil"/>
          <w:right w:val="nil"/>
          <w:between w:val="nil"/>
        </w:pBdr>
        <w:spacing w:line="360" w:lineRule="auto"/>
        <w:rPr>
          <w:rFonts w:ascii="Palatino Linotype" w:eastAsia="Palatino Linotype" w:hAnsi="Palatino Linotype" w:cs="Palatino Linotype"/>
        </w:rPr>
      </w:pPr>
    </w:p>
    <w:p w14:paraId="38A55AB5" w14:textId="77777777" w:rsidR="00A21030" w:rsidRDefault="00A21030">
      <w:pPr>
        <w:pBdr>
          <w:top w:val="nil"/>
          <w:left w:val="nil"/>
          <w:bottom w:val="nil"/>
          <w:right w:val="nil"/>
          <w:between w:val="nil"/>
        </w:pBdr>
        <w:spacing w:line="360" w:lineRule="auto"/>
        <w:rPr>
          <w:rFonts w:ascii="Palatino Linotype" w:eastAsia="Palatino Linotype" w:hAnsi="Palatino Linotype" w:cs="Palatino Linotype"/>
        </w:rPr>
      </w:pPr>
    </w:p>
    <w:p w14:paraId="3A95A081" w14:textId="77777777" w:rsidR="00A21030" w:rsidRDefault="00A21030">
      <w:pPr>
        <w:pBdr>
          <w:top w:val="nil"/>
          <w:left w:val="nil"/>
          <w:bottom w:val="nil"/>
          <w:right w:val="nil"/>
          <w:between w:val="nil"/>
        </w:pBdr>
        <w:spacing w:line="360" w:lineRule="auto"/>
        <w:rPr>
          <w:rFonts w:ascii="Palatino Linotype" w:eastAsia="Palatino Linotype" w:hAnsi="Palatino Linotype" w:cs="Palatino Linotype"/>
        </w:rPr>
      </w:pPr>
    </w:p>
    <w:p w14:paraId="193B4B09" w14:textId="77777777" w:rsidR="00A21030" w:rsidRDefault="00A21030">
      <w:pPr>
        <w:pBdr>
          <w:top w:val="nil"/>
          <w:left w:val="nil"/>
          <w:bottom w:val="nil"/>
          <w:right w:val="nil"/>
          <w:between w:val="nil"/>
        </w:pBdr>
        <w:spacing w:line="360" w:lineRule="auto"/>
        <w:rPr>
          <w:rFonts w:ascii="Palatino Linotype" w:eastAsia="Palatino Linotype" w:hAnsi="Palatino Linotype" w:cs="Palatino Linotype"/>
        </w:rPr>
      </w:pPr>
    </w:p>
    <w:p w14:paraId="12BA4767" w14:textId="77777777" w:rsidR="00E93A72" w:rsidRDefault="00E93A72">
      <w:pPr>
        <w:pBdr>
          <w:top w:val="nil"/>
          <w:left w:val="nil"/>
          <w:bottom w:val="nil"/>
          <w:right w:val="nil"/>
          <w:between w:val="nil"/>
        </w:pBdr>
        <w:spacing w:line="360" w:lineRule="auto"/>
        <w:rPr>
          <w:rFonts w:ascii="Palatino Linotype" w:eastAsia="Palatino Linotype" w:hAnsi="Palatino Linotype" w:cs="Palatino Linotype"/>
          <w:color w:val="000000"/>
        </w:rPr>
      </w:pPr>
    </w:p>
    <w:sectPr w:rsidR="00E93A72">
      <w:headerReference w:type="even" r:id="rId16"/>
      <w:headerReference w:type="default" r:id="rId17"/>
      <w:footerReference w:type="default" r:id="rId18"/>
      <w:headerReference w:type="first" r:id="rId19"/>
      <w:footerReference w:type="first" r:id="rId20"/>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96F23" w14:textId="77777777" w:rsidR="002B3FCF" w:rsidRDefault="002B3FCF">
      <w:r>
        <w:separator/>
      </w:r>
    </w:p>
  </w:endnote>
  <w:endnote w:type="continuationSeparator" w:id="0">
    <w:p w14:paraId="33B701A0" w14:textId="77777777" w:rsidR="002B3FCF" w:rsidRDefault="002B3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9C56" w14:textId="77777777" w:rsidR="0054534E" w:rsidRDefault="00557EB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21030">
      <w:rPr>
        <w:rFonts w:ascii="Palatino Linotype" w:eastAsia="Palatino Linotype" w:hAnsi="Palatino Linotype" w:cs="Palatino Linotype"/>
        <w:noProof/>
        <w:color w:val="000000"/>
        <w:sz w:val="20"/>
        <w:szCs w:val="20"/>
      </w:rPr>
      <w:t>18</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21030">
      <w:rPr>
        <w:rFonts w:ascii="Palatino Linotype" w:eastAsia="Palatino Linotype" w:hAnsi="Palatino Linotype" w:cs="Palatino Linotype"/>
        <w:noProof/>
        <w:color w:val="000000"/>
        <w:sz w:val="20"/>
        <w:szCs w:val="20"/>
      </w:rPr>
      <w:t>18</w:t>
    </w:r>
    <w:r>
      <w:rPr>
        <w:rFonts w:ascii="Palatino Linotype" w:eastAsia="Palatino Linotype" w:hAnsi="Palatino Linotype" w:cs="Palatino Linotype"/>
        <w:color w:val="000000"/>
        <w:sz w:val="20"/>
        <w:szCs w:val="20"/>
      </w:rPr>
      <w:fldChar w:fldCharType="end"/>
    </w:r>
  </w:p>
  <w:p w14:paraId="234F77D8" w14:textId="77777777" w:rsidR="0054534E" w:rsidRDefault="0054534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7D37F" w14:textId="77777777" w:rsidR="0054534E" w:rsidRDefault="00557EB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21030">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21030">
      <w:rPr>
        <w:rFonts w:ascii="Palatino Linotype" w:eastAsia="Palatino Linotype" w:hAnsi="Palatino Linotype" w:cs="Palatino Linotype"/>
        <w:noProof/>
        <w:color w:val="000000"/>
        <w:sz w:val="20"/>
        <w:szCs w:val="20"/>
      </w:rPr>
      <w:t>18</w:t>
    </w:r>
    <w:r>
      <w:rPr>
        <w:rFonts w:ascii="Palatino Linotype" w:eastAsia="Palatino Linotype" w:hAnsi="Palatino Linotype" w:cs="Palatino Linotype"/>
        <w:color w:val="000000"/>
        <w:sz w:val="20"/>
        <w:szCs w:val="20"/>
      </w:rPr>
      <w:fldChar w:fldCharType="end"/>
    </w:r>
  </w:p>
  <w:p w14:paraId="05296085" w14:textId="77777777" w:rsidR="0054534E" w:rsidRDefault="0054534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4FA87" w14:textId="77777777" w:rsidR="002B3FCF" w:rsidRDefault="002B3FCF">
      <w:r>
        <w:separator/>
      </w:r>
    </w:p>
  </w:footnote>
  <w:footnote w:type="continuationSeparator" w:id="0">
    <w:p w14:paraId="7BD71014" w14:textId="77777777" w:rsidR="002B3FCF" w:rsidRDefault="002B3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CA2C" w14:textId="77777777" w:rsidR="0054534E" w:rsidRDefault="002B3FCF">
    <w:pPr>
      <w:pBdr>
        <w:top w:val="nil"/>
        <w:left w:val="nil"/>
        <w:bottom w:val="nil"/>
        <w:right w:val="nil"/>
        <w:between w:val="nil"/>
      </w:pBdr>
      <w:tabs>
        <w:tab w:val="center" w:pos="4419"/>
        <w:tab w:val="right" w:pos="8838"/>
      </w:tabs>
      <w:rPr>
        <w:color w:val="000000"/>
      </w:rPr>
    </w:pPr>
    <w:r>
      <w:rPr>
        <w:color w:val="000000"/>
      </w:rPr>
      <w:pict w14:anchorId="0C150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09.4pt;height:793.75pt;z-index:-251657728;mso-position-horizontal:center;mso-position-horizontal-relative:margin;mso-position-vertical:center;mso-position-vertical-relative:margin">
          <v:imagedata r:id="rId1" o:title="image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4F7F" w14:textId="77777777" w:rsidR="0054534E" w:rsidRDefault="0054534E">
    <w:pPr>
      <w:widowControl w:val="0"/>
      <w:pBdr>
        <w:top w:val="nil"/>
        <w:left w:val="nil"/>
        <w:bottom w:val="nil"/>
        <w:right w:val="nil"/>
        <w:between w:val="nil"/>
      </w:pBdr>
      <w:spacing w:line="276" w:lineRule="auto"/>
      <w:rPr>
        <w:color w:val="000000"/>
      </w:rPr>
    </w:pPr>
  </w:p>
  <w:tbl>
    <w:tblPr>
      <w:tblStyle w:val="a4"/>
      <w:tblW w:w="6519" w:type="dxa"/>
      <w:tblInd w:w="2694" w:type="dxa"/>
      <w:tblLayout w:type="fixed"/>
      <w:tblLook w:val="0400" w:firstRow="0" w:lastRow="0" w:firstColumn="0" w:lastColumn="0" w:noHBand="0" w:noVBand="1"/>
    </w:tblPr>
    <w:tblGrid>
      <w:gridCol w:w="2976"/>
      <w:gridCol w:w="3543"/>
    </w:tblGrid>
    <w:tr w:rsidR="0054534E" w14:paraId="544A3453" w14:textId="77777777">
      <w:trPr>
        <w:trHeight w:val="227"/>
      </w:trPr>
      <w:tc>
        <w:tcPr>
          <w:tcW w:w="2976" w:type="dxa"/>
          <w:vAlign w:val="center"/>
        </w:tcPr>
        <w:p w14:paraId="35D27F9F" w14:textId="77777777" w:rsidR="0054534E" w:rsidRDefault="00557EB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6776D159" w14:textId="77777777" w:rsidR="0054534E" w:rsidRDefault="00557EB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08333/INFOEM/IP/RR/2023</w:t>
          </w:r>
        </w:p>
      </w:tc>
    </w:tr>
    <w:tr w:rsidR="0054534E" w14:paraId="78CAFC1C" w14:textId="77777777">
      <w:trPr>
        <w:trHeight w:val="242"/>
      </w:trPr>
      <w:tc>
        <w:tcPr>
          <w:tcW w:w="2976" w:type="dxa"/>
          <w:vAlign w:val="center"/>
        </w:tcPr>
        <w:p w14:paraId="3DC62AB2" w14:textId="77777777" w:rsidR="0054534E" w:rsidRDefault="00557EB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7660C0A2" w14:textId="77777777" w:rsidR="0054534E" w:rsidRDefault="00557EB4">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Procuraduría de Protección al Ambiente del Estado de México</w:t>
          </w:r>
        </w:p>
      </w:tc>
    </w:tr>
    <w:tr w:rsidR="0054534E" w14:paraId="54F4DB08" w14:textId="77777777">
      <w:trPr>
        <w:trHeight w:val="342"/>
      </w:trPr>
      <w:tc>
        <w:tcPr>
          <w:tcW w:w="2976" w:type="dxa"/>
          <w:vAlign w:val="center"/>
        </w:tcPr>
        <w:p w14:paraId="1E36C8B7" w14:textId="77777777" w:rsidR="0054534E" w:rsidRDefault="00557EB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36BEE8C7" w14:textId="77777777" w:rsidR="0054534E" w:rsidRDefault="00557EB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50839959" w14:textId="77777777" w:rsidR="0054534E" w:rsidRDefault="002B3FCF">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1E536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82.3pt;margin-top:-110.1pt;width:609.4pt;height:793.75pt;z-index:-251659776;mso-position-horizontal:absolute;mso-position-horizontal-relative:margin;mso-position-vertical:absolute;mso-position-vertical-relative:margin">
          <v:imagedata r:id="rId1" o:title="image1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0BD2" w14:textId="77777777" w:rsidR="0054534E" w:rsidRDefault="0054534E">
    <w:pPr>
      <w:widowControl w:val="0"/>
      <w:pBdr>
        <w:top w:val="nil"/>
        <w:left w:val="nil"/>
        <w:bottom w:val="nil"/>
        <w:right w:val="nil"/>
        <w:between w:val="nil"/>
      </w:pBdr>
      <w:spacing w:line="276" w:lineRule="auto"/>
      <w:rPr>
        <w:color w:val="000000"/>
        <w:sz w:val="14"/>
        <w:szCs w:val="14"/>
      </w:rPr>
    </w:pPr>
  </w:p>
  <w:tbl>
    <w:tblPr>
      <w:tblStyle w:val="a5"/>
      <w:tblW w:w="6660" w:type="dxa"/>
      <w:tblInd w:w="2552" w:type="dxa"/>
      <w:tblLayout w:type="fixed"/>
      <w:tblLook w:val="0400" w:firstRow="0" w:lastRow="0" w:firstColumn="0" w:lastColumn="0" w:noHBand="0" w:noVBand="1"/>
    </w:tblPr>
    <w:tblGrid>
      <w:gridCol w:w="2977"/>
      <w:gridCol w:w="3683"/>
    </w:tblGrid>
    <w:tr w:rsidR="0054534E" w14:paraId="57032604" w14:textId="77777777">
      <w:trPr>
        <w:trHeight w:val="227"/>
      </w:trPr>
      <w:tc>
        <w:tcPr>
          <w:tcW w:w="2977" w:type="dxa"/>
          <w:vAlign w:val="center"/>
        </w:tcPr>
        <w:p w14:paraId="32DB68F5" w14:textId="77777777" w:rsidR="0054534E" w:rsidRDefault="00557EB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14:paraId="26564789" w14:textId="77777777" w:rsidR="0054534E" w:rsidRDefault="00557EB4">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08333/INFOEM/IP/RR/2023</w:t>
          </w:r>
        </w:p>
      </w:tc>
    </w:tr>
    <w:tr w:rsidR="0054534E" w14:paraId="766F68CD" w14:textId="77777777">
      <w:trPr>
        <w:trHeight w:val="242"/>
      </w:trPr>
      <w:tc>
        <w:tcPr>
          <w:tcW w:w="2977" w:type="dxa"/>
          <w:vAlign w:val="center"/>
        </w:tcPr>
        <w:p w14:paraId="2ED639BA" w14:textId="77777777" w:rsidR="0054534E" w:rsidRDefault="00557EB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14:paraId="6B7158FA" w14:textId="1AEA1520" w:rsidR="0054534E" w:rsidRDefault="00AE03F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54534E" w14:paraId="6D4DF5C2" w14:textId="77777777">
      <w:trPr>
        <w:trHeight w:val="342"/>
      </w:trPr>
      <w:tc>
        <w:tcPr>
          <w:tcW w:w="2977" w:type="dxa"/>
          <w:vAlign w:val="center"/>
        </w:tcPr>
        <w:p w14:paraId="2B147596" w14:textId="77777777" w:rsidR="0054534E" w:rsidRDefault="00557EB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14:paraId="4AEFD1BC" w14:textId="77777777" w:rsidR="0054534E" w:rsidRDefault="00557EB4">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Procuraduría de Protección al Ambiente del Estado de México</w:t>
          </w:r>
        </w:p>
      </w:tc>
    </w:tr>
    <w:tr w:rsidR="0054534E" w14:paraId="5BF12A40" w14:textId="77777777">
      <w:trPr>
        <w:trHeight w:val="342"/>
      </w:trPr>
      <w:tc>
        <w:tcPr>
          <w:tcW w:w="2977" w:type="dxa"/>
          <w:vAlign w:val="center"/>
        </w:tcPr>
        <w:p w14:paraId="62D9F2DC" w14:textId="77777777" w:rsidR="0054534E" w:rsidRDefault="00557EB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14:paraId="5E46C49A" w14:textId="77777777" w:rsidR="0054534E" w:rsidRDefault="00557EB4">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4DEEBF14" w14:textId="77777777" w:rsidR="0054534E" w:rsidRDefault="0054534E">
    <w:pPr>
      <w:tabs>
        <w:tab w:val="center" w:pos="4419"/>
        <w:tab w:val="right" w:pos="8838"/>
      </w:tabs>
      <w:spacing w:line="276" w:lineRule="auto"/>
    </w:pPr>
  </w:p>
  <w:p w14:paraId="5B253655" w14:textId="77777777" w:rsidR="0054534E" w:rsidRDefault="002B3FCF">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019E3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84.55pt;margin-top:-132.2pt;width:609.4pt;height:793.75pt;z-index:-251658752;mso-position-horizontal:absolute;mso-position-horizontal-relative:margin;mso-position-vertical:absolute;mso-position-vertical-relative:margin">
          <v:imagedata r:id="rId1" o:title="image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9711D"/>
    <w:multiLevelType w:val="multilevel"/>
    <w:tmpl w:val="4D3A1548"/>
    <w:lvl w:ilvl="0">
      <w:start w:val="1"/>
      <w:numFmt w:val="lowerLetter"/>
      <w:lvlText w:val="%1)"/>
      <w:lvlJc w:val="left"/>
      <w:pPr>
        <w:ind w:left="1440" w:hanging="360"/>
      </w:pPr>
      <w:rPr>
        <w:b w:val="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8D97BD8"/>
    <w:multiLevelType w:val="multilevel"/>
    <w:tmpl w:val="BC5E198E"/>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EB7B04"/>
    <w:multiLevelType w:val="multilevel"/>
    <w:tmpl w:val="1DBE5C2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C460F66"/>
    <w:multiLevelType w:val="multilevel"/>
    <w:tmpl w:val="F760EA0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83164E"/>
    <w:multiLevelType w:val="multilevel"/>
    <w:tmpl w:val="E146B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E4142A"/>
    <w:multiLevelType w:val="multilevel"/>
    <w:tmpl w:val="652A962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6FBE29CD"/>
    <w:multiLevelType w:val="multilevel"/>
    <w:tmpl w:val="D4823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7012A2"/>
    <w:multiLevelType w:val="multilevel"/>
    <w:tmpl w:val="E9B8FA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630681F"/>
    <w:multiLevelType w:val="multilevel"/>
    <w:tmpl w:val="5EDEE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4748495">
    <w:abstractNumId w:val="3"/>
  </w:num>
  <w:num w:numId="2" w16cid:durableId="1048535054">
    <w:abstractNumId w:val="5"/>
  </w:num>
  <w:num w:numId="3" w16cid:durableId="1524629595">
    <w:abstractNumId w:val="6"/>
  </w:num>
  <w:num w:numId="4" w16cid:durableId="2090494805">
    <w:abstractNumId w:val="2"/>
  </w:num>
  <w:num w:numId="5" w16cid:durableId="2114399827">
    <w:abstractNumId w:val="7"/>
  </w:num>
  <w:num w:numId="6" w16cid:durableId="215973048">
    <w:abstractNumId w:val="0"/>
  </w:num>
  <w:num w:numId="7" w16cid:durableId="391199220">
    <w:abstractNumId w:val="8"/>
  </w:num>
  <w:num w:numId="8" w16cid:durableId="834223685">
    <w:abstractNumId w:val="4"/>
  </w:num>
  <w:num w:numId="9" w16cid:durableId="397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34E"/>
    <w:rsid w:val="002B3FCF"/>
    <w:rsid w:val="0054534E"/>
    <w:rsid w:val="00557EB4"/>
    <w:rsid w:val="00A21030"/>
    <w:rsid w:val="00A77B3B"/>
    <w:rsid w:val="00AE03F7"/>
    <w:rsid w:val="00B712C0"/>
    <w:rsid w:val="00BE446A"/>
    <w:rsid w:val="00E93A72"/>
    <w:rsid w:val="00F669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CCD70"/>
  <w15:docId w15:val="{EBC908D4-0C0F-4A62-ABC5-E7B7CCF7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customStyle="1" w:styleId="Tablanormal12">
    <w:name w:val="Tabla normal 12"/>
    <w:basedOn w:val="Tablanormal"/>
    <w:next w:val="Tablanormal1"/>
    <w:uiPriority w:val="41"/>
    <w:rsid w:val="002F132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independiente">
    <w:name w:val="Body Text"/>
    <w:basedOn w:val="Normal"/>
    <w:link w:val="TextoindependienteCar"/>
    <w:uiPriority w:val="1"/>
    <w:qFormat/>
    <w:rsid w:val="005F2720"/>
    <w:pPr>
      <w:widowControl w:val="0"/>
      <w:autoSpaceDE w:val="0"/>
      <w:autoSpaceDN w:val="0"/>
    </w:pPr>
    <w:rPr>
      <w:rFonts w:ascii="Arial" w:eastAsia="Arial" w:hAnsi="Arial" w:cs="Arial"/>
      <w:lang w:val="es-MX" w:eastAsia="es-MX" w:bidi="es-MX"/>
    </w:rPr>
  </w:style>
  <w:style w:type="character" w:customStyle="1" w:styleId="TextoindependienteCar">
    <w:name w:val="Texto independiente Car"/>
    <w:basedOn w:val="Fuentedeprrafopredeter"/>
    <w:link w:val="Textoindependiente"/>
    <w:uiPriority w:val="1"/>
    <w:rsid w:val="005F2720"/>
    <w:rPr>
      <w:rFonts w:ascii="Arial" w:eastAsia="Arial" w:hAnsi="Arial" w:cs="Arial"/>
      <w:sz w:val="24"/>
      <w:szCs w:val="24"/>
      <w:lang w:eastAsia="es-MX" w:bidi="es-MX"/>
    </w:rPr>
  </w:style>
  <w:style w:type="table" w:styleId="Tablaconcuadrcula">
    <w:name w:val="Table Grid"/>
    <w:basedOn w:val="Tablanormal"/>
    <w:uiPriority w:val="39"/>
    <w:rsid w:val="004E1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970612.pag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980699.pag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93Knz1/WEUi2FWtIX6uCXLzNKg==">CgMxLjAyCGguZ2pkZ3hzMgloLjMwajB6bGwyCWguMWZvYjl0ZTIJaC4zem55c2g3MgloLjJldDkycDAyCGgudHlqY3d0MgloLjNkeTZ2a20yCWguMTdkcDh2dTIJaC4xdDNoNXNmMgloLjI2aW4xcmcyCWguNGQzNG9nODgAciExckVsejdsMFJkeHpaUDZZUDlhYjdNRnRSWWtjVENERUY=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2916</Words>
  <Characters>16044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inf03m612@outlook.com</cp:lastModifiedBy>
  <cp:revision>6</cp:revision>
  <cp:lastPrinted>2024-08-16T05:16:00Z</cp:lastPrinted>
  <dcterms:created xsi:type="dcterms:W3CDTF">2024-08-13T00:41:00Z</dcterms:created>
  <dcterms:modified xsi:type="dcterms:W3CDTF">2024-08-28T16:42:00Z</dcterms:modified>
</cp:coreProperties>
</file>