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C5F5"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w:t>
      </w:r>
      <w:r w:rsidR="007430E4" w:rsidRPr="002C5B71">
        <w:rPr>
          <w:rFonts w:ascii="Palatino Linotype" w:eastAsia="Palatino Linotype" w:hAnsi="Palatino Linotype" w:cs="Palatino Linotype"/>
          <w:sz w:val="22"/>
          <w:szCs w:val="22"/>
        </w:rPr>
        <w:t>ec, Estado de México, de fecha seis</w:t>
      </w:r>
      <w:r w:rsidRPr="002C5B71">
        <w:rPr>
          <w:rFonts w:ascii="Palatino Linotype" w:eastAsia="Palatino Linotype" w:hAnsi="Palatino Linotype" w:cs="Palatino Linotype"/>
          <w:sz w:val="22"/>
          <w:szCs w:val="22"/>
        </w:rPr>
        <w:t xml:space="preserve"> de </w:t>
      </w:r>
      <w:r w:rsidR="007430E4" w:rsidRPr="002C5B71">
        <w:rPr>
          <w:rFonts w:ascii="Palatino Linotype" w:eastAsia="Palatino Linotype" w:hAnsi="Palatino Linotype" w:cs="Palatino Linotype"/>
          <w:sz w:val="22"/>
          <w:szCs w:val="22"/>
        </w:rPr>
        <w:t>noviembre</w:t>
      </w:r>
      <w:r w:rsidRPr="002C5B71">
        <w:rPr>
          <w:rFonts w:ascii="Palatino Linotype" w:eastAsia="Palatino Linotype" w:hAnsi="Palatino Linotype" w:cs="Palatino Linotype"/>
          <w:sz w:val="22"/>
          <w:szCs w:val="22"/>
        </w:rPr>
        <w:t xml:space="preserve"> de dos mil veinticuatro. </w:t>
      </w:r>
    </w:p>
    <w:p w14:paraId="169011E3"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300AE8B0" w14:textId="77777777" w:rsidR="001B45B9" w:rsidRPr="002C5B71" w:rsidRDefault="00AA4BF8">
      <w:pPr>
        <w:spacing w:line="360" w:lineRule="auto"/>
        <w:jc w:val="both"/>
        <w:rPr>
          <w:rFonts w:ascii="Palatino Linotype" w:eastAsia="Palatino Linotype" w:hAnsi="Palatino Linotype" w:cs="Palatino Linotype"/>
          <w:b/>
          <w:sz w:val="22"/>
          <w:szCs w:val="22"/>
        </w:rPr>
      </w:pPr>
      <w:r w:rsidRPr="002C5B71">
        <w:rPr>
          <w:rFonts w:ascii="Palatino Linotype" w:eastAsia="Palatino Linotype" w:hAnsi="Palatino Linotype" w:cs="Palatino Linotype"/>
          <w:b/>
          <w:sz w:val="22"/>
          <w:szCs w:val="22"/>
        </w:rPr>
        <w:t>Visto</w:t>
      </w:r>
      <w:r w:rsidRPr="002C5B71">
        <w:rPr>
          <w:rFonts w:ascii="Palatino Linotype" w:eastAsia="Palatino Linotype" w:hAnsi="Palatino Linotype" w:cs="Palatino Linotype"/>
          <w:sz w:val="22"/>
          <w:szCs w:val="22"/>
        </w:rPr>
        <w:t xml:space="preserve"> el expediente relativo al recurso de revisión </w:t>
      </w:r>
      <w:r w:rsidRPr="002C5B71">
        <w:rPr>
          <w:rFonts w:ascii="Palatino Linotype" w:eastAsia="Palatino Linotype" w:hAnsi="Palatino Linotype" w:cs="Palatino Linotype"/>
          <w:b/>
          <w:sz w:val="22"/>
          <w:szCs w:val="22"/>
        </w:rPr>
        <w:t>05079/INFOEM/IP/RR/2024</w:t>
      </w:r>
      <w:r w:rsidRPr="002C5B71">
        <w:rPr>
          <w:rFonts w:ascii="Palatino Linotype" w:eastAsia="Palatino Linotype" w:hAnsi="Palatino Linotype" w:cs="Palatino Linotype"/>
          <w:sz w:val="22"/>
          <w:szCs w:val="22"/>
        </w:rPr>
        <w:t xml:space="preserve">, interpuesto por </w:t>
      </w:r>
      <w:r w:rsidRPr="002C5B71">
        <w:rPr>
          <w:rFonts w:ascii="Palatino Linotype" w:eastAsia="Palatino Linotype" w:hAnsi="Palatino Linotype" w:cs="Palatino Linotype"/>
          <w:b/>
          <w:sz w:val="22"/>
          <w:szCs w:val="22"/>
        </w:rPr>
        <w:t>un Usuario que no proporcionó su nombre</w:t>
      </w:r>
      <w:r w:rsidRPr="002C5B71">
        <w:rPr>
          <w:rFonts w:ascii="Palatino Linotype" w:eastAsia="Palatino Linotype" w:hAnsi="Palatino Linotype" w:cs="Palatino Linotype"/>
          <w:sz w:val="22"/>
          <w:szCs w:val="22"/>
        </w:rPr>
        <w:t>, en lo sucesivo se le denominará la parte</w:t>
      </w:r>
      <w:r w:rsidRPr="002C5B71">
        <w:rPr>
          <w:rFonts w:ascii="Palatino Linotype" w:eastAsia="Palatino Linotype" w:hAnsi="Palatino Linotype" w:cs="Palatino Linotype"/>
          <w:b/>
          <w:sz w:val="22"/>
          <w:szCs w:val="22"/>
        </w:rPr>
        <w:t xml:space="preserve"> RECURRENTE</w:t>
      </w:r>
      <w:r w:rsidRPr="002C5B71">
        <w:rPr>
          <w:rFonts w:ascii="Palatino Linotype" w:eastAsia="Palatino Linotype" w:hAnsi="Palatino Linotype" w:cs="Palatino Linotype"/>
          <w:sz w:val="22"/>
          <w:szCs w:val="22"/>
        </w:rPr>
        <w:t>, en contra de la respuesta a su solicitud de información con número de folio</w:t>
      </w:r>
      <w:r w:rsidRPr="002C5B71">
        <w:rPr>
          <w:rFonts w:ascii="Palatino Linotype" w:eastAsia="Palatino Linotype" w:hAnsi="Palatino Linotype" w:cs="Palatino Linotype"/>
          <w:b/>
          <w:sz w:val="22"/>
          <w:szCs w:val="22"/>
        </w:rPr>
        <w:t xml:space="preserve"> 00355/CAEM/IP/2024</w:t>
      </w:r>
      <w:r w:rsidRPr="002C5B71">
        <w:rPr>
          <w:rFonts w:ascii="Palatino Linotype" w:eastAsia="Palatino Linotype" w:hAnsi="Palatino Linotype" w:cs="Palatino Linotype"/>
          <w:sz w:val="22"/>
          <w:szCs w:val="22"/>
        </w:rPr>
        <w:t xml:space="preserve">, por parte de la </w:t>
      </w:r>
      <w:r w:rsidRPr="002C5B71">
        <w:rPr>
          <w:rFonts w:ascii="Palatino Linotype" w:eastAsia="Palatino Linotype" w:hAnsi="Palatino Linotype" w:cs="Palatino Linotype"/>
          <w:b/>
          <w:sz w:val="22"/>
          <w:szCs w:val="22"/>
        </w:rPr>
        <w:t xml:space="preserve">Comisión del Agua del Estado de México </w:t>
      </w:r>
      <w:r w:rsidRPr="002C5B71">
        <w:rPr>
          <w:rFonts w:ascii="Palatino Linotype" w:eastAsia="Palatino Linotype" w:hAnsi="Palatino Linotype" w:cs="Palatino Linotype"/>
          <w:sz w:val="22"/>
          <w:szCs w:val="22"/>
        </w:rPr>
        <w:t xml:space="preserve">en lo sucesivo el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w:t>
      </w:r>
      <w:r w:rsidRPr="002C5B71">
        <w:rPr>
          <w:rFonts w:ascii="Palatino Linotype" w:eastAsia="Palatino Linotype" w:hAnsi="Palatino Linotype" w:cs="Palatino Linotype"/>
          <w:b/>
          <w:sz w:val="22"/>
          <w:szCs w:val="22"/>
        </w:rPr>
        <w:t xml:space="preserve"> </w:t>
      </w:r>
      <w:r w:rsidRPr="002C5B71">
        <w:rPr>
          <w:rFonts w:ascii="Palatino Linotype" w:eastAsia="Palatino Linotype" w:hAnsi="Palatino Linotype" w:cs="Palatino Linotype"/>
          <w:sz w:val="22"/>
          <w:szCs w:val="22"/>
        </w:rPr>
        <w:t>se procede a dictar la presente resolución, con base en los siguientes:</w:t>
      </w:r>
    </w:p>
    <w:p w14:paraId="2D8D7CC2"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27F7E9A2" w14:textId="77777777" w:rsidR="001B45B9" w:rsidRPr="002C5B71" w:rsidRDefault="00AA4BF8">
      <w:pPr>
        <w:numPr>
          <w:ilvl w:val="0"/>
          <w:numId w:val="5"/>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2C5B71">
        <w:rPr>
          <w:rFonts w:ascii="Palatino Linotype" w:eastAsia="Palatino Linotype" w:hAnsi="Palatino Linotype" w:cs="Palatino Linotype"/>
          <w:b/>
          <w:sz w:val="22"/>
          <w:szCs w:val="22"/>
        </w:rPr>
        <w:t>A N T E C E D E N T E S:</w:t>
      </w:r>
    </w:p>
    <w:p w14:paraId="6CCAA671" w14:textId="77777777" w:rsidR="001B45B9" w:rsidRPr="002C5B71" w:rsidRDefault="001B45B9">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5603EE7" w14:textId="77777777" w:rsidR="001B45B9" w:rsidRPr="002C5B71" w:rsidRDefault="00AA4BF8">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2C5B71">
        <w:rPr>
          <w:rFonts w:ascii="Palatino Linotype" w:eastAsia="Palatino Linotype" w:hAnsi="Palatino Linotype" w:cs="Palatino Linotype"/>
          <w:b/>
          <w:sz w:val="22"/>
          <w:szCs w:val="22"/>
        </w:rPr>
        <w:t xml:space="preserve">Solicitud de acceso a la información. </w:t>
      </w:r>
      <w:r w:rsidRPr="002C5B71">
        <w:rPr>
          <w:rFonts w:ascii="Palatino Linotype" w:eastAsia="Palatino Linotype" w:hAnsi="Palatino Linotype" w:cs="Palatino Linotype"/>
          <w:sz w:val="22"/>
          <w:szCs w:val="22"/>
        </w:rPr>
        <w:t xml:space="preserve">Con fecha </w:t>
      </w:r>
      <w:r w:rsidRPr="002C5B71">
        <w:rPr>
          <w:rFonts w:ascii="Palatino Linotype" w:eastAsia="Palatino Linotype" w:hAnsi="Palatino Linotype" w:cs="Palatino Linotype"/>
          <w:b/>
          <w:sz w:val="22"/>
          <w:szCs w:val="22"/>
        </w:rPr>
        <w:t>dieciséis de julio de dos mil veinticuatro</w:t>
      </w:r>
      <w:r w:rsidRPr="002C5B71">
        <w:rPr>
          <w:rFonts w:ascii="Palatino Linotype" w:eastAsia="Palatino Linotype" w:hAnsi="Palatino Linotype" w:cs="Palatino Linotype"/>
          <w:sz w:val="22"/>
          <w:szCs w:val="22"/>
        </w:rPr>
        <w:t xml:space="preserve">, la parte </w:t>
      </w:r>
      <w:r w:rsidRPr="002C5B71">
        <w:rPr>
          <w:rFonts w:ascii="Palatino Linotype" w:eastAsia="Palatino Linotype" w:hAnsi="Palatino Linotype" w:cs="Palatino Linotype"/>
          <w:b/>
          <w:sz w:val="22"/>
          <w:szCs w:val="22"/>
        </w:rPr>
        <w:t>RECURRENTE</w:t>
      </w:r>
      <w:r w:rsidRPr="002C5B71">
        <w:rPr>
          <w:rFonts w:ascii="Palatino Linotype" w:eastAsia="Palatino Linotype" w:hAnsi="Palatino Linotype" w:cs="Palatino Linotype"/>
          <w:sz w:val="22"/>
          <w:szCs w:val="22"/>
        </w:rPr>
        <w:t xml:space="preserve"> formuló solicitud de acceso a información pública al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 xml:space="preserve"> a través del Sistema de Acceso a la Información Mexiquense, en adelante </w:t>
      </w:r>
      <w:r w:rsidRPr="002C5B71">
        <w:rPr>
          <w:rFonts w:ascii="Palatino Linotype" w:eastAsia="Palatino Linotype" w:hAnsi="Palatino Linotype" w:cs="Palatino Linotype"/>
          <w:b/>
          <w:sz w:val="22"/>
          <w:szCs w:val="22"/>
        </w:rPr>
        <w:t>SAIMEX</w:t>
      </w:r>
      <w:r w:rsidRPr="002C5B71">
        <w:rPr>
          <w:rFonts w:ascii="Palatino Linotype" w:eastAsia="Palatino Linotype" w:hAnsi="Palatino Linotype" w:cs="Palatino Linotype"/>
          <w:sz w:val="22"/>
          <w:szCs w:val="22"/>
        </w:rPr>
        <w:t xml:space="preserve">, en la que requirió lo siguiente: </w:t>
      </w:r>
    </w:p>
    <w:p w14:paraId="4859F584" w14:textId="77777777" w:rsidR="001B45B9" w:rsidRPr="002C5B71" w:rsidRDefault="001B45B9">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E2C9B60"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“¿Cuáles son las acciones que toma la </w:t>
      </w:r>
      <w:proofErr w:type="spellStart"/>
      <w:r w:rsidRPr="002C5B71">
        <w:rPr>
          <w:rFonts w:ascii="Palatino Linotype" w:eastAsia="Palatino Linotype" w:hAnsi="Palatino Linotype" w:cs="Palatino Linotype"/>
          <w:i/>
          <w:sz w:val="22"/>
          <w:szCs w:val="22"/>
        </w:rPr>
        <w:t>insitucion</w:t>
      </w:r>
      <w:proofErr w:type="spellEnd"/>
      <w:r w:rsidRPr="002C5B71">
        <w:rPr>
          <w:rFonts w:ascii="Palatino Linotype" w:eastAsia="Palatino Linotype" w:hAnsi="Palatino Linotype" w:cs="Palatino Linotype"/>
          <w:i/>
          <w:sz w:val="22"/>
          <w:szCs w:val="22"/>
        </w:rPr>
        <w:t xml:space="preserve"> y la unidad de Genero para afrontar las personas de la diversidad sexual en el ámbito laboral?”</w:t>
      </w:r>
    </w:p>
    <w:p w14:paraId="50518438" w14:textId="77777777" w:rsidR="001B45B9" w:rsidRPr="002C5B71" w:rsidRDefault="001B45B9">
      <w:pPr>
        <w:spacing w:line="360" w:lineRule="auto"/>
        <w:ind w:left="709" w:right="900"/>
        <w:jc w:val="both"/>
        <w:rPr>
          <w:rFonts w:ascii="Palatino Linotype" w:eastAsia="Palatino Linotype" w:hAnsi="Palatino Linotype" w:cs="Palatino Linotype"/>
          <w:b/>
          <w:i/>
          <w:sz w:val="22"/>
          <w:szCs w:val="22"/>
        </w:rPr>
      </w:pPr>
    </w:p>
    <w:p w14:paraId="624A4A15"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 xml:space="preserve">Modalidad elegida para la entrega de la información: </w:t>
      </w:r>
      <w:r w:rsidRPr="002C5B71">
        <w:rPr>
          <w:rFonts w:ascii="Palatino Linotype" w:eastAsia="Palatino Linotype" w:hAnsi="Palatino Linotype" w:cs="Palatino Linotype"/>
          <w:sz w:val="22"/>
          <w:szCs w:val="22"/>
        </w:rPr>
        <w:t>a través del Sistema de Acceso a la Información Mexiquense.</w:t>
      </w:r>
    </w:p>
    <w:p w14:paraId="5708FD7D"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0EF199E7" w14:textId="77777777" w:rsidR="001B45B9" w:rsidRPr="002C5B71" w:rsidRDefault="00AA4BF8">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2C5B71">
        <w:rPr>
          <w:rFonts w:ascii="Palatino Linotype" w:eastAsia="Palatino Linotype" w:hAnsi="Palatino Linotype" w:cs="Palatino Linotype"/>
          <w:b/>
          <w:sz w:val="22"/>
          <w:szCs w:val="22"/>
        </w:rPr>
        <w:lastRenderedPageBreak/>
        <w:t xml:space="preserve">Respuesta. </w:t>
      </w:r>
      <w:r w:rsidRPr="002C5B71">
        <w:rPr>
          <w:rFonts w:ascii="Palatino Linotype" w:eastAsia="Palatino Linotype" w:hAnsi="Palatino Linotype" w:cs="Palatino Linotype"/>
          <w:sz w:val="22"/>
          <w:szCs w:val="22"/>
        </w:rPr>
        <w:t>En fecha veinte de agosto de dos mil veinticuatro se tuvo por presentada la respuesta,</w:t>
      </w:r>
      <w:r w:rsidRPr="002C5B71">
        <w:rPr>
          <w:rFonts w:ascii="Palatino Linotype" w:eastAsia="Palatino Linotype" w:hAnsi="Palatino Linotype" w:cs="Palatino Linotype"/>
          <w:b/>
          <w:sz w:val="22"/>
          <w:szCs w:val="22"/>
        </w:rPr>
        <w:t xml:space="preserve"> </w:t>
      </w:r>
      <w:r w:rsidRPr="002C5B71">
        <w:rPr>
          <w:rFonts w:ascii="Palatino Linotype" w:eastAsia="Palatino Linotype" w:hAnsi="Palatino Linotype" w:cs="Palatino Linotype"/>
          <w:sz w:val="22"/>
          <w:szCs w:val="22"/>
        </w:rPr>
        <w:t xml:space="preserve">mediante la cual el </w:t>
      </w:r>
      <w:r w:rsidRPr="002C5B71">
        <w:rPr>
          <w:rFonts w:ascii="Palatino Linotype" w:eastAsia="Palatino Linotype" w:hAnsi="Palatino Linotype" w:cs="Palatino Linotype"/>
          <w:b/>
          <w:sz w:val="22"/>
          <w:szCs w:val="22"/>
        </w:rPr>
        <w:t xml:space="preserve">SUJETO OBLIGADO </w:t>
      </w:r>
      <w:r w:rsidRPr="002C5B71">
        <w:rPr>
          <w:rFonts w:ascii="Palatino Linotype" w:eastAsia="Palatino Linotype" w:hAnsi="Palatino Linotype" w:cs="Palatino Linotype"/>
          <w:sz w:val="22"/>
          <w:szCs w:val="22"/>
        </w:rPr>
        <w:t>señaló de lo siguiente:</w:t>
      </w:r>
    </w:p>
    <w:p w14:paraId="65A9DF33" w14:textId="77777777" w:rsidR="001B45B9" w:rsidRPr="002C5B71" w:rsidRDefault="001B45B9">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0E48EC7"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464DAC"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ESTIMADO PETICIONARIO FOLIO DE LA SOLICITUD: 00355/CAEM/IP/2024 En respuesta a la solicitud recibida, nos permitimos hacer de su conocimiento que con fundamento en los artículos 2, fracciones 111, VII; 4; 15; 24 fracciones XI y XXIV de la Ley de Transparencia y Acceso a la Información Pública del Estado de México y Municipios, y en cumplimiento a lo establecido en el artículo 53, fracciones 11, V y VI, su petición formulada en la Unidad de Transparencia de la Comisión del Agua del Estado de México vía electrónica se ha registrado con el número de folio 00355/CAEM/IP/2024. Anexo se envía la respuesta que emite la Dirección General de asuntos Jurídicos e Igualdad de Género.</w:t>
      </w:r>
    </w:p>
    <w:p w14:paraId="731E901B"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ATENTAMENTE</w:t>
      </w:r>
    </w:p>
    <w:p w14:paraId="768B46BA"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Lic. Stephanie Valero Sánchez</w:t>
      </w:r>
    </w:p>
    <w:p w14:paraId="58255590" w14:textId="77777777" w:rsidR="001B45B9" w:rsidRPr="002C5B71" w:rsidRDefault="001B45B9">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2B50693A" w14:textId="77777777" w:rsidR="001B45B9" w:rsidRPr="002C5B71" w:rsidRDefault="00AA4BF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Asimismo, adjuntó el documento electrónico</w:t>
      </w:r>
      <w:r w:rsidRPr="002C5B71">
        <w:rPr>
          <w:rFonts w:ascii="Palatino Linotype" w:eastAsia="Palatino Linotype" w:hAnsi="Palatino Linotype" w:cs="Palatino Linotype"/>
          <w:b/>
          <w:sz w:val="22"/>
          <w:szCs w:val="22"/>
        </w:rPr>
        <w:t xml:space="preserve"> oficio 219C011600200L-1016-2024.pdf,</w:t>
      </w:r>
      <w:r w:rsidRPr="002C5B71">
        <w:rPr>
          <w:rFonts w:ascii="Palatino Linotype" w:eastAsia="Palatino Linotype" w:hAnsi="Palatino Linotype" w:cs="Palatino Linotype"/>
          <w:sz w:val="22"/>
          <w:szCs w:val="22"/>
        </w:rPr>
        <w:t xml:space="preserve"> que se describe a continuación:</w:t>
      </w:r>
    </w:p>
    <w:p w14:paraId="46E1AFD6" w14:textId="77777777" w:rsidR="001B45B9" w:rsidRPr="002C5B71" w:rsidRDefault="001B45B9">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5B236F72" w14:textId="77777777" w:rsidR="001B45B9" w:rsidRPr="002C5B71" w:rsidRDefault="00AA4BF8">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Oficio 219C0116000200L/1016/2024 suscrito por la subdirectora en Materia Administrativa, Fiscal, Normatividad y de Consulta y Enlace de Transparencia de la Dirección General de Asuntos Jurídicos e Igualdad de Género en el que indica que indica que la solicitud es una consulta o un derecho de petición y no un derecho de acceso a la información pública.</w:t>
      </w:r>
    </w:p>
    <w:p w14:paraId="797745EC" w14:textId="77777777" w:rsidR="001B45B9" w:rsidRPr="002C5B71" w:rsidRDefault="001B45B9">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6FC262F2" w14:textId="77777777" w:rsidR="001B45B9" w:rsidRPr="002C5B71" w:rsidRDefault="00AA4BF8">
      <w:pPr>
        <w:numPr>
          <w:ilvl w:val="0"/>
          <w:numId w:val="4"/>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 xml:space="preserve">Interposición del recurso de revisión. </w:t>
      </w:r>
      <w:r w:rsidRPr="002C5B71">
        <w:rPr>
          <w:rFonts w:ascii="Palatino Linotype" w:eastAsia="Palatino Linotype" w:hAnsi="Palatino Linotype" w:cs="Palatino Linotype"/>
          <w:sz w:val="22"/>
          <w:szCs w:val="22"/>
        </w:rPr>
        <w:t xml:space="preserve">Inconforme con la respuesta del </w:t>
      </w:r>
      <w:r w:rsidRPr="002C5B71">
        <w:rPr>
          <w:rFonts w:ascii="Palatino Linotype" w:eastAsia="Palatino Linotype" w:hAnsi="Palatino Linotype" w:cs="Palatino Linotype"/>
          <w:b/>
          <w:sz w:val="22"/>
          <w:szCs w:val="22"/>
        </w:rPr>
        <w:t>SUJETO OBLIGADO el ahora RECURRENTE</w:t>
      </w:r>
      <w:r w:rsidRPr="002C5B71">
        <w:rPr>
          <w:rFonts w:ascii="Palatino Linotype" w:eastAsia="Palatino Linotype" w:hAnsi="Palatino Linotype" w:cs="Palatino Linotype"/>
          <w:sz w:val="22"/>
          <w:szCs w:val="22"/>
        </w:rPr>
        <w:t xml:space="preserve"> interpuso recurso de revisión a través del SAIMEX en fecha </w:t>
      </w:r>
      <w:r w:rsidRPr="002C5B71">
        <w:rPr>
          <w:rFonts w:ascii="Palatino Linotype" w:eastAsia="Palatino Linotype" w:hAnsi="Palatino Linotype" w:cs="Palatino Linotype"/>
          <w:b/>
          <w:sz w:val="22"/>
          <w:szCs w:val="22"/>
        </w:rPr>
        <w:t>veintidós</w:t>
      </w:r>
      <w:r w:rsidRPr="002C5B71">
        <w:rPr>
          <w:rFonts w:ascii="Palatino Linotype" w:eastAsia="Palatino Linotype" w:hAnsi="Palatino Linotype" w:cs="Palatino Linotype"/>
          <w:sz w:val="22"/>
          <w:szCs w:val="22"/>
        </w:rPr>
        <w:t xml:space="preserve"> </w:t>
      </w:r>
      <w:r w:rsidRPr="002C5B71">
        <w:rPr>
          <w:rFonts w:ascii="Palatino Linotype" w:eastAsia="Palatino Linotype" w:hAnsi="Palatino Linotype" w:cs="Palatino Linotype"/>
          <w:b/>
          <w:sz w:val="22"/>
          <w:szCs w:val="22"/>
        </w:rPr>
        <w:t>de agosto de dos mil veinticuatro</w:t>
      </w:r>
      <w:r w:rsidRPr="002C5B71">
        <w:rPr>
          <w:rFonts w:ascii="Palatino Linotype" w:eastAsia="Palatino Linotype" w:hAnsi="Palatino Linotype" w:cs="Palatino Linotype"/>
          <w:sz w:val="22"/>
          <w:szCs w:val="22"/>
        </w:rPr>
        <w:t>, a través del cual expresó lo siguiente:</w:t>
      </w:r>
    </w:p>
    <w:p w14:paraId="0F5AD3A1" w14:textId="77777777" w:rsidR="001B45B9" w:rsidRPr="002C5B71" w:rsidRDefault="001B45B9">
      <w:pPr>
        <w:spacing w:line="360" w:lineRule="auto"/>
        <w:ind w:right="49"/>
        <w:jc w:val="both"/>
        <w:rPr>
          <w:rFonts w:ascii="Palatino Linotype" w:eastAsia="Palatino Linotype" w:hAnsi="Palatino Linotype" w:cs="Palatino Linotype"/>
          <w:sz w:val="22"/>
          <w:szCs w:val="22"/>
        </w:rPr>
      </w:pPr>
    </w:p>
    <w:p w14:paraId="2A7588C1" w14:textId="77777777" w:rsidR="001B45B9" w:rsidRPr="002C5B71" w:rsidRDefault="00AA4BF8">
      <w:pPr>
        <w:spacing w:line="360" w:lineRule="auto"/>
        <w:ind w:left="567" w:right="90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 xml:space="preserve">Acto impugnado. </w:t>
      </w:r>
      <w:r w:rsidRPr="002C5B71">
        <w:rPr>
          <w:rFonts w:ascii="Palatino Linotype" w:eastAsia="Palatino Linotype" w:hAnsi="Palatino Linotype" w:cs="Palatino Linotype"/>
          <w:i/>
          <w:sz w:val="22"/>
          <w:szCs w:val="22"/>
        </w:rPr>
        <w:t xml:space="preserve">“no se envía la información que se pidió así como evaden la responsabilidad de dar la información requerida, de igual forma solicito saber </w:t>
      </w:r>
      <w:proofErr w:type="spellStart"/>
      <w:r w:rsidRPr="002C5B71">
        <w:rPr>
          <w:rFonts w:ascii="Palatino Linotype" w:eastAsia="Palatino Linotype" w:hAnsi="Palatino Linotype" w:cs="Palatino Linotype"/>
          <w:i/>
          <w:sz w:val="22"/>
          <w:szCs w:val="22"/>
        </w:rPr>
        <w:t>quien</w:t>
      </w:r>
      <w:proofErr w:type="spellEnd"/>
      <w:r w:rsidRPr="002C5B71">
        <w:rPr>
          <w:rFonts w:ascii="Palatino Linotype" w:eastAsia="Palatino Linotype" w:hAnsi="Palatino Linotype" w:cs="Palatino Linotype"/>
          <w:i/>
          <w:sz w:val="22"/>
          <w:szCs w:val="22"/>
        </w:rPr>
        <w:t xml:space="preserve"> es el sujeto habilitado de esa área que contestas ya que contesta otro servidor </w:t>
      </w:r>
      <w:proofErr w:type="spellStart"/>
      <w:r w:rsidRPr="002C5B71">
        <w:rPr>
          <w:rFonts w:ascii="Palatino Linotype" w:eastAsia="Palatino Linotype" w:hAnsi="Palatino Linotype" w:cs="Palatino Linotype"/>
          <w:i/>
          <w:sz w:val="22"/>
          <w:szCs w:val="22"/>
        </w:rPr>
        <w:t>Publico</w:t>
      </w:r>
      <w:proofErr w:type="spellEnd"/>
      <w:r w:rsidRPr="002C5B71">
        <w:rPr>
          <w:rFonts w:ascii="Palatino Linotype" w:eastAsia="Palatino Linotype" w:hAnsi="Palatino Linotype" w:cs="Palatino Linotype"/>
          <w:i/>
          <w:sz w:val="22"/>
          <w:szCs w:val="22"/>
        </w:rPr>
        <w:t xml:space="preserve">”. </w:t>
      </w:r>
    </w:p>
    <w:p w14:paraId="7A0C0F9A" w14:textId="77777777" w:rsidR="001B45B9" w:rsidRPr="002C5B71" w:rsidRDefault="001B45B9">
      <w:pPr>
        <w:spacing w:line="360" w:lineRule="auto"/>
        <w:ind w:left="567" w:right="900"/>
        <w:jc w:val="both"/>
        <w:rPr>
          <w:rFonts w:ascii="Palatino Linotype" w:eastAsia="Palatino Linotype" w:hAnsi="Palatino Linotype" w:cs="Palatino Linotype"/>
          <w:b/>
          <w:sz w:val="22"/>
          <w:szCs w:val="22"/>
        </w:rPr>
      </w:pPr>
    </w:p>
    <w:p w14:paraId="3BBF8FB1" w14:textId="77777777" w:rsidR="001B45B9" w:rsidRPr="002C5B71" w:rsidRDefault="00AA4BF8">
      <w:pPr>
        <w:spacing w:line="360" w:lineRule="auto"/>
        <w:ind w:left="567" w:right="900"/>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sz w:val="22"/>
          <w:szCs w:val="22"/>
        </w:rPr>
        <w:t xml:space="preserve">Motivos de inconformidad. </w:t>
      </w:r>
      <w:r w:rsidRPr="002C5B71">
        <w:rPr>
          <w:rFonts w:ascii="Palatino Linotype" w:eastAsia="Palatino Linotype" w:hAnsi="Palatino Linotype" w:cs="Palatino Linotype"/>
          <w:b/>
          <w:i/>
          <w:sz w:val="22"/>
          <w:szCs w:val="22"/>
        </w:rPr>
        <w:t>“</w:t>
      </w:r>
      <w:r w:rsidRPr="002C5B71">
        <w:rPr>
          <w:rFonts w:ascii="Palatino Linotype" w:eastAsia="Palatino Linotype" w:hAnsi="Palatino Linotype" w:cs="Palatino Linotype"/>
          <w:i/>
          <w:sz w:val="22"/>
          <w:szCs w:val="22"/>
        </w:rPr>
        <w:t xml:space="preserve">no se envía la información que se pidió así como evaden la responsabilidad de dar la información requerida, de igual forma solicito saber </w:t>
      </w:r>
      <w:proofErr w:type="spellStart"/>
      <w:r w:rsidRPr="002C5B71">
        <w:rPr>
          <w:rFonts w:ascii="Palatino Linotype" w:eastAsia="Palatino Linotype" w:hAnsi="Palatino Linotype" w:cs="Palatino Linotype"/>
          <w:i/>
          <w:sz w:val="22"/>
          <w:szCs w:val="22"/>
        </w:rPr>
        <w:t>quien</w:t>
      </w:r>
      <w:proofErr w:type="spellEnd"/>
      <w:r w:rsidRPr="002C5B71">
        <w:rPr>
          <w:rFonts w:ascii="Palatino Linotype" w:eastAsia="Palatino Linotype" w:hAnsi="Palatino Linotype" w:cs="Palatino Linotype"/>
          <w:i/>
          <w:sz w:val="22"/>
          <w:szCs w:val="22"/>
        </w:rPr>
        <w:t xml:space="preserve"> es el sujeto habilitado de esa área que contestas ya que contesta otro servidor </w:t>
      </w:r>
      <w:proofErr w:type="spellStart"/>
      <w:r w:rsidRPr="002C5B71">
        <w:rPr>
          <w:rFonts w:ascii="Palatino Linotype" w:eastAsia="Palatino Linotype" w:hAnsi="Palatino Linotype" w:cs="Palatino Linotype"/>
          <w:i/>
          <w:sz w:val="22"/>
          <w:szCs w:val="22"/>
        </w:rPr>
        <w:t>Publico</w:t>
      </w:r>
      <w:proofErr w:type="spellEnd"/>
      <w:r w:rsidRPr="002C5B71">
        <w:rPr>
          <w:rFonts w:ascii="Palatino Linotype" w:eastAsia="Palatino Linotype" w:hAnsi="Palatino Linotype" w:cs="Palatino Linotype"/>
          <w:b/>
          <w:i/>
          <w:sz w:val="22"/>
          <w:szCs w:val="22"/>
        </w:rPr>
        <w:t>”</w:t>
      </w:r>
      <w:r w:rsidRPr="002C5B71">
        <w:rPr>
          <w:rFonts w:ascii="Palatino Linotype" w:eastAsia="Palatino Linotype" w:hAnsi="Palatino Linotype" w:cs="Palatino Linotype"/>
          <w:i/>
          <w:sz w:val="22"/>
          <w:szCs w:val="22"/>
        </w:rPr>
        <w:t>.</w:t>
      </w:r>
    </w:p>
    <w:p w14:paraId="3EF83FCF" w14:textId="77777777" w:rsidR="001B45B9" w:rsidRPr="002C5B71" w:rsidRDefault="001B45B9">
      <w:pPr>
        <w:spacing w:line="360" w:lineRule="auto"/>
        <w:ind w:left="567" w:right="900"/>
        <w:jc w:val="both"/>
        <w:rPr>
          <w:rFonts w:ascii="Palatino Linotype" w:eastAsia="Palatino Linotype" w:hAnsi="Palatino Linotype" w:cs="Palatino Linotype"/>
          <w:i/>
          <w:sz w:val="22"/>
          <w:szCs w:val="22"/>
        </w:rPr>
      </w:pPr>
    </w:p>
    <w:p w14:paraId="54B4BF1D" w14:textId="77777777" w:rsidR="001B45B9" w:rsidRPr="002C5B71" w:rsidRDefault="00AA4BF8">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 xml:space="preserve">Turno. </w:t>
      </w:r>
      <w:r w:rsidRPr="002C5B7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2C5B71">
        <w:rPr>
          <w:rFonts w:ascii="Palatino Linotype" w:eastAsia="Palatino Linotype" w:hAnsi="Palatino Linotype" w:cs="Palatino Linotype"/>
          <w:b/>
          <w:sz w:val="22"/>
          <w:szCs w:val="22"/>
        </w:rPr>
        <w:t>05079/INFOEM/IP/RR/2024</w:t>
      </w:r>
      <w:r w:rsidRPr="002C5B71">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2C5B71">
        <w:rPr>
          <w:rFonts w:ascii="Palatino Linotype" w:eastAsia="Palatino Linotype" w:hAnsi="Palatino Linotype" w:cs="Palatino Linotype"/>
          <w:b/>
          <w:sz w:val="22"/>
          <w:szCs w:val="22"/>
        </w:rPr>
        <w:t>Guadalupe Ramírez Peña</w:t>
      </w:r>
      <w:r w:rsidRPr="002C5B71">
        <w:rPr>
          <w:rFonts w:ascii="Palatino Linotype" w:eastAsia="Palatino Linotype" w:hAnsi="Palatino Linotype" w:cs="Palatino Linotype"/>
          <w:sz w:val="22"/>
          <w:szCs w:val="22"/>
        </w:rPr>
        <w:t>, para su análisis, estudio, elaboración del proyecto y presentación ante el Pleno de este Instituto.</w:t>
      </w:r>
    </w:p>
    <w:p w14:paraId="3514B059" w14:textId="77777777" w:rsidR="001B45B9" w:rsidRPr="002C5B71" w:rsidRDefault="001B45B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5BE26FD" w14:textId="77777777" w:rsidR="001B45B9" w:rsidRPr="002C5B71" w:rsidRDefault="00AA4BF8">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2C5B71">
        <w:rPr>
          <w:rFonts w:ascii="Palatino Linotype" w:eastAsia="Palatino Linotype" w:hAnsi="Palatino Linotype" w:cs="Palatino Linotype"/>
          <w:b/>
          <w:sz w:val="22"/>
          <w:szCs w:val="22"/>
        </w:rPr>
        <w:t xml:space="preserve">Admisión del recurso de revisión: </w:t>
      </w:r>
      <w:r w:rsidRPr="002C5B71">
        <w:rPr>
          <w:rFonts w:ascii="Palatino Linotype" w:eastAsia="Palatino Linotype" w:hAnsi="Palatino Linotype" w:cs="Palatino Linotype"/>
          <w:sz w:val="22"/>
          <w:szCs w:val="22"/>
        </w:rPr>
        <w:t xml:space="preserve">En fecha </w:t>
      </w:r>
      <w:r w:rsidRPr="002C5B71">
        <w:rPr>
          <w:rFonts w:ascii="Palatino Linotype" w:eastAsia="Palatino Linotype" w:hAnsi="Palatino Linotype" w:cs="Palatino Linotype"/>
          <w:b/>
          <w:sz w:val="22"/>
          <w:szCs w:val="22"/>
        </w:rPr>
        <w:t>veintisiete de agosto de dos mil veinticuatro</w:t>
      </w:r>
      <w:r w:rsidRPr="002C5B71">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w:t>
      </w:r>
      <w:r w:rsidRPr="002C5B71">
        <w:rPr>
          <w:rFonts w:ascii="Palatino Linotype" w:eastAsia="Palatino Linotype" w:hAnsi="Palatino Linotype" w:cs="Palatino Linotype"/>
          <w:sz w:val="22"/>
          <w:szCs w:val="22"/>
        </w:rPr>
        <w:lastRenderedPageBreak/>
        <w:t xml:space="preserve">que a su derecho resultara conveniente, ofrecieran pruebas, formularan alegatos y el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 xml:space="preserve"> presentara su informe justificado.</w:t>
      </w:r>
    </w:p>
    <w:p w14:paraId="1AEA9DE4" w14:textId="77777777" w:rsidR="001B45B9" w:rsidRPr="002C5B71" w:rsidRDefault="001B45B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5B7EF8C" w14:textId="77777777" w:rsidR="001B45B9" w:rsidRPr="002C5B71" w:rsidRDefault="00AA4BF8">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Manifestaciones</w:t>
      </w:r>
      <w:r w:rsidRPr="002C5B71">
        <w:rPr>
          <w:rFonts w:ascii="Palatino Linotype" w:eastAsia="Palatino Linotype" w:hAnsi="Palatino Linotype" w:cs="Palatino Linotype"/>
          <w:sz w:val="22"/>
          <w:szCs w:val="22"/>
        </w:rPr>
        <w:t>: Las partes fueron omisas en realizar manifestaciones.</w:t>
      </w:r>
    </w:p>
    <w:p w14:paraId="6C6D9EC8" w14:textId="77777777" w:rsidR="001B45B9" w:rsidRPr="002C5B71" w:rsidRDefault="001B45B9">
      <w:pPr>
        <w:pBdr>
          <w:top w:val="nil"/>
          <w:left w:val="nil"/>
          <w:bottom w:val="nil"/>
          <w:right w:val="nil"/>
          <w:between w:val="nil"/>
        </w:pBdr>
        <w:ind w:left="708"/>
        <w:rPr>
          <w:rFonts w:ascii="Palatino Linotype" w:eastAsia="Palatino Linotype" w:hAnsi="Palatino Linotype" w:cs="Palatino Linotype"/>
          <w:sz w:val="22"/>
          <w:szCs w:val="22"/>
        </w:rPr>
      </w:pPr>
    </w:p>
    <w:p w14:paraId="44713F17" w14:textId="77777777" w:rsidR="001B45B9" w:rsidRPr="002C5B71" w:rsidRDefault="00AA4BF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noProof/>
          <w:sz w:val="22"/>
          <w:szCs w:val="22"/>
          <w:lang w:val="es-MX" w:eastAsia="es-MX"/>
        </w:rPr>
        <w:drawing>
          <wp:inline distT="0" distB="0" distL="0" distR="0" wp14:anchorId="1FF1C22F" wp14:editId="18B33ACD">
            <wp:extent cx="5612130" cy="1835150"/>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835150"/>
                    </a:xfrm>
                    <a:prstGeom prst="rect">
                      <a:avLst/>
                    </a:prstGeom>
                    <a:ln/>
                  </pic:spPr>
                </pic:pic>
              </a:graphicData>
            </a:graphic>
          </wp:inline>
        </w:drawing>
      </w:r>
    </w:p>
    <w:p w14:paraId="478E2681" w14:textId="77777777" w:rsidR="001B45B9" w:rsidRPr="002C5B71" w:rsidRDefault="00AA4BF8">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 xml:space="preserve">Cierre de instrucción. </w:t>
      </w:r>
      <w:r w:rsidRPr="002C5B71">
        <w:rPr>
          <w:rFonts w:ascii="Palatino Linotype" w:eastAsia="Palatino Linotype" w:hAnsi="Palatino Linotype" w:cs="Palatino Linotype"/>
          <w:sz w:val="22"/>
          <w:szCs w:val="22"/>
        </w:rPr>
        <w:t xml:space="preserve">El </w:t>
      </w:r>
      <w:r w:rsidRPr="002C5B71">
        <w:rPr>
          <w:rFonts w:ascii="Palatino Linotype" w:eastAsia="Palatino Linotype" w:hAnsi="Palatino Linotype" w:cs="Palatino Linotype"/>
          <w:b/>
          <w:sz w:val="22"/>
          <w:szCs w:val="22"/>
        </w:rPr>
        <w:t>seis de septiembre de dos mil veinticuatro</w:t>
      </w:r>
      <w:r w:rsidRPr="002C5B71">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367F1D7" w14:textId="77777777" w:rsidR="001B45B9" w:rsidRPr="002C5B71" w:rsidRDefault="001B45B9">
      <w:pPr>
        <w:pBdr>
          <w:top w:val="nil"/>
          <w:left w:val="nil"/>
          <w:bottom w:val="nil"/>
          <w:right w:val="nil"/>
          <w:between w:val="nil"/>
        </w:pBdr>
        <w:ind w:left="708"/>
        <w:rPr>
          <w:rFonts w:ascii="Palatino Linotype" w:eastAsia="Palatino Linotype" w:hAnsi="Palatino Linotype" w:cs="Palatino Linotype"/>
          <w:sz w:val="22"/>
          <w:szCs w:val="22"/>
        </w:rPr>
      </w:pPr>
    </w:p>
    <w:p w14:paraId="35B589D1" w14:textId="77777777" w:rsidR="001B45B9" w:rsidRPr="002C5B71" w:rsidRDefault="00AA4BF8">
      <w:pPr>
        <w:numPr>
          <w:ilvl w:val="0"/>
          <w:numId w:val="4"/>
        </w:numPr>
        <w:pBdr>
          <w:top w:val="nil"/>
          <w:left w:val="nil"/>
          <w:bottom w:val="nil"/>
          <w:right w:val="nil"/>
          <w:between w:val="nil"/>
        </w:pBdr>
        <w:tabs>
          <w:tab w:val="left" w:pos="360"/>
        </w:tabs>
        <w:spacing w:line="360" w:lineRule="auto"/>
        <w:ind w:left="0" w:right="49" w:firstLine="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Ampliación de plazo:</w:t>
      </w:r>
      <w:r w:rsidRPr="002C5B71">
        <w:rPr>
          <w:rFonts w:ascii="Palatino Linotype" w:eastAsia="Palatino Linotype" w:hAnsi="Palatino Linotype" w:cs="Palatino Linotype"/>
          <w:sz w:val="22"/>
          <w:szCs w:val="22"/>
        </w:rPr>
        <w:t xml:space="preserve"> El </w:t>
      </w:r>
      <w:r w:rsidRPr="002C5B71">
        <w:rPr>
          <w:rFonts w:ascii="Palatino Linotype" w:eastAsia="Palatino Linotype" w:hAnsi="Palatino Linotype" w:cs="Palatino Linotype"/>
          <w:b/>
          <w:sz w:val="22"/>
          <w:szCs w:val="22"/>
        </w:rPr>
        <w:t>quince de octubre de dos mil veinticuatro</w:t>
      </w:r>
      <w:r w:rsidRPr="002C5B71">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1074E00F" w14:textId="77777777" w:rsidR="001B45B9" w:rsidRPr="002C5B71" w:rsidRDefault="001B45B9">
      <w:pPr>
        <w:pBdr>
          <w:top w:val="nil"/>
          <w:left w:val="nil"/>
          <w:bottom w:val="nil"/>
          <w:right w:val="nil"/>
          <w:between w:val="nil"/>
        </w:pBdr>
        <w:ind w:left="708"/>
        <w:rPr>
          <w:rFonts w:ascii="Palatino Linotype" w:eastAsia="Palatino Linotype" w:hAnsi="Palatino Linotype" w:cs="Palatino Linotype"/>
          <w:b/>
          <w:sz w:val="22"/>
          <w:szCs w:val="22"/>
        </w:rPr>
      </w:pPr>
    </w:p>
    <w:p w14:paraId="6EC45DB6"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E4C0D25"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46A1325C"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3115DF3F"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2F2235FA" w14:textId="77777777" w:rsidR="001B45B9" w:rsidRPr="002C5B71" w:rsidRDefault="00AA4BF8">
      <w:pPr>
        <w:numPr>
          <w:ilvl w:val="0"/>
          <w:numId w:val="5"/>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2C5B71">
        <w:rPr>
          <w:rFonts w:ascii="Palatino Linotype" w:eastAsia="Palatino Linotype" w:hAnsi="Palatino Linotype" w:cs="Palatino Linotype"/>
          <w:b/>
          <w:sz w:val="22"/>
          <w:szCs w:val="22"/>
        </w:rPr>
        <w:t>C O N S I D E R A N D O:</w:t>
      </w:r>
    </w:p>
    <w:p w14:paraId="4E7D733D" w14:textId="77777777" w:rsidR="001B45B9" w:rsidRPr="002C5B71" w:rsidRDefault="001B45B9">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DBAC693"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 xml:space="preserve">Primero. Competencia. </w:t>
      </w:r>
      <w:r w:rsidRPr="002C5B71">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160BFF5" w14:textId="77777777" w:rsidR="001B45B9" w:rsidRPr="002C5B71" w:rsidRDefault="001B45B9">
      <w:pPr>
        <w:spacing w:line="360" w:lineRule="auto"/>
        <w:jc w:val="both"/>
        <w:rPr>
          <w:rFonts w:ascii="Palatino Linotype" w:eastAsia="Palatino Linotype" w:hAnsi="Palatino Linotype" w:cs="Palatino Linotype"/>
          <w:b/>
          <w:sz w:val="22"/>
          <w:szCs w:val="22"/>
        </w:rPr>
      </w:pPr>
    </w:p>
    <w:p w14:paraId="37B0E994"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Segundo. Oportunidad y Procedibilidad del Recurso de Revisión</w:t>
      </w:r>
      <w:r w:rsidRPr="002C5B7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8FDA8DC"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5643CE72" w14:textId="77777777" w:rsidR="001B45B9" w:rsidRPr="002C5B71" w:rsidRDefault="00AA4BF8">
      <w:pPr>
        <w:spacing w:line="360" w:lineRule="auto"/>
        <w:ind w:right="49"/>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 xml:space="preserve"> proporcionó su respuesta a la solicitud de información el </w:t>
      </w:r>
      <w:r w:rsidRPr="002C5B71">
        <w:rPr>
          <w:rFonts w:ascii="Palatino Linotype" w:eastAsia="Palatino Linotype" w:hAnsi="Palatino Linotype" w:cs="Palatino Linotype"/>
          <w:b/>
          <w:sz w:val="22"/>
          <w:szCs w:val="22"/>
        </w:rPr>
        <w:t>veinte de agosto de dos mil veinticuatro</w:t>
      </w:r>
      <w:r w:rsidRPr="002C5B71">
        <w:rPr>
          <w:rFonts w:ascii="Palatino Linotype" w:eastAsia="Palatino Linotype" w:hAnsi="Palatino Linotype" w:cs="Palatino Linotype"/>
          <w:sz w:val="22"/>
          <w:szCs w:val="22"/>
        </w:rPr>
        <w:t xml:space="preserve">, y la parte </w:t>
      </w:r>
      <w:r w:rsidRPr="002C5B71">
        <w:rPr>
          <w:rFonts w:ascii="Palatino Linotype" w:eastAsia="Palatino Linotype" w:hAnsi="Palatino Linotype" w:cs="Palatino Linotype"/>
          <w:b/>
          <w:sz w:val="22"/>
          <w:szCs w:val="22"/>
        </w:rPr>
        <w:t>RECURRENTE</w:t>
      </w:r>
      <w:r w:rsidRPr="002C5B71">
        <w:rPr>
          <w:rFonts w:ascii="Palatino Linotype" w:eastAsia="Palatino Linotype" w:hAnsi="Palatino Linotype" w:cs="Palatino Linotype"/>
          <w:sz w:val="22"/>
          <w:szCs w:val="22"/>
        </w:rPr>
        <w:t xml:space="preserve"> presentó su recurso de revisión el </w:t>
      </w:r>
      <w:r w:rsidRPr="002C5B71">
        <w:rPr>
          <w:rFonts w:ascii="Palatino Linotype" w:eastAsia="Palatino Linotype" w:hAnsi="Palatino Linotype" w:cs="Palatino Linotype"/>
          <w:b/>
          <w:sz w:val="22"/>
          <w:szCs w:val="22"/>
        </w:rPr>
        <w:t>veintidós de agosto de dos mil veinticuatro</w:t>
      </w:r>
      <w:r w:rsidRPr="002C5B71">
        <w:rPr>
          <w:rFonts w:ascii="Palatino Linotype" w:eastAsia="Palatino Linotype" w:hAnsi="Palatino Linotype" w:cs="Palatino Linotype"/>
          <w:sz w:val="22"/>
          <w:szCs w:val="22"/>
        </w:rPr>
        <w:t xml:space="preserve">, es decir, al segundo día hábil, por lo que se encuentra dentro de los márgenes temporales previstos para tal efecto. </w:t>
      </w:r>
    </w:p>
    <w:p w14:paraId="0253D30B"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64D4087D"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355685CB" w14:textId="77777777" w:rsidR="001B45B9" w:rsidRPr="002C5B71" w:rsidRDefault="00AA4BF8">
      <w:pPr>
        <w:spacing w:before="240" w:after="240"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A efecto de sustentar lo anterior, es de suma importancia mencionar que si bien la persona solicitante</w:t>
      </w:r>
      <w:r w:rsidRPr="002C5B71">
        <w:rPr>
          <w:rFonts w:ascii="Palatino Linotype" w:eastAsia="Palatino Linotype" w:hAnsi="Palatino Linotype" w:cs="Palatino Linotype"/>
          <w:b/>
          <w:sz w:val="22"/>
          <w:szCs w:val="22"/>
        </w:rPr>
        <w:t xml:space="preserve"> no proporcionó nombre, </w:t>
      </w:r>
      <w:r w:rsidRPr="002C5B71">
        <w:rPr>
          <w:rFonts w:ascii="Palatino Linotype" w:eastAsia="Palatino Linotype" w:hAnsi="Palatino Linotype" w:cs="Palatino Linotype"/>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3579A2E" w14:textId="77777777" w:rsidR="001B45B9" w:rsidRPr="002C5B71" w:rsidRDefault="00AA4BF8">
      <w:pPr>
        <w:spacing w:before="120" w:after="120"/>
        <w:ind w:left="851" w:right="902"/>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i/>
          <w:sz w:val="22"/>
          <w:szCs w:val="22"/>
        </w:rPr>
        <w:t>"</w:t>
      </w:r>
      <w:r w:rsidRPr="002C5B71">
        <w:rPr>
          <w:rFonts w:ascii="Palatino Linotype" w:eastAsia="Palatino Linotype" w:hAnsi="Palatino Linotype" w:cs="Palatino Linotype"/>
          <w:b/>
          <w:i/>
          <w:sz w:val="22"/>
          <w:szCs w:val="22"/>
        </w:rPr>
        <w:t>Las solicitudes anónimas</w:t>
      </w:r>
      <w:r w:rsidRPr="002C5B71">
        <w:rPr>
          <w:rFonts w:ascii="Palatino Linotype" w:eastAsia="Palatino Linotype" w:hAnsi="Palatino Linotype" w:cs="Palatino Linotype"/>
          <w:i/>
          <w:sz w:val="22"/>
          <w:szCs w:val="22"/>
        </w:rPr>
        <w:t xml:space="preserve">, con nombre incompleto o seudónimo </w:t>
      </w:r>
      <w:r w:rsidRPr="002C5B71">
        <w:rPr>
          <w:rFonts w:ascii="Palatino Linotype" w:eastAsia="Palatino Linotype" w:hAnsi="Palatino Linotype" w:cs="Palatino Linotype"/>
          <w:b/>
          <w:i/>
          <w:sz w:val="22"/>
          <w:szCs w:val="22"/>
        </w:rPr>
        <w:t>serán procedentes para su trámite por parte del sujeto obligado ante quien se presente</w:t>
      </w:r>
      <w:r w:rsidRPr="002C5B71">
        <w:rPr>
          <w:rFonts w:ascii="Palatino Linotype" w:eastAsia="Palatino Linotype" w:hAnsi="Palatino Linotype" w:cs="Palatino Linotype"/>
          <w:i/>
          <w:sz w:val="22"/>
          <w:szCs w:val="22"/>
        </w:rPr>
        <w:t>. No podrá requerirse información adicional con motivo del nombre proporcionado por el solicitante."</w:t>
      </w:r>
    </w:p>
    <w:p w14:paraId="62C2C3F4" w14:textId="77777777" w:rsidR="001B45B9" w:rsidRPr="002C5B71" w:rsidRDefault="00AA4BF8">
      <w:pPr>
        <w:spacing w:before="240" w:after="240"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2C5B71">
        <w:rPr>
          <w:rFonts w:ascii="Palatino Linotype" w:eastAsia="Palatino Linotype" w:hAnsi="Palatino Linotype" w:cs="Palatino Linotype"/>
          <w:b/>
          <w:sz w:val="22"/>
          <w:szCs w:val="22"/>
        </w:rPr>
        <w:t>Recurrente</w:t>
      </w:r>
      <w:r w:rsidRPr="002C5B71">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64E46166"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En ese sentido, resulta procedente la interposición del recurso de revisión al rubro anotado, toda vez que se actualiza la hipótesis prevista en el artículo 179, fracción I de la ley de la materia, que a la letra dice:</w:t>
      </w:r>
    </w:p>
    <w:p w14:paraId="28796644"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5454FADF"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lastRenderedPageBreak/>
        <w:t>“</w:t>
      </w:r>
      <w:r w:rsidRPr="002C5B71">
        <w:rPr>
          <w:rFonts w:ascii="Palatino Linotype" w:eastAsia="Palatino Linotype" w:hAnsi="Palatino Linotype" w:cs="Palatino Linotype"/>
          <w:b/>
          <w:i/>
          <w:sz w:val="22"/>
          <w:szCs w:val="22"/>
        </w:rPr>
        <w:t xml:space="preserve">Artículo 179. </w:t>
      </w:r>
      <w:r w:rsidRPr="002C5B7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B291161"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518CA44F"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I. Negativa de la información solicitada; </w:t>
      </w:r>
    </w:p>
    <w:p w14:paraId="1B883E06"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54C01F0E" w14:textId="77777777" w:rsidR="001B45B9" w:rsidRPr="002C5B71" w:rsidRDefault="00AA4BF8">
      <w:pPr>
        <w:spacing w:before="240" w:after="240"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 xml:space="preserve">Tercero. Materia de la revisión. </w:t>
      </w:r>
      <w:r w:rsidRPr="002C5B71">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2C5B71">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2C5B71">
        <w:rPr>
          <w:rFonts w:ascii="Palatino Linotype" w:eastAsia="Palatino Linotype" w:hAnsi="Palatino Linotype" w:cs="Palatino Linotype"/>
          <w:sz w:val="22"/>
          <w:szCs w:val="22"/>
        </w:rPr>
        <w:t xml:space="preserve">de la parte </w:t>
      </w:r>
      <w:r w:rsidRPr="002C5B71">
        <w:rPr>
          <w:rFonts w:ascii="Palatino Linotype" w:eastAsia="Palatino Linotype" w:hAnsi="Palatino Linotype" w:cs="Palatino Linotype"/>
          <w:b/>
          <w:sz w:val="22"/>
          <w:szCs w:val="22"/>
        </w:rPr>
        <w:t>Recurrente</w:t>
      </w:r>
      <w:r w:rsidRPr="002C5B71">
        <w:rPr>
          <w:rFonts w:ascii="Palatino Linotype" w:eastAsia="Palatino Linotype" w:hAnsi="Palatino Linotype" w:cs="Palatino Linotype"/>
          <w:sz w:val="22"/>
          <w:szCs w:val="22"/>
        </w:rPr>
        <w:t>, o en su defecto, en caso de ser procedente, ordenar la entrega de información.</w:t>
      </w:r>
    </w:p>
    <w:p w14:paraId="697442BC"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 xml:space="preserve">Cuarto. Estudio del asunto. </w:t>
      </w:r>
      <w:r w:rsidRPr="002C5B71">
        <w:rPr>
          <w:rFonts w:ascii="Palatino Linotype" w:eastAsia="Palatino Linotype" w:hAnsi="Palatino Linotype" w:cs="Palatino Linotype"/>
          <w:sz w:val="22"/>
          <w:szCs w:val="22"/>
        </w:rPr>
        <w:t xml:space="preserve">En principio, es conveniente analizar si la respuesta como el informe justificado del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C3120A8"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73BE9842"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r w:rsidRPr="002C5B71">
        <w:rPr>
          <w:rFonts w:ascii="Palatino Linotype" w:eastAsia="Palatino Linotype" w:hAnsi="Palatino Linotype" w:cs="Palatino Linotype"/>
          <w:b/>
          <w:i/>
          <w:sz w:val="22"/>
          <w:szCs w:val="22"/>
        </w:rPr>
        <w:t>Artículo 4</w:t>
      </w:r>
      <w:r w:rsidRPr="002C5B7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1E403E6"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2C5B7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3768C5C"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C5B71">
        <w:rPr>
          <w:rFonts w:ascii="Palatino Linotype" w:eastAsia="Palatino Linotype" w:hAnsi="Palatino Linotype" w:cs="Palatino Linotype"/>
          <w:i/>
          <w:sz w:val="22"/>
          <w:szCs w:val="22"/>
        </w:rPr>
        <w:t>.”</w:t>
      </w:r>
    </w:p>
    <w:p w14:paraId="05F37E5E"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69438090"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DA7F8CA"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10004D7B"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“Artículo 12.-</w:t>
      </w:r>
      <w:r w:rsidRPr="002C5B7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6A910F7" w14:textId="77777777" w:rsidR="001B45B9" w:rsidRPr="002C5B71" w:rsidRDefault="001B45B9">
      <w:pPr>
        <w:spacing w:line="360" w:lineRule="auto"/>
        <w:ind w:left="567" w:right="616"/>
        <w:jc w:val="both"/>
        <w:rPr>
          <w:rFonts w:ascii="Palatino Linotype" w:eastAsia="Palatino Linotype" w:hAnsi="Palatino Linotype" w:cs="Palatino Linotype"/>
          <w:i/>
          <w:sz w:val="22"/>
          <w:szCs w:val="22"/>
        </w:rPr>
      </w:pPr>
    </w:p>
    <w:p w14:paraId="4EFCD727"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4D6E415" w14:textId="77777777" w:rsidR="001B45B9" w:rsidRPr="002C5B71" w:rsidRDefault="001B45B9">
      <w:pPr>
        <w:spacing w:line="360" w:lineRule="auto"/>
        <w:ind w:right="-93"/>
        <w:jc w:val="both"/>
        <w:rPr>
          <w:rFonts w:ascii="Palatino Linotype" w:eastAsia="Palatino Linotype" w:hAnsi="Palatino Linotype" w:cs="Palatino Linotype"/>
          <w:sz w:val="22"/>
          <w:szCs w:val="22"/>
        </w:rPr>
      </w:pPr>
    </w:p>
    <w:p w14:paraId="52F8EF91" w14:textId="77777777" w:rsidR="001B45B9" w:rsidRPr="002C5B71" w:rsidRDefault="00AA4BF8">
      <w:pPr>
        <w:spacing w:line="360" w:lineRule="auto"/>
        <w:ind w:right="-93"/>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330B63C5" w14:textId="77777777" w:rsidR="001B45B9" w:rsidRPr="002C5B71" w:rsidRDefault="001B45B9">
      <w:pPr>
        <w:spacing w:line="360" w:lineRule="auto"/>
        <w:ind w:right="-93"/>
        <w:jc w:val="both"/>
        <w:rPr>
          <w:rFonts w:ascii="Palatino Linotype" w:eastAsia="Palatino Linotype" w:hAnsi="Palatino Linotype" w:cs="Palatino Linotype"/>
          <w:sz w:val="22"/>
          <w:szCs w:val="22"/>
        </w:rPr>
      </w:pPr>
    </w:p>
    <w:p w14:paraId="56FF4B17" w14:textId="77777777" w:rsidR="001B45B9" w:rsidRPr="002C5B71" w:rsidRDefault="00AA4BF8">
      <w:pPr>
        <w:spacing w:line="360" w:lineRule="auto"/>
        <w:ind w:right="-93"/>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2C5B71">
        <w:rPr>
          <w:rFonts w:ascii="Palatino Linotype" w:eastAsia="Palatino Linotype" w:hAnsi="Palatino Linotype" w:cs="Palatino Linotype"/>
          <w:b/>
          <w:sz w:val="22"/>
          <w:szCs w:val="22"/>
        </w:rPr>
        <w:t xml:space="preserve"> </w:t>
      </w:r>
    </w:p>
    <w:p w14:paraId="1AF098FC" w14:textId="77777777" w:rsidR="001B45B9" w:rsidRPr="002C5B71" w:rsidRDefault="001B45B9">
      <w:pPr>
        <w:spacing w:line="360" w:lineRule="auto"/>
        <w:jc w:val="both"/>
        <w:rPr>
          <w:rFonts w:ascii="Palatino Linotype" w:eastAsia="Palatino Linotype" w:hAnsi="Palatino Linotype" w:cs="Palatino Linotype"/>
          <w:b/>
          <w:sz w:val="22"/>
          <w:szCs w:val="22"/>
        </w:rPr>
      </w:pPr>
    </w:p>
    <w:p w14:paraId="1B29B70B"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r w:rsidRPr="002C5B71">
        <w:rPr>
          <w:rFonts w:ascii="Palatino Linotype" w:eastAsia="Palatino Linotype" w:hAnsi="Palatino Linotype" w:cs="Palatino Linotype"/>
          <w:b/>
          <w:i/>
          <w:sz w:val="22"/>
          <w:szCs w:val="22"/>
        </w:rPr>
        <w:t>No existe obligación de elaborar documentos ad hoc para atender las solicitudes de acceso a la información.</w:t>
      </w:r>
      <w:r w:rsidRPr="002C5B7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w:t>
      </w:r>
      <w:r w:rsidRPr="002C5B71">
        <w:rPr>
          <w:rFonts w:ascii="Palatino Linotype" w:eastAsia="Palatino Linotype" w:hAnsi="Palatino Linotype" w:cs="Palatino Linotype"/>
          <w:i/>
          <w:sz w:val="22"/>
          <w:szCs w:val="22"/>
        </w:rPr>
        <w:lastRenderedPageBreak/>
        <w:t xml:space="preserve">información del particular, proporcionando la información con la que cuentan en el formato en que la misma obre en sus archivos; sin necesidad de elaborar documentos ad hoc para atender las solicitudes de información”. </w:t>
      </w:r>
    </w:p>
    <w:p w14:paraId="2A5FDD04" w14:textId="77777777" w:rsidR="001B45B9" w:rsidRPr="002C5B71" w:rsidRDefault="001B45B9">
      <w:pPr>
        <w:spacing w:line="360" w:lineRule="auto"/>
        <w:ind w:right="-93"/>
        <w:jc w:val="both"/>
        <w:rPr>
          <w:rFonts w:ascii="Palatino Linotype" w:eastAsia="Palatino Linotype" w:hAnsi="Palatino Linotype" w:cs="Palatino Linotype"/>
          <w:sz w:val="22"/>
          <w:szCs w:val="22"/>
        </w:rPr>
      </w:pPr>
    </w:p>
    <w:p w14:paraId="3AAEA8E3"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991DC69"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4BC1A114" w14:textId="77777777" w:rsidR="001B45B9" w:rsidRPr="002C5B71" w:rsidRDefault="00AA4BF8">
      <w:pPr>
        <w:spacing w:line="360" w:lineRule="auto"/>
        <w:ind w:right="49"/>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E4D5C8C" w14:textId="77777777" w:rsidR="001B45B9" w:rsidRPr="002C5B71" w:rsidRDefault="001B45B9">
      <w:pPr>
        <w:spacing w:line="360" w:lineRule="auto"/>
        <w:ind w:right="49"/>
        <w:jc w:val="both"/>
        <w:rPr>
          <w:rFonts w:ascii="Palatino Linotype" w:eastAsia="Palatino Linotype" w:hAnsi="Palatino Linotype" w:cs="Palatino Linotype"/>
          <w:sz w:val="22"/>
          <w:szCs w:val="22"/>
        </w:rPr>
      </w:pPr>
    </w:p>
    <w:p w14:paraId="58E4505B"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9EBA9AB" w14:textId="77777777" w:rsidR="001B45B9" w:rsidRPr="002C5B71" w:rsidRDefault="001B45B9">
      <w:pPr>
        <w:spacing w:line="360" w:lineRule="auto"/>
        <w:ind w:left="567" w:right="616"/>
        <w:jc w:val="both"/>
        <w:rPr>
          <w:rFonts w:ascii="Palatino Linotype" w:eastAsia="Palatino Linotype" w:hAnsi="Palatino Linotype" w:cs="Palatino Linotype"/>
          <w:i/>
          <w:sz w:val="22"/>
          <w:szCs w:val="22"/>
        </w:rPr>
      </w:pPr>
    </w:p>
    <w:p w14:paraId="70D8F390"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lastRenderedPageBreak/>
        <w:t>“</w:t>
      </w:r>
      <w:r w:rsidRPr="002C5B71">
        <w:rPr>
          <w:rFonts w:ascii="Palatino Linotype" w:eastAsia="Palatino Linotype" w:hAnsi="Palatino Linotype" w:cs="Palatino Linotype"/>
          <w:b/>
          <w:i/>
          <w:sz w:val="22"/>
          <w:szCs w:val="22"/>
        </w:rPr>
        <w:t xml:space="preserve">Artículo 3. </w:t>
      </w:r>
      <w:r w:rsidRPr="002C5B71">
        <w:rPr>
          <w:rFonts w:ascii="Palatino Linotype" w:eastAsia="Palatino Linotype" w:hAnsi="Palatino Linotype" w:cs="Palatino Linotype"/>
          <w:i/>
          <w:sz w:val="22"/>
          <w:szCs w:val="22"/>
        </w:rPr>
        <w:t>Para los efectos de la presente Ley se entenderá por:</w:t>
      </w:r>
    </w:p>
    <w:p w14:paraId="4E04D179"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29E4FA08"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XI. Documento:</w:t>
      </w:r>
      <w:r w:rsidRPr="002C5B71">
        <w:rPr>
          <w:rFonts w:ascii="Palatino Linotype" w:eastAsia="Palatino Linotype" w:hAnsi="Palatino Linotype" w:cs="Palatino Linotype"/>
          <w:i/>
          <w:sz w:val="22"/>
          <w:szCs w:val="22"/>
        </w:rPr>
        <w:t xml:space="preserve"> Los expedientes, reportes, estudios, actas</w:t>
      </w:r>
      <w:r w:rsidRPr="002C5B71">
        <w:rPr>
          <w:rFonts w:ascii="Palatino Linotype" w:eastAsia="Palatino Linotype" w:hAnsi="Palatino Linotype" w:cs="Palatino Linotype"/>
          <w:b/>
          <w:i/>
          <w:sz w:val="22"/>
          <w:szCs w:val="22"/>
        </w:rPr>
        <w:t>,</w:t>
      </w:r>
      <w:r w:rsidRPr="002C5B7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058CE09" w14:textId="77777777" w:rsidR="001B45B9" w:rsidRPr="002C5B71" w:rsidRDefault="001B45B9">
      <w:pPr>
        <w:spacing w:line="360" w:lineRule="auto"/>
        <w:ind w:left="851" w:right="899"/>
        <w:jc w:val="both"/>
        <w:rPr>
          <w:rFonts w:ascii="Palatino Linotype" w:eastAsia="Palatino Linotype" w:hAnsi="Palatino Linotype" w:cs="Palatino Linotype"/>
          <w:sz w:val="22"/>
          <w:szCs w:val="22"/>
        </w:rPr>
      </w:pPr>
    </w:p>
    <w:p w14:paraId="79E513E5"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4393638"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01E1F045" w14:textId="77777777" w:rsidR="001B45B9" w:rsidRPr="002C5B71" w:rsidRDefault="00AA4BF8">
      <w:pP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sz w:val="22"/>
          <w:szCs w:val="22"/>
        </w:rPr>
        <w:t>“</w:t>
      </w:r>
      <w:r w:rsidRPr="002C5B71">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2C5B7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3CB2616"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380FB7A"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lastRenderedPageBreak/>
        <w:t>1) Que se trate de información registrada en cualquier soporte documental, que en ejercicio de las atribuciones conferidas, sea generada por los Sujetos Obligados;</w:t>
      </w:r>
    </w:p>
    <w:p w14:paraId="763C4DDC" w14:textId="77777777" w:rsidR="001B45B9" w:rsidRPr="002C5B71" w:rsidRDefault="00AA4BF8">
      <w:pP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0283E943" w14:textId="77777777" w:rsidR="001B45B9" w:rsidRPr="002C5B71" w:rsidRDefault="00AA4BF8">
      <w:pP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19985807" w14:textId="77777777" w:rsidR="001B45B9" w:rsidRPr="002C5B71" w:rsidRDefault="001B45B9">
      <w:pPr>
        <w:spacing w:line="360" w:lineRule="auto"/>
        <w:ind w:right="-93"/>
        <w:jc w:val="both"/>
        <w:rPr>
          <w:rFonts w:ascii="Palatino Linotype" w:eastAsia="Palatino Linotype" w:hAnsi="Palatino Linotype" w:cs="Palatino Linotype"/>
          <w:sz w:val="22"/>
          <w:szCs w:val="22"/>
        </w:rPr>
      </w:pPr>
    </w:p>
    <w:p w14:paraId="0475D03A" w14:textId="77777777" w:rsidR="001B45B9" w:rsidRPr="002C5B71" w:rsidRDefault="00AA4BF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Dicho lo anterior, se procede al análisis de los agravios hechos valer por la parte Recurrente que actualizan la causal de procedencia prevista en la fracción I del artículo 179 de la Ley de Transparencia y Acceso a la Información del Estado de México y Municipios, relativa a la negativa de la información solicitada.</w:t>
      </w:r>
    </w:p>
    <w:p w14:paraId="36C1F6B8" w14:textId="77777777" w:rsidR="001B45B9" w:rsidRPr="002C5B71" w:rsidRDefault="001B45B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A22CCC8" w14:textId="77777777" w:rsidR="001B45B9" w:rsidRPr="002C5B71" w:rsidRDefault="00AA4BF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En principio, resulta conveniente recordar que la pretensión del Recurrente es acceder a lo siguiente:</w:t>
      </w:r>
    </w:p>
    <w:p w14:paraId="3416E9A0" w14:textId="77777777" w:rsidR="001B45B9" w:rsidRPr="002C5B71" w:rsidRDefault="001B45B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E0D7836" w14:textId="77777777" w:rsidR="001B45B9" w:rsidRPr="002C5B71" w:rsidRDefault="00AA4BF8">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Acciones que toma la Institución y la Unidad de Género para afrontar las personas de la diversidad sexual en el ámbito laboral</w:t>
      </w:r>
    </w:p>
    <w:p w14:paraId="15C9AEB3" w14:textId="77777777" w:rsidR="001B45B9" w:rsidRPr="002C5B71" w:rsidRDefault="001B45B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53FBEE6"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El Sujeto Obligado refirió que se ejerció un derecho de petición, en razón de que corresponde a un cuestionamiento específico, lo cual no es atendible a través del derecho de acceso a la información pública. </w:t>
      </w:r>
    </w:p>
    <w:p w14:paraId="298B6E66"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651707CF" w14:textId="77777777" w:rsidR="001B45B9" w:rsidRPr="002C5B71" w:rsidRDefault="00AA4BF8">
      <w:pPr>
        <w:pBdr>
          <w:top w:val="nil"/>
          <w:left w:val="nil"/>
          <w:bottom w:val="nil"/>
          <w:right w:val="nil"/>
          <w:between w:val="nil"/>
        </w:pBdr>
        <w:spacing w:after="160"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Ante la manifestación que realizó el Sujeto Obligado, es necesario puntualizar que si bien es cierto, el Recurrente formuló su requerimiento a través de un cuestionamiento, también </w:t>
      </w:r>
      <w:r w:rsidRPr="002C5B71">
        <w:rPr>
          <w:rFonts w:ascii="Palatino Linotype" w:eastAsia="Palatino Linotype" w:hAnsi="Palatino Linotype" w:cs="Palatino Linotype"/>
          <w:sz w:val="22"/>
          <w:szCs w:val="22"/>
        </w:rPr>
        <w:lastRenderedPageBreak/>
        <w:t>lo es que no por ese simple hecho se debe restringir el derecho del particular bajo el argumento de que se trata de un derecho de petición. Lo anterior, encuentra su justificación en razón de que, para formular una solicitud de acceso a la información, no es necesario contar con un representante legal o un experto en la materia. Por el hecho de que los particulares pueden formular sus solicitudes por sí mismos, los sujetos obligados tienen la alta responsabilidad suplir cualquier deficiencia atribuible a los Recurrentes y, en los casos que no se señale un documento específico se deben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w:t>
      </w:r>
    </w:p>
    <w:p w14:paraId="3F93785A" w14:textId="77777777" w:rsidR="001B45B9" w:rsidRPr="002C5B71" w:rsidRDefault="00AA4BF8">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Como sustento a lo anterior resulta aplicable el Criterio 16/17, emitido por el Instituto Nacional de Transparencia, Acceso a la Información y Protección de Datos Personales, INAI, establece lo siguiente: </w:t>
      </w:r>
    </w:p>
    <w:p w14:paraId="177CDA9B" w14:textId="77777777" w:rsidR="001B45B9" w:rsidRPr="002C5B71" w:rsidRDefault="00AA4BF8">
      <w:pPr>
        <w:pBdr>
          <w:top w:val="nil"/>
          <w:left w:val="nil"/>
          <w:bottom w:val="nil"/>
          <w:right w:val="nil"/>
          <w:between w:val="nil"/>
        </w:pBdr>
        <w:ind w:left="851" w:right="900"/>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b/>
          <w:i/>
          <w:sz w:val="22"/>
          <w:szCs w:val="22"/>
        </w:rPr>
        <w:t>Expresión documental</w:t>
      </w:r>
      <w:r w:rsidRPr="002C5B71">
        <w:rPr>
          <w:rFonts w:ascii="Palatino Linotype" w:eastAsia="Palatino Linotype" w:hAnsi="Palatino Linotype" w:cs="Palatino Linotype"/>
          <w:i/>
          <w:sz w:val="22"/>
          <w:szCs w:val="22"/>
        </w:rPr>
        <w:t>.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2BDB31D8"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1313F487"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En consecuencia, no resulta procedente que el Sujeto Obligado determine que la solicitud no es procedente por corresponder a un derecho de petición, esto en razón de que al tratarse de acciones, puede encontrarse una expresión documental que se derive del ejercicio de sus funciones, atribuciones y competencias.</w:t>
      </w:r>
    </w:p>
    <w:p w14:paraId="7F989656"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1BCC6365"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0B0DE0CD"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lastRenderedPageBreak/>
        <w:t xml:space="preserve">Para determinar si existe fuente obligacional para generar, administrar o poseer la información requerida por el particular, es necesario traer a contexto, los artículos 1 y 2 apartado D, segundo párrafo,  la Constitución Política de los Estados Unidos Mexicanos, así como artículo 5, de la Constitución Política del Estado Libre y Soberano </w:t>
      </w:r>
    </w:p>
    <w:p w14:paraId="2E75DA69"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7A48C1FC" w14:textId="77777777" w:rsidR="001B45B9" w:rsidRPr="002C5B71" w:rsidRDefault="00AA4BF8">
      <w:pPr>
        <w:pBdr>
          <w:top w:val="nil"/>
          <w:left w:val="nil"/>
          <w:bottom w:val="nil"/>
          <w:right w:val="nil"/>
          <w:between w:val="nil"/>
        </w:pBdr>
        <w:spacing w:line="360" w:lineRule="auto"/>
        <w:ind w:left="567" w:right="758"/>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Artículo 1o. …</w:t>
      </w:r>
    </w:p>
    <w:p w14:paraId="5446EA90" w14:textId="77777777" w:rsidR="001B45B9" w:rsidRPr="002C5B71" w:rsidRDefault="00AA4BF8">
      <w:pPr>
        <w:pBdr>
          <w:top w:val="nil"/>
          <w:left w:val="nil"/>
          <w:bottom w:val="nil"/>
          <w:right w:val="nil"/>
          <w:between w:val="nil"/>
        </w:pBdr>
        <w:spacing w:line="360" w:lineRule="auto"/>
        <w:ind w:left="567" w:right="758"/>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3FA186A1" w14:textId="77777777" w:rsidR="001B45B9" w:rsidRPr="002C5B71" w:rsidRDefault="00AA4BF8">
      <w:pPr>
        <w:pBdr>
          <w:top w:val="nil"/>
          <w:left w:val="nil"/>
          <w:bottom w:val="nil"/>
          <w:right w:val="nil"/>
          <w:between w:val="nil"/>
        </w:pBdr>
        <w:spacing w:line="360" w:lineRule="auto"/>
        <w:ind w:left="567" w:right="758"/>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32B6B30B" w14:textId="77777777" w:rsidR="001B45B9" w:rsidRPr="002C5B71" w:rsidRDefault="001B45B9">
      <w:pPr>
        <w:pBdr>
          <w:top w:val="nil"/>
          <w:left w:val="nil"/>
          <w:bottom w:val="nil"/>
          <w:right w:val="nil"/>
          <w:between w:val="nil"/>
        </w:pBdr>
        <w:spacing w:line="360" w:lineRule="auto"/>
        <w:ind w:left="567" w:right="758"/>
        <w:jc w:val="both"/>
        <w:rPr>
          <w:rFonts w:ascii="Palatino Linotype" w:eastAsia="Palatino Linotype" w:hAnsi="Palatino Linotype" w:cs="Palatino Linotype"/>
          <w:i/>
          <w:sz w:val="22"/>
          <w:szCs w:val="22"/>
        </w:rPr>
      </w:pPr>
    </w:p>
    <w:p w14:paraId="25FF7DB2" w14:textId="77777777" w:rsidR="001B45B9" w:rsidRPr="002C5B71" w:rsidRDefault="00AA4BF8">
      <w:pPr>
        <w:pBdr>
          <w:top w:val="nil"/>
          <w:left w:val="nil"/>
          <w:bottom w:val="nil"/>
          <w:right w:val="nil"/>
          <w:between w:val="nil"/>
        </w:pBdr>
        <w:spacing w:line="360" w:lineRule="auto"/>
        <w:ind w:left="567" w:right="758"/>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Artículo 2o. La Nación Mexicana es única e indivisible, basada en la grandeza de sus pueblos y culturas.</w:t>
      </w:r>
    </w:p>
    <w:p w14:paraId="5585E131" w14:textId="77777777" w:rsidR="001B45B9" w:rsidRPr="002C5B71" w:rsidRDefault="00AA4BF8">
      <w:pPr>
        <w:pBdr>
          <w:top w:val="nil"/>
          <w:left w:val="nil"/>
          <w:bottom w:val="nil"/>
          <w:right w:val="nil"/>
          <w:between w:val="nil"/>
        </w:pBdr>
        <w:spacing w:line="360" w:lineRule="auto"/>
        <w:ind w:left="567" w:right="758"/>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0C1CF23D" w14:textId="77777777" w:rsidR="001B45B9" w:rsidRPr="002C5B71" w:rsidRDefault="00AA4BF8">
      <w:pPr>
        <w:numPr>
          <w:ilvl w:val="0"/>
          <w:numId w:val="2"/>
        </w:numPr>
        <w:pBdr>
          <w:top w:val="nil"/>
          <w:left w:val="nil"/>
          <w:bottom w:val="nil"/>
          <w:right w:val="nil"/>
          <w:between w:val="nil"/>
        </w:pBdr>
        <w:spacing w:line="360" w:lineRule="auto"/>
        <w:ind w:left="993" w:right="758"/>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4D85D50B" w14:textId="77777777" w:rsidR="001B45B9" w:rsidRPr="002C5B71" w:rsidRDefault="00AA4BF8">
      <w:pPr>
        <w:pBdr>
          <w:top w:val="nil"/>
          <w:left w:val="nil"/>
          <w:bottom w:val="nil"/>
          <w:right w:val="nil"/>
          <w:between w:val="nil"/>
        </w:pBdr>
        <w:spacing w:line="360" w:lineRule="auto"/>
        <w:ind w:left="567" w:right="758"/>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D.</w:t>
      </w:r>
      <w:r w:rsidRPr="002C5B71">
        <w:rPr>
          <w:rFonts w:ascii="Palatino Linotype" w:eastAsia="Palatino Linotype" w:hAnsi="Palatino Linotype" w:cs="Palatino Linotype"/>
          <w:i/>
          <w:sz w:val="22"/>
          <w:szCs w:val="22"/>
        </w:rPr>
        <w:t xml:space="preserve"> 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 </w:t>
      </w:r>
    </w:p>
    <w:p w14:paraId="224ADA65" w14:textId="77777777" w:rsidR="001B45B9" w:rsidRPr="002C5B71" w:rsidRDefault="001B45B9">
      <w:pPr>
        <w:pBdr>
          <w:top w:val="nil"/>
          <w:left w:val="nil"/>
          <w:bottom w:val="nil"/>
          <w:right w:val="nil"/>
          <w:between w:val="nil"/>
        </w:pBdr>
        <w:spacing w:line="360" w:lineRule="auto"/>
        <w:ind w:left="567" w:right="758"/>
        <w:jc w:val="both"/>
        <w:rPr>
          <w:rFonts w:ascii="Palatino Linotype" w:eastAsia="Palatino Linotype" w:hAnsi="Palatino Linotype" w:cs="Palatino Linotype"/>
          <w:i/>
          <w:sz w:val="22"/>
          <w:szCs w:val="22"/>
        </w:rPr>
      </w:pPr>
    </w:p>
    <w:p w14:paraId="2CA90E8A" w14:textId="77777777" w:rsidR="001B45B9" w:rsidRPr="002C5B71" w:rsidRDefault="00AA4BF8">
      <w:pPr>
        <w:pBdr>
          <w:top w:val="nil"/>
          <w:left w:val="nil"/>
          <w:bottom w:val="nil"/>
          <w:right w:val="nil"/>
          <w:between w:val="nil"/>
        </w:pBdr>
        <w:spacing w:line="360" w:lineRule="auto"/>
        <w:ind w:left="567" w:right="758"/>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i/>
          <w:sz w:val="22"/>
          <w:szCs w:val="22"/>
        </w:rPr>
        <w:t xml:space="preserve">Se reconoce y garantiza el derecho de la niñez, adolescencia y juventud indígena y afromexicana a una atención adecuada, en sus propias lenguas, para hacer efectivo el </w:t>
      </w:r>
      <w:r w:rsidRPr="002C5B71">
        <w:rPr>
          <w:rFonts w:ascii="Palatino Linotype" w:eastAsia="Palatino Linotype" w:hAnsi="Palatino Linotype" w:cs="Palatino Linotype"/>
          <w:i/>
          <w:sz w:val="22"/>
          <w:szCs w:val="22"/>
        </w:rPr>
        <w:lastRenderedPageBreak/>
        <w:t xml:space="preserve">conocimiento y ejercicio pleno de sus derechos de acceso a la educación, a la salud, a la tecnología, al arte, la cultura, el deporte y la capacitación para el trabajo, entre otros. </w:t>
      </w:r>
      <w:r w:rsidRPr="002C5B71">
        <w:rPr>
          <w:rFonts w:ascii="Palatino Linotype" w:eastAsia="Palatino Linotype" w:hAnsi="Palatino Linotype" w:cs="Palatino Linotype"/>
          <w:b/>
          <w:i/>
          <w:sz w:val="22"/>
          <w:szCs w:val="22"/>
        </w:rPr>
        <w:t>Asimismo, para garantizar una vida libre de exclusión, discriminación y violencia, en especial de la violencia sexual y de género, y para establecer políticas dirigidas a prevenir y atender las adicciones, con visión de respeto a sus identidades culturales.</w:t>
      </w:r>
    </w:p>
    <w:p w14:paraId="6C9F804C" w14:textId="77777777" w:rsidR="001B45B9" w:rsidRPr="002C5B71" w:rsidRDefault="00AA4BF8">
      <w:pPr>
        <w:pBdr>
          <w:top w:val="nil"/>
          <w:left w:val="nil"/>
          <w:bottom w:val="nil"/>
          <w:right w:val="nil"/>
          <w:between w:val="nil"/>
        </w:pBdr>
        <w:spacing w:line="360" w:lineRule="auto"/>
        <w:ind w:left="567" w:right="50"/>
        <w:jc w:val="both"/>
        <w:rPr>
          <w:rFonts w:ascii="Palatino Linotype" w:eastAsia="Palatino Linotype" w:hAnsi="Palatino Linotype" w:cs="Palatino Linotype"/>
          <w:sz w:val="22"/>
          <w:szCs w:val="22"/>
        </w:rPr>
      </w:pPr>
      <w:r w:rsidRPr="002C5B71">
        <w:rPr>
          <w:b/>
          <w:sz w:val="22"/>
          <w:szCs w:val="22"/>
        </w:rPr>
        <w:t>…</w:t>
      </w:r>
    </w:p>
    <w:p w14:paraId="3E09DE58"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1BA39DD4"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Artículo 5.- …</w:t>
      </w:r>
    </w:p>
    <w:p w14:paraId="6EEA88E8"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369323A5"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Queda prohibida toda discriminación motivada por origen étnico o nacional, género,</w:t>
      </w:r>
      <w:r w:rsidRPr="002C5B71">
        <w:rPr>
          <w:rFonts w:ascii="Palatino Linotype" w:eastAsia="Palatino Linotype" w:hAnsi="Palatino Linotype" w:cs="Palatino Linotype"/>
          <w:i/>
          <w:sz w:val="22"/>
          <w:szCs w:val="22"/>
        </w:rPr>
        <w:t xml:space="preserve"> edad, discapacidades, condición social, condiciones de salud, religión, opiniones, </w:t>
      </w:r>
      <w:r w:rsidRPr="002C5B71">
        <w:rPr>
          <w:rFonts w:ascii="Palatino Linotype" w:eastAsia="Palatino Linotype" w:hAnsi="Palatino Linotype" w:cs="Palatino Linotype"/>
          <w:b/>
          <w:i/>
          <w:sz w:val="22"/>
          <w:szCs w:val="22"/>
        </w:rPr>
        <w:t>orientación sexual e identidad de género</w:t>
      </w:r>
      <w:r w:rsidRPr="002C5B71">
        <w:rPr>
          <w:rFonts w:ascii="Palatino Linotype" w:eastAsia="Palatino Linotype" w:hAnsi="Palatino Linotype" w:cs="Palatino Linotype"/>
          <w:i/>
          <w:sz w:val="22"/>
          <w:szCs w:val="22"/>
        </w:rPr>
        <w:t xml:space="preserve">, estado civil o cualquier otra que atente contra la dignidad humana y tenga por objeto anular o menoscabar los derechos y libertades de las personas. </w:t>
      </w:r>
      <w:r w:rsidRPr="002C5B71">
        <w:rPr>
          <w:rFonts w:ascii="Palatino Linotype" w:eastAsia="Palatino Linotype" w:hAnsi="Palatino Linotype" w:cs="Palatino Linotype"/>
          <w:b/>
          <w:i/>
          <w:sz w:val="22"/>
          <w:szCs w:val="22"/>
        </w:rPr>
        <w:t>El Estado garantizará la vigencia del principio de igualdad, combatiendo toda clase de discriminación.</w:t>
      </w:r>
      <w:r w:rsidRPr="002C5B71">
        <w:rPr>
          <w:rFonts w:ascii="Palatino Linotype" w:eastAsia="Palatino Linotype" w:hAnsi="Palatino Linotype" w:cs="Palatino Linotype"/>
          <w:i/>
          <w:sz w:val="22"/>
          <w:szCs w:val="22"/>
        </w:rPr>
        <w:t xml:space="preserve"> </w:t>
      </w:r>
    </w:p>
    <w:p w14:paraId="45CB320E"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F4C1702"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El Estado de México garantizará el Derecho Humano a la Ciudad, entendiéndose como un derecho de las colectividades, con el cual se busca lograr la igualdad, sustentabilidad, justicia social, participación democrática, respeto a la diversidad cultural, la inclusión social, la distribución equitativa de bienes públicos y la justicia territorial; buscando que los grupos vulnerables y desfavorecidos logren su derecho.</w:t>
      </w:r>
    </w:p>
    <w:p w14:paraId="451B6BFC"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480A8E98"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El hombre y la mujer son iguales ante la ley, ésta garantizará el desarrollo pleno y la protección de la familia y sus miembros por ser base fundamental de la sociedad. Bajo el principio de igualdad consagrado en este precepto, debe considerarse la equidad entre </w:t>
      </w:r>
      <w:r w:rsidRPr="002C5B71">
        <w:rPr>
          <w:rFonts w:ascii="Palatino Linotype" w:eastAsia="Palatino Linotype" w:hAnsi="Palatino Linotype" w:cs="Palatino Linotype"/>
          <w:i/>
          <w:sz w:val="22"/>
          <w:szCs w:val="22"/>
        </w:rPr>
        <w:lastRenderedPageBreak/>
        <w:t>hombre y mujer, en los ámbitos de desarrollo humano primordiales como lo son el educativo, laboral, político, económico, social y en general, todos aquellos que dignifiquen a la persona, por consiguiente las autoridades deben velar porque en los ordenamientos secundarios se prevean disposiciones que la garanticen.</w:t>
      </w:r>
    </w:p>
    <w:p w14:paraId="580D3436"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0D98D10A"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Es así que a nivel constitucional, tanto federal como estatal, se reconoce que queda prohibida toda discriminación por la orientación sexual y el estado garantizará la vigencia al principio de igualdad, combatiendo toda clase de discriminación.</w:t>
      </w:r>
    </w:p>
    <w:p w14:paraId="3A9822CE"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797C1F2F"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Por su parte, el artículo 54; 86, fracción VII  la Ley del Trabajo de los Servidores Públicos del Estado y Municipios:</w:t>
      </w:r>
    </w:p>
    <w:p w14:paraId="29C552EC"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120B0386"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ARTÍCULO 54. Cada institución pública o, en su caso, dependencia, en razón de la naturaleza de sus funciones, contará con un Reglamento de Condiciones Generales de Trabajo aplicables a los servidores públicos sindicalizados y generales. Las instituciones o dependencias públicas que no cuenten con documento que avale las condiciones generales de trabajo aplicables, deberán estar a lo establecido por esta ley, en caso de que el reglamento sea para sindicalizados se hará de común acuerdo con el sindicato, dichos reglamentos tendrán una duración de tres años y podrán ratificarse o modificarse a su término; los Convenios de sueldos y prestaciones celebrados con el Sindicato se aplicarán solo a los trabajadores miembros y reconocidos por la agrupación Sindical de conformidad con la normatividad aplicable. </w:t>
      </w:r>
    </w:p>
    <w:p w14:paraId="4B92F2B6"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5F761173"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Los beneficios que se establezcan en los Reglamentos de Condiciones Generales de Trabajo y en los Convenios de Sueldo y Prestaciones, no serán extensivas a los servidores públicos de confianza, en virtud de que sus condiciones se encuentran </w:t>
      </w:r>
      <w:r w:rsidRPr="002C5B71">
        <w:rPr>
          <w:rFonts w:ascii="Palatino Linotype" w:eastAsia="Palatino Linotype" w:hAnsi="Palatino Linotype" w:cs="Palatino Linotype"/>
          <w:i/>
          <w:sz w:val="22"/>
          <w:szCs w:val="22"/>
        </w:rPr>
        <w:lastRenderedPageBreak/>
        <w:t xml:space="preserve">establecidas en el contrato, nombramiento o formato único de movimiento de personal y en la Normatividad de cada institución pública. </w:t>
      </w:r>
    </w:p>
    <w:p w14:paraId="4F8840BE"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39289C4E"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 xml:space="preserve">Asimismo, en las condiciones de trabajo queda prohibida toda discriminación por motivo </w:t>
      </w:r>
      <w:r w:rsidRPr="002C5B71">
        <w:rPr>
          <w:rFonts w:ascii="Palatino Linotype" w:eastAsia="Palatino Linotype" w:hAnsi="Palatino Linotype" w:cs="Palatino Linotype"/>
          <w:i/>
          <w:sz w:val="22"/>
          <w:szCs w:val="22"/>
        </w:rPr>
        <w:t xml:space="preserve">de origen étnico o nacional, género, edad, discapacidad, condición social, condiciones de salud, religión, opiniones, </w:t>
      </w:r>
      <w:r w:rsidRPr="002C5B71">
        <w:rPr>
          <w:rFonts w:ascii="Palatino Linotype" w:eastAsia="Palatino Linotype" w:hAnsi="Palatino Linotype" w:cs="Palatino Linotype"/>
          <w:b/>
          <w:i/>
          <w:sz w:val="22"/>
          <w:szCs w:val="22"/>
        </w:rPr>
        <w:t>preferencias</w:t>
      </w:r>
      <w:r w:rsidRPr="002C5B71">
        <w:rPr>
          <w:rFonts w:ascii="Palatino Linotype" w:eastAsia="Palatino Linotype" w:hAnsi="Palatino Linotype" w:cs="Palatino Linotype"/>
          <w:i/>
          <w:sz w:val="22"/>
          <w:szCs w:val="22"/>
        </w:rPr>
        <w:t xml:space="preserve"> políticas, </w:t>
      </w:r>
      <w:r w:rsidRPr="002C5B71">
        <w:rPr>
          <w:rFonts w:ascii="Palatino Linotype" w:eastAsia="Palatino Linotype" w:hAnsi="Palatino Linotype" w:cs="Palatino Linotype"/>
          <w:b/>
          <w:i/>
          <w:sz w:val="22"/>
          <w:szCs w:val="22"/>
        </w:rPr>
        <w:t xml:space="preserve">sexuales </w:t>
      </w:r>
      <w:r w:rsidRPr="002C5B71">
        <w:rPr>
          <w:rFonts w:ascii="Palatino Linotype" w:eastAsia="Palatino Linotype" w:hAnsi="Palatino Linotype" w:cs="Palatino Linotype"/>
          <w:i/>
          <w:sz w:val="22"/>
          <w:szCs w:val="22"/>
        </w:rPr>
        <w:t xml:space="preserve">o estado civil, o </w:t>
      </w:r>
      <w:r w:rsidRPr="002C5B71">
        <w:rPr>
          <w:rFonts w:ascii="Palatino Linotype" w:eastAsia="Palatino Linotype" w:hAnsi="Palatino Linotype" w:cs="Palatino Linotype"/>
          <w:b/>
          <w:i/>
          <w:sz w:val="22"/>
          <w:szCs w:val="22"/>
        </w:rPr>
        <w:t>cualquier otra que atente contra la dignidad humana y tenga por objeto anular o menoscabar los derechos y libertades de las personas</w:t>
      </w:r>
    </w:p>
    <w:p w14:paraId="660129A9"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55A8239E"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 xml:space="preserve">CAPITULO VI </w:t>
      </w:r>
    </w:p>
    <w:p w14:paraId="2E6B3B77"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 xml:space="preserve">De los Derechos y Obligaciones de los Servidores Públicos </w:t>
      </w:r>
    </w:p>
    <w:p w14:paraId="62D5209E"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255125D1"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ARTÍCULO 86. Los servidores públicos tendrán los siguientes derechos:</w:t>
      </w:r>
    </w:p>
    <w:p w14:paraId="3524834A"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54CD88D8"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VII. Ser respetado en su intimidad, integridad física, psicológica y sexual, sin discriminación por motivo de origen étnico o nacionalidad, género, edad, discapacidad, condición social, condiciones de salud, religión, ideología, preferencia y orientación sexual, estado civil, embarazo, raza, idioma o color de piel;</w:t>
      </w:r>
    </w:p>
    <w:p w14:paraId="6C07B3F0"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7E8EE67C" w14:textId="77777777" w:rsidR="001B45B9" w:rsidRPr="002C5B71" w:rsidRDefault="001B45B9">
      <w:pPr>
        <w:pBdr>
          <w:top w:val="nil"/>
          <w:left w:val="nil"/>
          <w:bottom w:val="nil"/>
          <w:right w:val="nil"/>
          <w:between w:val="nil"/>
        </w:pBdr>
        <w:spacing w:line="360" w:lineRule="auto"/>
        <w:ind w:right="50"/>
        <w:jc w:val="both"/>
        <w:rPr>
          <w:sz w:val="22"/>
          <w:szCs w:val="22"/>
        </w:rPr>
      </w:pPr>
    </w:p>
    <w:p w14:paraId="4B2D1D41" w14:textId="77777777" w:rsidR="001B45B9" w:rsidRPr="002C5B71" w:rsidRDefault="001B45B9">
      <w:pPr>
        <w:pBdr>
          <w:top w:val="nil"/>
          <w:left w:val="nil"/>
          <w:bottom w:val="nil"/>
          <w:right w:val="nil"/>
          <w:between w:val="nil"/>
        </w:pBdr>
        <w:spacing w:line="360" w:lineRule="auto"/>
        <w:ind w:right="50"/>
        <w:jc w:val="both"/>
        <w:rPr>
          <w:sz w:val="22"/>
          <w:szCs w:val="22"/>
        </w:rPr>
      </w:pPr>
    </w:p>
    <w:p w14:paraId="1CC82A58" w14:textId="77777777" w:rsidR="001B45B9" w:rsidRPr="002C5B71" w:rsidRDefault="001B45B9">
      <w:pPr>
        <w:pBdr>
          <w:top w:val="nil"/>
          <w:left w:val="nil"/>
          <w:bottom w:val="nil"/>
          <w:right w:val="nil"/>
          <w:between w:val="nil"/>
        </w:pBdr>
        <w:spacing w:line="360" w:lineRule="auto"/>
        <w:ind w:right="50"/>
        <w:jc w:val="both"/>
        <w:rPr>
          <w:sz w:val="22"/>
          <w:szCs w:val="22"/>
        </w:rPr>
      </w:pPr>
    </w:p>
    <w:p w14:paraId="460D42BE" w14:textId="77777777" w:rsidR="001B45B9" w:rsidRPr="002C5B71" w:rsidRDefault="001B45B9">
      <w:pPr>
        <w:pBdr>
          <w:top w:val="nil"/>
          <w:left w:val="nil"/>
          <w:bottom w:val="nil"/>
          <w:right w:val="nil"/>
          <w:between w:val="nil"/>
        </w:pBdr>
        <w:spacing w:line="360" w:lineRule="auto"/>
        <w:ind w:right="50"/>
        <w:jc w:val="both"/>
        <w:rPr>
          <w:sz w:val="22"/>
          <w:szCs w:val="22"/>
        </w:rPr>
      </w:pPr>
    </w:p>
    <w:p w14:paraId="05C64586" w14:textId="77777777" w:rsidR="001B45B9" w:rsidRPr="002C5B71" w:rsidRDefault="001B45B9">
      <w:pPr>
        <w:pBdr>
          <w:top w:val="nil"/>
          <w:left w:val="nil"/>
          <w:bottom w:val="nil"/>
          <w:right w:val="nil"/>
          <w:between w:val="nil"/>
        </w:pBdr>
        <w:spacing w:line="360" w:lineRule="auto"/>
        <w:ind w:right="50"/>
        <w:jc w:val="both"/>
        <w:rPr>
          <w:sz w:val="22"/>
          <w:szCs w:val="22"/>
        </w:rPr>
      </w:pPr>
    </w:p>
    <w:p w14:paraId="2265D8A2" w14:textId="77777777" w:rsidR="001B45B9" w:rsidRPr="002C5B71" w:rsidRDefault="001B45B9">
      <w:pPr>
        <w:pBdr>
          <w:top w:val="nil"/>
          <w:left w:val="nil"/>
          <w:bottom w:val="nil"/>
          <w:right w:val="nil"/>
          <w:between w:val="nil"/>
        </w:pBdr>
        <w:spacing w:line="360" w:lineRule="auto"/>
        <w:ind w:right="50"/>
        <w:jc w:val="both"/>
        <w:rPr>
          <w:sz w:val="22"/>
          <w:szCs w:val="22"/>
        </w:rPr>
      </w:pPr>
    </w:p>
    <w:p w14:paraId="3834861C" w14:textId="77777777" w:rsidR="001B45B9" w:rsidRPr="002C5B71" w:rsidRDefault="001B45B9">
      <w:pPr>
        <w:pBdr>
          <w:top w:val="nil"/>
          <w:left w:val="nil"/>
          <w:bottom w:val="nil"/>
          <w:right w:val="nil"/>
          <w:between w:val="nil"/>
        </w:pBdr>
        <w:spacing w:line="360" w:lineRule="auto"/>
        <w:ind w:right="50"/>
        <w:jc w:val="both"/>
        <w:rPr>
          <w:sz w:val="22"/>
          <w:szCs w:val="22"/>
        </w:rPr>
      </w:pPr>
    </w:p>
    <w:p w14:paraId="5209B00B"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lastRenderedPageBreak/>
        <w:t>La citada normatividad establece que cada institución pública deberá contar con un Reglamento de Condiciones Generales de Trabajo, los cuales deben garantizar el pleno desarrollo del personal, en apego a la prohibición a toda discriminación por motivo de preferencias sexuales.</w:t>
      </w:r>
    </w:p>
    <w:p w14:paraId="58B387F6"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7A73CCC5"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Para el caso de la Comisión, se tiene que el Reglamento de Condiciones Generales de Trabajo de los Servidores Públicos establece los siguientes derechos:</w:t>
      </w:r>
    </w:p>
    <w:p w14:paraId="47838AB1" w14:textId="77777777" w:rsidR="001B45B9" w:rsidRPr="002C5B71" w:rsidRDefault="001B45B9">
      <w:pPr>
        <w:pBdr>
          <w:top w:val="nil"/>
          <w:left w:val="nil"/>
          <w:bottom w:val="nil"/>
          <w:right w:val="nil"/>
          <w:between w:val="nil"/>
        </w:pBdr>
        <w:spacing w:line="360" w:lineRule="auto"/>
        <w:ind w:right="50"/>
        <w:jc w:val="center"/>
        <w:rPr>
          <w:rFonts w:ascii="Palatino Linotype" w:eastAsia="Palatino Linotype" w:hAnsi="Palatino Linotype" w:cs="Palatino Linotype"/>
          <w:b/>
          <w:sz w:val="22"/>
          <w:szCs w:val="22"/>
        </w:rPr>
      </w:pPr>
    </w:p>
    <w:p w14:paraId="1C6C7C26" w14:textId="77777777" w:rsidR="001B45B9" w:rsidRPr="002C5B71" w:rsidRDefault="00AA4BF8">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TÍTULO QUINTO</w:t>
      </w:r>
    </w:p>
    <w:p w14:paraId="08E37B1A" w14:textId="77777777" w:rsidR="001B45B9" w:rsidRPr="002C5B71" w:rsidRDefault="00AA4BF8">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DE LOS DERECHOS, OBLIGACIONES, PROHIBICIONES Y SANCIONES</w:t>
      </w:r>
    </w:p>
    <w:p w14:paraId="19F637E4" w14:textId="77777777" w:rsidR="001B45B9" w:rsidRPr="002C5B71" w:rsidRDefault="00AA4BF8">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CAPÍTULO I</w:t>
      </w:r>
    </w:p>
    <w:p w14:paraId="15CAD616" w14:textId="77777777" w:rsidR="001B45B9" w:rsidRPr="002C5B71" w:rsidRDefault="00AA4BF8">
      <w:pPr>
        <w:pBdr>
          <w:top w:val="nil"/>
          <w:left w:val="nil"/>
          <w:bottom w:val="nil"/>
          <w:right w:val="nil"/>
          <w:between w:val="nil"/>
        </w:pBdr>
        <w:spacing w:line="360" w:lineRule="auto"/>
        <w:ind w:left="567" w:right="616"/>
        <w:jc w:val="center"/>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DE LOS DERECHOS DE LOS SERVIDORES PÚBLICOS</w:t>
      </w:r>
      <w:r w:rsidRPr="002C5B71">
        <w:rPr>
          <w:rFonts w:ascii="Palatino Linotype" w:eastAsia="Palatino Linotype" w:hAnsi="Palatino Linotype" w:cs="Palatino Linotype"/>
          <w:i/>
          <w:sz w:val="22"/>
          <w:szCs w:val="22"/>
        </w:rPr>
        <w:t>.</w:t>
      </w:r>
    </w:p>
    <w:p w14:paraId="2183BC92" w14:textId="77777777" w:rsidR="001B45B9" w:rsidRPr="002C5B71" w:rsidRDefault="001B45B9">
      <w:pPr>
        <w:pBdr>
          <w:top w:val="nil"/>
          <w:left w:val="nil"/>
          <w:bottom w:val="nil"/>
          <w:right w:val="nil"/>
          <w:between w:val="nil"/>
        </w:pBdr>
        <w:spacing w:after="160" w:line="360" w:lineRule="auto"/>
        <w:ind w:left="567" w:right="616"/>
        <w:jc w:val="both"/>
        <w:rPr>
          <w:rFonts w:ascii="Palatino Linotype" w:eastAsia="Palatino Linotype" w:hAnsi="Palatino Linotype" w:cs="Palatino Linotype"/>
          <w:i/>
          <w:sz w:val="22"/>
          <w:szCs w:val="22"/>
        </w:rPr>
      </w:pPr>
    </w:p>
    <w:p w14:paraId="55E5F7D1"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ARTÍCULO 156.- Los servidores públicos tendrán los siguientes derechos:</w:t>
      </w:r>
    </w:p>
    <w:p w14:paraId="7260F167" w14:textId="77777777" w:rsidR="001B45B9" w:rsidRPr="002C5B71" w:rsidRDefault="001B45B9">
      <w:pPr>
        <w:spacing w:line="360" w:lineRule="auto"/>
        <w:ind w:left="567" w:right="616"/>
        <w:jc w:val="both"/>
        <w:rPr>
          <w:rFonts w:ascii="Palatino Linotype" w:eastAsia="Palatino Linotype" w:hAnsi="Palatino Linotype" w:cs="Palatino Linotype"/>
          <w:i/>
          <w:sz w:val="22"/>
          <w:szCs w:val="22"/>
        </w:rPr>
      </w:pPr>
    </w:p>
    <w:p w14:paraId="0C19EC84"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 Ser tratados en forma atenta y respetuosa por sus superiores, iguales y subalternos;</w:t>
      </w:r>
    </w:p>
    <w:p w14:paraId="59932D3D" w14:textId="77777777" w:rsidR="001B45B9" w:rsidRPr="002C5B71" w:rsidRDefault="00AA4BF8">
      <w:pP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II. </w:t>
      </w:r>
      <w:r w:rsidRPr="002C5B71">
        <w:rPr>
          <w:rFonts w:ascii="Palatino Linotype" w:eastAsia="Palatino Linotype" w:hAnsi="Palatino Linotype" w:cs="Palatino Linotype"/>
          <w:b/>
          <w:i/>
          <w:sz w:val="22"/>
          <w:szCs w:val="22"/>
        </w:rPr>
        <w:t>Ser respetado en su intimidad, integridad física</w:t>
      </w:r>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b/>
          <w:i/>
          <w:sz w:val="22"/>
          <w:szCs w:val="22"/>
        </w:rPr>
        <w:t>psicológica y sexual</w:t>
      </w:r>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b/>
          <w:i/>
          <w:sz w:val="22"/>
          <w:szCs w:val="22"/>
        </w:rPr>
        <w:t>sin discriminación por</w:t>
      </w:r>
      <w:r w:rsidRPr="002C5B71">
        <w:rPr>
          <w:rFonts w:ascii="Palatino Linotype" w:eastAsia="Palatino Linotype" w:hAnsi="Palatino Linotype" w:cs="Palatino Linotype"/>
          <w:i/>
          <w:sz w:val="22"/>
          <w:szCs w:val="22"/>
        </w:rPr>
        <w:t xml:space="preserve"> motivo de origen étnico o nacionalidad, género, edad, discapacidad, condición social, condiciones de salud, religión, ideología, </w:t>
      </w:r>
      <w:r w:rsidRPr="002C5B71">
        <w:rPr>
          <w:rFonts w:ascii="Palatino Linotype" w:eastAsia="Palatino Linotype" w:hAnsi="Palatino Linotype" w:cs="Palatino Linotype"/>
          <w:b/>
          <w:i/>
          <w:sz w:val="22"/>
          <w:szCs w:val="22"/>
        </w:rPr>
        <w:t>preferencia y orientación sexual,</w:t>
      </w:r>
      <w:r w:rsidRPr="002C5B71">
        <w:rPr>
          <w:rFonts w:ascii="Palatino Linotype" w:eastAsia="Palatino Linotype" w:hAnsi="Palatino Linotype" w:cs="Palatino Linotype"/>
          <w:i/>
          <w:sz w:val="22"/>
          <w:szCs w:val="22"/>
        </w:rPr>
        <w:t xml:space="preserve"> estado civil, embarazo, raza, idioma o color de piel.</w:t>
      </w:r>
    </w:p>
    <w:p w14:paraId="7E3B5A38" w14:textId="77777777" w:rsidR="001B45B9" w:rsidRPr="002C5B71" w:rsidRDefault="00AA4BF8">
      <w:pPr>
        <w:spacing w:after="160"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4601071C"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307AA540"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Por su parte, el Manual de Organización del Sujeto Obligado establece lo siguiente:</w:t>
      </w:r>
    </w:p>
    <w:p w14:paraId="6C224730"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7A11EC74"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IV. OBJETO SOCIAL, VISIÓN Y VALORES ORGANIZACIONALES</w:t>
      </w:r>
    </w:p>
    <w:p w14:paraId="1CA90D43"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lastRenderedPageBreak/>
        <w:t>...</w:t>
      </w:r>
    </w:p>
    <w:p w14:paraId="1C6E8534"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 xml:space="preserve">Igualdad y no discriminación. </w:t>
      </w:r>
      <w:r w:rsidRPr="002C5B71">
        <w:rPr>
          <w:rFonts w:ascii="Palatino Linotype" w:eastAsia="Palatino Linotype" w:hAnsi="Palatino Linotype" w:cs="Palatino Linotype"/>
          <w:i/>
          <w:sz w:val="22"/>
          <w:szCs w:val="22"/>
        </w:rPr>
        <w:t>Prestamos los servicios a todas las personas sin distinción, exclusión, restricción, o preferencia basada en el origen étnico o nacional, color de piel, cultura, sexo, género, edad, discapacidades, condición social, económica, de salud o jurídica, religión, apariencia física, características genéticas, situación migratoria, embarazo, lengua, opiniones, orientación o preferencia sexual, identidad o filiación política, estado civil, situación familiar, responsabilidades familiares, idioma, antecedentes penales o por cualquier otro motivo.</w:t>
      </w:r>
    </w:p>
    <w:p w14:paraId="56F8E8C4"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26068EFB"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Equidad de género.</w:t>
      </w:r>
      <w:r w:rsidRPr="002C5B71">
        <w:rPr>
          <w:rFonts w:ascii="Palatino Linotype" w:eastAsia="Palatino Linotype" w:hAnsi="Palatino Linotype" w:cs="Palatino Linotype"/>
          <w:i/>
          <w:sz w:val="22"/>
          <w:szCs w:val="22"/>
        </w:rPr>
        <w:t xml:space="preserve"> Tenemos el compromiso de garantizar que tanto mujeres como hombres accedan con las mismas condiciones, posibilidades y oportunidades a los bienes y servicios públicos, a los programas y beneficios institucionales, y a los empleos, cargos y comisiones gubernamentales.</w:t>
      </w:r>
    </w:p>
    <w:p w14:paraId="64A7FC9D"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B92ED2D"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 xml:space="preserve">VII. OBJETIVO Y FUNCIONES POR UNIDAD ADMINISTRATIVA </w:t>
      </w:r>
    </w:p>
    <w:p w14:paraId="6EA19E87"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23200000000000L SECRETARÍA DEL AGUA</w:t>
      </w:r>
    </w:p>
    <w:p w14:paraId="494B9050"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OBJETIVO: Planear, formular, operar, evaluar y conducir la política, programas y acciones relacionadas con los recursos hídricos del Estado, así como gestionar, supervisar, construir y coordinar los servicios de agua potable, alcantarillado y saneamiento para la correcta explotación, uso, reúso, tratamiento, aprovechamiento y disposición final del recurso hídrico, de conformidad con la normatividad establecida en la materia, además de garantizar su desarrollo integral sustentable y preservar el medio ambiente, mediante la aplicación de la normativa aplicable. </w:t>
      </w:r>
    </w:p>
    <w:p w14:paraId="72EC1CDC"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FUNCIONES:</w:t>
      </w:r>
    </w:p>
    <w:p w14:paraId="671C0EEB"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 xml:space="preserve">20. Coordinar y verificar que se incorpore la perspectiva de género en los programas, proyectos, acciones y políticas públicas competencia de la </w:t>
      </w:r>
      <w:r w:rsidRPr="002C5B71">
        <w:rPr>
          <w:rFonts w:ascii="Palatino Linotype" w:eastAsia="Palatino Linotype" w:hAnsi="Palatino Linotype" w:cs="Palatino Linotype"/>
          <w:b/>
          <w:i/>
          <w:sz w:val="22"/>
          <w:szCs w:val="22"/>
        </w:rPr>
        <w:lastRenderedPageBreak/>
        <w:t xml:space="preserve">dependencia, a fin de promover la igualdad de género, los derechos humanos, erradicar la violencia y discriminación de género. </w:t>
      </w:r>
    </w:p>
    <w:p w14:paraId="3A7535E6"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21. Definir y difundir, en coordinación con las unidades administrativas, el Código de Ética y Conducta que deberán observar las personas servidoras públicas de la Secretaría, así como verificar su cumplimiento. </w:t>
      </w:r>
    </w:p>
    <w:p w14:paraId="3DA17AF1"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22. Conocer y, en su caso, opinar con respecto a los casos en que las personas servidoras públicas de la dependencia sean parte de probables situaciones de violencia, discriminación, acoso y hostigamiento sexual, y solicitar a la Coordinación Jurídica, de Igualdad de Género y Erradicación de la Violencia, el informe correspondiente a la conclusión de los mismos.</w:t>
      </w:r>
    </w:p>
    <w:p w14:paraId="76F646D7"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61089765"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Lo anterior, se relaciona con el Reglamento Interior del Sujeto Obligado en el artículo 12, el cual establece lo siguiente:</w:t>
      </w:r>
    </w:p>
    <w:p w14:paraId="21A4F01C"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4F9C23A9"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Artículo 12. Le corresponden a la Coordinación Jurídica, de Igualdad de Género y Erradicación de la Violencia, las atribuciones siguientes:</w:t>
      </w:r>
    </w:p>
    <w:p w14:paraId="3410DACB"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05A673C5"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XIII. Fungir como Unidad de Igualdad de Género y Erradicación de la Violencia, e instrumentar, supervisar y verificar las acciones necesarias para dar cumplimiento con lo establecido en la Ley de Acceso de las Mujeres a una Vida Libre de Violencia, así como en la Ley de Igualdad de Trato y Oportunidades entre Mujeres y Hombres, ambas del Estado de México y demás disposiciones relativas;</w:t>
      </w:r>
    </w:p>
    <w:p w14:paraId="5DB3EDC2"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5AB51739" w14:textId="77777777" w:rsidR="001B45B9" w:rsidRPr="002C5B71" w:rsidRDefault="001B45B9">
      <w:pPr>
        <w:pBdr>
          <w:top w:val="nil"/>
          <w:left w:val="nil"/>
          <w:bottom w:val="nil"/>
          <w:right w:val="nil"/>
          <w:between w:val="nil"/>
        </w:pBdr>
        <w:spacing w:line="360" w:lineRule="auto"/>
        <w:ind w:left="567" w:right="616"/>
        <w:jc w:val="both"/>
        <w:rPr>
          <w:sz w:val="22"/>
          <w:szCs w:val="22"/>
        </w:rPr>
      </w:pPr>
    </w:p>
    <w:p w14:paraId="7048C730" w14:textId="77777777" w:rsidR="001B45B9" w:rsidRPr="002C5B71" w:rsidRDefault="001B45B9">
      <w:pPr>
        <w:pBdr>
          <w:top w:val="nil"/>
          <w:left w:val="nil"/>
          <w:bottom w:val="nil"/>
          <w:right w:val="nil"/>
          <w:between w:val="nil"/>
        </w:pBdr>
        <w:spacing w:after="160" w:line="360" w:lineRule="auto"/>
        <w:ind w:left="567" w:right="616"/>
        <w:jc w:val="both"/>
        <w:rPr>
          <w:rFonts w:ascii="Palatino Linotype" w:eastAsia="Palatino Linotype" w:hAnsi="Palatino Linotype" w:cs="Palatino Linotype"/>
          <w:i/>
          <w:sz w:val="22"/>
          <w:szCs w:val="22"/>
        </w:rPr>
      </w:pPr>
    </w:p>
    <w:p w14:paraId="330E6257" w14:textId="77777777" w:rsidR="001B45B9" w:rsidRPr="002C5B71" w:rsidRDefault="00AA4BF8">
      <w:pPr>
        <w:spacing w:after="160" w:line="360" w:lineRule="auto"/>
        <w:ind w:right="616"/>
        <w:jc w:val="both"/>
        <w:rPr>
          <w:rFonts w:ascii="Palatino Linotype" w:eastAsia="Palatino Linotype" w:hAnsi="Palatino Linotype" w:cs="Palatino Linotype"/>
          <w:i/>
        </w:rPr>
      </w:pPr>
      <w:r w:rsidRPr="002C5B71">
        <w:rPr>
          <w:rFonts w:ascii="Palatino Linotype" w:eastAsia="Palatino Linotype" w:hAnsi="Palatino Linotype" w:cs="Palatino Linotype"/>
          <w:i/>
        </w:rPr>
        <w:lastRenderedPageBreak/>
        <w:t>Es así que, la Coordinación Jurídica, de Igualdad de Género y Erradicación de la Violencia</w:t>
      </w:r>
    </w:p>
    <w:p w14:paraId="49DF7EA5"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Artículo 21. Corresponden a la Dirección General de Asuntos Jurídicos e Igualdad de Género las atribuciones siguientes:</w:t>
      </w:r>
    </w:p>
    <w:p w14:paraId="1E0A4E05"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0C5FD3A3"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XI. Instrumentar las acciones necesarias para dar cumplimiento con lo establecido en la Ley de Acceso de las Mujeres a una Vida Libre de Violencia y en la Ley de Igualdad de Trato y Oportunidades entre Mujeres y Hombres, ambas del Estado de México y demás disposiciones relativas, y</w:t>
      </w:r>
    </w:p>
    <w:p w14:paraId="5346C212"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5C900CAC" w14:textId="77777777" w:rsidR="001B45B9" w:rsidRPr="002C5B71" w:rsidRDefault="001B45B9">
      <w:pPr>
        <w:pBdr>
          <w:top w:val="nil"/>
          <w:left w:val="nil"/>
          <w:bottom w:val="nil"/>
          <w:right w:val="nil"/>
          <w:between w:val="nil"/>
        </w:pBdr>
        <w:spacing w:after="160" w:line="360" w:lineRule="auto"/>
        <w:ind w:right="50"/>
        <w:jc w:val="both"/>
        <w:rPr>
          <w:rFonts w:ascii="Palatino Linotype" w:eastAsia="Palatino Linotype" w:hAnsi="Palatino Linotype" w:cs="Palatino Linotype"/>
          <w:sz w:val="22"/>
          <w:szCs w:val="22"/>
        </w:rPr>
      </w:pPr>
    </w:p>
    <w:p w14:paraId="1D42FE0D" w14:textId="77777777" w:rsidR="001B45B9" w:rsidRPr="002C5B71" w:rsidRDefault="00AA4BF8">
      <w:pPr>
        <w:spacing w:after="160" w:line="360" w:lineRule="auto"/>
        <w:ind w:right="49"/>
        <w:jc w:val="both"/>
        <w:rPr>
          <w:rFonts w:ascii="Palatino Linotype" w:eastAsia="Palatino Linotype" w:hAnsi="Palatino Linotype" w:cs="Palatino Linotype"/>
          <w:i/>
        </w:rPr>
      </w:pPr>
      <w:r w:rsidRPr="002C5B71">
        <w:rPr>
          <w:rFonts w:ascii="Palatino Linotype" w:eastAsia="Palatino Linotype" w:hAnsi="Palatino Linotype" w:cs="Palatino Linotype"/>
        </w:rPr>
        <w:t xml:space="preserve">Es así que, la Coordinación Jurídica, de Igualdad de Género y Erradicación de la Violencia tiene la atribución de instrumentar las acciones necesarias para dar cumplimiento a la Ley de Igualdad de Trato y Oportunidades entre Mujeres y Hombres, ambas del Estado de México, dicho ordenamiento legal tiene por objeto </w:t>
      </w:r>
      <w:r w:rsidRPr="002C5B71">
        <w:rPr>
          <w:rFonts w:ascii="Palatino Linotype" w:eastAsia="Palatino Linotype" w:hAnsi="Palatino Linotype" w:cs="Palatino Linotype"/>
          <w:i/>
          <w:sz w:val="22"/>
          <w:szCs w:val="22"/>
        </w:rPr>
        <w:t xml:space="preserve">regular, proteger y garantizar la igualdad de trato y oportunidades entre mujeres y hombres, </w:t>
      </w:r>
      <w:r w:rsidRPr="002C5B71">
        <w:rPr>
          <w:rFonts w:ascii="Palatino Linotype" w:eastAsia="Palatino Linotype" w:hAnsi="Palatino Linotype" w:cs="Palatino Linotype"/>
          <w:b/>
          <w:i/>
          <w:sz w:val="22"/>
          <w:szCs w:val="22"/>
        </w:rPr>
        <w:t>mediante la eliminación de la discriminación</w:t>
      </w:r>
      <w:r w:rsidRPr="002C5B71">
        <w:rPr>
          <w:rFonts w:ascii="Palatino Linotype" w:eastAsia="Palatino Linotype" w:hAnsi="Palatino Linotype" w:cs="Palatino Linotype"/>
          <w:i/>
          <w:sz w:val="22"/>
          <w:szCs w:val="22"/>
        </w:rPr>
        <w:t>, sea cual fuere su circunstancia o condición, en los ámbitos público y privado, promoviendo el empoderamiento de las mujeres, con el propósito de alcanzar una sociedad más democrática, justa, equitativa y solidaria</w:t>
      </w:r>
      <w:r w:rsidRPr="002C5B71">
        <w:rPr>
          <w:i/>
        </w:rPr>
        <w:t xml:space="preserve">, </w:t>
      </w:r>
      <w:r w:rsidRPr="002C5B71">
        <w:rPr>
          <w:rFonts w:ascii="Palatino Linotype" w:eastAsia="Palatino Linotype" w:hAnsi="Palatino Linotype" w:cs="Palatino Linotype"/>
        </w:rPr>
        <w:t>además, en los artículos 6, fracciones IV, X, XIII y XIV; y 30, los cuales establecen lo siguiente:</w:t>
      </w:r>
    </w:p>
    <w:p w14:paraId="2E18EADA"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0CF67488"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Artículo 6.- Para los efectos de esta Ley se entenderá por:</w:t>
      </w:r>
    </w:p>
    <w:p w14:paraId="65E135E2"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0BDD0CF3"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lastRenderedPageBreak/>
        <w:t>IV. Discriminación: A cualquier forma de preferencia, distinción, exclusión, repudio, desprecio, incomprensión, rechazo o restricción que, basada en el origen</w:t>
      </w:r>
      <w:r w:rsidRPr="002C5B71">
        <w:rPr>
          <w:rFonts w:ascii="Palatino Linotype" w:eastAsia="Palatino Linotype" w:hAnsi="Palatino Linotype" w:cs="Palatino Linotype"/>
          <w:i/>
          <w:sz w:val="22"/>
          <w:szCs w:val="22"/>
        </w:rPr>
        <w:t xml:space="preserve"> étnico o nacional, </w:t>
      </w:r>
      <w:r w:rsidRPr="002C5B71">
        <w:rPr>
          <w:rFonts w:ascii="Palatino Linotype" w:eastAsia="Palatino Linotype" w:hAnsi="Palatino Linotype" w:cs="Palatino Linotype"/>
          <w:b/>
          <w:i/>
          <w:sz w:val="22"/>
          <w:szCs w:val="22"/>
        </w:rPr>
        <w:t>sexo</w:t>
      </w:r>
      <w:r w:rsidRPr="002C5B71">
        <w:rPr>
          <w:rFonts w:ascii="Palatino Linotype" w:eastAsia="Palatino Linotype" w:hAnsi="Palatino Linotype" w:cs="Palatino Linotype"/>
          <w:i/>
          <w:sz w:val="22"/>
          <w:szCs w:val="22"/>
        </w:rPr>
        <w:t xml:space="preserve">, género, edad, discapacidad, condición social o económica, condiciones de salud, embarazo, lengua, religión, opiniones, </w:t>
      </w:r>
      <w:r w:rsidRPr="002C5B71">
        <w:rPr>
          <w:rFonts w:ascii="Palatino Linotype" w:eastAsia="Palatino Linotype" w:hAnsi="Palatino Linotype" w:cs="Palatino Linotype"/>
          <w:b/>
          <w:i/>
          <w:sz w:val="22"/>
          <w:szCs w:val="22"/>
        </w:rPr>
        <w:t>preferencias sexuales,</w:t>
      </w:r>
      <w:r w:rsidRPr="002C5B71">
        <w:rPr>
          <w:rFonts w:ascii="Palatino Linotype" w:eastAsia="Palatino Linotype" w:hAnsi="Palatino Linotype" w:cs="Palatino Linotype"/>
          <w:i/>
          <w:sz w:val="22"/>
          <w:szCs w:val="22"/>
        </w:rPr>
        <w:t xml:space="preserve"> predilecciones de cualquier índole, estado civil o alguna otra, </w:t>
      </w:r>
      <w:r w:rsidRPr="002C5B71">
        <w:rPr>
          <w:rFonts w:ascii="Palatino Linotype" w:eastAsia="Palatino Linotype" w:hAnsi="Palatino Linotype" w:cs="Palatino Linotype"/>
          <w:b/>
          <w:i/>
          <w:sz w:val="22"/>
          <w:szCs w:val="22"/>
        </w:rPr>
        <w:t>que tenga por efecto impedir o anular el reconocimiento o el ejercicio de los derechos fundamentales en condiciones de equidad e igualdad de oportunidades y de trato de las personas</w:t>
      </w:r>
      <w:r w:rsidRPr="002C5B71">
        <w:rPr>
          <w:rFonts w:ascii="Palatino Linotype" w:eastAsia="Palatino Linotype" w:hAnsi="Palatino Linotype" w:cs="Palatino Linotype"/>
          <w:i/>
          <w:sz w:val="22"/>
          <w:szCs w:val="22"/>
        </w:rPr>
        <w:t>, tales como:</w:t>
      </w:r>
    </w:p>
    <w:p w14:paraId="3A4684B1"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3E5D5FE7"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Discriminación directa por razón de sexo</w:t>
      </w:r>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b/>
          <w:i/>
          <w:sz w:val="22"/>
          <w:szCs w:val="22"/>
        </w:rPr>
        <w:t xml:space="preserve">Es la originada por disposiciones, criterios o prácticas que pone a personas de un sexo </w:t>
      </w:r>
      <w:r w:rsidRPr="002C5B71">
        <w:rPr>
          <w:rFonts w:ascii="Palatino Linotype" w:eastAsia="Palatino Linotype" w:hAnsi="Palatino Linotype" w:cs="Palatino Linotype"/>
          <w:i/>
          <w:sz w:val="22"/>
          <w:szCs w:val="22"/>
        </w:rPr>
        <w:t xml:space="preserve">en desventaja particular con respecto a personas del otro. Se exceptúan de esta las disposiciones, criterios o prácticas que se justifiquen objetivamente con una finalidad legítima, como en el caso de las acciones afirmativas. </w:t>
      </w:r>
    </w:p>
    <w:p w14:paraId="1F350673"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504521F9"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Discriminación indirecta por razón de sexo</w:t>
      </w:r>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b/>
          <w:i/>
          <w:sz w:val="22"/>
          <w:szCs w:val="22"/>
        </w:rPr>
        <w:t>Es aquella en la que se establecen condiciones formalmente neutras respecto al sexo pero que resultan desfavorables</w:t>
      </w:r>
      <w:r w:rsidRPr="002C5B71">
        <w:rPr>
          <w:rFonts w:ascii="Palatino Linotype" w:eastAsia="Palatino Linotype" w:hAnsi="Palatino Linotype" w:cs="Palatino Linotype"/>
          <w:i/>
          <w:sz w:val="22"/>
          <w:szCs w:val="22"/>
        </w:rPr>
        <w:t xml:space="preserve"> para algunos de los sujetos de esta Ley; y además carecen de una causa suficiente, objetiva, razonable y justificada.</w:t>
      </w:r>
    </w:p>
    <w:p w14:paraId="07353024"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1E849106"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5EBC52A4"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X. Igualdad de trato y oportunidades entre mujeres y hombres</w:t>
      </w:r>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b/>
          <w:i/>
          <w:sz w:val="22"/>
          <w:szCs w:val="22"/>
        </w:rPr>
        <w:t>A la eliminación de toda forma de discriminación en cualquiera de los ámbitos de la vida, que se genere por pertenecer a cualquier sexo;</w:t>
      </w:r>
    </w:p>
    <w:p w14:paraId="79BB5802"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232C3D4A"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lastRenderedPageBreak/>
        <w:t>XIII. Perspectiva de Género</w:t>
      </w:r>
      <w:r w:rsidRPr="002C5B71">
        <w:rPr>
          <w:rFonts w:ascii="Palatino Linotype" w:eastAsia="Palatino Linotype" w:hAnsi="Palatino Linotype" w:cs="Palatino Linotype"/>
          <w:i/>
          <w:sz w:val="22"/>
          <w:szCs w:val="22"/>
        </w:rPr>
        <w:t xml:space="preserve">: A la visión científica, analítica y política sobre las mujeres y los hombres, en que se propone </w:t>
      </w:r>
      <w:r w:rsidRPr="002C5B71">
        <w:rPr>
          <w:rFonts w:ascii="Palatino Linotype" w:eastAsia="Palatino Linotype" w:hAnsi="Palatino Linotype" w:cs="Palatino Linotype"/>
          <w:b/>
          <w:i/>
          <w:sz w:val="22"/>
          <w:szCs w:val="22"/>
        </w:rPr>
        <w:t>la eliminación de las causas de opresión de género como la desigualdad</w:t>
      </w:r>
      <w:r w:rsidRPr="002C5B71">
        <w:rPr>
          <w:rFonts w:ascii="Palatino Linotype" w:eastAsia="Palatino Linotype" w:hAnsi="Palatino Linotype" w:cs="Palatino Linotype"/>
          <w:i/>
          <w:sz w:val="22"/>
          <w:szCs w:val="22"/>
        </w:rPr>
        <w:t xml:space="preserve">, injusticia y jerarquización de las personas basada en el género; </w:t>
      </w:r>
      <w:r w:rsidRPr="002C5B71">
        <w:rPr>
          <w:rFonts w:ascii="Palatino Linotype" w:eastAsia="Palatino Linotype" w:hAnsi="Palatino Linotype" w:cs="Palatino Linotype"/>
          <w:b/>
          <w:i/>
          <w:sz w:val="22"/>
          <w:szCs w:val="22"/>
        </w:rPr>
        <w:t>promueve la igualdad entre los géneros a través de la equidad, el adelanto y el bienestar de las mujeres, contribuye a construir una sociedad en la cual, las mujeres y los hombres tengan el mismo valor, igualdad de derechos y oportunidades para acceder a los recursos económicos y a la representación política y social en los ámbitos de toma de decisiones;</w:t>
      </w:r>
    </w:p>
    <w:p w14:paraId="7337FD65" w14:textId="77777777" w:rsidR="001B45B9" w:rsidRPr="002C5B71" w:rsidRDefault="001B45B9">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460110C4" w14:textId="77777777" w:rsidR="001B45B9" w:rsidRPr="002C5B71" w:rsidRDefault="00AA4BF8">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CAPÍTULO NOVENO</w:t>
      </w:r>
    </w:p>
    <w:p w14:paraId="31ECF975" w14:textId="77777777" w:rsidR="001B45B9" w:rsidRPr="002C5B71" w:rsidRDefault="00AA4BF8">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DE LA IGUALDAD EN LOS DIVERSOS ÁMBITOS</w:t>
      </w:r>
    </w:p>
    <w:p w14:paraId="6B2AD791"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Artículo 30.- Las autoridades estatales</w:t>
      </w:r>
      <w:r w:rsidRPr="002C5B71">
        <w:rPr>
          <w:rFonts w:ascii="Palatino Linotype" w:eastAsia="Palatino Linotype" w:hAnsi="Palatino Linotype" w:cs="Palatino Linotype"/>
          <w:i/>
          <w:sz w:val="22"/>
          <w:szCs w:val="22"/>
        </w:rPr>
        <w:t xml:space="preserve"> y municipales </w:t>
      </w:r>
      <w:r w:rsidRPr="002C5B71">
        <w:rPr>
          <w:rFonts w:ascii="Palatino Linotype" w:eastAsia="Palatino Linotype" w:hAnsi="Palatino Linotype" w:cs="Palatino Linotype"/>
          <w:b/>
          <w:i/>
          <w:sz w:val="22"/>
          <w:szCs w:val="22"/>
        </w:rPr>
        <w:t>en el ámbito de sus respectivas competencias, deberán garantizar la igualdad de trato y oportunidades entre mujeres y hombres en la vida económica y laboral</w:t>
      </w:r>
      <w:r w:rsidRPr="002C5B71">
        <w:rPr>
          <w:rFonts w:ascii="Palatino Linotype" w:eastAsia="Palatino Linotype" w:hAnsi="Palatino Linotype" w:cs="Palatino Linotype"/>
          <w:i/>
          <w:sz w:val="22"/>
          <w:szCs w:val="22"/>
        </w:rPr>
        <w:t xml:space="preserve">, vigilando que las personas físicas y jurídicas colectivas, generadoras de empleo den cumplimiento a la Ley, </w:t>
      </w:r>
      <w:r w:rsidRPr="002C5B71">
        <w:rPr>
          <w:rFonts w:ascii="Palatino Linotype" w:eastAsia="Palatino Linotype" w:hAnsi="Palatino Linotype" w:cs="Palatino Linotype"/>
          <w:b/>
          <w:i/>
          <w:sz w:val="22"/>
          <w:szCs w:val="22"/>
        </w:rPr>
        <w:t xml:space="preserve">para lo cual adoptarán medidas dirigidas a erradicar cualquier tipo de discriminación laboral entre mujeres y hombres, desarrollando las siguientes acciones: </w:t>
      </w:r>
    </w:p>
    <w:p w14:paraId="659CBC40"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I. Impulsar liderazgos igualitarios; </w:t>
      </w:r>
    </w:p>
    <w:p w14:paraId="48EED6B7"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II. Promover políticas públicas de empleo que tengan como objetivo prioritario aumentar la participación de las mujeres en el mercado laboral y avanzar en la igualdad de trato y oportunidades entre mujeres y hombres, para ello, se deberán implementar acciones afirmativas para mejorar las oportunidades a las mujeres, así como su permanencia, potenciando su nivel formativo y su adaptación a los requerimientos del mercado de trabajo; </w:t>
      </w:r>
    </w:p>
    <w:p w14:paraId="0DB000CD"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lastRenderedPageBreak/>
        <w:t xml:space="preserve">III. Promover el uso de un lenguaje no sexista en anuncios de vacantes u ofertas de trabajo, libres de cualquier tipo de expresión discriminatoria; </w:t>
      </w:r>
    </w:p>
    <w:p w14:paraId="341B758A"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IV. Fomentar la integración de políticas públicas con perspectiva de género en materia económica; </w:t>
      </w:r>
    </w:p>
    <w:p w14:paraId="1C790A66"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V. Implementar acciones afirmativas para reducir los factores que relegan la incorporación de las personas al ámbito laboral, en razón de su sexo a fin de erradicarlos; </w:t>
      </w:r>
    </w:p>
    <w:p w14:paraId="6A90A7AB"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VI. Fomentar el acceso al trabajo de las personas que en razón de su sexo están relegadas de puestos directivos y generar los mecanismos necesarios para su capacitación; </w:t>
      </w:r>
    </w:p>
    <w:p w14:paraId="4A7D494D"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VII. Garantizar que en su Programa Operativo Anual se especifique una partida presupuestaria para el debido cumplimiento de la Ley; </w:t>
      </w:r>
    </w:p>
    <w:p w14:paraId="4371E451"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VIII. Crear mecanismos de coordinación con la iniciativa privada, a efecto de fomentar la igualdad de trato y oportunidades entre hombres y mujeres que laboran en ese sector; </w:t>
      </w:r>
    </w:p>
    <w:p w14:paraId="0350CCFF"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IX. Evitar la segregación de las personas por razón de su sexo, del mercado de trabajo y eliminar las diferencias remuneratorias, así como potenciar el crecimiento del empresariado femenino y el valor del trabajo de las mujeres, incluido el doméstico; </w:t>
      </w:r>
    </w:p>
    <w:p w14:paraId="4DD516BF"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X. Realizar campañas que fomenten la contratación de mujeres para hacer efectiva la igualdad de trato y oportunidades entre mujeres y hombres en los ámbitos público, social y privado; </w:t>
      </w:r>
    </w:p>
    <w:p w14:paraId="02D67B81"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XI. Implementar en coordinación con las autoridades competentes medidas destinadas a abatir cualquier tipo de discriminación, violencia, hostigamiento o acoso por razón de sexo;</w:t>
      </w:r>
    </w:p>
    <w:p w14:paraId="794CAD5F"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XII. Promover investigaciones con perspectiva de género en materia de salud y de seguridad en el trabajo; </w:t>
      </w:r>
    </w:p>
    <w:p w14:paraId="0DA4077C"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XIII. Fomentar la participación equilibrada y sin discriminación de mujeres y hombres en sus procesos de selección, contratación y ascensos; </w:t>
      </w:r>
    </w:p>
    <w:p w14:paraId="68BFCEBA"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lastRenderedPageBreak/>
        <w:t xml:space="preserve">XIV. Proponer en el ámbito de su competencia, el otorgamiento de estímulos de igualdad que se concederán anualmente a las empresas que hayan aplicado políticas que incorporen medidas innovadoras para propiciar la igualdad de trato y oportunidades en sus organizaciones y que proporcionen servicios que faciliten la conciliación de la vida familiar y laboral del personal a su cargo; </w:t>
      </w:r>
    </w:p>
    <w:p w14:paraId="216A95A1"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XV. Garantizar medidas de apoyo para lograr la inserción laboral de personas en situación de exclusión social, que sufran violencia de género, que tengan alguna enfermedad grave, incurable y mortal, cuenten con alguna discapacidad, hayan ejercido la prostitución, sean inmigrantes, indígenas, adultos mayores, que hayan sido condenadas por la comisión de un delito o en general, aquellas que han sido objeto de discriminación; </w:t>
      </w:r>
    </w:p>
    <w:p w14:paraId="10FB1616"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XVI. Promover que al interior de los ámbitos público y privado, se apliquen instrumentos de medición de diversos tópicos en materia de igualdad, para conocer el grado de satisfacción de los empleados en su respectivo espacio laboral; y </w:t>
      </w:r>
    </w:p>
    <w:p w14:paraId="0B8B003E" w14:textId="77777777" w:rsidR="001B45B9" w:rsidRPr="002C5B71" w:rsidRDefault="00AA4BF8">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XVII. Mejorar los sistemas estatales de inspección del trabajo, en lo que se refiere a las normas de igualdad de retribución.</w:t>
      </w:r>
    </w:p>
    <w:p w14:paraId="6E95117A" w14:textId="77777777" w:rsidR="001B45B9" w:rsidRPr="002C5B71" w:rsidRDefault="001B45B9">
      <w:pPr>
        <w:pBdr>
          <w:top w:val="nil"/>
          <w:left w:val="nil"/>
          <w:bottom w:val="nil"/>
          <w:right w:val="nil"/>
          <w:between w:val="nil"/>
        </w:pBdr>
        <w:spacing w:line="360" w:lineRule="auto"/>
        <w:ind w:right="50"/>
        <w:jc w:val="both"/>
        <w:rPr>
          <w:sz w:val="22"/>
          <w:szCs w:val="22"/>
        </w:rPr>
      </w:pPr>
    </w:p>
    <w:p w14:paraId="67CC760C"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r w:rsidRPr="002C5B71">
        <w:rPr>
          <w:rFonts w:ascii="Palatino Linotype" w:eastAsia="Palatino Linotype" w:hAnsi="Palatino Linotype" w:cs="Palatino Linotype"/>
          <w:sz w:val="22"/>
          <w:szCs w:val="22"/>
        </w:rPr>
        <w:t xml:space="preserve">En conclusión, la Coordinación Jurídica, de Igualdad de Género y Erradicación de la Violencia tiene la obligación de </w:t>
      </w:r>
      <w:r w:rsidRPr="002C5B71">
        <w:rPr>
          <w:rFonts w:ascii="Palatino Linotype" w:eastAsia="Palatino Linotype" w:hAnsi="Palatino Linotype" w:cs="Palatino Linotype"/>
          <w:b/>
          <w:sz w:val="22"/>
          <w:szCs w:val="22"/>
        </w:rPr>
        <w:t xml:space="preserve">Instrumentar las acciones necesarias para dar cumplimiento con lo establecido en la Ley de Igualdad de Trato y Oportunidades entre Mujeres y Hombres, ambas del Estado de México, esta última establece que las autoridades estatales deben garantizar la igualdad de trato y oportunidades entre hombre y mujeres, adoptando medidas dirigidas a erradicar cualquier tipo de discriminación laboral, desarrollando una serie de acciones, entre las que destacan liderazgo igualitario, políticas públicas, lenguaje no sexista, evitar segregación de las personas por razón de su sexo. </w:t>
      </w:r>
    </w:p>
    <w:p w14:paraId="29D98699"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b/>
          <w:sz w:val="22"/>
          <w:szCs w:val="22"/>
        </w:rPr>
      </w:pPr>
    </w:p>
    <w:p w14:paraId="190D6610" w14:textId="77777777" w:rsidR="001B45B9" w:rsidRPr="002C5B71" w:rsidRDefault="00AA4BF8">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Entonces, se determina que el Sujeto Obligado cuenta con las funciones, atribuciones y competencias para generar, administrar y poseer la información requerida por el Recurrente, a través de la Coordinación Jurídica, de Igualdad de Género y Erradicación de la Violencia, por lo que se ordena realizar una búsqueda exhaustiva y razonable a efecto de localizar y poner a disposición del Recurrente el soporte documental requerido.</w:t>
      </w:r>
    </w:p>
    <w:p w14:paraId="32113C6B" w14:textId="77777777" w:rsidR="001B45B9" w:rsidRPr="002C5B71" w:rsidRDefault="001B45B9">
      <w:pPr>
        <w:pBdr>
          <w:top w:val="nil"/>
          <w:left w:val="nil"/>
          <w:bottom w:val="nil"/>
          <w:right w:val="nil"/>
          <w:between w:val="nil"/>
        </w:pBdr>
        <w:spacing w:line="360" w:lineRule="auto"/>
        <w:ind w:right="50"/>
        <w:jc w:val="both"/>
        <w:rPr>
          <w:rFonts w:ascii="Palatino Linotype" w:eastAsia="Palatino Linotype" w:hAnsi="Palatino Linotype" w:cs="Palatino Linotype"/>
          <w:sz w:val="22"/>
          <w:szCs w:val="22"/>
        </w:rPr>
      </w:pPr>
    </w:p>
    <w:p w14:paraId="5A47AF15" w14:textId="77777777" w:rsidR="001B45B9" w:rsidRPr="002C5B71" w:rsidRDefault="00AA4BF8">
      <w:p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Por último y no menos importante, no debe perderse de vista que el Recurrente fue omiso en señalar una temporalidad sobre la cual requiere la información peticionada, por lo que, ante la omisión, existe la obligación de garantizar el derecho de acceso a la información pública y fijar los parámetros de búsqueda a un año inmediato anterior a la presentación de la solicitud, conforme a lo que establece el criterio orientador número 9/13 emitido por el entonces Instituto Federal de Acceso a la Información Pública, cuyo texto y sentido literal es el siguiente:</w:t>
      </w:r>
    </w:p>
    <w:p w14:paraId="0B14AD25" w14:textId="77777777" w:rsidR="001B45B9" w:rsidRPr="002C5B71" w:rsidRDefault="001B45B9">
      <w:pPr>
        <w:pBdr>
          <w:top w:val="nil"/>
          <w:left w:val="nil"/>
          <w:bottom w:val="nil"/>
          <w:right w:val="nil"/>
          <w:between w:val="nil"/>
        </w:pBdr>
        <w:ind w:left="708"/>
        <w:rPr>
          <w:rFonts w:ascii="Palatino Linotype" w:eastAsia="Palatino Linotype" w:hAnsi="Palatino Linotype" w:cs="Palatino Linotype"/>
          <w:sz w:val="22"/>
          <w:szCs w:val="22"/>
        </w:rPr>
      </w:pPr>
    </w:p>
    <w:p w14:paraId="3343293A" w14:textId="77777777" w:rsidR="001B45B9" w:rsidRPr="002C5B71" w:rsidRDefault="00AA4BF8">
      <w:pPr>
        <w:pBdr>
          <w:top w:val="nil"/>
          <w:left w:val="nil"/>
          <w:bottom w:val="nil"/>
          <w:right w:val="nil"/>
          <w:between w:val="nil"/>
        </w:pBdr>
        <w:tabs>
          <w:tab w:val="left" w:pos="567"/>
        </w:tabs>
        <w:spacing w:line="360" w:lineRule="auto"/>
        <w:ind w:left="567" w:right="567"/>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r w:rsidRPr="002C5B71">
        <w:rPr>
          <w:rFonts w:ascii="Palatino Linotype" w:eastAsia="Palatino Linotype" w:hAnsi="Palatino Linotype" w:cs="Palatino Linotype"/>
          <w:b/>
          <w:i/>
          <w:sz w:val="22"/>
          <w:szCs w:val="22"/>
        </w:rPr>
        <w:t>Periodo de búsqueda de la información, cuando no se precisa en la solicitud de información</w:t>
      </w:r>
      <w:r w:rsidRPr="002C5B71">
        <w:rPr>
          <w:rFonts w:ascii="Palatino Linotype" w:eastAsia="Palatino Linotype" w:hAnsi="Palatino Linotype" w:cs="Palatino Linotype"/>
          <w:i/>
          <w:sz w:val="22"/>
          <w:szCs w:val="22"/>
        </w:rPr>
        <w:t xml:space="preserve">.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w:t>
      </w:r>
      <w:r w:rsidRPr="002C5B71">
        <w:rPr>
          <w:rFonts w:ascii="Palatino Linotype" w:eastAsia="Palatino Linotype" w:hAnsi="Palatino Linotype" w:cs="Palatino Linotype"/>
          <w:b/>
          <w:i/>
          <w:sz w:val="22"/>
          <w:szCs w:val="22"/>
        </w:rPr>
        <w:t>deberá interpretarse que su requerimiento se refiere al del año inmediato anterior contado a partir de la fecha en que se presentó la solicitud</w:t>
      </w:r>
      <w:r w:rsidRPr="002C5B71">
        <w:rPr>
          <w:rFonts w:ascii="Palatino Linotype" w:eastAsia="Palatino Linotype" w:hAnsi="Palatino Linotype" w:cs="Palatino Linotype"/>
          <w:i/>
          <w:sz w:val="22"/>
          <w:szCs w:val="22"/>
        </w:rPr>
        <w:t xml:space="preserve">. Lo anterior permite que los sujetos obligados cuenten con mayores elementos para precisar y localizar la información solicitada.” </w:t>
      </w:r>
    </w:p>
    <w:p w14:paraId="3291662B" w14:textId="77777777" w:rsidR="001B45B9" w:rsidRPr="002C5B71" w:rsidRDefault="00AA4BF8">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lastRenderedPageBreak/>
        <w:t>En consecuencia, la información que deberá proporcionar el Sujeto Obligado en cumplimiento a la presente resolución debe comprender el periodo del dieciséis de julio de dos mil veintitrés al uno de julio de dos mil veinticuatro.</w:t>
      </w:r>
    </w:p>
    <w:p w14:paraId="0F096022"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De ser el caso de que la información contenga datos personales susceptibles de clasificarse como confidenciales, el Sujeto Obligado estará a lo dispuesto en el siguiente Considerando.</w:t>
      </w:r>
    </w:p>
    <w:p w14:paraId="75B9AA07"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6EBCB8CA"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Si como resultado de la búsqueda exhaustiva y razonable el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 xml:space="preserve"> no cuente con información, bastará con que así lo haga del conocimiento de la parte </w:t>
      </w:r>
      <w:r w:rsidRPr="002C5B71">
        <w:rPr>
          <w:rFonts w:ascii="Palatino Linotype" w:eastAsia="Palatino Linotype" w:hAnsi="Palatino Linotype" w:cs="Palatino Linotype"/>
          <w:b/>
          <w:sz w:val="22"/>
          <w:szCs w:val="22"/>
        </w:rPr>
        <w:t>Recurrente</w:t>
      </w:r>
      <w:r w:rsidRPr="002C5B71">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590A0D1A"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71A571B0"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Por último y no menos importante, es de señalar que el Recurrente señaló en sus motivos de inconformidad </w:t>
      </w:r>
      <w:r w:rsidRPr="002C5B71">
        <w:rPr>
          <w:rFonts w:ascii="Palatino Linotype" w:eastAsia="Palatino Linotype" w:hAnsi="Palatino Linotype" w:cs="Palatino Linotype"/>
          <w:i/>
          <w:sz w:val="22"/>
          <w:szCs w:val="22"/>
        </w:rPr>
        <w:t xml:space="preserve">“…de igual forma solicito saber </w:t>
      </w:r>
      <w:proofErr w:type="spellStart"/>
      <w:r w:rsidRPr="002C5B71">
        <w:rPr>
          <w:rFonts w:ascii="Palatino Linotype" w:eastAsia="Palatino Linotype" w:hAnsi="Palatino Linotype" w:cs="Palatino Linotype"/>
          <w:i/>
          <w:sz w:val="22"/>
          <w:szCs w:val="22"/>
        </w:rPr>
        <w:t>quien</w:t>
      </w:r>
      <w:proofErr w:type="spellEnd"/>
      <w:r w:rsidRPr="002C5B71">
        <w:rPr>
          <w:rFonts w:ascii="Palatino Linotype" w:eastAsia="Palatino Linotype" w:hAnsi="Palatino Linotype" w:cs="Palatino Linotype"/>
          <w:i/>
          <w:sz w:val="22"/>
          <w:szCs w:val="22"/>
        </w:rPr>
        <w:t xml:space="preserve"> es el sujeto habilitado de esa área que contestas ya que contesta otro servidor </w:t>
      </w:r>
      <w:proofErr w:type="spellStart"/>
      <w:r w:rsidRPr="002C5B71">
        <w:rPr>
          <w:rFonts w:ascii="Palatino Linotype" w:eastAsia="Palatino Linotype" w:hAnsi="Palatino Linotype" w:cs="Palatino Linotype"/>
          <w:i/>
          <w:sz w:val="22"/>
          <w:szCs w:val="22"/>
        </w:rPr>
        <w:t>Publico</w:t>
      </w:r>
      <w:proofErr w:type="spellEnd"/>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sz w:val="22"/>
          <w:szCs w:val="22"/>
        </w:rPr>
        <w:t>se debe mencionar que lo referido por el Recurrente en el recurso de revisión no forma parte de lo requerido inicialmente, considerándose una petición adicional.</w:t>
      </w:r>
    </w:p>
    <w:p w14:paraId="73076592"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7DD07CF5" w14:textId="77777777" w:rsidR="001B45B9" w:rsidRPr="002C5B71" w:rsidRDefault="00AA4BF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32"/>
          <w:szCs w:val="32"/>
        </w:rPr>
      </w:pPr>
      <w:r w:rsidRPr="002C5B71">
        <w:rPr>
          <w:rFonts w:ascii="Palatino Linotype" w:eastAsia="Palatino Linotype" w:hAnsi="Palatino Linotype" w:cs="Palatino Linotype"/>
          <w:b/>
        </w:rPr>
        <w:t>De este modo, en los motivos de inconformidad los recurrentes no pueden incluir situaciones novedosas o solicitudes de información nuevas</w:t>
      </w:r>
      <w:r w:rsidRPr="002C5B71">
        <w:rPr>
          <w:rFonts w:ascii="Palatino Linotype" w:eastAsia="Palatino Linotype" w:hAnsi="Palatino Linotype" w:cs="Palatino Linotype"/>
        </w:rPr>
        <w:t xml:space="preserve"> de las que el Sujeto Obligado no tuvo la oportunidad de conocer y por consiguiente producir un posicionamiento.</w:t>
      </w:r>
    </w:p>
    <w:p w14:paraId="4256CB00" w14:textId="77777777" w:rsidR="001B45B9" w:rsidRPr="002C5B71" w:rsidRDefault="001B45B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32"/>
          <w:szCs w:val="32"/>
        </w:rPr>
      </w:pPr>
    </w:p>
    <w:p w14:paraId="16B68C8E" w14:textId="77777777" w:rsidR="001B45B9" w:rsidRPr="002C5B71" w:rsidRDefault="00AA4BF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32"/>
          <w:szCs w:val="32"/>
        </w:rPr>
      </w:pPr>
      <w:r w:rsidRPr="002C5B71">
        <w:rPr>
          <w:rFonts w:ascii="Palatino Linotype" w:eastAsia="Palatino Linotype" w:hAnsi="Palatino Linotype" w:cs="Palatino Linotype"/>
        </w:rPr>
        <w:lastRenderedPageBreak/>
        <w:t>Es por ello, que la Ley de la materia contempla que en los casos en que a través del recurso de revisión se pretenda ampliar los requerimientos de información, la inconformidad relativa a estas situaciones novedosas no debe ser tomada en cuenta como parte de la Litis y debe ser desechada, tal y como lo establece el artículo 191 fracción VII:</w:t>
      </w:r>
    </w:p>
    <w:p w14:paraId="743AD6FC" w14:textId="77777777" w:rsidR="001B45B9" w:rsidRPr="002C5B71" w:rsidRDefault="001B45B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8"/>
          <w:szCs w:val="28"/>
        </w:rPr>
      </w:pPr>
    </w:p>
    <w:p w14:paraId="1056729E" w14:textId="77777777" w:rsidR="001B45B9" w:rsidRPr="002C5B71" w:rsidRDefault="00AA4BF8">
      <w:pPr>
        <w:spacing w:line="360" w:lineRule="auto"/>
        <w:ind w:left="567" w:right="618"/>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Artículo 191. El recurso será desechado por improcedente cuando:</w:t>
      </w:r>
    </w:p>
    <w:p w14:paraId="5F77CE9E" w14:textId="77777777" w:rsidR="001B45B9" w:rsidRPr="002C5B71" w:rsidRDefault="00AA4BF8">
      <w:pPr>
        <w:spacing w:line="360" w:lineRule="auto"/>
        <w:ind w:left="567" w:right="618"/>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p>
    <w:p w14:paraId="123E7E95" w14:textId="77777777" w:rsidR="001B45B9" w:rsidRPr="002C5B71" w:rsidRDefault="00AA4BF8">
      <w:pPr>
        <w:spacing w:line="360" w:lineRule="auto"/>
        <w:ind w:left="567" w:right="618"/>
        <w:jc w:val="both"/>
        <w:rPr>
          <w:rFonts w:ascii="Palatino Linotype" w:eastAsia="Palatino Linotype" w:hAnsi="Palatino Linotype" w:cs="Palatino Linotype"/>
          <w:b/>
          <w:i/>
          <w:sz w:val="22"/>
          <w:szCs w:val="22"/>
          <w:u w:val="single"/>
        </w:rPr>
      </w:pPr>
      <w:r w:rsidRPr="002C5B71">
        <w:rPr>
          <w:rFonts w:ascii="Palatino Linotype" w:eastAsia="Palatino Linotype" w:hAnsi="Palatino Linotype" w:cs="Palatino Linotype"/>
          <w:b/>
          <w:i/>
          <w:sz w:val="22"/>
          <w:szCs w:val="22"/>
        </w:rPr>
        <w:t xml:space="preserve">VII. El recurrente amplíe su solicitud en el recurso de revisión, </w:t>
      </w:r>
      <w:r w:rsidRPr="002C5B71">
        <w:rPr>
          <w:rFonts w:ascii="Palatino Linotype" w:eastAsia="Palatino Linotype" w:hAnsi="Palatino Linotype" w:cs="Palatino Linotype"/>
          <w:b/>
          <w:i/>
          <w:sz w:val="22"/>
          <w:szCs w:val="22"/>
          <w:u w:val="single"/>
        </w:rPr>
        <w:t>únicamente respecto de los nuevos contenidos.</w:t>
      </w:r>
    </w:p>
    <w:p w14:paraId="028AE549" w14:textId="77777777" w:rsidR="001B45B9" w:rsidRPr="002C5B71" w:rsidRDefault="001B45B9">
      <w:pPr>
        <w:ind w:left="567" w:right="618"/>
        <w:jc w:val="both"/>
        <w:rPr>
          <w:rFonts w:ascii="Palatino Linotype" w:eastAsia="Palatino Linotype" w:hAnsi="Palatino Linotype" w:cs="Palatino Linotype"/>
          <w:b/>
          <w:i/>
          <w:sz w:val="22"/>
          <w:szCs w:val="22"/>
          <w:u w:val="single"/>
        </w:rPr>
      </w:pPr>
    </w:p>
    <w:p w14:paraId="258ADC1E" w14:textId="77777777" w:rsidR="001B45B9" w:rsidRPr="002C5B71" w:rsidRDefault="00AA4BF8">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rPr>
        <w:t xml:space="preserve">Por lo anterior, resulta improcedente parcialmente el referido agravio, toda vez que el Recurrente se excede dentro de su inconformidad solicitando al Sujeto Obligado entregue información adicional, lo que hace que se surta lo que en la teoría jurídica se le denomina como </w:t>
      </w:r>
      <w:r w:rsidRPr="002C5B71">
        <w:rPr>
          <w:rFonts w:ascii="Palatino Linotype" w:eastAsia="Palatino Linotype" w:hAnsi="Palatino Linotype" w:cs="Palatino Linotype"/>
          <w:b/>
        </w:rPr>
        <w:t xml:space="preserve">plus </w:t>
      </w:r>
      <w:proofErr w:type="spellStart"/>
      <w:r w:rsidRPr="002C5B71">
        <w:rPr>
          <w:rFonts w:ascii="Palatino Linotype" w:eastAsia="Palatino Linotype" w:hAnsi="Palatino Linotype" w:cs="Palatino Linotype"/>
          <w:b/>
        </w:rPr>
        <w:t>petitio</w:t>
      </w:r>
      <w:proofErr w:type="spellEnd"/>
      <w:r w:rsidRPr="002C5B71">
        <w:rPr>
          <w:rFonts w:ascii="Palatino Linotype" w:eastAsia="Palatino Linotype" w:hAnsi="Palatino Linotype" w:cs="Palatino Linotype"/>
        </w:rPr>
        <w:t>.</w:t>
      </w:r>
    </w:p>
    <w:p w14:paraId="5B2B2006"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20786EB5"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 xml:space="preserve">Quinto. Versión Pública. </w:t>
      </w:r>
      <w:r w:rsidRPr="002C5B71">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2C5B71">
        <w:rPr>
          <w:rFonts w:ascii="Palatino Linotype" w:eastAsia="Palatino Linotype" w:hAnsi="Palatino Linotype" w:cs="Palatino Linotype"/>
          <w:b/>
          <w:sz w:val="22"/>
          <w:szCs w:val="22"/>
        </w:rPr>
        <w:t>Recurrente</w:t>
      </w:r>
      <w:r w:rsidRPr="002C5B71">
        <w:rPr>
          <w:rFonts w:ascii="Palatino Linotype" w:eastAsia="Palatino Linotype" w:hAnsi="Palatino Linotype" w:cs="Palatino Linotype"/>
          <w:sz w:val="22"/>
          <w:szCs w:val="22"/>
        </w:rPr>
        <w:t xml:space="preserve"> sin menoscabar el derecho a la protección de los datos personales de terceros.</w:t>
      </w:r>
    </w:p>
    <w:p w14:paraId="473BD824" w14:textId="77777777" w:rsidR="001B45B9" w:rsidRPr="002C5B71" w:rsidRDefault="00AA4BF8">
      <w:pPr>
        <w:spacing w:before="240" w:after="240"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5DDFB45E" w14:textId="77777777" w:rsidR="001B45B9" w:rsidRPr="002C5B71" w:rsidRDefault="00AA4BF8">
      <w:pPr>
        <w:ind w:left="851"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 xml:space="preserve"> “Artículo 3. Para los efectos de la presente Ley se entenderá por:</w:t>
      </w:r>
    </w:p>
    <w:p w14:paraId="6A176B70" w14:textId="77777777" w:rsidR="001B45B9" w:rsidRPr="002C5B71" w:rsidRDefault="00AA4BF8">
      <w:pP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IX. Datos personales:</w:t>
      </w:r>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b/>
          <w:i/>
          <w:sz w:val="22"/>
          <w:szCs w:val="22"/>
        </w:rPr>
        <w:t>La información concerniente a una persona, identificada o identificable</w:t>
      </w:r>
      <w:r w:rsidRPr="002C5B71">
        <w:rPr>
          <w:rFonts w:ascii="Palatino Linotype" w:eastAsia="Palatino Linotype" w:hAnsi="Palatino Linotype" w:cs="Palatino Linotype"/>
          <w:i/>
          <w:sz w:val="22"/>
          <w:szCs w:val="22"/>
        </w:rPr>
        <w:t xml:space="preserve"> según lo dispuesto por la Ley de Protección de Datos Personales del Estado de México;</w:t>
      </w:r>
    </w:p>
    <w:p w14:paraId="1F819A1B" w14:textId="77777777" w:rsidR="001B45B9" w:rsidRPr="002C5B71" w:rsidRDefault="00AA4BF8">
      <w:pP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XX. Información clasificada:</w:t>
      </w:r>
      <w:r w:rsidRPr="002C5B71">
        <w:rPr>
          <w:rFonts w:ascii="Palatino Linotype" w:eastAsia="Palatino Linotype" w:hAnsi="Palatino Linotype" w:cs="Palatino Linotype"/>
          <w:i/>
          <w:sz w:val="22"/>
          <w:szCs w:val="22"/>
        </w:rPr>
        <w:t xml:space="preserve"> Aquella considerada por la presente Ley como reservada o confidencial;</w:t>
      </w:r>
    </w:p>
    <w:p w14:paraId="4A01BF4C" w14:textId="77777777" w:rsidR="001B45B9" w:rsidRPr="002C5B71" w:rsidRDefault="00AA4BF8">
      <w:pP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XXXII. Protección de Datos Personales:</w:t>
      </w:r>
      <w:r w:rsidRPr="002C5B71">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0149702" w14:textId="77777777" w:rsidR="001B45B9" w:rsidRPr="002C5B71" w:rsidRDefault="00AA4BF8">
      <w:pP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XLV. Versión pública</w:t>
      </w:r>
      <w:r w:rsidRPr="002C5B71">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70F1FDBE" w14:textId="77777777" w:rsidR="001B45B9" w:rsidRPr="002C5B71" w:rsidRDefault="001B45B9">
      <w:pPr>
        <w:ind w:left="851" w:right="616"/>
        <w:jc w:val="both"/>
        <w:rPr>
          <w:rFonts w:ascii="Palatino Linotype" w:eastAsia="Palatino Linotype" w:hAnsi="Palatino Linotype" w:cs="Palatino Linotype"/>
          <w:i/>
          <w:sz w:val="22"/>
          <w:szCs w:val="22"/>
        </w:rPr>
      </w:pPr>
    </w:p>
    <w:p w14:paraId="0EA04FF2" w14:textId="77777777" w:rsidR="001B45B9" w:rsidRPr="002C5B71" w:rsidRDefault="00AA4BF8">
      <w:pP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“Artículo 6.</w:t>
      </w:r>
      <w:r w:rsidRPr="002C5B71">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727BC60" w14:textId="77777777" w:rsidR="001B45B9" w:rsidRPr="002C5B71" w:rsidRDefault="001B45B9">
      <w:pPr>
        <w:ind w:left="851" w:right="616"/>
        <w:jc w:val="both"/>
        <w:rPr>
          <w:rFonts w:ascii="Palatino Linotype" w:eastAsia="Palatino Linotype" w:hAnsi="Palatino Linotype" w:cs="Palatino Linotype"/>
          <w:i/>
          <w:sz w:val="22"/>
          <w:szCs w:val="22"/>
        </w:rPr>
      </w:pPr>
    </w:p>
    <w:p w14:paraId="0A7270F7" w14:textId="77777777" w:rsidR="001B45B9" w:rsidRPr="002C5B71" w:rsidRDefault="00AA4BF8">
      <w:pPr>
        <w:ind w:left="851" w:right="616"/>
        <w:jc w:val="both"/>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“Artículo 137.</w:t>
      </w:r>
      <w:r w:rsidRPr="002C5B71">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3646F26" w14:textId="77777777" w:rsidR="001B45B9" w:rsidRPr="002C5B71" w:rsidRDefault="001B45B9">
      <w:pPr>
        <w:ind w:left="851" w:right="616"/>
        <w:jc w:val="both"/>
        <w:rPr>
          <w:rFonts w:ascii="Palatino Linotype" w:eastAsia="Palatino Linotype" w:hAnsi="Palatino Linotype" w:cs="Palatino Linotype"/>
          <w:b/>
          <w:i/>
          <w:sz w:val="22"/>
          <w:szCs w:val="22"/>
        </w:rPr>
      </w:pPr>
    </w:p>
    <w:p w14:paraId="1F08E038" w14:textId="77777777" w:rsidR="001B45B9" w:rsidRPr="002C5B71" w:rsidRDefault="00AA4BF8">
      <w:pP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“Artículo 143</w:t>
      </w:r>
      <w:r w:rsidRPr="002C5B7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28E8EE6" w14:textId="77777777" w:rsidR="001B45B9" w:rsidRPr="002C5B71" w:rsidRDefault="00AA4BF8">
      <w:pP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I.</w:t>
      </w:r>
      <w:r w:rsidRPr="002C5B71">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20CDD21" w14:textId="77777777" w:rsidR="001B45B9" w:rsidRPr="002C5B71" w:rsidRDefault="00AA4BF8">
      <w:pP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28C1114" w14:textId="77777777" w:rsidR="001B45B9" w:rsidRPr="002C5B71" w:rsidRDefault="00AA4BF8">
      <w:pP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lastRenderedPageBreak/>
        <w:t>III. La que presenten los particulares a los sujetos obligados, de conformidad con lo dispuesto por las leyes o los tratados internacionales.” (Sic)</w:t>
      </w:r>
    </w:p>
    <w:p w14:paraId="32782128" w14:textId="77777777" w:rsidR="001B45B9" w:rsidRPr="002C5B71" w:rsidRDefault="001B45B9">
      <w:pPr>
        <w:ind w:left="993" w:right="1041"/>
        <w:jc w:val="both"/>
        <w:rPr>
          <w:rFonts w:ascii="Palatino Linotype" w:eastAsia="Palatino Linotype" w:hAnsi="Palatino Linotype" w:cs="Palatino Linotype"/>
          <w:i/>
          <w:sz w:val="22"/>
          <w:szCs w:val="22"/>
        </w:rPr>
      </w:pPr>
    </w:p>
    <w:p w14:paraId="459CBCCB" w14:textId="77777777" w:rsidR="001B45B9" w:rsidRPr="002C5B71" w:rsidRDefault="00AA4BF8">
      <w:pPr>
        <w:spacing w:line="360" w:lineRule="auto"/>
        <w:ind w:right="51"/>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 xml:space="preserve"> para satisfacer el derecho de acceso a la información pública de la parte </w:t>
      </w:r>
      <w:r w:rsidRPr="002C5B71">
        <w:rPr>
          <w:rFonts w:ascii="Palatino Linotype" w:eastAsia="Palatino Linotype" w:hAnsi="Palatino Linotype" w:cs="Palatino Linotype"/>
          <w:b/>
          <w:sz w:val="22"/>
          <w:szCs w:val="22"/>
        </w:rPr>
        <w:t>Recurrente</w:t>
      </w:r>
      <w:r w:rsidRPr="002C5B71">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903999B" w14:textId="77777777" w:rsidR="001B45B9" w:rsidRPr="002C5B71" w:rsidRDefault="001B45B9">
      <w:pPr>
        <w:spacing w:line="360" w:lineRule="auto"/>
        <w:ind w:right="51"/>
        <w:jc w:val="both"/>
        <w:rPr>
          <w:rFonts w:ascii="Palatino Linotype" w:eastAsia="Palatino Linotype" w:hAnsi="Palatino Linotype" w:cs="Palatino Linotype"/>
          <w:sz w:val="22"/>
          <w:szCs w:val="22"/>
        </w:rPr>
      </w:pPr>
    </w:p>
    <w:p w14:paraId="0A288B54" w14:textId="77777777" w:rsidR="001B45B9" w:rsidRPr="002C5B71" w:rsidRDefault="00AA4BF8">
      <w:pPr>
        <w:spacing w:line="360" w:lineRule="auto"/>
        <w:ind w:right="50"/>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075DBF3" w14:textId="77777777" w:rsidR="001B45B9" w:rsidRPr="002C5B71" w:rsidRDefault="001B45B9">
      <w:pPr>
        <w:spacing w:line="360" w:lineRule="auto"/>
        <w:ind w:right="50"/>
        <w:jc w:val="both"/>
        <w:rPr>
          <w:rFonts w:ascii="Palatino Linotype" w:eastAsia="Palatino Linotype" w:hAnsi="Palatino Linotype" w:cs="Palatino Linotype"/>
          <w:sz w:val="22"/>
          <w:szCs w:val="22"/>
        </w:rPr>
      </w:pPr>
    </w:p>
    <w:p w14:paraId="5483C93A" w14:textId="77777777" w:rsidR="001B45B9" w:rsidRPr="002C5B71" w:rsidRDefault="00AA4BF8">
      <w:pPr>
        <w:spacing w:line="360" w:lineRule="auto"/>
        <w:ind w:right="51"/>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5ECB88A4" w14:textId="77777777" w:rsidR="001B45B9" w:rsidRPr="002C5B71" w:rsidRDefault="001B45B9">
      <w:pPr>
        <w:spacing w:line="360" w:lineRule="auto"/>
        <w:ind w:right="51"/>
        <w:jc w:val="both"/>
        <w:rPr>
          <w:rFonts w:ascii="Palatino Linotype" w:eastAsia="Palatino Linotype" w:hAnsi="Palatino Linotype" w:cs="Palatino Linotype"/>
          <w:sz w:val="22"/>
          <w:szCs w:val="22"/>
        </w:rPr>
      </w:pPr>
    </w:p>
    <w:p w14:paraId="4145DBDC" w14:textId="77777777" w:rsidR="001B45B9" w:rsidRPr="002C5B71" w:rsidRDefault="00AA4BF8">
      <w:pPr>
        <w:ind w:left="992"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lastRenderedPageBreak/>
        <w:t>“Artículo 49.</w:t>
      </w:r>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b/>
          <w:i/>
          <w:sz w:val="22"/>
          <w:szCs w:val="22"/>
        </w:rPr>
        <w:t>Los Comités de Transparencia</w:t>
      </w:r>
      <w:r w:rsidRPr="002C5B71">
        <w:rPr>
          <w:rFonts w:ascii="Palatino Linotype" w:eastAsia="Palatino Linotype" w:hAnsi="Palatino Linotype" w:cs="Palatino Linotype"/>
          <w:i/>
          <w:sz w:val="22"/>
          <w:szCs w:val="22"/>
        </w:rPr>
        <w:t xml:space="preserve"> tendrán las siguientes atribuciones:</w:t>
      </w:r>
    </w:p>
    <w:p w14:paraId="3010706C" w14:textId="77777777" w:rsidR="001B45B9" w:rsidRPr="002C5B71" w:rsidRDefault="00AA4BF8">
      <w:pPr>
        <w:ind w:left="992"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VIII. Aprobar, modificar o revocar la clasificación de la información</w:t>
      </w:r>
      <w:r w:rsidRPr="002C5B71">
        <w:rPr>
          <w:rFonts w:ascii="Palatino Linotype" w:eastAsia="Palatino Linotype" w:hAnsi="Palatino Linotype" w:cs="Palatino Linotype"/>
          <w:i/>
          <w:sz w:val="22"/>
          <w:szCs w:val="22"/>
        </w:rPr>
        <w:t>…”</w:t>
      </w:r>
    </w:p>
    <w:p w14:paraId="01B5AF7D" w14:textId="77777777" w:rsidR="001B45B9" w:rsidRPr="002C5B71" w:rsidRDefault="00AA4BF8">
      <w:pPr>
        <w:ind w:left="992"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r w:rsidRPr="002C5B71">
        <w:rPr>
          <w:rFonts w:ascii="Palatino Linotype" w:eastAsia="Palatino Linotype" w:hAnsi="Palatino Linotype" w:cs="Palatino Linotype"/>
          <w:b/>
          <w:i/>
          <w:sz w:val="22"/>
          <w:szCs w:val="22"/>
        </w:rPr>
        <w:t>Artículo 53.</w:t>
      </w:r>
      <w:r w:rsidRPr="002C5B71">
        <w:rPr>
          <w:rFonts w:ascii="Palatino Linotype" w:eastAsia="Palatino Linotype" w:hAnsi="Palatino Linotype" w:cs="Palatino Linotype"/>
          <w:i/>
          <w:sz w:val="22"/>
          <w:szCs w:val="22"/>
        </w:rPr>
        <w:t xml:space="preserve"> Las </w:t>
      </w:r>
      <w:r w:rsidRPr="002C5B71">
        <w:rPr>
          <w:rFonts w:ascii="Palatino Linotype" w:eastAsia="Palatino Linotype" w:hAnsi="Palatino Linotype" w:cs="Palatino Linotype"/>
          <w:b/>
          <w:i/>
          <w:sz w:val="22"/>
          <w:szCs w:val="22"/>
        </w:rPr>
        <w:t>Unidades de Transparencia</w:t>
      </w:r>
      <w:r w:rsidRPr="002C5B71">
        <w:rPr>
          <w:rFonts w:ascii="Palatino Linotype" w:eastAsia="Palatino Linotype" w:hAnsi="Palatino Linotype" w:cs="Palatino Linotype"/>
          <w:i/>
          <w:sz w:val="22"/>
          <w:szCs w:val="22"/>
        </w:rPr>
        <w:t xml:space="preserve"> tendrán las siguientes </w:t>
      </w:r>
      <w:r w:rsidRPr="002C5B71">
        <w:rPr>
          <w:rFonts w:ascii="Palatino Linotype" w:eastAsia="Palatino Linotype" w:hAnsi="Palatino Linotype" w:cs="Palatino Linotype"/>
          <w:b/>
          <w:i/>
          <w:sz w:val="22"/>
          <w:szCs w:val="22"/>
        </w:rPr>
        <w:t>funciones</w:t>
      </w:r>
      <w:r w:rsidRPr="002C5B71">
        <w:rPr>
          <w:rFonts w:ascii="Palatino Linotype" w:eastAsia="Palatino Linotype" w:hAnsi="Palatino Linotype" w:cs="Palatino Linotype"/>
          <w:i/>
          <w:sz w:val="22"/>
          <w:szCs w:val="22"/>
        </w:rPr>
        <w:t>:</w:t>
      </w:r>
    </w:p>
    <w:p w14:paraId="3219F021" w14:textId="77777777" w:rsidR="001B45B9" w:rsidRPr="002C5B71" w:rsidRDefault="00AA4BF8">
      <w:pPr>
        <w:ind w:left="992"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X. Presentar ante el Comité, el proyecto de clasificación de información</w:t>
      </w:r>
      <w:r w:rsidRPr="002C5B71">
        <w:rPr>
          <w:rFonts w:ascii="Palatino Linotype" w:eastAsia="Palatino Linotype" w:hAnsi="Palatino Linotype" w:cs="Palatino Linotype"/>
          <w:i/>
          <w:sz w:val="22"/>
          <w:szCs w:val="22"/>
        </w:rPr>
        <w:t xml:space="preserve">…” </w:t>
      </w:r>
    </w:p>
    <w:p w14:paraId="281DF1CB" w14:textId="77777777" w:rsidR="001B45B9" w:rsidRPr="002C5B71" w:rsidRDefault="00AA4BF8">
      <w:pPr>
        <w:ind w:left="992"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“Artículo 59.</w:t>
      </w:r>
      <w:r w:rsidRPr="002C5B71">
        <w:rPr>
          <w:rFonts w:ascii="Palatino Linotype" w:eastAsia="Palatino Linotype" w:hAnsi="Palatino Linotype" w:cs="Palatino Linotype"/>
          <w:i/>
          <w:sz w:val="22"/>
          <w:szCs w:val="22"/>
        </w:rPr>
        <w:t xml:space="preserve"> Los </w:t>
      </w:r>
      <w:r w:rsidRPr="002C5B71">
        <w:rPr>
          <w:rFonts w:ascii="Palatino Linotype" w:eastAsia="Palatino Linotype" w:hAnsi="Palatino Linotype" w:cs="Palatino Linotype"/>
          <w:b/>
          <w:i/>
          <w:sz w:val="22"/>
          <w:szCs w:val="22"/>
        </w:rPr>
        <w:t>servidores públicos habilitados</w:t>
      </w:r>
      <w:r w:rsidRPr="002C5B71">
        <w:rPr>
          <w:rFonts w:ascii="Palatino Linotype" w:eastAsia="Palatino Linotype" w:hAnsi="Palatino Linotype" w:cs="Palatino Linotype"/>
          <w:i/>
          <w:sz w:val="22"/>
          <w:szCs w:val="22"/>
        </w:rPr>
        <w:t xml:space="preserve"> tendrán las </w:t>
      </w:r>
      <w:r w:rsidRPr="002C5B71">
        <w:rPr>
          <w:rFonts w:ascii="Palatino Linotype" w:eastAsia="Palatino Linotype" w:hAnsi="Palatino Linotype" w:cs="Palatino Linotype"/>
          <w:b/>
          <w:i/>
          <w:sz w:val="22"/>
          <w:szCs w:val="22"/>
        </w:rPr>
        <w:t>funciones</w:t>
      </w:r>
      <w:r w:rsidRPr="002C5B71">
        <w:rPr>
          <w:rFonts w:ascii="Palatino Linotype" w:eastAsia="Palatino Linotype" w:hAnsi="Palatino Linotype" w:cs="Palatino Linotype"/>
          <w:i/>
          <w:sz w:val="22"/>
          <w:szCs w:val="22"/>
        </w:rPr>
        <w:t xml:space="preserve"> siguientes:</w:t>
      </w:r>
    </w:p>
    <w:p w14:paraId="1FD1AE06" w14:textId="77777777" w:rsidR="001B45B9" w:rsidRPr="002C5B71" w:rsidRDefault="00AA4BF8">
      <w:pPr>
        <w:ind w:left="992"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2C5B71">
        <w:rPr>
          <w:rFonts w:ascii="Palatino Linotype" w:eastAsia="Palatino Linotype" w:hAnsi="Palatino Linotype" w:cs="Palatino Linotype"/>
          <w:i/>
          <w:sz w:val="22"/>
          <w:szCs w:val="22"/>
        </w:rPr>
        <w:t>, la cual tendrá los fundamentos y argumentos en que se basa dicha propuesta…”(Sic)</w:t>
      </w:r>
    </w:p>
    <w:p w14:paraId="4A0DD546" w14:textId="77777777" w:rsidR="001B45B9" w:rsidRPr="002C5B71" w:rsidRDefault="001B45B9">
      <w:pPr>
        <w:ind w:left="992" w:right="1043"/>
        <w:jc w:val="both"/>
        <w:rPr>
          <w:rFonts w:ascii="Palatino Linotype" w:eastAsia="Palatino Linotype" w:hAnsi="Palatino Linotype" w:cs="Palatino Linotype"/>
          <w:i/>
          <w:sz w:val="22"/>
          <w:szCs w:val="22"/>
        </w:rPr>
      </w:pPr>
    </w:p>
    <w:p w14:paraId="0FBBC802"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1F4A595"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11810918"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E468788"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12CA2D86" w14:textId="77777777" w:rsidR="001B45B9" w:rsidRPr="002C5B71" w:rsidRDefault="00AA4BF8">
      <w:pPr>
        <w:spacing w:after="240"/>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w:t>
      </w:r>
      <w:r w:rsidRPr="002C5B71">
        <w:rPr>
          <w:rFonts w:ascii="Palatino Linotype" w:eastAsia="Palatino Linotype" w:hAnsi="Palatino Linotype" w:cs="Palatino Linotype"/>
          <w:b/>
          <w:i/>
          <w:sz w:val="22"/>
          <w:szCs w:val="22"/>
        </w:rPr>
        <w:t>Artículo 149.</w:t>
      </w:r>
      <w:r w:rsidRPr="002C5B71">
        <w:rPr>
          <w:rFonts w:ascii="Palatino Linotype" w:eastAsia="Palatino Linotype" w:hAnsi="Palatino Linotype" w:cs="Palatino Linotype"/>
          <w:i/>
          <w:sz w:val="22"/>
          <w:szCs w:val="22"/>
        </w:rPr>
        <w:t xml:space="preserve"> El </w:t>
      </w:r>
      <w:r w:rsidRPr="002C5B71">
        <w:rPr>
          <w:rFonts w:ascii="Palatino Linotype" w:eastAsia="Palatino Linotype" w:hAnsi="Palatino Linotype" w:cs="Palatino Linotype"/>
          <w:b/>
          <w:i/>
          <w:sz w:val="22"/>
          <w:szCs w:val="22"/>
        </w:rPr>
        <w:t>acuerdo que clasifique la información como confidencial</w:t>
      </w:r>
      <w:r w:rsidRPr="002C5B71">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71411B3C" w14:textId="77777777" w:rsidR="001B45B9" w:rsidRPr="002C5B71" w:rsidRDefault="001B45B9">
      <w:pPr>
        <w:spacing w:before="240" w:line="360" w:lineRule="auto"/>
        <w:ind w:right="51"/>
        <w:jc w:val="both"/>
        <w:rPr>
          <w:rFonts w:ascii="Palatino Linotype" w:eastAsia="Palatino Linotype" w:hAnsi="Palatino Linotype" w:cs="Palatino Linotype"/>
          <w:i/>
          <w:sz w:val="22"/>
          <w:szCs w:val="22"/>
        </w:rPr>
      </w:pPr>
    </w:p>
    <w:p w14:paraId="69BEB76B" w14:textId="77777777" w:rsidR="001B45B9" w:rsidRPr="002C5B71" w:rsidRDefault="00AA4BF8">
      <w:pPr>
        <w:spacing w:line="360" w:lineRule="auto"/>
        <w:ind w:right="51"/>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Es decir, el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w:t>
      </w:r>
      <w:r w:rsidRPr="002C5B71">
        <w:rPr>
          <w:rFonts w:ascii="Palatino Linotype" w:eastAsia="Palatino Linotype" w:hAnsi="Palatino Linotype" w:cs="Palatino Linotype"/>
          <w:sz w:val="22"/>
          <w:szCs w:val="22"/>
        </w:rPr>
        <w:lastRenderedPageBreak/>
        <w:t>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548F6FFE" w14:textId="77777777" w:rsidR="001B45B9" w:rsidRPr="002C5B71" w:rsidRDefault="001B45B9">
      <w:pPr>
        <w:spacing w:line="360" w:lineRule="auto"/>
        <w:ind w:right="51"/>
        <w:jc w:val="both"/>
        <w:rPr>
          <w:rFonts w:ascii="Palatino Linotype" w:eastAsia="Palatino Linotype" w:hAnsi="Palatino Linotype" w:cs="Palatino Linotype"/>
          <w:sz w:val="22"/>
          <w:szCs w:val="22"/>
        </w:rPr>
      </w:pPr>
    </w:p>
    <w:p w14:paraId="1DC8413C"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Al respecto, se destaca que la versión pública que elabore el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2C5B71">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2C5B71">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267B6C19" w14:textId="77777777" w:rsidR="001B45B9" w:rsidRPr="002C5B71" w:rsidRDefault="001B45B9">
      <w:pPr>
        <w:ind w:left="709" w:right="709"/>
        <w:jc w:val="both"/>
        <w:rPr>
          <w:rFonts w:ascii="Palatino Linotype" w:eastAsia="Palatino Linotype" w:hAnsi="Palatino Linotype" w:cs="Palatino Linotype"/>
          <w:b/>
          <w:i/>
          <w:sz w:val="22"/>
          <w:szCs w:val="22"/>
        </w:rPr>
      </w:pPr>
    </w:p>
    <w:p w14:paraId="67EEB1A1"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B215051"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i/>
          <w:sz w:val="22"/>
          <w:szCs w:val="22"/>
        </w:rPr>
        <w:t>“</w:t>
      </w:r>
      <w:r w:rsidRPr="002C5B71">
        <w:rPr>
          <w:rFonts w:ascii="Palatino Linotype" w:eastAsia="Palatino Linotype" w:hAnsi="Palatino Linotype" w:cs="Palatino Linotype"/>
          <w:b/>
          <w:i/>
          <w:sz w:val="22"/>
          <w:szCs w:val="22"/>
        </w:rPr>
        <w:t>Segundo.-</w:t>
      </w:r>
      <w:r w:rsidRPr="002C5B71">
        <w:rPr>
          <w:rFonts w:ascii="Palatino Linotype" w:eastAsia="Palatino Linotype" w:hAnsi="Palatino Linotype" w:cs="Palatino Linotype"/>
          <w:i/>
          <w:sz w:val="22"/>
          <w:szCs w:val="22"/>
        </w:rPr>
        <w:t xml:space="preserve"> Para efectos de los presentes Lineamientos Generales, se entenderá por:</w:t>
      </w:r>
    </w:p>
    <w:p w14:paraId="581323AB"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t>XVIII.</w:t>
      </w:r>
      <w:r w:rsidRPr="002C5B71">
        <w:rPr>
          <w:rFonts w:ascii="Palatino Linotype" w:eastAsia="Palatino Linotype" w:hAnsi="Palatino Linotype" w:cs="Palatino Linotype"/>
          <w:i/>
          <w:sz w:val="22"/>
          <w:szCs w:val="22"/>
        </w:rPr>
        <w:t xml:space="preserve"> </w:t>
      </w:r>
      <w:r w:rsidRPr="002C5B71">
        <w:rPr>
          <w:rFonts w:ascii="Palatino Linotype" w:eastAsia="Palatino Linotype" w:hAnsi="Palatino Linotype" w:cs="Palatino Linotype"/>
          <w:b/>
          <w:i/>
          <w:sz w:val="22"/>
          <w:szCs w:val="22"/>
        </w:rPr>
        <w:t>Versión pública:</w:t>
      </w:r>
      <w:r w:rsidRPr="002C5B71">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2C5B71">
        <w:rPr>
          <w:rFonts w:ascii="Palatino Linotype" w:eastAsia="Palatino Linotype" w:hAnsi="Palatino Linotype" w:cs="Palatino Linotype"/>
          <w:b/>
          <w:i/>
          <w:sz w:val="22"/>
          <w:szCs w:val="22"/>
          <w:u w:val="single"/>
        </w:rPr>
        <w:t>fundando y motivando la</w:t>
      </w:r>
      <w:r w:rsidRPr="002C5B71">
        <w:rPr>
          <w:rFonts w:ascii="Palatino Linotype" w:eastAsia="Palatino Linotype" w:hAnsi="Palatino Linotype" w:cs="Palatino Linotype"/>
          <w:i/>
          <w:sz w:val="22"/>
          <w:szCs w:val="22"/>
        </w:rPr>
        <w:t xml:space="preserve"> reserva o </w:t>
      </w:r>
      <w:r w:rsidRPr="002C5B71">
        <w:rPr>
          <w:rFonts w:ascii="Palatino Linotype" w:eastAsia="Palatino Linotype" w:hAnsi="Palatino Linotype" w:cs="Palatino Linotype"/>
          <w:b/>
          <w:i/>
          <w:sz w:val="22"/>
          <w:szCs w:val="22"/>
          <w:u w:val="single"/>
        </w:rPr>
        <w:t>confidencialidad</w:t>
      </w:r>
      <w:r w:rsidRPr="002C5B71">
        <w:rPr>
          <w:rFonts w:ascii="Palatino Linotype" w:eastAsia="Palatino Linotype" w:hAnsi="Palatino Linotype" w:cs="Palatino Linotype"/>
          <w:i/>
          <w:sz w:val="22"/>
          <w:szCs w:val="22"/>
        </w:rPr>
        <w:t>, a través de la resolución que para tal efecto emita el Comité de Transparencia.</w:t>
      </w:r>
    </w:p>
    <w:p w14:paraId="714C34B4"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lastRenderedPageBreak/>
        <w:t>Cuarto.</w:t>
      </w:r>
      <w:r w:rsidRPr="002C5B71">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38ED893"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A174A8E"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t>Quinto.</w:t>
      </w:r>
      <w:r w:rsidRPr="002C5B71">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A940A8C"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t>…</w:t>
      </w:r>
    </w:p>
    <w:p w14:paraId="3C6551FC"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t>Séptimo.</w:t>
      </w:r>
      <w:r w:rsidRPr="002C5B71">
        <w:rPr>
          <w:rFonts w:ascii="Palatino Linotype" w:eastAsia="Palatino Linotype" w:hAnsi="Palatino Linotype" w:cs="Palatino Linotype"/>
          <w:i/>
          <w:sz w:val="22"/>
          <w:szCs w:val="22"/>
        </w:rPr>
        <w:t xml:space="preserve"> La clasificación de la información se llevará a cabo en el momento en que:</w:t>
      </w:r>
    </w:p>
    <w:p w14:paraId="16070212"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t>I.</w:t>
      </w:r>
      <w:r w:rsidRPr="002C5B71">
        <w:rPr>
          <w:rFonts w:ascii="Palatino Linotype" w:eastAsia="Palatino Linotype" w:hAnsi="Palatino Linotype" w:cs="Palatino Linotype"/>
          <w:i/>
          <w:sz w:val="22"/>
          <w:szCs w:val="22"/>
        </w:rPr>
        <w:t xml:space="preserve"> Se reciba una solicitud de acceso a la información;</w:t>
      </w:r>
    </w:p>
    <w:p w14:paraId="25E737FE"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II.</w:t>
      </w:r>
      <w:r w:rsidRPr="002C5B71">
        <w:rPr>
          <w:rFonts w:ascii="Palatino Linotype" w:eastAsia="Palatino Linotype" w:hAnsi="Palatino Linotype" w:cs="Palatino Linotype"/>
          <w:i/>
          <w:sz w:val="22"/>
          <w:szCs w:val="22"/>
        </w:rPr>
        <w:t xml:space="preserve"> Se  determine mediante resolución del Comité de Transparencia, el órgano garante </w:t>
      </w:r>
    </w:p>
    <w:p w14:paraId="325BE1BE"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i/>
          <w:sz w:val="22"/>
          <w:szCs w:val="22"/>
        </w:rPr>
        <w:t>competente, o en cumplimiento a una sentencia del Poder Judicial; o</w:t>
      </w:r>
    </w:p>
    <w:p w14:paraId="09F00108"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t>III.</w:t>
      </w:r>
      <w:r w:rsidRPr="002C5B71">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57643C90"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B74440B"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t>Octavo.</w:t>
      </w:r>
      <w:r w:rsidRPr="002C5B71">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6632AC4"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56C9A10"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425F3134"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lastRenderedPageBreak/>
        <w:t>Noveno.</w:t>
      </w:r>
      <w:r w:rsidRPr="002C5B71">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8EF661D"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t>Décimo.</w:t>
      </w:r>
      <w:r w:rsidRPr="002C5B71">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32D58A6"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DAECAA6"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Décimo primero.</w:t>
      </w:r>
      <w:r w:rsidRPr="002C5B71">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25A0FCFA"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i/>
          <w:sz w:val="22"/>
          <w:szCs w:val="22"/>
        </w:rPr>
        <w:t>[…]</w:t>
      </w:r>
    </w:p>
    <w:p w14:paraId="2C15BEEA" w14:textId="77777777" w:rsidR="001B45B9" w:rsidRPr="002C5B71" w:rsidRDefault="00AA4BF8">
      <w:pPr>
        <w:pBdr>
          <w:top w:val="nil"/>
          <w:left w:val="nil"/>
          <w:bottom w:val="nil"/>
          <w:right w:val="nil"/>
          <w:between w:val="nil"/>
        </w:pBdr>
        <w:ind w:left="851" w:right="616"/>
        <w:jc w:val="center"/>
        <w:rPr>
          <w:rFonts w:ascii="Palatino Linotype" w:eastAsia="Palatino Linotype" w:hAnsi="Palatino Linotype" w:cs="Palatino Linotype"/>
          <w:sz w:val="22"/>
          <w:szCs w:val="22"/>
        </w:rPr>
      </w:pPr>
      <w:r w:rsidRPr="002C5B71">
        <w:rPr>
          <w:rFonts w:ascii="Palatino Linotype" w:eastAsia="Palatino Linotype" w:hAnsi="Palatino Linotype" w:cs="Palatino Linotype"/>
          <w:b/>
          <w:i/>
          <w:sz w:val="22"/>
          <w:szCs w:val="22"/>
        </w:rPr>
        <w:t>CAPÍTULO VIII</w:t>
      </w:r>
    </w:p>
    <w:p w14:paraId="5949E468" w14:textId="77777777" w:rsidR="001B45B9" w:rsidRPr="002C5B71" w:rsidRDefault="00AA4BF8">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2C5B71">
        <w:rPr>
          <w:rFonts w:ascii="Palatino Linotype" w:eastAsia="Palatino Linotype" w:hAnsi="Palatino Linotype" w:cs="Palatino Linotype"/>
          <w:b/>
          <w:i/>
          <w:sz w:val="22"/>
          <w:szCs w:val="22"/>
        </w:rPr>
        <w:t>DE LOS ELEMENTOS PARA LA CLASIFICACIÓN</w:t>
      </w:r>
    </w:p>
    <w:p w14:paraId="02CC5BFA"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Quincuagésimo</w:t>
      </w:r>
      <w:r w:rsidRPr="002C5B71">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4F13266"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Quincuagésimo primero</w:t>
      </w:r>
      <w:r w:rsidRPr="002C5B71">
        <w:rPr>
          <w:rFonts w:ascii="Palatino Linotype" w:eastAsia="Palatino Linotype" w:hAnsi="Palatino Linotype" w:cs="Palatino Linotype"/>
          <w:i/>
          <w:sz w:val="22"/>
          <w:szCs w:val="22"/>
        </w:rPr>
        <w:t>. Toda acta del Comité de Transparencia deberá contener:</w:t>
      </w:r>
    </w:p>
    <w:p w14:paraId="6427762E"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I. El número de sesión y fecha; </w:t>
      </w:r>
    </w:p>
    <w:p w14:paraId="58EDAEAE"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II. El nombre del área que solicitó la clasificación de información;</w:t>
      </w:r>
    </w:p>
    <w:p w14:paraId="31533F99"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III. La fundamentación legal y motivación correspondiente;</w:t>
      </w:r>
    </w:p>
    <w:p w14:paraId="61BBAA1F"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IV. La resolución o resoluciones aprobadas; y</w:t>
      </w:r>
    </w:p>
    <w:p w14:paraId="777A436C"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V. La rúbrica o firma digital de cada integrante del Comité de Transparencia. </w:t>
      </w:r>
    </w:p>
    <w:p w14:paraId="2879701C"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5CEAEF9"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 Los motivos y razonamientos que sustenten la confirmación o modificación de la prueba de daño;</w:t>
      </w:r>
    </w:p>
    <w:p w14:paraId="751B6743"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II. Descripción de las partes o secciones reservadas, en caso de clasificación parcial;</w:t>
      </w:r>
    </w:p>
    <w:p w14:paraId="37556941"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III. El periodo por el que mantendrá su clasificación y fecha de expiración; y</w:t>
      </w:r>
    </w:p>
    <w:p w14:paraId="62B3BC73" w14:textId="77777777" w:rsidR="001B45B9" w:rsidRPr="002C5B71" w:rsidRDefault="00AA4BF8">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IV. El nombre del titular y área encargada de realizar la versión pública del documento, en su caso.</w:t>
      </w:r>
    </w:p>
    <w:p w14:paraId="24517FD1" w14:textId="77777777" w:rsidR="001B45B9" w:rsidRPr="002C5B71" w:rsidRDefault="00AA4BF8">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lastRenderedPageBreak/>
        <w:t xml:space="preserve">En los casos en que se clasifique la información como reservada siempre se entregará o anexará la prueba de daño con la respuesta al solicitante. </w:t>
      </w:r>
    </w:p>
    <w:p w14:paraId="65A127F3" w14:textId="77777777" w:rsidR="001B45B9" w:rsidRPr="002C5B71" w:rsidRDefault="00AA4BF8">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28689DD" w14:textId="77777777" w:rsidR="001B45B9" w:rsidRPr="002C5B71" w:rsidRDefault="00AA4BF8">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b/>
          <w:i/>
          <w:sz w:val="22"/>
          <w:szCs w:val="22"/>
        </w:rPr>
        <w:t>Quincuagésimo segundo</w:t>
      </w:r>
      <w:r w:rsidRPr="002C5B71">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E63D567" w14:textId="77777777" w:rsidR="001B45B9" w:rsidRPr="002C5B71" w:rsidRDefault="00AA4BF8">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6FE9C78" w14:textId="77777777" w:rsidR="001B45B9" w:rsidRPr="002C5B71" w:rsidRDefault="00AA4BF8">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0C58F72" w14:textId="77777777" w:rsidR="001B45B9" w:rsidRPr="002C5B71" w:rsidRDefault="00AA4BF8">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61CD8D0" w14:textId="77777777" w:rsidR="001B45B9" w:rsidRPr="002C5B71" w:rsidRDefault="00AA4BF8">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III. Señalar las personas o instancias autorizadas a acceder a la información clasificada.</w:t>
      </w:r>
    </w:p>
    <w:p w14:paraId="3BB67995" w14:textId="77777777" w:rsidR="001B45B9" w:rsidRPr="002C5B71" w:rsidRDefault="00AA4BF8">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26310AF" w14:textId="77777777" w:rsidR="001B45B9" w:rsidRPr="002C5B71" w:rsidRDefault="00AA4BF8">
      <w:pPr>
        <w:pBdr>
          <w:top w:val="nil"/>
          <w:left w:val="nil"/>
          <w:bottom w:val="nil"/>
          <w:right w:val="nil"/>
          <w:between w:val="nil"/>
        </w:pBdr>
        <w:spacing w:after="160"/>
        <w:ind w:left="851" w:right="709"/>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D83F553" w14:textId="77777777" w:rsidR="001B45B9" w:rsidRPr="002C5B71" w:rsidRDefault="00AA4BF8">
      <w:pPr>
        <w:pBdr>
          <w:top w:val="nil"/>
          <w:left w:val="nil"/>
          <w:bottom w:val="nil"/>
          <w:right w:val="nil"/>
          <w:between w:val="nil"/>
        </w:pBdr>
        <w:spacing w:after="160"/>
        <w:ind w:left="851" w:right="709"/>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2C5B71">
        <w:rPr>
          <w:rFonts w:ascii="Palatino Linotype" w:eastAsia="Palatino Linotype" w:hAnsi="Palatino Linotype" w:cs="Palatino Linotype"/>
          <w:i/>
          <w:sz w:val="22"/>
          <w:szCs w:val="22"/>
        </w:rPr>
        <w:t>testado</w:t>
      </w:r>
      <w:proofErr w:type="spellEnd"/>
      <w:r w:rsidRPr="002C5B71">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1A672C46" w14:textId="77777777" w:rsidR="001B45B9" w:rsidRPr="002C5B71" w:rsidRDefault="001B45B9">
      <w:pPr>
        <w:jc w:val="both"/>
        <w:rPr>
          <w:rFonts w:ascii="Palatino Linotype" w:eastAsia="Palatino Linotype" w:hAnsi="Palatino Linotype" w:cs="Palatino Linotype"/>
          <w:sz w:val="22"/>
          <w:szCs w:val="22"/>
        </w:rPr>
      </w:pPr>
    </w:p>
    <w:p w14:paraId="031A38F9" w14:textId="77777777" w:rsidR="001B45B9" w:rsidRPr="002C5B71" w:rsidRDefault="00AA4BF8">
      <w:pPr>
        <w:spacing w:line="360" w:lineRule="auto"/>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Efectivamente, cuando se clasifica información como confidencial es importante someterlo al Comité de Transparencia, quien debe confirmar, modificar o revocar la clasificación. </w:t>
      </w:r>
    </w:p>
    <w:p w14:paraId="20085D22"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7BE9AF6D" w14:textId="77777777" w:rsidR="001B45B9" w:rsidRPr="002C5B71" w:rsidRDefault="00AA4BF8">
      <w:pPr>
        <w:shd w:val="clear" w:color="auto" w:fill="FFFFFF"/>
        <w:spacing w:line="360" w:lineRule="auto"/>
        <w:ind w:right="51"/>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2C5B71">
        <w:rPr>
          <w:rFonts w:ascii="Palatino Linotype" w:eastAsia="Palatino Linotype" w:hAnsi="Palatino Linotype" w:cs="Palatino Linotype"/>
          <w:b/>
          <w:sz w:val="22"/>
          <w:szCs w:val="22"/>
        </w:rPr>
        <w:t>Recurrente</w:t>
      </w:r>
      <w:r w:rsidRPr="002C5B71">
        <w:rPr>
          <w:rFonts w:ascii="Palatino Linotype" w:eastAsia="Palatino Linotype" w:hAnsi="Palatino Linotype" w:cs="Palatino Linotype"/>
          <w:sz w:val="22"/>
          <w:szCs w:val="22"/>
        </w:rPr>
        <w:t>.</w:t>
      </w:r>
    </w:p>
    <w:p w14:paraId="4EFBE3C7" w14:textId="77777777" w:rsidR="001B45B9" w:rsidRPr="002C5B71" w:rsidRDefault="001B45B9">
      <w:pPr>
        <w:spacing w:line="360" w:lineRule="auto"/>
        <w:jc w:val="both"/>
        <w:rPr>
          <w:rFonts w:ascii="Palatino Linotype" w:eastAsia="Palatino Linotype" w:hAnsi="Palatino Linotype" w:cs="Palatino Linotype"/>
          <w:b/>
          <w:sz w:val="22"/>
          <w:szCs w:val="22"/>
        </w:rPr>
      </w:pPr>
    </w:p>
    <w:p w14:paraId="305E3AD0" w14:textId="4384F10E" w:rsidR="001B45B9" w:rsidRPr="002C5B71" w:rsidRDefault="00AA4BF8">
      <w:pPr>
        <w:spacing w:line="360" w:lineRule="auto"/>
        <w:ind w:right="49"/>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2C5B71">
        <w:rPr>
          <w:rFonts w:ascii="Palatino Linotype" w:eastAsia="Palatino Linotype" w:hAnsi="Palatino Linotype" w:cs="Palatino Linotype"/>
          <w:b/>
          <w:sz w:val="22"/>
          <w:szCs w:val="22"/>
        </w:rPr>
        <w:t>RECURRENTE</w:t>
      </w:r>
      <w:r w:rsidRPr="002C5B71">
        <w:rPr>
          <w:rFonts w:ascii="Palatino Linotype" w:eastAsia="Palatino Linotype" w:hAnsi="Palatino Linotype" w:cs="Palatino Linotype"/>
          <w:sz w:val="22"/>
          <w:szCs w:val="22"/>
        </w:rPr>
        <w:t xml:space="preserve"> dentro del recurso de revisión </w:t>
      </w:r>
      <w:r w:rsidRPr="002C5B71">
        <w:rPr>
          <w:rFonts w:ascii="Palatino Linotype" w:eastAsia="Palatino Linotype" w:hAnsi="Palatino Linotype" w:cs="Palatino Linotype"/>
          <w:b/>
          <w:sz w:val="22"/>
          <w:szCs w:val="22"/>
        </w:rPr>
        <w:t>05079/INFOEM/IP/RR/2024</w:t>
      </w:r>
      <w:r w:rsidRPr="002C5B71">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por lo que se </w:t>
      </w:r>
      <w:r w:rsidR="00DF0F2B" w:rsidRPr="002C5B71">
        <w:rPr>
          <w:rFonts w:ascii="Palatino Linotype" w:eastAsia="Palatino Linotype" w:hAnsi="Palatino Linotype" w:cs="Palatino Linotype"/>
          <w:b/>
          <w:sz w:val="22"/>
          <w:szCs w:val="22"/>
        </w:rPr>
        <w:t>REVOCA</w:t>
      </w:r>
      <w:r w:rsidRPr="002C5B71">
        <w:rPr>
          <w:rFonts w:ascii="Palatino Linotype" w:eastAsia="Palatino Linotype" w:hAnsi="Palatino Linotype" w:cs="Palatino Linotype"/>
          <w:b/>
          <w:sz w:val="22"/>
          <w:szCs w:val="22"/>
        </w:rPr>
        <w:t xml:space="preserve"> </w:t>
      </w:r>
      <w:r w:rsidRPr="002C5B71">
        <w:rPr>
          <w:rFonts w:ascii="Palatino Linotype" w:eastAsia="Palatino Linotype" w:hAnsi="Palatino Linotype" w:cs="Palatino Linotype"/>
          <w:sz w:val="22"/>
          <w:szCs w:val="22"/>
        </w:rPr>
        <w:t xml:space="preserve">la respuesta del </w:t>
      </w:r>
      <w:r w:rsidRPr="002C5B71">
        <w:rPr>
          <w:rFonts w:ascii="Palatino Linotype" w:eastAsia="Palatino Linotype" w:hAnsi="Palatino Linotype" w:cs="Palatino Linotype"/>
          <w:b/>
          <w:sz w:val="22"/>
          <w:szCs w:val="22"/>
        </w:rPr>
        <w:t xml:space="preserve">SUJETO OBLIGADO </w:t>
      </w:r>
      <w:r w:rsidRPr="002C5B71">
        <w:rPr>
          <w:rFonts w:ascii="Palatino Linotype" w:eastAsia="Palatino Linotype" w:hAnsi="Palatino Linotype" w:cs="Palatino Linotype"/>
          <w:sz w:val="22"/>
          <w:szCs w:val="22"/>
        </w:rPr>
        <w:t xml:space="preserve">a la solicitud de información </w:t>
      </w:r>
      <w:r w:rsidRPr="002C5B71">
        <w:rPr>
          <w:rFonts w:ascii="Palatino Linotype" w:eastAsia="Palatino Linotype" w:hAnsi="Palatino Linotype" w:cs="Palatino Linotype"/>
          <w:b/>
          <w:sz w:val="22"/>
          <w:szCs w:val="22"/>
        </w:rPr>
        <w:t>00355/CAEM/IP/2024.</w:t>
      </w:r>
    </w:p>
    <w:p w14:paraId="2A02F828" w14:textId="77777777" w:rsidR="001B45B9" w:rsidRPr="002C5B71" w:rsidRDefault="001B45B9">
      <w:pPr>
        <w:spacing w:line="360" w:lineRule="auto"/>
        <w:ind w:right="49"/>
        <w:jc w:val="both"/>
        <w:rPr>
          <w:rFonts w:ascii="Palatino Linotype" w:eastAsia="Palatino Linotype" w:hAnsi="Palatino Linotype" w:cs="Palatino Linotype"/>
          <w:sz w:val="22"/>
          <w:szCs w:val="22"/>
        </w:rPr>
      </w:pPr>
    </w:p>
    <w:p w14:paraId="4EF6F205" w14:textId="77777777" w:rsidR="001B45B9" w:rsidRPr="002C5B71" w:rsidRDefault="00AA4BF8">
      <w:pPr>
        <w:spacing w:line="360" w:lineRule="auto"/>
        <w:ind w:right="49"/>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w:t>
      </w:r>
      <w:r w:rsidRPr="002C5B71">
        <w:rPr>
          <w:rFonts w:ascii="Palatino Linotype" w:eastAsia="Palatino Linotype" w:hAnsi="Palatino Linotype" w:cs="Palatino Linotype"/>
          <w:sz w:val="22"/>
          <w:szCs w:val="22"/>
        </w:rPr>
        <w:lastRenderedPageBreak/>
        <w:t>y 188 de la Ley de Transparencia y Acceso a la Información Pública del Estado de México y Municipios, este Pleno:</w:t>
      </w:r>
    </w:p>
    <w:p w14:paraId="72AF7B56" w14:textId="77777777" w:rsidR="001B45B9" w:rsidRPr="002C5B71" w:rsidRDefault="001B45B9">
      <w:pPr>
        <w:spacing w:line="360" w:lineRule="auto"/>
        <w:ind w:right="49"/>
        <w:jc w:val="both"/>
        <w:rPr>
          <w:rFonts w:ascii="Palatino Linotype" w:eastAsia="Palatino Linotype" w:hAnsi="Palatino Linotype" w:cs="Palatino Linotype"/>
          <w:sz w:val="22"/>
          <w:szCs w:val="22"/>
        </w:rPr>
      </w:pPr>
    </w:p>
    <w:p w14:paraId="511B840F" w14:textId="77777777" w:rsidR="001B45B9" w:rsidRPr="002C5B71" w:rsidRDefault="00AA4BF8">
      <w:pPr>
        <w:spacing w:line="360" w:lineRule="auto"/>
        <w:jc w:val="center"/>
        <w:rPr>
          <w:rFonts w:ascii="Palatino Linotype" w:eastAsia="Palatino Linotype" w:hAnsi="Palatino Linotype" w:cs="Palatino Linotype"/>
          <w:b/>
          <w:sz w:val="22"/>
          <w:szCs w:val="22"/>
        </w:rPr>
      </w:pPr>
      <w:r w:rsidRPr="002C5B71">
        <w:rPr>
          <w:rFonts w:ascii="Palatino Linotype" w:eastAsia="Palatino Linotype" w:hAnsi="Palatino Linotype" w:cs="Palatino Linotype"/>
          <w:b/>
          <w:sz w:val="22"/>
          <w:szCs w:val="22"/>
        </w:rPr>
        <w:t>R E S U E L V E:</w:t>
      </w:r>
    </w:p>
    <w:p w14:paraId="27A609FE" w14:textId="77777777" w:rsidR="001B45B9" w:rsidRPr="002C5B71" w:rsidRDefault="001B45B9">
      <w:pPr>
        <w:spacing w:line="360" w:lineRule="auto"/>
        <w:rPr>
          <w:rFonts w:ascii="Palatino Linotype" w:eastAsia="Palatino Linotype" w:hAnsi="Palatino Linotype" w:cs="Palatino Linotype"/>
          <w:b/>
          <w:sz w:val="22"/>
          <w:szCs w:val="22"/>
        </w:rPr>
      </w:pPr>
    </w:p>
    <w:p w14:paraId="27DA273F" w14:textId="77777777" w:rsidR="001B45B9" w:rsidRPr="002C5B71" w:rsidRDefault="00AA4BF8">
      <w:pPr>
        <w:spacing w:line="360" w:lineRule="auto"/>
        <w:jc w:val="both"/>
        <w:rPr>
          <w:rFonts w:ascii="Palatino Linotype" w:eastAsia="Palatino Linotype" w:hAnsi="Palatino Linotype" w:cs="Palatino Linotype"/>
          <w:sz w:val="22"/>
          <w:szCs w:val="22"/>
        </w:rPr>
      </w:pPr>
      <w:bookmarkStart w:id="2" w:name="_heading=h.1fob9te" w:colFirst="0" w:colLast="0"/>
      <w:bookmarkEnd w:id="2"/>
      <w:r w:rsidRPr="002C5B71">
        <w:rPr>
          <w:rFonts w:ascii="Palatino Linotype" w:eastAsia="Palatino Linotype" w:hAnsi="Palatino Linotype" w:cs="Palatino Linotype"/>
          <w:b/>
          <w:sz w:val="22"/>
          <w:szCs w:val="22"/>
        </w:rPr>
        <w:t xml:space="preserve">Primero. </w:t>
      </w:r>
      <w:r w:rsidRPr="002C5B71">
        <w:rPr>
          <w:rFonts w:ascii="Palatino Linotype" w:eastAsia="Palatino Linotype" w:hAnsi="Palatino Linotype" w:cs="Palatino Linotype"/>
          <w:sz w:val="22"/>
          <w:szCs w:val="22"/>
        </w:rPr>
        <w:t xml:space="preserve">Se </w:t>
      </w:r>
      <w:r w:rsidRPr="002C5B71">
        <w:rPr>
          <w:rFonts w:ascii="Palatino Linotype" w:eastAsia="Palatino Linotype" w:hAnsi="Palatino Linotype" w:cs="Palatino Linotype"/>
          <w:b/>
          <w:sz w:val="22"/>
          <w:szCs w:val="22"/>
        </w:rPr>
        <w:t xml:space="preserve">REVOCA </w:t>
      </w:r>
      <w:r w:rsidRPr="002C5B71">
        <w:rPr>
          <w:rFonts w:ascii="Palatino Linotype" w:eastAsia="Palatino Linotype" w:hAnsi="Palatino Linotype" w:cs="Palatino Linotype"/>
          <w:sz w:val="22"/>
          <w:szCs w:val="22"/>
        </w:rPr>
        <w:t xml:space="preserve">la respuesta entregada por </w:t>
      </w:r>
      <w:r w:rsidRPr="002C5B71">
        <w:rPr>
          <w:rFonts w:ascii="Palatino Linotype" w:eastAsia="Palatino Linotype" w:hAnsi="Palatino Linotype" w:cs="Palatino Linotype"/>
          <w:b/>
          <w:sz w:val="22"/>
          <w:szCs w:val="22"/>
        </w:rPr>
        <w:t xml:space="preserve">EL SUJETO OBLIGADO </w:t>
      </w:r>
      <w:r w:rsidRPr="002C5B71">
        <w:rPr>
          <w:rFonts w:ascii="Palatino Linotype" w:eastAsia="Palatino Linotype" w:hAnsi="Palatino Linotype" w:cs="Palatino Linotype"/>
          <w:sz w:val="22"/>
          <w:szCs w:val="22"/>
        </w:rPr>
        <w:t xml:space="preserve">a la solicitud de información </w:t>
      </w:r>
      <w:r w:rsidRPr="002C5B71">
        <w:rPr>
          <w:rFonts w:ascii="Palatino Linotype" w:eastAsia="Palatino Linotype" w:hAnsi="Palatino Linotype" w:cs="Palatino Linotype"/>
          <w:b/>
          <w:sz w:val="22"/>
          <w:szCs w:val="22"/>
        </w:rPr>
        <w:t>00355/CAEM/IP/2024</w:t>
      </w:r>
      <w:r w:rsidRPr="002C5B71">
        <w:rPr>
          <w:rFonts w:ascii="Palatino Linotype" w:eastAsia="Palatino Linotype" w:hAnsi="Palatino Linotype" w:cs="Palatino Linotype"/>
          <w:sz w:val="22"/>
          <w:szCs w:val="22"/>
        </w:rPr>
        <w:t xml:space="preserve">, por resultar parcialmente fundadas las razones o motivos de inconformidad hechos valer por la parte </w:t>
      </w:r>
      <w:r w:rsidRPr="002C5B71">
        <w:rPr>
          <w:rFonts w:ascii="Palatino Linotype" w:eastAsia="Palatino Linotype" w:hAnsi="Palatino Linotype" w:cs="Palatino Linotype"/>
          <w:b/>
          <w:sz w:val="22"/>
          <w:szCs w:val="22"/>
        </w:rPr>
        <w:t xml:space="preserve">RECURRENTE, </w:t>
      </w:r>
      <w:r w:rsidRPr="002C5B71">
        <w:rPr>
          <w:rFonts w:ascii="Palatino Linotype" w:eastAsia="Palatino Linotype" w:hAnsi="Palatino Linotype" w:cs="Palatino Linotype"/>
          <w:sz w:val="22"/>
          <w:szCs w:val="22"/>
        </w:rPr>
        <w:t xml:space="preserve">en el Recurso de Revisión </w:t>
      </w:r>
      <w:r w:rsidRPr="002C5B71">
        <w:rPr>
          <w:rFonts w:ascii="Palatino Linotype" w:eastAsia="Palatino Linotype" w:hAnsi="Palatino Linotype" w:cs="Palatino Linotype"/>
          <w:b/>
          <w:sz w:val="22"/>
          <w:szCs w:val="22"/>
        </w:rPr>
        <w:t>05079/INFOEM/IP/RR/2024,</w:t>
      </w:r>
      <w:r w:rsidRPr="002C5B71">
        <w:rPr>
          <w:rFonts w:ascii="Palatino Linotype" w:eastAsia="Palatino Linotype" w:hAnsi="Palatino Linotype" w:cs="Palatino Linotype"/>
          <w:sz w:val="22"/>
          <w:szCs w:val="22"/>
        </w:rPr>
        <w:t xml:space="preserve"> en términos del considerando </w:t>
      </w:r>
      <w:r w:rsidRPr="002C5B71">
        <w:rPr>
          <w:rFonts w:ascii="Palatino Linotype" w:eastAsia="Palatino Linotype" w:hAnsi="Palatino Linotype" w:cs="Palatino Linotype"/>
          <w:b/>
          <w:sz w:val="22"/>
          <w:szCs w:val="22"/>
        </w:rPr>
        <w:t>Cuarto</w:t>
      </w:r>
      <w:r w:rsidRPr="002C5B71">
        <w:rPr>
          <w:rFonts w:ascii="Palatino Linotype" w:eastAsia="Palatino Linotype" w:hAnsi="Palatino Linotype" w:cs="Palatino Linotype"/>
          <w:sz w:val="22"/>
          <w:szCs w:val="22"/>
        </w:rPr>
        <w:t xml:space="preserve"> de la presente Resolución.</w:t>
      </w:r>
    </w:p>
    <w:p w14:paraId="77206AC8" w14:textId="77777777" w:rsidR="001B45B9" w:rsidRPr="002C5B71" w:rsidRDefault="001B45B9">
      <w:pPr>
        <w:spacing w:line="360" w:lineRule="auto"/>
        <w:ind w:right="49"/>
        <w:jc w:val="both"/>
        <w:rPr>
          <w:rFonts w:ascii="Palatino Linotype" w:eastAsia="Palatino Linotype" w:hAnsi="Palatino Linotype" w:cs="Palatino Linotype"/>
          <w:sz w:val="22"/>
          <w:szCs w:val="22"/>
        </w:rPr>
      </w:pPr>
    </w:p>
    <w:p w14:paraId="31AD8520" w14:textId="77777777" w:rsidR="001B45B9" w:rsidRPr="002C5B71" w:rsidRDefault="00AA4BF8">
      <w:pPr>
        <w:spacing w:line="360" w:lineRule="auto"/>
        <w:jc w:val="both"/>
        <w:rPr>
          <w:rFonts w:ascii="Palatino Linotype" w:eastAsia="Palatino Linotype" w:hAnsi="Palatino Linotype" w:cs="Palatino Linotype"/>
          <w:sz w:val="22"/>
          <w:szCs w:val="22"/>
        </w:rPr>
      </w:pPr>
      <w:bookmarkStart w:id="3" w:name="_heading=h.3dy6vkm" w:colFirst="0" w:colLast="0"/>
      <w:bookmarkEnd w:id="3"/>
      <w:r w:rsidRPr="002C5B71">
        <w:rPr>
          <w:rFonts w:ascii="Palatino Linotype" w:eastAsia="Palatino Linotype" w:hAnsi="Palatino Linotype" w:cs="Palatino Linotype"/>
          <w:b/>
          <w:sz w:val="22"/>
          <w:szCs w:val="22"/>
        </w:rPr>
        <w:t>Segundo.</w:t>
      </w:r>
      <w:r w:rsidRPr="002C5B71">
        <w:rPr>
          <w:rFonts w:ascii="Palatino Linotype" w:eastAsia="Palatino Linotype" w:hAnsi="Palatino Linotype" w:cs="Palatino Linotype"/>
          <w:sz w:val="22"/>
          <w:szCs w:val="22"/>
        </w:rPr>
        <w:t xml:space="preserve"> Se</w:t>
      </w:r>
      <w:r w:rsidRPr="002C5B71">
        <w:rPr>
          <w:rFonts w:ascii="Palatino Linotype" w:eastAsia="Palatino Linotype" w:hAnsi="Palatino Linotype" w:cs="Palatino Linotype"/>
          <w:b/>
          <w:sz w:val="22"/>
          <w:szCs w:val="22"/>
        </w:rPr>
        <w:t xml:space="preserve"> Ordena </w:t>
      </w:r>
      <w:r w:rsidRPr="002C5B71">
        <w:rPr>
          <w:rFonts w:ascii="Palatino Linotype" w:eastAsia="Palatino Linotype" w:hAnsi="Palatino Linotype" w:cs="Palatino Linotype"/>
          <w:sz w:val="22"/>
          <w:szCs w:val="22"/>
        </w:rPr>
        <w:t xml:space="preserve">al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 xml:space="preserve">, haga entrega a la parte </w:t>
      </w:r>
      <w:r w:rsidRPr="002C5B71">
        <w:rPr>
          <w:rFonts w:ascii="Palatino Linotype" w:eastAsia="Palatino Linotype" w:hAnsi="Palatino Linotype" w:cs="Palatino Linotype"/>
          <w:b/>
          <w:sz w:val="22"/>
          <w:szCs w:val="22"/>
        </w:rPr>
        <w:t xml:space="preserve">Recurrente </w:t>
      </w:r>
      <w:r w:rsidRPr="002C5B71">
        <w:rPr>
          <w:rFonts w:ascii="Palatino Linotype" w:eastAsia="Palatino Linotype" w:hAnsi="Palatino Linotype" w:cs="Palatino Linotype"/>
          <w:sz w:val="22"/>
          <w:szCs w:val="22"/>
        </w:rPr>
        <w:t xml:space="preserve">en términos de los </w:t>
      </w:r>
      <w:r w:rsidRPr="002C5B71">
        <w:rPr>
          <w:rFonts w:ascii="Palatino Linotype" w:eastAsia="Palatino Linotype" w:hAnsi="Palatino Linotype" w:cs="Palatino Linotype"/>
          <w:b/>
          <w:sz w:val="22"/>
          <w:szCs w:val="22"/>
        </w:rPr>
        <w:t>Considerandos Cuarto y Quinto</w:t>
      </w:r>
      <w:r w:rsidRPr="002C5B71">
        <w:rPr>
          <w:rFonts w:ascii="Palatino Linotype" w:eastAsia="Palatino Linotype" w:hAnsi="Palatino Linotype" w:cs="Palatino Linotype"/>
          <w:sz w:val="22"/>
          <w:szCs w:val="22"/>
        </w:rPr>
        <w:t xml:space="preserve">, a través del Sistema de Acceso a la Información Mexiquense (SAIMEX), previa búsqueda exhaustiva y razonable, de ser el caso en versión pública, los documentos donde conste la siguiente información: </w:t>
      </w:r>
    </w:p>
    <w:p w14:paraId="68D8E9E0"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64911AA1" w14:textId="77777777" w:rsidR="001B45B9" w:rsidRPr="002C5B71" w:rsidRDefault="00AA4BF8">
      <w:pPr>
        <w:numPr>
          <w:ilvl w:val="0"/>
          <w:numId w:val="6"/>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bookmarkStart w:id="4" w:name="_heading=h.kc4zj077h7pb" w:colFirst="0" w:colLast="0"/>
      <w:bookmarkEnd w:id="4"/>
      <w:r w:rsidRPr="002C5B71">
        <w:rPr>
          <w:rFonts w:ascii="Palatino Linotype" w:eastAsia="Palatino Linotype" w:hAnsi="Palatino Linotype" w:cs="Palatino Linotype"/>
          <w:b/>
          <w:sz w:val="22"/>
          <w:szCs w:val="22"/>
        </w:rPr>
        <w:t>Acciones adoptadas por la Comisión del Agua del Estado de México y Coordinación Jurídica, de Igualdad de Género y Erradicación de la Violencia relacionadas con temas de la diversidad sexual en el ámbito laboral del dieciséis de julio de dos mil veintitrés al dieciséis de julio de dos mil veinticuatro.</w:t>
      </w:r>
    </w:p>
    <w:p w14:paraId="2DB76DAD" w14:textId="77777777" w:rsidR="001B45B9" w:rsidRPr="002C5B71" w:rsidRDefault="001B45B9">
      <w:pPr>
        <w:pBdr>
          <w:top w:val="nil"/>
          <w:left w:val="nil"/>
          <w:bottom w:val="nil"/>
          <w:right w:val="nil"/>
          <w:between w:val="nil"/>
        </w:pBdr>
        <w:spacing w:line="360" w:lineRule="auto"/>
        <w:ind w:left="426" w:right="49"/>
        <w:jc w:val="both"/>
        <w:rPr>
          <w:rFonts w:ascii="Palatino Linotype" w:eastAsia="Palatino Linotype" w:hAnsi="Palatino Linotype" w:cs="Palatino Linotype"/>
          <w:b/>
          <w:sz w:val="22"/>
          <w:szCs w:val="22"/>
        </w:rPr>
      </w:pPr>
    </w:p>
    <w:p w14:paraId="70F761DB" w14:textId="77777777" w:rsidR="001B45B9" w:rsidRPr="002C5B71" w:rsidRDefault="00AA4BF8">
      <w:pPr>
        <w:spacing w:line="360" w:lineRule="auto"/>
        <w:ind w:left="360" w:right="615"/>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2C5B71">
        <w:rPr>
          <w:rFonts w:ascii="Palatino Linotype" w:eastAsia="Palatino Linotype" w:hAnsi="Palatino Linotype" w:cs="Palatino Linotype"/>
          <w:b/>
          <w:i/>
          <w:sz w:val="22"/>
          <w:szCs w:val="22"/>
        </w:rPr>
        <w:t xml:space="preserve"> </w:t>
      </w:r>
      <w:r w:rsidRPr="002C5B71">
        <w:rPr>
          <w:rFonts w:ascii="Palatino Linotype" w:eastAsia="Palatino Linotype" w:hAnsi="Palatino Linotype" w:cs="Palatino Linotype"/>
          <w:i/>
          <w:sz w:val="22"/>
          <w:szCs w:val="22"/>
        </w:rPr>
        <w:t xml:space="preserve">y  se ponga a disposición de la parte Recurrente, en términos de los artículos </w:t>
      </w:r>
      <w:r w:rsidRPr="002C5B71">
        <w:rPr>
          <w:rFonts w:ascii="Palatino Linotype" w:eastAsia="Palatino Linotype" w:hAnsi="Palatino Linotype" w:cs="Palatino Linotype"/>
          <w:i/>
          <w:sz w:val="22"/>
          <w:szCs w:val="22"/>
        </w:rPr>
        <w:lastRenderedPageBreak/>
        <w:t>49, fracción VIII,  de la Ley de Transparencia y Acceso a la Información Pública del Estado de México y Municipios.</w:t>
      </w:r>
    </w:p>
    <w:p w14:paraId="5D7210DC" w14:textId="77777777" w:rsidR="001B45B9" w:rsidRPr="002C5B71" w:rsidRDefault="001B45B9">
      <w:pPr>
        <w:spacing w:line="360" w:lineRule="auto"/>
        <w:ind w:left="360" w:right="615"/>
        <w:jc w:val="both"/>
        <w:rPr>
          <w:rFonts w:ascii="Palatino Linotype" w:eastAsia="Palatino Linotype" w:hAnsi="Palatino Linotype" w:cs="Palatino Linotype"/>
          <w:i/>
          <w:sz w:val="22"/>
          <w:szCs w:val="22"/>
        </w:rPr>
      </w:pPr>
    </w:p>
    <w:p w14:paraId="7BFD9CF6" w14:textId="77777777" w:rsidR="001B45B9" w:rsidRPr="002C5B71" w:rsidRDefault="00AA4BF8">
      <w:pPr>
        <w:spacing w:line="360" w:lineRule="auto"/>
        <w:ind w:left="360" w:right="615"/>
        <w:jc w:val="both"/>
        <w:rPr>
          <w:rFonts w:ascii="Palatino Linotype" w:eastAsia="Palatino Linotype" w:hAnsi="Palatino Linotype" w:cs="Palatino Linotype"/>
          <w:i/>
          <w:sz w:val="22"/>
          <w:szCs w:val="22"/>
        </w:rPr>
      </w:pPr>
      <w:r w:rsidRPr="002C5B71">
        <w:rPr>
          <w:rFonts w:ascii="Palatino Linotype" w:eastAsia="Palatino Linotype" w:hAnsi="Palatino Linotype" w:cs="Palatino Linotype"/>
          <w:i/>
          <w:sz w:val="22"/>
          <w:szCs w:val="22"/>
        </w:rPr>
        <w:t xml:space="preserve">Para el caso de que el </w:t>
      </w:r>
      <w:r w:rsidRPr="002C5B71">
        <w:rPr>
          <w:rFonts w:ascii="Palatino Linotype" w:eastAsia="Palatino Linotype" w:hAnsi="Palatino Linotype" w:cs="Palatino Linotype"/>
          <w:b/>
          <w:i/>
          <w:sz w:val="22"/>
          <w:szCs w:val="22"/>
        </w:rPr>
        <w:t>Sujeto Obligado</w:t>
      </w:r>
      <w:r w:rsidRPr="002C5B71">
        <w:rPr>
          <w:rFonts w:ascii="Palatino Linotype" w:eastAsia="Palatino Linotype" w:hAnsi="Palatino Linotype" w:cs="Palatino Linotype"/>
          <w:i/>
          <w:sz w:val="22"/>
          <w:szCs w:val="22"/>
        </w:rPr>
        <w:t xml:space="preserve"> no cuente con información que se ordena entregar, bastará con que así lo haga del conocimiento de la parte </w:t>
      </w:r>
      <w:r w:rsidRPr="002C5B71">
        <w:rPr>
          <w:rFonts w:ascii="Palatino Linotype" w:eastAsia="Palatino Linotype" w:hAnsi="Palatino Linotype" w:cs="Palatino Linotype"/>
          <w:b/>
          <w:i/>
          <w:sz w:val="22"/>
          <w:szCs w:val="22"/>
        </w:rPr>
        <w:t>Recurrente</w:t>
      </w:r>
      <w:r w:rsidRPr="002C5B71">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4B7B8FCA" w14:textId="77777777" w:rsidR="001B45B9" w:rsidRPr="002C5B71" w:rsidRDefault="001B45B9">
      <w:pPr>
        <w:spacing w:line="360" w:lineRule="auto"/>
        <w:ind w:left="360" w:right="615"/>
        <w:jc w:val="both"/>
        <w:rPr>
          <w:rFonts w:ascii="Palatino Linotype" w:eastAsia="Palatino Linotype" w:hAnsi="Palatino Linotype" w:cs="Palatino Linotype"/>
          <w:i/>
          <w:sz w:val="22"/>
          <w:szCs w:val="22"/>
        </w:rPr>
      </w:pPr>
    </w:p>
    <w:p w14:paraId="5E480D20" w14:textId="77777777" w:rsidR="001B45B9" w:rsidRPr="002C5B71" w:rsidRDefault="00AA4BF8">
      <w:pPr>
        <w:spacing w:line="360" w:lineRule="auto"/>
        <w:jc w:val="both"/>
        <w:rPr>
          <w:rFonts w:ascii="Palatino Linotype" w:eastAsia="Palatino Linotype" w:hAnsi="Palatino Linotype" w:cs="Palatino Linotype"/>
          <w:sz w:val="22"/>
          <w:szCs w:val="22"/>
        </w:rPr>
      </w:pPr>
      <w:bookmarkStart w:id="5" w:name="_heading=h.3znysh7" w:colFirst="0" w:colLast="0"/>
      <w:bookmarkEnd w:id="5"/>
      <w:r w:rsidRPr="002C5B71">
        <w:rPr>
          <w:rFonts w:ascii="Palatino Linotype" w:eastAsia="Palatino Linotype" w:hAnsi="Palatino Linotype" w:cs="Palatino Linotype"/>
          <w:b/>
          <w:sz w:val="22"/>
          <w:szCs w:val="22"/>
        </w:rPr>
        <w:t xml:space="preserve">Tercero.  Notifíquese vía SAIMEX, </w:t>
      </w:r>
      <w:r w:rsidRPr="002C5B71">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0D2C6F2D"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7CB1D00F" w14:textId="77777777" w:rsidR="001B45B9" w:rsidRPr="002C5B71" w:rsidRDefault="00AA4BF8">
      <w:pPr>
        <w:spacing w:line="360" w:lineRule="auto"/>
        <w:ind w:right="49"/>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t>Cuarto.</w:t>
      </w:r>
      <w:r w:rsidRPr="002C5B71">
        <w:rPr>
          <w:rFonts w:ascii="Palatino Linotype" w:eastAsia="Palatino Linotype" w:hAnsi="Palatino Linotype" w:cs="Palatino Linotype"/>
          <w:sz w:val="22"/>
          <w:szCs w:val="22"/>
        </w:rPr>
        <w:t xml:space="preserve"> </w:t>
      </w:r>
      <w:r w:rsidRPr="002C5B71">
        <w:rPr>
          <w:rFonts w:ascii="Palatino Linotype" w:eastAsia="Palatino Linotype" w:hAnsi="Palatino Linotype" w:cs="Palatino Linotype"/>
          <w:b/>
          <w:sz w:val="22"/>
          <w:szCs w:val="22"/>
        </w:rPr>
        <w:t>Notifíquese vía SAIMEX</w:t>
      </w:r>
      <w:r w:rsidRPr="002C5B71">
        <w:rPr>
          <w:rFonts w:ascii="Palatino Linotype" w:eastAsia="Palatino Linotype" w:hAnsi="Palatino Linotype" w:cs="Palatino Linotype"/>
          <w:sz w:val="22"/>
          <w:szCs w:val="22"/>
        </w:rPr>
        <w:t xml:space="preserve"> a la parte </w:t>
      </w:r>
      <w:r w:rsidRPr="002C5B71">
        <w:rPr>
          <w:rFonts w:ascii="Palatino Linotype" w:eastAsia="Palatino Linotype" w:hAnsi="Palatino Linotype" w:cs="Palatino Linotype"/>
          <w:b/>
          <w:sz w:val="22"/>
          <w:szCs w:val="22"/>
        </w:rPr>
        <w:t xml:space="preserve">RECURRENTE </w:t>
      </w:r>
      <w:r w:rsidRPr="002C5B71">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4C87D0ED"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1166E925" w14:textId="77777777" w:rsidR="001B45B9" w:rsidRPr="002C5B71" w:rsidRDefault="00AA4BF8">
      <w:pPr>
        <w:spacing w:line="360" w:lineRule="auto"/>
        <w:ind w:right="49"/>
        <w:jc w:val="both"/>
        <w:rPr>
          <w:rFonts w:ascii="Palatino Linotype" w:eastAsia="Palatino Linotype" w:hAnsi="Palatino Linotype" w:cs="Palatino Linotype"/>
          <w:sz w:val="22"/>
          <w:szCs w:val="22"/>
        </w:rPr>
      </w:pPr>
      <w:r w:rsidRPr="002C5B71">
        <w:rPr>
          <w:rFonts w:ascii="Palatino Linotype" w:eastAsia="Palatino Linotype" w:hAnsi="Palatino Linotype" w:cs="Palatino Linotype"/>
          <w:b/>
          <w:sz w:val="22"/>
          <w:szCs w:val="22"/>
        </w:rPr>
        <w:lastRenderedPageBreak/>
        <w:t>Quinto.</w:t>
      </w:r>
      <w:r w:rsidRPr="002C5B71">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2C5B71">
        <w:rPr>
          <w:rFonts w:ascii="Palatino Linotype" w:eastAsia="Palatino Linotype" w:hAnsi="Palatino Linotype" w:cs="Palatino Linotype"/>
          <w:b/>
          <w:sz w:val="22"/>
          <w:szCs w:val="22"/>
        </w:rPr>
        <w:t>SUJETO OBLIGADO</w:t>
      </w:r>
      <w:r w:rsidRPr="002C5B71">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340AEA23" w14:textId="77777777" w:rsidR="001B45B9" w:rsidRPr="002C5B71" w:rsidRDefault="001B45B9">
      <w:pPr>
        <w:pBdr>
          <w:top w:val="nil"/>
          <w:left w:val="nil"/>
          <w:bottom w:val="nil"/>
          <w:right w:val="nil"/>
          <w:between w:val="nil"/>
        </w:pBdr>
        <w:spacing w:after="160" w:line="360" w:lineRule="auto"/>
        <w:ind w:right="50"/>
        <w:jc w:val="both"/>
        <w:rPr>
          <w:rFonts w:ascii="Palatino Linotype" w:eastAsia="Palatino Linotype" w:hAnsi="Palatino Linotype" w:cs="Palatino Linotype"/>
          <w:sz w:val="22"/>
          <w:szCs w:val="22"/>
        </w:rPr>
      </w:pPr>
    </w:p>
    <w:p w14:paraId="21C51550" w14:textId="77777777" w:rsidR="001B45B9" w:rsidRPr="002C5B71" w:rsidRDefault="00AA4BF8">
      <w:pPr>
        <w:spacing w:line="360" w:lineRule="auto"/>
        <w:jc w:val="both"/>
        <w:rPr>
          <w:rFonts w:ascii="Palatino Linotype" w:eastAsia="Palatino Linotype" w:hAnsi="Palatino Linotype" w:cs="Palatino Linotype"/>
          <w:sz w:val="22"/>
          <w:szCs w:val="22"/>
        </w:rPr>
        <w:sectPr w:rsidR="001B45B9" w:rsidRPr="002C5B71">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2C5B7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7430E4" w:rsidRPr="002C5B71">
        <w:rPr>
          <w:rFonts w:ascii="Palatino Linotype" w:eastAsia="Palatino Linotype" w:hAnsi="Palatino Linotype" w:cs="Palatino Linotype"/>
          <w:sz w:val="22"/>
          <w:szCs w:val="22"/>
        </w:rPr>
        <w:t>SEIS</w:t>
      </w:r>
      <w:r w:rsidRPr="002C5B71">
        <w:rPr>
          <w:rFonts w:ascii="Palatino Linotype" w:eastAsia="Palatino Linotype" w:hAnsi="Palatino Linotype" w:cs="Palatino Linotype"/>
          <w:sz w:val="22"/>
          <w:szCs w:val="22"/>
        </w:rPr>
        <w:t xml:space="preserve"> DE </w:t>
      </w:r>
      <w:r w:rsidR="007430E4" w:rsidRPr="002C5B71">
        <w:rPr>
          <w:rFonts w:ascii="Palatino Linotype" w:eastAsia="Palatino Linotype" w:hAnsi="Palatino Linotype" w:cs="Palatino Linotype"/>
          <w:sz w:val="22"/>
          <w:szCs w:val="22"/>
        </w:rPr>
        <w:t>NOVIEMBRE</w:t>
      </w:r>
      <w:r w:rsidRPr="002C5B71">
        <w:rPr>
          <w:rFonts w:ascii="Palatino Linotype" w:eastAsia="Palatino Linotype" w:hAnsi="Palatino Linotype" w:cs="Palatino Linotype"/>
          <w:sz w:val="22"/>
          <w:szCs w:val="22"/>
        </w:rPr>
        <w:t xml:space="preserve"> DE DOS MIL VEINTICUATRO ANTE EL SECRETARIO TÉCNICO DEL PLENO ALEXIS TAPIA RAMÍREZ.                             </w:t>
      </w:r>
    </w:p>
    <w:p w14:paraId="20CF5450" w14:textId="77777777" w:rsidR="001B45B9" w:rsidRPr="002C5B71" w:rsidRDefault="001B45B9">
      <w:pPr>
        <w:spacing w:line="360" w:lineRule="auto"/>
        <w:jc w:val="both"/>
        <w:rPr>
          <w:rFonts w:ascii="Palatino Linotype" w:eastAsia="Palatino Linotype" w:hAnsi="Palatino Linotype" w:cs="Palatino Linotype"/>
          <w:sz w:val="22"/>
          <w:szCs w:val="22"/>
        </w:rPr>
      </w:pPr>
    </w:p>
    <w:p w14:paraId="4CE24805" w14:textId="77777777" w:rsidR="001B45B9" w:rsidRPr="002C5B71" w:rsidRDefault="001B45B9">
      <w:pPr>
        <w:spacing w:line="360" w:lineRule="auto"/>
        <w:jc w:val="both"/>
        <w:rPr>
          <w:rFonts w:ascii="Palatino Linotype" w:eastAsia="Palatino Linotype" w:hAnsi="Palatino Linotype" w:cs="Palatino Linotype"/>
          <w:sz w:val="22"/>
          <w:szCs w:val="22"/>
        </w:rPr>
      </w:pPr>
    </w:p>
    <w:sectPr w:rsidR="001B45B9" w:rsidRPr="002C5B71">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1B13" w14:textId="77777777" w:rsidR="00EA2C92" w:rsidRDefault="00EA2C92">
      <w:r>
        <w:separator/>
      </w:r>
    </w:p>
  </w:endnote>
  <w:endnote w:type="continuationSeparator" w:id="0">
    <w:p w14:paraId="0E853620" w14:textId="77777777" w:rsidR="00EA2C92" w:rsidRDefault="00EA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0C37" w14:textId="77777777" w:rsidR="001B45B9" w:rsidRDefault="00AA4BF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94A01">
      <w:rPr>
        <w:rFonts w:ascii="Arial" w:eastAsia="Arial" w:hAnsi="Arial" w:cs="Arial"/>
        <w:b/>
        <w:noProof/>
        <w:color w:val="000000"/>
        <w:sz w:val="20"/>
        <w:szCs w:val="20"/>
      </w:rPr>
      <w:t>39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94A01">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017769B5" w14:textId="77777777" w:rsidR="001B45B9" w:rsidRDefault="001B45B9">
    <w:pPr>
      <w:pBdr>
        <w:top w:val="nil"/>
        <w:left w:val="nil"/>
        <w:bottom w:val="nil"/>
        <w:right w:val="nil"/>
        <w:between w:val="nil"/>
      </w:pBdr>
      <w:tabs>
        <w:tab w:val="center" w:pos="4252"/>
        <w:tab w:val="right" w:pos="8504"/>
      </w:tabs>
      <w:rPr>
        <w:color w:val="000000"/>
      </w:rPr>
    </w:pPr>
  </w:p>
  <w:p w14:paraId="5D1F026B" w14:textId="77777777" w:rsidR="001B45B9" w:rsidRDefault="001B45B9">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A883" w14:textId="77777777" w:rsidR="001B45B9" w:rsidRDefault="00AA4BF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94A01">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94A01">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71557D6F" w14:textId="77777777" w:rsidR="001B45B9" w:rsidRDefault="001B45B9">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5DC9" w14:textId="77777777" w:rsidR="00EA2C92" w:rsidRDefault="00EA2C92">
      <w:r>
        <w:separator/>
      </w:r>
    </w:p>
  </w:footnote>
  <w:footnote w:type="continuationSeparator" w:id="0">
    <w:p w14:paraId="0DC67FE3" w14:textId="77777777" w:rsidR="00EA2C92" w:rsidRDefault="00EA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7728" w14:textId="77777777" w:rsidR="001B45B9" w:rsidRDefault="00AA4BF8">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22E3092" wp14:editId="010A3AC4">
          <wp:simplePos x="0" y="0"/>
          <wp:positionH relativeFrom="column">
            <wp:posOffset>-781049</wp:posOffset>
          </wp:positionH>
          <wp:positionV relativeFrom="paragraph">
            <wp:posOffset>-316864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1B45B9" w14:paraId="05953CCA" w14:textId="77777777">
      <w:tc>
        <w:tcPr>
          <w:tcW w:w="2551" w:type="dxa"/>
          <w:vAlign w:val="center"/>
        </w:tcPr>
        <w:p w14:paraId="5BF604C2" w14:textId="77777777" w:rsidR="001B45B9" w:rsidRDefault="00AA4B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08216E68" w14:textId="77777777" w:rsidR="001B45B9" w:rsidRDefault="00AA4BF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05079/INFOEM/IP/RR/2024</w:t>
          </w:r>
        </w:p>
      </w:tc>
    </w:tr>
    <w:tr w:rsidR="001B45B9" w14:paraId="5A12B132" w14:textId="77777777">
      <w:trPr>
        <w:trHeight w:val="228"/>
      </w:trPr>
      <w:tc>
        <w:tcPr>
          <w:tcW w:w="2551" w:type="dxa"/>
          <w:vAlign w:val="center"/>
        </w:tcPr>
        <w:p w14:paraId="4949BCEA" w14:textId="77777777" w:rsidR="001B45B9" w:rsidRDefault="00AA4B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2CE14B4E" w14:textId="77777777" w:rsidR="001B45B9" w:rsidRDefault="00AA4BF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Comisión del Agua del Estado de México</w:t>
          </w:r>
        </w:p>
      </w:tc>
    </w:tr>
    <w:tr w:rsidR="001B45B9" w14:paraId="12691099" w14:textId="77777777">
      <w:tc>
        <w:tcPr>
          <w:tcW w:w="2551" w:type="dxa"/>
          <w:vAlign w:val="center"/>
        </w:tcPr>
        <w:p w14:paraId="1A24BE68" w14:textId="77777777" w:rsidR="001B45B9" w:rsidRDefault="00AA4B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0EA95D32" w14:textId="77777777" w:rsidR="001B45B9" w:rsidRDefault="00AA4BF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3AE715B" w14:textId="77777777" w:rsidR="001B45B9" w:rsidRDefault="00AA4BF8">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4ECB" w14:textId="77777777" w:rsidR="001B45B9" w:rsidRDefault="00AA4BF8">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007D2FFF" wp14:editId="5DA7055B">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1B45B9" w14:paraId="735C91EC" w14:textId="77777777">
      <w:tc>
        <w:tcPr>
          <w:tcW w:w="2551" w:type="dxa"/>
          <w:vAlign w:val="center"/>
        </w:tcPr>
        <w:p w14:paraId="7899948A" w14:textId="77777777" w:rsidR="001B45B9" w:rsidRDefault="00AA4B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6E46752" w14:textId="77777777" w:rsidR="001B45B9" w:rsidRDefault="00AA4BF8">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05079/INFOEM/IP/RR/2024 </w:t>
          </w:r>
        </w:p>
      </w:tc>
    </w:tr>
    <w:tr w:rsidR="001B45B9" w14:paraId="12405569" w14:textId="77777777">
      <w:tc>
        <w:tcPr>
          <w:tcW w:w="2551" w:type="dxa"/>
          <w:vAlign w:val="center"/>
        </w:tcPr>
        <w:p w14:paraId="41570278" w14:textId="77777777" w:rsidR="001B45B9" w:rsidRDefault="00AA4BF8">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420699A0" w14:textId="77777777" w:rsidR="001B45B9" w:rsidRDefault="001B45B9">
          <w:pPr>
            <w:ind w:right="27"/>
            <w:jc w:val="both"/>
            <w:rPr>
              <w:rFonts w:ascii="Palatino Linotype" w:eastAsia="Palatino Linotype" w:hAnsi="Palatino Linotype" w:cs="Palatino Linotype"/>
              <w:b/>
              <w:sz w:val="22"/>
              <w:szCs w:val="22"/>
            </w:rPr>
          </w:pPr>
        </w:p>
      </w:tc>
    </w:tr>
    <w:tr w:rsidR="001B45B9" w14:paraId="3E377B81" w14:textId="77777777">
      <w:trPr>
        <w:trHeight w:val="228"/>
      </w:trPr>
      <w:tc>
        <w:tcPr>
          <w:tcW w:w="2551" w:type="dxa"/>
          <w:vAlign w:val="center"/>
        </w:tcPr>
        <w:p w14:paraId="49195F28" w14:textId="77777777" w:rsidR="001B45B9" w:rsidRDefault="00AA4B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6D645C58" w14:textId="77777777" w:rsidR="001B45B9" w:rsidRDefault="00AA4BF8">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Comisión del Agua del Estado de México</w:t>
          </w:r>
        </w:p>
      </w:tc>
    </w:tr>
    <w:tr w:rsidR="001B45B9" w14:paraId="17D77A19" w14:textId="77777777">
      <w:tc>
        <w:tcPr>
          <w:tcW w:w="2551" w:type="dxa"/>
          <w:vAlign w:val="center"/>
        </w:tcPr>
        <w:p w14:paraId="7189CE1D" w14:textId="77777777" w:rsidR="001B45B9" w:rsidRDefault="00AA4BF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EB52EF6" w14:textId="77777777" w:rsidR="001B45B9" w:rsidRDefault="00AA4BF8">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073C5AF" w14:textId="77777777" w:rsidR="001B45B9" w:rsidRDefault="001B45B9">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DD24" w14:textId="77777777" w:rsidR="001B45B9" w:rsidRDefault="001B45B9">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F5D6C58" w14:textId="77777777" w:rsidR="001B45B9" w:rsidRDefault="001B45B9">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B7F"/>
    <w:multiLevelType w:val="multilevel"/>
    <w:tmpl w:val="1A9AC85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0AD95416"/>
    <w:multiLevelType w:val="multilevel"/>
    <w:tmpl w:val="50A09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70514B"/>
    <w:multiLevelType w:val="multilevel"/>
    <w:tmpl w:val="C5087E6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DC4F78"/>
    <w:multiLevelType w:val="multilevel"/>
    <w:tmpl w:val="EFE8367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D75381"/>
    <w:multiLevelType w:val="multilevel"/>
    <w:tmpl w:val="68DC342A"/>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740D65"/>
    <w:multiLevelType w:val="multilevel"/>
    <w:tmpl w:val="02782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B9"/>
    <w:rsid w:val="00035D20"/>
    <w:rsid w:val="001B45B9"/>
    <w:rsid w:val="00292014"/>
    <w:rsid w:val="002C5B71"/>
    <w:rsid w:val="00494A01"/>
    <w:rsid w:val="007430E4"/>
    <w:rsid w:val="00AA4BF8"/>
    <w:rsid w:val="00DF0F2B"/>
    <w:rsid w:val="00EA2C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56CC"/>
  <w15:docId w15:val="{C9D2C5F6-5C86-46D2-8CF5-5056B8B1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XvnQE9vWBz2Fj9ngEUSfA8IaQA==">CgMxLjAyCGguZ2pkZ3hzMgloLjMwajB6bGwyCWguMWZvYjl0ZTIJaC4zZHk2dmttMg5oLmtjNHpqMDc3aDdwYjIJaC4zem55c2g3OAByITFRTzFQY0xmd0NUcUNqdmtmb0p0b3pkdGhUVFBjTDdmeQ==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10085</Words>
  <Characters>55468</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2024-10-25T19:39:00Z</cp:lastPrinted>
  <dcterms:created xsi:type="dcterms:W3CDTF">2024-11-19T19:34:00Z</dcterms:created>
  <dcterms:modified xsi:type="dcterms:W3CDTF">2024-11-19T19:34:00Z</dcterms:modified>
</cp:coreProperties>
</file>