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AF" w:rsidRDefault="006153AF" w:rsidP="009D502A">
      <w:pPr>
        <w:widowControl w:val="0"/>
        <w:pBdr>
          <w:top w:val="nil"/>
          <w:left w:val="nil"/>
          <w:bottom w:val="nil"/>
          <w:right w:val="nil"/>
          <w:between w:val="nil"/>
        </w:pBdr>
        <w:spacing w:after="0" w:line="276" w:lineRule="auto"/>
        <w:jc w:val="left"/>
      </w:pPr>
    </w:p>
    <w:p w:rsidR="006153AF" w:rsidRDefault="006153AF">
      <w:pPr>
        <w:widowControl w:val="0"/>
        <w:pBdr>
          <w:top w:val="nil"/>
          <w:left w:val="nil"/>
          <w:bottom w:val="nil"/>
          <w:right w:val="nil"/>
          <w:between w:val="nil"/>
        </w:pBdr>
        <w:spacing w:after="0" w:line="360" w:lineRule="auto"/>
        <w:jc w:val="left"/>
      </w:pPr>
    </w:p>
    <w:p w:rsidR="006153AF" w:rsidRDefault="008A4B2B">
      <w:pPr>
        <w:keepNext/>
        <w:keepLines/>
        <w:pBdr>
          <w:top w:val="nil"/>
          <w:left w:val="nil"/>
          <w:bottom w:val="nil"/>
          <w:right w:val="nil"/>
          <w:between w:val="nil"/>
        </w:pBdr>
        <w:spacing w:before="240" w:after="0"/>
        <w:jc w:val="left"/>
        <w:rPr>
          <w:color w:val="2F5496"/>
        </w:rPr>
      </w:pPr>
      <w:r>
        <w:rPr>
          <w:color w:val="2F5496"/>
        </w:rPr>
        <w:t>Contenido</w:t>
      </w:r>
    </w:p>
    <w:sdt>
      <w:sdtPr>
        <w:id w:val="1277831426"/>
        <w:docPartObj>
          <w:docPartGallery w:val="Table of Contents"/>
          <w:docPartUnique/>
        </w:docPartObj>
      </w:sdtPr>
      <w:sdtEndPr/>
      <w:sdtContent>
        <w:p w:rsidR="006153AF" w:rsidRDefault="008A4B2B">
          <w:pPr>
            <w:pBdr>
              <w:top w:val="nil"/>
              <w:left w:val="nil"/>
              <w:bottom w:val="nil"/>
              <w:right w:val="nil"/>
              <w:between w:val="nil"/>
            </w:pBdr>
            <w:tabs>
              <w:tab w:val="right" w:pos="9204"/>
            </w:tabs>
            <w:spacing w:after="100"/>
            <w:rPr>
              <w:color w:val="000000"/>
            </w:rPr>
          </w:pPr>
          <w:r>
            <w:fldChar w:fldCharType="begin"/>
          </w:r>
          <w:r>
            <w:instrText xml:space="preserve"> TOC \h \u \z \t "Heading 1,1,Heading 2,2,Heading 3,3,"</w:instrText>
          </w:r>
          <w:r>
            <w:fldChar w:fldCharType="separate"/>
          </w:r>
          <w:hyperlink w:anchor="_heading=h.1fob9te">
            <w:r>
              <w:rPr>
                <w:color w:val="000000"/>
              </w:rPr>
              <w:t>A N T E C E D E N T E S</w:t>
            </w:r>
            <w:r>
              <w:rPr>
                <w:color w:val="000000"/>
              </w:rPr>
              <w:tab/>
              <w:t>2</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3znysh7">
            <w:r w:rsidR="008A4B2B">
              <w:rPr>
                <w:color w:val="000000"/>
              </w:rPr>
              <w:t>I. Presentación de la solicitud de información</w:t>
            </w:r>
            <w:r w:rsidR="008A4B2B">
              <w:rPr>
                <w:color w:val="000000"/>
              </w:rPr>
              <w:tab/>
              <w:t>2</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tyjcwt">
            <w:r w:rsidR="008A4B2B">
              <w:rPr>
                <w:color w:val="000000"/>
              </w:rPr>
              <w:t>II. Respuesta del Sujeto Obligado</w:t>
            </w:r>
            <w:r w:rsidR="008A4B2B">
              <w:rPr>
                <w:color w:val="000000"/>
              </w:rPr>
              <w:tab/>
              <w:t>3</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3dy6vkm">
            <w:r w:rsidR="008A4B2B">
              <w:rPr>
                <w:color w:val="000000"/>
              </w:rPr>
              <w:t>III. Interposición del Recurso de Revisión</w:t>
            </w:r>
            <w:r w:rsidR="008A4B2B">
              <w:rPr>
                <w:color w:val="000000"/>
              </w:rPr>
              <w:tab/>
              <w:t>3</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1t3h5sf">
            <w:r w:rsidR="008A4B2B">
              <w:rPr>
                <w:color w:val="000000"/>
              </w:rPr>
              <w:t>IV. Trámite del Recurso de Revisión ante este Instituto</w:t>
            </w:r>
            <w:r w:rsidR="008A4B2B">
              <w:rPr>
                <w:color w:val="000000"/>
              </w:rPr>
              <w:tab/>
              <w:t>4</w:t>
            </w:r>
          </w:hyperlink>
        </w:p>
        <w:p w:rsidR="006153AF" w:rsidRDefault="00C22272">
          <w:pPr>
            <w:pBdr>
              <w:top w:val="nil"/>
              <w:left w:val="nil"/>
              <w:bottom w:val="nil"/>
              <w:right w:val="nil"/>
              <w:between w:val="nil"/>
            </w:pBdr>
            <w:tabs>
              <w:tab w:val="right" w:pos="9204"/>
            </w:tabs>
            <w:spacing w:after="100"/>
            <w:rPr>
              <w:color w:val="000000"/>
            </w:rPr>
          </w:pPr>
          <w:hyperlink w:anchor="_heading=h.4d34og8">
            <w:r w:rsidR="008A4B2B">
              <w:rPr>
                <w:color w:val="000000"/>
              </w:rPr>
              <w:t>C O N S I D E R A N D O S</w:t>
            </w:r>
            <w:r w:rsidR="008A4B2B">
              <w:rPr>
                <w:color w:val="000000"/>
              </w:rPr>
              <w:tab/>
              <w:t>6</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2s8eyo1">
            <w:r w:rsidR="008A4B2B">
              <w:rPr>
                <w:color w:val="000000"/>
              </w:rPr>
              <w:t>PRIMERO. Competencia</w:t>
            </w:r>
            <w:r w:rsidR="008A4B2B">
              <w:rPr>
                <w:color w:val="000000"/>
              </w:rPr>
              <w:tab/>
              <w:t>6</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17dp8vu">
            <w:r w:rsidR="008A4B2B">
              <w:rPr>
                <w:color w:val="000000"/>
              </w:rPr>
              <w:t>SEGUNDO. Causales de improcedencia y sobreseimiento</w:t>
            </w:r>
            <w:r w:rsidR="008A4B2B">
              <w:rPr>
                <w:color w:val="000000"/>
              </w:rPr>
              <w:tab/>
              <w:t>6</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3rdcrjn">
            <w:r w:rsidR="008A4B2B">
              <w:rPr>
                <w:color w:val="000000"/>
              </w:rPr>
              <w:t>TERCERO. Determinación de la Controversia</w:t>
            </w:r>
            <w:r w:rsidR="008A4B2B">
              <w:rPr>
                <w:color w:val="000000"/>
              </w:rPr>
              <w:tab/>
              <w:t>8</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26in1rg">
            <w:r w:rsidR="008A4B2B">
              <w:rPr>
                <w:color w:val="000000"/>
              </w:rPr>
              <w:t>CUARTO. Marco normativo aplicable en materia de transparencia y acceso a la información pública</w:t>
            </w:r>
            <w:r w:rsidR="008A4B2B">
              <w:rPr>
                <w:color w:val="000000"/>
              </w:rPr>
              <w:tab/>
              <w:t>9</w:t>
            </w:r>
          </w:hyperlink>
        </w:p>
        <w:p w:rsidR="006153AF" w:rsidRDefault="00C22272">
          <w:pPr>
            <w:pBdr>
              <w:top w:val="nil"/>
              <w:left w:val="nil"/>
              <w:bottom w:val="nil"/>
              <w:right w:val="nil"/>
              <w:between w:val="nil"/>
            </w:pBdr>
            <w:tabs>
              <w:tab w:val="right" w:pos="9204"/>
            </w:tabs>
            <w:spacing w:after="100"/>
            <w:ind w:left="220"/>
            <w:rPr>
              <w:color w:val="000000"/>
            </w:rPr>
          </w:pPr>
          <w:hyperlink w:anchor="_heading=h.lnxbz9">
            <w:r w:rsidR="008A4B2B">
              <w:rPr>
                <w:smallCaps/>
                <w:color w:val="000000"/>
              </w:rPr>
              <w:t>QUINTO.</w:t>
            </w:r>
          </w:hyperlink>
          <w:hyperlink w:anchor="_heading=h.lnxbz9">
            <w:r w:rsidR="008A4B2B">
              <w:rPr>
                <w:color w:val="000000"/>
              </w:rPr>
              <w:t xml:space="preserve"> Estudio de Fondo</w:t>
            </w:r>
            <w:r w:rsidR="008A4B2B">
              <w:rPr>
                <w:color w:val="000000"/>
              </w:rPr>
              <w:tab/>
              <w:t>10</w:t>
            </w:r>
          </w:hyperlink>
        </w:p>
        <w:p w:rsidR="006153AF" w:rsidRDefault="00C22272">
          <w:pPr>
            <w:pBdr>
              <w:top w:val="nil"/>
              <w:left w:val="nil"/>
              <w:bottom w:val="nil"/>
              <w:right w:val="nil"/>
              <w:between w:val="nil"/>
            </w:pBdr>
            <w:tabs>
              <w:tab w:val="right" w:pos="9204"/>
            </w:tabs>
            <w:spacing w:after="100"/>
            <w:rPr>
              <w:color w:val="000000"/>
            </w:rPr>
          </w:pPr>
          <w:hyperlink w:anchor="_heading=h.3as4poj">
            <w:r w:rsidR="008A4B2B">
              <w:rPr>
                <w:color w:val="000000"/>
              </w:rPr>
              <w:t>R E S U E L V E</w:t>
            </w:r>
            <w:r w:rsidR="008A4B2B">
              <w:rPr>
                <w:color w:val="000000"/>
              </w:rPr>
              <w:tab/>
              <w:t>24</w:t>
            </w:r>
          </w:hyperlink>
        </w:p>
        <w:p w:rsidR="006153AF" w:rsidRDefault="008A4B2B">
          <w:r>
            <w:fldChar w:fldCharType="end"/>
          </w:r>
        </w:p>
      </w:sdtContent>
    </w:sdt>
    <w:p w:rsidR="006153AF" w:rsidRDefault="006153AF">
      <w:pPr>
        <w:spacing w:after="0" w:line="360" w:lineRule="auto"/>
      </w:pPr>
    </w:p>
    <w:p w:rsidR="006153AF" w:rsidRDefault="006153AF">
      <w:pPr>
        <w:spacing w:after="0" w:line="360" w:lineRule="auto"/>
      </w:pPr>
    </w:p>
    <w:p w:rsidR="006153AF" w:rsidRDefault="008A4B2B">
      <w:pPr>
        <w:spacing w:after="0" w:line="360" w:lineRule="auto"/>
      </w:pPr>
      <w:r>
        <w:br w:type="page"/>
      </w:r>
    </w:p>
    <w:p w:rsidR="006153AF" w:rsidRDefault="006153AF">
      <w:pPr>
        <w:widowControl w:val="0"/>
        <w:pBdr>
          <w:top w:val="nil"/>
          <w:left w:val="nil"/>
          <w:bottom w:val="nil"/>
          <w:right w:val="nil"/>
          <w:between w:val="nil"/>
        </w:pBdr>
        <w:spacing w:after="0" w:line="360" w:lineRule="auto"/>
        <w:jc w:val="left"/>
      </w:pPr>
    </w:p>
    <w:p w:rsidR="006153AF" w:rsidRDefault="008A4B2B">
      <w:pPr>
        <w:spacing w:after="0" w:line="360" w:lineRule="auto"/>
      </w:pPr>
      <w:r>
        <w:t>Resolución del Pleno del Instituto de Transparencia, Acceso a la Información Pública y Protección de Datos Personales del Estado de México y Municipios, con domicilio en Metepec, Estado de México, de fecha veintisiete de noviembre de dos mil veinticuatro.</w:t>
      </w:r>
    </w:p>
    <w:p w:rsidR="006153AF" w:rsidRDefault="006153AF">
      <w:pPr>
        <w:spacing w:after="0" w:line="360" w:lineRule="auto"/>
        <w:rPr>
          <w:b/>
        </w:rPr>
      </w:pPr>
    </w:p>
    <w:p w:rsidR="006153AF" w:rsidRDefault="008A4B2B">
      <w:pPr>
        <w:spacing w:after="0" w:line="360" w:lineRule="auto"/>
      </w:pPr>
      <w:r>
        <w:rPr>
          <w:b/>
        </w:rPr>
        <w:t>VISTO</w:t>
      </w:r>
      <w:r>
        <w:t xml:space="preserve"> el expediente conformado con motivo del Recurso de Revisión </w:t>
      </w:r>
      <w:r>
        <w:rPr>
          <w:b/>
        </w:rPr>
        <w:t>06691/INFOEM/IP/RR/2024</w:t>
      </w:r>
      <w:r>
        <w:t xml:space="preserve">, interpuesto por </w:t>
      </w:r>
      <w:r>
        <w:rPr>
          <w:b/>
        </w:rPr>
        <w:t>un Particular</w:t>
      </w:r>
      <w:r>
        <w:t xml:space="preserve">, en adelante, la persona Recurrente o Particular, en contra de la respuesta del Sujeto Obligado, Ayuntamiento de </w:t>
      </w:r>
      <w:proofErr w:type="spellStart"/>
      <w:r>
        <w:t>Temamatla</w:t>
      </w:r>
      <w:proofErr w:type="spellEnd"/>
      <w:r>
        <w:t>, se emite la presente Resolución, con base en los antecedentes y considerandos que se exponen a continuación:</w:t>
      </w:r>
    </w:p>
    <w:p w:rsidR="006153AF" w:rsidRDefault="006153AF">
      <w:pPr>
        <w:spacing w:after="0" w:line="360" w:lineRule="auto"/>
      </w:pPr>
    </w:p>
    <w:p w:rsidR="006153AF" w:rsidRDefault="008A4B2B">
      <w:pPr>
        <w:pStyle w:val="Ttulo1"/>
        <w:spacing w:before="0" w:after="0"/>
        <w:rPr>
          <w:sz w:val="22"/>
          <w:szCs w:val="22"/>
        </w:rPr>
      </w:pPr>
      <w:bookmarkStart w:id="0" w:name="_heading=h.1fob9te" w:colFirst="0" w:colLast="0"/>
      <w:bookmarkEnd w:id="0"/>
      <w:r>
        <w:rPr>
          <w:sz w:val="22"/>
          <w:szCs w:val="22"/>
        </w:rPr>
        <w:t>A N T E C E D E N T E S</w:t>
      </w:r>
    </w:p>
    <w:p w:rsidR="006153AF" w:rsidRDefault="006153AF">
      <w:pPr>
        <w:spacing w:after="0" w:line="360" w:lineRule="auto"/>
      </w:pPr>
    </w:p>
    <w:p w:rsidR="006153AF" w:rsidRDefault="008A4B2B">
      <w:pPr>
        <w:pStyle w:val="Ttulo2"/>
        <w:spacing w:before="0" w:after="0"/>
      </w:pPr>
      <w:bookmarkStart w:id="1" w:name="_heading=h.3znysh7" w:colFirst="0" w:colLast="0"/>
      <w:bookmarkEnd w:id="1"/>
      <w:r>
        <w:t>I. Presentación de la solicitud de información</w:t>
      </w:r>
    </w:p>
    <w:p w:rsidR="006153AF" w:rsidRDefault="006153AF">
      <w:pPr>
        <w:tabs>
          <w:tab w:val="left" w:pos="567"/>
        </w:tabs>
        <w:spacing w:after="0" w:line="360" w:lineRule="auto"/>
      </w:pPr>
    </w:p>
    <w:p w:rsidR="006153AF" w:rsidRDefault="008A4B2B">
      <w:pPr>
        <w:spacing w:after="0" w:line="360" w:lineRule="auto"/>
        <w:rPr>
          <w:color w:val="000000"/>
        </w:rPr>
      </w:pPr>
      <w:r>
        <w:t xml:space="preserve">Con fecha primero de octubre de dos mil veinticuatro, </w:t>
      </w:r>
      <w:r>
        <w:rPr>
          <w:color w:val="000000"/>
        </w:rPr>
        <w:t xml:space="preserve">la persona Particular presentó una solicitud de acceso a la información pública, </w:t>
      </w:r>
      <w:r>
        <w:t>a través del</w:t>
      </w:r>
      <w:r>
        <w:rPr>
          <w:color w:val="000000"/>
        </w:rPr>
        <w:t xml:space="preserve"> Sistema de Acceso a la Información Mexiquense, en lo sucesivo el SAIMEX, ante el </w:t>
      </w:r>
      <w:r>
        <w:rPr>
          <w:b/>
        </w:rPr>
        <w:t xml:space="preserve">Ayuntamiento de </w:t>
      </w:r>
      <w:proofErr w:type="spellStart"/>
      <w:r>
        <w:rPr>
          <w:b/>
        </w:rPr>
        <w:t>Temamatla</w:t>
      </w:r>
      <w:proofErr w:type="spellEnd"/>
      <w:r>
        <w:rPr>
          <w:color w:val="000000"/>
        </w:rPr>
        <w:t xml:space="preserve">, </w:t>
      </w:r>
      <w:r>
        <w:t xml:space="preserve">la cual fue radicada el dos de octubre del mismo año, por tratarse del siguiente día hábil de conformidad con el calendario oficial de este Organismo Garante, </w:t>
      </w:r>
      <w:r>
        <w:rPr>
          <w:color w:val="000000"/>
        </w:rPr>
        <w:t>en la que requirió lo siguiente:</w:t>
      </w:r>
    </w:p>
    <w:p w:rsidR="006153AF" w:rsidRDefault="006153AF">
      <w:pPr>
        <w:spacing w:after="0" w:line="360" w:lineRule="auto"/>
        <w:rPr>
          <w:color w:val="000000"/>
        </w:rPr>
      </w:pPr>
    </w:p>
    <w:p w:rsidR="006153AF" w:rsidRDefault="008A4B2B">
      <w:pPr>
        <w:tabs>
          <w:tab w:val="left" w:pos="567"/>
        </w:tabs>
        <w:spacing w:after="0" w:line="360" w:lineRule="auto"/>
        <w:ind w:left="567" w:right="709"/>
        <w:rPr>
          <w:b/>
          <w:sz w:val="20"/>
          <w:szCs w:val="20"/>
        </w:rPr>
      </w:pPr>
      <w:r>
        <w:rPr>
          <w:b/>
          <w:sz w:val="20"/>
          <w:szCs w:val="20"/>
        </w:rPr>
        <w:t>Folio de la solicitud: 00449/TEMAMATL/IP/2024</w:t>
      </w:r>
    </w:p>
    <w:p w:rsidR="006153AF" w:rsidRDefault="008A4B2B">
      <w:pPr>
        <w:tabs>
          <w:tab w:val="left" w:pos="567"/>
        </w:tabs>
        <w:spacing w:after="0" w:line="360" w:lineRule="auto"/>
        <w:ind w:left="567" w:right="709"/>
        <w:rPr>
          <w:b/>
          <w:sz w:val="20"/>
          <w:szCs w:val="20"/>
        </w:rPr>
      </w:pPr>
      <w:r>
        <w:rPr>
          <w:b/>
          <w:sz w:val="20"/>
          <w:szCs w:val="20"/>
        </w:rPr>
        <w:t>DESCRIPCIÓN CLARA Y PRECISA DE LA INFORMACIÓN SOLICITADA</w:t>
      </w:r>
    </w:p>
    <w:p w:rsidR="006153AF" w:rsidRDefault="008A4B2B">
      <w:pPr>
        <w:tabs>
          <w:tab w:val="left" w:pos="4667"/>
        </w:tabs>
        <w:spacing w:after="0" w:line="360" w:lineRule="auto"/>
        <w:ind w:left="567" w:right="709"/>
        <w:rPr>
          <w:i/>
          <w:sz w:val="20"/>
          <w:szCs w:val="20"/>
        </w:rPr>
      </w:pPr>
      <w:r>
        <w:rPr>
          <w:i/>
          <w:sz w:val="20"/>
          <w:szCs w:val="20"/>
        </w:rPr>
        <w:t xml:space="preserve">“Cual </w:t>
      </w:r>
      <w:proofErr w:type="spellStart"/>
      <w:r>
        <w:rPr>
          <w:i/>
          <w:sz w:val="20"/>
          <w:szCs w:val="20"/>
        </w:rPr>
        <w:t>a</w:t>
      </w:r>
      <w:proofErr w:type="spellEnd"/>
      <w:r>
        <w:rPr>
          <w:i/>
          <w:sz w:val="20"/>
          <w:szCs w:val="20"/>
        </w:rPr>
        <w:t xml:space="preserve"> sido el monto de gasto por concepto de reparaciones a unidades municipales, durante la administración 2022 2024, favor de adjuntar póliza de </w:t>
      </w:r>
      <w:proofErr w:type="gramStart"/>
      <w:r>
        <w:rPr>
          <w:i/>
          <w:sz w:val="20"/>
          <w:szCs w:val="20"/>
        </w:rPr>
        <w:t>egresos ,</w:t>
      </w:r>
      <w:proofErr w:type="gramEnd"/>
      <w:r>
        <w:rPr>
          <w:i/>
          <w:sz w:val="20"/>
          <w:szCs w:val="20"/>
        </w:rPr>
        <w:t xml:space="preserve"> facturas y documentación respaldo del pago de estas reparaciones.” (</w:t>
      </w:r>
      <w:r w:rsidR="00AF6FAB">
        <w:rPr>
          <w:i/>
          <w:sz w:val="20"/>
          <w:szCs w:val="20"/>
        </w:rPr>
        <w:t>Sic</w:t>
      </w:r>
      <w:r>
        <w:rPr>
          <w:i/>
          <w:sz w:val="20"/>
          <w:szCs w:val="20"/>
        </w:rPr>
        <w:t>.)</w:t>
      </w:r>
    </w:p>
    <w:p w:rsidR="006153AF" w:rsidRDefault="008A4B2B">
      <w:pPr>
        <w:tabs>
          <w:tab w:val="left" w:pos="4667"/>
        </w:tabs>
        <w:spacing w:after="0" w:line="360" w:lineRule="auto"/>
        <w:ind w:left="567" w:right="709"/>
        <w:rPr>
          <w:i/>
          <w:sz w:val="20"/>
          <w:szCs w:val="20"/>
        </w:rPr>
      </w:pPr>
      <w:r>
        <w:rPr>
          <w:i/>
          <w:sz w:val="20"/>
          <w:szCs w:val="20"/>
        </w:rPr>
        <w:t xml:space="preserve"> </w:t>
      </w:r>
    </w:p>
    <w:p w:rsidR="006153AF" w:rsidRDefault="008A4B2B">
      <w:pPr>
        <w:pBdr>
          <w:top w:val="nil"/>
          <w:left w:val="nil"/>
          <w:bottom w:val="nil"/>
          <w:right w:val="nil"/>
          <w:between w:val="nil"/>
        </w:pBdr>
        <w:tabs>
          <w:tab w:val="left" w:pos="567"/>
        </w:tabs>
        <w:spacing w:after="0" w:line="360" w:lineRule="auto"/>
        <w:ind w:left="567" w:right="709"/>
        <w:rPr>
          <w:i/>
          <w:color w:val="000000"/>
          <w:sz w:val="20"/>
          <w:szCs w:val="20"/>
        </w:rPr>
      </w:pPr>
      <w:r>
        <w:rPr>
          <w:b/>
          <w:color w:val="000000"/>
          <w:sz w:val="20"/>
          <w:szCs w:val="20"/>
        </w:rPr>
        <w:lastRenderedPageBreak/>
        <w:t xml:space="preserve">MODALIDAD DE ENTREGA </w:t>
      </w:r>
      <w:r>
        <w:rPr>
          <w:i/>
          <w:color w:val="000000"/>
          <w:sz w:val="20"/>
          <w:szCs w:val="20"/>
        </w:rPr>
        <w:t>“A través del SAIMEX”</w:t>
      </w:r>
    </w:p>
    <w:p w:rsidR="006153AF" w:rsidRDefault="006153AF">
      <w:pPr>
        <w:pStyle w:val="Ttulo2"/>
        <w:spacing w:before="0" w:after="0"/>
      </w:pPr>
    </w:p>
    <w:p w:rsidR="006153AF" w:rsidRDefault="008A4B2B">
      <w:pPr>
        <w:pStyle w:val="Ttulo2"/>
        <w:spacing w:before="0" w:after="0"/>
      </w:pPr>
      <w:bookmarkStart w:id="2" w:name="_heading=h.tyjcwt" w:colFirst="0" w:colLast="0"/>
      <w:bookmarkEnd w:id="2"/>
      <w:r>
        <w:t>II. Respuesta del Sujeto Obligado</w:t>
      </w:r>
    </w:p>
    <w:p w:rsidR="006153AF" w:rsidRDefault="006153AF">
      <w:pPr>
        <w:spacing w:after="0" w:line="360" w:lineRule="auto"/>
      </w:pPr>
    </w:p>
    <w:p w:rsidR="006153AF" w:rsidRDefault="008A4B2B">
      <w:pPr>
        <w:spacing w:after="0" w:line="360" w:lineRule="auto"/>
      </w:pPr>
      <w:r>
        <w:t>El veintidós de octubre de dos mil veinticuatro, el Sujeto Obligado otorgó respuesta a través de SAIMEX, mediante dos documentos, de los que se desprende lo siguiente:</w:t>
      </w:r>
    </w:p>
    <w:p w:rsidR="006153AF" w:rsidRDefault="006153AF">
      <w:pPr>
        <w:spacing w:after="0" w:line="360" w:lineRule="auto"/>
      </w:pPr>
    </w:p>
    <w:p w:rsidR="006153AF" w:rsidRDefault="008A4B2B">
      <w:pPr>
        <w:numPr>
          <w:ilvl w:val="0"/>
          <w:numId w:val="4"/>
        </w:numPr>
        <w:pBdr>
          <w:top w:val="nil"/>
          <w:left w:val="nil"/>
          <w:bottom w:val="nil"/>
          <w:right w:val="nil"/>
          <w:between w:val="nil"/>
        </w:pBdr>
        <w:spacing w:after="0" w:line="360" w:lineRule="auto"/>
        <w:ind w:right="567"/>
        <w:rPr>
          <w:color w:val="000000"/>
        </w:rPr>
      </w:pPr>
      <w:r>
        <w:rPr>
          <w:color w:val="000000"/>
        </w:rPr>
        <w:t xml:space="preserve">Oficio suscrito por la Tesorera Municipal, en el que expresó que derivado de la cantidad y volumen de la información y ante los limitados recursos materiales y humanos con los que cuenta, así como en atención al cambio de administración, la entrega recepción y las mesas de transición, </w:t>
      </w:r>
      <w:r>
        <w:t>propuso que se sometiera a aprobación del Comité de Transparencia</w:t>
      </w:r>
      <w:r>
        <w:rPr>
          <w:color w:val="000000"/>
        </w:rPr>
        <w:t xml:space="preserve"> el cambio de modalidad a la consulta directa de la información y señaló como día para </w:t>
      </w:r>
      <w:r>
        <w:t>efectuar el</w:t>
      </w:r>
      <w:r>
        <w:rPr>
          <w:color w:val="000000"/>
        </w:rPr>
        <w:t xml:space="preserve"> 24 de octubre del año en curso de 9.00 a 10.00 </w:t>
      </w:r>
      <w:proofErr w:type="spellStart"/>
      <w:r>
        <w:rPr>
          <w:color w:val="000000"/>
        </w:rPr>
        <w:t>hrs</w:t>
      </w:r>
      <w:proofErr w:type="spellEnd"/>
      <w:r>
        <w:rPr>
          <w:color w:val="000000"/>
        </w:rPr>
        <w:t>.</w:t>
      </w:r>
    </w:p>
    <w:p w:rsidR="006153AF" w:rsidRDefault="008A4B2B">
      <w:pPr>
        <w:numPr>
          <w:ilvl w:val="0"/>
          <w:numId w:val="4"/>
        </w:numPr>
        <w:pBdr>
          <w:top w:val="nil"/>
          <w:left w:val="nil"/>
          <w:bottom w:val="nil"/>
          <w:right w:val="nil"/>
          <w:between w:val="nil"/>
        </w:pBdr>
        <w:spacing w:after="0" w:line="360" w:lineRule="auto"/>
        <w:ind w:right="567"/>
        <w:rPr>
          <w:color w:val="000000"/>
        </w:rPr>
      </w:pPr>
      <w:r>
        <w:rPr>
          <w:color w:val="000000"/>
        </w:rPr>
        <w:t xml:space="preserve">Acta ACT/TEMA/UTAIP/ORDINARIA/84/2024 correspondiente a la </w:t>
      </w:r>
      <w:r w:rsidR="00AF6FAB">
        <w:rPr>
          <w:i/>
          <w:color w:val="000000"/>
        </w:rPr>
        <w:t>Octogésima</w:t>
      </w:r>
      <w:r>
        <w:rPr>
          <w:i/>
          <w:color w:val="000000"/>
        </w:rPr>
        <w:t xml:space="preserve"> Cuarta Sesión Ordinaria del Comité de Transparencia</w:t>
      </w:r>
      <w:r>
        <w:rPr>
          <w:color w:val="000000"/>
        </w:rPr>
        <w:t xml:space="preserve">, en el que se aprobó el cambio de modalidad de entrega de la información a consulta en sitio de diversas solicitudes, entre ellas la que nos ocupa, y en su tercer punto señala que se aprueba el cambio de modalidad debido a la carga de trabajo de las áreas, la falta de capacidad técnica, humana, material y las más de 1164 solicitudes que llegaron a las distintas áreas, por lo que se determinó la entrega de la información en la Tesorería Municipal el 24 de octubre del año en curso, de 9.00 a 10.00 </w:t>
      </w:r>
      <w:proofErr w:type="spellStart"/>
      <w:r>
        <w:rPr>
          <w:color w:val="000000"/>
        </w:rPr>
        <w:t>hrs</w:t>
      </w:r>
      <w:proofErr w:type="spellEnd"/>
      <w:r>
        <w:rPr>
          <w:color w:val="000000"/>
        </w:rPr>
        <w:t xml:space="preserve">. </w:t>
      </w:r>
    </w:p>
    <w:p w:rsidR="006153AF" w:rsidRDefault="006153AF">
      <w:pPr>
        <w:pBdr>
          <w:top w:val="nil"/>
          <w:left w:val="nil"/>
          <w:bottom w:val="nil"/>
          <w:right w:val="nil"/>
          <w:between w:val="nil"/>
        </w:pBdr>
        <w:spacing w:after="0" w:line="360" w:lineRule="auto"/>
        <w:ind w:right="567"/>
        <w:rPr>
          <w:color w:val="000000"/>
        </w:rPr>
      </w:pPr>
    </w:p>
    <w:p w:rsidR="006153AF" w:rsidRDefault="008A4B2B">
      <w:pPr>
        <w:pStyle w:val="Ttulo2"/>
        <w:spacing w:before="0" w:after="0"/>
      </w:pPr>
      <w:bookmarkStart w:id="3" w:name="_heading=h.3dy6vkm" w:colFirst="0" w:colLast="0"/>
      <w:bookmarkEnd w:id="3"/>
      <w:r>
        <w:t>III. Interposición del Recurso de Revisión</w:t>
      </w:r>
    </w:p>
    <w:p w:rsidR="006153AF" w:rsidRDefault="006153AF">
      <w:pPr>
        <w:spacing w:after="0" w:line="360" w:lineRule="auto"/>
        <w:rPr>
          <w:b/>
        </w:rPr>
      </w:pPr>
    </w:p>
    <w:p w:rsidR="006153AF" w:rsidRDefault="008A4B2B">
      <w:pPr>
        <w:spacing w:after="0" w:line="360" w:lineRule="auto"/>
      </w:pPr>
      <w:bookmarkStart w:id="4" w:name="_heading=h.2et92p0" w:colFirst="0" w:colLast="0"/>
      <w:bookmarkEnd w:id="4"/>
      <w:r>
        <w:lastRenderedPageBreak/>
        <w:t>Con fecha veinticinco de octubre de dos mil veinticuatro, se recibió en este Instituto, a través del SAIMEX, el Recurso de Revisión interpuesto por la persona Solicitante, en los siguientes términos:</w:t>
      </w:r>
    </w:p>
    <w:p w:rsidR="006153AF" w:rsidRDefault="006153AF">
      <w:pPr>
        <w:spacing w:after="0" w:line="360" w:lineRule="auto"/>
      </w:pPr>
    </w:p>
    <w:p w:rsidR="006153AF" w:rsidRDefault="008A4B2B">
      <w:pPr>
        <w:spacing w:after="0" w:line="360" w:lineRule="auto"/>
        <w:ind w:left="567" w:right="709"/>
        <w:rPr>
          <w:b/>
          <w:sz w:val="20"/>
          <w:szCs w:val="20"/>
        </w:rPr>
      </w:pPr>
      <w:r>
        <w:rPr>
          <w:b/>
          <w:sz w:val="20"/>
          <w:szCs w:val="20"/>
        </w:rPr>
        <w:t>ACTO IMPUGNADO</w:t>
      </w:r>
      <w:r>
        <w:rPr>
          <w:b/>
          <w:sz w:val="20"/>
          <w:szCs w:val="20"/>
        </w:rPr>
        <w:tab/>
      </w:r>
    </w:p>
    <w:p w:rsidR="006153AF" w:rsidRDefault="008A4B2B">
      <w:pPr>
        <w:spacing w:after="0" w:line="360" w:lineRule="auto"/>
        <w:ind w:left="567" w:right="709"/>
        <w:rPr>
          <w:i/>
          <w:sz w:val="20"/>
          <w:szCs w:val="20"/>
        </w:rPr>
      </w:pPr>
      <w:r>
        <w:rPr>
          <w:i/>
          <w:sz w:val="20"/>
          <w:szCs w:val="20"/>
        </w:rPr>
        <w:t xml:space="preserve">“RESPUESTA OTORGADA” </w:t>
      </w:r>
    </w:p>
    <w:p w:rsidR="006153AF" w:rsidRDefault="006153AF">
      <w:pPr>
        <w:spacing w:after="0" w:line="360" w:lineRule="auto"/>
        <w:ind w:left="567" w:right="709"/>
        <w:rPr>
          <w:sz w:val="20"/>
          <w:szCs w:val="20"/>
        </w:rPr>
      </w:pPr>
    </w:p>
    <w:p w:rsidR="006153AF" w:rsidRDefault="008A4B2B">
      <w:pPr>
        <w:spacing w:after="0" w:line="360" w:lineRule="auto"/>
        <w:ind w:left="567" w:right="709"/>
        <w:rPr>
          <w:b/>
          <w:sz w:val="20"/>
          <w:szCs w:val="20"/>
        </w:rPr>
      </w:pPr>
      <w:r>
        <w:rPr>
          <w:b/>
          <w:sz w:val="20"/>
          <w:szCs w:val="20"/>
        </w:rPr>
        <w:t>RAZONES O MOTIVOS DE LA INCONFORMIDAD</w:t>
      </w:r>
      <w:r>
        <w:rPr>
          <w:b/>
          <w:sz w:val="20"/>
          <w:szCs w:val="20"/>
        </w:rPr>
        <w:tab/>
      </w:r>
    </w:p>
    <w:p w:rsidR="006153AF" w:rsidRDefault="008A4B2B">
      <w:pPr>
        <w:tabs>
          <w:tab w:val="left" w:pos="4667"/>
        </w:tabs>
        <w:spacing w:after="0" w:line="360" w:lineRule="auto"/>
        <w:ind w:left="567" w:right="709"/>
        <w:rPr>
          <w:i/>
          <w:sz w:val="20"/>
          <w:szCs w:val="20"/>
        </w:rPr>
      </w:pPr>
      <w:r>
        <w:rPr>
          <w:i/>
          <w:sz w:val="20"/>
          <w:szCs w:val="20"/>
        </w:rPr>
        <w:t>“EL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EL SUJETO OBLIGADO MANIFIESTA LA INEXISTENCIA DE LA INFORMACION, SIN ADJUNTAR EL ACTA DEL COMITE DE TRANSPARENCIA QUE HAYA VERIFICADO Y AUTORIZADO ESTE SUPUESTO” (sic.)</w:t>
      </w:r>
    </w:p>
    <w:p w:rsidR="006153AF" w:rsidRDefault="006153AF">
      <w:pPr>
        <w:tabs>
          <w:tab w:val="left" w:pos="4667"/>
        </w:tabs>
        <w:spacing w:after="0" w:line="360" w:lineRule="auto"/>
        <w:ind w:right="537"/>
      </w:pPr>
    </w:p>
    <w:p w:rsidR="006153AF" w:rsidRDefault="008A4B2B">
      <w:pPr>
        <w:pStyle w:val="Ttulo2"/>
        <w:spacing w:before="0" w:after="0"/>
      </w:pPr>
      <w:bookmarkStart w:id="5" w:name="_heading=h.1t3h5sf" w:colFirst="0" w:colLast="0"/>
      <w:bookmarkEnd w:id="5"/>
      <w:r>
        <w:t>IV. Trámite del Recurso de Revisión ante este Instituto</w:t>
      </w:r>
    </w:p>
    <w:p w:rsidR="006153AF" w:rsidRDefault="006153AF">
      <w:pPr>
        <w:spacing w:after="0" w:line="360" w:lineRule="auto"/>
        <w:rPr>
          <w:b/>
        </w:rPr>
      </w:pPr>
    </w:p>
    <w:p w:rsidR="006153AF" w:rsidRDefault="008A4B2B">
      <w:pPr>
        <w:spacing w:after="0" w:line="360" w:lineRule="auto"/>
        <w:rPr>
          <w:color w:val="000000"/>
        </w:rPr>
      </w:pPr>
      <w:r>
        <w:rPr>
          <w:b/>
        </w:rPr>
        <w:lastRenderedPageBreak/>
        <w:t>a) Turno del Medio de Impugnación.</w:t>
      </w:r>
      <w:r>
        <w:t xml:space="preserve"> </w:t>
      </w:r>
      <w:r>
        <w:rPr>
          <w:color w:val="000000"/>
        </w:rPr>
        <w:t xml:space="preserve">El veinticinco de octubre de dos mil veinticuatro, el SAIMEX, asignó el número de expediente </w:t>
      </w:r>
      <w:r>
        <w:rPr>
          <w:b/>
          <w:color w:val="000000"/>
        </w:rPr>
        <w:t xml:space="preserve">06691/INFOEM/IP/RR/2024,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6153AF" w:rsidRDefault="006153AF">
      <w:pPr>
        <w:spacing w:after="0" w:line="360" w:lineRule="auto"/>
      </w:pPr>
    </w:p>
    <w:p w:rsidR="006153AF" w:rsidRDefault="008A4B2B">
      <w:pPr>
        <w:spacing w:after="0" w:line="360" w:lineRule="auto"/>
        <w:rPr>
          <w:color w:val="000000"/>
        </w:rPr>
      </w:pPr>
      <w:bookmarkStart w:id="6" w:name="_heading=h.gjdgxs" w:colFirst="0" w:colLast="0"/>
      <w:bookmarkEnd w:id="6"/>
      <w:r>
        <w:rPr>
          <w:b/>
        </w:rPr>
        <w:t>b) Admisión del Recurso de Revisión.</w:t>
      </w:r>
      <w:r>
        <w:t xml:space="preserve"> </w:t>
      </w:r>
      <w:r>
        <w:rPr>
          <w:color w:val="000000"/>
        </w:rPr>
        <w:t xml:space="preserve">El </w:t>
      </w:r>
      <w:r>
        <w:t>treinta de octubre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6153AF" w:rsidRDefault="006153AF">
      <w:pPr>
        <w:spacing w:after="0" w:line="360" w:lineRule="auto"/>
        <w:rPr>
          <w:color w:val="000000"/>
        </w:rPr>
      </w:pPr>
    </w:p>
    <w:p w:rsidR="006153AF" w:rsidRDefault="008A4B2B">
      <w:pPr>
        <w:spacing w:after="0" w:line="360" w:lineRule="auto"/>
        <w:rPr>
          <w:color w:val="000000"/>
        </w:rPr>
      </w:pPr>
      <w:r>
        <w:rPr>
          <w:b/>
          <w:color w:val="000000"/>
        </w:rPr>
        <w:t>c</w:t>
      </w:r>
      <w:r>
        <w:rPr>
          <w:b/>
        </w:rPr>
        <w:t>) Informe justificado y manifestaciones de la persona Recurrente.</w:t>
      </w:r>
      <w:r>
        <w:t xml:space="preserve"> </w:t>
      </w:r>
      <w:r>
        <w:rPr>
          <w:color w:val="000000"/>
        </w:rPr>
        <w:t>De las constancias que integran el SAIMEX se advierte que el Sujeto Obligado fue omiso en rendir informe justificado y la parte Recurrente fue omisa en añadir manifestaciones.</w:t>
      </w:r>
    </w:p>
    <w:p w:rsidR="006153AF" w:rsidRDefault="006153AF">
      <w:pPr>
        <w:widowControl w:val="0"/>
        <w:spacing w:after="0" w:line="360" w:lineRule="auto"/>
        <w:rPr>
          <w:b/>
        </w:rPr>
      </w:pPr>
    </w:p>
    <w:p w:rsidR="006153AF" w:rsidRDefault="008A4B2B">
      <w:pPr>
        <w:spacing w:after="0" w:line="360" w:lineRule="auto"/>
        <w:rPr>
          <w:b/>
        </w:rPr>
      </w:pPr>
      <w:r>
        <w:rPr>
          <w:b/>
        </w:rPr>
        <w:t>e) Cierre de instrucción.</w:t>
      </w:r>
      <w:r>
        <w:t xml:space="preserve"> El diecinueve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6153AF" w:rsidRDefault="006153AF">
      <w:pPr>
        <w:spacing w:after="0" w:line="360" w:lineRule="auto"/>
      </w:pPr>
    </w:p>
    <w:p w:rsidR="006153AF" w:rsidRDefault="008A4B2B">
      <w:pPr>
        <w:spacing w:after="0" w:line="360" w:lineRule="auto"/>
      </w:pPr>
      <w:r>
        <w:lastRenderedPageBreak/>
        <w:t xml:space="preserve">En razón de que fue debidamente sustanciado e integrado el expediente electrónico y no existir diligencia pendiente de desahogo, se emite la resolución que conforme a Derecho proceda, de acuerdo a los siguientes: </w:t>
      </w:r>
    </w:p>
    <w:p w:rsidR="006153AF" w:rsidRDefault="006153AF">
      <w:pPr>
        <w:spacing w:after="0" w:line="360" w:lineRule="auto"/>
      </w:pPr>
    </w:p>
    <w:p w:rsidR="006153AF" w:rsidRDefault="008A4B2B">
      <w:pPr>
        <w:pStyle w:val="Ttulo1"/>
        <w:spacing w:before="0" w:after="0"/>
        <w:rPr>
          <w:sz w:val="22"/>
          <w:szCs w:val="22"/>
        </w:rPr>
      </w:pPr>
      <w:bookmarkStart w:id="7" w:name="_heading=h.4d34og8" w:colFirst="0" w:colLast="0"/>
      <w:bookmarkEnd w:id="7"/>
      <w:r>
        <w:rPr>
          <w:sz w:val="22"/>
          <w:szCs w:val="22"/>
        </w:rPr>
        <w:t>C O N S I D E R A N D O S</w:t>
      </w:r>
    </w:p>
    <w:p w:rsidR="006153AF" w:rsidRDefault="006153AF">
      <w:pPr>
        <w:spacing w:after="0" w:line="360" w:lineRule="auto"/>
        <w:rPr>
          <w:b/>
        </w:rPr>
      </w:pPr>
    </w:p>
    <w:p w:rsidR="006153AF" w:rsidRDefault="008A4B2B">
      <w:pPr>
        <w:pStyle w:val="Ttulo2"/>
        <w:spacing w:before="0" w:after="0"/>
      </w:pPr>
      <w:bookmarkStart w:id="8" w:name="_heading=h.2s8eyo1" w:colFirst="0" w:colLast="0"/>
      <w:bookmarkEnd w:id="8"/>
      <w:r>
        <w:t>PRIMERO. Competencia</w:t>
      </w:r>
    </w:p>
    <w:p w:rsidR="006153AF" w:rsidRDefault="006153AF">
      <w:pPr>
        <w:spacing w:after="0" w:line="360" w:lineRule="auto"/>
        <w:rPr>
          <w:b/>
        </w:rPr>
      </w:pPr>
    </w:p>
    <w:p w:rsidR="006153AF" w:rsidRDefault="008A4B2B">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153AF" w:rsidRDefault="006153AF">
      <w:pPr>
        <w:spacing w:after="0" w:line="360" w:lineRule="auto"/>
      </w:pPr>
    </w:p>
    <w:p w:rsidR="006153AF" w:rsidRDefault="008A4B2B">
      <w:pPr>
        <w:pStyle w:val="Ttulo2"/>
        <w:spacing w:before="0" w:after="0"/>
      </w:pPr>
      <w:bookmarkStart w:id="9" w:name="_heading=h.17dp8vu" w:colFirst="0" w:colLast="0"/>
      <w:bookmarkEnd w:id="9"/>
      <w:r>
        <w:t>SEGUNDO. Causales de improcedencia y sobreseimiento</w:t>
      </w:r>
    </w:p>
    <w:p w:rsidR="006153AF" w:rsidRDefault="006153AF">
      <w:pPr>
        <w:spacing w:after="0" w:line="360" w:lineRule="auto"/>
      </w:pPr>
    </w:p>
    <w:p w:rsidR="006153AF" w:rsidRDefault="008A4B2B">
      <w:pPr>
        <w:spacing w:after="0" w:line="360" w:lineRule="auto"/>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6153AF" w:rsidRDefault="006153AF">
      <w:pPr>
        <w:spacing w:after="0" w:line="360" w:lineRule="auto"/>
      </w:pPr>
    </w:p>
    <w:p w:rsidR="006153AF" w:rsidRDefault="008A4B2B">
      <w:pPr>
        <w:spacing w:after="0" w:line="360" w:lineRule="auto"/>
        <w:rPr>
          <w:b/>
        </w:rPr>
      </w:pPr>
      <w:r>
        <w:rPr>
          <w:b/>
        </w:rPr>
        <w:lastRenderedPageBreak/>
        <w:t>Causales de improcedencia</w:t>
      </w:r>
    </w:p>
    <w:p w:rsidR="006153AF" w:rsidRDefault="006153AF">
      <w:pPr>
        <w:spacing w:after="0" w:line="360" w:lineRule="auto"/>
      </w:pPr>
    </w:p>
    <w:p w:rsidR="006153AF" w:rsidRDefault="008A4B2B">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6153AF" w:rsidRDefault="006153AF">
      <w:pPr>
        <w:spacing w:after="0" w:line="360" w:lineRule="auto"/>
      </w:pPr>
    </w:p>
    <w:p w:rsidR="006153AF" w:rsidRDefault="008A4B2B">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6153AF" w:rsidRDefault="006153AF">
      <w:pPr>
        <w:spacing w:after="0" w:line="360" w:lineRule="auto"/>
        <w:rPr>
          <w:b/>
        </w:rPr>
      </w:pPr>
    </w:p>
    <w:p w:rsidR="006153AF" w:rsidRDefault="008A4B2B">
      <w:pPr>
        <w:spacing w:after="0" w:line="360" w:lineRule="auto"/>
        <w:ind w:right="-28"/>
        <w:rPr>
          <w:b/>
          <w:color w:val="000000"/>
        </w:rPr>
      </w:pPr>
      <w:r>
        <w:rPr>
          <w:b/>
          <w:color w:val="000000"/>
        </w:rPr>
        <w:t>Causales de sobreseimiento</w:t>
      </w:r>
    </w:p>
    <w:p w:rsidR="006153AF" w:rsidRDefault="006153AF">
      <w:pPr>
        <w:spacing w:after="0" w:line="360" w:lineRule="auto"/>
        <w:ind w:right="-28"/>
        <w:rPr>
          <w:color w:val="000000"/>
        </w:rPr>
      </w:pPr>
    </w:p>
    <w:p w:rsidR="006153AF" w:rsidRDefault="008A4B2B">
      <w:pPr>
        <w:spacing w:after="0" w:line="360" w:lineRule="auto"/>
        <w:rPr>
          <w:color w:val="000000"/>
        </w:rPr>
      </w:pPr>
      <w:r>
        <w:rPr>
          <w:color w:val="000000"/>
        </w:rPr>
        <w:t>Por ser de previo y especial pronunciamiento, este Instituto analiza si se actualiza alguna causal de sobreseimiento.</w:t>
      </w:r>
    </w:p>
    <w:p w:rsidR="006153AF" w:rsidRDefault="006153AF">
      <w:pPr>
        <w:spacing w:after="0" w:line="360" w:lineRule="auto"/>
        <w:rPr>
          <w:color w:val="000000"/>
        </w:rPr>
      </w:pPr>
    </w:p>
    <w:p w:rsidR="006153AF" w:rsidRDefault="008A4B2B">
      <w:pPr>
        <w:spacing w:after="0" w:line="360" w:lineRule="auto"/>
        <w:rPr>
          <w:color w:val="0D0D0D"/>
        </w:rPr>
      </w:pPr>
      <w:r>
        <w:rPr>
          <w:color w:val="0D0D0D"/>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w:t>
      </w:r>
      <w:r>
        <w:rPr>
          <w:color w:val="0D0D0D"/>
        </w:rPr>
        <w:lastRenderedPageBreak/>
        <w:t>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6153AF" w:rsidRDefault="006153AF">
      <w:pPr>
        <w:spacing w:after="0" w:line="360" w:lineRule="auto"/>
        <w:rPr>
          <w:color w:val="000000"/>
        </w:rPr>
      </w:pPr>
    </w:p>
    <w:p w:rsidR="006153AF" w:rsidRDefault="008A4B2B">
      <w:pPr>
        <w:pStyle w:val="Ttulo2"/>
        <w:spacing w:before="0" w:after="0"/>
      </w:pPr>
      <w:bookmarkStart w:id="10" w:name="_heading=h.3rdcrjn" w:colFirst="0" w:colLast="0"/>
      <w:bookmarkEnd w:id="10"/>
      <w:r>
        <w:t xml:space="preserve">TERCERO. Determinación de la Controversia </w:t>
      </w:r>
    </w:p>
    <w:p w:rsidR="006153AF" w:rsidRDefault="006153AF">
      <w:pPr>
        <w:spacing w:after="0" w:line="360" w:lineRule="auto"/>
        <w:rPr>
          <w:b/>
        </w:rPr>
      </w:pPr>
    </w:p>
    <w:p w:rsidR="006153AF" w:rsidRDefault="008A4B2B">
      <w:pPr>
        <w:tabs>
          <w:tab w:val="left" w:pos="4962"/>
        </w:tabs>
        <w:spacing w:after="0" w:line="360" w:lineRule="auto"/>
      </w:pPr>
      <w:r>
        <w:t>La persona Solicitante requirió, respecto a reparaciones a unidades municipales durante la administración 2022 a 2024, lo siguiente:</w:t>
      </w:r>
    </w:p>
    <w:p w:rsidR="006153AF" w:rsidRDefault="006153AF">
      <w:pPr>
        <w:tabs>
          <w:tab w:val="left" w:pos="4962"/>
        </w:tabs>
        <w:spacing w:after="0" w:line="360" w:lineRule="auto"/>
      </w:pPr>
    </w:p>
    <w:p w:rsidR="006153AF" w:rsidRDefault="008A4B2B">
      <w:pPr>
        <w:numPr>
          <w:ilvl w:val="0"/>
          <w:numId w:val="5"/>
        </w:numPr>
        <w:pBdr>
          <w:top w:val="nil"/>
          <w:left w:val="nil"/>
          <w:bottom w:val="nil"/>
          <w:right w:val="nil"/>
          <w:between w:val="nil"/>
        </w:pBdr>
        <w:tabs>
          <w:tab w:val="left" w:pos="4962"/>
        </w:tabs>
        <w:spacing w:after="0" w:line="360" w:lineRule="auto"/>
        <w:rPr>
          <w:color w:val="000000"/>
        </w:rPr>
      </w:pPr>
      <w:r>
        <w:rPr>
          <w:color w:val="000000"/>
        </w:rPr>
        <w:t>Monto de gasto</w:t>
      </w:r>
    </w:p>
    <w:p w:rsidR="006153AF" w:rsidRDefault="008A4B2B">
      <w:pPr>
        <w:numPr>
          <w:ilvl w:val="0"/>
          <w:numId w:val="5"/>
        </w:numPr>
        <w:pBdr>
          <w:top w:val="nil"/>
          <w:left w:val="nil"/>
          <w:bottom w:val="nil"/>
          <w:right w:val="nil"/>
          <w:between w:val="nil"/>
        </w:pBdr>
        <w:tabs>
          <w:tab w:val="left" w:pos="4962"/>
        </w:tabs>
        <w:spacing w:after="0" w:line="360" w:lineRule="auto"/>
        <w:rPr>
          <w:color w:val="000000"/>
        </w:rPr>
      </w:pPr>
      <w:r>
        <w:rPr>
          <w:color w:val="000000"/>
        </w:rPr>
        <w:t>Póliza de egresos</w:t>
      </w:r>
    </w:p>
    <w:p w:rsidR="006153AF" w:rsidRDefault="008A4B2B">
      <w:pPr>
        <w:numPr>
          <w:ilvl w:val="0"/>
          <w:numId w:val="5"/>
        </w:numPr>
        <w:pBdr>
          <w:top w:val="nil"/>
          <w:left w:val="nil"/>
          <w:bottom w:val="nil"/>
          <w:right w:val="nil"/>
          <w:between w:val="nil"/>
        </w:pBdr>
        <w:tabs>
          <w:tab w:val="left" w:pos="4962"/>
        </w:tabs>
        <w:spacing w:after="0" w:line="360" w:lineRule="auto"/>
        <w:rPr>
          <w:color w:val="000000"/>
        </w:rPr>
      </w:pPr>
      <w:r>
        <w:rPr>
          <w:color w:val="000000"/>
        </w:rPr>
        <w:t xml:space="preserve">Facturas </w:t>
      </w:r>
    </w:p>
    <w:p w:rsidR="006153AF" w:rsidRDefault="008A4B2B">
      <w:pPr>
        <w:numPr>
          <w:ilvl w:val="0"/>
          <w:numId w:val="5"/>
        </w:numPr>
        <w:pBdr>
          <w:top w:val="nil"/>
          <w:left w:val="nil"/>
          <w:bottom w:val="nil"/>
          <w:right w:val="nil"/>
          <w:between w:val="nil"/>
        </w:pBdr>
        <w:tabs>
          <w:tab w:val="left" w:pos="4962"/>
        </w:tabs>
        <w:spacing w:after="0" w:line="360" w:lineRule="auto"/>
        <w:rPr>
          <w:color w:val="000000"/>
        </w:rPr>
      </w:pPr>
      <w:r>
        <w:rPr>
          <w:color w:val="000000"/>
        </w:rPr>
        <w:t>Documentos de respaldo de pago</w:t>
      </w:r>
    </w:p>
    <w:p w:rsidR="006153AF" w:rsidRDefault="006153AF">
      <w:pPr>
        <w:tabs>
          <w:tab w:val="left" w:pos="4962"/>
        </w:tabs>
        <w:spacing w:after="0" w:line="360" w:lineRule="auto"/>
      </w:pPr>
    </w:p>
    <w:p w:rsidR="006153AF" w:rsidRDefault="008A4B2B">
      <w:pPr>
        <w:tabs>
          <w:tab w:val="left" w:pos="4962"/>
        </w:tabs>
        <w:spacing w:after="0" w:line="360" w:lineRule="auto"/>
      </w:pPr>
      <w:r>
        <w:t xml:space="preserve">En respuesta, el Sujeto Obligado a través de la Tesorera Municipal informó del cambio de modalidad a consulta directa y se remitió el Acuerdo emitido por el Comité de Transparencia que robustece dicho cambio de modalidad. Derivado de la respuesta, la parte Recurrente interpuso el Recurso de Revisión que nos ocupa, en el que se quejó del cambio de modalidad. Durante la sustanciación del Recurso de Revisión ambas partes fueron omisas en rendir informe justificado o añadir manifestaciones. </w:t>
      </w:r>
    </w:p>
    <w:p w:rsidR="006153AF" w:rsidRDefault="006153AF">
      <w:pPr>
        <w:tabs>
          <w:tab w:val="left" w:pos="4962"/>
        </w:tabs>
        <w:spacing w:after="0" w:line="360" w:lineRule="auto"/>
      </w:pPr>
    </w:p>
    <w:p w:rsidR="006153AF" w:rsidRDefault="008A4B2B">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 xml:space="preserve">artículo 179, fracción VIII, de la Ley </w:t>
      </w:r>
      <w:r>
        <w:lastRenderedPageBreak/>
        <w:t xml:space="preserve">de la materia; por la puesta a disposición de información en una modalidad o formato distinto al solicitado. </w:t>
      </w:r>
    </w:p>
    <w:p w:rsidR="006153AF" w:rsidRDefault="006153AF">
      <w:pPr>
        <w:tabs>
          <w:tab w:val="left" w:pos="4962"/>
        </w:tabs>
        <w:spacing w:after="0" w:line="360" w:lineRule="auto"/>
        <w:rPr>
          <w:b/>
        </w:rPr>
      </w:pPr>
    </w:p>
    <w:p w:rsidR="006153AF" w:rsidRDefault="008A4B2B">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6153AF" w:rsidRDefault="006153AF">
      <w:pPr>
        <w:spacing w:after="0" w:line="360" w:lineRule="auto"/>
      </w:pPr>
    </w:p>
    <w:p w:rsidR="006153AF" w:rsidRDefault="006153AF">
      <w:pPr>
        <w:tabs>
          <w:tab w:val="left" w:pos="4962"/>
        </w:tabs>
        <w:spacing w:after="0" w:line="360" w:lineRule="auto"/>
      </w:pPr>
    </w:p>
    <w:p w:rsidR="006153AF" w:rsidRDefault="008A4B2B">
      <w:pPr>
        <w:pStyle w:val="Ttulo2"/>
        <w:spacing w:before="0" w:after="0"/>
      </w:pPr>
      <w:bookmarkStart w:id="11" w:name="_heading=h.26in1rg" w:colFirst="0" w:colLast="0"/>
      <w:bookmarkEnd w:id="11"/>
      <w:r>
        <w:t>CUARTO. Marco normativo aplicable en materia de transparencia y acceso a la información pública</w:t>
      </w:r>
    </w:p>
    <w:p w:rsidR="006153AF" w:rsidRDefault="006153AF">
      <w:pPr>
        <w:spacing w:after="0" w:line="360" w:lineRule="auto"/>
        <w:rPr>
          <w:color w:val="000000"/>
        </w:rPr>
      </w:pPr>
    </w:p>
    <w:p w:rsidR="006153AF" w:rsidRDefault="008A4B2B">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153AF" w:rsidRDefault="006153AF">
      <w:pPr>
        <w:spacing w:after="0" w:line="360" w:lineRule="auto"/>
        <w:rPr>
          <w:color w:val="000000"/>
        </w:rPr>
      </w:pPr>
    </w:p>
    <w:p w:rsidR="006153AF" w:rsidRDefault="008A4B2B">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153AF" w:rsidRDefault="006153AF">
      <w:pPr>
        <w:spacing w:after="0" w:line="360" w:lineRule="auto"/>
        <w:rPr>
          <w:color w:val="000000"/>
        </w:rPr>
      </w:pPr>
    </w:p>
    <w:p w:rsidR="006153AF" w:rsidRDefault="008A4B2B">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153AF" w:rsidRDefault="006153AF">
      <w:pPr>
        <w:spacing w:after="0" w:line="360" w:lineRule="auto"/>
        <w:rPr>
          <w:color w:val="000000"/>
        </w:rPr>
      </w:pPr>
    </w:p>
    <w:p w:rsidR="006153AF" w:rsidRDefault="008A4B2B">
      <w:pPr>
        <w:spacing w:after="0" w:line="360" w:lineRule="auto"/>
        <w:rPr>
          <w:color w:val="000000"/>
        </w:rPr>
      </w:pPr>
      <w:r>
        <w:rPr>
          <w:color w:val="000000"/>
        </w:rPr>
        <w:lastRenderedPageBreak/>
        <w:t>Por su parte, la Ley de Transparencia y Acceso a la Información Pública del Estado de México y Municipios (Reglamentaria del artículo 5° de la Constitución Local), establece lo siguiente:</w:t>
      </w:r>
    </w:p>
    <w:p w:rsidR="006153AF" w:rsidRDefault="006153AF">
      <w:pPr>
        <w:spacing w:after="0" w:line="360" w:lineRule="auto"/>
        <w:rPr>
          <w:color w:val="000000"/>
        </w:rPr>
      </w:pPr>
    </w:p>
    <w:p w:rsidR="006153AF" w:rsidRDefault="008A4B2B">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rsidR="006153AF" w:rsidRDefault="006153AF">
      <w:pPr>
        <w:spacing w:after="0" w:line="360" w:lineRule="auto"/>
        <w:rPr>
          <w:color w:val="000000"/>
        </w:rPr>
      </w:pPr>
    </w:p>
    <w:p w:rsidR="006153AF" w:rsidRDefault="008A4B2B">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6153AF" w:rsidRDefault="006153AF">
      <w:pPr>
        <w:spacing w:after="0" w:line="360" w:lineRule="auto"/>
        <w:rPr>
          <w:color w:val="000000"/>
        </w:rPr>
      </w:pPr>
    </w:p>
    <w:p w:rsidR="006153AF" w:rsidRDefault="008A4B2B">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153AF" w:rsidRDefault="006153AF">
      <w:pPr>
        <w:spacing w:after="0" w:line="360" w:lineRule="auto"/>
      </w:pPr>
    </w:p>
    <w:p w:rsidR="006153AF" w:rsidRDefault="008A4B2B">
      <w:pPr>
        <w:pStyle w:val="Ttulo2"/>
        <w:spacing w:before="0" w:after="0"/>
      </w:pPr>
      <w:bookmarkStart w:id="12" w:name="_heading=h.lnxbz9" w:colFirst="0" w:colLast="0"/>
      <w:bookmarkEnd w:id="12"/>
      <w:r>
        <w:rPr>
          <w:smallCaps/>
        </w:rPr>
        <w:t>QUINTO.</w:t>
      </w:r>
      <w:r>
        <w:t xml:space="preserve"> Estudio de Fondo</w:t>
      </w:r>
    </w:p>
    <w:p w:rsidR="006153AF" w:rsidRDefault="006153AF">
      <w:pPr>
        <w:spacing w:after="0" w:line="360" w:lineRule="auto"/>
        <w:ind w:right="-28"/>
      </w:pPr>
    </w:p>
    <w:p w:rsidR="006153AF" w:rsidRDefault="008A4B2B">
      <w:pPr>
        <w:spacing w:after="0" w:line="360" w:lineRule="auto"/>
        <w:ind w:right="-28"/>
      </w:pPr>
      <w:r>
        <w:t xml:space="preserve">Una vez expuesto lo anterior, se reitera que la persona Solicitante requiere la información relacionada con </w:t>
      </w:r>
      <w:r>
        <w:rPr>
          <w:b/>
        </w:rPr>
        <w:t>reparaciones de unidades municipales durante la administración 2022-2024, los montos de gasto, las pólizas, facturas y documentos de respaldo de pago</w:t>
      </w:r>
      <w:r>
        <w:t xml:space="preserve">; al respecto se debe tener en consideración que el artículo 31, fracción XIX, de la Ley Orgánica Municipal del Estado de México, establece que los Ayuntamientos serán los encargados de aprobar anualmente, el Presupuesto de Egresos, en base a los ingresos presupuestados para el ejercicio de corresponda; por su parte, los artículos 100 y 101, fracción II, de dicho ordenamiento jurídico, prevén que el Presupuesto de Egresos, deberá contener las previsiones de gasto público y se </w:t>
      </w:r>
      <w:r>
        <w:lastRenderedPageBreak/>
        <w:t>conformará, entre otras cosas, por la estimación de los ingresos y gastos del ejercicio fiscal calendarizados.</w:t>
      </w:r>
    </w:p>
    <w:p w:rsidR="006153AF" w:rsidRDefault="006153AF">
      <w:pPr>
        <w:spacing w:after="0" w:line="360" w:lineRule="auto"/>
      </w:pPr>
    </w:p>
    <w:p w:rsidR="006153AF" w:rsidRDefault="008A4B2B">
      <w:pPr>
        <w:spacing w:after="0" w:line="360" w:lineRule="auto"/>
        <w:ind w:right="-28"/>
      </w:pPr>
      <w:r>
        <w:t xml:space="preserve">Así, el Manual para la Planeación, Programación y Presupuesto de Egresos Municipal para los Ejercicio Fiscales, dos mil veintidós, dos mil veintitrés y dos mil veinticuatro, establecen que el Presupuesto es la estimación financiera anticipada de los ingresos y egresos del gobierno, necesarios para cumplir con los objetivos establecidos; además, que el mismo involucra planes, políticas, programas, proyectos, estrategias y objetivos del municipio; por lo que los Ayuntamientos cuentan con un presupuesto económico para realizar los pagos correspondientes a sus actividades. </w:t>
      </w:r>
    </w:p>
    <w:p w:rsidR="006153AF" w:rsidRDefault="006153AF">
      <w:pPr>
        <w:spacing w:after="0" w:line="360" w:lineRule="auto"/>
      </w:pPr>
    </w:p>
    <w:p w:rsidR="006153AF" w:rsidRDefault="008A4B2B">
      <w:pPr>
        <w:tabs>
          <w:tab w:val="left" w:pos="4962"/>
        </w:tabs>
        <w:spacing w:after="0" w:line="360" w:lineRule="auto"/>
      </w:pPr>
      <w:r>
        <w:t xml:space="preserve">Por otra parte, de conformidad con lo dispuesto en los artículos 1°, 26, 27, y 65 de la Ley de Contratación Pública del Estado de México; la cual tiene como objetivo regular los actos relativos a la planeación, programación, </w:t>
      </w:r>
      <w:proofErr w:type="spellStart"/>
      <w:r>
        <w:t>presupuestación</w:t>
      </w:r>
      <w:proofErr w:type="spellEnd"/>
      <w:r>
        <w:t xml:space="preserve">, ejecución y control de la adquisición, enajenación y arrendamiento de bienes, y la contratación de servicios de cualquier naturaleza que realicen los Ayuntamientos, establece también que se pueden realizar adquisiciones de bienes y servicios, </w:t>
      </w:r>
      <w:r>
        <w:rPr>
          <w:b/>
        </w:rPr>
        <w:t>como el de reparación</w:t>
      </w:r>
      <w:r>
        <w:t xml:space="preserve"> mediante invitación restringida y adjudicaciones directas, que derivan todas ellas en contratados asimismo y derivado de la voluntad expresa de los contratantes, puede existir constancias que den cuenta del pago en cumplimiento a contraprestaciones pactadas, como lo son las facturas, recibos o pólizas; por lo que en caso de que el Sujeto Obligado realizará adquisiciones de bienes y servicios encaminados a la reparación de las unidades municipales debieron tener lugar a través de procesos de adquisiciones y constar en contratos y pólizas. </w:t>
      </w:r>
    </w:p>
    <w:p w:rsidR="006153AF" w:rsidRDefault="006153AF">
      <w:pPr>
        <w:spacing w:after="0" w:line="360" w:lineRule="auto"/>
        <w:ind w:right="-28"/>
      </w:pPr>
    </w:p>
    <w:p w:rsidR="006153AF" w:rsidRDefault="008A4B2B">
      <w:pPr>
        <w:spacing w:after="0" w:line="360" w:lineRule="auto"/>
        <w:ind w:right="-28"/>
      </w:pPr>
      <w:r>
        <w:t xml:space="preserve">Por su parte, los Lineamientos para la Integración y Entrega del Informe Trimestral Municipal 2022, los Lineamientos para la Integración y Entrega de los Informes Trimestrales Municipales </w:t>
      </w:r>
      <w:r>
        <w:lastRenderedPageBreak/>
        <w:t>del Ejercicio Fiscal 2023 y los Lineamientos para la Integración, Presentación y Envío de los Informes Trimestrales Municipales del Ejercicio Fiscal 2024, se advierte que el Municipio debe entregar al Órgano Superior de Fiscalización, el Diario General de Pólizas, el cual, es uno de los documentos que puede dar cuenta de la información requerida; además, que debe obrar en otros documentos, tales como las facturas de pago, entre otros.</w:t>
      </w:r>
    </w:p>
    <w:p w:rsidR="006153AF" w:rsidRDefault="006153AF">
      <w:pPr>
        <w:tabs>
          <w:tab w:val="left" w:pos="4962"/>
        </w:tabs>
        <w:spacing w:after="0" w:line="360" w:lineRule="auto"/>
      </w:pPr>
    </w:p>
    <w:p w:rsidR="006153AF" w:rsidRDefault="008A4B2B">
      <w:pPr>
        <w:spacing w:after="0" w:line="360" w:lineRule="auto"/>
        <w:ind w:right="-93"/>
      </w:pPr>
      <w:r>
        <w:t>Cabe destacar que el MANUAL ÚNICO DE CONTABILIDAD GUBERNAMENTAL PARA LAS DEPENDENCIAS Y ENTIDADES PÚBLICAS DEL GOBIERNO Y MUNICIPIOS DEL ESTADO DE MÉXICO 2023, prevé que se debe contar con un registro contable y presupuestal durante los ejercicios fiscales, de forma tal que se advierta de forma simultánea la ejecución del presupuesto de egresos como de la ley de ingresos, que se vea reflejado en las pólizas de cuentas de la Contabilidad patrimonial y presupuestal, por lo que se considera que las pólizas corresponden a un documento en el que se asientan las operaciones desarrolladas, y toda la información necesaria para su identificación, de conformidad con la Guía Técnica 8 “La Contabilidad y la Cuenta Pública Municipal”; además, dichas pólizas se dividen en las siguientes:</w:t>
      </w:r>
    </w:p>
    <w:p w:rsidR="006153AF" w:rsidRDefault="006153AF">
      <w:pPr>
        <w:spacing w:after="0" w:line="360" w:lineRule="auto"/>
        <w:ind w:right="-93"/>
      </w:pPr>
    </w:p>
    <w:p w:rsidR="006153AF" w:rsidRDefault="008A4B2B">
      <w:pPr>
        <w:numPr>
          <w:ilvl w:val="0"/>
          <w:numId w:val="3"/>
        </w:numPr>
        <w:spacing w:after="0" w:line="360" w:lineRule="auto"/>
        <w:ind w:right="-93"/>
        <w:rPr>
          <w:b/>
        </w:rPr>
      </w:pPr>
      <w:r>
        <w:rPr>
          <w:b/>
        </w:rPr>
        <w:t xml:space="preserve">Póliza de Ingresos: </w:t>
      </w:r>
      <w:r>
        <w:t>Es aquella donde se anotan las operaciones que representan ingresos, esto es, entradas de dinero para el municipio.</w:t>
      </w:r>
    </w:p>
    <w:p w:rsidR="006153AF" w:rsidRDefault="008A4B2B">
      <w:pPr>
        <w:numPr>
          <w:ilvl w:val="0"/>
          <w:numId w:val="3"/>
        </w:numPr>
        <w:spacing w:after="0" w:line="360" w:lineRule="auto"/>
        <w:ind w:right="-93"/>
        <w:rPr>
          <w:b/>
        </w:rPr>
      </w:pPr>
      <w:r>
        <w:rPr>
          <w:b/>
        </w:rPr>
        <w:t xml:space="preserve">Póliza de Diario: </w:t>
      </w:r>
      <w:r>
        <w:t>Es la que se elabora cuando la operación que se está registrando no implica una entrada o una salida (ingreso o egreso) de dinero para el municipio.</w:t>
      </w:r>
    </w:p>
    <w:p w:rsidR="006153AF" w:rsidRDefault="008A4B2B">
      <w:pPr>
        <w:numPr>
          <w:ilvl w:val="0"/>
          <w:numId w:val="3"/>
        </w:numPr>
        <w:spacing w:after="0" w:line="360" w:lineRule="auto"/>
        <w:ind w:right="-93"/>
        <w:rPr>
          <w:b/>
        </w:rPr>
      </w:pPr>
      <w:r>
        <w:rPr>
          <w:b/>
        </w:rPr>
        <w:t xml:space="preserve">Póliza de Egresos: </w:t>
      </w:r>
      <w:r>
        <w:t>Corresponde a aquella donde se anotan las operaciones que impliquen egresos, es decir, la salida de dinero, en efectivo o transferencia, para el municipio.</w:t>
      </w:r>
    </w:p>
    <w:p w:rsidR="006153AF" w:rsidRDefault="008A4B2B">
      <w:pPr>
        <w:numPr>
          <w:ilvl w:val="0"/>
          <w:numId w:val="3"/>
        </w:numPr>
        <w:spacing w:after="0" w:line="360" w:lineRule="auto"/>
        <w:ind w:right="-93"/>
        <w:rPr>
          <w:b/>
        </w:rPr>
      </w:pPr>
      <w:r>
        <w:rPr>
          <w:b/>
        </w:rPr>
        <w:t xml:space="preserve">Póliza Cheque: </w:t>
      </w:r>
      <w:r>
        <w:t>Es la que se elabora cuando la operación implique una salida de dinero del municipio, a través de un cheque.</w:t>
      </w:r>
    </w:p>
    <w:p w:rsidR="006153AF" w:rsidRDefault="006153AF">
      <w:pPr>
        <w:spacing w:after="0" w:line="360" w:lineRule="auto"/>
      </w:pPr>
    </w:p>
    <w:p w:rsidR="006153AF" w:rsidRDefault="008A4B2B">
      <w:pPr>
        <w:spacing w:after="0" w:line="360" w:lineRule="auto"/>
      </w:pPr>
      <w:r>
        <w:lastRenderedPageBreak/>
        <w:t xml:space="preserve">Así pues, se aprecia que el Sujeto Obligado </w:t>
      </w:r>
      <w:r>
        <w:rPr>
          <w:b/>
        </w:rPr>
        <w:t>debe generar la documentación que dé cuenta de lo solicitado y que puede constar en las pólizas o facturas emitidas por procesos de adquisición de bienes o servicios destinados a la reparación de unidades municipales</w:t>
      </w:r>
      <w:r>
        <w:t>.</w:t>
      </w:r>
    </w:p>
    <w:p w:rsidR="006153AF" w:rsidRDefault="006153AF">
      <w:pPr>
        <w:spacing w:after="0" w:line="360" w:lineRule="auto"/>
      </w:pPr>
    </w:p>
    <w:p w:rsidR="006153AF" w:rsidRDefault="008A4B2B">
      <w:pPr>
        <w:spacing w:after="0" w:line="360" w:lineRule="auto"/>
      </w:pPr>
      <w:r>
        <w:t xml:space="preserve">Aunado a ello, se debe tener en consideración que los artículos 93 y  95, fracción IV de la Ley Orgánica Municipal del Estado de México establecen que la Tesorería Municipal es el órgano encargado de la recaudación de ingresos municipales y de realizar las erogaciones del Ayuntamiento; además debe llevar los registros contables, financieros y administrativos de ingresos, egresos e inventarios; por lo que se advierte que la Tesorería Municipal es el área competente para conocer de la información solicitada.  </w:t>
      </w:r>
    </w:p>
    <w:p w:rsidR="006153AF" w:rsidRDefault="006153AF">
      <w:pPr>
        <w:spacing w:after="0" w:line="360" w:lineRule="auto"/>
      </w:pPr>
    </w:p>
    <w:p w:rsidR="006153AF" w:rsidRDefault="008A4B2B">
      <w:pPr>
        <w:spacing w:after="0" w:line="360" w:lineRule="auto"/>
        <w:rPr>
          <w:b/>
        </w:rPr>
      </w:pPr>
      <w:r>
        <w:t xml:space="preserve">Ahora bien, es necesario traer a colación los artículos 44, fracción II y 57, 58, 59 y 60 del Bando Municipal de </w:t>
      </w:r>
      <w:proofErr w:type="spellStart"/>
      <w:r>
        <w:t>Temamatla</w:t>
      </w:r>
      <w:proofErr w:type="spellEnd"/>
      <w:r>
        <w:t>, dos mil veinticuatro en relación con el Manual de Organización de la Dirección de Administración, que precisan que, el Sujeto Obligado para el ejercicio de sus funciones cuenta con diversas unidades administrativas, entre ellas, la Tesorería Municipal que es la</w:t>
      </w:r>
      <w:r>
        <w:rPr>
          <w:b/>
        </w:rPr>
        <w:t xml:space="preserve"> </w:t>
      </w:r>
      <w:r>
        <w:t xml:space="preserve">encargada de la recaudación de los ingresos municipales y de las erogaciones que realice el Ayuntamiento, aplicará las disposiciones financieras de disciplina financiera y de contabilidad del gasto público inherentes a su encargo, acorde a la legislación aplicable y vigente, y administra la hacienda pública; </w:t>
      </w:r>
      <w:r>
        <w:rPr>
          <w:b/>
        </w:rPr>
        <w:t>por lo que la Tesorería Municipal es el área competente para conocer de la información solicitada.</w:t>
      </w:r>
    </w:p>
    <w:p w:rsidR="006153AF" w:rsidRDefault="006153AF">
      <w:pPr>
        <w:spacing w:after="0" w:line="360" w:lineRule="auto"/>
        <w:rPr>
          <w:b/>
        </w:rPr>
      </w:pPr>
    </w:p>
    <w:p w:rsidR="006153AF" w:rsidRDefault="008A4B2B">
      <w:pPr>
        <w:spacing w:after="0" w:line="360" w:lineRule="auto"/>
        <w:rPr>
          <w:b/>
        </w:rPr>
      </w:pPr>
      <w:r>
        <w:t>Sumado a lo anterior, el Bando Municipal, en su artículo 44 fracción VIII, en relación con el Manual de Organización de la Dirección de Administración, que precisan que, la Dirección de Administración puede conocer de lo solicitado, puesto que entre sus áreas se advierte el Departamento de Control Vehicular y Vialidad, a quienes en conjunto les corresponde el ejercicio de las siguientes atribuciones:</w:t>
      </w:r>
    </w:p>
    <w:p w:rsidR="006153AF" w:rsidRDefault="006153AF">
      <w:pPr>
        <w:pBdr>
          <w:top w:val="nil"/>
          <w:left w:val="nil"/>
          <w:bottom w:val="nil"/>
          <w:right w:val="nil"/>
          <w:between w:val="nil"/>
        </w:pBdr>
        <w:spacing w:after="0" w:line="240" w:lineRule="auto"/>
        <w:ind w:left="720"/>
        <w:rPr>
          <w:color w:val="000000"/>
        </w:rPr>
      </w:pPr>
    </w:p>
    <w:p w:rsidR="006153AF" w:rsidRDefault="008A4B2B">
      <w:pPr>
        <w:numPr>
          <w:ilvl w:val="0"/>
          <w:numId w:val="6"/>
        </w:numPr>
        <w:pBdr>
          <w:top w:val="nil"/>
          <w:left w:val="nil"/>
          <w:bottom w:val="nil"/>
          <w:right w:val="nil"/>
          <w:between w:val="nil"/>
        </w:pBdr>
        <w:spacing w:after="0" w:line="360" w:lineRule="auto"/>
        <w:rPr>
          <w:color w:val="000000"/>
        </w:rPr>
      </w:pPr>
      <w:r>
        <w:rPr>
          <w:color w:val="000000"/>
        </w:rPr>
        <w:t>Planear y organizar los recursos humanos, materiales y los vehículos que requieren las dependencias y entidades para el conveniente funcionamiento de la Administración;</w:t>
      </w:r>
    </w:p>
    <w:p w:rsidR="006153AF" w:rsidRDefault="006153AF">
      <w:pPr>
        <w:pBdr>
          <w:top w:val="nil"/>
          <w:left w:val="nil"/>
          <w:bottom w:val="nil"/>
          <w:right w:val="nil"/>
          <w:between w:val="nil"/>
        </w:pBdr>
        <w:spacing w:after="0" w:line="240" w:lineRule="auto"/>
        <w:ind w:left="720"/>
        <w:rPr>
          <w:color w:val="000000"/>
        </w:rPr>
      </w:pPr>
    </w:p>
    <w:p w:rsidR="006153AF" w:rsidRDefault="008A4B2B">
      <w:pPr>
        <w:numPr>
          <w:ilvl w:val="0"/>
          <w:numId w:val="6"/>
        </w:numPr>
        <w:pBdr>
          <w:top w:val="nil"/>
          <w:left w:val="nil"/>
          <w:bottom w:val="nil"/>
          <w:right w:val="nil"/>
          <w:between w:val="nil"/>
        </w:pBdr>
        <w:spacing w:after="0" w:line="360" w:lineRule="auto"/>
        <w:rPr>
          <w:color w:val="000000"/>
        </w:rPr>
      </w:pPr>
      <w:r>
        <w:rPr>
          <w:color w:val="000000"/>
        </w:rPr>
        <w:t>Contar con las unidades vehiculares con funcionamiento óptimo; y</w:t>
      </w:r>
    </w:p>
    <w:p w:rsidR="006153AF" w:rsidRDefault="006153AF">
      <w:pPr>
        <w:pBdr>
          <w:top w:val="nil"/>
          <w:left w:val="nil"/>
          <w:bottom w:val="nil"/>
          <w:right w:val="nil"/>
          <w:between w:val="nil"/>
        </w:pBdr>
        <w:spacing w:after="0" w:line="240" w:lineRule="auto"/>
        <w:ind w:left="720"/>
        <w:rPr>
          <w:color w:val="000000"/>
        </w:rPr>
      </w:pPr>
    </w:p>
    <w:p w:rsidR="006153AF" w:rsidRDefault="008A4B2B">
      <w:pPr>
        <w:numPr>
          <w:ilvl w:val="0"/>
          <w:numId w:val="6"/>
        </w:numPr>
        <w:pBdr>
          <w:top w:val="nil"/>
          <w:left w:val="nil"/>
          <w:bottom w:val="nil"/>
          <w:right w:val="nil"/>
          <w:between w:val="nil"/>
        </w:pBdr>
        <w:spacing w:after="0" w:line="360" w:lineRule="auto"/>
        <w:rPr>
          <w:color w:val="000000"/>
        </w:rPr>
      </w:pPr>
      <w:r>
        <w:rPr>
          <w:color w:val="000000"/>
        </w:rPr>
        <w:t xml:space="preserve">  Coordinar con tesorería municipal, los bienes e insumos que las unidades requieran.</w:t>
      </w:r>
    </w:p>
    <w:p w:rsidR="006153AF" w:rsidRDefault="006153AF">
      <w:pPr>
        <w:spacing w:after="0" w:line="360" w:lineRule="auto"/>
        <w:rPr>
          <w:highlight w:val="yellow"/>
        </w:rPr>
      </w:pPr>
    </w:p>
    <w:p w:rsidR="006153AF" w:rsidRDefault="008A4B2B">
      <w:pPr>
        <w:spacing w:after="0" w:line="360" w:lineRule="auto"/>
      </w:pPr>
      <w:r>
        <w:t xml:space="preserve">Así pues se aprecia que las áreas que resultan competentes para conocer de lo solicitado son la Tesorería Municipal y en su caso, la Dirección de Administración; puesto que esta última conoce del mantenimiento de las unidades vehiculares. </w:t>
      </w:r>
    </w:p>
    <w:p w:rsidR="006153AF" w:rsidRDefault="006153AF">
      <w:pPr>
        <w:spacing w:after="0" w:line="360" w:lineRule="auto"/>
      </w:pPr>
    </w:p>
    <w:p w:rsidR="006153AF" w:rsidRDefault="008A4B2B">
      <w:pPr>
        <w:spacing w:after="0" w:line="360" w:lineRule="auto"/>
      </w:pPr>
      <w:r>
        <w:t xml:space="preserve">Al respecto de la naturaleza de la información solicitada, se debe tener en consideración que los procedimientos de adquisición de bienes y servicios; entre los que se encuentra la información relacionada con contratos y pagos, que pueden configurar pólizas o facturas, así como los informes de avances programáticos o presupuestales dentro de los que se encuentran pólizas contables, configuran información pública que corresponde a las obligaciones de transparencia, en términos del artículo 92, fracciones XXIX y XXXV, de la Ley de Transparencia y Acceso a la Información Pública del Estado de México y Municipios; por tanto, es información pública que favorece la rendición de cuentas y la transparencia en los procesos de erogación. </w:t>
      </w:r>
    </w:p>
    <w:p w:rsidR="006153AF" w:rsidRDefault="006153AF">
      <w:pPr>
        <w:spacing w:after="0" w:line="360" w:lineRule="auto"/>
      </w:pPr>
    </w:p>
    <w:p w:rsidR="006153AF" w:rsidRDefault="008A4B2B">
      <w:pPr>
        <w:tabs>
          <w:tab w:val="left" w:pos="2066"/>
        </w:tabs>
        <w:spacing w:after="0" w:line="360" w:lineRule="auto"/>
      </w:pPr>
      <w:r>
        <w:t xml:space="preserve">En este contexto normativo vale la pena señalar que la respuesta fue proporcionada por la Titular de la Tesorería Municipal; sin embargo, de las constancias que obran en el SAIMEX no se aprecia el turno o pronunciamiento alguno por parte de las áreas que pueden resultar competentes tales como la </w:t>
      </w:r>
      <w:r>
        <w:rPr>
          <w:b/>
        </w:rPr>
        <w:t xml:space="preserve">Dirección de Administración, </w:t>
      </w:r>
      <w:r>
        <w:rPr>
          <w:color w:val="000000"/>
        </w:rPr>
        <w:t xml:space="preserve">por tanto, no hay constancia de que se realizó la búsqueda exhaustiva y razonable en las áreas competentes de conformidad con lo dispuesto </w:t>
      </w:r>
      <w:r>
        <w:t xml:space="preserve">en el artículo 162 de la Ley de Transparencia y Acceso a la Información Pública del </w:t>
      </w:r>
      <w:r>
        <w:lastRenderedPageBreak/>
        <w:t xml:space="preserve">Estado de México y Municipios; en el que se prevé que los Titulares de las Unidades de Transparencia deberán turnar la solicitud de información a todas las áreas que puedan ser competentes para conocer o generar la información. En consecuencia, se aprecia que no se pronunciaron todas las áreas que puede conocer de la información solicitada y, por tanto, el </w:t>
      </w:r>
      <w:r>
        <w:rPr>
          <w:b/>
        </w:rPr>
        <w:t>Sujeto Obligado deberá realizar la búsqueda exhaustiva y razonable y entregar la información solicitada.</w:t>
      </w:r>
      <w:r>
        <w:t xml:space="preserve"> </w:t>
      </w:r>
    </w:p>
    <w:p w:rsidR="006153AF" w:rsidRDefault="006153AF">
      <w:pPr>
        <w:tabs>
          <w:tab w:val="left" w:pos="2066"/>
        </w:tabs>
        <w:spacing w:after="0" w:line="360" w:lineRule="auto"/>
      </w:pPr>
    </w:p>
    <w:p w:rsidR="006153AF" w:rsidRDefault="008A4B2B">
      <w:pPr>
        <w:spacing w:after="0" w:line="360" w:lineRule="auto"/>
      </w:pPr>
      <w: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6153AF" w:rsidRDefault="006153AF">
      <w:pPr>
        <w:spacing w:after="0" w:line="360" w:lineRule="auto"/>
      </w:pPr>
    </w:p>
    <w:p w:rsidR="006153AF" w:rsidRDefault="008A4B2B">
      <w:pPr>
        <w:spacing w:after="0" w:line="360" w:lineRule="auto"/>
      </w:pPr>
      <w:r>
        <w:t xml:space="preserve">No se omite mencionar que el Sujeto Obligado a través de respuesta también remitió el </w:t>
      </w:r>
      <w:r>
        <w:rPr>
          <w:color w:val="000000"/>
        </w:rPr>
        <w:t xml:space="preserve">Acta ACT/TEMA/UTAIP/ORDINARIA/84/2024 correspondiente a la </w:t>
      </w:r>
      <w:r w:rsidR="00AF6FAB">
        <w:rPr>
          <w:i/>
          <w:color w:val="000000"/>
        </w:rPr>
        <w:t>Octogésima</w:t>
      </w:r>
      <w:r>
        <w:rPr>
          <w:i/>
          <w:color w:val="000000"/>
        </w:rPr>
        <w:t xml:space="preserve"> Cuarta Sesión Ordinaria</w:t>
      </w:r>
      <w:r>
        <w:rPr>
          <w:color w:val="000000"/>
        </w:rPr>
        <w:t xml:space="preserve"> del Comité de Transparencia</w:t>
      </w:r>
      <w:r>
        <w:t xml:space="preserve">, en la que se aprobó el cambio de modalidad de la entrega de respuesta a diversas solicitudes, </w:t>
      </w:r>
      <w:r>
        <w:rPr>
          <w:color w:val="000000"/>
        </w:rPr>
        <w:t xml:space="preserve">entre ellas la que nos ocupa, y en su tercer punto señala que se aprueba el cambio de modalidad debido a la carga de trabajo de las áreas, la falta de capacidad técnica, humana, material y las más de 1164 solicitudes que llegaron a las distintas áreas, por lo que se determina la entrega de la información en la Tesorería Municipal el 24 de octubre del año en curso, de 9.00 a 10.00 </w:t>
      </w:r>
      <w:proofErr w:type="spellStart"/>
      <w:r>
        <w:rPr>
          <w:color w:val="000000"/>
        </w:rPr>
        <w:t>hrs</w:t>
      </w:r>
      <w:proofErr w:type="spellEnd"/>
      <w:r>
        <w:rPr>
          <w:color w:val="000000"/>
        </w:rPr>
        <w:t xml:space="preserve">., dicha acta se vincula con el oficio emitido por la Tesorera Municipal en el que refirió el cambio de modalidad sin embargo, como se mencionó en líneas anteriores, no se pronunciaron otras áreas que pueden conocer de la información solicitada. </w:t>
      </w:r>
    </w:p>
    <w:p w:rsidR="006153AF" w:rsidRDefault="006153AF">
      <w:pPr>
        <w:spacing w:after="0" w:line="360" w:lineRule="auto"/>
      </w:pPr>
    </w:p>
    <w:p w:rsidR="006153AF" w:rsidRDefault="008A4B2B">
      <w:pPr>
        <w:spacing w:after="0" w:line="360" w:lineRule="auto"/>
      </w:pPr>
      <w:r>
        <w:lastRenderedPageBreak/>
        <w:t>Así pues, no se advierte el pronunciamiento de todas las áreas competentes, sumado a ello no argumentó ni acreditó de forma debidamente fundada y motivada dichas imposibilidades, al respecto, se debe tener en cuenta que el artículo 155, fracción V, de la Ley de Transparencia y Acceso a la Información Pública del Estado de México y Municipios, se precisa que para presentar una solicitud, el particular podrá señalar la modalidad en la que prefiere que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6153AF" w:rsidRDefault="006153AF">
      <w:pPr>
        <w:spacing w:after="0" w:line="360" w:lineRule="auto"/>
      </w:pPr>
    </w:p>
    <w:p w:rsidR="006153AF" w:rsidRDefault="008A4B2B">
      <w:pPr>
        <w:spacing w:after="0" w:line="360" w:lineRule="auto"/>
      </w:pPr>
      <w:r>
        <w:t xml:space="preserve">Por su parte, el artículo 158, dispone que, de manera excepcional, cuando de manera fundada y motivada lo determine el Sujeto Obligado, en los casos en que la entrega de la información que se encuentre a su disposición, </w:t>
      </w:r>
      <w:r>
        <w:rPr>
          <w:b/>
        </w:rPr>
        <w:t xml:space="preserve">sobrepase las capacidades técnicas del Sujeto Obligado </w:t>
      </w:r>
      <w:r>
        <w:t>para cumplir con la solicitud, se podrá poner a disposición del solicitante la información en consulta directa.</w:t>
      </w:r>
    </w:p>
    <w:p w:rsidR="006153AF" w:rsidRDefault="006153AF">
      <w:pPr>
        <w:spacing w:after="0" w:line="360" w:lineRule="auto"/>
      </w:pPr>
    </w:p>
    <w:p w:rsidR="006153AF" w:rsidRDefault="008A4B2B">
      <w:pPr>
        <w:spacing w:after="0" w:line="360" w:lineRule="auto"/>
      </w:pPr>
      <w:r>
        <w:t>En ese orden de ideas,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otras modalidades.</w:t>
      </w:r>
    </w:p>
    <w:p w:rsidR="006153AF" w:rsidRDefault="006153AF">
      <w:pPr>
        <w:spacing w:after="0" w:line="360" w:lineRule="auto"/>
      </w:pPr>
    </w:p>
    <w:p w:rsidR="006153AF" w:rsidRDefault="008A4B2B">
      <w:pPr>
        <w:spacing w:after="0" w:line="360" w:lineRule="auto"/>
      </w:pPr>
      <w:r>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6153AF" w:rsidRDefault="006153AF">
      <w:pPr>
        <w:spacing w:after="0" w:line="360" w:lineRule="auto"/>
      </w:pPr>
    </w:p>
    <w:p w:rsidR="006153AF" w:rsidRDefault="008A4B2B">
      <w:pPr>
        <w:spacing w:after="0" w:line="360" w:lineRule="auto"/>
        <w:ind w:left="567" w:right="539"/>
        <w:rPr>
          <w:i/>
          <w:sz w:val="20"/>
          <w:szCs w:val="20"/>
        </w:rPr>
      </w:pPr>
      <w:bookmarkStart w:id="13" w:name="_heading=h.qsh70q" w:colFirst="0" w:colLast="0"/>
      <w:bookmarkEnd w:id="13"/>
      <w:r>
        <w:rPr>
          <w:b/>
          <w:i/>
          <w:sz w:val="20"/>
          <w:szCs w:val="20"/>
        </w:rPr>
        <w:t>“Modalidad de entrega. Procedencia de proporcionar la información solicitada en una diversa a la elegida por el solicitante</w:t>
      </w:r>
      <w:r>
        <w:rPr>
          <w:i/>
          <w:sz w:val="20"/>
          <w:szCs w:val="20"/>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6153AF" w:rsidRDefault="006153AF">
      <w:pPr>
        <w:spacing w:after="0" w:line="360" w:lineRule="auto"/>
      </w:pPr>
    </w:p>
    <w:p w:rsidR="006153AF" w:rsidRDefault="008A4B2B">
      <w:pPr>
        <w:spacing w:after="0" w:line="360" w:lineRule="auto"/>
      </w:pPr>
      <w:r>
        <w:t>Del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rsidR="006153AF" w:rsidRDefault="006153AF">
      <w:pPr>
        <w:spacing w:after="0" w:line="360" w:lineRule="auto"/>
      </w:pPr>
    </w:p>
    <w:p w:rsidR="006153AF" w:rsidRDefault="008A4B2B">
      <w:pPr>
        <w:spacing w:after="0" w:line="360" w:lineRule="auto"/>
      </w:pPr>
      <w:r>
        <w:t xml:space="preserve">Para el caso que nos ocupa se observa que la modalidad de entrega que seleccionó la persona Solicitante es a través del Sistema de Acceso a la Información Mexiquense (SAIMEX), así, bajo el amparo de la normatividad antes señalada, se advierte que, para que tenga lugar el cambio de modalidad de entrega, el Sujeto Obligado </w:t>
      </w:r>
      <w:r>
        <w:rPr>
          <w:b/>
        </w:rPr>
        <w:t>debió establecer las razones o motivos que fundamentan la solicitud de cambio de modalidad;</w:t>
      </w:r>
      <w:r>
        <w:t xml:space="preserve"> sin embargo, en análisis a la respuesta, se advierte que el Sujeto Obligado no expuso de forma precisa y clara las razones o motivos que den impulso al cambio de modalidad, además, no señaló la cantidad de hojas, ni el peso de la misma, dado que en la respuesta que nos ocupa se limitó a señalar que derivado a la carga de trabajo de las áreas, la falta de capacidad técnica, humana, material y de las más de 1164 solicitudes a diversas áreas sin embargo no se advierte que haya realizado el procedimiento de búsqueda exhaustiva y razonable; sumado a ello, de las constancias que obran en el SAIMEX, </w:t>
      </w:r>
      <w:r>
        <w:lastRenderedPageBreak/>
        <w:t xml:space="preserve">el Sujeto Obligado no presentó algún registro de incidencia ante la Dirección General de Informática de este Instituto. </w:t>
      </w:r>
    </w:p>
    <w:p w:rsidR="006153AF" w:rsidRDefault="006153AF">
      <w:pPr>
        <w:spacing w:after="0" w:line="360" w:lineRule="auto"/>
      </w:pPr>
    </w:p>
    <w:p w:rsidR="006153AF" w:rsidRDefault="008A4B2B">
      <w:pPr>
        <w:spacing w:after="0" w:line="360" w:lineRule="auto"/>
      </w:pPr>
      <w:r>
        <w:t xml:space="preserve">En este contexto, se debe tener en cuenta que el Sistema de Acceso a la Información Mexiquense (SAIMEX) tiene el soporte técnico para adjuntar archivos de hasta 8,000 hojas; y para el caso que nos ocupa, no se aprecian razones o fundamentos suficientes para considerar que lo solicitado exceda la cantidad de hojas que soporta el SAIMEX y en consecuencia acreditar alguna imposibilidad técnica para la entrega de la información. </w:t>
      </w:r>
    </w:p>
    <w:p w:rsidR="006153AF" w:rsidRDefault="006153AF">
      <w:pPr>
        <w:spacing w:after="0" w:line="360" w:lineRule="auto"/>
      </w:pPr>
    </w:p>
    <w:p w:rsidR="006153AF" w:rsidRDefault="008A4B2B">
      <w:pPr>
        <w:spacing w:after="0" w:line="360" w:lineRule="auto"/>
        <w:rPr>
          <w:b/>
        </w:rPr>
      </w:pPr>
      <w:r>
        <w:t xml:space="preserve">En consecuencia, los argumentos señalados por el Sujeto Obligado resultan insuficientes para que tenga lugar un cambio de modalidad, pues no se acreditó la existencia de una imposibilidad técnica que impida la entrega de la información por el medio solicitado; además, el Sujeto Obligado no aportó elementos argumentativos que demostraran una imposibilidad técnica y humana para atender la solicitud de información, aunado a que se trata de información que puede constar pública en el IPOMEX por ser parte de obligaciones de transparencia. Por lo anterior, </w:t>
      </w:r>
      <w:r>
        <w:rPr>
          <w:b/>
        </w:rPr>
        <w:t>resulta improcedente el cambio de modalidad propuesto por el Sujeto Obligado.</w:t>
      </w:r>
    </w:p>
    <w:p w:rsidR="006153AF" w:rsidRDefault="006153AF">
      <w:pPr>
        <w:spacing w:after="0" w:line="360" w:lineRule="auto"/>
        <w:rPr>
          <w:b/>
        </w:rPr>
      </w:pPr>
    </w:p>
    <w:p w:rsidR="006153AF" w:rsidRDefault="008A4B2B">
      <w:pPr>
        <w:spacing w:after="0" w:line="360" w:lineRule="auto"/>
      </w:pPr>
      <w:r>
        <w:t xml:space="preserve">Así pues, resultan fundados los motivos de inconformidad planteados por la parte Recurrente y es procedente </w:t>
      </w:r>
      <w:r>
        <w:rPr>
          <w:b/>
        </w:rPr>
        <w:t>REVOCAR</w:t>
      </w:r>
      <w:r>
        <w:t xml:space="preserve"> la respuesta inicial y ordenar la entrega de la información, para el caso de ser necesarias la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6153AF" w:rsidRDefault="006153AF">
      <w:pPr>
        <w:spacing w:after="0" w:line="360" w:lineRule="auto"/>
      </w:pPr>
    </w:p>
    <w:p w:rsidR="006153AF" w:rsidRDefault="008A4B2B">
      <w:pPr>
        <w:spacing w:after="0" w:line="360" w:lineRule="auto"/>
        <w:rPr>
          <w:b/>
          <w:color w:val="000000"/>
        </w:rPr>
      </w:pPr>
      <w:r>
        <w:rPr>
          <w:b/>
        </w:rPr>
        <w:t>Versión Pública</w:t>
      </w:r>
    </w:p>
    <w:p w:rsidR="006153AF" w:rsidRDefault="006153AF">
      <w:pPr>
        <w:spacing w:after="0" w:line="360" w:lineRule="auto"/>
        <w:rPr>
          <w:b/>
          <w:smallCaps/>
        </w:rPr>
      </w:pPr>
    </w:p>
    <w:p w:rsidR="006153AF" w:rsidRDefault="008A4B2B">
      <w:pPr>
        <w:spacing w:after="0" w:line="360" w:lineRule="auto"/>
      </w:pPr>
      <w:r>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6153AF" w:rsidRDefault="006153AF">
      <w:pPr>
        <w:spacing w:after="0" w:line="360" w:lineRule="auto"/>
      </w:pPr>
    </w:p>
    <w:p w:rsidR="006153AF" w:rsidRDefault="008A4B2B">
      <w:pPr>
        <w:spacing w:after="0" w:line="360" w:lineRule="auto"/>
      </w:pPr>
      <w: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6153AF" w:rsidRDefault="006153AF">
      <w:pPr>
        <w:spacing w:after="0" w:line="360" w:lineRule="auto"/>
      </w:pPr>
    </w:p>
    <w:p w:rsidR="006153AF" w:rsidRDefault="008A4B2B">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6153AF" w:rsidRDefault="006153AF">
      <w:pPr>
        <w:spacing w:after="0" w:line="360" w:lineRule="auto"/>
      </w:pPr>
    </w:p>
    <w:p w:rsidR="006153AF" w:rsidRDefault="008A4B2B">
      <w:pPr>
        <w:spacing w:after="0" w:line="360" w:lineRule="auto"/>
      </w:pPr>
      <w: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6153AF" w:rsidRDefault="006153AF">
      <w:pPr>
        <w:spacing w:after="0" w:line="360" w:lineRule="auto"/>
      </w:pPr>
    </w:p>
    <w:p w:rsidR="006153AF" w:rsidRDefault="008A4B2B">
      <w:pPr>
        <w:spacing w:after="0" w:line="360" w:lineRule="auto"/>
      </w:pPr>
      <w:r>
        <w:t>En concordancia con lo previó, el artículo 143, fracción I, de la Ley previamente citada, establece que la información privada y los datos personales, concernientes a una persona física o jurídica colectiva identificada o identificable son confidenciales.</w:t>
      </w:r>
    </w:p>
    <w:p w:rsidR="006153AF" w:rsidRDefault="006153AF">
      <w:pPr>
        <w:spacing w:after="0" w:line="360" w:lineRule="auto"/>
      </w:pPr>
    </w:p>
    <w:p w:rsidR="006153AF" w:rsidRDefault="008A4B2B">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transmitan entre sujetos obligados en términos de los tratados y los acuerdos interinstitucionales.</w:t>
      </w:r>
    </w:p>
    <w:p w:rsidR="006153AF" w:rsidRDefault="006153AF">
      <w:pPr>
        <w:spacing w:after="0" w:line="360" w:lineRule="auto"/>
      </w:pPr>
    </w:p>
    <w:p w:rsidR="006153AF" w:rsidRDefault="008A4B2B">
      <w:pPr>
        <w:spacing w:after="0" w:line="360" w:lineRule="auto"/>
      </w:pPr>
      <w:r>
        <w:t>En términos de lo expuesto, la documentación y aquellos datos que se consideren confidenciales, serán una limitante del derecho de acceso a la información, siempre y cuando:</w:t>
      </w:r>
    </w:p>
    <w:p w:rsidR="006153AF" w:rsidRDefault="006153AF">
      <w:pPr>
        <w:spacing w:after="0" w:line="360" w:lineRule="auto"/>
      </w:pPr>
    </w:p>
    <w:p w:rsidR="006153AF" w:rsidRDefault="008A4B2B">
      <w:pPr>
        <w:numPr>
          <w:ilvl w:val="0"/>
          <w:numId w:val="1"/>
        </w:numPr>
        <w:spacing w:after="0" w:line="360" w:lineRule="auto"/>
        <w:ind w:left="0" w:firstLine="0"/>
      </w:pPr>
      <w:r>
        <w:t xml:space="preserve">Se trate de datos personales o información privada; esto es, información concerniente a una persona física o jurídica colectiva y que esta sea identificada o identificable. </w:t>
      </w:r>
    </w:p>
    <w:p w:rsidR="006153AF" w:rsidRDefault="008A4B2B">
      <w:pPr>
        <w:numPr>
          <w:ilvl w:val="0"/>
          <w:numId w:val="1"/>
        </w:numPr>
        <w:spacing w:after="0" w:line="360" w:lineRule="auto"/>
        <w:ind w:left="0" w:firstLine="0"/>
      </w:pPr>
      <w:r>
        <w:t xml:space="preserve">Para la difusión de los datos, se requiere el consentimiento del titular. </w:t>
      </w:r>
    </w:p>
    <w:p w:rsidR="006153AF" w:rsidRDefault="006153AF">
      <w:pPr>
        <w:spacing w:after="0" w:line="360" w:lineRule="auto"/>
      </w:pPr>
    </w:p>
    <w:p w:rsidR="006153AF" w:rsidRDefault="008A4B2B">
      <w:pPr>
        <w:spacing w:after="0" w:line="360" w:lineRule="auto"/>
      </w:pPr>
      <w:r>
        <w:t xml:space="preserve">En ese orden de ideas, de conformidad con el artículo 3°, fracción IX, de la Ley de Transparencia y Acceso a la Información Pública del Estado de México y Municipios, con relación el diverso </w:t>
      </w:r>
      <w:r>
        <w:lastRenderedPageBreak/>
        <w:t xml:space="preserve">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6153AF" w:rsidRDefault="006153AF">
      <w:pPr>
        <w:spacing w:after="0" w:line="360" w:lineRule="auto"/>
      </w:pPr>
    </w:p>
    <w:p w:rsidR="006153AF" w:rsidRDefault="008A4B2B">
      <w:pPr>
        <w:spacing w:after="0" w:line="360" w:lineRule="auto"/>
      </w:pPr>
      <w:r>
        <w:t>Además, en el artículo 5° de dicho ordenamiento jurídico, establece que es la Ley aplicable para todo tratamiento de datos personales.</w:t>
      </w:r>
    </w:p>
    <w:p w:rsidR="006153AF" w:rsidRDefault="006153AF">
      <w:pPr>
        <w:spacing w:after="0" w:line="360" w:lineRule="auto"/>
      </w:pPr>
    </w:p>
    <w:p w:rsidR="006153AF" w:rsidRDefault="008A4B2B">
      <w:pPr>
        <w:spacing w:after="0" w:line="360" w:lineRule="auto"/>
      </w:pPr>
      <w: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6153AF" w:rsidRDefault="006153AF">
      <w:pPr>
        <w:spacing w:after="0" w:line="360" w:lineRule="auto"/>
      </w:pPr>
    </w:p>
    <w:p w:rsidR="006153AF" w:rsidRDefault="008A4B2B">
      <w:pPr>
        <w:spacing w:after="0" w:line="360" w:lineRule="auto"/>
      </w:pPr>
      <w: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6153AF" w:rsidRDefault="006153AF">
      <w:pPr>
        <w:spacing w:after="0" w:line="360" w:lineRule="auto"/>
      </w:pPr>
    </w:p>
    <w:p w:rsidR="006153AF" w:rsidRDefault="008A4B2B">
      <w:pPr>
        <w:spacing w:after="0" w:line="360" w:lineRule="auto"/>
      </w:pPr>
      <w:r>
        <w:t xml:space="preserve">Por lo cual, la confidencialidad de los datos personales tiene por objetivo establecer el límite del derecho de acceso a la información a partir del derecho a la intimidad y la vida privada de los </w:t>
      </w:r>
      <w:r>
        <w:lastRenderedPageBreak/>
        <w:t>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6153AF" w:rsidRDefault="006153AF">
      <w:pPr>
        <w:spacing w:after="0" w:line="360" w:lineRule="auto"/>
      </w:pPr>
    </w:p>
    <w:p w:rsidR="006153AF" w:rsidRDefault="008A4B2B">
      <w:pPr>
        <w:spacing w:after="0" w:line="360" w:lineRule="auto"/>
      </w:pPr>
      <w:r>
        <w:t>De tal suerte, las instituciones públicas tienen la doble responsabilidad, por un lado, de proteger los datos personales y por otro, darles publicidad cuando la relevancia de esos datos sea de interés público.</w:t>
      </w:r>
    </w:p>
    <w:p w:rsidR="006153AF" w:rsidRDefault="006153AF">
      <w:pPr>
        <w:spacing w:after="0" w:line="360" w:lineRule="auto"/>
      </w:pPr>
    </w:p>
    <w:p w:rsidR="006153AF" w:rsidRDefault="008A4B2B">
      <w:pPr>
        <w:spacing w:after="0" w:line="360" w:lineRule="auto"/>
      </w:pPr>
      <w: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6153AF" w:rsidRDefault="006153AF">
      <w:pPr>
        <w:spacing w:after="0" w:line="360" w:lineRule="auto"/>
      </w:pPr>
    </w:p>
    <w:p w:rsidR="006153AF" w:rsidRDefault="008A4B2B">
      <w:pPr>
        <w:spacing w:after="0" w:line="360" w:lineRule="auto"/>
      </w:pPr>
      <w: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w:t>
      </w:r>
      <w:r>
        <w:lastRenderedPageBreak/>
        <w:t xml:space="preserve">beneficio de su publicidad es mayor que el beneficio de su clasificación, </w:t>
      </w:r>
      <w:r w:rsidR="00AF6FAB">
        <w:t>aun</w:t>
      </w:r>
      <w:bookmarkStart w:id="14" w:name="_GoBack"/>
      <w:bookmarkEnd w:id="14"/>
      <w:r>
        <w:t xml:space="preserve"> tratándose de información personal.</w:t>
      </w:r>
    </w:p>
    <w:p w:rsidR="006153AF" w:rsidRDefault="006153AF">
      <w:pPr>
        <w:spacing w:after="0" w:line="360" w:lineRule="auto"/>
      </w:pPr>
    </w:p>
    <w:p w:rsidR="006153AF" w:rsidRDefault="008A4B2B">
      <w:pPr>
        <w:spacing w:after="0" w:line="360" w:lineRule="auto"/>
      </w:pPr>
      <w: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6153AF" w:rsidRDefault="006153AF">
      <w:pPr>
        <w:spacing w:after="0" w:line="360" w:lineRule="auto"/>
      </w:pPr>
    </w:p>
    <w:p w:rsidR="006153AF" w:rsidRDefault="008A4B2B">
      <w:pPr>
        <w:spacing w:after="0" w:line="360" w:lineRule="auto"/>
      </w:pPr>
      <w:r>
        <w:t xml:space="preserve">Bajo ese contexto, se analizarán de manera enunciativa más no limitativa algunos datos personales que pueden encontrarse dentro de los documentos que pueden dar cuenta de lo requerido por la persona Particular y que actualiza el supuesto de información confidencial por corresponder a la vida privada de las personas </w:t>
      </w:r>
      <w:r>
        <w:rPr>
          <w:u w:val="single"/>
        </w:rPr>
        <w:t>son CURP, fecha de nacimiento, identificaciones como credencial de elector o pasaporte, domicilio o correo electrónico personales</w:t>
      </w:r>
      <w:r>
        <w:t>, los cuales  actualizan la causal de clasificación establecida en el artículo 143, fracción I, de la Ley de Transparencia y Acceso a la Información Pública del Estado de México y Municipios.</w:t>
      </w:r>
    </w:p>
    <w:p w:rsidR="006153AF" w:rsidRDefault="006153AF">
      <w:pPr>
        <w:spacing w:after="0" w:line="360" w:lineRule="auto"/>
      </w:pPr>
    </w:p>
    <w:p w:rsidR="006153AF" w:rsidRDefault="008A4B2B">
      <w:pPr>
        <w:spacing w:after="0" w:line="360" w:lineRule="auto"/>
        <w:rPr>
          <w:b/>
        </w:rPr>
      </w:pPr>
      <w: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6153AF" w:rsidRDefault="006153AF">
      <w:pPr>
        <w:spacing w:after="0" w:line="360" w:lineRule="auto"/>
      </w:pPr>
    </w:p>
    <w:p w:rsidR="006153AF" w:rsidRDefault="008A4B2B">
      <w:pPr>
        <w:spacing w:after="0" w:line="360" w:lineRule="auto"/>
        <w:rPr>
          <w:b/>
        </w:rPr>
      </w:pPr>
      <w:r>
        <w:rPr>
          <w:b/>
        </w:rPr>
        <w:t>SEXTO. Decisión</w:t>
      </w:r>
    </w:p>
    <w:p w:rsidR="006153AF" w:rsidRDefault="006153AF">
      <w:pPr>
        <w:spacing w:after="0" w:line="360" w:lineRule="auto"/>
        <w:rPr>
          <w:b/>
        </w:rPr>
      </w:pPr>
    </w:p>
    <w:p w:rsidR="006153AF" w:rsidRDefault="008A4B2B">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REVOCAR</w:t>
      </w:r>
      <w:r>
        <w:t xml:space="preserve"> la respuesta otorgada por el Sujeto Obligado a la solicitud de información </w:t>
      </w:r>
      <w:r>
        <w:rPr>
          <w:b/>
          <w:color w:val="0D0D0D"/>
        </w:rPr>
        <w:t>00449/TEMAMATL/IP/2024</w:t>
      </w:r>
      <w:r>
        <w:t xml:space="preserve">, por resultar fundadas las razones o motivos de inconformidad hechos valer por el Recurrente, en el Recurso de Revisión </w:t>
      </w:r>
      <w:r>
        <w:rPr>
          <w:b/>
        </w:rPr>
        <w:t>06691/INFOEM/IP/RR/2024</w:t>
      </w:r>
      <w:r>
        <w:t xml:space="preserve">, en consecuencia procede </w:t>
      </w:r>
      <w:r>
        <w:rPr>
          <w:b/>
        </w:rPr>
        <w:t xml:space="preserve">ORDENAR, </w:t>
      </w:r>
      <w:r>
        <w:t xml:space="preserve">la entrega de la información conforme a lo expuesto en el considerando anterior. </w:t>
      </w:r>
    </w:p>
    <w:p w:rsidR="006153AF" w:rsidRDefault="006153AF">
      <w:pPr>
        <w:tabs>
          <w:tab w:val="left" w:pos="4962"/>
        </w:tabs>
        <w:spacing w:after="0" w:line="360" w:lineRule="auto"/>
        <w:rPr>
          <w:color w:val="000000"/>
        </w:rPr>
      </w:pPr>
    </w:p>
    <w:p w:rsidR="006153AF" w:rsidRDefault="008A4B2B">
      <w:pPr>
        <w:spacing w:after="0" w:line="360" w:lineRule="auto"/>
        <w:rPr>
          <w:b/>
          <w:u w:val="single"/>
        </w:rPr>
      </w:pPr>
      <w:r>
        <w:rPr>
          <w:b/>
          <w:u w:val="single"/>
        </w:rPr>
        <w:t>Términos de la Resolución para el Recurrente</w:t>
      </w:r>
    </w:p>
    <w:p w:rsidR="006153AF" w:rsidRDefault="006153AF">
      <w:pPr>
        <w:spacing w:after="0" w:line="360" w:lineRule="auto"/>
      </w:pPr>
    </w:p>
    <w:p w:rsidR="006153AF" w:rsidRDefault="008A4B2B">
      <w:pPr>
        <w:spacing w:after="0" w:line="360" w:lineRule="auto"/>
        <w:rPr>
          <w:u w:val="single"/>
        </w:rPr>
      </w:pPr>
      <w:r>
        <w:rPr>
          <w:u w:val="single"/>
        </w:rPr>
        <w:t>Se hace del conocimiento al Particular que este Organismo Garante le otorgó la razón en virtud de que el Sujeto Obligado no acreditó la imposibilidad para entregar la información a través de la modalidad elegida, por lo que se ordena la entrega de la información a través de SAIMEX y no hizo la búsqueda de la información en las áreas competentes.</w:t>
      </w:r>
    </w:p>
    <w:p w:rsidR="006153AF" w:rsidRDefault="006153AF">
      <w:pPr>
        <w:spacing w:after="0" w:line="360" w:lineRule="auto"/>
        <w:rPr>
          <w:u w:val="single"/>
        </w:rPr>
      </w:pPr>
    </w:p>
    <w:p w:rsidR="006153AF" w:rsidRDefault="008A4B2B">
      <w:pPr>
        <w:spacing w:after="0" w:line="360" w:lineRule="auto"/>
        <w:rPr>
          <w:u w:val="single"/>
        </w:rPr>
      </w:pPr>
      <w:r>
        <w:rPr>
          <w:u w:val="single"/>
        </w:rPr>
        <w:t>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w:t>
      </w:r>
    </w:p>
    <w:p w:rsidR="006153AF" w:rsidRDefault="006153AF">
      <w:pPr>
        <w:spacing w:after="0" w:line="360" w:lineRule="auto"/>
        <w:rPr>
          <w:u w:val="single"/>
        </w:rPr>
      </w:pPr>
    </w:p>
    <w:p w:rsidR="006153AF" w:rsidRDefault="008A4B2B">
      <w:pPr>
        <w:spacing w:after="0" w:line="360" w:lineRule="auto"/>
        <w:rPr>
          <w:u w:val="single"/>
        </w:rPr>
      </w:pPr>
      <w:r>
        <w:rPr>
          <w:u w:val="single"/>
        </w:rPr>
        <w:t>La labor del INFOEM, es apoyar a la población para acceder a la información pública y garantizar la protección de sus datos personales.</w:t>
      </w:r>
    </w:p>
    <w:p w:rsidR="006153AF" w:rsidRDefault="006153AF">
      <w:pPr>
        <w:tabs>
          <w:tab w:val="left" w:pos="4962"/>
        </w:tabs>
        <w:spacing w:after="0" w:line="360" w:lineRule="auto"/>
        <w:rPr>
          <w:color w:val="000000"/>
        </w:rPr>
      </w:pPr>
    </w:p>
    <w:p w:rsidR="006153AF" w:rsidRDefault="008A4B2B">
      <w:pPr>
        <w:pStyle w:val="Ttulo1"/>
        <w:spacing w:before="0" w:after="0"/>
        <w:rPr>
          <w:b w:val="0"/>
          <w:sz w:val="22"/>
          <w:szCs w:val="22"/>
        </w:rPr>
      </w:pPr>
      <w:bookmarkStart w:id="15" w:name="_heading=h.3as4poj" w:colFirst="0" w:colLast="0"/>
      <w:bookmarkEnd w:id="15"/>
      <w:r>
        <w:rPr>
          <w:sz w:val="22"/>
          <w:szCs w:val="22"/>
        </w:rPr>
        <w:t>R E S U E L V E</w:t>
      </w:r>
    </w:p>
    <w:p w:rsidR="006153AF" w:rsidRDefault="006153AF">
      <w:pPr>
        <w:spacing w:after="0" w:line="360" w:lineRule="auto"/>
        <w:rPr>
          <w:b/>
        </w:rPr>
      </w:pPr>
    </w:p>
    <w:p w:rsidR="006153AF" w:rsidRDefault="008A4B2B">
      <w:pPr>
        <w:spacing w:after="0" w:line="360" w:lineRule="auto"/>
      </w:pPr>
      <w:r>
        <w:rPr>
          <w:b/>
        </w:rPr>
        <w:lastRenderedPageBreak/>
        <w:t xml:space="preserve">PRIMERO. </w:t>
      </w:r>
      <w:r>
        <w:t xml:space="preserve">Se </w:t>
      </w:r>
      <w:r>
        <w:rPr>
          <w:b/>
        </w:rPr>
        <w:t>REVOCA</w:t>
      </w:r>
      <w:r>
        <w:t xml:space="preserve"> la respuesta entregada por la </w:t>
      </w:r>
      <w:r>
        <w:rPr>
          <w:b/>
        </w:rPr>
        <w:t xml:space="preserve">Ayuntamiento de </w:t>
      </w:r>
      <w:proofErr w:type="spellStart"/>
      <w:r>
        <w:rPr>
          <w:b/>
        </w:rPr>
        <w:t>Temamatla</w:t>
      </w:r>
      <w:proofErr w:type="spellEnd"/>
      <w:r>
        <w:rPr>
          <w:b/>
        </w:rPr>
        <w:t xml:space="preserve"> </w:t>
      </w:r>
      <w:r>
        <w:t xml:space="preserve">a la solicitud de información </w:t>
      </w:r>
      <w:r>
        <w:rPr>
          <w:b/>
        </w:rPr>
        <w:t xml:space="preserve">00449/TEMAMATL/IP/2024 </w:t>
      </w:r>
      <w:r>
        <w:t xml:space="preserve">por resultar fundadas las razones o motivos de inconformidad hechos valer por el Recurrente en el Recurso de Revisión </w:t>
      </w:r>
      <w:r>
        <w:rPr>
          <w:b/>
        </w:rPr>
        <w:t>06691/INFOEM/IP/RR/2024</w:t>
      </w:r>
      <w:r>
        <w:t>, en términos de los considerandos QUINTO y SEXTO de la presente Resolución.</w:t>
      </w:r>
    </w:p>
    <w:p w:rsidR="006153AF" w:rsidRDefault="006153AF">
      <w:pPr>
        <w:spacing w:after="0" w:line="360" w:lineRule="auto"/>
      </w:pPr>
    </w:p>
    <w:p w:rsidR="006153AF" w:rsidRDefault="008A4B2B">
      <w:pPr>
        <w:spacing w:after="0" w:line="360" w:lineRule="auto"/>
        <w:rPr>
          <w:b/>
          <w:color w:val="000000"/>
        </w:rPr>
      </w:pPr>
      <w:r>
        <w:rPr>
          <w:b/>
        </w:rPr>
        <w:t xml:space="preserve">SEGUNDO. </w:t>
      </w:r>
      <w:r>
        <w:rPr>
          <w:color w:val="000000"/>
        </w:rPr>
        <w:t xml:space="preserve">Se </w:t>
      </w:r>
      <w:r>
        <w:rPr>
          <w:b/>
          <w:color w:val="000000"/>
        </w:rPr>
        <w:t>ORDENA</w:t>
      </w:r>
      <w:r>
        <w:rPr>
          <w:color w:val="000000"/>
        </w:rPr>
        <w:t xml:space="preserve"> al Sujeto Obligado, a efecto de entregue, previa búsqueda exhaustiva y razonable, a través del SAIMEX, en su caso, en versión pública,</w:t>
      </w:r>
      <w:r>
        <w:rPr>
          <w:b/>
          <w:color w:val="000000"/>
        </w:rPr>
        <w:t xml:space="preserve"> </w:t>
      </w:r>
      <w:r>
        <w:rPr>
          <w:color w:val="000000"/>
        </w:rPr>
        <w:t>los documentos que obren en los archivos del Sujeto Obligado y en los que conste lo siguiente</w:t>
      </w:r>
      <w:r>
        <w:rPr>
          <w:b/>
          <w:color w:val="000000"/>
        </w:rPr>
        <w:t>:</w:t>
      </w:r>
    </w:p>
    <w:p w:rsidR="006153AF" w:rsidRDefault="006153AF">
      <w:pPr>
        <w:tabs>
          <w:tab w:val="left" w:pos="4962"/>
        </w:tabs>
        <w:spacing w:after="0" w:line="360" w:lineRule="auto"/>
      </w:pPr>
    </w:p>
    <w:p w:rsidR="006153AF" w:rsidRDefault="008A4B2B">
      <w:pPr>
        <w:tabs>
          <w:tab w:val="left" w:pos="4962"/>
        </w:tabs>
        <w:spacing w:after="0" w:line="360" w:lineRule="auto"/>
      </w:pPr>
      <w:r>
        <w:t>Durante la administración 2022-2024; del periodo del primero de enero de 2022 al dos de octubre de 2024, respecto a reparaciones a unidades vehiculares municipales, lo siguiente:</w:t>
      </w:r>
    </w:p>
    <w:p w:rsidR="006153AF" w:rsidRDefault="006153AF">
      <w:pPr>
        <w:tabs>
          <w:tab w:val="left" w:pos="4962"/>
        </w:tabs>
        <w:spacing w:after="0" w:line="360" w:lineRule="auto"/>
      </w:pPr>
    </w:p>
    <w:p w:rsidR="006153AF" w:rsidRDefault="008A4B2B">
      <w:pPr>
        <w:numPr>
          <w:ilvl w:val="0"/>
          <w:numId w:val="2"/>
        </w:numPr>
        <w:pBdr>
          <w:top w:val="nil"/>
          <w:left w:val="nil"/>
          <w:bottom w:val="nil"/>
          <w:right w:val="nil"/>
          <w:between w:val="nil"/>
        </w:pBdr>
        <w:tabs>
          <w:tab w:val="left" w:pos="4962"/>
        </w:tabs>
        <w:spacing w:after="0" w:line="360" w:lineRule="auto"/>
        <w:rPr>
          <w:color w:val="000000"/>
        </w:rPr>
      </w:pPr>
      <w:r>
        <w:rPr>
          <w:color w:val="000000"/>
        </w:rPr>
        <w:t>Monto de gasto</w:t>
      </w:r>
    </w:p>
    <w:p w:rsidR="006153AF" w:rsidRDefault="008A4B2B">
      <w:pPr>
        <w:numPr>
          <w:ilvl w:val="0"/>
          <w:numId w:val="2"/>
        </w:numPr>
        <w:pBdr>
          <w:top w:val="nil"/>
          <w:left w:val="nil"/>
          <w:bottom w:val="nil"/>
          <w:right w:val="nil"/>
          <w:between w:val="nil"/>
        </w:pBdr>
        <w:tabs>
          <w:tab w:val="left" w:pos="4962"/>
        </w:tabs>
        <w:spacing w:after="0" w:line="360" w:lineRule="auto"/>
        <w:rPr>
          <w:color w:val="000000"/>
        </w:rPr>
      </w:pPr>
      <w:r>
        <w:rPr>
          <w:color w:val="000000"/>
        </w:rPr>
        <w:t>Póliza de egresos</w:t>
      </w:r>
    </w:p>
    <w:p w:rsidR="006153AF" w:rsidRDefault="008A4B2B">
      <w:pPr>
        <w:numPr>
          <w:ilvl w:val="0"/>
          <w:numId w:val="2"/>
        </w:numPr>
        <w:pBdr>
          <w:top w:val="nil"/>
          <w:left w:val="nil"/>
          <w:bottom w:val="nil"/>
          <w:right w:val="nil"/>
          <w:between w:val="nil"/>
        </w:pBdr>
        <w:tabs>
          <w:tab w:val="left" w:pos="4962"/>
        </w:tabs>
        <w:spacing w:after="0" w:line="360" w:lineRule="auto"/>
        <w:rPr>
          <w:color w:val="000000"/>
        </w:rPr>
      </w:pPr>
      <w:r>
        <w:rPr>
          <w:color w:val="000000"/>
        </w:rPr>
        <w:t xml:space="preserve">Facturas </w:t>
      </w:r>
    </w:p>
    <w:p w:rsidR="006153AF" w:rsidRDefault="008A4B2B">
      <w:pPr>
        <w:numPr>
          <w:ilvl w:val="0"/>
          <w:numId w:val="2"/>
        </w:numPr>
        <w:pBdr>
          <w:top w:val="nil"/>
          <w:left w:val="nil"/>
          <w:bottom w:val="nil"/>
          <w:right w:val="nil"/>
          <w:between w:val="nil"/>
        </w:pBdr>
        <w:tabs>
          <w:tab w:val="left" w:pos="4962"/>
        </w:tabs>
        <w:spacing w:after="0" w:line="360" w:lineRule="auto"/>
        <w:rPr>
          <w:color w:val="000000"/>
        </w:rPr>
      </w:pPr>
      <w:r>
        <w:rPr>
          <w:color w:val="000000"/>
        </w:rPr>
        <w:t>Documentos de respaldo de pago</w:t>
      </w:r>
    </w:p>
    <w:p w:rsidR="006153AF" w:rsidRDefault="006153AF">
      <w:pPr>
        <w:tabs>
          <w:tab w:val="left" w:pos="4962"/>
        </w:tabs>
        <w:spacing w:after="0" w:line="360" w:lineRule="auto"/>
      </w:pPr>
    </w:p>
    <w:p w:rsidR="006153AF" w:rsidRDefault="008A4B2B">
      <w:pPr>
        <w:spacing w:after="0" w:line="360" w:lineRule="auto"/>
      </w:pPr>
      <w:r>
        <w:rPr>
          <w:color w:val="000000"/>
        </w:rPr>
        <w:t>De ser necesarias las versiones públicas, se deberá proporcionar el Acuerdo de Clasificación donde el Comité de Transparencia, confirme la eliminación de los datos o secciones clasificadas</w:t>
      </w:r>
      <w:r>
        <w:t xml:space="preserve">, de acuerdo con los artículos 49, fracciones II y VIII, 132, fracción II, 140 y 143, fracción I y 149 de la Ley de Transparencia y Acceso a la Información Pública del Estado de México y Municipios. </w:t>
      </w:r>
    </w:p>
    <w:p w:rsidR="006153AF" w:rsidRDefault="006153AF">
      <w:pPr>
        <w:spacing w:after="0" w:line="360" w:lineRule="auto"/>
        <w:rPr>
          <w:b/>
        </w:rPr>
      </w:pPr>
    </w:p>
    <w:p w:rsidR="006153AF" w:rsidRDefault="008A4B2B">
      <w:pPr>
        <w:spacing w:after="0" w:line="360" w:lineRule="auto"/>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w:t>
      </w:r>
      <w:r>
        <w:lastRenderedPageBreak/>
        <w:t>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6153AF" w:rsidRDefault="006153AF">
      <w:pPr>
        <w:spacing w:after="0" w:line="360" w:lineRule="auto"/>
      </w:pPr>
    </w:p>
    <w:p w:rsidR="006153AF" w:rsidRDefault="008A4B2B">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6153AF" w:rsidRDefault="006153AF">
      <w:pPr>
        <w:spacing w:after="0" w:line="360" w:lineRule="auto"/>
        <w:rPr>
          <w:color w:val="000000"/>
        </w:rPr>
      </w:pPr>
    </w:p>
    <w:p w:rsidR="006153AF" w:rsidRDefault="008A4B2B">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153AF" w:rsidRDefault="006153AF">
      <w:pPr>
        <w:tabs>
          <w:tab w:val="left" w:pos="4962"/>
        </w:tabs>
        <w:spacing w:after="0" w:line="360" w:lineRule="auto"/>
      </w:pPr>
    </w:p>
    <w:p w:rsidR="006153AF" w:rsidRDefault="008A4B2B">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p w:rsidR="006153AF" w:rsidRDefault="006153AF">
      <w:pPr>
        <w:widowControl w:val="0"/>
        <w:spacing w:after="0" w:line="360" w:lineRule="auto"/>
        <w:rPr>
          <w:b/>
        </w:rPr>
      </w:pPr>
    </w:p>
    <w:sectPr w:rsidR="006153AF">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72" w:rsidRDefault="00C22272">
      <w:pPr>
        <w:spacing w:after="0" w:line="240" w:lineRule="auto"/>
      </w:pPr>
      <w:r>
        <w:separator/>
      </w:r>
    </w:p>
  </w:endnote>
  <w:endnote w:type="continuationSeparator" w:id="0">
    <w:p w:rsidR="00C22272" w:rsidRDefault="00C2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AF" w:rsidRDefault="008A4B2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7949">
      <w:rPr>
        <w:b/>
        <w:noProof/>
        <w:color w:val="000000"/>
        <w:sz w:val="24"/>
        <w:szCs w:val="24"/>
      </w:rPr>
      <w:t>27</w:t>
    </w:r>
    <w:r>
      <w:rPr>
        <w:b/>
        <w:color w:val="000000"/>
        <w:sz w:val="24"/>
        <w:szCs w:val="24"/>
      </w:rPr>
      <w:fldChar w:fldCharType="end"/>
    </w:r>
  </w:p>
  <w:p w:rsidR="006153AF" w:rsidRDefault="006153A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AF" w:rsidRDefault="008A4B2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F6FAB">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6FAB">
      <w:rPr>
        <w:b/>
        <w:noProof/>
        <w:color w:val="000000"/>
        <w:sz w:val="24"/>
        <w:szCs w:val="24"/>
      </w:rPr>
      <w:t>27</w:t>
    </w:r>
    <w:r>
      <w:rPr>
        <w:b/>
        <w:color w:val="000000"/>
        <w:sz w:val="24"/>
        <w:szCs w:val="24"/>
      </w:rPr>
      <w:fldChar w:fldCharType="end"/>
    </w:r>
  </w:p>
  <w:p w:rsidR="006153AF" w:rsidRDefault="006153A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AF" w:rsidRDefault="008A4B2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F6FA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6FAB">
      <w:rPr>
        <w:b/>
        <w:noProof/>
        <w:color w:val="000000"/>
        <w:sz w:val="24"/>
        <w:szCs w:val="24"/>
      </w:rPr>
      <w:t>27</w:t>
    </w:r>
    <w:r>
      <w:rPr>
        <w:b/>
        <w:color w:val="000000"/>
        <w:sz w:val="24"/>
        <w:szCs w:val="24"/>
      </w:rPr>
      <w:fldChar w:fldCharType="end"/>
    </w:r>
  </w:p>
  <w:p w:rsidR="006153AF" w:rsidRDefault="006153A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72" w:rsidRDefault="00C22272">
      <w:pPr>
        <w:spacing w:after="0" w:line="240" w:lineRule="auto"/>
      </w:pPr>
      <w:r>
        <w:separator/>
      </w:r>
    </w:p>
  </w:footnote>
  <w:footnote w:type="continuationSeparator" w:id="0">
    <w:p w:rsidR="00C22272" w:rsidRDefault="00C22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AF" w:rsidRDefault="006153AF">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153AF">
      <w:trPr>
        <w:trHeight w:val="141"/>
      </w:trPr>
      <w:tc>
        <w:tcPr>
          <w:tcW w:w="0" w:type="auto"/>
        </w:tcPr>
        <w:p w:rsidR="006153AF" w:rsidRDefault="008A4B2B">
          <w:pPr>
            <w:tabs>
              <w:tab w:val="right" w:pos="8838"/>
            </w:tabs>
            <w:ind w:right="-105"/>
            <w:rPr>
              <w:b/>
            </w:rPr>
          </w:pPr>
          <w:r>
            <w:rPr>
              <w:b/>
            </w:rPr>
            <w:t>Recurso de Revisión:</w:t>
          </w:r>
        </w:p>
      </w:tc>
      <w:tc>
        <w:tcPr>
          <w:tcW w:w="0" w:type="auto"/>
        </w:tcPr>
        <w:p w:rsidR="006153AF" w:rsidRDefault="008A4B2B">
          <w:pPr>
            <w:tabs>
              <w:tab w:val="right" w:pos="8838"/>
            </w:tabs>
            <w:ind w:left="-28" w:right="683"/>
          </w:pPr>
          <w:r>
            <w:t>04196/INFOEM/IP/RR/2020</w:t>
          </w:r>
        </w:p>
      </w:tc>
    </w:tr>
    <w:tr w:rsidR="006153AF">
      <w:trPr>
        <w:trHeight w:val="276"/>
      </w:trPr>
      <w:tc>
        <w:tcPr>
          <w:tcW w:w="0" w:type="auto"/>
        </w:tcPr>
        <w:p w:rsidR="006153AF" w:rsidRDefault="008A4B2B">
          <w:pPr>
            <w:tabs>
              <w:tab w:val="right" w:pos="8838"/>
            </w:tabs>
            <w:ind w:right="-105"/>
            <w:rPr>
              <w:b/>
            </w:rPr>
          </w:pPr>
          <w:r>
            <w:rPr>
              <w:b/>
            </w:rPr>
            <w:t>Sujeto Obligado:</w:t>
          </w:r>
        </w:p>
      </w:tc>
      <w:tc>
        <w:tcPr>
          <w:tcW w:w="0" w:type="auto"/>
        </w:tcPr>
        <w:p w:rsidR="006153AF" w:rsidRDefault="008A4B2B">
          <w:pPr>
            <w:tabs>
              <w:tab w:val="right" w:pos="8838"/>
            </w:tabs>
            <w:ind w:right="116"/>
          </w:pPr>
          <w:r>
            <w:t>Ayuntamiento de Chapultepec</w:t>
          </w:r>
        </w:p>
      </w:tc>
    </w:tr>
    <w:tr w:rsidR="006153AF">
      <w:trPr>
        <w:trHeight w:val="276"/>
      </w:trPr>
      <w:tc>
        <w:tcPr>
          <w:tcW w:w="0" w:type="auto"/>
        </w:tcPr>
        <w:p w:rsidR="006153AF" w:rsidRDefault="008A4B2B">
          <w:pPr>
            <w:tabs>
              <w:tab w:val="right" w:pos="8838"/>
            </w:tabs>
            <w:ind w:right="-105"/>
            <w:rPr>
              <w:b/>
            </w:rPr>
          </w:pPr>
          <w:r>
            <w:rPr>
              <w:b/>
            </w:rPr>
            <w:t>Comisionado Ponente:</w:t>
          </w:r>
        </w:p>
      </w:tc>
      <w:tc>
        <w:tcPr>
          <w:tcW w:w="0" w:type="auto"/>
        </w:tcPr>
        <w:p w:rsidR="006153AF" w:rsidRDefault="008A4B2B">
          <w:pPr>
            <w:tabs>
              <w:tab w:val="right" w:pos="8838"/>
            </w:tabs>
            <w:ind w:right="-32"/>
          </w:pPr>
          <w:r>
            <w:t>Luis Gustavo Parra Noriega</w:t>
          </w:r>
        </w:p>
      </w:tc>
    </w:tr>
  </w:tbl>
  <w:p w:rsidR="006153AF" w:rsidRDefault="00C2227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AF" w:rsidRDefault="006153AF">
    <w:pPr>
      <w:rPr>
        <w:sz w:val="16"/>
        <w:szCs w:val="16"/>
      </w:rPr>
    </w:pPr>
  </w:p>
  <w:tbl>
    <w:tblPr>
      <w:tblStyle w:val="af8"/>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6153AF">
      <w:trPr>
        <w:trHeight w:val="141"/>
      </w:trPr>
      <w:tc>
        <w:tcPr>
          <w:tcW w:w="2404" w:type="dxa"/>
        </w:tcPr>
        <w:p w:rsidR="006153AF" w:rsidRDefault="008A4B2B">
          <w:pPr>
            <w:tabs>
              <w:tab w:val="right" w:pos="8838"/>
            </w:tabs>
            <w:ind w:left="-395" w:right="-105" w:firstLine="395"/>
            <w:rPr>
              <w:b/>
            </w:rPr>
          </w:pPr>
          <w:r>
            <w:rPr>
              <w:b/>
            </w:rPr>
            <w:t>Recurso de Revisión:</w:t>
          </w:r>
        </w:p>
      </w:tc>
      <w:tc>
        <w:tcPr>
          <w:tcW w:w="3408" w:type="dxa"/>
        </w:tcPr>
        <w:p w:rsidR="006153AF" w:rsidRDefault="008A4B2B">
          <w:pPr>
            <w:tabs>
              <w:tab w:val="right" w:pos="8838"/>
            </w:tabs>
            <w:ind w:left="-28" w:right="454"/>
            <w:rPr>
              <w:b/>
            </w:rPr>
          </w:pPr>
          <w:bookmarkStart w:id="16" w:name="_heading=h.30j0zll" w:colFirst="0" w:colLast="0"/>
          <w:bookmarkEnd w:id="16"/>
          <w:r>
            <w:rPr>
              <w:b/>
            </w:rPr>
            <w:t>06691/INFOEM/IP/RR/2024</w:t>
          </w:r>
        </w:p>
      </w:tc>
    </w:tr>
    <w:tr w:rsidR="006153AF">
      <w:trPr>
        <w:trHeight w:val="276"/>
      </w:trPr>
      <w:tc>
        <w:tcPr>
          <w:tcW w:w="2404" w:type="dxa"/>
        </w:tcPr>
        <w:p w:rsidR="006153AF" w:rsidRDefault="008A4B2B">
          <w:pPr>
            <w:tabs>
              <w:tab w:val="right" w:pos="8838"/>
            </w:tabs>
            <w:ind w:right="-105"/>
            <w:rPr>
              <w:b/>
            </w:rPr>
          </w:pPr>
          <w:r>
            <w:rPr>
              <w:b/>
            </w:rPr>
            <w:t>Sujeto Obligado:</w:t>
          </w:r>
        </w:p>
      </w:tc>
      <w:tc>
        <w:tcPr>
          <w:tcW w:w="3408" w:type="dxa"/>
        </w:tcPr>
        <w:p w:rsidR="006153AF" w:rsidRDefault="008A4B2B">
          <w:pPr>
            <w:tabs>
              <w:tab w:val="left" w:pos="3158"/>
              <w:tab w:val="left" w:pos="4292"/>
              <w:tab w:val="right" w:pos="8838"/>
            </w:tabs>
            <w:ind w:right="601"/>
          </w:pPr>
          <w:r>
            <w:t xml:space="preserve">Ayuntamiento de </w:t>
          </w:r>
          <w:proofErr w:type="spellStart"/>
          <w:r>
            <w:t>Temamatla</w:t>
          </w:r>
          <w:proofErr w:type="spellEnd"/>
        </w:p>
      </w:tc>
    </w:tr>
    <w:tr w:rsidR="006153AF">
      <w:trPr>
        <w:trHeight w:val="276"/>
      </w:trPr>
      <w:tc>
        <w:tcPr>
          <w:tcW w:w="2404" w:type="dxa"/>
        </w:tcPr>
        <w:p w:rsidR="006153AF" w:rsidRDefault="008A4B2B">
          <w:pPr>
            <w:tabs>
              <w:tab w:val="right" w:pos="8838"/>
            </w:tabs>
            <w:ind w:right="-105"/>
            <w:rPr>
              <w:b/>
            </w:rPr>
          </w:pPr>
          <w:r>
            <w:rPr>
              <w:b/>
            </w:rPr>
            <w:t>Comisionado Ponente:</w:t>
          </w:r>
        </w:p>
      </w:tc>
      <w:tc>
        <w:tcPr>
          <w:tcW w:w="3408" w:type="dxa"/>
        </w:tcPr>
        <w:p w:rsidR="006153AF" w:rsidRDefault="008A4B2B">
          <w:pPr>
            <w:tabs>
              <w:tab w:val="right" w:pos="8838"/>
            </w:tabs>
            <w:ind w:right="454"/>
          </w:pPr>
          <w:r>
            <w:t>Luis Gustavo Parra Noriega</w:t>
          </w:r>
        </w:p>
        <w:p w:rsidR="006153AF" w:rsidRDefault="006153AF">
          <w:pPr>
            <w:tabs>
              <w:tab w:val="right" w:pos="8838"/>
            </w:tabs>
            <w:ind w:right="454"/>
          </w:pPr>
        </w:p>
      </w:tc>
    </w:tr>
  </w:tbl>
  <w:p w:rsidR="006153AF" w:rsidRDefault="00C2227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AF" w:rsidRDefault="00C22272">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f9"/>
      <w:tblW w:w="9214" w:type="dxa"/>
      <w:tblInd w:w="0" w:type="dxa"/>
      <w:tblLayout w:type="fixed"/>
      <w:tblLook w:val="0400" w:firstRow="0" w:lastRow="0" w:firstColumn="0" w:lastColumn="0" w:noHBand="0" w:noVBand="1"/>
    </w:tblPr>
    <w:tblGrid>
      <w:gridCol w:w="2127"/>
      <w:gridCol w:w="7087"/>
    </w:tblGrid>
    <w:tr w:rsidR="006153AF">
      <w:trPr>
        <w:trHeight w:val="1546"/>
      </w:trPr>
      <w:tc>
        <w:tcPr>
          <w:tcW w:w="2127" w:type="dxa"/>
          <w:shd w:val="clear" w:color="auto" w:fill="auto"/>
        </w:tcPr>
        <w:p w:rsidR="006153AF" w:rsidRDefault="006153AF">
          <w:pPr>
            <w:tabs>
              <w:tab w:val="right" w:pos="4273"/>
            </w:tabs>
            <w:rPr>
              <w:rFonts w:ascii="Garamond" w:eastAsia="Garamond" w:hAnsi="Garamond" w:cs="Garamond"/>
              <w:sz w:val="16"/>
              <w:szCs w:val="16"/>
            </w:rPr>
          </w:pPr>
        </w:p>
      </w:tc>
      <w:tc>
        <w:tcPr>
          <w:tcW w:w="7087" w:type="dxa"/>
          <w:shd w:val="clear" w:color="auto" w:fill="auto"/>
        </w:tcPr>
        <w:p w:rsidR="006153AF" w:rsidRDefault="006153AF">
          <w:pPr>
            <w:rPr>
              <w:sz w:val="10"/>
              <w:szCs w:val="10"/>
            </w:rPr>
          </w:pPr>
        </w:p>
        <w:tbl>
          <w:tblPr>
            <w:tblStyle w:val="afa"/>
            <w:tblW w:w="5812" w:type="dxa"/>
            <w:tblInd w:w="1167" w:type="dxa"/>
            <w:tblLayout w:type="fixed"/>
            <w:tblLook w:val="0400" w:firstRow="0" w:lastRow="0" w:firstColumn="0" w:lastColumn="0" w:noHBand="0" w:noVBand="1"/>
          </w:tblPr>
          <w:tblGrid>
            <w:gridCol w:w="2583"/>
            <w:gridCol w:w="3229"/>
          </w:tblGrid>
          <w:tr w:rsidR="006153AF">
            <w:trPr>
              <w:trHeight w:val="427"/>
            </w:trPr>
            <w:tc>
              <w:tcPr>
                <w:tcW w:w="2583" w:type="dxa"/>
                <w:vAlign w:val="bottom"/>
              </w:tcPr>
              <w:p w:rsidR="006153AF" w:rsidRDefault="008A4B2B">
                <w:pPr>
                  <w:tabs>
                    <w:tab w:val="right" w:pos="8838"/>
                  </w:tabs>
                  <w:ind w:right="-105"/>
                  <w:rPr>
                    <w:b/>
                  </w:rPr>
                </w:pPr>
                <w:r>
                  <w:rPr>
                    <w:b/>
                  </w:rPr>
                  <w:t>Recurso de Revisión:</w:t>
                </w:r>
              </w:p>
            </w:tc>
            <w:tc>
              <w:tcPr>
                <w:tcW w:w="3229" w:type="dxa"/>
              </w:tcPr>
              <w:p w:rsidR="006153AF" w:rsidRDefault="006153AF">
                <w:pPr>
                  <w:tabs>
                    <w:tab w:val="right" w:pos="8838"/>
                  </w:tabs>
                  <w:ind w:left="-28" w:right="-107"/>
                  <w:rPr>
                    <w:b/>
                  </w:rPr>
                </w:pPr>
              </w:p>
              <w:p w:rsidR="006153AF" w:rsidRDefault="008A4B2B">
                <w:pPr>
                  <w:tabs>
                    <w:tab w:val="right" w:pos="8838"/>
                  </w:tabs>
                  <w:ind w:left="-28" w:right="-107"/>
                  <w:rPr>
                    <w:b/>
                  </w:rPr>
                </w:pPr>
                <w:r>
                  <w:rPr>
                    <w:b/>
                  </w:rPr>
                  <w:t>06691/INFOEM/IP/RR/2024</w:t>
                </w:r>
              </w:p>
            </w:tc>
          </w:tr>
          <w:tr w:rsidR="006153AF">
            <w:trPr>
              <w:trHeight w:val="141"/>
            </w:trPr>
            <w:tc>
              <w:tcPr>
                <w:tcW w:w="2583" w:type="dxa"/>
              </w:tcPr>
              <w:p w:rsidR="006153AF" w:rsidRDefault="008A4B2B">
                <w:pPr>
                  <w:tabs>
                    <w:tab w:val="right" w:pos="8838"/>
                  </w:tabs>
                  <w:ind w:right="-105"/>
                  <w:rPr>
                    <w:b/>
                  </w:rPr>
                </w:pPr>
                <w:r>
                  <w:rPr>
                    <w:b/>
                  </w:rPr>
                  <w:t>Recurrente:</w:t>
                </w:r>
              </w:p>
            </w:tc>
            <w:tc>
              <w:tcPr>
                <w:tcW w:w="3229" w:type="dxa"/>
              </w:tcPr>
              <w:p w:rsidR="006153AF" w:rsidRDefault="006153AF">
                <w:pPr>
                  <w:tabs>
                    <w:tab w:val="right" w:pos="8838"/>
                  </w:tabs>
                  <w:ind w:right="-107"/>
                </w:pPr>
              </w:p>
            </w:tc>
          </w:tr>
          <w:tr w:rsidR="006153AF">
            <w:trPr>
              <w:trHeight w:val="276"/>
            </w:trPr>
            <w:tc>
              <w:tcPr>
                <w:tcW w:w="2583" w:type="dxa"/>
              </w:tcPr>
              <w:p w:rsidR="006153AF" w:rsidRDefault="008A4B2B">
                <w:pPr>
                  <w:tabs>
                    <w:tab w:val="right" w:pos="8838"/>
                  </w:tabs>
                  <w:ind w:right="-105"/>
                  <w:rPr>
                    <w:b/>
                  </w:rPr>
                </w:pPr>
                <w:r>
                  <w:rPr>
                    <w:b/>
                  </w:rPr>
                  <w:t>Sujeto Obligado:</w:t>
                </w:r>
              </w:p>
            </w:tc>
            <w:tc>
              <w:tcPr>
                <w:tcW w:w="3229" w:type="dxa"/>
              </w:tcPr>
              <w:p w:rsidR="006153AF" w:rsidRDefault="008A4B2B">
                <w:pPr>
                  <w:tabs>
                    <w:tab w:val="right" w:pos="8838"/>
                  </w:tabs>
                  <w:ind w:right="33"/>
                </w:pPr>
                <w:r>
                  <w:t xml:space="preserve">Ayuntamiento de </w:t>
                </w:r>
                <w:proofErr w:type="spellStart"/>
                <w:r>
                  <w:t>Temamatla</w:t>
                </w:r>
                <w:proofErr w:type="spellEnd"/>
              </w:p>
            </w:tc>
          </w:tr>
          <w:tr w:rsidR="006153AF">
            <w:trPr>
              <w:trHeight w:val="276"/>
            </w:trPr>
            <w:tc>
              <w:tcPr>
                <w:tcW w:w="2583" w:type="dxa"/>
              </w:tcPr>
              <w:p w:rsidR="006153AF" w:rsidRDefault="008A4B2B">
                <w:pPr>
                  <w:tabs>
                    <w:tab w:val="right" w:pos="8838"/>
                  </w:tabs>
                  <w:ind w:right="-105"/>
                  <w:rPr>
                    <w:b/>
                  </w:rPr>
                </w:pPr>
                <w:r>
                  <w:rPr>
                    <w:b/>
                  </w:rPr>
                  <w:t>Comisionado Ponente:</w:t>
                </w:r>
              </w:p>
            </w:tc>
            <w:tc>
              <w:tcPr>
                <w:tcW w:w="3229" w:type="dxa"/>
              </w:tcPr>
              <w:p w:rsidR="006153AF" w:rsidRDefault="008A4B2B">
                <w:pPr>
                  <w:tabs>
                    <w:tab w:val="right" w:pos="8838"/>
                  </w:tabs>
                  <w:ind w:right="-107"/>
                </w:pPr>
                <w:r>
                  <w:t>Luis Gustavo Parra Noriega</w:t>
                </w:r>
              </w:p>
            </w:tc>
          </w:tr>
        </w:tbl>
        <w:p w:rsidR="006153AF" w:rsidRDefault="006153AF">
          <w:pPr>
            <w:tabs>
              <w:tab w:val="right" w:pos="8838"/>
            </w:tabs>
            <w:ind w:left="-28"/>
            <w:rPr>
              <w:rFonts w:ascii="Arial" w:eastAsia="Arial" w:hAnsi="Arial" w:cs="Arial"/>
              <w:b/>
            </w:rPr>
          </w:pPr>
        </w:p>
      </w:tc>
    </w:tr>
  </w:tbl>
  <w:p w:rsidR="006153AF" w:rsidRDefault="006153A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914"/>
    <w:multiLevelType w:val="multilevel"/>
    <w:tmpl w:val="438CA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653A9"/>
    <w:multiLevelType w:val="multilevel"/>
    <w:tmpl w:val="A8F41F3E"/>
    <w:lvl w:ilvl="0">
      <w:start w:val="2"/>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880468"/>
    <w:multiLevelType w:val="multilevel"/>
    <w:tmpl w:val="4C641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AD35C4"/>
    <w:multiLevelType w:val="multilevel"/>
    <w:tmpl w:val="ABCC4D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646928"/>
    <w:multiLevelType w:val="multilevel"/>
    <w:tmpl w:val="D7264DD0"/>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9C4E65"/>
    <w:multiLevelType w:val="multilevel"/>
    <w:tmpl w:val="91120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AF"/>
    <w:rsid w:val="00046DAD"/>
    <w:rsid w:val="006153AF"/>
    <w:rsid w:val="008A4B2B"/>
    <w:rsid w:val="009D502A"/>
    <w:rsid w:val="00AF6FAB"/>
    <w:rsid w:val="00BB39D9"/>
    <w:rsid w:val="00C22272"/>
    <w:rsid w:val="00FF79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93DA42D-2DAD-4239-94B5-A1643717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8Wd/mDnshsCj+Tnf6dWBbBHKg==">CgMxLjAyCWguMWZvYjl0ZTIJaC4zem55c2g3MghoLnR5amN3dDIJaC4zZHk2dmttMgloLjJldDkycDAyCWguMXQzaDVzZjIIaC5namRneHMyCWguNGQzNG9nODIJaC4yczhleW8xMgloLjE3ZHA4dnUyCWguM3JkY3JqbjIJaC4yNmluMXJnMghoLmxueGJ6OTIIaC5xc2g3MHEyCWguM2FzNHBvajIJaC4zMGowemxsOAByITFFR3RLU3NvTlM3WnhhSktzS1BqdjBNSTc3MXg3V19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6789</Words>
  <Characters>37345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2024-11-28T23:34:00Z</cp:lastPrinted>
  <dcterms:created xsi:type="dcterms:W3CDTF">2024-11-28T23:33:00Z</dcterms:created>
  <dcterms:modified xsi:type="dcterms:W3CDTF">2025-02-05T15:51:00Z</dcterms:modified>
</cp:coreProperties>
</file>