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BD0DA" w14:textId="77777777" w:rsidR="006C6F1F" w:rsidRDefault="006C6F1F">
      <w:pPr>
        <w:widowControl w:val="0"/>
        <w:pBdr>
          <w:top w:val="nil"/>
          <w:left w:val="nil"/>
          <w:bottom w:val="nil"/>
          <w:right w:val="nil"/>
          <w:between w:val="nil"/>
        </w:pBdr>
        <w:spacing w:line="276" w:lineRule="auto"/>
      </w:pPr>
    </w:p>
    <w:p w14:paraId="23684298" w14:textId="77777777" w:rsidR="006C6F1F" w:rsidRDefault="00FB392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del cuatro (04) de diciembre de dos mil veinticuatro.</w:t>
      </w:r>
    </w:p>
    <w:p w14:paraId="71CF7D62" w14:textId="77777777" w:rsidR="006C6F1F" w:rsidRDefault="006C6F1F">
      <w:pPr>
        <w:spacing w:line="360" w:lineRule="auto"/>
        <w:jc w:val="both"/>
        <w:rPr>
          <w:rFonts w:ascii="Palatino Linotype" w:eastAsia="Palatino Linotype" w:hAnsi="Palatino Linotype" w:cs="Palatino Linotype"/>
          <w:sz w:val="22"/>
          <w:szCs w:val="22"/>
        </w:rPr>
      </w:pPr>
    </w:p>
    <w:p w14:paraId="400A1356" w14:textId="77777777" w:rsidR="006C6F1F" w:rsidRDefault="00FB392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VISTOS</w:t>
      </w:r>
      <w:r>
        <w:rPr>
          <w:rFonts w:ascii="Palatino Linotype" w:eastAsia="Palatino Linotype" w:hAnsi="Palatino Linotype" w:cs="Palatino Linotype"/>
          <w:sz w:val="22"/>
          <w:szCs w:val="22"/>
        </w:rPr>
        <w:t xml:space="preserve"> los expedientes electrónicos formados con motivo de los recursos de revisión </w:t>
      </w:r>
      <w:r>
        <w:rPr>
          <w:rFonts w:ascii="Palatino Linotype" w:eastAsia="Palatino Linotype" w:hAnsi="Palatino Linotype" w:cs="Palatino Linotype"/>
          <w:b/>
          <w:sz w:val="22"/>
          <w:szCs w:val="22"/>
        </w:rPr>
        <w:t xml:space="preserve">04943/INFOEM/IP/RR/2024, 04944/INFOEM/IP/RR/2024  y 04945/INFOEM/IP/RR/2024, </w:t>
      </w:r>
      <w:r>
        <w:rPr>
          <w:rFonts w:ascii="Palatino Linotype" w:eastAsia="Palatino Linotype" w:hAnsi="Palatino Linotype" w:cs="Palatino Linotype"/>
          <w:sz w:val="22"/>
          <w:szCs w:val="22"/>
        </w:rPr>
        <w:t xml:space="preserve">promovidos por </w:t>
      </w:r>
      <w:r>
        <w:rPr>
          <w:rFonts w:ascii="Palatino Linotype" w:eastAsia="Palatino Linotype" w:hAnsi="Palatino Linotype" w:cs="Palatino Linotype"/>
          <w:b/>
          <w:sz w:val="22"/>
          <w:szCs w:val="22"/>
        </w:rPr>
        <w:t>un usuario que no proporcionó nombre,</w:t>
      </w:r>
      <w:r>
        <w:rPr>
          <w:rFonts w:ascii="Palatino Linotype" w:eastAsia="Palatino Linotype" w:hAnsi="Palatino Linotype" w:cs="Palatino Linotype"/>
          <w:sz w:val="22"/>
          <w:szCs w:val="22"/>
        </w:rPr>
        <w:t xml:space="preserve"> quien en lo sucesivo se identificará como </w:t>
      </w:r>
      <w:r>
        <w:rPr>
          <w:rFonts w:ascii="Palatino Linotype" w:eastAsia="Palatino Linotype" w:hAnsi="Palatino Linotype" w:cs="Palatino Linotype"/>
          <w:b/>
          <w:sz w:val="22"/>
          <w:szCs w:val="22"/>
        </w:rPr>
        <w:t>EL RECURRENTE</w:t>
      </w:r>
      <w:r>
        <w:rPr>
          <w:rFonts w:ascii="Palatino Linotype" w:eastAsia="Palatino Linotype" w:hAnsi="Palatino Linotype" w:cs="Palatino Linotype"/>
          <w:sz w:val="22"/>
          <w:szCs w:val="22"/>
        </w:rPr>
        <w:t xml:space="preserve">, en contra de la respuesta del </w:t>
      </w:r>
      <w:r>
        <w:rPr>
          <w:rFonts w:ascii="Palatino Linotype" w:eastAsia="Palatino Linotype" w:hAnsi="Palatino Linotype" w:cs="Palatino Linotype"/>
          <w:b/>
          <w:sz w:val="22"/>
          <w:szCs w:val="22"/>
        </w:rPr>
        <w:t xml:space="preserve">Ayuntamiento de Tlalnepantla de Baz, </w:t>
      </w:r>
      <w:r>
        <w:rPr>
          <w:rFonts w:ascii="Palatino Linotype" w:eastAsia="Palatino Linotype" w:hAnsi="Palatino Linotype" w:cs="Palatino Linotype"/>
          <w:sz w:val="22"/>
          <w:szCs w:val="22"/>
        </w:rPr>
        <w:t>en lo sucesivo el</w:t>
      </w:r>
      <w:r>
        <w:rPr>
          <w:rFonts w:ascii="Palatino Linotype" w:eastAsia="Palatino Linotype" w:hAnsi="Palatino Linotype" w:cs="Palatino Linotype"/>
          <w:b/>
          <w:sz w:val="22"/>
          <w:szCs w:val="22"/>
        </w:rPr>
        <w:t xml:space="preserve"> SUJETO OBLIGADO</w:t>
      </w:r>
      <w:r>
        <w:rPr>
          <w:rFonts w:ascii="Palatino Linotype" w:eastAsia="Palatino Linotype" w:hAnsi="Palatino Linotype" w:cs="Palatino Linotype"/>
          <w:sz w:val="22"/>
          <w:szCs w:val="22"/>
        </w:rPr>
        <w:t>, por lo que se procede a dictar la presente resolución, con base en los siguientes:</w:t>
      </w:r>
    </w:p>
    <w:p w14:paraId="5D949219" w14:textId="77777777" w:rsidR="006C6F1F" w:rsidRDefault="006C6F1F">
      <w:pPr>
        <w:spacing w:line="360" w:lineRule="auto"/>
        <w:jc w:val="both"/>
        <w:rPr>
          <w:rFonts w:ascii="Palatino Linotype" w:eastAsia="Palatino Linotype" w:hAnsi="Palatino Linotype" w:cs="Palatino Linotype"/>
          <w:sz w:val="22"/>
          <w:szCs w:val="22"/>
        </w:rPr>
      </w:pPr>
    </w:p>
    <w:p w14:paraId="27B5AA57" w14:textId="77777777" w:rsidR="006C6F1F" w:rsidRDefault="00FB3920">
      <w:pPr>
        <w:keepNext/>
        <w:keepLines/>
        <w:spacing w:line="360" w:lineRule="auto"/>
        <w:jc w:val="center"/>
        <w:rPr>
          <w:rFonts w:ascii="Palatino Linotype" w:eastAsia="Palatino Linotype" w:hAnsi="Palatino Linotype" w:cs="Palatino Linotype"/>
          <w:b/>
          <w:sz w:val="22"/>
          <w:szCs w:val="22"/>
        </w:rPr>
      </w:pPr>
      <w:bookmarkStart w:id="0" w:name="_heading=h.gjdgxs" w:colFirst="0" w:colLast="0"/>
      <w:bookmarkEnd w:id="0"/>
      <w:r>
        <w:rPr>
          <w:rFonts w:ascii="Palatino Linotype" w:eastAsia="Palatino Linotype" w:hAnsi="Palatino Linotype" w:cs="Palatino Linotype"/>
          <w:b/>
          <w:sz w:val="22"/>
          <w:szCs w:val="22"/>
        </w:rPr>
        <w:t>ANTECEDENTES</w:t>
      </w:r>
    </w:p>
    <w:p w14:paraId="7F549C99" w14:textId="77777777" w:rsidR="006C6F1F" w:rsidRDefault="006C6F1F">
      <w:pPr>
        <w:spacing w:line="360" w:lineRule="auto"/>
        <w:rPr>
          <w:rFonts w:ascii="Palatino Linotype" w:eastAsia="Palatino Linotype" w:hAnsi="Palatino Linotype" w:cs="Palatino Linotype"/>
          <w:sz w:val="22"/>
          <w:szCs w:val="22"/>
        </w:rPr>
      </w:pPr>
    </w:p>
    <w:p w14:paraId="6C08A758" w14:textId="77777777" w:rsidR="006C6F1F" w:rsidRDefault="00FB3920">
      <w:pPr>
        <w:numPr>
          <w:ilvl w:val="0"/>
          <w:numId w:val="1"/>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dos (02) de julio de dos mil veinticuatro, </w:t>
      </w:r>
      <w:r>
        <w:rPr>
          <w:rFonts w:ascii="Palatino Linotype" w:eastAsia="Palatino Linotype" w:hAnsi="Palatino Linotype" w:cs="Palatino Linotype"/>
          <w:b/>
          <w:sz w:val="22"/>
          <w:szCs w:val="22"/>
        </w:rPr>
        <w:t>EL RECURRENTE,</w:t>
      </w:r>
      <w:r>
        <w:rPr>
          <w:rFonts w:ascii="Palatino Linotype" w:eastAsia="Palatino Linotype" w:hAnsi="Palatino Linotype" w:cs="Palatino Linotype"/>
          <w:sz w:val="22"/>
          <w:szCs w:val="22"/>
        </w:rPr>
        <w:t xml:space="preserve"> ante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vía Sistema de Acceso a la Información Mexiquense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presentó las solicitudes de información registradas con los números </w:t>
      </w:r>
      <w:r>
        <w:rPr>
          <w:rFonts w:ascii="Palatino Linotype" w:eastAsia="Palatino Linotype" w:hAnsi="Palatino Linotype" w:cs="Palatino Linotype"/>
          <w:b/>
          <w:sz w:val="22"/>
          <w:szCs w:val="22"/>
        </w:rPr>
        <w:t>00732/TLALNEPA/IP/2024, 00731/TLALNEPA/IP/2024 y</w:t>
      </w:r>
      <w:r>
        <w:rPr>
          <w:rFonts w:ascii="Arial" w:eastAsia="Arial" w:hAnsi="Arial" w:cs="Arial"/>
          <w:b/>
          <w:sz w:val="22"/>
          <w:szCs w:val="22"/>
        </w:rPr>
        <w:t xml:space="preserve"> </w:t>
      </w:r>
      <w:r>
        <w:rPr>
          <w:rFonts w:ascii="Palatino Linotype" w:eastAsia="Palatino Linotype" w:hAnsi="Palatino Linotype" w:cs="Palatino Linotype"/>
          <w:b/>
          <w:sz w:val="22"/>
          <w:szCs w:val="22"/>
        </w:rPr>
        <w:t xml:space="preserve">00730/TLALNEPA/IP/2024, </w:t>
      </w:r>
      <w:r>
        <w:rPr>
          <w:rFonts w:ascii="Palatino Linotype" w:eastAsia="Palatino Linotype" w:hAnsi="Palatino Linotype" w:cs="Palatino Linotype"/>
          <w:sz w:val="22"/>
          <w:szCs w:val="22"/>
        </w:rPr>
        <w:t>mediante la cual solicitó lo siguiente:</w:t>
      </w:r>
    </w:p>
    <w:p w14:paraId="2308CE49" w14:textId="77777777" w:rsidR="006C6F1F" w:rsidRDefault="006C6F1F">
      <w:pPr>
        <w:spacing w:line="360" w:lineRule="auto"/>
        <w:jc w:val="both"/>
        <w:rPr>
          <w:rFonts w:ascii="Palatino Linotype" w:eastAsia="Palatino Linotype" w:hAnsi="Palatino Linotype" w:cs="Palatino Linotype"/>
          <w:sz w:val="22"/>
          <w:szCs w:val="22"/>
        </w:rPr>
      </w:pPr>
    </w:p>
    <w:p w14:paraId="23DE8EFA" w14:textId="77777777" w:rsidR="006C6F1F" w:rsidRDefault="00FB392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00732/TLALNEPA/IP/2024:</w:t>
      </w:r>
    </w:p>
    <w:p w14:paraId="2C1FD919" w14:textId="77777777" w:rsidR="006C6F1F" w:rsidRDefault="00FB3920">
      <w:pPr>
        <w:spacing w:line="360" w:lineRule="auto"/>
        <w:ind w:left="1069"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“solicito los </w:t>
      </w:r>
      <w:proofErr w:type="spellStart"/>
      <w:r>
        <w:rPr>
          <w:rFonts w:ascii="Palatino Linotype" w:eastAsia="Palatino Linotype" w:hAnsi="Palatino Linotype" w:cs="Palatino Linotype"/>
          <w:i/>
          <w:sz w:val="22"/>
          <w:szCs w:val="22"/>
        </w:rPr>
        <w:t>numeros</w:t>
      </w:r>
      <w:proofErr w:type="spellEnd"/>
      <w:r>
        <w:rPr>
          <w:rFonts w:ascii="Palatino Linotype" w:eastAsia="Palatino Linotype" w:hAnsi="Palatino Linotype" w:cs="Palatino Linotype"/>
          <w:i/>
          <w:sz w:val="22"/>
          <w:szCs w:val="22"/>
        </w:rPr>
        <w:t xml:space="preserve"> de contratos Generados por la </w:t>
      </w:r>
      <w:proofErr w:type="spellStart"/>
      <w:r>
        <w:rPr>
          <w:rFonts w:ascii="Palatino Linotype" w:eastAsia="Palatino Linotype" w:hAnsi="Palatino Linotype" w:cs="Palatino Linotype"/>
          <w:i/>
          <w:sz w:val="22"/>
          <w:szCs w:val="22"/>
        </w:rPr>
        <w:t>Administracion</w:t>
      </w:r>
      <w:proofErr w:type="spellEnd"/>
      <w:r>
        <w:rPr>
          <w:rFonts w:ascii="Palatino Linotype" w:eastAsia="Palatino Linotype" w:hAnsi="Palatino Linotype" w:cs="Palatino Linotype"/>
          <w:i/>
          <w:sz w:val="22"/>
          <w:szCs w:val="22"/>
        </w:rPr>
        <w:t xml:space="preserve"> del año 2022” (Sic) </w:t>
      </w:r>
    </w:p>
    <w:p w14:paraId="5CD86A79" w14:textId="77777777" w:rsidR="006C6F1F" w:rsidRDefault="006C6F1F">
      <w:pPr>
        <w:spacing w:line="360" w:lineRule="auto"/>
        <w:ind w:left="1069" w:right="567"/>
        <w:jc w:val="both"/>
        <w:rPr>
          <w:rFonts w:ascii="Palatino Linotype" w:eastAsia="Palatino Linotype" w:hAnsi="Palatino Linotype" w:cs="Palatino Linotype"/>
          <w:i/>
          <w:sz w:val="22"/>
          <w:szCs w:val="22"/>
        </w:rPr>
      </w:pPr>
    </w:p>
    <w:p w14:paraId="75798E5A" w14:textId="77777777" w:rsidR="006C6F1F" w:rsidRDefault="00FB392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00731/TLALNEPA/IP/2024:</w:t>
      </w:r>
    </w:p>
    <w:p w14:paraId="53571033" w14:textId="77777777" w:rsidR="006C6F1F" w:rsidRDefault="00FB3920">
      <w:pPr>
        <w:tabs>
          <w:tab w:val="left" w:pos="3828"/>
        </w:tabs>
        <w:spacing w:line="360" w:lineRule="auto"/>
        <w:ind w:left="1069"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 “solicito los </w:t>
      </w:r>
      <w:proofErr w:type="spellStart"/>
      <w:r>
        <w:rPr>
          <w:rFonts w:ascii="Palatino Linotype" w:eastAsia="Palatino Linotype" w:hAnsi="Palatino Linotype" w:cs="Palatino Linotype"/>
          <w:i/>
          <w:sz w:val="22"/>
          <w:szCs w:val="22"/>
        </w:rPr>
        <w:t>numeros</w:t>
      </w:r>
      <w:proofErr w:type="spellEnd"/>
      <w:r>
        <w:rPr>
          <w:rFonts w:ascii="Palatino Linotype" w:eastAsia="Palatino Linotype" w:hAnsi="Palatino Linotype" w:cs="Palatino Linotype"/>
          <w:i/>
          <w:sz w:val="22"/>
          <w:szCs w:val="22"/>
        </w:rPr>
        <w:t xml:space="preserve"> de contratos Generados por la </w:t>
      </w:r>
      <w:proofErr w:type="spellStart"/>
      <w:r>
        <w:rPr>
          <w:rFonts w:ascii="Palatino Linotype" w:eastAsia="Palatino Linotype" w:hAnsi="Palatino Linotype" w:cs="Palatino Linotype"/>
          <w:i/>
          <w:sz w:val="22"/>
          <w:szCs w:val="22"/>
        </w:rPr>
        <w:t>Administracion</w:t>
      </w:r>
      <w:proofErr w:type="spellEnd"/>
      <w:r>
        <w:rPr>
          <w:rFonts w:ascii="Palatino Linotype" w:eastAsia="Palatino Linotype" w:hAnsi="Palatino Linotype" w:cs="Palatino Linotype"/>
          <w:i/>
          <w:sz w:val="22"/>
          <w:szCs w:val="22"/>
        </w:rPr>
        <w:t xml:space="preserve"> del año 2023” (Sic) </w:t>
      </w:r>
    </w:p>
    <w:p w14:paraId="4E1557F5" w14:textId="77777777" w:rsidR="006C6F1F" w:rsidRDefault="006C6F1F">
      <w:pPr>
        <w:spacing w:line="360" w:lineRule="auto"/>
        <w:ind w:right="567"/>
        <w:jc w:val="both"/>
        <w:rPr>
          <w:rFonts w:ascii="Palatino Linotype" w:eastAsia="Palatino Linotype" w:hAnsi="Palatino Linotype" w:cs="Palatino Linotype"/>
          <w:i/>
          <w:sz w:val="22"/>
          <w:szCs w:val="22"/>
        </w:rPr>
      </w:pPr>
    </w:p>
    <w:p w14:paraId="23DC2D45" w14:textId="77777777" w:rsidR="006C6F1F" w:rsidRDefault="00FB392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00730/TLALNEPA/IP/2024:</w:t>
      </w:r>
    </w:p>
    <w:p w14:paraId="50C16CAF" w14:textId="77777777" w:rsidR="006C6F1F" w:rsidRDefault="00FB3920">
      <w:pPr>
        <w:tabs>
          <w:tab w:val="left" w:pos="3828"/>
        </w:tabs>
        <w:spacing w:line="360" w:lineRule="auto"/>
        <w:ind w:left="1069"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“solicito los </w:t>
      </w:r>
      <w:proofErr w:type="spellStart"/>
      <w:r>
        <w:rPr>
          <w:rFonts w:ascii="Palatino Linotype" w:eastAsia="Palatino Linotype" w:hAnsi="Palatino Linotype" w:cs="Palatino Linotype"/>
          <w:i/>
          <w:sz w:val="22"/>
          <w:szCs w:val="22"/>
        </w:rPr>
        <w:t>numeros</w:t>
      </w:r>
      <w:proofErr w:type="spellEnd"/>
      <w:r>
        <w:rPr>
          <w:rFonts w:ascii="Palatino Linotype" w:eastAsia="Palatino Linotype" w:hAnsi="Palatino Linotype" w:cs="Palatino Linotype"/>
          <w:i/>
          <w:sz w:val="22"/>
          <w:szCs w:val="22"/>
        </w:rPr>
        <w:t xml:space="preserve"> de contratos Generados por la </w:t>
      </w:r>
      <w:proofErr w:type="spellStart"/>
      <w:r>
        <w:rPr>
          <w:rFonts w:ascii="Palatino Linotype" w:eastAsia="Palatino Linotype" w:hAnsi="Palatino Linotype" w:cs="Palatino Linotype"/>
          <w:i/>
          <w:sz w:val="22"/>
          <w:szCs w:val="22"/>
        </w:rPr>
        <w:t>Administracion</w:t>
      </w:r>
      <w:proofErr w:type="spellEnd"/>
      <w:r>
        <w:rPr>
          <w:rFonts w:ascii="Palatino Linotype" w:eastAsia="Palatino Linotype" w:hAnsi="Palatino Linotype" w:cs="Palatino Linotype"/>
          <w:i/>
          <w:sz w:val="22"/>
          <w:szCs w:val="22"/>
        </w:rPr>
        <w:t xml:space="preserve"> del año 2024” (Sic) </w:t>
      </w:r>
    </w:p>
    <w:p w14:paraId="27734D64" w14:textId="77777777" w:rsidR="006C6F1F" w:rsidRDefault="006C6F1F">
      <w:pPr>
        <w:spacing w:line="360" w:lineRule="auto"/>
        <w:ind w:right="567"/>
        <w:jc w:val="both"/>
        <w:rPr>
          <w:rFonts w:ascii="Palatino Linotype" w:eastAsia="Palatino Linotype" w:hAnsi="Palatino Linotype" w:cs="Palatino Linotype"/>
          <w:i/>
          <w:sz w:val="22"/>
          <w:szCs w:val="22"/>
        </w:rPr>
      </w:pPr>
    </w:p>
    <w:p w14:paraId="0D6CCAAD" w14:textId="77777777" w:rsidR="006C6F1F" w:rsidRDefault="00FB3920">
      <w:pPr>
        <w:numPr>
          <w:ilvl w:val="0"/>
          <w:numId w:val="1"/>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eligió como modalidad de entrega a través de la plataforma digital Sistema de Acceso a la Información Mexiquense (SAIMEX).</w:t>
      </w:r>
    </w:p>
    <w:p w14:paraId="21A7FE0E" w14:textId="77777777" w:rsidR="006C6F1F" w:rsidRDefault="006C6F1F">
      <w:pPr>
        <w:spacing w:line="360" w:lineRule="auto"/>
        <w:jc w:val="both"/>
        <w:rPr>
          <w:rFonts w:ascii="Palatino Linotype" w:eastAsia="Palatino Linotype" w:hAnsi="Palatino Linotype" w:cs="Palatino Linotype"/>
          <w:sz w:val="22"/>
          <w:szCs w:val="22"/>
        </w:rPr>
      </w:pPr>
    </w:p>
    <w:p w14:paraId="44CA2332" w14:textId="77777777" w:rsidR="006C6F1F" w:rsidRDefault="00FB3920">
      <w:pPr>
        <w:numPr>
          <w:ilvl w:val="0"/>
          <w:numId w:val="1"/>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diecinueve (19) de julio de dos mil veinticuatro, se realizó un requerimiento de información al servidor público habilitado.</w:t>
      </w:r>
    </w:p>
    <w:p w14:paraId="19B51347" w14:textId="77777777" w:rsidR="006C6F1F" w:rsidRDefault="006C6F1F">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52B143AA" w14:textId="77777777" w:rsidR="006C6F1F" w:rsidRDefault="00FB3920">
      <w:pPr>
        <w:numPr>
          <w:ilvl w:val="0"/>
          <w:numId w:val="1"/>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diecinueve (19) de julio de dos mil veinticuatro, el Sujeto Obligado emitió una prórroga (la cual no cumple con lo establecido en la Ley de Transparencia y Acceso a la Información Pública del Estado de México y Municipios), en el mismo sentido para cada una de las solicitudes de información:</w:t>
      </w:r>
    </w:p>
    <w:p w14:paraId="757DA56D" w14:textId="77777777" w:rsidR="006C6F1F" w:rsidRDefault="006C6F1F">
      <w:pPr>
        <w:pBdr>
          <w:top w:val="nil"/>
          <w:left w:val="nil"/>
          <w:bottom w:val="nil"/>
          <w:right w:val="nil"/>
          <w:between w:val="nil"/>
        </w:pBdr>
        <w:ind w:left="720"/>
        <w:rPr>
          <w:rFonts w:ascii="Palatino Linotype" w:eastAsia="Palatino Linotype" w:hAnsi="Palatino Linotype" w:cs="Palatino Linotype"/>
          <w:color w:val="000000"/>
          <w:sz w:val="22"/>
          <w:szCs w:val="22"/>
        </w:rPr>
      </w:pPr>
    </w:p>
    <w:tbl>
      <w:tblPr>
        <w:tblStyle w:val="a"/>
        <w:tblW w:w="7706" w:type="dxa"/>
        <w:jc w:val="center"/>
        <w:tblInd w:w="0" w:type="dxa"/>
        <w:tblLayout w:type="fixed"/>
        <w:tblLook w:val="0400" w:firstRow="0" w:lastRow="0" w:firstColumn="0" w:lastColumn="0" w:noHBand="0" w:noVBand="1"/>
      </w:tblPr>
      <w:tblGrid>
        <w:gridCol w:w="7706"/>
      </w:tblGrid>
      <w:tr w:rsidR="006C6F1F" w14:paraId="689EE99F" w14:textId="77777777">
        <w:trPr>
          <w:trHeight w:val="491"/>
          <w:jc w:val="center"/>
        </w:trPr>
        <w:tc>
          <w:tcPr>
            <w:tcW w:w="7706" w:type="dxa"/>
            <w:vAlign w:val="center"/>
          </w:tcPr>
          <w:p w14:paraId="70402A2D" w14:textId="77777777" w:rsidR="006C6F1F" w:rsidRDefault="006C6F1F">
            <w:pPr>
              <w:jc w:val="right"/>
              <w:rPr>
                <w:rFonts w:ascii="Palatino Linotype" w:eastAsia="Palatino Linotype" w:hAnsi="Palatino Linotype" w:cs="Palatino Linotype"/>
                <w:i/>
                <w:sz w:val="22"/>
                <w:szCs w:val="22"/>
              </w:rPr>
            </w:pPr>
          </w:p>
        </w:tc>
      </w:tr>
      <w:tr w:rsidR="006C6F1F" w14:paraId="381F61E9" w14:textId="77777777">
        <w:trPr>
          <w:trHeight w:val="163"/>
          <w:jc w:val="center"/>
        </w:trPr>
        <w:tc>
          <w:tcPr>
            <w:tcW w:w="7706" w:type="dxa"/>
            <w:vAlign w:val="center"/>
          </w:tcPr>
          <w:p w14:paraId="33755A8B" w14:textId="77777777" w:rsidR="006C6F1F" w:rsidRDefault="00FB3920">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6C6F1F" w14:paraId="2A875E1A" w14:textId="77777777">
        <w:trPr>
          <w:trHeight w:val="409"/>
          <w:jc w:val="center"/>
        </w:trPr>
        <w:tc>
          <w:tcPr>
            <w:tcW w:w="7706" w:type="dxa"/>
            <w:vAlign w:val="center"/>
          </w:tcPr>
          <w:p w14:paraId="26FBF233" w14:textId="77777777" w:rsidR="006C6F1F" w:rsidRDefault="006C6F1F">
            <w:pPr>
              <w:rPr>
                <w:rFonts w:ascii="Palatino Linotype" w:eastAsia="Palatino Linotype" w:hAnsi="Palatino Linotype" w:cs="Palatino Linotype"/>
                <w:i/>
                <w:sz w:val="22"/>
                <w:szCs w:val="22"/>
              </w:rPr>
            </w:pPr>
          </w:p>
        </w:tc>
      </w:tr>
      <w:tr w:rsidR="006C6F1F" w14:paraId="62A639A8" w14:textId="77777777">
        <w:trPr>
          <w:trHeight w:val="163"/>
          <w:jc w:val="center"/>
        </w:trPr>
        <w:tc>
          <w:tcPr>
            <w:tcW w:w="7706" w:type="dxa"/>
            <w:vAlign w:val="center"/>
          </w:tcPr>
          <w:p w14:paraId="2631E18A" w14:textId="77777777" w:rsidR="006C6F1F" w:rsidRDefault="00FB3920">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SOLICITO AMPLIACION</w:t>
            </w:r>
          </w:p>
        </w:tc>
      </w:tr>
      <w:tr w:rsidR="006C6F1F" w14:paraId="528B13E3" w14:textId="77777777">
        <w:trPr>
          <w:trHeight w:val="409"/>
          <w:jc w:val="center"/>
        </w:trPr>
        <w:tc>
          <w:tcPr>
            <w:tcW w:w="7706" w:type="dxa"/>
            <w:vAlign w:val="center"/>
          </w:tcPr>
          <w:p w14:paraId="1DFEC9A9" w14:textId="77777777" w:rsidR="006C6F1F" w:rsidRDefault="006C6F1F">
            <w:pPr>
              <w:rPr>
                <w:rFonts w:ascii="Palatino Linotype" w:eastAsia="Palatino Linotype" w:hAnsi="Palatino Linotype" w:cs="Palatino Linotype"/>
                <w:i/>
                <w:sz w:val="22"/>
                <w:szCs w:val="22"/>
              </w:rPr>
            </w:pPr>
          </w:p>
        </w:tc>
      </w:tr>
      <w:tr w:rsidR="006C6F1F" w14:paraId="1A93C444" w14:textId="77777777">
        <w:trPr>
          <w:trHeight w:val="163"/>
          <w:jc w:val="center"/>
        </w:trPr>
        <w:tc>
          <w:tcPr>
            <w:tcW w:w="7706" w:type="dxa"/>
            <w:vAlign w:val="center"/>
          </w:tcPr>
          <w:p w14:paraId="3C86CDD9" w14:textId="77777777" w:rsidR="006C6F1F" w:rsidRDefault="006C6F1F">
            <w:pPr>
              <w:jc w:val="center"/>
              <w:rPr>
                <w:rFonts w:ascii="Palatino Linotype" w:eastAsia="Palatino Linotype" w:hAnsi="Palatino Linotype" w:cs="Palatino Linotype"/>
                <w:i/>
                <w:sz w:val="22"/>
                <w:szCs w:val="22"/>
              </w:rPr>
            </w:pPr>
          </w:p>
        </w:tc>
      </w:tr>
      <w:tr w:rsidR="006C6F1F" w14:paraId="0E39BD3E" w14:textId="77777777">
        <w:trPr>
          <w:trHeight w:val="163"/>
          <w:jc w:val="center"/>
        </w:trPr>
        <w:tc>
          <w:tcPr>
            <w:tcW w:w="7706" w:type="dxa"/>
            <w:vAlign w:val="center"/>
          </w:tcPr>
          <w:p w14:paraId="31DD34A7" w14:textId="77777777" w:rsidR="006C6F1F" w:rsidRDefault="00FB3920">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D.A.P. SALVADOR ALEJANDRO SALDÍVAR VÉLEZ</w:t>
            </w:r>
          </w:p>
        </w:tc>
      </w:tr>
      <w:tr w:rsidR="006C6F1F" w14:paraId="0593B18E" w14:textId="77777777">
        <w:trPr>
          <w:trHeight w:val="163"/>
          <w:jc w:val="center"/>
        </w:trPr>
        <w:tc>
          <w:tcPr>
            <w:tcW w:w="7706" w:type="dxa"/>
            <w:vAlign w:val="center"/>
          </w:tcPr>
          <w:p w14:paraId="581DAD71" w14:textId="77777777" w:rsidR="006C6F1F" w:rsidRDefault="00FB3920">
            <w:pPr>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Responsable de la Unidad de Transparencia</w:t>
            </w:r>
          </w:p>
        </w:tc>
      </w:tr>
    </w:tbl>
    <w:p w14:paraId="0E0F3E79" w14:textId="77777777" w:rsidR="006C6F1F" w:rsidRDefault="006C6F1F">
      <w:pPr>
        <w:spacing w:line="360" w:lineRule="auto"/>
        <w:jc w:val="both"/>
        <w:rPr>
          <w:rFonts w:ascii="Palatino Linotype" w:eastAsia="Palatino Linotype" w:hAnsi="Palatino Linotype" w:cs="Palatino Linotype"/>
          <w:sz w:val="22"/>
          <w:szCs w:val="22"/>
        </w:rPr>
      </w:pPr>
    </w:p>
    <w:p w14:paraId="79DC7009" w14:textId="77777777" w:rsidR="006C6F1F" w:rsidRDefault="006C6F1F">
      <w:pPr>
        <w:rPr>
          <w:rFonts w:ascii="Palatino Linotype" w:eastAsia="Palatino Linotype" w:hAnsi="Palatino Linotype" w:cs="Palatino Linotype"/>
          <w:sz w:val="22"/>
          <w:szCs w:val="22"/>
        </w:rPr>
      </w:pPr>
    </w:p>
    <w:p w14:paraId="18C2FF6F" w14:textId="77777777" w:rsidR="006C6F1F" w:rsidRDefault="00FB3920">
      <w:pPr>
        <w:numPr>
          <w:ilvl w:val="0"/>
          <w:numId w:val="1"/>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quince (15) de agosto de dos mil veinticuatro,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sz w:val="22"/>
          <w:szCs w:val="22"/>
        </w:rPr>
        <w:t>dio respuesta a la solicitud de información en los siguientes términos:</w:t>
      </w:r>
    </w:p>
    <w:p w14:paraId="0BCE0A09" w14:textId="77777777" w:rsidR="006C6F1F" w:rsidRDefault="006C6F1F">
      <w:pPr>
        <w:spacing w:line="360" w:lineRule="auto"/>
        <w:jc w:val="both"/>
        <w:rPr>
          <w:rFonts w:ascii="Palatino Linotype" w:eastAsia="Palatino Linotype" w:hAnsi="Palatino Linotype" w:cs="Palatino Linotype"/>
          <w:sz w:val="22"/>
          <w:szCs w:val="22"/>
        </w:rPr>
      </w:pPr>
    </w:p>
    <w:p w14:paraId="7A63C465" w14:textId="77777777" w:rsidR="006C6F1F" w:rsidRDefault="00FB3920">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00732/TLALNEPA/IP/2024 – 04943/INFOEM/IP/RR/2024:</w:t>
      </w:r>
    </w:p>
    <w:p w14:paraId="607261AF" w14:textId="77777777" w:rsidR="006C6F1F" w:rsidRDefault="006C6F1F">
      <w:pPr>
        <w:spacing w:line="360" w:lineRule="auto"/>
        <w:jc w:val="both"/>
        <w:rPr>
          <w:rFonts w:ascii="Palatino Linotype" w:eastAsia="Palatino Linotype" w:hAnsi="Palatino Linotype" w:cs="Palatino Linotype"/>
          <w:b/>
          <w:sz w:val="22"/>
          <w:szCs w:val="22"/>
        </w:rPr>
      </w:pPr>
    </w:p>
    <w:tbl>
      <w:tblPr>
        <w:tblStyle w:val="a0"/>
        <w:tblW w:w="7649" w:type="dxa"/>
        <w:jc w:val="center"/>
        <w:tblInd w:w="0" w:type="dxa"/>
        <w:tblLayout w:type="fixed"/>
        <w:tblLook w:val="0400" w:firstRow="0" w:lastRow="0" w:firstColumn="0" w:lastColumn="0" w:noHBand="0" w:noVBand="1"/>
      </w:tblPr>
      <w:tblGrid>
        <w:gridCol w:w="7649"/>
      </w:tblGrid>
      <w:tr w:rsidR="006C6F1F" w14:paraId="4F3B47CD" w14:textId="77777777">
        <w:trPr>
          <w:trHeight w:val="332"/>
          <w:jc w:val="center"/>
        </w:trPr>
        <w:tc>
          <w:tcPr>
            <w:tcW w:w="7649" w:type="dxa"/>
            <w:vAlign w:val="center"/>
          </w:tcPr>
          <w:p w14:paraId="1F1A4E51" w14:textId="77777777" w:rsidR="006C6F1F" w:rsidRDefault="00FB3920">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Tlalnepantla de Baz, México a 15 de </w:t>
            </w:r>
            <w:proofErr w:type="gramStart"/>
            <w:r>
              <w:rPr>
                <w:rFonts w:ascii="Palatino Linotype" w:eastAsia="Palatino Linotype" w:hAnsi="Palatino Linotype" w:cs="Palatino Linotype"/>
                <w:i/>
                <w:sz w:val="22"/>
                <w:szCs w:val="22"/>
              </w:rPr>
              <w:t>Agosto</w:t>
            </w:r>
            <w:proofErr w:type="gramEnd"/>
            <w:r>
              <w:rPr>
                <w:rFonts w:ascii="Palatino Linotype" w:eastAsia="Palatino Linotype" w:hAnsi="Palatino Linotype" w:cs="Palatino Linotype"/>
                <w:i/>
                <w:sz w:val="22"/>
                <w:szCs w:val="22"/>
              </w:rPr>
              <w:t xml:space="preserve"> de 2024</w:t>
            </w:r>
          </w:p>
        </w:tc>
      </w:tr>
      <w:tr w:rsidR="006C6F1F" w14:paraId="6388D7FE" w14:textId="77777777">
        <w:trPr>
          <w:trHeight w:val="332"/>
          <w:jc w:val="center"/>
        </w:trPr>
        <w:tc>
          <w:tcPr>
            <w:tcW w:w="7649" w:type="dxa"/>
            <w:vAlign w:val="center"/>
          </w:tcPr>
          <w:p w14:paraId="303E5D2A" w14:textId="77777777" w:rsidR="006C6F1F" w:rsidRDefault="00FB3920">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6C6F1F" w14:paraId="22A2EDC2" w14:textId="77777777">
        <w:trPr>
          <w:trHeight w:val="332"/>
          <w:jc w:val="center"/>
        </w:trPr>
        <w:tc>
          <w:tcPr>
            <w:tcW w:w="7649" w:type="dxa"/>
            <w:vAlign w:val="center"/>
          </w:tcPr>
          <w:p w14:paraId="13D30CE8" w14:textId="77777777" w:rsidR="006C6F1F" w:rsidRDefault="00FB3920">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00732/TLALNEPA/IP/2024</w:t>
            </w:r>
          </w:p>
        </w:tc>
      </w:tr>
      <w:tr w:rsidR="006C6F1F" w14:paraId="7F329240" w14:textId="77777777">
        <w:trPr>
          <w:trHeight w:val="499"/>
          <w:jc w:val="center"/>
        </w:trPr>
        <w:tc>
          <w:tcPr>
            <w:tcW w:w="7649" w:type="dxa"/>
            <w:vAlign w:val="center"/>
          </w:tcPr>
          <w:p w14:paraId="5F87FE45" w14:textId="77777777" w:rsidR="006C6F1F" w:rsidRDefault="006C6F1F">
            <w:pPr>
              <w:jc w:val="right"/>
              <w:rPr>
                <w:rFonts w:ascii="Palatino Linotype" w:eastAsia="Palatino Linotype" w:hAnsi="Palatino Linotype" w:cs="Palatino Linotype"/>
                <w:i/>
                <w:sz w:val="22"/>
                <w:szCs w:val="22"/>
              </w:rPr>
            </w:pPr>
          </w:p>
        </w:tc>
      </w:tr>
      <w:tr w:rsidR="006C6F1F" w14:paraId="6FBA2B32" w14:textId="77777777">
        <w:trPr>
          <w:trHeight w:val="166"/>
          <w:jc w:val="center"/>
        </w:trPr>
        <w:tc>
          <w:tcPr>
            <w:tcW w:w="7649" w:type="dxa"/>
            <w:vAlign w:val="center"/>
          </w:tcPr>
          <w:p w14:paraId="5221A4C0" w14:textId="77777777" w:rsidR="006C6F1F" w:rsidRDefault="00FB3920">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6C6F1F" w14:paraId="38F835D4" w14:textId="77777777">
        <w:trPr>
          <w:trHeight w:val="416"/>
          <w:jc w:val="center"/>
        </w:trPr>
        <w:tc>
          <w:tcPr>
            <w:tcW w:w="7649" w:type="dxa"/>
            <w:vAlign w:val="center"/>
          </w:tcPr>
          <w:p w14:paraId="54180803" w14:textId="77777777" w:rsidR="006C6F1F" w:rsidRDefault="006C6F1F">
            <w:pPr>
              <w:jc w:val="both"/>
              <w:rPr>
                <w:rFonts w:ascii="Palatino Linotype" w:eastAsia="Palatino Linotype" w:hAnsi="Palatino Linotype" w:cs="Palatino Linotype"/>
                <w:i/>
                <w:sz w:val="22"/>
                <w:szCs w:val="22"/>
              </w:rPr>
            </w:pPr>
          </w:p>
        </w:tc>
      </w:tr>
      <w:tr w:rsidR="006C6F1F" w14:paraId="1EA8C86E" w14:textId="77777777">
        <w:trPr>
          <w:trHeight w:val="166"/>
          <w:jc w:val="center"/>
        </w:trPr>
        <w:tc>
          <w:tcPr>
            <w:tcW w:w="7649" w:type="dxa"/>
            <w:vAlign w:val="center"/>
          </w:tcPr>
          <w:p w14:paraId="2535DE95" w14:textId="77777777" w:rsidR="006C6F1F" w:rsidRDefault="00FB3920">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ENVIO ARCHIVO ELETRONICO CON RESPUESTA A LA SOLICITUD DE INFORMACION</w:t>
            </w:r>
          </w:p>
        </w:tc>
      </w:tr>
      <w:tr w:rsidR="006C6F1F" w14:paraId="348D5F6E" w14:textId="77777777">
        <w:trPr>
          <w:trHeight w:val="416"/>
          <w:jc w:val="center"/>
        </w:trPr>
        <w:tc>
          <w:tcPr>
            <w:tcW w:w="7649" w:type="dxa"/>
            <w:vAlign w:val="center"/>
          </w:tcPr>
          <w:p w14:paraId="4C1DF6AE" w14:textId="77777777" w:rsidR="006C6F1F" w:rsidRDefault="006C6F1F">
            <w:pPr>
              <w:rPr>
                <w:rFonts w:ascii="Palatino Linotype" w:eastAsia="Palatino Linotype" w:hAnsi="Palatino Linotype" w:cs="Palatino Linotype"/>
                <w:i/>
                <w:sz w:val="22"/>
                <w:szCs w:val="22"/>
              </w:rPr>
            </w:pPr>
          </w:p>
        </w:tc>
      </w:tr>
      <w:tr w:rsidR="006C6F1F" w14:paraId="53B09557" w14:textId="77777777">
        <w:trPr>
          <w:trHeight w:val="166"/>
          <w:jc w:val="center"/>
        </w:trPr>
        <w:tc>
          <w:tcPr>
            <w:tcW w:w="7649" w:type="dxa"/>
            <w:vAlign w:val="center"/>
          </w:tcPr>
          <w:p w14:paraId="2E92E038" w14:textId="77777777" w:rsidR="006C6F1F" w:rsidRDefault="006C6F1F">
            <w:pPr>
              <w:jc w:val="center"/>
              <w:rPr>
                <w:rFonts w:ascii="Palatino Linotype" w:eastAsia="Palatino Linotype" w:hAnsi="Palatino Linotype" w:cs="Palatino Linotype"/>
                <w:i/>
                <w:sz w:val="22"/>
                <w:szCs w:val="22"/>
              </w:rPr>
            </w:pPr>
          </w:p>
        </w:tc>
      </w:tr>
      <w:tr w:rsidR="006C6F1F" w14:paraId="0BE5A3AE" w14:textId="77777777">
        <w:trPr>
          <w:trHeight w:val="166"/>
          <w:jc w:val="center"/>
        </w:trPr>
        <w:tc>
          <w:tcPr>
            <w:tcW w:w="7649" w:type="dxa"/>
            <w:vAlign w:val="center"/>
          </w:tcPr>
          <w:p w14:paraId="385E1202" w14:textId="77777777" w:rsidR="006C6F1F" w:rsidRDefault="006C6F1F">
            <w:pPr>
              <w:rPr>
                <w:rFonts w:ascii="Palatino Linotype" w:eastAsia="Palatino Linotype" w:hAnsi="Palatino Linotype" w:cs="Palatino Linotype"/>
                <w:i/>
                <w:sz w:val="22"/>
                <w:szCs w:val="22"/>
              </w:rPr>
            </w:pPr>
          </w:p>
        </w:tc>
      </w:tr>
      <w:tr w:rsidR="006C6F1F" w14:paraId="3A671687" w14:textId="77777777">
        <w:trPr>
          <w:trHeight w:val="166"/>
          <w:jc w:val="center"/>
        </w:trPr>
        <w:tc>
          <w:tcPr>
            <w:tcW w:w="7649" w:type="dxa"/>
            <w:vAlign w:val="center"/>
          </w:tcPr>
          <w:p w14:paraId="03C51298" w14:textId="77777777" w:rsidR="006C6F1F" w:rsidRDefault="00FB3920">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6C6F1F" w14:paraId="3F73189C" w14:textId="77777777">
        <w:trPr>
          <w:trHeight w:val="249"/>
          <w:jc w:val="center"/>
        </w:trPr>
        <w:tc>
          <w:tcPr>
            <w:tcW w:w="7649" w:type="dxa"/>
            <w:vAlign w:val="center"/>
          </w:tcPr>
          <w:p w14:paraId="1FD8138F" w14:textId="77777777" w:rsidR="006C6F1F" w:rsidRDefault="006C6F1F">
            <w:pPr>
              <w:rPr>
                <w:rFonts w:ascii="Palatino Linotype" w:eastAsia="Palatino Linotype" w:hAnsi="Palatino Linotype" w:cs="Palatino Linotype"/>
                <w:i/>
                <w:sz w:val="22"/>
                <w:szCs w:val="22"/>
              </w:rPr>
            </w:pPr>
          </w:p>
        </w:tc>
      </w:tr>
      <w:tr w:rsidR="006C6F1F" w14:paraId="0A1AFBD8" w14:textId="77777777">
        <w:trPr>
          <w:trHeight w:val="166"/>
          <w:jc w:val="center"/>
        </w:trPr>
        <w:tc>
          <w:tcPr>
            <w:tcW w:w="7649" w:type="dxa"/>
            <w:vAlign w:val="center"/>
          </w:tcPr>
          <w:p w14:paraId="3D83F356" w14:textId="77777777" w:rsidR="006C6F1F" w:rsidRDefault="00FB3920">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D.A.P. SALVADOR ALEJANDRO SALDÍVAR VÉLEZ</w:t>
            </w:r>
          </w:p>
        </w:tc>
      </w:tr>
    </w:tbl>
    <w:p w14:paraId="483C3987" w14:textId="77777777" w:rsidR="006C6F1F" w:rsidRDefault="006C6F1F">
      <w:pPr>
        <w:spacing w:line="360" w:lineRule="auto"/>
        <w:ind w:right="567"/>
        <w:jc w:val="both"/>
        <w:rPr>
          <w:rFonts w:ascii="Palatino Linotype" w:eastAsia="Palatino Linotype" w:hAnsi="Palatino Linotype" w:cs="Palatino Linotype"/>
          <w:i/>
          <w:sz w:val="22"/>
          <w:szCs w:val="22"/>
        </w:rPr>
      </w:pPr>
    </w:p>
    <w:p w14:paraId="4977C264" w14:textId="77777777" w:rsidR="006C6F1F" w:rsidRDefault="00FB3920">
      <w:pPr>
        <w:spacing w:line="360" w:lineRule="auto"/>
        <w:ind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 la respuesta se adjuntó el archivo denominado  </w:t>
      </w:r>
      <w:hyperlink r:id="rId8">
        <w:r>
          <w:rPr>
            <w:rFonts w:ascii="Palatino Linotype" w:eastAsia="Palatino Linotype" w:hAnsi="Palatino Linotype" w:cs="Palatino Linotype"/>
            <w:b/>
            <w:color w:val="000000"/>
            <w:sz w:val="22"/>
            <w:szCs w:val="22"/>
            <w:u w:val="single"/>
          </w:rPr>
          <w:t>RESPUESTA SAIMEX 00732.zip</w:t>
        </w:r>
      </w:hyperlink>
      <w:r>
        <w:rPr>
          <w:rFonts w:ascii="Palatino Linotype" w:eastAsia="Palatino Linotype" w:hAnsi="Palatino Linotype" w:cs="Palatino Linotype"/>
          <w:sz w:val="22"/>
          <w:szCs w:val="22"/>
        </w:rPr>
        <w:t>, en el que se advierten los documentos que se describen enseguida:</w:t>
      </w:r>
    </w:p>
    <w:p w14:paraId="126941B6" w14:textId="77777777" w:rsidR="006C6F1F" w:rsidRDefault="006C6F1F">
      <w:pPr>
        <w:spacing w:line="360" w:lineRule="auto"/>
        <w:ind w:right="567"/>
        <w:jc w:val="both"/>
        <w:rPr>
          <w:rFonts w:ascii="Palatino Linotype" w:eastAsia="Palatino Linotype" w:hAnsi="Palatino Linotype" w:cs="Palatino Linotype"/>
          <w:sz w:val="22"/>
          <w:szCs w:val="22"/>
        </w:rPr>
      </w:pPr>
    </w:p>
    <w:p w14:paraId="6B0A8C40" w14:textId="77777777" w:rsidR="006C6F1F" w:rsidRDefault="00FB3920">
      <w:pPr>
        <w:numPr>
          <w:ilvl w:val="0"/>
          <w:numId w:val="3"/>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RESP_ADMINISTRACION_3239.pdf:</w:t>
      </w:r>
      <w:r>
        <w:rPr>
          <w:rFonts w:ascii="Palatino Linotype" w:eastAsia="Palatino Linotype" w:hAnsi="Palatino Linotype" w:cs="Palatino Linotype"/>
          <w:color w:val="000000"/>
          <w:sz w:val="22"/>
          <w:szCs w:val="22"/>
        </w:rPr>
        <w:t xml:space="preserve"> oficio número DA/3239/2024 de fecha trece de agosto de dos mil veinticuatro, suscrito por el Director de </w:t>
      </w:r>
      <w:r>
        <w:rPr>
          <w:rFonts w:ascii="Palatino Linotype" w:eastAsia="Palatino Linotype" w:hAnsi="Palatino Linotype" w:cs="Palatino Linotype"/>
          <w:color w:val="000000"/>
          <w:sz w:val="22"/>
          <w:szCs w:val="22"/>
        </w:rPr>
        <w:lastRenderedPageBreak/>
        <w:t xml:space="preserve">Administración en el que señaló que la solicitud se turnó a la Subdirectora de Recursos Materiales y refirió </w:t>
      </w:r>
      <w:proofErr w:type="gramStart"/>
      <w:r>
        <w:rPr>
          <w:rFonts w:ascii="Palatino Linotype" w:eastAsia="Palatino Linotype" w:hAnsi="Palatino Linotype" w:cs="Palatino Linotype"/>
          <w:color w:val="000000"/>
          <w:sz w:val="22"/>
          <w:szCs w:val="22"/>
        </w:rPr>
        <w:t>los número</w:t>
      </w:r>
      <w:proofErr w:type="gramEnd"/>
      <w:r>
        <w:rPr>
          <w:rFonts w:ascii="Palatino Linotype" w:eastAsia="Palatino Linotype" w:hAnsi="Palatino Linotype" w:cs="Palatino Linotype"/>
          <w:color w:val="000000"/>
          <w:sz w:val="22"/>
          <w:szCs w:val="22"/>
        </w:rPr>
        <w:t xml:space="preserve"> de contratos que se elaboraron durante el ejercicio 2023. Oficio DA/SRM/283/2024 de fecha trece de agosto de dos mil veinticuatro, suscrito por la subdirectora de Recursos Materiales en el que señaló los números de contratos por parte del área administrativa del ejercicio 2022. </w:t>
      </w:r>
    </w:p>
    <w:p w14:paraId="0EB368BE" w14:textId="77777777" w:rsidR="006C6F1F" w:rsidRDefault="00FB3920">
      <w:pPr>
        <w:numPr>
          <w:ilvl w:val="0"/>
          <w:numId w:val="3"/>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RESP_OBRAS_PÚBLICAS_01902.pdf:</w:t>
      </w:r>
      <w:r>
        <w:rPr>
          <w:rFonts w:ascii="Palatino Linotype" w:eastAsia="Palatino Linotype" w:hAnsi="Palatino Linotype" w:cs="Palatino Linotype"/>
          <w:color w:val="000000"/>
          <w:sz w:val="22"/>
          <w:szCs w:val="22"/>
        </w:rPr>
        <w:t xml:space="preserve"> oficio TLA/DOP/1882/2024 de fecha cinco de julio de dos mil veinticuatro, suscrito por el Director de Obras Públicas, en el que señaló </w:t>
      </w:r>
      <w:proofErr w:type="gramStart"/>
      <w:r>
        <w:rPr>
          <w:rFonts w:ascii="Palatino Linotype" w:eastAsia="Palatino Linotype" w:hAnsi="Palatino Linotype" w:cs="Palatino Linotype"/>
          <w:color w:val="000000"/>
          <w:sz w:val="22"/>
          <w:szCs w:val="22"/>
        </w:rPr>
        <w:t>que</w:t>
      </w:r>
      <w:proofErr w:type="gramEnd"/>
      <w:r>
        <w:rPr>
          <w:rFonts w:ascii="Palatino Linotype" w:eastAsia="Palatino Linotype" w:hAnsi="Palatino Linotype" w:cs="Palatino Linotype"/>
          <w:color w:val="000000"/>
          <w:sz w:val="22"/>
          <w:szCs w:val="22"/>
        </w:rPr>
        <w:t xml:space="preserve"> de la búsqueda exhaustiva y razonable de la información, se adjuntan los números de contratos generados. </w:t>
      </w:r>
    </w:p>
    <w:p w14:paraId="13C5ED4F" w14:textId="77777777" w:rsidR="006C6F1F" w:rsidRDefault="006C6F1F">
      <w:pPr>
        <w:spacing w:line="360" w:lineRule="auto"/>
        <w:ind w:right="822"/>
        <w:jc w:val="both"/>
        <w:rPr>
          <w:rFonts w:ascii="Palatino Linotype" w:eastAsia="Palatino Linotype" w:hAnsi="Palatino Linotype" w:cs="Palatino Linotype"/>
          <w:sz w:val="22"/>
          <w:szCs w:val="22"/>
        </w:rPr>
      </w:pPr>
    </w:p>
    <w:p w14:paraId="2B2DB097" w14:textId="77777777" w:rsidR="006C6F1F" w:rsidRDefault="00FB3920">
      <w:pPr>
        <w:spacing w:line="360" w:lineRule="auto"/>
        <w:ind w:right="56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00731/TLALNEPA/IP/2024 – 04944/INFOEM/IP/RR/2024:</w:t>
      </w:r>
    </w:p>
    <w:p w14:paraId="12DC4FE0" w14:textId="77777777" w:rsidR="006C6F1F" w:rsidRDefault="006C6F1F">
      <w:pPr>
        <w:spacing w:line="360" w:lineRule="auto"/>
        <w:ind w:right="567"/>
        <w:jc w:val="both"/>
        <w:rPr>
          <w:rFonts w:ascii="Palatino Linotype" w:eastAsia="Palatino Linotype" w:hAnsi="Palatino Linotype" w:cs="Palatino Linotype"/>
          <w:b/>
          <w:sz w:val="22"/>
          <w:szCs w:val="22"/>
        </w:rPr>
      </w:pPr>
    </w:p>
    <w:tbl>
      <w:tblPr>
        <w:tblStyle w:val="a1"/>
        <w:tblW w:w="7781" w:type="dxa"/>
        <w:jc w:val="center"/>
        <w:tblInd w:w="0" w:type="dxa"/>
        <w:tblLayout w:type="fixed"/>
        <w:tblLook w:val="0400" w:firstRow="0" w:lastRow="0" w:firstColumn="0" w:lastColumn="0" w:noHBand="0" w:noVBand="1"/>
      </w:tblPr>
      <w:tblGrid>
        <w:gridCol w:w="7781"/>
      </w:tblGrid>
      <w:tr w:rsidR="006C6F1F" w14:paraId="3DFFA7C6" w14:textId="77777777">
        <w:trPr>
          <w:trHeight w:val="312"/>
          <w:jc w:val="center"/>
        </w:trPr>
        <w:tc>
          <w:tcPr>
            <w:tcW w:w="7781" w:type="dxa"/>
            <w:vAlign w:val="center"/>
          </w:tcPr>
          <w:p w14:paraId="28F0EEA3" w14:textId="77777777" w:rsidR="006C6F1F" w:rsidRDefault="00FB3920">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Tlalnepantla de Baz, México a 15 de </w:t>
            </w:r>
            <w:proofErr w:type="gramStart"/>
            <w:r>
              <w:rPr>
                <w:rFonts w:ascii="Palatino Linotype" w:eastAsia="Palatino Linotype" w:hAnsi="Palatino Linotype" w:cs="Palatino Linotype"/>
                <w:i/>
                <w:sz w:val="22"/>
                <w:szCs w:val="22"/>
              </w:rPr>
              <w:t>Agosto</w:t>
            </w:r>
            <w:proofErr w:type="gramEnd"/>
            <w:r>
              <w:rPr>
                <w:rFonts w:ascii="Palatino Linotype" w:eastAsia="Palatino Linotype" w:hAnsi="Palatino Linotype" w:cs="Palatino Linotype"/>
                <w:i/>
                <w:sz w:val="22"/>
                <w:szCs w:val="22"/>
              </w:rPr>
              <w:t xml:space="preserve"> de 2024</w:t>
            </w:r>
          </w:p>
        </w:tc>
      </w:tr>
      <w:tr w:rsidR="006C6F1F" w14:paraId="4F87D9EB" w14:textId="77777777">
        <w:trPr>
          <w:trHeight w:val="312"/>
          <w:jc w:val="center"/>
        </w:trPr>
        <w:tc>
          <w:tcPr>
            <w:tcW w:w="7781" w:type="dxa"/>
            <w:vAlign w:val="center"/>
          </w:tcPr>
          <w:p w14:paraId="13D4387D" w14:textId="77777777" w:rsidR="006C6F1F" w:rsidRDefault="00FB3920">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6C6F1F" w14:paraId="417F5C55" w14:textId="77777777">
        <w:trPr>
          <w:trHeight w:val="312"/>
          <w:jc w:val="center"/>
        </w:trPr>
        <w:tc>
          <w:tcPr>
            <w:tcW w:w="7781" w:type="dxa"/>
            <w:vAlign w:val="center"/>
          </w:tcPr>
          <w:p w14:paraId="29BFE34A" w14:textId="77777777" w:rsidR="006C6F1F" w:rsidRDefault="00FB3920">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00731/TLALNEPA/IP/2024</w:t>
            </w:r>
          </w:p>
        </w:tc>
      </w:tr>
      <w:tr w:rsidR="006C6F1F" w14:paraId="58A8B2BF" w14:textId="77777777">
        <w:trPr>
          <w:trHeight w:val="469"/>
          <w:jc w:val="center"/>
        </w:trPr>
        <w:tc>
          <w:tcPr>
            <w:tcW w:w="7781" w:type="dxa"/>
            <w:vAlign w:val="center"/>
          </w:tcPr>
          <w:p w14:paraId="4E060989" w14:textId="77777777" w:rsidR="006C6F1F" w:rsidRDefault="006C6F1F">
            <w:pPr>
              <w:jc w:val="right"/>
              <w:rPr>
                <w:rFonts w:ascii="Palatino Linotype" w:eastAsia="Palatino Linotype" w:hAnsi="Palatino Linotype" w:cs="Palatino Linotype"/>
                <w:i/>
                <w:sz w:val="22"/>
                <w:szCs w:val="22"/>
              </w:rPr>
            </w:pPr>
          </w:p>
        </w:tc>
      </w:tr>
      <w:tr w:rsidR="006C6F1F" w14:paraId="18338BA6" w14:textId="77777777">
        <w:trPr>
          <w:trHeight w:val="156"/>
          <w:jc w:val="center"/>
        </w:trPr>
        <w:tc>
          <w:tcPr>
            <w:tcW w:w="7781" w:type="dxa"/>
            <w:vAlign w:val="center"/>
          </w:tcPr>
          <w:p w14:paraId="5ADE2B64" w14:textId="77777777" w:rsidR="006C6F1F" w:rsidRDefault="00FB3920">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6C6F1F" w14:paraId="505561D5" w14:textId="77777777">
        <w:trPr>
          <w:trHeight w:val="391"/>
          <w:jc w:val="center"/>
        </w:trPr>
        <w:tc>
          <w:tcPr>
            <w:tcW w:w="7781" w:type="dxa"/>
            <w:vAlign w:val="center"/>
          </w:tcPr>
          <w:p w14:paraId="0C811D80" w14:textId="77777777" w:rsidR="006C6F1F" w:rsidRDefault="006C6F1F">
            <w:pPr>
              <w:rPr>
                <w:rFonts w:ascii="Palatino Linotype" w:eastAsia="Palatino Linotype" w:hAnsi="Palatino Linotype" w:cs="Palatino Linotype"/>
                <w:i/>
                <w:sz w:val="22"/>
                <w:szCs w:val="22"/>
              </w:rPr>
            </w:pPr>
          </w:p>
        </w:tc>
      </w:tr>
      <w:tr w:rsidR="006C6F1F" w14:paraId="1DD7A681" w14:textId="77777777">
        <w:trPr>
          <w:trHeight w:val="156"/>
          <w:jc w:val="center"/>
        </w:trPr>
        <w:tc>
          <w:tcPr>
            <w:tcW w:w="7781" w:type="dxa"/>
            <w:vAlign w:val="center"/>
          </w:tcPr>
          <w:p w14:paraId="76971A44" w14:textId="77777777" w:rsidR="006C6F1F" w:rsidRDefault="00FB3920">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ENVIO ARCHIVO ELETRONICO CON RESPUESTA A LA SOLICITUD</w:t>
            </w:r>
          </w:p>
        </w:tc>
      </w:tr>
      <w:tr w:rsidR="006C6F1F" w14:paraId="37B777A7" w14:textId="77777777">
        <w:trPr>
          <w:trHeight w:val="391"/>
          <w:jc w:val="center"/>
        </w:trPr>
        <w:tc>
          <w:tcPr>
            <w:tcW w:w="7781" w:type="dxa"/>
            <w:vAlign w:val="center"/>
          </w:tcPr>
          <w:p w14:paraId="751B69D1" w14:textId="77777777" w:rsidR="006C6F1F" w:rsidRDefault="006C6F1F">
            <w:pPr>
              <w:rPr>
                <w:rFonts w:ascii="Palatino Linotype" w:eastAsia="Palatino Linotype" w:hAnsi="Palatino Linotype" w:cs="Palatino Linotype"/>
                <w:i/>
                <w:sz w:val="22"/>
                <w:szCs w:val="22"/>
              </w:rPr>
            </w:pPr>
          </w:p>
        </w:tc>
      </w:tr>
      <w:tr w:rsidR="006C6F1F" w14:paraId="126617C3" w14:textId="77777777">
        <w:trPr>
          <w:trHeight w:val="156"/>
          <w:jc w:val="center"/>
        </w:trPr>
        <w:tc>
          <w:tcPr>
            <w:tcW w:w="7781" w:type="dxa"/>
            <w:vAlign w:val="center"/>
          </w:tcPr>
          <w:p w14:paraId="14761DE8" w14:textId="77777777" w:rsidR="006C6F1F" w:rsidRDefault="006C6F1F">
            <w:pPr>
              <w:jc w:val="center"/>
              <w:rPr>
                <w:rFonts w:ascii="Palatino Linotype" w:eastAsia="Palatino Linotype" w:hAnsi="Palatino Linotype" w:cs="Palatino Linotype"/>
                <w:i/>
                <w:sz w:val="22"/>
                <w:szCs w:val="22"/>
              </w:rPr>
            </w:pPr>
          </w:p>
        </w:tc>
      </w:tr>
      <w:tr w:rsidR="006C6F1F" w14:paraId="2FA95BA1" w14:textId="77777777">
        <w:trPr>
          <w:trHeight w:val="156"/>
          <w:jc w:val="center"/>
        </w:trPr>
        <w:tc>
          <w:tcPr>
            <w:tcW w:w="7781" w:type="dxa"/>
            <w:vAlign w:val="center"/>
          </w:tcPr>
          <w:p w14:paraId="71AA5C71" w14:textId="77777777" w:rsidR="006C6F1F" w:rsidRDefault="006C6F1F">
            <w:pPr>
              <w:rPr>
                <w:rFonts w:ascii="Palatino Linotype" w:eastAsia="Palatino Linotype" w:hAnsi="Palatino Linotype" w:cs="Palatino Linotype"/>
                <w:i/>
                <w:sz w:val="22"/>
                <w:szCs w:val="22"/>
              </w:rPr>
            </w:pPr>
          </w:p>
        </w:tc>
      </w:tr>
      <w:tr w:rsidR="006C6F1F" w14:paraId="4C0B415D" w14:textId="77777777">
        <w:trPr>
          <w:trHeight w:val="156"/>
          <w:jc w:val="center"/>
        </w:trPr>
        <w:tc>
          <w:tcPr>
            <w:tcW w:w="7781" w:type="dxa"/>
            <w:vAlign w:val="center"/>
          </w:tcPr>
          <w:p w14:paraId="0F2CFDA4" w14:textId="77777777" w:rsidR="006C6F1F" w:rsidRDefault="00FB3920">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6C6F1F" w14:paraId="6F132A9B" w14:textId="77777777">
        <w:trPr>
          <w:trHeight w:val="234"/>
          <w:jc w:val="center"/>
        </w:trPr>
        <w:tc>
          <w:tcPr>
            <w:tcW w:w="7781" w:type="dxa"/>
            <w:vAlign w:val="center"/>
          </w:tcPr>
          <w:p w14:paraId="66D75CE2" w14:textId="77777777" w:rsidR="006C6F1F" w:rsidRDefault="006C6F1F">
            <w:pPr>
              <w:rPr>
                <w:rFonts w:ascii="Palatino Linotype" w:eastAsia="Palatino Linotype" w:hAnsi="Palatino Linotype" w:cs="Palatino Linotype"/>
                <w:i/>
                <w:sz w:val="22"/>
                <w:szCs w:val="22"/>
              </w:rPr>
            </w:pPr>
          </w:p>
        </w:tc>
      </w:tr>
      <w:tr w:rsidR="006C6F1F" w14:paraId="09AE8272" w14:textId="77777777">
        <w:trPr>
          <w:trHeight w:val="156"/>
          <w:jc w:val="center"/>
        </w:trPr>
        <w:tc>
          <w:tcPr>
            <w:tcW w:w="7781" w:type="dxa"/>
            <w:vAlign w:val="center"/>
          </w:tcPr>
          <w:p w14:paraId="4D567AB6" w14:textId="77777777" w:rsidR="006C6F1F" w:rsidRDefault="00FB3920">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D.A.P. SALVADOR ALEJANDRO SALDÍVAR VÉLEZ</w:t>
            </w:r>
          </w:p>
        </w:tc>
      </w:tr>
    </w:tbl>
    <w:p w14:paraId="06CEF93A" w14:textId="77777777" w:rsidR="006C6F1F" w:rsidRDefault="006C6F1F">
      <w:pPr>
        <w:spacing w:line="360" w:lineRule="auto"/>
        <w:ind w:right="567"/>
        <w:jc w:val="both"/>
        <w:rPr>
          <w:rFonts w:ascii="Palatino Linotype" w:eastAsia="Palatino Linotype" w:hAnsi="Palatino Linotype" w:cs="Palatino Linotype"/>
          <w:b/>
          <w:sz w:val="22"/>
          <w:szCs w:val="22"/>
        </w:rPr>
      </w:pPr>
    </w:p>
    <w:p w14:paraId="4D3BE72F" w14:textId="77777777" w:rsidR="006C6F1F" w:rsidRDefault="00FB3920">
      <w:pPr>
        <w:spacing w:line="360" w:lineRule="auto"/>
        <w:ind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A la respuesta se adjuntó el archivo denominado  </w:t>
      </w:r>
      <w:hyperlink r:id="rId9">
        <w:r>
          <w:rPr>
            <w:rFonts w:ascii="Palatino Linotype" w:eastAsia="Palatino Linotype" w:hAnsi="Palatino Linotype" w:cs="Palatino Linotype"/>
            <w:b/>
            <w:color w:val="000000"/>
            <w:sz w:val="22"/>
            <w:szCs w:val="22"/>
            <w:u w:val="single"/>
          </w:rPr>
          <w:t>RESPUESTA SAIMEX 00731.zip</w:t>
        </w:r>
      </w:hyperlink>
      <w:r>
        <w:rPr>
          <w:rFonts w:ascii="Palatino Linotype" w:eastAsia="Palatino Linotype" w:hAnsi="Palatino Linotype" w:cs="Palatino Linotype"/>
          <w:sz w:val="22"/>
          <w:szCs w:val="22"/>
        </w:rPr>
        <w:t>, en el que se advierten los documentos que se describen enseguida:</w:t>
      </w:r>
    </w:p>
    <w:p w14:paraId="0E20C9FF" w14:textId="77777777" w:rsidR="006C6F1F" w:rsidRDefault="006C6F1F">
      <w:pPr>
        <w:spacing w:line="360" w:lineRule="auto"/>
        <w:ind w:right="567"/>
        <w:jc w:val="both"/>
        <w:rPr>
          <w:rFonts w:ascii="Palatino Linotype" w:eastAsia="Palatino Linotype" w:hAnsi="Palatino Linotype" w:cs="Palatino Linotype"/>
          <w:sz w:val="22"/>
          <w:szCs w:val="22"/>
        </w:rPr>
      </w:pPr>
    </w:p>
    <w:p w14:paraId="1AF1FFE6" w14:textId="77777777" w:rsidR="006C6F1F" w:rsidRDefault="00FB3920">
      <w:pPr>
        <w:numPr>
          <w:ilvl w:val="0"/>
          <w:numId w:val="3"/>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RESP_ADMINISTRACION_3238.pdf:</w:t>
      </w:r>
      <w:r>
        <w:rPr>
          <w:rFonts w:ascii="Palatino Linotype" w:eastAsia="Palatino Linotype" w:hAnsi="Palatino Linotype" w:cs="Palatino Linotype"/>
          <w:color w:val="000000"/>
          <w:sz w:val="22"/>
          <w:szCs w:val="22"/>
        </w:rPr>
        <w:t xml:space="preserve"> oficio número DA/3238/2024 de fecha trece de agosto de dos mil veinticuatro, suscrito por el Director de Administración en el que señaló que la solicitud se turnó a la Subdirectora de Recursos Materiales y refirió </w:t>
      </w:r>
      <w:proofErr w:type="gramStart"/>
      <w:r>
        <w:rPr>
          <w:rFonts w:ascii="Palatino Linotype" w:eastAsia="Palatino Linotype" w:hAnsi="Palatino Linotype" w:cs="Palatino Linotype"/>
          <w:color w:val="000000"/>
          <w:sz w:val="22"/>
          <w:szCs w:val="22"/>
        </w:rPr>
        <w:t>los número</w:t>
      </w:r>
      <w:proofErr w:type="gramEnd"/>
      <w:r>
        <w:rPr>
          <w:rFonts w:ascii="Palatino Linotype" w:eastAsia="Palatino Linotype" w:hAnsi="Palatino Linotype" w:cs="Palatino Linotype"/>
          <w:color w:val="000000"/>
          <w:sz w:val="22"/>
          <w:szCs w:val="22"/>
        </w:rPr>
        <w:t xml:space="preserve"> de contratos que se elaboraron durante el ejercicio 2023. Oficio DA/SRM/284/2024 de fecha trece de agosto de dos mil veinticuatro, suscrito por la Subdirectora de Recursos Materiales, en el que señaló los números de contratos que se celebraron durante el ejercicio 2023.</w:t>
      </w:r>
    </w:p>
    <w:p w14:paraId="50F2E03D" w14:textId="77777777" w:rsidR="006C6F1F" w:rsidRDefault="00FB3920">
      <w:pPr>
        <w:numPr>
          <w:ilvl w:val="0"/>
          <w:numId w:val="3"/>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RESP_OBRAS_PÚBLICAS_01900.pdf:</w:t>
      </w:r>
      <w:r>
        <w:rPr>
          <w:rFonts w:ascii="Palatino Linotype" w:eastAsia="Palatino Linotype" w:hAnsi="Palatino Linotype" w:cs="Palatino Linotype"/>
          <w:color w:val="000000"/>
          <w:sz w:val="22"/>
          <w:szCs w:val="22"/>
        </w:rPr>
        <w:t xml:space="preserve"> oficio TLA/DOP/1883/2024 de fecha cinco de julio de dos mil veinticuatro, suscrito por el Director de Obras Públicas, en el que señaló </w:t>
      </w:r>
      <w:proofErr w:type="gramStart"/>
      <w:r>
        <w:rPr>
          <w:rFonts w:ascii="Palatino Linotype" w:eastAsia="Palatino Linotype" w:hAnsi="Palatino Linotype" w:cs="Palatino Linotype"/>
          <w:color w:val="000000"/>
          <w:sz w:val="22"/>
          <w:szCs w:val="22"/>
        </w:rPr>
        <w:t>que</w:t>
      </w:r>
      <w:proofErr w:type="gramEnd"/>
      <w:r>
        <w:rPr>
          <w:rFonts w:ascii="Palatino Linotype" w:eastAsia="Palatino Linotype" w:hAnsi="Palatino Linotype" w:cs="Palatino Linotype"/>
          <w:color w:val="000000"/>
          <w:sz w:val="22"/>
          <w:szCs w:val="22"/>
        </w:rPr>
        <w:t xml:space="preserve"> de la búsqueda exhaustiva y razonable de la información, se adjuntan los números de contratos generados.</w:t>
      </w:r>
    </w:p>
    <w:p w14:paraId="10915B28" w14:textId="77777777" w:rsidR="006C6F1F" w:rsidRDefault="006C6F1F">
      <w:pPr>
        <w:spacing w:line="360" w:lineRule="auto"/>
        <w:ind w:right="567"/>
        <w:rPr>
          <w:rFonts w:ascii="Palatino Linotype" w:eastAsia="Palatino Linotype" w:hAnsi="Palatino Linotype" w:cs="Palatino Linotype"/>
          <w:sz w:val="22"/>
          <w:szCs w:val="22"/>
        </w:rPr>
      </w:pPr>
    </w:p>
    <w:p w14:paraId="3362BC96" w14:textId="77777777" w:rsidR="006C6F1F" w:rsidRDefault="00FB3920">
      <w:pPr>
        <w:spacing w:line="360" w:lineRule="auto"/>
        <w:ind w:right="56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00730/TLALNEPA/IP/2024 – 04945/INFOEM/IP/RR/2024:</w:t>
      </w:r>
    </w:p>
    <w:p w14:paraId="6DE9A307" w14:textId="77777777" w:rsidR="006C6F1F" w:rsidRDefault="006C6F1F">
      <w:pPr>
        <w:spacing w:line="360" w:lineRule="auto"/>
        <w:ind w:right="567"/>
        <w:jc w:val="both"/>
        <w:rPr>
          <w:rFonts w:ascii="Palatino Linotype" w:eastAsia="Palatino Linotype" w:hAnsi="Palatino Linotype" w:cs="Palatino Linotype"/>
          <w:b/>
          <w:sz w:val="22"/>
          <w:szCs w:val="22"/>
        </w:rPr>
      </w:pPr>
    </w:p>
    <w:tbl>
      <w:tblPr>
        <w:tblStyle w:val="a2"/>
        <w:tblW w:w="7612" w:type="dxa"/>
        <w:jc w:val="center"/>
        <w:tblInd w:w="0" w:type="dxa"/>
        <w:tblLayout w:type="fixed"/>
        <w:tblLook w:val="0400" w:firstRow="0" w:lastRow="0" w:firstColumn="0" w:lastColumn="0" w:noHBand="0" w:noVBand="1"/>
      </w:tblPr>
      <w:tblGrid>
        <w:gridCol w:w="7612"/>
      </w:tblGrid>
      <w:tr w:rsidR="006C6F1F" w14:paraId="67F414D3" w14:textId="77777777">
        <w:trPr>
          <w:trHeight w:val="348"/>
          <w:jc w:val="center"/>
        </w:trPr>
        <w:tc>
          <w:tcPr>
            <w:tcW w:w="7612" w:type="dxa"/>
            <w:vAlign w:val="center"/>
          </w:tcPr>
          <w:p w14:paraId="372029E5" w14:textId="77777777" w:rsidR="006C6F1F" w:rsidRDefault="00FB3920">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Tlalnepantla de Baz, México a 15 de </w:t>
            </w:r>
            <w:proofErr w:type="gramStart"/>
            <w:r>
              <w:rPr>
                <w:rFonts w:ascii="Palatino Linotype" w:eastAsia="Palatino Linotype" w:hAnsi="Palatino Linotype" w:cs="Palatino Linotype"/>
                <w:i/>
                <w:sz w:val="22"/>
                <w:szCs w:val="22"/>
              </w:rPr>
              <w:t>Agosto</w:t>
            </w:r>
            <w:proofErr w:type="gramEnd"/>
            <w:r>
              <w:rPr>
                <w:rFonts w:ascii="Palatino Linotype" w:eastAsia="Palatino Linotype" w:hAnsi="Palatino Linotype" w:cs="Palatino Linotype"/>
                <w:i/>
                <w:sz w:val="22"/>
                <w:szCs w:val="22"/>
              </w:rPr>
              <w:t xml:space="preserve"> de 2024</w:t>
            </w:r>
          </w:p>
        </w:tc>
      </w:tr>
      <w:tr w:rsidR="006C6F1F" w14:paraId="53DD8428" w14:textId="77777777">
        <w:trPr>
          <w:trHeight w:val="348"/>
          <w:jc w:val="center"/>
        </w:trPr>
        <w:tc>
          <w:tcPr>
            <w:tcW w:w="7612" w:type="dxa"/>
            <w:vAlign w:val="center"/>
          </w:tcPr>
          <w:p w14:paraId="19CFCC4E" w14:textId="77777777" w:rsidR="006C6F1F" w:rsidRDefault="00FB3920">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6C6F1F" w14:paraId="1E3E74D9" w14:textId="77777777">
        <w:trPr>
          <w:trHeight w:val="348"/>
          <w:jc w:val="center"/>
        </w:trPr>
        <w:tc>
          <w:tcPr>
            <w:tcW w:w="7612" w:type="dxa"/>
            <w:vAlign w:val="center"/>
          </w:tcPr>
          <w:p w14:paraId="7423D8BB" w14:textId="77777777" w:rsidR="006C6F1F" w:rsidRDefault="00FB3920">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00730/TLALNEPA/IP/2024</w:t>
            </w:r>
          </w:p>
        </w:tc>
      </w:tr>
      <w:tr w:rsidR="006C6F1F" w14:paraId="190A02C9" w14:textId="77777777">
        <w:trPr>
          <w:trHeight w:val="522"/>
          <w:jc w:val="center"/>
        </w:trPr>
        <w:tc>
          <w:tcPr>
            <w:tcW w:w="7612" w:type="dxa"/>
            <w:vAlign w:val="center"/>
          </w:tcPr>
          <w:p w14:paraId="5D15667F" w14:textId="77777777" w:rsidR="006C6F1F" w:rsidRDefault="006C6F1F">
            <w:pPr>
              <w:jc w:val="right"/>
              <w:rPr>
                <w:rFonts w:ascii="Palatino Linotype" w:eastAsia="Palatino Linotype" w:hAnsi="Palatino Linotype" w:cs="Palatino Linotype"/>
                <w:i/>
                <w:sz w:val="22"/>
                <w:szCs w:val="22"/>
              </w:rPr>
            </w:pPr>
          </w:p>
        </w:tc>
      </w:tr>
      <w:tr w:rsidR="006C6F1F" w14:paraId="615D5CB8" w14:textId="77777777">
        <w:trPr>
          <w:trHeight w:val="174"/>
          <w:jc w:val="center"/>
        </w:trPr>
        <w:tc>
          <w:tcPr>
            <w:tcW w:w="7612" w:type="dxa"/>
            <w:vAlign w:val="center"/>
          </w:tcPr>
          <w:p w14:paraId="30199B08" w14:textId="77777777" w:rsidR="006C6F1F" w:rsidRDefault="00FB3920">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6C6F1F" w14:paraId="7CF1F96A" w14:textId="77777777">
        <w:trPr>
          <w:trHeight w:val="435"/>
          <w:jc w:val="center"/>
        </w:trPr>
        <w:tc>
          <w:tcPr>
            <w:tcW w:w="7612" w:type="dxa"/>
            <w:vAlign w:val="center"/>
          </w:tcPr>
          <w:p w14:paraId="55BADE60" w14:textId="77777777" w:rsidR="006C6F1F" w:rsidRDefault="006C6F1F">
            <w:pPr>
              <w:jc w:val="both"/>
              <w:rPr>
                <w:rFonts w:ascii="Palatino Linotype" w:eastAsia="Palatino Linotype" w:hAnsi="Palatino Linotype" w:cs="Palatino Linotype"/>
                <w:i/>
                <w:sz w:val="22"/>
                <w:szCs w:val="22"/>
              </w:rPr>
            </w:pPr>
          </w:p>
        </w:tc>
      </w:tr>
      <w:tr w:rsidR="006C6F1F" w14:paraId="4300FE81" w14:textId="77777777">
        <w:trPr>
          <w:trHeight w:val="174"/>
          <w:jc w:val="center"/>
        </w:trPr>
        <w:tc>
          <w:tcPr>
            <w:tcW w:w="7612" w:type="dxa"/>
            <w:vAlign w:val="center"/>
          </w:tcPr>
          <w:p w14:paraId="69FA50F7" w14:textId="77777777" w:rsidR="006C6F1F" w:rsidRDefault="00FB3920">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ENVIO ARCHIVO ELETRONICO CON RESPUESTA A LA SOLICITUD DE INFORMACION</w:t>
            </w:r>
          </w:p>
        </w:tc>
      </w:tr>
      <w:tr w:rsidR="006C6F1F" w14:paraId="150B59CD" w14:textId="77777777">
        <w:trPr>
          <w:trHeight w:val="435"/>
          <w:jc w:val="center"/>
        </w:trPr>
        <w:tc>
          <w:tcPr>
            <w:tcW w:w="7612" w:type="dxa"/>
            <w:vAlign w:val="center"/>
          </w:tcPr>
          <w:p w14:paraId="18306E7C" w14:textId="77777777" w:rsidR="006C6F1F" w:rsidRDefault="006C6F1F">
            <w:pPr>
              <w:rPr>
                <w:rFonts w:ascii="Palatino Linotype" w:eastAsia="Palatino Linotype" w:hAnsi="Palatino Linotype" w:cs="Palatino Linotype"/>
                <w:i/>
                <w:sz w:val="22"/>
                <w:szCs w:val="22"/>
              </w:rPr>
            </w:pPr>
          </w:p>
        </w:tc>
      </w:tr>
      <w:tr w:rsidR="006C6F1F" w14:paraId="38EA2249" w14:textId="77777777">
        <w:trPr>
          <w:trHeight w:val="174"/>
          <w:jc w:val="center"/>
        </w:trPr>
        <w:tc>
          <w:tcPr>
            <w:tcW w:w="7612" w:type="dxa"/>
            <w:vAlign w:val="center"/>
          </w:tcPr>
          <w:p w14:paraId="6F80BD46" w14:textId="77777777" w:rsidR="006C6F1F" w:rsidRDefault="006C6F1F">
            <w:pPr>
              <w:jc w:val="center"/>
              <w:rPr>
                <w:rFonts w:ascii="Palatino Linotype" w:eastAsia="Palatino Linotype" w:hAnsi="Palatino Linotype" w:cs="Palatino Linotype"/>
                <w:i/>
                <w:sz w:val="22"/>
                <w:szCs w:val="22"/>
              </w:rPr>
            </w:pPr>
          </w:p>
        </w:tc>
      </w:tr>
      <w:tr w:rsidR="006C6F1F" w14:paraId="651F5E48" w14:textId="77777777">
        <w:trPr>
          <w:trHeight w:val="174"/>
          <w:jc w:val="center"/>
        </w:trPr>
        <w:tc>
          <w:tcPr>
            <w:tcW w:w="7612" w:type="dxa"/>
            <w:vAlign w:val="center"/>
          </w:tcPr>
          <w:p w14:paraId="09322E1A" w14:textId="77777777" w:rsidR="006C6F1F" w:rsidRDefault="006C6F1F">
            <w:pPr>
              <w:rPr>
                <w:rFonts w:ascii="Palatino Linotype" w:eastAsia="Palatino Linotype" w:hAnsi="Palatino Linotype" w:cs="Palatino Linotype"/>
                <w:i/>
                <w:sz w:val="22"/>
                <w:szCs w:val="22"/>
              </w:rPr>
            </w:pPr>
          </w:p>
        </w:tc>
      </w:tr>
      <w:tr w:rsidR="006C6F1F" w14:paraId="25248BC2" w14:textId="77777777">
        <w:trPr>
          <w:trHeight w:val="174"/>
          <w:jc w:val="center"/>
        </w:trPr>
        <w:tc>
          <w:tcPr>
            <w:tcW w:w="7612" w:type="dxa"/>
            <w:vAlign w:val="center"/>
          </w:tcPr>
          <w:p w14:paraId="7F70CAE4" w14:textId="77777777" w:rsidR="006C6F1F" w:rsidRDefault="00FB3920">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6C6F1F" w14:paraId="09F6E7C2" w14:textId="77777777">
        <w:trPr>
          <w:trHeight w:val="261"/>
          <w:jc w:val="center"/>
        </w:trPr>
        <w:tc>
          <w:tcPr>
            <w:tcW w:w="7612" w:type="dxa"/>
            <w:vAlign w:val="center"/>
          </w:tcPr>
          <w:p w14:paraId="06125FEE" w14:textId="77777777" w:rsidR="006C6F1F" w:rsidRDefault="006C6F1F">
            <w:pPr>
              <w:rPr>
                <w:rFonts w:ascii="Palatino Linotype" w:eastAsia="Palatino Linotype" w:hAnsi="Palatino Linotype" w:cs="Palatino Linotype"/>
                <w:i/>
                <w:sz w:val="22"/>
                <w:szCs w:val="22"/>
              </w:rPr>
            </w:pPr>
          </w:p>
        </w:tc>
      </w:tr>
      <w:tr w:rsidR="006C6F1F" w14:paraId="22D3FD5D" w14:textId="77777777">
        <w:trPr>
          <w:trHeight w:val="174"/>
          <w:jc w:val="center"/>
        </w:trPr>
        <w:tc>
          <w:tcPr>
            <w:tcW w:w="7612" w:type="dxa"/>
            <w:vAlign w:val="center"/>
          </w:tcPr>
          <w:p w14:paraId="6025BD17" w14:textId="77777777" w:rsidR="006C6F1F" w:rsidRDefault="00FB3920">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D.A.P. SALVADOR ALEJANDRO SALDÍVAR VÉLEZ</w:t>
            </w:r>
          </w:p>
        </w:tc>
      </w:tr>
    </w:tbl>
    <w:p w14:paraId="39ABA2BD" w14:textId="77777777" w:rsidR="006C6F1F" w:rsidRDefault="006C6F1F">
      <w:pPr>
        <w:spacing w:line="360" w:lineRule="auto"/>
        <w:ind w:right="567"/>
        <w:jc w:val="both"/>
        <w:rPr>
          <w:rFonts w:ascii="Palatino Linotype" w:eastAsia="Palatino Linotype" w:hAnsi="Palatino Linotype" w:cs="Palatino Linotype"/>
          <w:b/>
          <w:sz w:val="22"/>
          <w:szCs w:val="22"/>
        </w:rPr>
      </w:pPr>
    </w:p>
    <w:p w14:paraId="088F1138" w14:textId="77777777" w:rsidR="006C6F1F" w:rsidRDefault="00FB3920">
      <w:pPr>
        <w:spacing w:line="360" w:lineRule="auto"/>
        <w:ind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 la respuesta se adjuntó el archivo denominado  </w:t>
      </w:r>
      <w:hyperlink r:id="rId10">
        <w:r>
          <w:rPr>
            <w:rFonts w:ascii="Palatino Linotype" w:eastAsia="Palatino Linotype" w:hAnsi="Palatino Linotype" w:cs="Palatino Linotype"/>
            <w:b/>
            <w:color w:val="000000"/>
            <w:sz w:val="22"/>
            <w:szCs w:val="22"/>
            <w:u w:val="single"/>
          </w:rPr>
          <w:t>RESPUESTA SAIMEX 00730.zip</w:t>
        </w:r>
      </w:hyperlink>
      <w:r>
        <w:rPr>
          <w:rFonts w:ascii="Palatino Linotype" w:eastAsia="Palatino Linotype" w:hAnsi="Palatino Linotype" w:cs="Palatino Linotype"/>
          <w:sz w:val="22"/>
          <w:szCs w:val="22"/>
        </w:rPr>
        <w:t>, en el que se advierten los documentos que se describen enseguida:</w:t>
      </w:r>
    </w:p>
    <w:p w14:paraId="73943BAD" w14:textId="77777777" w:rsidR="006C6F1F" w:rsidRDefault="006C6F1F">
      <w:pPr>
        <w:spacing w:line="360" w:lineRule="auto"/>
        <w:ind w:right="567"/>
        <w:jc w:val="both"/>
        <w:rPr>
          <w:rFonts w:ascii="Palatino Linotype" w:eastAsia="Palatino Linotype" w:hAnsi="Palatino Linotype" w:cs="Palatino Linotype"/>
          <w:sz w:val="22"/>
          <w:szCs w:val="22"/>
        </w:rPr>
      </w:pPr>
    </w:p>
    <w:p w14:paraId="18C24DBE" w14:textId="77777777" w:rsidR="006C6F1F" w:rsidRDefault="00FB3920">
      <w:pPr>
        <w:numPr>
          <w:ilvl w:val="0"/>
          <w:numId w:val="3"/>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RESP_ADMINISTRACION_3237.pdf:</w:t>
      </w:r>
      <w:r>
        <w:rPr>
          <w:rFonts w:ascii="Palatino Linotype" w:eastAsia="Palatino Linotype" w:hAnsi="Palatino Linotype" w:cs="Palatino Linotype"/>
          <w:color w:val="000000"/>
          <w:sz w:val="22"/>
          <w:szCs w:val="22"/>
        </w:rPr>
        <w:t xml:space="preserve"> oficio número DA/3237/2024 de fecha trece de agosto de dos mil veinticuatro, suscrito por el Director de Administración en el que señaló que la solicitud se turnó a la Subdirectora de Recursos Materiales y refirió </w:t>
      </w:r>
      <w:proofErr w:type="gramStart"/>
      <w:r>
        <w:rPr>
          <w:rFonts w:ascii="Palatino Linotype" w:eastAsia="Palatino Linotype" w:hAnsi="Palatino Linotype" w:cs="Palatino Linotype"/>
          <w:color w:val="000000"/>
          <w:sz w:val="22"/>
          <w:szCs w:val="22"/>
        </w:rPr>
        <w:t>los número</w:t>
      </w:r>
      <w:proofErr w:type="gramEnd"/>
      <w:r>
        <w:rPr>
          <w:rFonts w:ascii="Palatino Linotype" w:eastAsia="Palatino Linotype" w:hAnsi="Palatino Linotype" w:cs="Palatino Linotype"/>
          <w:color w:val="000000"/>
          <w:sz w:val="22"/>
          <w:szCs w:val="22"/>
        </w:rPr>
        <w:t xml:space="preserve"> de contratos que se elaboraron durante el ejercicio 2024. Oficio DA/SRM/285/2024 de fecha trece de agosto de dos mil veinticuatro, suscrito por la Directora de Recursos Materiales en el que señaló los números de contratos celebrados durante el ejercicio 2024.</w:t>
      </w:r>
    </w:p>
    <w:p w14:paraId="712D2918" w14:textId="77777777" w:rsidR="006C6F1F" w:rsidRDefault="00FB3920">
      <w:pPr>
        <w:numPr>
          <w:ilvl w:val="0"/>
          <w:numId w:val="3"/>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RESP_OBRAS_PÚBLICAS_01897.pdf:</w:t>
      </w:r>
      <w:r>
        <w:rPr>
          <w:rFonts w:ascii="Palatino Linotype" w:eastAsia="Palatino Linotype" w:hAnsi="Palatino Linotype" w:cs="Palatino Linotype"/>
          <w:color w:val="000000"/>
          <w:sz w:val="22"/>
          <w:szCs w:val="22"/>
        </w:rPr>
        <w:t xml:space="preserve"> oficio TLA/DOP/1884/2024 de fecha cinco de julio de dos mil veinticuatro, suscrito por el Director de Obras Públicas, en el que señaló </w:t>
      </w:r>
      <w:proofErr w:type="gramStart"/>
      <w:r>
        <w:rPr>
          <w:rFonts w:ascii="Palatino Linotype" w:eastAsia="Palatino Linotype" w:hAnsi="Palatino Linotype" w:cs="Palatino Linotype"/>
          <w:color w:val="000000"/>
          <w:sz w:val="22"/>
          <w:szCs w:val="22"/>
        </w:rPr>
        <w:t>que</w:t>
      </w:r>
      <w:proofErr w:type="gramEnd"/>
      <w:r>
        <w:rPr>
          <w:rFonts w:ascii="Palatino Linotype" w:eastAsia="Palatino Linotype" w:hAnsi="Palatino Linotype" w:cs="Palatino Linotype"/>
          <w:color w:val="000000"/>
          <w:sz w:val="22"/>
          <w:szCs w:val="22"/>
        </w:rPr>
        <w:t xml:space="preserve"> de la búsqueda exhaustiva y razonable de la información, se adjuntan los números de contratos generados.</w:t>
      </w:r>
    </w:p>
    <w:p w14:paraId="6C8E6AF6" w14:textId="77777777" w:rsidR="006C6F1F" w:rsidRDefault="006C6F1F">
      <w:pPr>
        <w:spacing w:line="360" w:lineRule="auto"/>
        <w:ind w:right="567"/>
        <w:rPr>
          <w:rFonts w:ascii="Palatino Linotype" w:eastAsia="Palatino Linotype" w:hAnsi="Palatino Linotype" w:cs="Palatino Linotype"/>
          <w:sz w:val="22"/>
          <w:szCs w:val="22"/>
        </w:rPr>
      </w:pPr>
    </w:p>
    <w:p w14:paraId="2EAA5947" w14:textId="77777777" w:rsidR="006C6F1F" w:rsidRDefault="00FB3920">
      <w:pPr>
        <w:numPr>
          <w:ilvl w:val="0"/>
          <w:numId w:val="1"/>
        </w:numPr>
        <w:spacing w:line="360" w:lineRule="auto"/>
        <w:ind w:left="0" w:firstLine="0"/>
        <w:jc w:val="both"/>
        <w:rPr>
          <w:rFonts w:ascii="Palatino Linotype" w:eastAsia="Palatino Linotype" w:hAnsi="Palatino Linotype" w:cs="Palatino Linotype"/>
          <w:i/>
          <w:sz w:val="22"/>
          <w:szCs w:val="22"/>
        </w:rPr>
      </w:pPr>
      <w:bookmarkStart w:id="1" w:name="_heading=h.30j0zll" w:colFirst="0" w:colLast="0"/>
      <w:bookmarkEnd w:id="1"/>
      <w:r>
        <w:rPr>
          <w:rFonts w:ascii="Palatino Linotype" w:eastAsia="Palatino Linotype" w:hAnsi="Palatino Linotype" w:cs="Palatino Linotype"/>
          <w:sz w:val="22"/>
          <w:szCs w:val="22"/>
        </w:rPr>
        <w:t xml:space="preserve">El diecinueve (19) de agosto de dos mil veinticuatro, </w:t>
      </w:r>
      <w:r>
        <w:rPr>
          <w:rFonts w:ascii="Palatino Linotype" w:eastAsia="Palatino Linotype" w:hAnsi="Palatino Linotype" w:cs="Palatino Linotype"/>
          <w:b/>
          <w:sz w:val="22"/>
          <w:szCs w:val="22"/>
        </w:rPr>
        <w:t>EL RECURRENTE</w:t>
      </w:r>
      <w:r>
        <w:rPr>
          <w:rFonts w:ascii="Palatino Linotype" w:eastAsia="Palatino Linotype" w:hAnsi="Palatino Linotype" w:cs="Palatino Linotype"/>
          <w:sz w:val="22"/>
          <w:szCs w:val="22"/>
        </w:rPr>
        <w:t xml:space="preserve"> interpuso el recurso de revisión, en contra de la respuesta, señalando como:</w:t>
      </w:r>
    </w:p>
    <w:p w14:paraId="582FC0A6" w14:textId="77777777" w:rsidR="006C6F1F" w:rsidRDefault="006C6F1F">
      <w:pPr>
        <w:spacing w:line="360" w:lineRule="auto"/>
        <w:ind w:right="567"/>
        <w:rPr>
          <w:rFonts w:ascii="Palatino Linotype" w:eastAsia="Palatino Linotype" w:hAnsi="Palatino Linotype" w:cs="Palatino Linotype"/>
          <w:i/>
          <w:sz w:val="22"/>
          <w:szCs w:val="22"/>
        </w:rPr>
      </w:pPr>
    </w:p>
    <w:p w14:paraId="3AFE8190" w14:textId="77777777" w:rsidR="006C6F1F" w:rsidRDefault="00FB3920">
      <w:pPr>
        <w:spacing w:line="360" w:lineRule="auto"/>
        <w:ind w:righ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00732/TLALNEPA/IP/2024 – 04943/INFOEM/IP/RR/2024:</w:t>
      </w:r>
    </w:p>
    <w:p w14:paraId="50BD424F" w14:textId="77777777" w:rsidR="006C6F1F" w:rsidRDefault="006C6F1F">
      <w:pPr>
        <w:spacing w:line="360" w:lineRule="auto"/>
        <w:ind w:right="567"/>
        <w:rPr>
          <w:rFonts w:ascii="Palatino Linotype" w:eastAsia="Palatino Linotype" w:hAnsi="Palatino Linotype" w:cs="Palatino Linotype"/>
          <w:b/>
          <w:sz w:val="22"/>
          <w:szCs w:val="22"/>
        </w:rPr>
      </w:pPr>
    </w:p>
    <w:p w14:paraId="07A5B81B" w14:textId="77777777" w:rsidR="006C6F1F" w:rsidRDefault="00FB39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lastRenderedPageBreak/>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“no se </w:t>
      </w:r>
      <w:proofErr w:type="spellStart"/>
      <w:r>
        <w:rPr>
          <w:rFonts w:ascii="Palatino Linotype" w:eastAsia="Palatino Linotype" w:hAnsi="Palatino Linotype" w:cs="Palatino Linotype"/>
          <w:i/>
          <w:sz w:val="22"/>
          <w:szCs w:val="22"/>
        </w:rPr>
        <w:t>envia</w:t>
      </w:r>
      <w:proofErr w:type="spellEnd"/>
      <w:r>
        <w:rPr>
          <w:rFonts w:ascii="Palatino Linotype" w:eastAsia="Palatino Linotype" w:hAnsi="Palatino Linotype" w:cs="Palatino Linotype"/>
          <w:i/>
          <w:sz w:val="22"/>
          <w:szCs w:val="22"/>
        </w:rPr>
        <w:t xml:space="preserve"> toda la </w:t>
      </w:r>
      <w:proofErr w:type="spellStart"/>
      <w:r>
        <w:rPr>
          <w:rFonts w:ascii="Palatino Linotype" w:eastAsia="Palatino Linotype" w:hAnsi="Palatino Linotype" w:cs="Palatino Linotype"/>
          <w:i/>
          <w:sz w:val="22"/>
          <w:szCs w:val="22"/>
        </w:rPr>
        <w:t>informacion</w:t>
      </w:r>
      <w:proofErr w:type="spellEnd"/>
      <w:r>
        <w:rPr>
          <w:rFonts w:ascii="Palatino Linotype" w:eastAsia="Palatino Linotype" w:hAnsi="Palatino Linotype" w:cs="Palatino Linotype"/>
          <w:i/>
          <w:sz w:val="22"/>
          <w:szCs w:val="22"/>
        </w:rPr>
        <w:t>” (Sic)</w:t>
      </w:r>
    </w:p>
    <w:p w14:paraId="7B948A65" w14:textId="77777777" w:rsidR="006C6F1F" w:rsidRDefault="006C6F1F">
      <w:pPr>
        <w:spacing w:line="360" w:lineRule="auto"/>
        <w:ind w:left="567" w:right="567"/>
        <w:jc w:val="both"/>
        <w:rPr>
          <w:rFonts w:ascii="Palatino Linotype" w:eastAsia="Palatino Linotype" w:hAnsi="Palatino Linotype" w:cs="Palatino Linotype"/>
          <w:i/>
          <w:sz w:val="22"/>
          <w:szCs w:val="22"/>
        </w:rPr>
      </w:pPr>
    </w:p>
    <w:p w14:paraId="0C8E3370" w14:textId="77777777" w:rsidR="006C6F1F" w:rsidRDefault="00FB39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 xml:space="preserve">Razones o Motivos de inconformidad: </w:t>
      </w:r>
      <w:r>
        <w:rPr>
          <w:rFonts w:ascii="Palatino Linotype" w:eastAsia="Palatino Linotype" w:hAnsi="Palatino Linotype" w:cs="Palatino Linotype"/>
          <w:i/>
          <w:sz w:val="22"/>
          <w:szCs w:val="22"/>
        </w:rPr>
        <w:t xml:space="preserve">“no se </w:t>
      </w:r>
      <w:proofErr w:type="spellStart"/>
      <w:r>
        <w:rPr>
          <w:rFonts w:ascii="Palatino Linotype" w:eastAsia="Palatino Linotype" w:hAnsi="Palatino Linotype" w:cs="Palatino Linotype"/>
          <w:i/>
          <w:sz w:val="22"/>
          <w:szCs w:val="22"/>
        </w:rPr>
        <w:t>envia</w:t>
      </w:r>
      <w:proofErr w:type="spellEnd"/>
      <w:r>
        <w:rPr>
          <w:rFonts w:ascii="Palatino Linotype" w:eastAsia="Palatino Linotype" w:hAnsi="Palatino Linotype" w:cs="Palatino Linotype"/>
          <w:i/>
          <w:sz w:val="22"/>
          <w:szCs w:val="22"/>
        </w:rPr>
        <w:t xml:space="preserve"> toda la </w:t>
      </w:r>
      <w:proofErr w:type="spellStart"/>
      <w:r>
        <w:rPr>
          <w:rFonts w:ascii="Palatino Linotype" w:eastAsia="Palatino Linotype" w:hAnsi="Palatino Linotype" w:cs="Palatino Linotype"/>
          <w:i/>
          <w:sz w:val="22"/>
          <w:szCs w:val="22"/>
        </w:rPr>
        <w:t>informacion</w:t>
      </w:r>
      <w:proofErr w:type="spellEnd"/>
      <w:r>
        <w:rPr>
          <w:rFonts w:ascii="Palatino Linotype" w:eastAsia="Palatino Linotype" w:hAnsi="Palatino Linotype" w:cs="Palatino Linotype"/>
          <w:i/>
          <w:sz w:val="22"/>
          <w:szCs w:val="22"/>
        </w:rPr>
        <w:t>” (Sic).</w:t>
      </w:r>
    </w:p>
    <w:p w14:paraId="46581525" w14:textId="77777777" w:rsidR="006C6F1F" w:rsidRDefault="006C6F1F">
      <w:pPr>
        <w:tabs>
          <w:tab w:val="left" w:pos="6197"/>
        </w:tabs>
        <w:spacing w:line="360" w:lineRule="auto"/>
        <w:jc w:val="both"/>
        <w:rPr>
          <w:rFonts w:ascii="Palatino Linotype" w:eastAsia="Palatino Linotype" w:hAnsi="Palatino Linotype" w:cs="Palatino Linotype"/>
          <w:sz w:val="22"/>
          <w:szCs w:val="22"/>
        </w:rPr>
      </w:pPr>
    </w:p>
    <w:p w14:paraId="3C3014E4" w14:textId="77777777" w:rsidR="006C6F1F" w:rsidRDefault="00FB3920">
      <w:pPr>
        <w:spacing w:line="360" w:lineRule="auto"/>
        <w:ind w:righ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00731/TLALNEPA/IP/2024 – 04944/INFOEM/IP/RR/2023:</w:t>
      </w:r>
    </w:p>
    <w:p w14:paraId="1B9E509D" w14:textId="77777777" w:rsidR="006C6F1F" w:rsidRDefault="006C6F1F">
      <w:pPr>
        <w:spacing w:line="360" w:lineRule="auto"/>
        <w:ind w:right="567"/>
        <w:rPr>
          <w:rFonts w:ascii="Palatino Linotype" w:eastAsia="Palatino Linotype" w:hAnsi="Palatino Linotype" w:cs="Palatino Linotype"/>
          <w:b/>
          <w:sz w:val="22"/>
          <w:szCs w:val="22"/>
        </w:rPr>
      </w:pPr>
    </w:p>
    <w:p w14:paraId="23874C16" w14:textId="77777777" w:rsidR="006C6F1F" w:rsidRDefault="00FB39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“no se </w:t>
      </w:r>
      <w:proofErr w:type="spellStart"/>
      <w:r>
        <w:rPr>
          <w:rFonts w:ascii="Palatino Linotype" w:eastAsia="Palatino Linotype" w:hAnsi="Palatino Linotype" w:cs="Palatino Linotype"/>
          <w:i/>
          <w:sz w:val="22"/>
          <w:szCs w:val="22"/>
        </w:rPr>
        <w:t>envia</w:t>
      </w:r>
      <w:proofErr w:type="spellEnd"/>
      <w:r>
        <w:rPr>
          <w:rFonts w:ascii="Palatino Linotype" w:eastAsia="Palatino Linotype" w:hAnsi="Palatino Linotype" w:cs="Palatino Linotype"/>
          <w:i/>
          <w:sz w:val="22"/>
          <w:szCs w:val="22"/>
        </w:rPr>
        <w:t xml:space="preserve"> toda la </w:t>
      </w:r>
      <w:proofErr w:type="spellStart"/>
      <w:r>
        <w:rPr>
          <w:rFonts w:ascii="Palatino Linotype" w:eastAsia="Palatino Linotype" w:hAnsi="Palatino Linotype" w:cs="Palatino Linotype"/>
          <w:i/>
          <w:sz w:val="22"/>
          <w:szCs w:val="22"/>
        </w:rPr>
        <w:t>informacion</w:t>
      </w:r>
      <w:proofErr w:type="spellEnd"/>
      <w:r>
        <w:rPr>
          <w:rFonts w:ascii="Palatino Linotype" w:eastAsia="Palatino Linotype" w:hAnsi="Palatino Linotype" w:cs="Palatino Linotype"/>
          <w:i/>
          <w:sz w:val="22"/>
          <w:szCs w:val="22"/>
        </w:rPr>
        <w:t>” (Sic)</w:t>
      </w:r>
    </w:p>
    <w:p w14:paraId="187EB28C" w14:textId="77777777" w:rsidR="006C6F1F" w:rsidRDefault="006C6F1F">
      <w:pPr>
        <w:spacing w:line="360" w:lineRule="auto"/>
        <w:ind w:left="567" w:right="567"/>
        <w:jc w:val="both"/>
        <w:rPr>
          <w:rFonts w:ascii="Palatino Linotype" w:eastAsia="Palatino Linotype" w:hAnsi="Palatino Linotype" w:cs="Palatino Linotype"/>
          <w:i/>
          <w:sz w:val="22"/>
          <w:szCs w:val="22"/>
        </w:rPr>
      </w:pPr>
    </w:p>
    <w:p w14:paraId="4F94746F" w14:textId="77777777" w:rsidR="006C6F1F" w:rsidRDefault="00FB39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 xml:space="preserve">Razones o Motivos de inconformidad: </w:t>
      </w:r>
      <w:r>
        <w:rPr>
          <w:rFonts w:ascii="Palatino Linotype" w:eastAsia="Palatino Linotype" w:hAnsi="Palatino Linotype" w:cs="Palatino Linotype"/>
          <w:i/>
          <w:sz w:val="22"/>
          <w:szCs w:val="22"/>
        </w:rPr>
        <w:t xml:space="preserve">“no se </w:t>
      </w:r>
      <w:proofErr w:type="spellStart"/>
      <w:r>
        <w:rPr>
          <w:rFonts w:ascii="Palatino Linotype" w:eastAsia="Palatino Linotype" w:hAnsi="Palatino Linotype" w:cs="Palatino Linotype"/>
          <w:i/>
          <w:sz w:val="22"/>
          <w:szCs w:val="22"/>
        </w:rPr>
        <w:t>envia</w:t>
      </w:r>
      <w:proofErr w:type="spellEnd"/>
      <w:r>
        <w:rPr>
          <w:rFonts w:ascii="Palatino Linotype" w:eastAsia="Palatino Linotype" w:hAnsi="Palatino Linotype" w:cs="Palatino Linotype"/>
          <w:i/>
          <w:sz w:val="22"/>
          <w:szCs w:val="22"/>
        </w:rPr>
        <w:t xml:space="preserve"> toda la </w:t>
      </w:r>
      <w:proofErr w:type="spellStart"/>
      <w:r>
        <w:rPr>
          <w:rFonts w:ascii="Palatino Linotype" w:eastAsia="Palatino Linotype" w:hAnsi="Palatino Linotype" w:cs="Palatino Linotype"/>
          <w:i/>
          <w:sz w:val="22"/>
          <w:szCs w:val="22"/>
        </w:rPr>
        <w:t>informacion</w:t>
      </w:r>
      <w:proofErr w:type="spellEnd"/>
      <w:r>
        <w:rPr>
          <w:rFonts w:ascii="Palatino Linotype" w:eastAsia="Palatino Linotype" w:hAnsi="Palatino Linotype" w:cs="Palatino Linotype"/>
          <w:i/>
          <w:sz w:val="22"/>
          <w:szCs w:val="22"/>
        </w:rPr>
        <w:t>” (Sic).</w:t>
      </w:r>
    </w:p>
    <w:p w14:paraId="0D439C6C" w14:textId="77777777" w:rsidR="006C6F1F" w:rsidRDefault="006C6F1F">
      <w:pPr>
        <w:spacing w:line="360" w:lineRule="auto"/>
        <w:ind w:right="567"/>
        <w:jc w:val="both"/>
        <w:rPr>
          <w:rFonts w:ascii="Palatino Linotype" w:eastAsia="Palatino Linotype" w:hAnsi="Palatino Linotype" w:cs="Palatino Linotype"/>
          <w:b/>
          <w:sz w:val="22"/>
          <w:szCs w:val="22"/>
        </w:rPr>
      </w:pPr>
    </w:p>
    <w:p w14:paraId="75D48365" w14:textId="77777777" w:rsidR="006C6F1F" w:rsidRDefault="00FB3920">
      <w:pPr>
        <w:spacing w:line="360" w:lineRule="auto"/>
        <w:ind w:righ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00730/TLALNEPA/IP/2024 – 04945/INFOEM/IP/RR/2023:</w:t>
      </w:r>
    </w:p>
    <w:p w14:paraId="74C1A150" w14:textId="77777777" w:rsidR="006C6F1F" w:rsidRDefault="006C6F1F">
      <w:pPr>
        <w:spacing w:line="360" w:lineRule="auto"/>
        <w:ind w:right="567"/>
        <w:rPr>
          <w:rFonts w:ascii="Palatino Linotype" w:eastAsia="Palatino Linotype" w:hAnsi="Palatino Linotype" w:cs="Palatino Linotype"/>
          <w:b/>
          <w:sz w:val="22"/>
          <w:szCs w:val="22"/>
        </w:rPr>
      </w:pPr>
    </w:p>
    <w:p w14:paraId="4356825B" w14:textId="77777777" w:rsidR="006C6F1F" w:rsidRDefault="00FB39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“no se </w:t>
      </w:r>
      <w:proofErr w:type="spellStart"/>
      <w:r>
        <w:rPr>
          <w:rFonts w:ascii="Palatino Linotype" w:eastAsia="Palatino Linotype" w:hAnsi="Palatino Linotype" w:cs="Palatino Linotype"/>
          <w:i/>
          <w:sz w:val="22"/>
          <w:szCs w:val="22"/>
        </w:rPr>
        <w:t>envia</w:t>
      </w:r>
      <w:proofErr w:type="spellEnd"/>
      <w:r>
        <w:rPr>
          <w:rFonts w:ascii="Palatino Linotype" w:eastAsia="Palatino Linotype" w:hAnsi="Palatino Linotype" w:cs="Palatino Linotype"/>
          <w:i/>
          <w:sz w:val="22"/>
          <w:szCs w:val="22"/>
        </w:rPr>
        <w:t xml:space="preserve"> toda la </w:t>
      </w:r>
      <w:proofErr w:type="spellStart"/>
      <w:r>
        <w:rPr>
          <w:rFonts w:ascii="Palatino Linotype" w:eastAsia="Palatino Linotype" w:hAnsi="Palatino Linotype" w:cs="Palatino Linotype"/>
          <w:i/>
          <w:sz w:val="22"/>
          <w:szCs w:val="22"/>
        </w:rPr>
        <w:t>informacion</w:t>
      </w:r>
      <w:proofErr w:type="spellEnd"/>
      <w:r>
        <w:rPr>
          <w:rFonts w:ascii="Palatino Linotype" w:eastAsia="Palatino Linotype" w:hAnsi="Palatino Linotype" w:cs="Palatino Linotype"/>
          <w:i/>
          <w:sz w:val="22"/>
          <w:szCs w:val="22"/>
        </w:rPr>
        <w:t>” (Sic)</w:t>
      </w:r>
    </w:p>
    <w:p w14:paraId="68D3C67B" w14:textId="77777777" w:rsidR="006C6F1F" w:rsidRDefault="006C6F1F">
      <w:pPr>
        <w:spacing w:line="360" w:lineRule="auto"/>
        <w:ind w:left="567" w:right="567"/>
        <w:jc w:val="both"/>
        <w:rPr>
          <w:rFonts w:ascii="Palatino Linotype" w:eastAsia="Palatino Linotype" w:hAnsi="Palatino Linotype" w:cs="Palatino Linotype"/>
          <w:i/>
          <w:sz w:val="22"/>
          <w:szCs w:val="22"/>
        </w:rPr>
      </w:pPr>
    </w:p>
    <w:p w14:paraId="1F724C54" w14:textId="77777777" w:rsidR="006C6F1F" w:rsidRDefault="00FB39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 xml:space="preserve">Razones o Motivos de inconformidad: </w:t>
      </w:r>
      <w:r>
        <w:rPr>
          <w:rFonts w:ascii="Palatino Linotype" w:eastAsia="Palatino Linotype" w:hAnsi="Palatino Linotype" w:cs="Palatino Linotype"/>
          <w:i/>
          <w:sz w:val="22"/>
          <w:szCs w:val="22"/>
        </w:rPr>
        <w:t xml:space="preserve">“no se </w:t>
      </w:r>
      <w:proofErr w:type="spellStart"/>
      <w:r>
        <w:rPr>
          <w:rFonts w:ascii="Palatino Linotype" w:eastAsia="Palatino Linotype" w:hAnsi="Palatino Linotype" w:cs="Palatino Linotype"/>
          <w:i/>
          <w:sz w:val="22"/>
          <w:szCs w:val="22"/>
        </w:rPr>
        <w:t>envia</w:t>
      </w:r>
      <w:proofErr w:type="spellEnd"/>
      <w:r>
        <w:rPr>
          <w:rFonts w:ascii="Palatino Linotype" w:eastAsia="Palatino Linotype" w:hAnsi="Palatino Linotype" w:cs="Palatino Linotype"/>
          <w:i/>
          <w:sz w:val="22"/>
          <w:szCs w:val="22"/>
        </w:rPr>
        <w:t xml:space="preserve"> toda la </w:t>
      </w:r>
      <w:proofErr w:type="spellStart"/>
      <w:r>
        <w:rPr>
          <w:rFonts w:ascii="Palatino Linotype" w:eastAsia="Palatino Linotype" w:hAnsi="Palatino Linotype" w:cs="Palatino Linotype"/>
          <w:i/>
          <w:sz w:val="22"/>
          <w:szCs w:val="22"/>
        </w:rPr>
        <w:t>informacion</w:t>
      </w:r>
      <w:proofErr w:type="spellEnd"/>
      <w:r>
        <w:rPr>
          <w:rFonts w:ascii="Palatino Linotype" w:eastAsia="Palatino Linotype" w:hAnsi="Palatino Linotype" w:cs="Palatino Linotype"/>
          <w:i/>
          <w:sz w:val="22"/>
          <w:szCs w:val="22"/>
        </w:rPr>
        <w:t>” (Sic).</w:t>
      </w:r>
    </w:p>
    <w:p w14:paraId="7EE6FEB7" w14:textId="77777777" w:rsidR="006C6F1F" w:rsidRDefault="00FB3920">
      <w:pPr>
        <w:tabs>
          <w:tab w:val="left" w:pos="619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
      </w:r>
    </w:p>
    <w:p w14:paraId="7EC6A844" w14:textId="77777777" w:rsidR="006C6F1F" w:rsidRDefault="00FB3920">
      <w:pPr>
        <w:numPr>
          <w:ilvl w:val="0"/>
          <w:numId w:val="1"/>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sz w:val="22"/>
          <w:szCs w:val="22"/>
        </w:rPr>
        <w:t xml:space="preserve">Ley de Transparencia y Acceso a la Información Pública del Estado de México y Municipios </w:t>
      </w:r>
      <w:r>
        <w:rPr>
          <w:rFonts w:ascii="Palatino Linotype" w:eastAsia="Palatino Linotype" w:hAnsi="Palatino Linotype" w:cs="Palatino Linotype"/>
          <w:sz w:val="22"/>
          <w:szCs w:val="22"/>
        </w:rPr>
        <w:t xml:space="preserve">se turnó a la </w:t>
      </w:r>
      <w:r>
        <w:rPr>
          <w:rFonts w:ascii="Palatino Linotype" w:eastAsia="Palatino Linotype" w:hAnsi="Palatino Linotype" w:cs="Palatino Linotype"/>
          <w:b/>
          <w:sz w:val="22"/>
          <w:szCs w:val="22"/>
        </w:rPr>
        <w:t xml:space="preserve">Comisionada María del Rosario Mejía Ayala, </w:t>
      </w:r>
      <w:r>
        <w:rPr>
          <w:rFonts w:ascii="Palatino Linotype" w:eastAsia="Palatino Linotype" w:hAnsi="Palatino Linotype" w:cs="Palatino Linotype"/>
          <w:sz w:val="22"/>
          <w:szCs w:val="22"/>
        </w:rPr>
        <w:t xml:space="preserve">con el objeto de su análisis. </w:t>
      </w:r>
    </w:p>
    <w:p w14:paraId="26322739" w14:textId="77777777" w:rsidR="006C6F1F" w:rsidRDefault="006C6F1F">
      <w:pPr>
        <w:spacing w:line="360" w:lineRule="auto"/>
        <w:jc w:val="both"/>
        <w:rPr>
          <w:rFonts w:ascii="Palatino Linotype" w:eastAsia="Palatino Linotype" w:hAnsi="Palatino Linotype" w:cs="Palatino Linotype"/>
          <w:sz w:val="22"/>
          <w:szCs w:val="22"/>
        </w:rPr>
      </w:pPr>
    </w:p>
    <w:p w14:paraId="6D178C8C" w14:textId="77777777" w:rsidR="006C6F1F" w:rsidRDefault="00FB3920">
      <w:pPr>
        <w:numPr>
          <w:ilvl w:val="0"/>
          <w:numId w:val="1"/>
        </w:numPr>
        <w:spacing w:line="360" w:lineRule="auto"/>
        <w:ind w:left="0" w:firstLine="0"/>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 xml:space="preserve">El Comisionado Ponente con fundamento en lo dispuesto por el artículo 185 fracción II de la ley de la materia, a través del acuerdo de admisión del veintidós (22), veintitrés (23) y veintiséis (26) de agosto de dos mil veinticuatro, puso a disposición de las partes el expediente electrónico vía </w:t>
      </w:r>
      <w:r>
        <w:rPr>
          <w:rFonts w:ascii="Palatino Linotype" w:eastAsia="Palatino Linotype" w:hAnsi="Palatino Linotype" w:cs="Palatino Linotype"/>
          <w:b/>
          <w:sz w:val="22"/>
          <w:szCs w:val="22"/>
        </w:rPr>
        <w:t xml:space="preserve">SAIMEX </w:t>
      </w:r>
      <w:r>
        <w:rPr>
          <w:rFonts w:ascii="Palatino Linotype" w:eastAsia="Palatino Linotype" w:hAnsi="Palatino Linotype" w:cs="Palatino Linotype"/>
          <w:sz w:val="22"/>
          <w:szCs w:val="22"/>
        </w:rPr>
        <w:t xml:space="preserve">a efecto de que en un plazo máximo de siete días manifestaran lo que </w:t>
      </w:r>
      <w:r>
        <w:rPr>
          <w:rFonts w:ascii="Palatino Linotype" w:eastAsia="Palatino Linotype" w:hAnsi="Palatino Linotype" w:cs="Palatino Linotype"/>
          <w:sz w:val="22"/>
          <w:szCs w:val="22"/>
        </w:rPr>
        <w:lastRenderedPageBreak/>
        <w:t xml:space="preserve">a derecho convinieran, ofrecieran pruebas y alegatos según corresponda al caso concreto, de esta forma para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presentara el informe justificado procedente. </w:t>
      </w:r>
    </w:p>
    <w:p w14:paraId="3B77C4B4" w14:textId="77777777" w:rsidR="006C6F1F" w:rsidRDefault="006C6F1F">
      <w:pPr>
        <w:spacing w:line="360" w:lineRule="auto"/>
        <w:jc w:val="both"/>
        <w:rPr>
          <w:rFonts w:ascii="Palatino Linotype" w:eastAsia="Palatino Linotype" w:hAnsi="Palatino Linotype" w:cs="Palatino Linotype"/>
          <w:i/>
          <w:sz w:val="22"/>
          <w:szCs w:val="22"/>
        </w:rPr>
      </w:pPr>
    </w:p>
    <w:p w14:paraId="7CC21251" w14:textId="77777777" w:rsidR="006C6F1F" w:rsidRDefault="00FB3920">
      <w:pPr>
        <w:numPr>
          <w:ilvl w:val="0"/>
          <w:numId w:val="1"/>
        </w:numPr>
        <w:spacing w:line="360" w:lineRule="auto"/>
        <w:ind w:left="0" w:firstLine="0"/>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De las constancias en el expediente electrónico SAIMEX, se advierte que el particular no realizó manifestaciones. Por su parte, el Sujeto Obligado remitió informes justificados el veintisiete (27) de agosto de dos mil veinticuatro, los cuales fueron puesto a la vista del particular el veintiséis (26) de noviembre del mismo año y que consta de los archivos que se describen enseguida:</w:t>
      </w:r>
    </w:p>
    <w:p w14:paraId="3C45A0F7" w14:textId="77777777" w:rsidR="006C6F1F" w:rsidRDefault="006C6F1F">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563D012A" w14:textId="77777777" w:rsidR="006C6F1F" w:rsidRDefault="00FB3920">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04943/INFOEM/IP/RR/2024:</w:t>
      </w:r>
    </w:p>
    <w:p w14:paraId="7D629580" w14:textId="77777777" w:rsidR="006C6F1F" w:rsidRDefault="00A11105">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hyperlink r:id="rId11">
        <w:r w:rsidR="00FB3920">
          <w:rPr>
            <w:rFonts w:ascii="Palatino Linotype" w:eastAsia="Palatino Linotype" w:hAnsi="Palatino Linotype" w:cs="Palatino Linotype"/>
            <w:b/>
            <w:color w:val="000000"/>
            <w:sz w:val="22"/>
            <w:szCs w:val="22"/>
            <w:u w:val="single"/>
          </w:rPr>
          <w:t>MANIFESTACIONES.zip</w:t>
        </w:r>
      </w:hyperlink>
      <w:r w:rsidR="00FB3920">
        <w:rPr>
          <w:rFonts w:ascii="Palatino Linotype" w:eastAsia="Palatino Linotype" w:hAnsi="Palatino Linotype" w:cs="Palatino Linotype"/>
          <w:color w:val="000000"/>
          <w:sz w:val="22"/>
          <w:szCs w:val="22"/>
        </w:rPr>
        <w:t xml:space="preserve">: </w:t>
      </w:r>
    </w:p>
    <w:p w14:paraId="4A0E4942" w14:textId="77777777" w:rsidR="006C6F1F" w:rsidRDefault="00FB3920">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RESP_ADMINISTRACIÓN_3381.pdf: </w:t>
      </w:r>
      <w:r>
        <w:rPr>
          <w:rFonts w:ascii="Palatino Linotype" w:eastAsia="Palatino Linotype" w:hAnsi="Palatino Linotype" w:cs="Palatino Linotype"/>
          <w:color w:val="000000"/>
          <w:sz w:val="22"/>
          <w:szCs w:val="22"/>
        </w:rPr>
        <w:t xml:space="preserve">oficio DA/3381/2024 de fecha veintidós de agosto de dos mil veinticuatro, suscrito por el Director de Administración en el que, de forma medular, se ratificó la respuesta. </w:t>
      </w:r>
      <w:r>
        <w:rPr>
          <w:rFonts w:ascii="Palatino Linotype" w:eastAsia="Palatino Linotype" w:hAnsi="Palatino Linotype" w:cs="Palatino Linotype"/>
          <w:b/>
          <w:color w:val="000000"/>
          <w:sz w:val="22"/>
          <w:szCs w:val="22"/>
        </w:rPr>
        <w:t xml:space="preserve"> </w:t>
      </w:r>
    </w:p>
    <w:p w14:paraId="211D4943" w14:textId="77777777" w:rsidR="006C6F1F" w:rsidRDefault="00FB3920">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RESP_OBRAS_PÚBLICAS_2281.pdf: </w:t>
      </w:r>
      <w:r>
        <w:rPr>
          <w:rFonts w:ascii="Palatino Linotype" w:eastAsia="Palatino Linotype" w:hAnsi="Palatino Linotype" w:cs="Palatino Linotype"/>
          <w:color w:val="000000"/>
          <w:sz w:val="22"/>
          <w:szCs w:val="22"/>
        </w:rPr>
        <w:t>oficio TLA/DOP/2281/2024 de fecha veintiuno de agosto de dos mil veinticuatro suscrito por el Director de Obras Públicas, en el que ratificó su respuesta.</w:t>
      </w:r>
    </w:p>
    <w:p w14:paraId="7B905279" w14:textId="77777777" w:rsidR="006C6F1F" w:rsidRDefault="006C6F1F">
      <w:pPr>
        <w:spacing w:line="360" w:lineRule="auto"/>
        <w:jc w:val="both"/>
        <w:rPr>
          <w:rFonts w:ascii="Palatino Linotype" w:eastAsia="Palatino Linotype" w:hAnsi="Palatino Linotype" w:cs="Palatino Linotype"/>
          <w:b/>
          <w:sz w:val="22"/>
          <w:szCs w:val="22"/>
        </w:rPr>
      </w:pPr>
    </w:p>
    <w:p w14:paraId="6AB8E291" w14:textId="77777777" w:rsidR="006C6F1F" w:rsidRDefault="00FB3920">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04944/INFOEM/IP/RR/2024:</w:t>
      </w:r>
    </w:p>
    <w:p w14:paraId="51D8C332" w14:textId="77777777" w:rsidR="006C6F1F" w:rsidRDefault="00FB3920">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MANIFESTACIONES.zip:</w:t>
      </w:r>
    </w:p>
    <w:p w14:paraId="03C52BEF" w14:textId="77777777" w:rsidR="006C6F1F" w:rsidRDefault="00FB392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RESP_ADMINISTRACIÓN_3382.pdf: </w:t>
      </w:r>
      <w:r>
        <w:rPr>
          <w:rFonts w:ascii="Palatino Linotype" w:eastAsia="Palatino Linotype" w:hAnsi="Palatino Linotype" w:cs="Palatino Linotype"/>
          <w:color w:val="000000"/>
          <w:sz w:val="22"/>
          <w:szCs w:val="22"/>
        </w:rPr>
        <w:t xml:space="preserve">oficio DA/3382/2024 de fecha veintidós de agosto de dos mil veinticuatro, suscrito por el Director de Administración en el que, de forma medular, se ratificó la respuesta. </w:t>
      </w:r>
      <w:r>
        <w:rPr>
          <w:rFonts w:ascii="Palatino Linotype" w:eastAsia="Palatino Linotype" w:hAnsi="Palatino Linotype" w:cs="Palatino Linotype"/>
          <w:b/>
          <w:color w:val="000000"/>
          <w:sz w:val="22"/>
          <w:szCs w:val="22"/>
        </w:rPr>
        <w:t xml:space="preserve"> </w:t>
      </w:r>
    </w:p>
    <w:p w14:paraId="3E333057" w14:textId="77777777" w:rsidR="006C6F1F" w:rsidRDefault="00FB392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 xml:space="preserve">RESP_OBRAS_PÚBLICAS_2280.pdf: </w:t>
      </w:r>
      <w:r>
        <w:rPr>
          <w:rFonts w:ascii="Palatino Linotype" w:eastAsia="Palatino Linotype" w:hAnsi="Palatino Linotype" w:cs="Palatino Linotype"/>
          <w:color w:val="000000"/>
          <w:sz w:val="22"/>
          <w:szCs w:val="22"/>
        </w:rPr>
        <w:t>oficio TLA/DOP/2280/2024 de fecha veintiuno de agosto de dos mil veinticuatro suscrito por el Director de Obras Públicas, en el que ratificó su respuesta</w:t>
      </w:r>
    </w:p>
    <w:p w14:paraId="4CD23C24" w14:textId="77777777" w:rsidR="006C6F1F" w:rsidRDefault="006C6F1F">
      <w:pPr>
        <w:spacing w:line="360" w:lineRule="auto"/>
        <w:jc w:val="both"/>
        <w:rPr>
          <w:rFonts w:ascii="Palatino Linotype" w:eastAsia="Palatino Linotype" w:hAnsi="Palatino Linotype" w:cs="Palatino Linotype"/>
          <w:b/>
          <w:sz w:val="22"/>
          <w:szCs w:val="22"/>
        </w:rPr>
      </w:pPr>
    </w:p>
    <w:p w14:paraId="385A164F" w14:textId="77777777" w:rsidR="006C6F1F" w:rsidRDefault="00FB3920">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04945/INFOEM/IP/RR/2024:</w:t>
      </w:r>
    </w:p>
    <w:p w14:paraId="73169762" w14:textId="77777777" w:rsidR="006C6F1F" w:rsidRDefault="006C6F1F">
      <w:pPr>
        <w:spacing w:line="360" w:lineRule="auto"/>
        <w:jc w:val="both"/>
        <w:rPr>
          <w:rFonts w:ascii="Palatino Linotype" w:eastAsia="Palatino Linotype" w:hAnsi="Palatino Linotype" w:cs="Palatino Linotype"/>
          <w:sz w:val="22"/>
          <w:szCs w:val="22"/>
        </w:rPr>
      </w:pPr>
    </w:p>
    <w:p w14:paraId="44BA7DC4" w14:textId="77777777" w:rsidR="006C6F1F" w:rsidRDefault="00FB3920">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MANIFESTACIONES.zip:</w:t>
      </w:r>
    </w:p>
    <w:p w14:paraId="4177A916" w14:textId="77777777" w:rsidR="006C6F1F" w:rsidRDefault="00FB392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RESP_ADMINISTRACIÓN_3383.pdf: </w:t>
      </w:r>
      <w:r>
        <w:rPr>
          <w:rFonts w:ascii="Palatino Linotype" w:eastAsia="Palatino Linotype" w:hAnsi="Palatino Linotype" w:cs="Palatino Linotype"/>
          <w:color w:val="000000"/>
          <w:sz w:val="22"/>
          <w:szCs w:val="22"/>
        </w:rPr>
        <w:t xml:space="preserve">oficio DA/3383/2024 de fecha veintidós de agosto de dos mil veinticuatro, suscrito por el Director de Administración en el que, de forma medular, se ratificó la respuesta. </w:t>
      </w:r>
      <w:r>
        <w:rPr>
          <w:rFonts w:ascii="Palatino Linotype" w:eastAsia="Palatino Linotype" w:hAnsi="Palatino Linotype" w:cs="Palatino Linotype"/>
          <w:b/>
          <w:color w:val="000000"/>
          <w:sz w:val="22"/>
          <w:szCs w:val="22"/>
        </w:rPr>
        <w:t xml:space="preserve"> </w:t>
      </w:r>
    </w:p>
    <w:p w14:paraId="269E8583" w14:textId="77777777" w:rsidR="006C6F1F" w:rsidRDefault="00FB392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RESP_OBRAS_PÚBLICAS_2289.pdf: </w:t>
      </w:r>
      <w:r>
        <w:rPr>
          <w:rFonts w:ascii="Palatino Linotype" w:eastAsia="Palatino Linotype" w:hAnsi="Palatino Linotype" w:cs="Palatino Linotype"/>
          <w:color w:val="000000"/>
          <w:sz w:val="22"/>
          <w:szCs w:val="22"/>
        </w:rPr>
        <w:t>oficio TLA/DOP/2289/2024 de fecha veintiuno de agosto de dos mil veinticuatro suscrito por el Director de Obras Públicas, en el que ratificó su respuesta</w:t>
      </w:r>
    </w:p>
    <w:p w14:paraId="2A74C83C" w14:textId="77777777" w:rsidR="006C6F1F" w:rsidRDefault="006C6F1F">
      <w:pPr>
        <w:pBdr>
          <w:top w:val="nil"/>
          <w:left w:val="nil"/>
          <w:bottom w:val="nil"/>
          <w:right w:val="nil"/>
          <w:between w:val="nil"/>
        </w:pBdr>
        <w:spacing w:line="360" w:lineRule="auto"/>
        <w:ind w:left="1440"/>
        <w:jc w:val="both"/>
        <w:rPr>
          <w:rFonts w:ascii="Palatino Linotype" w:eastAsia="Palatino Linotype" w:hAnsi="Palatino Linotype" w:cs="Palatino Linotype"/>
          <w:sz w:val="22"/>
          <w:szCs w:val="22"/>
        </w:rPr>
      </w:pPr>
    </w:p>
    <w:p w14:paraId="5D3270E0" w14:textId="77777777" w:rsidR="006C6F1F" w:rsidRDefault="00FB3920">
      <w:pPr>
        <w:numPr>
          <w:ilvl w:val="0"/>
          <w:numId w:val="1"/>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con fundamento en lo dispuesto por el artículo 185 fracción I de la </w:t>
      </w:r>
      <w:r>
        <w:rPr>
          <w:rFonts w:ascii="Palatino Linotype" w:eastAsia="Palatino Linotype" w:hAnsi="Palatino Linotype" w:cs="Palatino Linotype"/>
          <w:b/>
          <w:sz w:val="22"/>
          <w:szCs w:val="22"/>
        </w:rPr>
        <w:t>Ley de Transparencia y Acceso a la Información Pública del Estado de México y Municipios,</w:t>
      </w:r>
      <w:r>
        <w:rPr>
          <w:rFonts w:ascii="Palatino Linotype" w:eastAsia="Palatino Linotype" w:hAnsi="Palatino Linotype" w:cs="Palatino Linotype"/>
          <w:sz w:val="22"/>
          <w:szCs w:val="22"/>
        </w:rPr>
        <w:t xml:space="preserve"> el recurso de revisión con número </w:t>
      </w:r>
      <w:r>
        <w:rPr>
          <w:rFonts w:ascii="Palatino Linotype" w:eastAsia="Palatino Linotype" w:hAnsi="Palatino Linotype" w:cs="Palatino Linotype"/>
          <w:b/>
          <w:sz w:val="22"/>
          <w:szCs w:val="22"/>
        </w:rPr>
        <w:t xml:space="preserve">04944/INFOEM/IP/RR/2024 y 04945/INFOEM/IP/RR/2024, </w:t>
      </w:r>
      <w:r>
        <w:rPr>
          <w:rFonts w:ascii="Palatino Linotype" w:eastAsia="Palatino Linotype" w:hAnsi="Palatino Linotype" w:cs="Palatino Linotype"/>
          <w:sz w:val="22"/>
          <w:szCs w:val="22"/>
        </w:rPr>
        <w:t>fue turnado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a la </w:t>
      </w:r>
      <w:r>
        <w:rPr>
          <w:rFonts w:ascii="Palatino Linotype" w:eastAsia="Palatino Linotype" w:hAnsi="Palatino Linotype" w:cs="Palatino Linotype"/>
          <w:b/>
          <w:sz w:val="22"/>
          <w:szCs w:val="22"/>
        </w:rPr>
        <w:t>Comisionada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María del Rosario Mejía Ayala </w:t>
      </w:r>
      <w:r>
        <w:rPr>
          <w:rFonts w:ascii="Palatino Linotype" w:eastAsia="Palatino Linotype" w:hAnsi="Palatino Linotype" w:cs="Palatino Linotype"/>
          <w:sz w:val="22"/>
          <w:szCs w:val="22"/>
        </w:rPr>
        <w:t>con el objeto de su análisis, posteriormente el Pleno de este Órgano Autónomo, en la</w:t>
      </w:r>
      <w:r>
        <w:rPr>
          <w:rFonts w:ascii="Palatino Linotype" w:eastAsia="Palatino Linotype" w:hAnsi="Palatino Linotype" w:cs="Palatino Linotype"/>
          <w:b/>
          <w:sz w:val="22"/>
          <w:szCs w:val="22"/>
        </w:rPr>
        <w:t xml:space="preserve"> Trigésima Sesión Ordinaria</w:t>
      </w:r>
      <w:r>
        <w:rPr>
          <w:rFonts w:ascii="Palatino Linotype" w:eastAsia="Palatino Linotype" w:hAnsi="Palatino Linotype" w:cs="Palatino Linotype"/>
          <w:sz w:val="22"/>
          <w:szCs w:val="22"/>
        </w:rPr>
        <w:t xml:space="preserve"> del veintiocho (28) de agosto de dos mil veinticuatro, ordenó la acumulación del recurso de revisión</w:t>
      </w:r>
      <w:r>
        <w:rPr>
          <w:rFonts w:ascii="Palatino Linotype" w:eastAsia="Palatino Linotype" w:hAnsi="Palatino Linotype" w:cs="Palatino Linotype"/>
          <w:b/>
          <w:sz w:val="22"/>
          <w:szCs w:val="22"/>
        </w:rPr>
        <w:t xml:space="preserve"> 04943/INFOEM/IP/RR/2024. </w:t>
      </w:r>
    </w:p>
    <w:p w14:paraId="73211B5C" w14:textId="77777777" w:rsidR="006C6F1F" w:rsidRDefault="006C6F1F">
      <w:pPr>
        <w:spacing w:line="360" w:lineRule="auto"/>
        <w:jc w:val="both"/>
        <w:rPr>
          <w:rFonts w:ascii="Palatino Linotype" w:eastAsia="Palatino Linotype" w:hAnsi="Palatino Linotype" w:cs="Palatino Linotype"/>
          <w:sz w:val="22"/>
          <w:szCs w:val="22"/>
        </w:rPr>
      </w:pPr>
    </w:p>
    <w:p w14:paraId="58239E64" w14:textId="77777777" w:rsidR="006C6F1F" w:rsidRDefault="00FB3920">
      <w:pPr>
        <w:numPr>
          <w:ilvl w:val="0"/>
          <w:numId w:val="1"/>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el veintiséis (26) de noviembre de dos mil veinticuatro, se notificó el acuerdo mediante el cual se decretó la acumulación de los recursos de revisión.</w:t>
      </w:r>
    </w:p>
    <w:p w14:paraId="698059D6" w14:textId="77777777" w:rsidR="006C6F1F" w:rsidRDefault="006C6F1F">
      <w:pPr>
        <w:spacing w:line="360" w:lineRule="auto"/>
        <w:jc w:val="both"/>
        <w:rPr>
          <w:rFonts w:ascii="Palatino Linotype" w:eastAsia="Palatino Linotype" w:hAnsi="Palatino Linotype" w:cs="Palatino Linotype"/>
          <w:sz w:val="22"/>
          <w:szCs w:val="22"/>
        </w:rPr>
      </w:pPr>
    </w:p>
    <w:p w14:paraId="7C035C14" w14:textId="77777777" w:rsidR="006C6F1F" w:rsidRDefault="00FB3920">
      <w:pPr>
        <w:numPr>
          <w:ilvl w:val="0"/>
          <w:numId w:val="1"/>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ese tenor resulta conveniente su trámite de forma unificada para mejor resolver y evitar la emisión de resoluciones contradictorias, fue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27F05657" w14:textId="77777777" w:rsidR="006C6F1F" w:rsidRDefault="006C6F1F">
      <w:pPr>
        <w:spacing w:line="360" w:lineRule="auto"/>
        <w:jc w:val="both"/>
        <w:rPr>
          <w:rFonts w:ascii="Palatino Linotype" w:eastAsia="Palatino Linotype" w:hAnsi="Palatino Linotype" w:cs="Palatino Linotype"/>
          <w:sz w:val="22"/>
          <w:szCs w:val="22"/>
        </w:rPr>
      </w:pPr>
    </w:p>
    <w:p w14:paraId="4A2D10CF" w14:textId="77777777" w:rsidR="006C6F1F" w:rsidRDefault="00FB3920">
      <w:pPr>
        <w:spacing w:line="360" w:lineRule="auto"/>
        <w:ind w:left="709" w:right="616"/>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Código de Procedimientos Administrativos del Estado de México.</w:t>
      </w:r>
    </w:p>
    <w:p w14:paraId="3DEAC0CC" w14:textId="77777777" w:rsidR="006C6F1F" w:rsidRDefault="006C6F1F">
      <w:pPr>
        <w:spacing w:line="360" w:lineRule="auto"/>
        <w:ind w:left="709" w:right="616"/>
        <w:jc w:val="center"/>
        <w:rPr>
          <w:rFonts w:ascii="Palatino Linotype" w:eastAsia="Palatino Linotype" w:hAnsi="Palatino Linotype" w:cs="Palatino Linotype"/>
          <w:b/>
          <w:i/>
          <w:sz w:val="22"/>
          <w:szCs w:val="22"/>
        </w:rPr>
      </w:pPr>
    </w:p>
    <w:p w14:paraId="71F325A7" w14:textId="77777777" w:rsidR="006C6F1F" w:rsidRDefault="00FB3920">
      <w:pPr>
        <w:spacing w:line="360" w:lineRule="auto"/>
        <w:ind w:left="709"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17F865D1" w14:textId="77777777" w:rsidR="006C6F1F" w:rsidRDefault="006C6F1F">
      <w:pPr>
        <w:spacing w:line="360" w:lineRule="auto"/>
        <w:ind w:right="616"/>
        <w:jc w:val="both"/>
        <w:rPr>
          <w:rFonts w:ascii="Palatino Linotype" w:eastAsia="Palatino Linotype" w:hAnsi="Palatino Linotype" w:cs="Palatino Linotype"/>
          <w:i/>
          <w:sz w:val="22"/>
          <w:szCs w:val="22"/>
        </w:rPr>
      </w:pPr>
    </w:p>
    <w:p w14:paraId="2F66B701" w14:textId="77777777" w:rsidR="006C6F1F" w:rsidRDefault="00FB3920">
      <w:pPr>
        <w:spacing w:line="360" w:lineRule="auto"/>
        <w:ind w:left="709" w:right="616"/>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14:paraId="12875E0F" w14:textId="77777777" w:rsidR="006C6F1F" w:rsidRDefault="006C6F1F">
      <w:pPr>
        <w:spacing w:line="360" w:lineRule="auto"/>
        <w:ind w:left="709" w:right="616"/>
        <w:jc w:val="center"/>
        <w:rPr>
          <w:rFonts w:ascii="Palatino Linotype" w:eastAsia="Palatino Linotype" w:hAnsi="Palatino Linotype" w:cs="Palatino Linotype"/>
          <w:b/>
          <w:i/>
          <w:sz w:val="22"/>
          <w:szCs w:val="22"/>
        </w:rPr>
      </w:pPr>
    </w:p>
    <w:p w14:paraId="6E301DDE" w14:textId="77777777" w:rsidR="006C6F1F" w:rsidRDefault="00FB3920">
      <w:pPr>
        <w:spacing w:line="360" w:lineRule="auto"/>
        <w:ind w:left="709"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195.</w:t>
      </w:r>
      <w:r>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Administrativos del Estado de México.”</w:t>
      </w:r>
    </w:p>
    <w:p w14:paraId="46F6C53C" w14:textId="77777777" w:rsidR="006C6F1F" w:rsidRDefault="006C6F1F">
      <w:pPr>
        <w:spacing w:line="360" w:lineRule="auto"/>
        <w:ind w:right="113"/>
        <w:jc w:val="both"/>
        <w:rPr>
          <w:rFonts w:ascii="Palatino Linotype" w:eastAsia="Palatino Linotype" w:hAnsi="Palatino Linotype" w:cs="Palatino Linotype"/>
          <w:sz w:val="22"/>
          <w:szCs w:val="22"/>
        </w:rPr>
      </w:pPr>
    </w:p>
    <w:p w14:paraId="03F964BE" w14:textId="77777777" w:rsidR="006C6F1F" w:rsidRDefault="00FB3920">
      <w:pPr>
        <w:numPr>
          <w:ilvl w:val="0"/>
          <w:numId w:val="1"/>
        </w:numPr>
        <w:spacing w:line="360" w:lineRule="auto"/>
        <w:ind w:left="0" w:right="113"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veintisiete (27) de noviembre de dos mil veinticuatro, se notificó el acuerdo mediante el cual se aprobó la ampliación de plazo para emitir resolución. </w:t>
      </w:r>
    </w:p>
    <w:p w14:paraId="119A8D9D" w14:textId="77777777" w:rsidR="006C6F1F" w:rsidRDefault="006C6F1F">
      <w:pPr>
        <w:spacing w:line="360" w:lineRule="auto"/>
        <w:ind w:right="113"/>
        <w:jc w:val="both"/>
        <w:rPr>
          <w:rFonts w:ascii="Palatino Linotype" w:eastAsia="Palatino Linotype" w:hAnsi="Palatino Linotype" w:cs="Palatino Linotype"/>
          <w:sz w:val="22"/>
          <w:szCs w:val="22"/>
        </w:rPr>
      </w:pPr>
    </w:p>
    <w:p w14:paraId="7137898A" w14:textId="77777777" w:rsidR="006C6F1F" w:rsidRDefault="00FB392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AA4543D" w14:textId="77777777" w:rsidR="006C6F1F" w:rsidRDefault="006C6F1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D409196" w14:textId="77777777" w:rsidR="006C6F1F" w:rsidRDefault="00FB392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Por ello, es menester precisar </w:t>
      </w:r>
      <w:proofErr w:type="gramStart"/>
      <w:r>
        <w:rPr>
          <w:rFonts w:ascii="Palatino Linotype" w:eastAsia="Palatino Linotype" w:hAnsi="Palatino Linotype" w:cs="Palatino Linotype"/>
          <w:color w:val="000000"/>
          <w:sz w:val="22"/>
          <w:szCs w:val="22"/>
        </w:rPr>
        <w:t>que</w:t>
      </w:r>
      <w:proofErr w:type="gramEnd"/>
      <w:r>
        <w:rPr>
          <w:rFonts w:ascii="Palatino Linotype" w:eastAsia="Palatino Linotype" w:hAnsi="Palatino Linotype" w:cs="Palatino Linotype"/>
          <w:color w:val="000000"/>
          <w:sz w:val="22"/>
          <w:szCs w:val="22"/>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11DF0DA" w14:textId="77777777" w:rsidR="006C6F1F" w:rsidRDefault="006C6F1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4AD8800" w14:textId="77777777" w:rsidR="006C6F1F" w:rsidRDefault="00FB392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04759AB" w14:textId="77777777" w:rsidR="006C6F1F" w:rsidRDefault="006C6F1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C47C945" w14:textId="77777777" w:rsidR="006C6F1F" w:rsidRDefault="00FB392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9010EDE" w14:textId="77777777" w:rsidR="006C6F1F" w:rsidRDefault="006C6F1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8A43A54" w14:textId="77777777" w:rsidR="006C6F1F" w:rsidRDefault="00FB392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lastRenderedPageBreak/>
        <w:t xml:space="preserve">Por ello, excepcionalmente, si un asunto es resuelto con posterioridad a los plazos señalados por la norma debe analizarse la razonabilidad de dicha dilación atendiendo a los siguientes criterios:   </w:t>
      </w:r>
    </w:p>
    <w:p w14:paraId="4F5EA6FE" w14:textId="77777777" w:rsidR="006C6F1F" w:rsidRDefault="006C6F1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D394F7D" w14:textId="77777777" w:rsidR="006C6F1F" w:rsidRDefault="00FB3920">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Asunto: La complejidad de la prueba, la pluralidad de sujetos procesales, el tiempo transcurrido, las características y contexto del recurso. </w:t>
      </w:r>
    </w:p>
    <w:p w14:paraId="1AAB59DC" w14:textId="77777777" w:rsidR="006C6F1F" w:rsidRDefault="006C6F1F">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p>
    <w:p w14:paraId="3AA312AE" w14:textId="77777777" w:rsidR="006C6F1F" w:rsidRDefault="00FB3920">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1D107B2C" w14:textId="77777777" w:rsidR="006C6F1F" w:rsidRDefault="006C6F1F">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p>
    <w:p w14:paraId="1C521849" w14:textId="77777777" w:rsidR="006C6F1F" w:rsidRDefault="00FB3920">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147A5F12" w14:textId="77777777" w:rsidR="006C6F1F" w:rsidRDefault="006C6F1F">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p>
    <w:p w14:paraId="359DF202" w14:textId="77777777" w:rsidR="006C6F1F" w:rsidRDefault="00FB3920">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14:paraId="075A009C" w14:textId="77777777" w:rsidR="006C6F1F" w:rsidRDefault="006C6F1F">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p>
    <w:p w14:paraId="22D617E5" w14:textId="77777777" w:rsidR="006C6F1F" w:rsidRDefault="00FB392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A5F8104" w14:textId="77777777" w:rsidR="006C6F1F" w:rsidRDefault="006C6F1F">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0CE51B3F" w14:textId="77777777" w:rsidR="006C6F1F" w:rsidRDefault="00FB392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color w:val="000000"/>
          <w:sz w:val="22"/>
          <w:szCs w:val="22"/>
        </w:rPr>
        <w:t xml:space="preserve">“TÉRMINOS PROCESALES. PARA DETERMINAR SI UN FUNCIONARIO JUDICIAL ACTUÓ INDEBIDAMENTE POR NO RESPETARLOS SE DEBE ATENDER AL PRESUPUESTO QUE CONSIDERÓ EL </w:t>
      </w:r>
      <w:r>
        <w:rPr>
          <w:rFonts w:ascii="Palatino Linotype" w:eastAsia="Palatino Linotype" w:hAnsi="Palatino Linotype" w:cs="Palatino Linotype"/>
          <w:i/>
          <w:color w:val="000000"/>
          <w:sz w:val="22"/>
          <w:szCs w:val="22"/>
        </w:rPr>
        <w:lastRenderedPageBreak/>
        <w:t>LEGISLADOR AL FIJARLOS Y LAS CARACTERÍSTICAS DEL CASO.”</w:t>
      </w:r>
      <w:r>
        <w:rPr>
          <w:rFonts w:ascii="Palatino Linotype" w:eastAsia="Palatino Linotype" w:hAnsi="Palatino Linotype" w:cs="Palatino Linotype"/>
          <w:color w:val="000000"/>
          <w:sz w:val="22"/>
          <w:szCs w:val="22"/>
        </w:rPr>
        <w:t>, visible en la Gaceta del Seminario Judicial de la Federación con el registro digital 205635.</w:t>
      </w:r>
    </w:p>
    <w:p w14:paraId="4C52FA7B" w14:textId="77777777" w:rsidR="006C6F1F" w:rsidRDefault="006C6F1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6601C2C" w14:textId="77777777" w:rsidR="006C6F1F" w:rsidRDefault="00FB392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0259581" w14:textId="77777777" w:rsidR="006C6F1F" w:rsidRDefault="006C6F1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CE567AE" w14:textId="77777777" w:rsidR="006C6F1F" w:rsidRDefault="00FB392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14:paraId="17C754AE" w14:textId="77777777" w:rsidR="006C6F1F" w:rsidRDefault="006C6F1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5086237" w14:textId="77777777" w:rsidR="006C6F1F" w:rsidRDefault="00FB392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14:paraId="3DACAB00" w14:textId="77777777" w:rsidR="006C6F1F" w:rsidRDefault="006C6F1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42902BB"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“PLAZO RAZONABLE PARA RESOLVER. DIMENSIÓN Y EFECTOS DE ESTE CONCEPTO CUANDO SE ADUCE EXCESIVA CARGA DE TRABAJO.”</w:t>
      </w:r>
      <w:r>
        <w:rPr>
          <w:rFonts w:ascii="Palatino Linotype" w:eastAsia="Palatino Linotype" w:hAnsi="Palatino Linotype" w:cs="Palatino Linotype"/>
          <w:color w:val="000000"/>
          <w:sz w:val="22"/>
          <w:szCs w:val="22"/>
        </w:rPr>
        <w:t xml:space="preserve"> consultable en el Seminario Judicial de la Federación y su gaceta, con el registro digital 2002351.</w:t>
      </w:r>
    </w:p>
    <w:p w14:paraId="545A90B5" w14:textId="77777777" w:rsidR="006C6F1F" w:rsidRDefault="006C6F1F">
      <w:pPr>
        <w:pBdr>
          <w:top w:val="nil"/>
          <w:left w:val="nil"/>
          <w:bottom w:val="nil"/>
          <w:right w:val="nil"/>
          <w:between w:val="nil"/>
        </w:pBdr>
        <w:spacing w:line="360" w:lineRule="auto"/>
        <w:ind w:left="851" w:right="822"/>
        <w:jc w:val="both"/>
        <w:rPr>
          <w:rFonts w:ascii="Palatino Linotype" w:eastAsia="Palatino Linotype" w:hAnsi="Palatino Linotype" w:cs="Palatino Linotype"/>
          <w:b/>
          <w:color w:val="000000"/>
          <w:sz w:val="22"/>
          <w:szCs w:val="22"/>
        </w:rPr>
      </w:pPr>
    </w:p>
    <w:p w14:paraId="316E4240"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“PLAZO RAZONABLE PARA RESOLVER. CONCEPTO Y ELEMENTOS QUE LO INTEGRAN A LA LUZ DEL DERECHO INTERNACIONAL DE LOS DERECHOS HUMANOS.”</w:t>
      </w:r>
      <w:r>
        <w:rPr>
          <w:rFonts w:ascii="Palatino Linotype" w:eastAsia="Palatino Linotype" w:hAnsi="Palatino Linotype" w:cs="Palatino Linotype"/>
          <w:color w:val="000000"/>
          <w:sz w:val="22"/>
          <w:szCs w:val="22"/>
        </w:rPr>
        <w:t>, visible en el Seminario Judicial de la Federación y su gaceta, con el registro digital 2002350.</w:t>
      </w:r>
    </w:p>
    <w:p w14:paraId="6DF06A90" w14:textId="77777777" w:rsidR="006C6F1F" w:rsidRDefault="006C6F1F">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14:paraId="3B3503EF" w14:textId="77777777" w:rsidR="006C6F1F" w:rsidRDefault="00FB392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este Organismo Garante comprometido con la tutela de los derechos humanos confiados, señala que este exceso de plazo legal para resolver el presente asunto, resulta de carácter excepcional.</w:t>
      </w:r>
    </w:p>
    <w:p w14:paraId="7BE4B7C5" w14:textId="77777777" w:rsidR="006C6F1F" w:rsidRDefault="006C6F1F">
      <w:pPr>
        <w:spacing w:line="360" w:lineRule="auto"/>
        <w:ind w:right="113"/>
        <w:jc w:val="both"/>
        <w:rPr>
          <w:rFonts w:ascii="Palatino Linotype" w:eastAsia="Palatino Linotype" w:hAnsi="Palatino Linotype" w:cs="Palatino Linotype"/>
          <w:sz w:val="22"/>
          <w:szCs w:val="22"/>
        </w:rPr>
      </w:pPr>
    </w:p>
    <w:p w14:paraId="106AF981" w14:textId="77777777" w:rsidR="006C6F1F" w:rsidRDefault="00FB3920">
      <w:pPr>
        <w:numPr>
          <w:ilvl w:val="0"/>
          <w:numId w:val="1"/>
        </w:numPr>
        <w:spacing w:line="360" w:lineRule="auto"/>
        <w:ind w:left="0" w:right="113"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dos (02) de diciembre de dos mil veinticuatro, se notificaron los acuerdos a través de los cuales se decretó el cierre de instrucción. </w:t>
      </w:r>
    </w:p>
    <w:p w14:paraId="72F283EE" w14:textId="77777777" w:rsidR="006C6F1F" w:rsidRDefault="006C6F1F">
      <w:pPr>
        <w:spacing w:line="360" w:lineRule="auto"/>
        <w:ind w:right="113"/>
        <w:jc w:val="both"/>
        <w:rPr>
          <w:rFonts w:ascii="Palatino Linotype" w:eastAsia="Palatino Linotype" w:hAnsi="Palatino Linotype" w:cs="Palatino Linotype"/>
          <w:sz w:val="22"/>
          <w:szCs w:val="22"/>
        </w:rPr>
      </w:pPr>
    </w:p>
    <w:p w14:paraId="5CBC38E5" w14:textId="77777777" w:rsidR="006C6F1F" w:rsidRDefault="00FB3920">
      <w:pPr>
        <w:keepNext/>
        <w:keepLines/>
        <w:spacing w:line="360" w:lineRule="auto"/>
        <w:jc w:val="center"/>
        <w:rPr>
          <w:rFonts w:ascii="Palatino Linotype" w:eastAsia="Palatino Linotype" w:hAnsi="Palatino Linotype" w:cs="Palatino Linotype"/>
          <w:sz w:val="22"/>
          <w:szCs w:val="22"/>
        </w:rPr>
      </w:pPr>
      <w:bookmarkStart w:id="2" w:name="_heading=h.1fob9te" w:colFirst="0" w:colLast="0"/>
      <w:bookmarkEnd w:id="2"/>
      <w:r>
        <w:rPr>
          <w:rFonts w:ascii="Palatino Linotype" w:eastAsia="Palatino Linotype" w:hAnsi="Palatino Linotype" w:cs="Palatino Linotype"/>
          <w:b/>
          <w:sz w:val="22"/>
          <w:szCs w:val="22"/>
        </w:rPr>
        <w:t xml:space="preserve">CONSIDERANDO </w:t>
      </w:r>
    </w:p>
    <w:p w14:paraId="3BDF97B6" w14:textId="77777777" w:rsidR="006C6F1F" w:rsidRDefault="006C6F1F">
      <w:pPr>
        <w:spacing w:line="360" w:lineRule="auto"/>
        <w:rPr>
          <w:rFonts w:ascii="Palatino Linotype" w:eastAsia="Palatino Linotype" w:hAnsi="Palatino Linotype" w:cs="Palatino Linotype"/>
          <w:sz w:val="22"/>
          <w:szCs w:val="22"/>
        </w:rPr>
      </w:pPr>
    </w:p>
    <w:p w14:paraId="0BCBF7E3" w14:textId="77777777" w:rsidR="006C6F1F" w:rsidRDefault="00FB3920">
      <w:pPr>
        <w:keepNext/>
        <w:keepLines/>
        <w:spacing w:line="360" w:lineRule="auto"/>
        <w:rPr>
          <w:rFonts w:ascii="Palatino Linotype" w:eastAsia="Palatino Linotype" w:hAnsi="Palatino Linotype" w:cs="Palatino Linotype"/>
          <w:b/>
          <w:sz w:val="22"/>
          <w:szCs w:val="22"/>
        </w:rPr>
      </w:pPr>
      <w:bookmarkStart w:id="3" w:name="_heading=h.3znysh7" w:colFirst="0" w:colLast="0"/>
      <w:bookmarkEnd w:id="3"/>
      <w:r>
        <w:rPr>
          <w:rFonts w:ascii="Palatino Linotype" w:eastAsia="Palatino Linotype" w:hAnsi="Palatino Linotype" w:cs="Palatino Linotype"/>
          <w:b/>
          <w:sz w:val="22"/>
          <w:szCs w:val="22"/>
        </w:rPr>
        <w:t>PRIMERO. De la competencia</w:t>
      </w:r>
    </w:p>
    <w:p w14:paraId="2AF17FFB" w14:textId="77777777" w:rsidR="006C6F1F" w:rsidRDefault="006C6F1F">
      <w:pPr>
        <w:spacing w:line="360" w:lineRule="auto"/>
        <w:jc w:val="both"/>
        <w:rPr>
          <w:rFonts w:ascii="Palatino Linotype" w:eastAsia="Palatino Linotype" w:hAnsi="Palatino Linotype" w:cs="Palatino Linotype"/>
          <w:sz w:val="22"/>
          <w:szCs w:val="22"/>
        </w:rPr>
      </w:pPr>
    </w:p>
    <w:p w14:paraId="0DC782B9" w14:textId="77777777" w:rsidR="006C6F1F" w:rsidRDefault="00FB3920">
      <w:pPr>
        <w:numPr>
          <w:ilvl w:val="0"/>
          <w:numId w:val="1"/>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w:t>
      </w:r>
      <w:r>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39EEB213" w14:textId="77777777" w:rsidR="006C6F1F" w:rsidRDefault="006C6F1F">
      <w:pPr>
        <w:spacing w:line="360" w:lineRule="auto"/>
        <w:jc w:val="both"/>
        <w:rPr>
          <w:rFonts w:ascii="Palatino Linotype" w:eastAsia="Palatino Linotype" w:hAnsi="Palatino Linotype" w:cs="Palatino Linotype"/>
          <w:sz w:val="22"/>
          <w:szCs w:val="22"/>
        </w:rPr>
      </w:pPr>
    </w:p>
    <w:p w14:paraId="15324597" w14:textId="77777777" w:rsidR="006C6F1F" w:rsidRDefault="00FB3920">
      <w:pPr>
        <w:keepNext/>
        <w:keepLines/>
        <w:spacing w:line="360" w:lineRule="auto"/>
        <w:rPr>
          <w:rFonts w:ascii="Palatino Linotype" w:eastAsia="Palatino Linotype" w:hAnsi="Palatino Linotype" w:cs="Palatino Linotype"/>
          <w:b/>
          <w:sz w:val="22"/>
          <w:szCs w:val="22"/>
        </w:rPr>
      </w:pPr>
      <w:bookmarkStart w:id="4" w:name="_heading=h.2et92p0" w:colFirst="0" w:colLast="0"/>
      <w:bookmarkEnd w:id="4"/>
      <w:r>
        <w:rPr>
          <w:rFonts w:ascii="Palatino Linotype" w:eastAsia="Palatino Linotype" w:hAnsi="Palatino Linotype" w:cs="Palatino Linotype"/>
          <w:b/>
          <w:sz w:val="22"/>
          <w:szCs w:val="22"/>
        </w:rPr>
        <w:t>SEGUNDO. De la oportunidad y procedencia.</w:t>
      </w:r>
    </w:p>
    <w:p w14:paraId="44A47EA8" w14:textId="77777777" w:rsidR="006C6F1F" w:rsidRDefault="006C6F1F">
      <w:pPr>
        <w:spacing w:line="360" w:lineRule="auto"/>
        <w:rPr>
          <w:rFonts w:ascii="Palatino Linotype" w:eastAsia="Palatino Linotype" w:hAnsi="Palatino Linotype" w:cs="Palatino Linotype"/>
          <w:sz w:val="22"/>
          <w:szCs w:val="22"/>
        </w:rPr>
      </w:pPr>
    </w:p>
    <w:p w14:paraId="759BD3D6" w14:textId="77777777" w:rsidR="006C6F1F" w:rsidRDefault="00FB392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medio de impugnación fue presentado a través del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en el formato previamente aprobado para tal efecto y dentro del plazo legal de quince días hábiles otorgados; siendo así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entregó respuestas a las solicitudes el día quince (15) de agosto de dos mil veinticuatro, de tal forma que el plazo para interponer el recurso de revisión transcurrió del dieciséis (16) de agosto al cinco (05) de septiembre de dos mil veinticuatro; en consecuencia, presentó sus inconformidades el día diecinueve (19) de agosto de dos mil veinticuatro, por lo que se encuentra dentro de los márgenes temporales previstos en el artículo 178 de la </w:t>
      </w:r>
      <w:r>
        <w:rPr>
          <w:rFonts w:ascii="Palatino Linotype" w:eastAsia="Palatino Linotype" w:hAnsi="Palatino Linotype" w:cs="Palatino Linotype"/>
          <w:b/>
          <w:sz w:val="22"/>
          <w:szCs w:val="22"/>
        </w:rPr>
        <w:t xml:space="preserve">Ley de Transparencia y Acceso a la Información Pública del Estado de México y Municipios </w:t>
      </w:r>
      <w:r>
        <w:rPr>
          <w:rFonts w:ascii="Palatino Linotype" w:eastAsia="Palatino Linotype" w:hAnsi="Palatino Linotype" w:cs="Palatino Linotype"/>
          <w:sz w:val="22"/>
          <w:szCs w:val="22"/>
        </w:rPr>
        <w:t>vigente.</w:t>
      </w:r>
    </w:p>
    <w:p w14:paraId="761AACA7" w14:textId="77777777" w:rsidR="006C6F1F" w:rsidRDefault="006C6F1F">
      <w:pPr>
        <w:spacing w:line="360" w:lineRule="auto"/>
        <w:ind w:right="49"/>
        <w:jc w:val="both"/>
        <w:rPr>
          <w:rFonts w:ascii="Palatino Linotype" w:eastAsia="Palatino Linotype" w:hAnsi="Palatino Linotype" w:cs="Palatino Linotype"/>
          <w:sz w:val="22"/>
          <w:szCs w:val="22"/>
        </w:rPr>
      </w:pPr>
    </w:p>
    <w:p w14:paraId="785E82DE" w14:textId="77777777" w:rsidR="006C6F1F" w:rsidRDefault="00FB3920">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otra parte, de la revisión al expediente electrónico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14:paraId="5CCF76C2" w14:textId="77777777" w:rsidR="006C6F1F" w:rsidRDefault="006C6F1F">
      <w:pPr>
        <w:pBdr>
          <w:top w:val="nil"/>
          <w:left w:val="nil"/>
          <w:bottom w:val="nil"/>
          <w:right w:val="nil"/>
          <w:between w:val="nil"/>
        </w:pBdr>
        <w:rPr>
          <w:rFonts w:ascii="Palatino Linotype" w:eastAsia="Palatino Linotype" w:hAnsi="Palatino Linotype" w:cs="Palatino Linotype"/>
          <w:color w:val="000000"/>
        </w:rPr>
      </w:pPr>
    </w:p>
    <w:p w14:paraId="1E0BD0E9" w14:textId="77777777" w:rsidR="006C6F1F" w:rsidRDefault="00FB3920">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Esto es así, ya que de conformidad con los artículos 6, Apartado A, fracciones III y IV de la Constitución Política de los Estados Unidos Mexicanos y 5, párrafos vigésimo, vigésimo primero y vigésimo </w:t>
      </w:r>
      <w:proofErr w:type="spellStart"/>
      <w:r>
        <w:rPr>
          <w:rFonts w:ascii="Palatino Linotype" w:eastAsia="Palatino Linotype" w:hAnsi="Palatino Linotype" w:cs="Palatino Linotype"/>
        </w:rPr>
        <w:t>segúndo</w:t>
      </w:r>
      <w:proofErr w:type="spellEnd"/>
      <w:r>
        <w:rPr>
          <w:rFonts w:ascii="Palatino Linotype" w:eastAsia="Palatino Linotype" w:hAnsi="Palatino Linotype" w:cs="Palatino Linotype"/>
        </w:rPr>
        <w:t> fracciones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465A4BB8" w14:textId="77777777" w:rsidR="006C6F1F" w:rsidRDefault="006C6F1F">
      <w:pPr>
        <w:pBdr>
          <w:top w:val="nil"/>
          <w:left w:val="nil"/>
          <w:bottom w:val="nil"/>
          <w:right w:val="nil"/>
          <w:between w:val="nil"/>
        </w:pBdr>
        <w:rPr>
          <w:rFonts w:ascii="Palatino Linotype" w:eastAsia="Palatino Linotype" w:hAnsi="Palatino Linotype" w:cs="Palatino Linotype"/>
          <w:color w:val="000000"/>
        </w:rPr>
      </w:pPr>
    </w:p>
    <w:p w14:paraId="111799DA" w14:textId="77777777" w:rsidR="006C6F1F" w:rsidRDefault="00FB3920">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1760906" w14:textId="77777777" w:rsidR="006C6F1F" w:rsidRDefault="006C6F1F">
      <w:pPr>
        <w:pBdr>
          <w:top w:val="nil"/>
          <w:left w:val="nil"/>
          <w:bottom w:val="nil"/>
          <w:right w:val="nil"/>
          <w:between w:val="nil"/>
        </w:pBdr>
        <w:rPr>
          <w:rFonts w:ascii="Palatino Linotype" w:eastAsia="Palatino Linotype" w:hAnsi="Palatino Linotype" w:cs="Palatino Linotype"/>
          <w:color w:val="000000"/>
        </w:rPr>
      </w:pPr>
    </w:p>
    <w:p w14:paraId="38451A4D" w14:textId="77777777" w:rsidR="006C6F1F" w:rsidRDefault="00FB3920">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4E0EBDC2" w14:textId="77777777" w:rsidR="006C6F1F" w:rsidRDefault="006C6F1F">
      <w:pPr>
        <w:pBdr>
          <w:top w:val="nil"/>
          <w:left w:val="nil"/>
          <w:bottom w:val="nil"/>
          <w:right w:val="nil"/>
          <w:between w:val="nil"/>
        </w:pBdr>
        <w:rPr>
          <w:rFonts w:ascii="Palatino Linotype" w:eastAsia="Palatino Linotype" w:hAnsi="Palatino Linotype" w:cs="Palatino Linotype"/>
          <w:color w:val="000000"/>
        </w:rPr>
      </w:pPr>
    </w:p>
    <w:p w14:paraId="2692A7C0" w14:textId="77777777" w:rsidR="006C6F1F" w:rsidRDefault="00FB3920">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lo que el nombre del solicitando y recurrente no puede ser considerado un requisito indispensable de procedibilidad del recurso de revisión que nos ocupa, ya que el acceso a la información no está condicionado a acreditar algún interés ya sea jurídico o legítimo, máxime que es un elemento subsanable por este Órgano Resolutor.</w:t>
      </w:r>
    </w:p>
    <w:p w14:paraId="633A3648" w14:textId="77777777" w:rsidR="006C6F1F" w:rsidRDefault="006C6F1F">
      <w:pPr>
        <w:spacing w:line="360" w:lineRule="auto"/>
        <w:ind w:right="49"/>
        <w:jc w:val="both"/>
        <w:rPr>
          <w:rFonts w:ascii="Palatino Linotype" w:eastAsia="Palatino Linotype" w:hAnsi="Palatino Linotype" w:cs="Palatino Linotype"/>
          <w:sz w:val="22"/>
          <w:szCs w:val="22"/>
        </w:rPr>
      </w:pPr>
    </w:p>
    <w:p w14:paraId="4B415793" w14:textId="77777777" w:rsidR="006C6F1F" w:rsidRDefault="00FB3920">
      <w:pPr>
        <w:numPr>
          <w:ilvl w:val="0"/>
          <w:numId w:val="1"/>
        </w:numPr>
        <w:spacing w:line="360" w:lineRule="auto"/>
        <w:ind w:left="0" w:right="49" w:firstLine="0"/>
        <w:jc w:val="both"/>
        <w:rPr>
          <w:rFonts w:ascii="Palatino Linotype" w:eastAsia="Palatino Linotype" w:hAnsi="Palatino Linotype" w:cs="Palatino Linotype"/>
          <w:sz w:val="22"/>
          <w:szCs w:val="22"/>
        </w:rPr>
      </w:pPr>
      <w:bookmarkStart w:id="5" w:name="_heading=h.tyjcwt" w:colFirst="0" w:colLast="0"/>
      <w:bookmarkEnd w:id="5"/>
      <w:r>
        <w:rPr>
          <w:rFonts w:ascii="Palatino Linotype" w:eastAsia="Palatino Linotype" w:hAnsi="Palatino Linotype" w:cs="Palatino Linotype"/>
          <w:sz w:val="22"/>
          <w:szCs w:val="22"/>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4C98011" w14:textId="77777777" w:rsidR="006C6F1F" w:rsidRDefault="006C6F1F">
      <w:pPr>
        <w:spacing w:line="360" w:lineRule="auto"/>
        <w:ind w:right="49"/>
        <w:jc w:val="both"/>
        <w:rPr>
          <w:rFonts w:ascii="Palatino Linotype" w:eastAsia="Palatino Linotype" w:hAnsi="Palatino Linotype" w:cs="Palatino Linotype"/>
          <w:sz w:val="22"/>
          <w:szCs w:val="22"/>
        </w:rPr>
      </w:pPr>
      <w:bookmarkStart w:id="6" w:name="_heading=h.3dy6vkm" w:colFirst="0" w:colLast="0"/>
      <w:bookmarkEnd w:id="6"/>
    </w:p>
    <w:p w14:paraId="6142C199" w14:textId="77777777" w:rsidR="006C6F1F" w:rsidRDefault="00FB3920">
      <w:pPr>
        <w:spacing w:line="360"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TERCERO. Planteamiento de la Litis.</w:t>
      </w:r>
    </w:p>
    <w:p w14:paraId="5909F7FA" w14:textId="77777777" w:rsidR="006C6F1F" w:rsidRDefault="006C6F1F">
      <w:pPr>
        <w:spacing w:line="360" w:lineRule="auto"/>
        <w:ind w:right="49"/>
        <w:jc w:val="both"/>
        <w:rPr>
          <w:rFonts w:ascii="Palatino Linotype" w:eastAsia="Palatino Linotype" w:hAnsi="Palatino Linotype" w:cs="Palatino Linotype"/>
          <w:b/>
          <w:sz w:val="22"/>
          <w:szCs w:val="22"/>
        </w:rPr>
      </w:pPr>
    </w:p>
    <w:p w14:paraId="6E7B1326" w14:textId="77777777" w:rsidR="006C6F1F" w:rsidRDefault="00FB3920">
      <w:pPr>
        <w:numPr>
          <w:ilvl w:val="0"/>
          <w:numId w:val="1"/>
        </w:numPr>
        <w:spacing w:line="360" w:lineRule="auto"/>
        <w:ind w:left="0" w:right="49"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El particular solicitó los números de contratos generados por la Administración Pública Municipal en el año 2022, 2023 y 2024. </w:t>
      </w:r>
    </w:p>
    <w:p w14:paraId="029A9723" w14:textId="77777777" w:rsidR="006C6F1F" w:rsidRDefault="006C6F1F">
      <w:pPr>
        <w:spacing w:line="360" w:lineRule="auto"/>
        <w:ind w:right="49"/>
        <w:jc w:val="both"/>
        <w:rPr>
          <w:rFonts w:ascii="Palatino Linotype" w:eastAsia="Palatino Linotype" w:hAnsi="Palatino Linotype" w:cs="Palatino Linotype"/>
          <w:sz w:val="22"/>
          <w:szCs w:val="22"/>
        </w:rPr>
      </w:pPr>
    </w:p>
    <w:p w14:paraId="7FA4D6C7" w14:textId="77777777" w:rsidR="006C6F1F" w:rsidRDefault="00FB392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respuesta, el Sujeto Obligado a través de la Dirección de Obras Públicas y Recursos Materiales señalaron los números de contratos celebrados durante los años 2022, 2023 y 2024. </w:t>
      </w:r>
    </w:p>
    <w:p w14:paraId="71D091EB" w14:textId="77777777" w:rsidR="006C6F1F" w:rsidRDefault="006C6F1F">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697ADE6D" w14:textId="77777777" w:rsidR="006C6F1F" w:rsidRDefault="00FB392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Derivado de la respuesta, el particular interpuso recurso de revisión a través del cual manifestó, su inconformidad por la entrega de la información incompleta. </w:t>
      </w:r>
    </w:p>
    <w:p w14:paraId="29B3F7C1" w14:textId="77777777" w:rsidR="006C6F1F" w:rsidRDefault="006C6F1F">
      <w:pPr>
        <w:spacing w:line="360" w:lineRule="auto"/>
        <w:ind w:right="49"/>
        <w:jc w:val="both"/>
        <w:rPr>
          <w:rFonts w:ascii="Palatino Linotype" w:eastAsia="Palatino Linotype" w:hAnsi="Palatino Linotype" w:cs="Palatino Linotype"/>
          <w:sz w:val="22"/>
          <w:szCs w:val="22"/>
        </w:rPr>
      </w:pPr>
    </w:p>
    <w:p w14:paraId="78348020" w14:textId="77777777" w:rsidR="006C6F1F" w:rsidRDefault="00FB3920">
      <w:pPr>
        <w:numPr>
          <w:ilvl w:val="0"/>
          <w:numId w:val="1"/>
        </w:numPr>
        <w:spacing w:line="360" w:lineRule="auto"/>
        <w:ind w:left="0" w:right="49"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En consecuencia, la Litis a resolver en este recurso, se circunscribe a determinar si la respuesta colma con lo solicitado o si se actualiza las causales de procedencia previstas en el </w:t>
      </w:r>
      <w:r>
        <w:rPr>
          <w:rFonts w:ascii="Palatino Linotype" w:eastAsia="Palatino Linotype" w:hAnsi="Palatino Linotype" w:cs="Palatino Linotype"/>
          <w:sz w:val="22"/>
          <w:szCs w:val="22"/>
        </w:rPr>
        <w:lastRenderedPageBreak/>
        <w:t xml:space="preserve">artículo 179, fracción V de la Ley de Transparencia y Acceso a la Información Pública del Estado de México y Municipios; que establece la entrega de información incompleta. </w:t>
      </w:r>
    </w:p>
    <w:p w14:paraId="112443BD" w14:textId="77777777" w:rsidR="006C6F1F" w:rsidRDefault="006C6F1F">
      <w:pPr>
        <w:spacing w:line="360" w:lineRule="auto"/>
        <w:ind w:right="49"/>
        <w:jc w:val="both"/>
        <w:rPr>
          <w:rFonts w:ascii="Palatino Linotype" w:eastAsia="Palatino Linotype" w:hAnsi="Palatino Linotype" w:cs="Palatino Linotype"/>
          <w:sz w:val="22"/>
          <w:szCs w:val="22"/>
        </w:rPr>
      </w:pPr>
    </w:p>
    <w:p w14:paraId="374763BB" w14:textId="77777777" w:rsidR="006C6F1F" w:rsidRDefault="00FB3920">
      <w:pPr>
        <w:keepNext/>
        <w:keepLines/>
        <w:spacing w:line="360" w:lineRule="auto"/>
        <w:ind w:right="48"/>
        <w:rPr>
          <w:rFonts w:ascii="Palatino Linotype" w:eastAsia="Palatino Linotype" w:hAnsi="Palatino Linotype" w:cs="Palatino Linotype"/>
          <w:b/>
          <w:sz w:val="22"/>
          <w:szCs w:val="22"/>
        </w:rPr>
      </w:pPr>
      <w:bookmarkStart w:id="7" w:name="_heading=h.1t3h5sf" w:colFirst="0" w:colLast="0"/>
      <w:bookmarkEnd w:id="7"/>
      <w:r>
        <w:rPr>
          <w:rFonts w:ascii="Palatino Linotype" w:eastAsia="Palatino Linotype" w:hAnsi="Palatino Linotype" w:cs="Palatino Linotype"/>
          <w:b/>
          <w:sz w:val="22"/>
          <w:szCs w:val="22"/>
        </w:rPr>
        <w:t>CUARTO. Del estudio y resolución del recurso de revisión.</w:t>
      </w:r>
    </w:p>
    <w:p w14:paraId="48C9CE01" w14:textId="77777777" w:rsidR="006C6F1F" w:rsidRDefault="006C6F1F">
      <w:pPr>
        <w:spacing w:line="360" w:lineRule="auto"/>
        <w:ind w:right="49"/>
        <w:jc w:val="both"/>
        <w:rPr>
          <w:rFonts w:ascii="Palatino Linotype" w:eastAsia="Palatino Linotype" w:hAnsi="Palatino Linotype" w:cs="Palatino Linotype"/>
          <w:sz w:val="22"/>
          <w:szCs w:val="22"/>
        </w:rPr>
      </w:pPr>
    </w:p>
    <w:p w14:paraId="00F0EABD" w14:textId="77777777" w:rsidR="006C6F1F" w:rsidRDefault="00FB392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3569F721" w14:textId="77777777" w:rsidR="006C6F1F" w:rsidRDefault="006C6F1F">
      <w:pPr>
        <w:spacing w:line="360" w:lineRule="auto"/>
        <w:ind w:right="49"/>
        <w:jc w:val="both"/>
        <w:rPr>
          <w:rFonts w:ascii="Palatino Linotype" w:eastAsia="Palatino Linotype" w:hAnsi="Palatino Linotype" w:cs="Palatino Linotype"/>
          <w:sz w:val="22"/>
          <w:szCs w:val="22"/>
        </w:rPr>
      </w:pPr>
    </w:p>
    <w:p w14:paraId="3D3A75BF" w14:textId="77777777" w:rsidR="006C6F1F" w:rsidRDefault="00FB392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Definiendo el Derecho de Acceso a la Información Pública como: </w:t>
      </w:r>
      <w:r>
        <w:rPr>
          <w:rFonts w:ascii="Palatino Linotype" w:eastAsia="Palatino Linotype" w:hAnsi="Palatino Linotype" w:cs="Palatino Linotype"/>
          <w:i/>
          <w:sz w:val="22"/>
          <w:szCs w:val="22"/>
        </w:rPr>
        <w:t>La igualdad de oportunidades para recibir, buscar e impartir información</w:t>
      </w:r>
      <w:r>
        <w:rPr>
          <w:rFonts w:ascii="Palatino Linotype" w:eastAsia="Palatino Linotype" w:hAnsi="Palatino Linotype" w:cs="Palatino Linotype"/>
          <w:i/>
          <w:sz w:val="22"/>
          <w:szCs w:val="22"/>
          <w:vertAlign w:val="superscript"/>
        </w:rPr>
        <w:footnoteReference w:id="1"/>
      </w:r>
      <w:r>
        <w:rPr>
          <w:rFonts w:ascii="Palatino Linotype" w:eastAsia="Palatino Linotype" w:hAnsi="Palatino Linotype" w:cs="Palatino Linotype"/>
          <w:i/>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sz w:val="22"/>
          <w:szCs w:val="22"/>
          <w:vertAlign w:val="superscript"/>
        </w:rPr>
        <w:footnoteReference w:id="2"/>
      </w:r>
      <w:r>
        <w:rPr>
          <w:rFonts w:ascii="Palatino Linotype" w:eastAsia="Palatino Linotype" w:hAnsi="Palatino Linotype" w:cs="Palatino Linotype"/>
          <w:sz w:val="22"/>
          <w:szCs w:val="22"/>
        </w:rPr>
        <w:t>que se constituye como una herramienta fundamental para ejercer</w:t>
      </w:r>
      <w:r>
        <w:rPr>
          <w:rFonts w:ascii="Palatino Linotype" w:eastAsia="Palatino Linotype" w:hAnsi="Palatino Linotype" w:cs="Palatino Linotype"/>
          <w:i/>
          <w:sz w:val="22"/>
          <w:szCs w:val="22"/>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sz w:val="22"/>
          <w:szCs w:val="22"/>
          <w:vertAlign w:val="superscript"/>
        </w:rPr>
        <w:footnoteReference w:id="3"/>
      </w:r>
      <w:r>
        <w:rPr>
          <w:rFonts w:ascii="Palatino Linotype" w:eastAsia="Palatino Linotype" w:hAnsi="Palatino Linotype" w:cs="Palatino Linotype"/>
          <w:sz w:val="22"/>
          <w:szCs w:val="22"/>
        </w:rPr>
        <w:t>fomentando</w:t>
      </w:r>
      <w:r>
        <w:rPr>
          <w:rFonts w:ascii="Palatino Linotype" w:eastAsia="Palatino Linotype" w:hAnsi="Palatino Linotype" w:cs="Palatino Linotype"/>
          <w:i/>
          <w:sz w:val="22"/>
          <w:szCs w:val="22"/>
        </w:rPr>
        <w:t xml:space="preserve"> la transparencia de las actividades estatales y </w:t>
      </w:r>
      <w:r>
        <w:rPr>
          <w:rFonts w:ascii="Palatino Linotype" w:eastAsia="Palatino Linotype" w:hAnsi="Palatino Linotype" w:cs="Palatino Linotype"/>
          <w:sz w:val="22"/>
          <w:szCs w:val="22"/>
        </w:rPr>
        <w:t>promoviendo</w:t>
      </w:r>
      <w:r>
        <w:rPr>
          <w:rFonts w:ascii="Palatino Linotype" w:eastAsia="Palatino Linotype" w:hAnsi="Palatino Linotype" w:cs="Palatino Linotype"/>
          <w:i/>
          <w:sz w:val="22"/>
          <w:szCs w:val="22"/>
        </w:rPr>
        <w:t xml:space="preserve"> la responsabilidad de los funcionarios sobre su gestión pública,</w:t>
      </w:r>
      <w:r>
        <w:rPr>
          <w:rFonts w:ascii="Palatino Linotype" w:eastAsia="Palatino Linotype" w:hAnsi="Palatino Linotype" w:cs="Palatino Linotype"/>
          <w:i/>
          <w:sz w:val="22"/>
          <w:szCs w:val="22"/>
          <w:vertAlign w:val="superscript"/>
        </w:rPr>
        <w:footnoteReference w:id="4"/>
      </w:r>
      <w:r>
        <w:rPr>
          <w:rFonts w:ascii="Palatino Linotype" w:eastAsia="Palatino Linotype" w:hAnsi="Palatino Linotype" w:cs="Palatino Linotype"/>
          <w:sz w:val="22"/>
          <w:szCs w:val="22"/>
        </w:rPr>
        <w:t>que permite</w:t>
      </w:r>
      <w:r>
        <w:rPr>
          <w:rFonts w:ascii="Palatino Linotype" w:eastAsia="Palatino Linotype" w:hAnsi="Palatino Linotype" w:cs="Palatino Linotype"/>
          <w:i/>
          <w:sz w:val="22"/>
          <w:szCs w:val="22"/>
        </w:rPr>
        <w:t xml:space="preserve"> saber qué están haciendo los gobiernos por sus pueblos, sin lo cual la verdad languidecería y la participación en el gobierno permanecería fragmentada.</w:t>
      </w:r>
    </w:p>
    <w:p w14:paraId="06C3EDA4" w14:textId="77777777" w:rsidR="006C6F1F" w:rsidRDefault="006C6F1F">
      <w:pPr>
        <w:spacing w:line="360" w:lineRule="auto"/>
        <w:ind w:right="49"/>
        <w:jc w:val="both"/>
        <w:rPr>
          <w:rFonts w:ascii="Palatino Linotype" w:eastAsia="Palatino Linotype" w:hAnsi="Palatino Linotype" w:cs="Palatino Linotype"/>
          <w:sz w:val="22"/>
          <w:szCs w:val="22"/>
        </w:rPr>
      </w:pPr>
    </w:p>
    <w:p w14:paraId="25806A79" w14:textId="77777777" w:rsidR="006C6F1F" w:rsidRDefault="00FB392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México, además de los derechos, están reconocidas las garantías para su protección, en ese sentido el párrafo tercero de artículo primero de la Constitución Política de los Estados Unidos Mexicanos, dispone lo siguiente:</w:t>
      </w:r>
    </w:p>
    <w:p w14:paraId="4A8158C8" w14:textId="77777777" w:rsidR="006C6F1F" w:rsidRDefault="006C6F1F">
      <w:pPr>
        <w:spacing w:line="360" w:lineRule="auto"/>
        <w:ind w:right="49"/>
        <w:jc w:val="both"/>
        <w:rPr>
          <w:rFonts w:ascii="Palatino Linotype" w:eastAsia="Palatino Linotype" w:hAnsi="Palatino Linotype" w:cs="Palatino Linotype"/>
          <w:sz w:val="22"/>
          <w:szCs w:val="22"/>
        </w:rPr>
      </w:pPr>
    </w:p>
    <w:p w14:paraId="5F37CCAB" w14:textId="77777777" w:rsidR="006C6F1F" w:rsidRDefault="00FB39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14:paraId="7AB3980E" w14:textId="77777777" w:rsidR="006C6F1F" w:rsidRDefault="00FB39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6DD4C6B" w14:textId="77777777" w:rsidR="006C6F1F" w:rsidRDefault="00FB39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2C97E1D" w14:textId="77777777" w:rsidR="006C6F1F" w:rsidRDefault="00FB3920">
      <w:pPr>
        <w:spacing w:line="360"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14:paraId="06F7DED4" w14:textId="77777777" w:rsidR="006C6F1F" w:rsidRDefault="00FB3920">
      <w:pPr>
        <w:spacing w:line="360" w:lineRule="auto"/>
        <w:ind w:left="567" w:right="567"/>
        <w:jc w:val="both"/>
        <w:rPr>
          <w:rFonts w:ascii="Palatino Linotype" w:eastAsia="Palatino Linotype" w:hAnsi="Palatino Linotype" w:cs="Palatino Linotype"/>
          <w:b/>
          <w:sz w:val="22"/>
          <w:szCs w:val="22"/>
        </w:rPr>
      </w:pPr>
      <w:r>
        <w:rPr>
          <w:rFonts w:ascii="Palatino Linotype" w:eastAsia="Palatino Linotype" w:hAnsi="Palatino Linotype" w:cs="Palatino Linotype"/>
          <w:b/>
          <w:i/>
          <w:sz w:val="22"/>
          <w:szCs w:val="22"/>
        </w:rPr>
        <w:t>(Énfasis Añadido)</w:t>
      </w:r>
    </w:p>
    <w:p w14:paraId="6E2C18A6" w14:textId="77777777" w:rsidR="006C6F1F" w:rsidRDefault="006C6F1F">
      <w:pPr>
        <w:spacing w:line="360" w:lineRule="auto"/>
        <w:ind w:right="49"/>
        <w:jc w:val="both"/>
        <w:rPr>
          <w:rFonts w:ascii="Palatino Linotype" w:eastAsia="Palatino Linotype" w:hAnsi="Palatino Linotype" w:cs="Palatino Linotype"/>
          <w:sz w:val="22"/>
          <w:szCs w:val="22"/>
        </w:rPr>
      </w:pPr>
    </w:p>
    <w:p w14:paraId="2CBA7A87" w14:textId="77777777" w:rsidR="006C6F1F" w:rsidRDefault="00FB392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 mismo artículo.</w:t>
      </w:r>
    </w:p>
    <w:p w14:paraId="08FB5CB2" w14:textId="77777777" w:rsidR="006C6F1F" w:rsidRDefault="006C6F1F">
      <w:pPr>
        <w:spacing w:line="360" w:lineRule="auto"/>
        <w:ind w:right="49"/>
        <w:jc w:val="both"/>
        <w:rPr>
          <w:rFonts w:ascii="Palatino Linotype" w:eastAsia="Palatino Linotype" w:hAnsi="Palatino Linotype" w:cs="Palatino Linotype"/>
          <w:sz w:val="22"/>
          <w:szCs w:val="22"/>
        </w:rPr>
      </w:pPr>
    </w:p>
    <w:p w14:paraId="2E1FCF5D" w14:textId="77777777" w:rsidR="006C6F1F" w:rsidRDefault="00FB392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1562ED31" w14:textId="77777777" w:rsidR="006C6F1F" w:rsidRDefault="006C6F1F">
      <w:pPr>
        <w:spacing w:line="360" w:lineRule="auto"/>
        <w:ind w:right="49"/>
        <w:jc w:val="both"/>
        <w:rPr>
          <w:rFonts w:ascii="Palatino Linotype" w:eastAsia="Palatino Linotype" w:hAnsi="Palatino Linotype" w:cs="Palatino Linotype"/>
          <w:sz w:val="22"/>
          <w:szCs w:val="22"/>
        </w:rPr>
      </w:pPr>
    </w:p>
    <w:p w14:paraId="0F323271" w14:textId="77777777" w:rsidR="006C6F1F" w:rsidRDefault="00FB3920">
      <w:pPr>
        <w:spacing w:line="360" w:lineRule="auto"/>
        <w:ind w:left="567" w:right="567"/>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14:paraId="13C5D106" w14:textId="77777777" w:rsidR="006C6F1F" w:rsidRDefault="00FB3920">
      <w:pPr>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w:t>
      </w:r>
    </w:p>
    <w:p w14:paraId="26F0A0F5" w14:textId="77777777" w:rsidR="006C6F1F" w:rsidRDefault="00FB39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85B9F4E" w14:textId="77777777" w:rsidR="006C6F1F" w:rsidRDefault="00FB39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6DFB7E66" w14:textId="77777777" w:rsidR="006C6F1F" w:rsidRDefault="00FB3920">
      <w:pPr>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642D140D" w14:textId="77777777" w:rsidR="006C6F1F" w:rsidRDefault="00FB39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30672073" w14:textId="77777777" w:rsidR="006C6F1F" w:rsidRDefault="00FB3920">
      <w:pPr>
        <w:tabs>
          <w:tab w:val="left" w:pos="567"/>
        </w:tabs>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(Énfasis añadido)</w:t>
      </w:r>
    </w:p>
    <w:p w14:paraId="7F549A90" w14:textId="77777777" w:rsidR="006C6F1F" w:rsidRDefault="006C6F1F">
      <w:pPr>
        <w:tabs>
          <w:tab w:val="left" w:pos="567"/>
        </w:tabs>
        <w:spacing w:line="360" w:lineRule="auto"/>
        <w:ind w:left="567" w:right="567"/>
        <w:jc w:val="both"/>
        <w:rPr>
          <w:rFonts w:ascii="Palatino Linotype" w:eastAsia="Palatino Linotype" w:hAnsi="Palatino Linotype" w:cs="Palatino Linotype"/>
          <w:b/>
          <w:i/>
          <w:sz w:val="22"/>
          <w:szCs w:val="22"/>
        </w:rPr>
      </w:pPr>
    </w:p>
    <w:p w14:paraId="6BBA8EC1" w14:textId="77777777" w:rsidR="006C6F1F" w:rsidRDefault="00FB3920">
      <w:pPr>
        <w:spacing w:line="360" w:lineRule="auto"/>
        <w:ind w:left="567" w:right="567"/>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14:paraId="6F037979" w14:textId="77777777" w:rsidR="006C6F1F" w:rsidRDefault="00FB39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w:t>
      </w:r>
    </w:p>
    <w:p w14:paraId="7357FE6E" w14:textId="77777777" w:rsidR="006C6F1F" w:rsidRDefault="00FB39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1C8BC52" w14:textId="77777777" w:rsidR="006C6F1F" w:rsidRDefault="00FB39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14:paraId="5CED6117" w14:textId="77777777" w:rsidR="006C6F1F" w:rsidRDefault="00FB39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9B29E41" w14:textId="77777777" w:rsidR="006C6F1F" w:rsidRDefault="00FB39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14:paraId="746DD07E" w14:textId="77777777" w:rsidR="006C6F1F" w:rsidRDefault="00FB39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33E46A69" w14:textId="77777777" w:rsidR="006C6F1F" w:rsidRDefault="00FB3920">
      <w:pPr>
        <w:tabs>
          <w:tab w:val="left" w:pos="567"/>
        </w:tabs>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(Énfasis añadido)</w:t>
      </w:r>
    </w:p>
    <w:p w14:paraId="5CD302B4" w14:textId="77777777" w:rsidR="006C6F1F" w:rsidRDefault="006C6F1F">
      <w:pPr>
        <w:spacing w:line="360" w:lineRule="auto"/>
        <w:ind w:right="49"/>
        <w:jc w:val="both"/>
        <w:rPr>
          <w:rFonts w:ascii="Palatino Linotype" w:eastAsia="Palatino Linotype" w:hAnsi="Palatino Linotype" w:cs="Palatino Linotype"/>
          <w:sz w:val="22"/>
          <w:szCs w:val="22"/>
        </w:rPr>
      </w:pPr>
    </w:p>
    <w:p w14:paraId="261B94F3" w14:textId="77777777" w:rsidR="006C6F1F" w:rsidRDefault="00FB392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sz w:val="22"/>
          <w:szCs w:val="22"/>
        </w:rPr>
        <w:t xml:space="preserve">por los </w:t>
      </w:r>
      <w:r>
        <w:rPr>
          <w:rFonts w:ascii="Palatino Linotype" w:eastAsia="Palatino Linotype" w:hAnsi="Palatino Linotype" w:cs="Palatino Linotype"/>
          <w:i/>
          <w:sz w:val="22"/>
          <w:szCs w:val="22"/>
        </w:rPr>
        <w:lastRenderedPageBreak/>
        <w:t>principios de simplicidad, rapidez gratuidad del procedimiento, auxilio y orientación a los particulares</w:t>
      </w:r>
      <w:r>
        <w:rPr>
          <w:rFonts w:ascii="Palatino Linotype" w:eastAsia="Palatino Linotype" w:hAnsi="Palatino Linotype" w:cs="Palatino Linotype"/>
          <w:sz w:val="22"/>
          <w:szCs w:val="22"/>
        </w:rPr>
        <w:t>, contemplando el derecho de las personas con discapacidad y hablantes de lengua indígena.</w:t>
      </w:r>
    </w:p>
    <w:p w14:paraId="0B2DF4CA" w14:textId="77777777" w:rsidR="006C6F1F" w:rsidRDefault="006C6F1F">
      <w:pPr>
        <w:spacing w:line="360" w:lineRule="auto"/>
        <w:ind w:right="49"/>
        <w:jc w:val="both"/>
        <w:rPr>
          <w:rFonts w:ascii="Palatino Linotype" w:eastAsia="Palatino Linotype" w:hAnsi="Palatino Linotype" w:cs="Palatino Linotype"/>
          <w:sz w:val="22"/>
          <w:szCs w:val="22"/>
        </w:rPr>
      </w:pPr>
    </w:p>
    <w:p w14:paraId="7D1499EF" w14:textId="77777777" w:rsidR="006C6F1F" w:rsidRDefault="00FB392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Derecho de Acceso a la Información se garantiza y respeta oportunamente, y según lo que dispone la Ley, las </w:t>
      </w:r>
      <w:r>
        <w:rPr>
          <w:rFonts w:ascii="Palatino Linotype" w:eastAsia="Palatino Linotype" w:hAnsi="Palatino Linotype" w:cs="Palatino Linotype"/>
          <w:i/>
          <w:sz w:val="22"/>
          <w:szCs w:val="22"/>
        </w:rPr>
        <w:t>solicitudes de acceso a la información</w:t>
      </w:r>
      <w:r>
        <w:rPr>
          <w:rFonts w:ascii="Palatino Linotype" w:eastAsia="Palatino Linotype" w:hAnsi="Palatino Linotype" w:cs="Palatino Linotype"/>
          <w:sz w:val="22"/>
          <w:szCs w:val="22"/>
        </w:rPr>
        <w:t>.</w:t>
      </w:r>
    </w:p>
    <w:p w14:paraId="1A625AA4" w14:textId="77777777" w:rsidR="006C6F1F" w:rsidRDefault="006C6F1F">
      <w:pPr>
        <w:spacing w:line="360" w:lineRule="auto"/>
        <w:ind w:right="49"/>
        <w:jc w:val="both"/>
        <w:rPr>
          <w:rFonts w:ascii="Palatino Linotype" w:eastAsia="Palatino Linotype" w:hAnsi="Palatino Linotype" w:cs="Palatino Linotype"/>
          <w:sz w:val="22"/>
          <w:szCs w:val="22"/>
        </w:rPr>
      </w:pPr>
    </w:p>
    <w:p w14:paraId="4A3BFFF2" w14:textId="77777777" w:rsidR="006C6F1F" w:rsidRDefault="00FB392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entonces, se procede analizar, en primer lugar, si el SUJETO OBLIGADO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toda la información solicitada.</w:t>
      </w:r>
    </w:p>
    <w:p w14:paraId="7AD6D3DB" w14:textId="77777777" w:rsidR="006C6F1F" w:rsidRDefault="006C6F1F">
      <w:pPr>
        <w:spacing w:line="360" w:lineRule="auto"/>
        <w:ind w:right="49"/>
        <w:jc w:val="both"/>
        <w:rPr>
          <w:rFonts w:ascii="Palatino Linotype" w:eastAsia="Palatino Linotype" w:hAnsi="Palatino Linotype" w:cs="Palatino Linotype"/>
          <w:sz w:val="22"/>
          <w:szCs w:val="22"/>
        </w:rPr>
      </w:pPr>
    </w:p>
    <w:p w14:paraId="1E8A7CCF" w14:textId="77777777" w:rsidR="006C6F1F" w:rsidRDefault="00FB392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14:paraId="41E2DB9A" w14:textId="77777777" w:rsidR="006C6F1F" w:rsidRDefault="006C6F1F">
      <w:pPr>
        <w:tabs>
          <w:tab w:val="left" w:pos="851"/>
        </w:tabs>
        <w:spacing w:line="360" w:lineRule="auto"/>
        <w:ind w:right="49"/>
        <w:jc w:val="both"/>
        <w:rPr>
          <w:rFonts w:ascii="Palatino Linotype" w:eastAsia="Palatino Linotype" w:hAnsi="Palatino Linotype" w:cs="Palatino Linotype"/>
          <w:sz w:val="22"/>
          <w:szCs w:val="22"/>
        </w:rPr>
      </w:pPr>
    </w:p>
    <w:p w14:paraId="370F8AF2" w14:textId="77777777" w:rsidR="006C6F1F" w:rsidRDefault="00FB392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Recordemos que el particular solicitó los números de contratos generados por la Administración Pública Municipal en el año 2022, 2023 y 2024. </w:t>
      </w:r>
    </w:p>
    <w:p w14:paraId="37F9E9D9" w14:textId="77777777" w:rsidR="00A233A9" w:rsidRDefault="00A233A9">
      <w:pPr>
        <w:spacing w:line="360" w:lineRule="auto"/>
        <w:ind w:right="49"/>
        <w:jc w:val="both"/>
        <w:rPr>
          <w:rFonts w:ascii="Palatino Linotype" w:eastAsia="Palatino Linotype" w:hAnsi="Palatino Linotype" w:cs="Palatino Linotype"/>
          <w:sz w:val="22"/>
          <w:szCs w:val="22"/>
        </w:rPr>
      </w:pPr>
    </w:p>
    <w:p w14:paraId="098D0E9D" w14:textId="77777777" w:rsidR="006C6F1F" w:rsidRDefault="00FB392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contexto, es necesario señalar que </w:t>
      </w:r>
      <w:r>
        <w:rPr>
          <w:rFonts w:ascii="Palatino Linotype" w:eastAsia="Palatino Linotype" w:hAnsi="Palatino Linotype" w:cs="Palatino Linotype"/>
        </w:rPr>
        <w:t xml:space="preserve">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w:t>
      </w:r>
      <w:r>
        <w:rPr>
          <w:rFonts w:ascii="Palatino Linotype" w:eastAsia="Palatino Linotype" w:hAnsi="Palatino Linotype" w:cs="Palatino Linotype"/>
        </w:rPr>
        <w:lastRenderedPageBreak/>
        <w:t>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03765C47" w14:textId="77777777" w:rsidR="006C6F1F" w:rsidRDefault="006C6F1F">
      <w:pPr>
        <w:pBdr>
          <w:top w:val="nil"/>
          <w:left w:val="nil"/>
          <w:bottom w:val="nil"/>
          <w:right w:val="nil"/>
          <w:between w:val="nil"/>
        </w:pBdr>
        <w:ind w:left="720"/>
        <w:rPr>
          <w:rFonts w:ascii="Palatino Linotype" w:eastAsia="Palatino Linotype" w:hAnsi="Palatino Linotype" w:cs="Palatino Linotype"/>
          <w:color w:val="000000"/>
        </w:rPr>
      </w:pPr>
    </w:p>
    <w:p w14:paraId="6EBECEF4" w14:textId="77777777" w:rsidR="006C6F1F" w:rsidRDefault="00FB392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así que, su obligación es </w:t>
      </w:r>
      <w:r>
        <w:rPr>
          <w:rFonts w:ascii="Palatino Linotype" w:eastAsia="Palatino Linotype" w:hAnsi="Palatino Linotype" w:cs="Palatino Linotype"/>
          <w:i/>
          <w:color w:val="000000"/>
        </w:rPr>
        <w:t>realizar, con efectividad, los trámites internos necesarios para la atención de las solicitudes de información</w:t>
      </w:r>
      <w:r>
        <w:rPr>
          <w:rFonts w:ascii="Century Gothic" w:eastAsia="Century Gothic" w:hAnsi="Century Gothic" w:cs="Century Gothic"/>
          <w:color w:val="000000"/>
          <w:vertAlign w:val="superscript"/>
        </w:rPr>
        <w:footnoteReference w:id="5"/>
      </w:r>
      <w:r>
        <w:rPr>
          <w:rFonts w:ascii="Palatino Linotype" w:eastAsia="Palatino Linotype" w:hAnsi="Palatino Linotype" w:cs="Palatino Linotype"/>
          <w:color w:val="000000"/>
        </w:rPr>
        <w:t>, es decir, deben otorgar respuestas concisas, contundentes y sobre todo que den la certeza de los actos que realizan.</w:t>
      </w:r>
    </w:p>
    <w:p w14:paraId="29166B91" w14:textId="77777777" w:rsidR="006C6F1F" w:rsidRDefault="006C6F1F">
      <w:pPr>
        <w:pBdr>
          <w:top w:val="nil"/>
          <w:left w:val="nil"/>
          <w:bottom w:val="nil"/>
          <w:right w:val="nil"/>
          <w:between w:val="nil"/>
        </w:pBdr>
        <w:ind w:left="720"/>
        <w:rPr>
          <w:rFonts w:ascii="Palatino Linotype" w:eastAsia="Palatino Linotype" w:hAnsi="Palatino Linotype" w:cs="Palatino Linotype"/>
          <w:color w:val="000000"/>
        </w:rPr>
      </w:pPr>
    </w:p>
    <w:p w14:paraId="5C295624" w14:textId="77777777" w:rsidR="006C6F1F" w:rsidRDefault="00FB392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es menester hacer referencia a lo establecido en los artículos 50, 53 fracciones II, IV y V, 58, 59 fracciones I y II, y 162 de la Ley de Transparencia y Acceso a la Información del Estado de México y Municipios, que a la letra estipulan lo siguiente:</w:t>
      </w:r>
    </w:p>
    <w:p w14:paraId="38DA9352" w14:textId="77777777" w:rsidR="006C6F1F" w:rsidRDefault="006C6F1F">
      <w:pPr>
        <w:spacing w:line="360" w:lineRule="auto"/>
        <w:jc w:val="both"/>
        <w:rPr>
          <w:rFonts w:ascii="Palatino Linotype" w:eastAsia="Palatino Linotype" w:hAnsi="Palatino Linotype" w:cs="Palatino Linotype"/>
        </w:rPr>
      </w:pPr>
    </w:p>
    <w:p w14:paraId="34528E60" w14:textId="77777777" w:rsidR="006C6F1F" w:rsidRDefault="00FB3920">
      <w:pPr>
        <w:ind w:left="851" w:right="822"/>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50. </w:t>
      </w:r>
      <w:r>
        <w:rPr>
          <w:rFonts w:ascii="Palatino Linotype" w:eastAsia="Palatino Linotype" w:hAnsi="Palatino Linotype" w:cs="Palatino Linotype"/>
          <w:i/>
        </w:rPr>
        <w:t>Los sujetos obligados contarán con un área responsable para la atención de las solicitudes de información, a la que se le denominará Unidad de Transparencia.</w:t>
      </w:r>
    </w:p>
    <w:p w14:paraId="5E2CCDB1" w14:textId="77777777" w:rsidR="006C6F1F" w:rsidRDefault="006C6F1F">
      <w:pPr>
        <w:ind w:left="851" w:right="822"/>
        <w:jc w:val="both"/>
        <w:rPr>
          <w:rFonts w:ascii="Palatino Linotype" w:eastAsia="Palatino Linotype" w:hAnsi="Palatino Linotype" w:cs="Palatino Linotype"/>
          <w:i/>
        </w:rPr>
      </w:pPr>
    </w:p>
    <w:p w14:paraId="77DBF0D0" w14:textId="77777777" w:rsidR="006C6F1F" w:rsidRDefault="00FB3920">
      <w:pPr>
        <w:ind w:left="851" w:right="822"/>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53. </w:t>
      </w:r>
      <w:r>
        <w:rPr>
          <w:rFonts w:ascii="Palatino Linotype" w:eastAsia="Palatino Linotype" w:hAnsi="Palatino Linotype" w:cs="Palatino Linotype"/>
          <w:i/>
        </w:rPr>
        <w:t>Las Unidades de Transparencia tendrán las siguientes funciones:</w:t>
      </w:r>
    </w:p>
    <w:p w14:paraId="4BB262E2" w14:textId="77777777" w:rsidR="006C6F1F" w:rsidRDefault="00FB3920">
      <w:pPr>
        <w:ind w:left="851" w:right="82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58853BE" w14:textId="77777777" w:rsidR="006C6F1F" w:rsidRDefault="00FB3920">
      <w:pPr>
        <w:ind w:left="851" w:right="822"/>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Recibir, tramitar y dar respuesta a las solicitudes de acceso a la información;</w:t>
      </w:r>
    </w:p>
    <w:p w14:paraId="2A01591F" w14:textId="77777777" w:rsidR="006C6F1F" w:rsidRDefault="00FB3920">
      <w:pPr>
        <w:ind w:left="851" w:right="82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0C4BD7A" w14:textId="77777777" w:rsidR="006C6F1F" w:rsidRDefault="00FB3920">
      <w:pPr>
        <w:ind w:left="851" w:right="822"/>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IV.</w:t>
      </w:r>
      <w:r>
        <w:rPr>
          <w:rFonts w:ascii="Palatino Linotype" w:eastAsia="Palatino Linotype" w:hAnsi="Palatino Linotype" w:cs="Palatino Linotype"/>
          <w:i/>
        </w:rPr>
        <w:t xml:space="preserve"> Realizar, con efectividad, los trámites internos necesarios para la atención de las solicitudes de acceso a la información;</w:t>
      </w:r>
    </w:p>
    <w:p w14:paraId="66A5A22C" w14:textId="77777777" w:rsidR="006C6F1F" w:rsidRDefault="00FB3920">
      <w:pPr>
        <w:ind w:left="851" w:right="822"/>
        <w:jc w:val="both"/>
        <w:rPr>
          <w:rFonts w:ascii="Palatino Linotype" w:eastAsia="Palatino Linotype" w:hAnsi="Palatino Linotype" w:cs="Palatino Linotype"/>
          <w:i/>
        </w:rPr>
      </w:pPr>
      <w:r>
        <w:rPr>
          <w:rFonts w:ascii="Palatino Linotype" w:eastAsia="Palatino Linotype" w:hAnsi="Palatino Linotype" w:cs="Palatino Linotype"/>
          <w:b/>
          <w:i/>
        </w:rPr>
        <w:t>V.</w:t>
      </w:r>
      <w:r>
        <w:rPr>
          <w:rFonts w:ascii="Palatino Linotype" w:eastAsia="Palatino Linotype" w:hAnsi="Palatino Linotype" w:cs="Palatino Linotype"/>
          <w:i/>
        </w:rPr>
        <w:t xml:space="preserve"> Entregar, en su caso, a los particulares la información solicitada;</w:t>
      </w:r>
    </w:p>
    <w:p w14:paraId="7B4B5C4E" w14:textId="77777777" w:rsidR="006C6F1F" w:rsidRDefault="00FB3920">
      <w:pPr>
        <w:ind w:left="851" w:right="82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52112E0" w14:textId="77777777" w:rsidR="006C6F1F" w:rsidRDefault="006C6F1F">
      <w:pPr>
        <w:ind w:left="851" w:right="822"/>
        <w:jc w:val="both"/>
        <w:rPr>
          <w:rFonts w:ascii="Palatino Linotype" w:eastAsia="Palatino Linotype" w:hAnsi="Palatino Linotype" w:cs="Palatino Linotype"/>
          <w:i/>
        </w:rPr>
      </w:pPr>
    </w:p>
    <w:p w14:paraId="30DDDCA4" w14:textId="77777777" w:rsidR="006C6F1F" w:rsidRDefault="00FB3920">
      <w:pPr>
        <w:ind w:left="851" w:right="822"/>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58. </w:t>
      </w:r>
      <w:r>
        <w:rPr>
          <w:rFonts w:ascii="Palatino Linotype" w:eastAsia="Palatino Linotype" w:hAnsi="Palatino Linotype" w:cs="Palatino Linotype"/>
          <w:i/>
        </w:rPr>
        <w:t>Los servidores públicos habilitados serán designados por el titular del sujeto obligado a propuesta del responsable de la Unidad de Transparencia.</w:t>
      </w:r>
    </w:p>
    <w:p w14:paraId="4A663B12" w14:textId="77777777" w:rsidR="006C6F1F" w:rsidRDefault="006C6F1F">
      <w:pPr>
        <w:ind w:left="851" w:right="822"/>
        <w:jc w:val="both"/>
        <w:rPr>
          <w:rFonts w:ascii="Palatino Linotype" w:eastAsia="Palatino Linotype" w:hAnsi="Palatino Linotype" w:cs="Palatino Linotype"/>
          <w:i/>
        </w:rPr>
      </w:pPr>
    </w:p>
    <w:p w14:paraId="4EF503EB" w14:textId="77777777" w:rsidR="006C6F1F" w:rsidRDefault="00FB3920">
      <w:pPr>
        <w:ind w:left="851" w:right="822"/>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59. </w:t>
      </w:r>
      <w:r>
        <w:rPr>
          <w:rFonts w:ascii="Palatino Linotype" w:eastAsia="Palatino Linotype" w:hAnsi="Palatino Linotype" w:cs="Palatino Linotype"/>
          <w:i/>
        </w:rPr>
        <w:t>Los servidores públicos habilitados tendrán las funciones siguientes:</w:t>
      </w:r>
    </w:p>
    <w:p w14:paraId="28A43B2B" w14:textId="77777777" w:rsidR="006C6F1F" w:rsidRDefault="006C6F1F">
      <w:pPr>
        <w:ind w:left="851" w:right="822"/>
        <w:jc w:val="both"/>
        <w:rPr>
          <w:rFonts w:ascii="Palatino Linotype" w:eastAsia="Palatino Linotype" w:hAnsi="Palatino Linotype" w:cs="Palatino Linotype"/>
          <w:i/>
        </w:rPr>
      </w:pPr>
    </w:p>
    <w:p w14:paraId="3F7EB092" w14:textId="77777777" w:rsidR="006C6F1F" w:rsidRDefault="00FB3920">
      <w:pPr>
        <w:ind w:left="851" w:right="822"/>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Localizar la información que le solicite la Unidad de Transparencia;</w:t>
      </w:r>
    </w:p>
    <w:p w14:paraId="7A48A39B" w14:textId="77777777" w:rsidR="006C6F1F" w:rsidRDefault="00FB3920">
      <w:pPr>
        <w:ind w:left="851" w:right="822"/>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Proporcionar la información que obre en los archivos y que le sea solicitada por la Unidad de Transparencia;</w:t>
      </w:r>
    </w:p>
    <w:p w14:paraId="4FB977F4" w14:textId="77777777" w:rsidR="006C6F1F" w:rsidRDefault="00FB3920">
      <w:pPr>
        <w:ind w:left="851" w:right="82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93BB538" w14:textId="77777777" w:rsidR="006C6F1F" w:rsidRDefault="006C6F1F">
      <w:pPr>
        <w:ind w:left="851" w:right="822"/>
        <w:jc w:val="both"/>
        <w:rPr>
          <w:rFonts w:ascii="Palatino Linotype" w:eastAsia="Palatino Linotype" w:hAnsi="Palatino Linotype" w:cs="Palatino Linotype"/>
          <w:i/>
        </w:rPr>
      </w:pPr>
    </w:p>
    <w:p w14:paraId="22A3D633" w14:textId="77777777" w:rsidR="006C6F1F" w:rsidRDefault="00FB3920">
      <w:pPr>
        <w:ind w:left="851" w:right="822"/>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162. </w:t>
      </w:r>
      <w:r>
        <w:rPr>
          <w:rFonts w:ascii="Palatino Linotype" w:eastAsia="Palatino Linotype" w:hAnsi="Palatino Linotype" w:cs="Palatino Linotype"/>
          <w:i/>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25D267E" w14:textId="77777777" w:rsidR="006C6F1F" w:rsidRDefault="006C6F1F">
      <w:pPr>
        <w:spacing w:line="360" w:lineRule="auto"/>
        <w:jc w:val="both"/>
        <w:rPr>
          <w:rFonts w:ascii="Palatino Linotype" w:eastAsia="Palatino Linotype" w:hAnsi="Palatino Linotype" w:cs="Palatino Linotype"/>
        </w:rPr>
      </w:pPr>
    </w:p>
    <w:p w14:paraId="4A9A5995" w14:textId="77777777" w:rsidR="006C6F1F" w:rsidRDefault="00FB392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w:t>
      </w:r>
      <w:r>
        <w:rPr>
          <w:rFonts w:ascii="Palatino Linotype" w:eastAsia="Palatino Linotype" w:hAnsi="Palatino Linotype" w:cs="Palatino Linotype"/>
          <w:color w:val="000000"/>
        </w:rPr>
        <w:lastRenderedPageBreak/>
        <w:t>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14:paraId="1E6B909C" w14:textId="77777777" w:rsidR="006C6F1F" w:rsidRDefault="006C6F1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F97753C" w14:textId="77777777" w:rsidR="006C6F1F" w:rsidRDefault="00FB392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107939FE" w14:textId="77777777" w:rsidR="006C6F1F" w:rsidRDefault="006C6F1F">
      <w:pPr>
        <w:pBdr>
          <w:top w:val="nil"/>
          <w:left w:val="nil"/>
          <w:bottom w:val="nil"/>
          <w:right w:val="nil"/>
          <w:between w:val="nil"/>
        </w:pBdr>
        <w:ind w:left="720"/>
        <w:rPr>
          <w:rFonts w:ascii="Palatino Linotype" w:eastAsia="Palatino Linotype" w:hAnsi="Palatino Linotype" w:cs="Palatino Linotype"/>
          <w:color w:val="000000"/>
        </w:rPr>
      </w:pPr>
    </w:p>
    <w:p w14:paraId="15B28BC9" w14:textId="77777777" w:rsidR="006C6F1F" w:rsidRDefault="00FB392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el caso que se resuelve, las respuestas fueron emitidas por la Dirección de Obras Públicas y la Subdirección de Recursos Materiales, áreas que de acuerdo a lo establecido en el Reglamento Interno de la Administración Pública Municipal de Tlalnepantla de Baz tienes las siguientes atribuciones:</w:t>
      </w:r>
    </w:p>
    <w:p w14:paraId="7DA94E92" w14:textId="77777777" w:rsidR="006C6F1F" w:rsidRDefault="006C6F1F">
      <w:pPr>
        <w:pBdr>
          <w:top w:val="nil"/>
          <w:left w:val="nil"/>
          <w:bottom w:val="nil"/>
          <w:right w:val="nil"/>
          <w:between w:val="nil"/>
        </w:pBdr>
        <w:ind w:left="720"/>
        <w:rPr>
          <w:rFonts w:ascii="Palatino Linotype" w:eastAsia="Palatino Linotype" w:hAnsi="Palatino Linotype" w:cs="Palatino Linotype"/>
          <w:color w:val="000000"/>
        </w:rPr>
      </w:pPr>
    </w:p>
    <w:p w14:paraId="63382BDA" w14:textId="77777777" w:rsidR="006C6F1F" w:rsidRDefault="00FB3920">
      <w:pPr>
        <w:pBdr>
          <w:top w:val="nil"/>
          <w:left w:val="nil"/>
          <w:bottom w:val="nil"/>
          <w:right w:val="nil"/>
          <w:between w:val="nil"/>
        </w:pBdr>
        <w:spacing w:line="360" w:lineRule="auto"/>
        <w:ind w:left="851" w:right="822"/>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“CAPÍTULO XIII.- DE LA DIRECCIÓN DE OBRAS PÚBLICAS</w:t>
      </w:r>
    </w:p>
    <w:p w14:paraId="7CF72AED"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356. Para el despacho de los asuntos de su competencia, la Dirección de Obras Públicas, tendrá las siguientes facultades y obligaciones:</w:t>
      </w:r>
    </w:p>
    <w:p w14:paraId="3136B30B"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1A7F8B09"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Organizar la contratación de las obras públicas municipales, de acuerdo con los requisitos que para dichos actos señale la normatividad respectiva, vigilando su correcta ejecución;</w:t>
      </w:r>
    </w:p>
    <w:p w14:paraId="2A058A2C"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319292C7" w14:textId="77777777" w:rsidR="006C6F1F" w:rsidRDefault="006C6F1F">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p>
    <w:p w14:paraId="5F159922"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357. La Dirección de Obras Públicas, contará con un o una titular que será responsable de la conducción, supervisión y ejecución de las atribuciones a que se refiere el artículo que antecede, y para su auxilio, tendrá a su cargo las siguientes unidades administrativas: </w:t>
      </w:r>
    </w:p>
    <w:p w14:paraId="5AA09A12"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Subdirección de Planeación y Proyectos; </w:t>
      </w:r>
    </w:p>
    <w:p w14:paraId="5E4393E2"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Subdirección de Construcción; </w:t>
      </w:r>
    </w:p>
    <w:p w14:paraId="618D1BCB"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III. Subdirección Normativa</w:t>
      </w:r>
      <w:r>
        <w:rPr>
          <w:rFonts w:ascii="Palatino Linotype" w:eastAsia="Palatino Linotype" w:hAnsi="Palatino Linotype" w:cs="Palatino Linotype"/>
          <w:i/>
          <w:color w:val="000000"/>
          <w:sz w:val="22"/>
          <w:szCs w:val="22"/>
        </w:rPr>
        <w:t xml:space="preserve">; y </w:t>
      </w:r>
    </w:p>
    <w:p w14:paraId="7D701AA7"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Enlace Administrativo.</w:t>
      </w:r>
    </w:p>
    <w:p w14:paraId="50BB65B0" w14:textId="77777777" w:rsidR="006C6F1F" w:rsidRDefault="006C6F1F">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p>
    <w:p w14:paraId="4038F5DE"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SECCIÓN III DE LA SUBDIRECCIÓN NORMATIVA </w:t>
      </w:r>
    </w:p>
    <w:p w14:paraId="643D12D3"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374. Son facultades y obligaciones de la Subdirección Normativa, las siguientes: </w:t>
      </w:r>
    </w:p>
    <w:p w14:paraId="160805F1"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Supervisar la elaboración del presupuesto base de obra; II. Proponer criterios y aprobar la realización de los procedimientos para la adjudicación, contratación e integración de los expedientes de las obras a cargo de la Dirección de Obras Públicas; </w:t>
      </w:r>
    </w:p>
    <w:p w14:paraId="4CD8A77F"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Controlar la actualización del archivo de expedientes de la obra pública y de servicios relacionados con la misma, de acuerdo con las normas relativas y dentro del término legal; </w:t>
      </w:r>
    </w:p>
    <w:p w14:paraId="2E9E8EC7"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Atender los requerimientos documentales de las auditorías que realicen las instancias fiscalizadoras, así como, realizar el seguimiento de las observaciones planteadas por los órganos de control;</w:t>
      </w:r>
    </w:p>
    <w:p w14:paraId="13D82164" w14:textId="77777777" w:rsidR="006C6F1F" w:rsidRDefault="006C6F1F">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p>
    <w:p w14:paraId="6585BC89"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375. </w:t>
      </w:r>
      <w:r>
        <w:rPr>
          <w:rFonts w:ascii="Palatino Linotype" w:eastAsia="Palatino Linotype" w:hAnsi="Palatino Linotype" w:cs="Palatino Linotype"/>
          <w:b/>
          <w:i/>
          <w:color w:val="000000"/>
          <w:sz w:val="22"/>
          <w:szCs w:val="22"/>
        </w:rPr>
        <w:t>La Subdirección Normativa</w:t>
      </w:r>
      <w:r>
        <w:rPr>
          <w:rFonts w:ascii="Palatino Linotype" w:eastAsia="Palatino Linotype" w:hAnsi="Palatino Linotype" w:cs="Palatino Linotype"/>
          <w:i/>
          <w:color w:val="000000"/>
          <w:sz w:val="22"/>
          <w:szCs w:val="22"/>
        </w:rPr>
        <w:t xml:space="preserve"> contará con un o una titular que será responsable de la conducción, supervisión y ejecución de las atribuciones a que </w:t>
      </w:r>
      <w:r>
        <w:rPr>
          <w:rFonts w:ascii="Palatino Linotype" w:eastAsia="Palatino Linotype" w:hAnsi="Palatino Linotype" w:cs="Palatino Linotype"/>
          <w:i/>
          <w:color w:val="000000"/>
          <w:sz w:val="22"/>
          <w:szCs w:val="22"/>
        </w:rPr>
        <w:lastRenderedPageBreak/>
        <w:t xml:space="preserve">se refiere el artículo que antecede, y para su auxilio, tendrá a su cargo, las siguientes unidades administrativas: </w:t>
      </w:r>
    </w:p>
    <w:p w14:paraId="569ED159"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Departamento de Precios Unitarios; </w:t>
      </w:r>
    </w:p>
    <w:p w14:paraId="25D22DA8"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II. Departamento de Adjudicación y Contratación; </w:t>
      </w:r>
    </w:p>
    <w:p w14:paraId="0B2E5635"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Departamento de Evaluación e Integración de Expedientes; </w:t>
      </w:r>
    </w:p>
    <w:p w14:paraId="0BADF05F"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Departamento de Atención a Instancias de Fiscalización.</w:t>
      </w:r>
    </w:p>
    <w:p w14:paraId="2AEB1A12" w14:textId="77777777" w:rsidR="006C6F1F" w:rsidRDefault="006C6F1F">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p>
    <w:p w14:paraId="1853E8CD"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DEL DEPARTAMENTO DE ADJUDICACIÓN Y CONTRATACIÓN </w:t>
      </w:r>
    </w:p>
    <w:p w14:paraId="6616C627"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378. Son facultades y obligaciones del Departamento de Adjudicación y Contratación, las siguientes: </w:t>
      </w:r>
    </w:p>
    <w:p w14:paraId="12BCC387"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Elaborar los programas de contratación de obra pública y servicios relacionados con la misma, que autorice el Ayuntamiento y los que dictamine el Comité Interno de Obras Públicas; </w:t>
      </w:r>
    </w:p>
    <w:p w14:paraId="6EA5C118"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Elaborar el catálogo municipal de contratistas; </w:t>
      </w:r>
    </w:p>
    <w:p w14:paraId="67EDB89E"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III. Coordinar las acciones conducentes con la Dirección Jurídica para la elaboración de los proyectos de contratos, convenios y gestiones de carácter legal necesario para el desempeño de las funciones de la Dirección de Obras Públicas y la Subdirección Normativa;</w:t>
      </w:r>
      <w:r>
        <w:rPr>
          <w:rFonts w:ascii="Palatino Linotype" w:eastAsia="Palatino Linotype" w:hAnsi="Palatino Linotype" w:cs="Palatino Linotype"/>
          <w:i/>
          <w:color w:val="000000"/>
          <w:sz w:val="22"/>
          <w:szCs w:val="22"/>
        </w:rPr>
        <w:t xml:space="preserve"> </w:t>
      </w:r>
    </w:p>
    <w:p w14:paraId="25D06BD4"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Elaborar la convocatoria u oficios de invitación a los diversos procedimientos de adjudicación, así como sus bases para la realización de las obras públicas municipales, de acuerdo con los requisitos que para dichos actos señale la normatividad respectiva vigente; </w:t>
      </w:r>
    </w:p>
    <w:p w14:paraId="47C5631B"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Revisar y emitir evaluación de la solvencia de las propuestas técnicas y legales de los licitantes en procesos de adjudicación; </w:t>
      </w:r>
    </w:p>
    <w:p w14:paraId="7A77DA66"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VI. Recibir y revisar que las garantías que presentan los contratistas cumplan con la normatividad aplicable; </w:t>
      </w:r>
    </w:p>
    <w:p w14:paraId="630261DB"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 Elaborar los informes derivados de la contratación de obra pública y servicios relacionados con la misma; y </w:t>
      </w:r>
    </w:p>
    <w:p w14:paraId="6D70F07D"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VIII. Las demás que le sean aplicables a través del marco normativo federal, estatal y municipal vigentes.”</w:t>
      </w:r>
    </w:p>
    <w:p w14:paraId="20C6D4C3"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211. La Dirección de Administración, contará con un o una titular que será responsable de la conducción, supervisión y ejecución de las atribuciones a que se refiere el artículo que antecede, y para su auxilio, tendrá a su cargo las siguientes unidades administrativas: </w:t>
      </w:r>
    </w:p>
    <w:p w14:paraId="06DCFF4E"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Secretaría Particular de la Dirección de Administración; </w:t>
      </w:r>
    </w:p>
    <w:p w14:paraId="673B0B3B"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Coordinación de Enlaces Administrativos; </w:t>
      </w:r>
    </w:p>
    <w:p w14:paraId="5F2AC39A"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Subdirección de Capital Humano; </w:t>
      </w:r>
    </w:p>
    <w:p w14:paraId="069EDDBD"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IV. Subdirección de Recursos Materiales; </w:t>
      </w:r>
    </w:p>
    <w:p w14:paraId="17AD59A1"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Subdirección de Servicios Generales; y </w:t>
      </w:r>
    </w:p>
    <w:p w14:paraId="70543147"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Subdirección de Informática.</w:t>
      </w:r>
    </w:p>
    <w:p w14:paraId="68F36F0C" w14:textId="77777777" w:rsidR="006C6F1F" w:rsidRDefault="006C6F1F">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p>
    <w:p w14:paraId="5DF7FBBF"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SECCIÓN IV DE LA SUBDIRECCIÓN DE RECURSOS MATERIALES ARTÍCULO 223. La Subdirección de Recursos Materiales, contará con un o una titular que será responsable de la conducción, supervisión y ejecución de las atribuciones a que se refiere el artículo que antecede, y para su auxilio, tendrá a su cargo las siguientes unidades administrativas: </w:t>
      </w:r>
    </w:p>
    <w:p w14:paraId="0D81A6CE"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Departamento de Adquisiciones y Servicios; 102 </w:t>
      </w:r>
    </w:p>
    <w:p w14:paraId="41E8ED33"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Departamento de Almacén e Inventarios; </w:t>
      </w:r>
    </w:p>
    <w:p w14:paraId="1FE0987E"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Departamento de Comités; y </w:t>
      </w:r>
    </w:p>
    <w:p w14:paraId="0646E0E2"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IV. Departamento de Contratos y Convenios.</w:t>
      </w:r>
    </w:p>
    <w:p w14:paraId="682E0009" w14:textId="77777777" w:rsidR="006C6F1F" w:rsidRDefault="006C6F1F">
      <w:pPr>
        <w:pBdr>
          <w:top w:val="nil"/>
          <w:left w:val="nil"/>
          <w:bottom w:val="nil"/>
          <w:right w:val="nil"/>
          <w:between w:val="nil"/>
        </w:pBdr>
        <w:spacing w:line="360" w:lineRule="auto"/>
        <w:ind w:left="851" w:right="822"/>
        <w:jc w:val="both"/>
        <w:rPr>
          <w:rFonts w:ascii="Palatino Linotype" w:eastAsia="Palatino Linotype" w:hAnsi="Palatino Linotype" w:cs="Palatino Linotype"/>
          <w:b/>
          <w:i/>
          <w:color w:val="000000"/>
          <w:sz w:val="22"/>
          <w:szCs w:val="22"/>
        </w:rPr>
      </w:pPr>
    </w:p>
    <w:p w14:paraId="47C4537A"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DEL DEPARTAMENTO DE CONTRATOS Y CONVENIOS </w:t>
      </w:r>
    </w:p>
    <w:p w14:paraId="51C352F9"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229. Son facultades y obligaciones del Departamento de Contratos y Convenios, las siguientes:</w:t>
      </w:r>
    </w:p>
    <w:p w14:paraId="4D530AA0"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I. Diseñar y establecer los métodos y procedimientos necesarios para la elaboración de los contratos y pedidos que se realicen acorde a la normatividad aplicable; </w:t>
      </w:r>
    </w:p>
    <w:p w14:paraId="05CB72BF"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Administrar los recursos materiales, financieros, tecnológicos y capital humano a su cargo, acorde a las disposiciones y normatividad aplicables; </w:t>
      </w:r>
    </w:p>
    <w:p w14:paraId="68FDBBF6"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Acordar con él o la titular de la Subdirección de Recursos Materiales, los asuntos de su competencia; </w:t>
      </w:r>
    </w:p>
    <w:p w14:paraId="6920BD82"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Cumplir estrictamente con la legislación, normatividad y procedimientos establecidos en materia de adquisición de bienes muebles y contratación de servicios; </w:t>
      </w:r>
    </w:p>
    <w:p w14:paraId="281308B5"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Elaborar los contratos respectivos derivados de los procedimientos de adquisiciones de bienes o servicios; </w:t>
      </w:r>
    </w:p>
    <w:p w14:paraId="7D41D17B"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Revisar y verificar la documentación oficial que resulte de los diferentes actos licitatorios para la elaboración de los contratos o pedidos; </w:t>
      </w:r>
    </w:p>
    <w:p w14:paraId="610E51B2"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 Resguardar los contratos y en su caso las garantías que se soliciten para el debido cumplimiento de los contratos; </w:t>
      </w:r>
    </w:p>
    <w:p w14:paraId="7D60F6CC"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VIII. Asegurar, supervisar y cumplir con la normatividad y procedimientos establecidos en materia de Pedidos; </w:t>
      </w:r>
    </w:p>
    <w:p w14:paraId="0BE8E7D9"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IX. Revisar y verificar la documentación oficial que resulte de los diferentes actos licitatorios para la elaboración de los pedidos; </w:t>
      </w:r>
    </w:p>
    <w:p w14:paraId="01132D81"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 Resguardar los pedidos que se elaboren; y </w:t>
      </w:r>
    </w:p>
    <w:p w14:paraId="57C54DC8" w14:textId="77777777" w:rsidR="006C6F1F" w:rsidRDefault="00FB392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XI. Las demás que le sean aplicables a través del marco normativo federal, estatal y municipal vigentes.</w:t>
      </w:r>
    </w:p>
    <w:p w14:paraId="4745DA08" w14:textId="77777777" w:rsidR="006C6F1F" w:rsidRDefault="006C6F1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DCA4B2F" w14:textId="77777777" w:rsidR="006C6F1F" w:rsidRDefault="00FB3920">
      <w:pPr>
        <w:numPr>
          <w:ilvl w:val="0"/>
          <w:numId w:val="1"/>
        </w:numPr>
        <w:pBdr>
          <w:top w:val="nil"/>
          <w:left w:val="nil"/>
          <w:bottom w:val="nil"/>
          <w:right w:val="nil"/>
          <w:between w:val="nil"/>
        </w:pBdr>
        <w:tabs>
          <w:tab w:val="left" w:pos="0"/>
        </w:tabs>
        <w:spacing w:before="240" w:after="360"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lo anteriormente referido, la Dirección de Obras Públicas y la Subdirección de Recursos Materiales, tiene atribuciones para celebrar contratos, es decir, tienen atribuciones para generar, poseer y administrar la información solicitada, por lo tanto, se concluye que el Sujeto Obligado llevó a cabo el proceso de búsqueda establecido en la Ley de Transparencia Local.  </w:t>
      </w:r>
    </w:p>
    <w:p w14:paraId="34B32197" w14:textId="77777777" w:rsidR="006C6F1F" w:rsidRDefault="00FB3920">
      <w:pPr>
        <w:numPr>
          <w:ilvl w:val="0"/>
          <w:numId w:val="1"/>
        </w:numPr>
        <w:pBdr>
          <w:top w:val="nil"/>
          <w:left w:val="nil"/>
          <w:bottom w:val="nil"/>
          <w:right w:val="nil"/>
          <w:between w:val="nil"/>
        </w:pBdr>
        <w:tabs>
          <w:tab w:val="left" w:pos="0"/>
        </w:tabs>
        <w:spacing w:before="240" w:after="360"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Asimismo, la </w:t>
      </w:r>
      <w:r>
        <w:rPr>
          <w:rFonts w:ascii="Palatino Linotype" w:eastAsia="Palatino Linotype" w:hAnsi="Palatino Linotype" w:cs="Palatino Linotype"/>
          <w:b/>
          <w:color w:val="000000"/>
          <w:sz w:val="22"/>
          <w:szCs w:val="22"/>
        </w:rPr>
        <w:t>Ley de Transparencia y Acceso a la Información Pública del Estado de México y Municipios</w:t>
      </w:r>
      <w:r>
        <w:rPr>
          <w:rFonts w:ascii="Palatino Linotype" w:eastAsia="Palatino Linotype" w:hAnsi="Palatino Linotype" w:cs="Palatino Linotype"/>
          <w:color w:val="000000"/>
          <w:sz w:val="22"/>
          <w:szCs w:val="22"/>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w:t>
      </w:r>
      <w:r>
        <w:rPr>
          <w:rFonts w:ascii="Palatino Linotype" w:eastAsia="Palatino Linotype" w:hAnsi="Palatino Linotype" w:cs="Palatino Linotype"/>
          <w:b/>
          <w:color w:val="000000"/>
          <w:sz w:val="22"/>
          <w:szCs w:val="22"/>
        </w:rPr>
        <w:t>veracidad</w:t>
      </w:r>
      <w:r>
        <w:rPr>
          <w:rFonts w:ascii="Palatino Linotype" w:eastAsia="Palatino Linotype" w:hAnsi="Palatino Linotype" w:cs="Palatino Linotype"/>
          <w:color w:val="000000"/>
          <w:sz w:val="22"/>
          <w:szCs w:val="22"/>
        </w:rPr>
        <w:t>, oportunidad entre otros, numeral en comento que a la letra señala:</w:t>
      </w:r>
    </w:p>
    <w:p w14:paraId="571C7DB0" w14:textId="77777777" w:rsidR="006C6F1F" w:rsidRDefault="00FB3920">
      <w:pPr>
        <w:pBdr>
          <w:top w:val="nil"/>
          <w:left w:val="nil"/>
          <w:bottom w:val="nil"/>
          <w:right w:val="nil"/>
          <w:between w:val="nil"/>
        </w:pBdr>
        <w:spacing w:line="276" w:lineRule="auto"/>
        <w:ind w:left="851" w:right="90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“Artículo 4.- </w:t>
      </w:r>
    </w:p>
    <w:p w14:paraId="7B0EAEFD" w14:textId="77777777" w:rsidR="006C6F1F" w:rsidRDefault="00FB3920">
      <w:pPr>
        <w:pBdr>
          <w:top w:val="nil"/>
          <w:left w:val="nil"/>
          <w:bottom w:val="nil"/>
          <w:right w:val="nil"/>
          <w:between w:val="nil"/>
        </w:pBdr>
        <w:spacing w:line="276" w:lineRule="auto"/>
        <w:ind w:left="851" w:right="90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7D5C08E2" w14:textId="77777777" w:rsidR="006C6F1F" w:rsidRDefault="00FB3920">
      <w:pPr>
        <w:pBdr>
          <w:top w:val="nil"/>
          <w:left w:val="nil"/>
          <w:bottom w:val="nil"/>
          <w:right w:val="nil"/>
          <w:between w:val="nil"/>
        </w:pBdr>
        <w:spacing w:line="276" w:lineRule="auto"/>
        <w:ind w:left="851" w:right="90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Los sujetos obligados deben poner en práctica, políticas y programas de acceso a la información que se apeguen a criterios de publicidad, veracidad, oportunidad, precisión y suficiencia en beneficio de los solicitantes.</w:t>
      </w:r>
    </w:p>
    <w:p w14:paraId="4ECDB25F" w14:textId="77777777" w:rsidR="006C6F1F" w:rsidRDefault="00FB3920">
      <w:pPr>
        <w:pBdr>
          <w:top w:val="nil"/>
          <w:left w:val="nil"/>
          <w:bottom w:val="nil"/>
          <w:right w:val="nil"/>
          <w:between w:val="nil"/>
        </w:pBdr>
        <w:spacing w:line="276" w:lineRule="auto"/>
        <w:ind w:left="851" w:right="902"/>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t>…”</w:t>
      </w:r>
    </w:p>
    <w:p w14:paraId="4440D27C" w14:textId="77777777" w:rsidR="006C6F1F" w:rsidRDefault="006C6F1F">
      <w:pPr>
        <w:pBdr>
          <w:top w:val="nil"/>
          <w:left w:val="nil"/>
          <w:bottom w:val="nil"/>
          <w:right w:val="nil"/>
          <w:between w:val="nil"/>
        </w:pBdr>
        <w:tabs>
          <w:tab w:val="left" w:pos="709"/>
        </w:tabs>
        <w:spacing w:line="360" w:lineRule="auto"/>
        <w:ind w:left="720" w:right="51"/>
        <w:jc w:val="both"/>
        <w:rPr>
          <w:rFonts w:ascii="Palatino Linotype" w:eastAsia="Palatino Linotype" w:hAnsi="Palatino Linotype" w:cs="Palatino Linotype"/>
          <w:color w:val="000000"/>
        </w:rPr>
      </w:pPr>
    </w:p>
    <w:p w14:paraId="05D7AF13" w14:textId="2BDD48AF" w:rsidR="006C6F1F" w:rsidRDefault="00FB3920">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bookmarkStart w:id="8" w:name="_heading=h.4d34og8" w:colFirst="0" w:colLast="0"/>
      <w:bookmarkEnd w:id="8"/>
      <w:r>
        <w:rPr>
          <w:rFonts w:ascii="Palatino Linotype" w:eastAsia="Palatino Linotype" w:hAnsi="Palatino Linotype" w:cs="Palatino Linotype"/>
          <w:color w:val="000000"/>
        </w:rPr>
        <w:lastRenderedPageBreak/>
        <w:t xml:space="preserve">Numerales que compelen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apegarse en todo momento a los criterios ya expuestos, </w:t>
      </w:r>
      <w:r w:rsidR="006317EC">
        <w:rPr>
          <w:rFonts w:ascii="Palatino Linotype" w:eastAsia="Palatino Linotype" w:hAnsi="Palatino Linotype" w:cs="Palatino Linotype"/>
          <w:color w:val="000000"/>
        </w:rPr>
        <w:t>impidiendo</w:t>
      </w:r>
      <w:r>
        <w:rPr>
          <w:rFonts w:ascii="Palatino Linotype" w:eastAsia="Palatino Linotype" w:hAnsi="Palatino Linotype" w:cs="Palatino Linotype"/>
          <w:color w:val="000000"/>
        </w:rPr>
        <w:t xml:space="preserve"> a este Órgano Colegiado cuestionar la veracidad de la información.</w:t>
      </w:r>
    </w:p>
    <w:p w14:paraId="3E641F14" w14:textId="77777777" w:rsidR="006C6F1F" w:rsidRDefault="006C6F1F">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color w:val="000000"/>
        </w:rPr>
      </w:pPr>
    </w:p>
    <w:p w14:paraId="22091E6E" w14:textId="77777777" w:rsidR="006C6F1F" w:rsidRDefault="00FB392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consiguiente, en términos del artículo 166 de la Ley de Transparencia local la obligación de acceso a la información pública se tendrá por cumplida cuando el solicitante tenga a su disposición la información requerida, en ese contexto, se advierte que no se vulnero el derecho de acceso a la información del Recurrente, pues la información solicitada le fue entregada en tiempo y forma. </w:t>
      </w:r>
    </w:p>
    <w:p w14:paraId="52E12578" w14:textId="77777777" w:rsidR="006C6F1F" w:rsidRDefault="006C6F1F">
      <w:pPr>
        <w:spacing w:line="360" w:lineRule="auto"/>
        <w:ind w:right="49"/>
        <w:jc w:val="both"/>
        <w:rPr>
          <w:rFonts w:ascii="Palatino Linotype" w:eastAsia="Palatino Linotype" w:hAnsi="Palatino Linotype" w:cs="Palatino Linotype"/>
          <w:sz w:val="22"/>
          <w:szCs w:val="22"/>
        </w:rPr>
      </w:pPr>
    </w:p>
    <w:p w14:paraId="22675FB0" w14:textId="77777777" w:rsidR="006C6F1F" w:rsidRDefault="00FB3920">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anteriormente expuesto, resulta evidente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proporcionó respuesta a la solicitud de información que le fue presentada. En esta tesitura se entiende que no se vulneró el derecho de acceso a la información del recurrente.</w:t>
      </w:r>
    </w:p>
    <w:p w14:paraId="72CE9669" w14:textId="77777777" w:rsidR="006C6F1F" w:rsidRDefault="006C6F1F">
      <w:pPr>
        <w:spacing w:line="360" w:lineRule="auto"/>
        <w:jc w:val="both"/>
        <w:rPr>
          <w:rFonts w:ascii="Palatino Linotype" w:eastAsia="Palatino Linotype" w:hAnsi="Palatino Linotype" w:cs="Palatino Linotype"/>
        </w:rPr>
      </w:pPr>
    </w:p>
    <w:p w14:paraId="7A6D322D" w14:textId="77777777" w:rsidR="006C6F1F" w:rsidRDefault="00FB3920">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Atento a todo lo anteriormente señalado, resultan infundadas las razones o motivos de inconformidad hechos valer por el </w:t>
      </w:r>
      <w:r>
        <w:rPr>
          <w:rFonts w:ascii="Palatino Linotype" w:eastAsia="Palatino Linotype" w:hAnsi="Palatino Linotype" w:cs="Palatino Linotype"/>
          <w:b/>
        </w:rPr>
        <w:t>RECURRENTE, y</w:t>
      </w:r>
      <w:r>
        <w:rPr>
          <w:rFonts w:ascii="Palatino Linotype" w:eastAsia="Palatino Linotype" w:hAnsi="Palatino Linotype" w:cs="Palatino Linotype"/>
        </w:rPr>
        <w:t xml:space="preserve"> en términos del artículo 186 fracción II este Pleno determina procedente </w:t>
      </w:r>
      <w:r>
        <w:rPr>
          <w:rFonts w:ascii="Palatino Linotype" w:eastAsia="Palatino Linotype" w:hAnsi="Palatino Linotype" w:cs="Palatino Linotype"/>
          <w:b/>
        </w:rPr>
        <w:t>CONFIRMAR</w:t>
      </w:r>
      <w:r>
        <w:rPr>
          <w:rFonts w:ascii="Palatino Linotype" w:eastAsia="Palatino Linotype" w:hAnsi="Palatino Linotype" w:cs="Palatino Linotype"/>
        </w:rPr>
        <w:t xml:space="preserve"> las respuestas de los recursos de revisión, toda vez que no hubo afectación al derecho de acceso a la información pública establecido constitucionalmente a favor del particular.</w:t>
      </w:r>
    </w:p>
    <w:p w14:paraId="4A2AE840" w14:textId="77777777" w:rsidR="006C6F1F" w:rsidRDefault="006C6F1F">
      <w:pPr>
        <w:spacing w:line="360" w:lineRule="auto"/>
        <w:ind w:right="49"/>
        <w:jc w:val="both"/>
        <w:rPr>
          <w:rFonts w:ascii="Palatino Linotype" w:eastAsia="Palatino Linotype" w:hAnsi="Palatino Linotype" w:cs="Palatino Linotype"/>
          <w:sz w:val="22"/>
          <w:szCs w:val="22"/>
        </w:rPr>
      </w:pPr>
    </w:p>
    <w:p w14:paraId="6B1CBB7C" w14:textId="77777777" w:rsidR="006C6F1F" w:rsidRDefault="00FB3920">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anteriormente expuesto y fundado, este </w:t>
      </w:r>
      <w:r>
        <w:rPr>
          <w:rFonts w:ascii="Palatino Linotype" w:eastAsia="Palatino Linotype" w:hAnsi="Palatino Linotype" w:cs="Palatino Linotype"/>
          <w:b/>
          <w:sz w:val="22"/>
          <w:szCs w:val="22"/>
        </w:rPr>
        <w:t>ÓRGANO GARANTE</w:t>
      </w:r>
      <w:r>
        <w:rPr>
          <w:rFonts w:ascii="Palatino Linotype" w:eastAsia="Palatino Linotype" w:hAnsi="Palatino Linotype" w:cs="Palatino Linotype"/>
          <w:sz w:val="22"/>
          <w:szCs w:val="22"/>
        </w:rPr>
        <w:t xml:space="preserve"> emite los siguientes:</w:t>
      </w:r>
    </w:p>
    <w:p w14:paraId="485174E4" w14:textId="77777777" w:rsidR="006C6F1F" w:rsidRDefault="006C6F1F">
      <w:pPr>
        <w:spacing w:line="360" w:lineRule="auto"/>
        <w:jc w:val="both"/>
        <w:rPr>
          <w:rFonts w:ascii="Palatino Linotype" w:eastAsia="Palatino Linotype" w:hAnsi="Palatino Linotype" w:cs="Palatino Linotype"/>
          <w:sz w:val="22"/>
          <w:szCs w:val="22"/>
        </w:rPr>
      </w:pPr>
    </w:p>
    <w:p w14:paraId="77FE1795" w14:textId="77777777" w:rsidR="006C6F1F" w:rsidRDefault="00FB3920">
      <w:pPr>
        <w:keepNext/>
        <w:keepLines/>
        <w:spacing w:line="360" w:lineRule="auto"/>
        <w:jc w:val="center"/>
        <w:rPr>
          <w:rFonts w:ascii="Palatino Linotype" w:eastAsia="Palatino Linotype" w:hAnsi="Palatino Linotype" w:cs="Palatino Linotype"/>
          <w:b/>
          <w:sz w:val="22"/>
          <w:szCs w:val="22"/>
        </w:rPr>
      </w:pPr>
      <w:bookmarkStart w:id="9" w:name="_heading=h.2s8eyo1" w:colFirst="0" w:colLast="0"/>
      <w:bookmarkEnd w:id="9"/>
      <w:r>
        <w:rPr>
          <w:rFonts w:ascii="Palatino Linotype" w:eastAsia="Palatino Linotype" w:hAnsi="Palatino Linotype" w:cs="Palatino Linotype"/>
          <w:b/>
          <w:sz w:val="22"/>
          <w:szCs w:val="22"/>
        </w:rPr>
        <w:t>R E S O L U T I V O S</w:t>
      </w:r>
    </w:p>
    <w:p w14:paraId="69DB9747" w14:textId="77777777" w:rsidR="006C6F1F" w:rsidRDefault="006C6F1F">
      <w:pPr>
        <w:keepNext/>
        <w:keepLines/>
        <w:spacing w:line="360" w:lineRule="auto"/>
        <w:jc w:val="center"/>
        <w:rPr>
          <w:rFonts w:ascii="Palatino Linotype" w:eastAsia="Palatino Linotype" w:hAnsi="Palatino Linotype" w:cs="Palatino Linotype"/>
          <w:b/>
          <w:sz w:val="22"/>
          <w:szCs w:val="22"/>
        </w:rPr>
      </w:pPr>
    </w:p>
    <w:p w14:paraId="28476B37" w14:textId="77777777" w:rsidR="006C6F1F" w:rsidRDefault="00FB3920">
      <w:pPr>
        <w:spacing w:line="360" w:lineRule="auto"/>
        <w:ind w:right="4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Resultan infundadas las razones o motivos de inconformidad hechos valer en los recursos de revisión </w:t>
      </w:r>
      <w:r>
        <w:rPr>
          <w:rFonts w:ascii="Palatino Linotype" w:eastAsia="Palatino Linotype" w:hAnsi="Palatino Linotype" w:cs="Palatino Linotype"/>
          <w:b/>
          <w:sz w:val="22"/>
          <w:szCs w:val="22"/>
        </w:rPr>
        <w:t>04943/INFOEM/IP/RR/2024, 04944/INFOEM/IP/RR/</w:t>
      </w:r>
      <w:proofErr w:type="gramStart"/>
      <w:r>
        <w:rPr>
          <w:rFonts w:ascii="Palatino Linotype" w:eastAsia="Palatino Linotype" w:hAnsi="Palatino Linotype" w:cs="Palatino Linotype"/>
          <w:b/>
          <w:sz w:val="22"/>
          <w:szCs w:val="22"/>
        </w:rPr>
        <w:t>2024  y</w:t>
      </w:r>
      <w:proofErr w:type="gramEnd"/>
      <w:r>
        <w:rPr>
          <w:rFonts w:ascii="Palatino Linotype" w:eastAsia="Palatino Linotype" w:hAnsi="Palatino Linotype" w:cs="Palatino Linotype"/>
          <w:b/>
          <w:sz w:val="22"/>
          <w:szCs w:val="22"/>
        </w:rPr>
        <w:t xml:space="preserve"> 04945/INFOEM/IP/RR/2024</w:t>
      </w:r>
      <w:r>
        <w:rPr>
          <w:rFonts w:ascii="Palatino Linotype" w:eastAsia="Palatino Linotype" w:hAnsi="Palatino Linotype" w:cs="Palatino Linotype"/>
          <w:sz w:val="22"/>
          <w:szCs w:val="22"/>
        </w:rPr>
        <w:t xml:space="preserve">, en términos del Considerando </w:t>
      </w:r>
      <w:r>
        <w:rPr>
          <w:rFonts w:ascii="Palatino Linotype" w:eastAsia="Palatino Linotype" w:hAnsi="Palatino Linotype" w:cs="Palatino Linotype"/>
          <w:b/>
          <w:sz w:val="22"/>
          <w:szCs w:val="22"/>
        </w:rPr>
        <w:t>CUARTO</w:t>
      </w:r>
      <w:r>
        <w:rPr>
          <w:rFonts w:ascii="Palatino Linotype" w:eastAsia="Palatino Linotype" w:hAnsi="Palatino Linotype" w:cs="Palatino Linotype"/>
          <w:sz w:val="22"/>
          <w:szCs w:val="22"/>
        </w:rPr>
        <w:t xml:space="preserve"> de la presente resolución.</w:t>
      </w:r>
    </w:p>
    <w:p w14:paraId="56E8F073" w14:textId="77777777" w:rsidR="006C6F1F" w:rsidRDefault="006C6F1F">
      <w:pPr>
        <w:spacing w:line="360" w:lineRule="auto"/>
        <w:ind w:right="48"/>
        <w:jc w:val="both"/>
        <w:rPr>
          <w:rFonts w:ascii="Palatino Linotype" w:eastAsia="Palatino Linotype" w:hAnsi="Palatino Linotype" w:cs="Palatino Linotype"/>
          <w:b/>
          <w:sz w:val="22"/>
          <w:szCs w:val="22"/>
        </w:rPr>
      </w:pPr>
    </w:p>
    <w:p w14:paraId="415D52F4" w14:textId="77777777" w:rsidR="006C6F1F" w:rsidRDefault="00FB3920">
      <w:pPr>
        <w:spacing w:line="360" w:lineRule="auto"/>
        <w:ind w:right="4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CONFIRMAN</w:t>
      </w:r>
      <w:r>
        <w:rPr>
          <w:rFonts w:ascii="Palatino Linotype" w:eastAsia="Palatino Linotype" w:hAnsi="Palatino Linotype" w:cs="Palatino Linotype"/>
          <w:sz w:val="22"/>
          <w:szCs w:val="22"/>
        </w:rPr>
        <w:t xml:space="preserve"> las respuestas emitidas por el Ayuntamiento de Tlalnepantla de Baz a las solicitudes de información con números </w:t>
      </w:r>
      <w:r>
        <w:rPr>
          <w:rFonts w:ascii="Palatino Linotype" w:eastAsia="Palatino Linotype" w:hAnsi="Palatino Linotype" w:cs="Palatino Linotype"/>
          <w:b/>
          <w:sz w:val="22"/>
          <w:szCs w:val="22"/>
        </w:rPr>
        <w:t xml:space="preserve">00732/TLALNEPA/IP/2024, 00731/TLALNEPA/IP/2024 y 00730/TLALNEPA/IP/2024. </w:t>
      </w:r>
    </w:p>
    <w:p w14:paraId="3444390D" w14:textId="77777777" w:rsidR="006C6F1F" w:rsidRDefault="006C6F1F">
      <w:pPr>
        <w:spacing w:line="360" w:lineRule="auto"/>
        <w:ind w:right="48"/>
        <w:jc w:val="both"/>
        <w:rPr>
          <w:rFonts w:ascii="Palatino Linotype" w:eastAsia="Palatino Linotype" w:hAnsi="Palatino Linotype" w:cs="Palatino Linotype"/>
          <w:b/>
          <w:sz w:val="22"/>
          <w:szCs w:val="22"/>
        </w:rPr>
      </w:pPr>
    </w:p>
    <w:p w14:paraId="384D7C78" w14:textId="77777777" w:rsidR="006C6F1F" w:rsidRDefault="00FB3920">
      <w:pPr>
        <w:spacing w:line="360" w:lineRule="auto"/>
        <w:ind w:right="4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TERCERO. REMÍTASE, </w:t>
      </w:r>
      <w:r>
        <w:rPr>
          <w:rFonts w:ascii="Palatino Linotype" w:eastAsia="Palatino Linotype" w:hAnsi="Palatino Linotype" w:cs="Palatino Linotype"/>
          <w:sz w:val="22"/>
          <w:szCs w:val="22"/>
        </w:rPr>
        <w:t xml:space="preserve">vía Sistema de Acceso a la Información Mexiquense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la presente resolución al Titular de la Unidad de Transparencia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w:t>
      </w:r>
    </w:p>
    <w:p w14:paraId="0FACCBC8" w14:textId="77777777" w:rsidR="006C6F1F" w:rsidRDefault="006C6F1F">
      <w:pPr>
        <w:spacing w:line="360" w:lineRule="auto"/>
        <w:ind w:right="48"/>
        <w:jc w:val="both"/>
        <w:rPr>
          <w:rFonts w:ascii="Palatino Linotype" w:eastAsia="Palatino Linotype" w:hAnsi="Palatino Linotype" w:cs="Palatino Linotype"/>
          <w:b/>
          <w:sz w:val="22"/>
          <w:szCs w:val="22"/>
        </w:rPr>
      </w:pPr>
    </w:p>
    <w:p w14:paraId="7312765E" w14:textId="77777777" w:rsidR="006C6F1F" w:rsidRDefault="00FB3920">
      <w:pPr>
        <w:spacing w:line="360" w:lineRule="auto"/>
        <w:ind w:right="4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CUARTO. Notifíquese</w:t>
      </w:r>
      <w:r>
        <w:rPr>
          <w:rFonts w:ascii="Palatino Linotype" w:eastAsia="Palatino Linotype" w:hAnsi="Palatino Linotype" w:cs="Palatino Linotype"/>
          <w:sz w:val="22"/>
          <w:szCs w:val="22"/>
        </w:rPr>
        <w:t xml:space="preserve"> al</w:t>
      </w:r>
      <w:r>
        <w:rPr>
          <w:rFonts w:ascii="Palatino Linotype" w:eastAsia="Palatino Linotype" w:hAnsi="Palatino Linotype" w:cs="Palatino Linotype"/>
          <w:b/>
          <w:sz w:val="22"/>
          <w:szCs w:val="22"/>
        </w:rPr>
        <w:t xml:space="preserve"> RECURRENTE </w:t>
      </w:r>
      <w:r>
        <w:rPr>
          <w:rFonts w:ascii="Palatino Linotype" w:eastAsia="Palatino Linotype" w:hAnsi="Palatino Linotype" w:cs="Palatino Linotype"/>
          <w:sz w:val="22"/>
          <w:szCs w:val="22"/>
        </w:rPr>
        <w:t>la presente resolución vía</w:t>
      </w:r>
      <w:r>
        <w:rPr>
          <w:rFonts w:ascii="Palatino Linotype" w:eastAsia="Palatino Linotype" w:hAnsi="Palatino Linotype" w:cs="Palatino Linotype"/>
          <w:b/>
          <w:sz w:val="22"/>
          <w:szCs w:val="22"/>
        </w:rPr>
        <w:t xml:space="preserve"> SAIMEX.</w:t>
      </w:r>
    </w:p>
    <w:p w14:paraId="2653F5A0" w14:textId="77777777" w:rsidR="006C6F1F" w:rsidRDefault="006C6F1F">
      <w:pPr>
        <w:spacing w:line="360" w:lineRule="auto"/>
        <w:ind w:right="48"/>
        <w:jc w:val="both"/>
        <w:rPr>
          <w:rFonts w:ascii="Palatino Linotype" w:eastAsia="Palatino Linotype" w:hAnsi="Palatino Linotype" w:cs="Palatino Linotype"/>
          <w:b/>
          <w:sz w:val="22"/>
          <w:szCs w:val="22"/>
        </w:rPr>
      </w:pPr>
    </w:p>
    <w:p w14:paraId="7E02D02A" w14:textId="77777777" w:rsidR="006C6F1F" w:rsidRDefault="00FB3920">
      <w:pPr>
        <w:spacing w:line="360" w:lineRule="auto"/>
        <w:ind w:right="4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QUINTO. </w:t>
      </w:r>
      <w:r>
        <w:rPr>
          <w:rFonts w:ascii="Palatino Linotype" w:eastAsia="Palatino Linotype" w:hAnsi="Palatino Linotype" w:cs="Palatino Linotype"/>
          <w:sz w:val="22"/>
          <w:szCs w:val="22"/>
        </w:rPr>
        <w:t>Se hace del conocimiento del</w:t>
      </w:r>
      <w:r>
        <w:rPr>
          <w:rFonts w:ascii="Palatino Linotype" w:eastAsia="Palatino Linotype" w:hAnsi="Palatino Linotype" w:cs="Palatino Linotype"/>
          <w:b/>
          <w:sz w:val="22"/>
          <w:szCs w:val="22"/>
        </w:rPr>
        <w:t xml:space="preserve"> RECURRENTE </w:t>
      </w:r>
      <w:r>
        <w:rPr>
          <w:rFonts w:ascii="Palatino Linotype" w:eastAsia="Palatino Linotype" w:hAnsi="Palatino Linotype" w:cs="Palatino Linotype"/>
          <w:sz w:val="22"/>
          <w:szCs w:val="22"/>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4CF8E1AE" w14:textId="77777777" w:rsidR="006C6F1F" w:rsidRDefault="006C6F1F">
      <w:pPr>
        <w:spacing w:line="360" w:lineRule="auto"/>
        <w:ind w:right="48"/>
        <w:jc w:val="both"/>
        <w:rPr>
          <w:rFonts w:ascii="Palatino Linotype" w:eastAsia="Palatino Linotype" w:hAnsi="Palatino Linotype" w:cs="Palatino Linotype"/>
          <w:b/>
          <w:sz w:val="22"/>
          <w:szCs w:val="22"/>
        </w:rPr>
      </w:pPr>
    </w:p>
    <w:p w14:paraId="02F6A4F5" w14:textId="77777777" w:rsidR="00FC216A" w:rsidRPr="003C7186" w:rsidRDefault="00FC216A" w:rsidP="00FC216A">
      <w:pPr>
        <w:spacing w:line="360" w:lineRule="auto"/>
        <w:ind w:left="-142" w:right="-234" w:firstLine="1"/>
        <w:jc w:val="both"/>
        <w:rPr>
          <w:rFonts w:ascii="Palatino Linotype" w:hAnsi="Palatino Linotype"/>
        </w:rPr>
      </w:pPr>
      <w:r w:rsidRPr="003C7186">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w:t>
      </w:r>
      <w:r w:rsidRPr="003C7186">
        <w:rPr>
          <w:rFonts w:ascii="Palatino Linotype" w:hAnsi="Palatino Linotype"/>
        </w:rPr>
        <w:lastRenderedPageBreak/>
        <w:t>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SEGUNDA </w:t>
      </w:r>
      <w:r w:rsidRPr="003C7186">
        <w:rPr>
          <w:rFonts w:ascii="Palatino Linotype" w:hAnsi="Palatino Linotype"/>
        </w:rPr>
        <w:t xml:space="preserve">SESIÓN ORDINARIA CELEBRADA EL </w:t>
      </w:r>
      <w:r>
        <w:rPr>
          <w:rFonts w:ascii="Palatino Linotype" w:hAnsi="Palatino Linotype"/>
        </w:rPr>
        <w:t>CUATRO</w:t>
      </w:r>
      <w:r w:rsidRPr="003C7186">
        <w:rPr>
          <w:rFonts w:ascii="Palatino Linotype" w:hAnsi="Palatino Linotype"/>
        </w:rPr>
        <w:t xml:space="preserve"> </w:t>
      </w:r>
      <w:r>
        <w:rPr>
          <w:rFonts w:ascii="Palatino Linotype" w:hAnsi="Palatino Linotype"/>
        </w:rPr>
        <w:t>(04) DE DICIEMBRE</w:t>
      </w:r>
      <w:r w:rsidRPr="003C7186">
        <w:rPr>
          <w:rFonts w:ascii="Palatino Linotype" w:hAnsi="Palatino Linotype"/>
        </w:rPr>
        <w:t xml:space="preserve"> DE DOS MIL VEINTICUATRO, ANTE EL SECRETARIO TÉCNICO DEL PLENO ALEXIS TAPIA RAMÍREZ. </w:t>
      </w:r>
    </w:p>
    <w:p w14:paraId="4B230F30" w14:textId="77777777" w:rsidR="006C6F1F" w:rsidRDefault="006C6F1F">
      <w:pPr>
        <w:spacing w:line="360" w:lineRule="auto"/>
        <w:ind w:right="49"/>
        <w:jc w:val="both"/>
        <w:rPr>
          <w:rFonts w:ascii="Palatino Linotype" w:eastAsia="Palatino Linotype" w:hAnsi="Palatino Linotype" w:cs="Palatino Linotype"/>
          <w:sz w:val="22"/>
          <w:szCs w:val="22"/>
        </w:rPr>
      </w:pPr>
    </w:p>
    <w:p w14:paraId="1B0A8985" w14:textId="77777777" w:rsidR="006C6F1F" w:rsidRDefault="006C6F1F">
      <w:pPr>
        <w:spacing w:line="360" w:lineRule="auto"/>
        <w:rPr>
          <w:rFonts w:ascii="Palatino Linotype" w:eastAsia="Palatino Linotype" w:hAnsi="Palatino Linotype" w:cs="Palatino Linotype"/>
          <w:sz w:val="22"/>
          <w:szCs w:val="22"/>
        </w:rPr>
      </w:pPr>
    </w:p>
    <w:p w14:paraId="7E4A7F11" w14:textId="77777777" w:rsidR="006C6F1F" w:rsidRDefault="006C6F1F">
      <w:pPr>
        <w:spacing w:line="360" w:lineRule="auto"/>
        <w:rPr>
          <w:rFonts w:ascii="Palatino Linotype" w:eastAsia="Palatino Linotype" w:hAnsi="Palatino Linotype" w:cs="Palatino Linotype"/>
          <w:sz w:val="22"/>
          <w:szCs w:val="22"/>
        </w:rPr>
      </w:pPr>
    </w:p>
    <w:p w14:paraId="0AF9A185" w14:textId="77777777" w:rsidR="006C6F1F" w:rsidRDefault="006C6F1F">
      <w:pPr>
        <w:spacing w:line="360" w:lineRule="auto"/>
        <w:rPr>
          <w:rFonts w:ascii="Palatino Linotype" w:eastAsia="Palatino Linotype" w:hAnsi="Palatino Linotype" w:cs="Palatino Linotype"/>
          <w:sz w:val="22"/>
          <w:szCs w:val="22"/>
        </w:rPr>
      </w:pPr>
    </w:p>
    <w:p w14:paraId="25B625FD" w14:textId="77777777" w:rsidR="006C6F1F" w:rsidRDefault="006C6F1F">
      <w:pPr>
        <w:spacing w:line="360" w:lineRule="auto"/>
        <w:rPr>
          <w:rFonts w:ascii="Palatino Linotype" w:eastAsia="Palatino Linotype" w:hAnsi="Palatino Linotype" w:cs="Palatino Linotype"/>
          <w:sz w:val="22"/>
          <w:szCs w:val="22"/>
        </w:rPr>
      </w:pPr>
    </w:p>
    <w:p w14:paraId="57DC1700" w14:textId="77777777" w:rsidR="006C6F1F" w:rsidRDefault="006C6F1F">
      <w:pPr>
        <w:spacing w:line="360" w:lineRule="auto"/>
        <w:rPr>
          <w:rFonts w:ascii="Palatino Linotype" w:eastAsia="Palatino Linotype" w:hAnsi="Palatino Linotype" w:cs="Palatino Linotype"/>
          <w:sz w:val="22"/>
          <w:szCs w:val="22"/>
        </w:rPr>
      </w:pPr>
    </w:p>
    <w:p w14:paraId="316B4EC4" w14:textId="77777777" w:rsidR="006C6F1F" w:rsidRDefault="006C6F1F">
      <w:pPr>
        <w:spacing w:line="360" w:lineRule="auto"/>
        <w:rPr>
          <w:rFonts w:ascii="Palatino Linotype" w:eastAsia="Palatino Linotype" w:hAnsi="Palatino Linotype" w:cs="Palatino Linotype"/>
          <w:sz w:val="22"/>
          <w:szCs w:val="22"/>
        </w:rPr>
      </w:pPr>
    </w:p>
    <w:p w14:paraId="7CB98107" w14:textId="77777777" w:rsidR="006C6F1F" w:rsidRDefault="006C6F1F">
      <w:pPr>
        <w:spacing w:line="360" w:lineRule="auto"/>
        <w:rPr>
          <w:rFonts w:ascii="Palatino Linotype" w:eastAsia="Palatino Linotype" w:hAnsi="Palatino Linotype" w:cs="Palatino Linotype"/>
          <w:sz w:val="22"/>
          <w:szCs w:val="22"/>
        </w:rPr>
      </w:pPr>
    </w:p>
    <w:p w14:paraId="7397E2D9" w14:textId="77777777" w:rsidR="006C6F1F" w:rsidRDefault="006C6F1F">
      <w:pPr>
        <w:spacing w:line="360" w:lineRule="auto"/>
        <w:rPr>
          <w:rFonts w:ascii="Palatino Linotype" w:eastAsia="Palatino Linotype" w:hAnsi="Palatino Linotype" w:cs="Palatino Linotype"/>
          <w:sz w:val="22"/>
          <w:szCs w:val="22"/>
        </w:rPr>
      </w:pPr>
    </w:p>
    <w:p w14:paraId="24E6A209" w14:textId="77777777" w:rsidR="006C6F1F" w:rsidRDefault="006C6F1F">
      <w:pPr>
        <w:spacing w:line="360" w:lineRule="auto"/>
        <w:rPr>
          <w:rFonts w:ascii="Palatino Linotype" w:eastAsia="Palatino Linotype" w:hAnsi="Palatino Linotype" w:cs="Palatino Linotype"/>
          <w:sz w:val="22"/>
          <w:szCs w:val="22"/>
        </w:rPr>
      </w:pPr>
    </w:p>
    <w:p w14:paraId="3EE2E8D8" w14:textId="77777777" w:rsidR="006C6F1F" w:rsidRDefault="006C6F1F">
      <w:pPr>
        <w:rPr>
          <w:sz w:val="22"/>
          <w:szCs w:val="22"/>
        </w:rPr>
      </w:pPr>
    </w:p>
    <w:p w14:paraId="220B7B71" w14:textId="77777777" w:rsidR="006C6F1F" w:rsidRDefault="006C6F1F">
      <w:pPr>
        <w:rPr>
          <w:sz w:val="22"/>
          <w:szCs w:val="22"/>
        </w:rPr>
      </w:pPr>
    </w:p>
    <w:p w14:paraId="2D8B50C7" w14:textId="77777777" w:rsidR="006C6F1F" w:rsidRDefault="006C6F1F">
      <w:pPr>
        <w:rPr>
          <w:sz w:val="22"/>
          <w:szCs w:val="22"/>
        </w:rPr>
      </w:pPr>
    </w:p>
    <w:p w14:paraId="54A6BB02" w14:textId="77777777" w:rsidR="006C6F1F" w:rsidRDefault="006C6F1F">
      <w:pPr>
        <w:rPr>
          <w:sz w:val="22"/>
          <w:szCs w:val="22"/>
        </w:rPr>
      </w:pPr>
    </w:p>
    <w:p w14:paraId="1B6117F7" w14:textId="77777777" w:rsidR="006C6F1F" w:rsidRDefault="006C6F1F">
      <w:pPr>
        <w:rPr>
          <w:sz w:val="22"/>
          <w:szCs w:val="22"/>
        </w:rPr>
      </w:pPr>
    </w:p>
    <w:p w14:paraId="76E12935" w14:textId="49984871" w:rsidR="006C6F1F" w:rsidRDefault="006C6F1F">
      <w:pPr>
        <w:rPr>
          <w:sz w:val="22"/>
          <w:szCs w:val="22"/>
        </w:rPr>
      </w:pPr>
    </w:p>
    <w:p w14:paraId="7220008C" w14:textId="50C1F178" w:rsidR="00DE336D" w:rsidRDefault="00DE336D">
      <w:pPr>
        <w:rPr>
          <w:sz w:val="22"/>
          <w:szCs w:val="22"/>
        </w:rPr>
      </w:pPr>
    </w:p>
    <w:p w14:paraId="3B59771D" w14:textId="723B6A4D" w:rsidR="00DE336D" w:rsidRDefault="00DE336D">
      <w:pPr>
        <w:rPr>
          <w:sz w:val="22"/>
          <w:szCs w:val="22"/>
        </w:rPr>
      </w:pPr>
    </w:p>
    <w:p w14:paraId="6C69F2D9" w14:textId="379657CF" w:rsidR="00DE336D" w:rsidRDefault="00DE336D">
      <w:pPr>
        <w:rPr>
          <w:sz w:val="22"/>
          <w:szCs w:val="22"/>
        </w:rPr>
      </w:pPr>
    </w:p>
    <w:p w14:paraId="1DB3661C" w14:textId="066105B6" w:rsidR="00DE336D" w:rsidRDefault="00DE336D">
      <w:pPr>
        <w:rPr>
          <w:sz w:val="22"/>
          <w:szCs w:val="22"/>
        </w:rPr>
      </w:pPr>
    </w:p>
    <w:p w14:paraId="5324B9CF" w14:textId="42F917DC" w:rsidR="00DE336D" w:rsidRDefault="00DE336D">
      <w:pPr>
        <w:rPr>
          <w:sz w:val="22"/>
          <w:szCs w:val="22"/>
        </w:rPr>
      </w:pPr>
    </w:p>
    <w:p w14:paraId="69152EB5" w14:textId="6CADC326" w:rsidR="00DE336D" w:rsidRDefault="00DE336D">
      <w:pPr>
        <w:rPr>
          <w:sz w:val="22"/>
          <w:szCs w:val="22"/>
        </w:rPr>
      </w:pPr>
    </w:p>
    <w:p w14:paraId="61246A23" w14:textId="4D0898C1" w:rsidR="00DE336D" w:rsidRDefault="00DE336D">
      <w:pPr>
        <w:rPr>
          <w:sz w:val="22"/>
          <w:szCs w:val="22"/>
        </w:rPr>
      </w:pPr>
    </w:p>
    <w:p w14:paraId="5DD90E5C" w14:textId="6B08CEFD" w:rsidR="00DE336D" w:rsidRDefault="00DE336D">
      <w:pPr>
        <w:rPr>
          <w:sz w:val="22"/>
          <w:szCs w:val="22"/>
        </w:rPr>
      </w:pPr>
    </w:p>
    <w:p w14:paraId="4BF9AB82" w14:textId="44356DC6" w:rsidR="00DE336D" w:rsidRDefault="00DE336D">
      <w:pPr>
        <w:rPr>
          <w:sz w:val="22"/>
          <w:szCs w:val="22"/>
        </w:rPr>
      </w:pPr>
    </w:p>
    <w:p w14:paraId="50C10CB6" w14:textId="19117C69" w:rsidR="00DE336D" w:rsidRDefault="00DE336D">
      <w:pPr>
        <w:rPr>
          <w:sz w:val="22"/>
          <w:szCs w:val="22"/>
        </w:rPr>
      </w:pPr>
    </w:p>
    <w:p w14:paraId="4EDE76E6" w14:textId="77777777" w:rsidR="00DE336D" w:rsidRDefault="00DE336D">
      <w:pPr>
        <w:rPr>
          <w:sz w:val="22"/>
          <w:szCs w:val="22"/>
        </w:rPr>
      </w:pPr>
      <w:bookmarkStart w:id="10" w:name="_GoBack"/>
      <w:bookmarkEnd w:id="10"/>
    </w:p>
    <w:p w14:paraId="36F6C539" w14:textId="77777777" w:rsidR="006C6F1F" w:rsidRDefault="006C6F1F">
      <w:pPr>
        <w:rPr>
          <w:sz w:val="22"/>
          <w:szCs w:val="22"/>
        </w:rPr>
      </w:pPr>
    </w:p>
    <w:p w14:paraId="33F8F5FF" w14:textId="77777777" w:rsidR="006C6F1F" w:rsidRDefault="006C6F1F">
      <w:pPr>
        <w:rPr>
          <w:sz w:val="22"/>
          <w:szCs w:val="22"/>
        </w:rPr>
      </w:pPr>
    </w:p>
    <w:sectPr w:rsidR="006C6F1F">
      <w:headerReference w:type="even" r:id="rId12"/>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4C1B9" w14:textId="77777777" w:rsidR="00A11105" w:rsidRDefault="00A11105">
      <w:r>
        <w:separator/>
      </w:r>
    </w:p>
  </w:endnote>
  <w:endnote w:type="continuationSeparator" w:id="0">
    <w:p w14:paraId="39B87B4C" w14:textId="77777777" w:rsidR="00A11105" w:rsidRDefault="00A1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78AB" w14:textId="77777777" w:rsidR="006C6F1F" w:rsidRDefault="00FB392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C216A">
      <w:rPr>
        <w:b/>
        <w:noProof/>
        <w:color w:val="000000"/>
      </w:rPr>
      <w:t>32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C216A">
      <w:rPr>
        <w:b/>
        <w:noProof/>
        <w:color w:val="000000"/>
      </w:rPr>
      <w:t>34</w:t>
    </w:r>
    <w:r>
      <w:rPr>
        <w:b/>
        <w:color w:val="000000"/>
      </w:rPr>
      <w:fldChar w:fldCharType="end"/>
    </w:r>
  </w:p>
  <w:p w14:paraId="2D80310F" w14:textId="77777777" w:rsidR="006C6F1F" w:rsidRDefault="006C6F1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B8BA4" w14:textId="77777777" w:rsidR="006C6F1F" w:rsidRDefault="00FB392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C216A">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C216A">
      <w:rPr>
        <w:b/>
        <w:noProof/>
        <w:color w:val="000000"/>
      </w:rPr>
      <w:t>34</w:t>
    </w:r>
    <w:r>
      <w:rPr>
        <w:b/>
        <w:color w:val="000000"/>
      </w:rPr>
      <w:fldChar w:fldCharType="end"/>
    </w:r>
  </w:p>
  <w:p w14:paraId="30B8E453" w14:textId="77777777" w:rsidR="006C6F1F" w:rsidRDefault="006C6F1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9587C" w14:textId="77777777" w:rsidR="00A11105" w:rsidRDefault="00A11105">
      <w:r>
        <w:separator/>
      </w:r>
    </w:p>
  </w:footnote>
  <w:footnote w:type="continuationSeparator" w:id="0">
    <w:p w14:paraId="3B864581" w14:textId="77777777" w:rsidR="00A11105" w:rsidRDefault="00A11105">
      <w:r>
        <w:continuationSeparator/>
      </w:r>
    </w:p>
  </w:footnote>
  <w:footnote w:id="1">
    <w:p w14:paraId="58CEFE03" w14:textId="77777777" w:rsidR="006C6F1F" w:rsidRDefault="00FB392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17F3A37E" w14:textId="77777777" w:rsidR="006C6F1F" w:rsidRDefault="00FB392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78D3C98C" w14:textId="77777777" w:rsidR="006C6F1F" w:rsidRDefault="00FB392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6FE80993" w14:textId="77777777" w:rsidR="006C6F1F" w:rsidRDefault="00FB392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w:t>
      </w:r>
      <w:r>
        <w:rPr>
          <w:rFonts w:ascii="Calibri" w:eastAsia="Calibri" w:hAnsi="Calibri" w:cs="Calibri"/>
          <w:color w:val="000000"/>
          <w:sz w:val="20"/>
          <w:szCs w:val="20"/>
        </w:rPr>
        <w:t>Parr. 87.</w:t>
      </w:r>
    </w:p>
  </w:footnote>
  <w:footnote w:id="5">
    <w:p w14:paraId="33C44736" w14:textId="77777777" w:rsidR="006C6F1F" w:rsidRDefault="00FB392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Fracción IV. Artículo 53.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D882B" w14:textId="77777777" w:rsidR="006C6F1F" w:rsidRDefault="00A11105">
    <w:pPr>
      <w:pBdr>
        <w:top w:val="nil"/>
        <w:left w:val="nil"/>
        <w:bottom w:val="nil"/>
        <w:right w:val="nil"/>
        <w:between w:val="nil"/>
      </w:pBdr>
      <w:tabs>
        <w:tab w:val="center" w:pos="4419"/>
        <w:tab w:val="right" w:pos="8838"/>
      </w:tabs>
      <w:rPr>
        <w:color w:val="000000"/>
      </w:rPr>
    </w:pPr>
    <w:r>
      <w:rPr>
        <w:color w:val="000000"/>
      </w:rPr>
      <w:pict w14:anchorId="3E7C9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87F53" w14:textId="77777777" w:rsidR="006C6F1F" w:rsidRDefault="006C6F1F">
    <w:pPr>
      <w:widowControl w:val="0"/>
      <w:pBdr>
        <w:top w:val="nil"/>
        <w:left w:val="nil"/>
        <w:bottom w:val="nil"/>
        <w:right w:val="nil"/>
        <w:between w:val="nil"/>
      </w:pBdr>
      <w:spacing w:line="276" w:lineRule="auto"/>
      <w:rPr>
        <w:color w:val="000000"/>
      </w:rPr>
    </w:pPr>
  </w:p>
  <w:tbl>
    <w:tblPr>
      <w:tblStyle w:val="a3"/>
      <w:tblW w:w="9214" w:type="dxa"/>
      <w:tblInd w:w="0" w:type="dxa"/>
      <w:tblLayout w:type="fixed"/>
      <w:tblLook w:val="0400" w:firstRow="0" w:lastRow="0" w:firstColumn="0" w:lastColumn="0" w:noHBand="0" w:noVBand="1"/>
    </w:tblPr>
    <w:tblGrid>
      <w:gridCol w:w="2268"/>
      <w:gridCol w:w="6946"/>
    </w:tblGrid>
    <w:tr w:rsidR="006C6F1F" w14:paraId="461F5FE4" w14:textId="77777777">
      <w:trPr>
        <w:trHeight w:val="1435"/>
      </w:trPr>
      <w:tc>
        <w:tcPr>
          <w:tcW w:w="2268" w:type="dxa"/>
        </w:tcPr>
        <w:p w14:paraId="06393699" w14:textId="77777777" w:rsidR="006C6F1F" w:rsidRDefault="006C6F1F">
          <w:pPr>
            <w:tabs>
              <w:tab w:val="right" w:pos="4273"/>
            </w:tabs>
            <w:rPr>
              <w:rFonts w:ascii="Garamond" w:eastAsia="Garamond" w:hAnsi="Garamond" w:cs="Garamond"/>
              <w:sz w:val="16"/>
              <w:szCs w:val="16"/>
            </w:rPr>
          </w:pPr>
        </w:p>
      </w:tc>
      <w:tc>
        <w:tcPr>
          <w:tcW w:w="6946" w:type="dxa"/>
        </w:tcPr>
        <w:p w14:paraId="5BF03BD6" w14:textId="77777777" w:rsidR="006C6F1F" w:rsidRDefault="006C6F1F"/>
        <w:tbl>
          <w:tblPr>
            <w:tblStyle w:val="a4"/>
            <w:tblW w:w="6662" w:type="dxa"/>
            <w:tblInd w:w="40" w:type="dxa"/>
            <w:tblLayout w:type="fixed"/>
            <w:tblLook w:val="0400" w:firstRow="0" w:lastRow="0" w:firstColumn="0" w:lastColumn="0" w:noHBand="0" w:noVBand="1"/>
          </w:tblPr>
          <w:tblGrid>
            <w:gridCol w:w="2551"/>
            <w:gridCol w:w="4111"/>
          </w:tblGrid>
          <w:tr w:rsidR="006C6F1F" w14:paraId="72ADB62C" w14:textId="77777777">
            <w:trPr>
              <w:trHeight w:val="150"/>
            </w:trPr>
            <w:tc>
              <w:tcPr>
                <w:tcW w:w="2551" w:type="dxa"/>
                <w:tcBorders>
                  <w:top w:val="nil"/>
                  <w:left w:val="nil"/>
                  <w:bottom w:val="nil"/>
                  <w:right w:val="nil"/>
                </w:tcBorders>
              </w:tcPr>
              <w:p w14:paraId="2A3459AF" w14:textId="77777777" w:rsidR="006C6F1F" w:rsidRDefault="00FB3920">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111" w:type="dxa"/>
                <w:tcBorders>
                  <w:top w:val="nil"/>
                  <w:left w:val="nil"/>
                  <w:bottom w:val="nil"/>
                  <w:right w:val="nil"/>
                </w:tcBorders>
              </w:tcPr>
              <w:p w14:paraId="3561595B" w14:textId="77777777" w:rsidR="006C6F1F" w:rsidRDefault="00FB3920">
                <w:pPr>
                  <w:tabs>
                    <w:tab w:val="right" w:pos="8838"/>
                  </w:tabs>
                  <w:ind w:left="-108" w:right="-102"/>
                  <w:jc w:val="both"/>
                  <w:rPr>
                    <w:rFonts w:ascii="Palatino Linotype" w:eastAsia="Palatino Linotype" w:hAnsi="Palatino Linotype" w:cs="Palatino Linotype"/>
                  </w:rPr>
                </w:pPr>
                <w:r>
                  <w:rPr>
                    <w:rFonts w:ascii="Palatino Linotype" w:eastAsia="Palatino Linotype" w:hAnsi="Palatino Linotype" w:cs="Palatino Linotype"/>
                  </w:rPr>
                  <w:t>04943/INFOEM/IP/RR/2024 y Acumulados</w:t>
                </w:r>
              </w:p>
            </w:tc>
          </w:tr>
          <w:tr w:rsidR="006C6F1F" w14:paraId="63D41A11" w14:textId="77777777">
            <w:trPr>
              <w:trHeight w:val="295"/>
            </w:trPr>
            <w:tc>
              <w:tcPr>
                <w:tcW w:w="2551" w:type="dxa"/>
                <w:tcBorders>
                  <w:top w:val="nil"/>
                  <w:left w:val="nil"/>
                  <w:bottom w:val="nil"/>
                  <w:right w:val="nil"/>
                </w:tcBorders>
              </w:tcPr>
              <w:p w14:paraId="0D32A615" w14:textId="77777777" w:rsidR="006C6F1F" w:rsidRDefault="00FB3920">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111" w:type="dxa"/>
                <w:tcBorders>
                  <w:top w:val="nil"/>
                  <w:left w:val="nil"/>
                  <w:bottom w:val="nil"/>
                  <w:right w:val="nil"/>
                </w:tcBorders>
              </w:tcPr>
              <w:p w14:paraId="6B1A1CE9" w14:textId="77777777" w:rsidR="006C6F1F" w:rsidRDefault="00FB3920">
                <w:pPr>
                  <w:tabs>
                    <w:tab w:val="left" w:pos="2834"/>
                    <w:tab w:val="right" w:pos="8838"/>
                  </w:tabs>
                  <w:ind w:left="-108" w:right="-102"/>
                  <w:jc w:val="both"/>
                  <w:rPr>
                    <w:rFonts w:ascii="Palatino Linotype" w:eastAsia="Palatino Linotype" w:hAnsi="Palatino Linotype" w:cs="Palatino Linotype"/>
                  </w:rPr>
                </w:pPr>
                <w:r>
                  <w:rPr>
                    <w:rFonts w:ascii="Palatino Linotype" w:eastAsia="Palatino Linotype" w:hAnsi="Palatino Linotype" w:cs="Palatino Linotype"/>
                  </w:rPr>
                  <w:t>Ayuntamiento de Tlalnepantla de Baz</w:t>
                </w:r>
              </w:p>
            </w:tc>
          </w:tr>
          <w:tr w:rsidR="006C6F1F" w14:paraId="38E91222" w14:textId="77777777">
            <w:trPr>
              <w:trHeight w:val="295"/>
            </w:trPr>
            <w:tc>
              <w:tcPr>
                <w:tcW w:w="2551" w:type="dxa"/>
                <w:tcBorders>
                  <w:top w:val="nil"/>
                  <w:left w:val="nil"/>
                  <w:bottom w:val="nil"/>
                  <w:right w:val="nil"/>
                </w:tcBorders>
              </w:tcPr>
              <w:p w14:paraId="5AF8EF17" w14:textId="77777777" w:rsidR="006C6F1F" w:rsidRDefault="00FB3920">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111" w:type="dxa"/>
                <w:tcBorders>
                  <w:top w:val="nil"/>
                  <w:left w:val="nil"/>
                  <w:bottom w:val="nil"/>
                  <w:right w:val="nil"/>
                </w:tcBorders>
              </w:tcPr>
              <w:p w14:paraId="1AF93B4C" w14:textId="77777777" w:rsidR="006C6F1F" w:rsidRDefault="00FB3920">
                <w:pPr>
                  <w:tabs>
                    <w:tab w:val="right" w:pos="8838"/>
                  </w:tabs>
                  <w:ind w:left="-108" w:right="171"/>
                  <w:jc w:val="both"/>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66648256" w14:textId="77777777" w:rsidR="006C6F1F" w:rsidRDefault="006C6F1F">
                <w:pPr>
                  <w:tabs>
                    <w:tab w:val="right" w:pos="8838"/>
                  </w:tabs>
                  <w:ind w:left="-108" w:right="171"/>
                  <w:jc w:val="both"/>
                  <w:rPr>
                    <w:rFonts w:ascii="Palatino Linotype" w:eastAsia="Palatino Linotype" w:hAnsi="Palatino Linotype" w:cs="Palatino Linotype"/>
                    <w:b/>
                  </w:rPr>
                </w:pPr>
              </w:p>
            </w:tc>
          </w:tr>
        </w:tbl>
        <w:p w14:paraId="6069639D" w14:textId="77777777" w:rsidR="006C6F1F" w:rsidRDefault="006C6F1F">
          <w:pPr>
            <w:tabs>
              <w:tab w:val="right" w:pos="8838"/>
            </w:tabs>
            <w:ind w:left="-28"/>
            <w:jc w:val="both"/>
            <w:rPr>
              <w:rFonts w:ascii="Arial" w:eastAsia="Arial" w:hAnsi="Arial" w:cs="Arial"/>
              <w:b/>
            </w:rPr>
          </w:pPr>
        </w:p>
      </w:tc>
    </w:tr>
  </w:tbl>
  <w:p w14:paraId="3CAE9036" w14:textId="77777777" w:rsidR="006C6F1F" w:rsidRDefault="00A11105">
    <w:pPr>
      <w:pBdr>
        <w:top w:val="nil"/>
        <w:left w:val="nil"/>
        <w:bottom w:val="nil"/>
        <w:right w:val="nil"/>
        <w:between w:val="nil"/>
      </w:pBdr>
      <w:tabs>
        <w:tab w:val="center" w:pos="4419"/>
        <w:tab w:val="right" w:pos="8838"/>
      </w:tabs>
      <w:rPr>
        <w:color w:val="000000"/>
        <w:sz w:val="14"/>
        <w:szCs w:val="14"/>
      </w:rPr>
    </w:pPr>
    <w:r>
      <w:rPr>
        <w:color w:val="000000"/>
      </w:rPr>
      <w:pict w14:anchorId="4D718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AD64" w14:textId="77777777" w:rsidR="006C6F1F" w:rsidRDefault="006C6F1F">
    <w:pPr>
      <w:widowControl w:val="0"/>
      <w:pBdr>
        <w:top w:val="nil"/>
        <w:left w:val="nil"/>
        <w:bottom w:val="nil"/>
        <w:right w:val="nil"/>
        <w:between w:val="nil"/>
      </w:pBdr>
      <w:spacing w:line="276" w:lineRule="auto"/>
      <w:rPr>
        <w:color w:val="000000"/>
        <w:sz w:val="14"/>
        <w:szCs w:val="14"/>
      </w:rPr>
    </w:pPr>
  </w:p>
  <w:tbl>
    <w:tblPr>
      <w:tblStyle w:val="a5"/>
      <w:tblW w:w="9072" w:type="dxa"/>
      <w:tblInd w:w="0" w:type="dxa"/>
      <w:tblLayout w:type="fixed"/>
      <w:tblLook w:val="0400" w:firstRow="0" w:lastRow="0" w:firstColumn="0" w:lastColumn="0" w:noHBand="0" w:noVBand="1"/>
    </w:tblPr>
    <w:tblGrid>
      <w:gridCol w:w="2268"/>
      <w:gridCol w:w="6804"/>
    </w:tblGrid>
    <w:tr w:rsidR="006C6F1F" w14:paraId="200206C2" w14:textId="77777777">
      <w:trPr>
        <w:trHeight w:val="1435"/>
      </w:trPr>
      <w:tc>
        <w:tcPr>
          <w:tcW w:w="2268" w:type="dxa"/>
        </w:tcPr>
        <w:p w14:paraId="52BA9D55" w14:textId="77777777" w:rsidR="006C6F1F" w:rsidRDefault="006C6F1F">
          <w:pPr>
            <w:tabs>
              <w:tab w:val="right" w:pos="4273"/>
            </w:tabs>
            <w:rPr>
              <w:rFonts w:ascii="Garamond" w:eastAsia="Garamond" w:hAnsi="Garamond" w:cs="Garamond"/>
            </w:rPr>
          </w:pPr>
        </w:p>
      </w:tc>
      <w:tc>
        <w:tcPr>
          <w:tcW w:w="6804" w:type="dxa"/>
        </w:tcPr>
        <w:p w14:paraId="5C32B512" w14:textId="77777777" w:rsidR="006C6F1F" w:rsidRDefault="006C6F1F">
          <w:pPr>
            <w:widowControl w:val="0"/>
            <w:pBdr>
              <w:top w:val="nil"/>
              <w:left w:val="nil"/>
              <w:bottom w:val="nil"/>
              <w:right w:val="nil"/>
              <w:between w:val="nil"/>
            </w:pBdr>
            <w:spacing w:line="276" w:lineRule="auto"/>
            <w:rPr>
              <w:rFonts w:ascii="Garamond" w:eastAsia="Garamond" w:hAnsi="Garamond" w:cs="Garamond"/>
            </w:rPr>
          </w:pPr>
        </w:p>
        <w:tbl>
          <w:tblPr>
            <w:tblStyle w:val="a6"/>
            <w:tblW w:w="6662" w:type="dxa"/>
            <w:tblInd w:w="40" w:type="dxa"/>
            <w:tblLayout w:type="fixed"/>
            <w:tblLook w:val="0400" w:firstRow="0" w:lastRow="0" w:firstColumn="0" w:lastColumn="0" w:noHBand="0" w:noVBand="1"/>
          </w:tblPr>
          <w:tblGrid>
            <w:gridCol w:w="2444"/>
            <w:gridCol w:w="4218"/>
          </w:tblGrid>
          <w:tr w:rsidR="006C6F1F" w14:paraId="208F63FC" w14:textId="77777777">
            <w:trPr>
              <w:trHeight w:val="144"/>
            </w:trPr>
            <w:tc>
              <w:tcPr>
                <w:tcW w:w="2444" w:type="dxa"/>
                <w:tcBorders>
                  <w:top w:val="nil"/>
                  <w:left w:val="nil"/>
                  <w:bottom w:val="nil"/>
                  <w:right w:val="nil"/>
                </w:tcBorders>
              </w:tcPr>
              <w:p w14:paraId="205962A9" w14:textId="77777777" w:rsidR="006C6F1F" w:rsidRDefault="00FB3920">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218" w:type="dxa"/>
                <w:tcBorders>
                  <w:top w:val="nil"/>
                  <w:left w:val="nil"/>
                  <w:bottom w:val="nil"/>
                  <w:right w:val="nil"/>
                </w:tcBorders>
              </w:tcPr>
              <w:p w14:paraId="202AAF2F" w14:textId="77777777" w:rsidR="006C6F1F" w:rsidRDefault="00FB3920">
                <w:pPr>
                  <w:tabs>
                    <w:tab w:val="right" w:pos="8838"/>
                  </w:tabs>
                  <w:ind w:left="-74" w:right="-105"/>
                  <w:jc w:val="both"/>
                  <w:rPr>
                    <w:rFonts w:ascii="Palatino Linotype" w:eastAsia="Palatino Linotype" w:hAnsi="Palatino Linotype" w:cs="Palatino Linotype"/>
                  </w:rPr>
                </w:pPr>
                <w:r>
                  <w:rPr>
                    <w:rFonts w:ascii="Palatino Linotype" w:eastAsia="Palatino Linotype" w:hAnsi="Palatino Linotype" w:cs="Palatino Linotype"/>
                  </w:rPr>
                  <w:t>04943/INFOEM/IP/RR/2024 y Acumulados</w:t>
                </w:r>
              </w:p>
            </w:tc>
          </w:tr>
          <w:tr w:rsidR="006C6F1F" w14:paraId="6F3C0D3B" w14:textId="77777777">
            <w:trPr>
              <w:trHeight w:val="144"/>
            </w:trPr>
            <w:tc>
              <w:tcPr>
                <w:tcW w:w="2444" w:type="dxa"/>
                <w:tcBorders>
                  <w:top w:val="nil"/>
                  <w:left w:val="nil"/>
                  <w:bottom w:val="nil"/>
                  <w:right w:val="nil"/>
                </w:tcBorders>
              </w:tcPr>
              <w:p w14:paraId="37FB8015" w14:textId="77777777" w:rsidR="006C6F1F" w:rsidRDefault="00FB3920">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218" w:type="dxa"/>
                <w:tcBorders>
                  <w:top w:val="nil"/>
                  <w:left w:val="nil"/>
                  <w:bottom w:val="nil"/>
                  <w:right w:val="nil"/>
                </w:tcBorders>
              </w:tcPr>
              <w:p w14:paraId="466D6EAF" w14:textId="77777777" w:rsidR="006C6F1F" w:rsidRDefault="006C6F1F">
                <w:pPr>
                  <w:tabs>
                    <w:tab w:val="left" w:pos="3122"/>
                    <w:tab w:val="right" w:pos="8838"/>
                  </w:tabs>
                  <w:ind w:left="-74" w:right="-105"/>
                  <w:jc w:val="both"/>
                  <w:rPr>
                    <w:rFonts w:ascii="Palatino Linotype" w:eastAsia="Palatino Linotype" w:hAnsi="Palatino Linotype" w:cs="Palatino Linotype"/>
                  </w:rPr>
                </w:pPr>
              </w:p>
            </w:tc>
          </w:tr>
          <w:tr w:rsidR="006C6F1F" w14:paraId="4C4914F5" w14:textId="77777777">
            <w:trPr>
              <w:trHeight w:val="283"/>
            </w:trPr>
            <w:tc>
              <w:tcPr>
                <w:tcW w:w="2444" w:type="dxa"/>
                <w:tcBorders>
                  <w:top w:val="nil"/>
                  <w:left w:val="nil"/>
                  <w:bottom w:val="nil"/>
                  <w:right w:val="nil"/>
                </w:tcBorders>
              </w:tcPr>
              <w:p w14:paraId="6DD49295" w14:textId="77777777" w:rsidR="006C6F1F" w:rsidRDefault="00FB3920">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218" w:type="dxa"/>
                <w:tcBorders>
                  <w:top w:val="nil"/>
                  <w:left w:val="nil"/>
                  <w:bottom w:val="nil"/>
                  <w:right w:val="nil"/>
                </w:tcBorders>
              </w:tcPr>
              <w:p w14:paraId="0F084B9A" w14:textId="77777777" w:rsidR="006C6F1F" w:rsidRDefault="00FB3920">
                <w:pPr>
                  <w:tabs>
                    <w:tab w:val="left" w:pos="2834"/>
                    <w:tab w:val="right" w:pos="8838"/>
                  </w:tabs>
                  <w:ind w:left="-74" w:right="-105"/>
                  <w:jc w:val="both"/>
                  <w:rPr>
                    <w:rFonts w:ascii="Palatino Linotype" w:eastAsia="Palatino Linotype" w:hAnsi="Palatino Linotype" w:cs="Palatino Linotype"/>
                  </w:rPr>
                </w:pPr>
                <w:r>
                  <w:rPr>
                    <w:rFonts w:ascii="Palatino Linotype" w:eastAsia="Palatino Linotype" w:hAnsi="Palatino Linotype" w:cs="Palatino Linotype"/>
                  </w:rPr>
                  <w:t>Ayuntamiento de Tlalnepantla de Baz</w:t>
                </w:r>
              </w:p>
            </w:tc>
          </w:tr>
          <w:tr w:rsidR="006C6F1F" w14:paraId="72EB3674" w14:textId="77777777">
            <w:trPr>
              <w:trHeight w:val="283"/>
            </w:trPr>
            <w:tc>
              <w:tcPr>
                <w:tcW w:w="2444" w:type="dxa"/>
                <w:tcBorders>
                  <w:top w:val="nil"/>
                  <w:left w:val="nil"/>
                  <w:bottom w:val="nil"/>
                  <w:right w:val="nil"/>
                </w:tcBorders>
              </w:tcPr>
              <w:p w14:paraId="2AB5D5D2" w14:textId="77777777" w:rsidR="006C6F1F" w:rsidRDefault="00FB3920">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218" w:type="dxa"/>
                <w:tcBorders>
                  <w:top w:val="nil"/>
                  <w:left w:val="nil"/>
                  <w:bottom w:val="nil"/>
                  <w:right w:val="nil"/>
                </w:tcBorders>
              </w:tcPr>
              <w:p w14:paraId="1CD89276" w14:textId="77777777" w:rsidR="006C6F1F" w:rsidRDefault="00FB3920">
                <w:pPr>
                  <w:tabs>
                    <w:tab w:val="right" w:pos="8838"/>
                  </w:tabs>
                  <w:ind w:left="-74" w:right="-105"/>
                  <w:jc w:val="both"/>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3B77830C" w14:textId="77777777" w:rsidR="006C6F1F" w:rsidRDefault="006C6F1F">
                <w:pPr>
                  <w:tabs>
                    <w:tab w:val="right" w:pos="8838"/>
                  </w:tabs>
                  <w:ind w:left="-74" w:right="-105"/>
                  <w:jc w:val="both"/>
                  <w:rPr>
                    <w:rFonts w:ascii="Palatino Linotype" w:eastAsia="Palatino Linotype" w:hAnsi="Palatino Linotype" w:cs="Palatino Linotype"/>
                    <w:b/>
                  </w:rPr>
                </w:pPr>
              </w:p>
            </w:tc>
          </w:tr>
        </w:tbl>
        <w:p w14:paraId="4494EAD7" w14:textId="77777777" w:rsidR="006C6F1F" w:rsidRDefault="006C6F1F">
          <w:pPr>
            <w:tabs>
              <w:tab w:val="right" w:pos="8838"/>
            </w:tabs>
            <w:ind w:left="-28"/>
            <w:jc w:val="both"/>
            <w:rPr>
              <w:rFonts w:ascii="Arial" w:eastAsia="Arial" w:hAnsi="Arial" w:cs="Arial"/>
              <w:b/>
            </w:rPr>
          </w:pPr>
        </w:p>
      </w:tc>
    </w:tr>
  </w:tbl>
  <w:p w14:paraId="08CA135A" w14:textId="77777777" w:rsidR="006C6F1F" w:rsidRDefault="00A11105">
    <w:pPr>
      <w:pBdr>
        <w:top w:val="nil"/>
        <w:left w:val="nil"/>
        <w:bottom w:val="nil"/>
        <w:right w:val="nil"/>
        <w:between w:val="nil"/>
      </w:pBdr>
      <w:tabs>
        <w:tab w:val="center" w:pos="4419"/>
        <w:tab w:val="right" w:pos="8838"/>
      </w:tabs>
      <w:rPr>
        <w:color w:val="000000"/>
        <w:sz w:val="2"/>
        <w:szCs w:val="2"/>
      </w:rPr>
    </w:pPr>
    <w:r>
      <w:rPr>
        <w:color w:val="000000"/>
      </w:rPr>
      <w:pict w14:anchorId="16C32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EC7"/>
    <w:multiLevelType w:val="multilevel"/>
    <w:tmpl w:val="E7CAE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CA0B0D"/>
    <w:multiLevelType w:val="multilevel"/>
    <w:tmpl w:val="485A0E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7722C1A"/>
    <w:multiLevelType w:val="multilevel"/>
    <w:tmpl w:val="444EB18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6D662E8D"/>
    <w:multiLevelType w:val="multilevel"/>
    <w:tmpl w:val="2B8AB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5A6BCD"/>
    <w:multiLevelType w:val="multilevel"/>
    <w:tmpl w:val="B0F072C6"/>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F1F"/>
    <w:rsid w:val="003D793B"/>
    <w:rsid w:val="006317EC"/>
    <w:rsid w:val="006C6F1F"/>
    <w:rsid w:val="00A11105"/>
    <w:rsid w:val="00A233A9"/>
    <w:rsid w:val="00A60293"/>
    <w:rsid w:val="00DE336D"/>
    <w:rsid w:val="00ED780B"/>
    <w:rsid w:val="00FB3920"/>
    <w:rsid w:val="00FC21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6CADEC"/>
  <w15:docId w15:val="{08ACCB31-9C0E-46D3-9BF8-78894AD7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75C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62307"/>
    <w:pPr>
      <w:tabs>
        <w:tab w:val="center" w:pos="4419"/>
        <w:tab w:val="right" w:pos="8838"/>
      </w:tabs>
    </w:pPr>
  </w:style>
  <w:style w:type="character" w:customStyle="1" w:styleId="EncabezadoCar">
    <w:name w:val="Encabezado Car"/>
    <w:basedOn w:val="Fuentedeprrafopredeter"/>
    <w:link w:val="Encabezado"/>
    <w:uiPriority w:val="99"/>
    <w:rsid w:val="00C6230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C62307"/>
    <w:pPr>
      <w:tabs>
        <w:tab w:val="center" w:pos="4419"/>
        <w:tab w:val="right" w:pos="8838"/>
      </w:tabs>
    </w:pPr>
  </w:style>
  <w:style w:type="character" w:customStyle="1" w:styleId="PiedepginaCar">
    <w:name w:val="Pie de página Car"/>
    <w:basedOn w:val="Fuentedeprrafopredeter"/>
    <w:link w:val="Piedepgina"/>
    <w:uiPriority w:val="99"/>
    <w:rsid w:val="00C6230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62307"/>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62307"/>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C62307"/>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62307"/>
    <w:rPr>
      <w:rFonts w:cs="Times New Roman"/>
      <w:vertAlign w:val="superscript"/>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qFormat/>
    <w:locked/>
    <w:rsid w:val="00C62307"/>
    <w:rPr>
      <w:rFonts w:cs="Times New Roman"/>
      <w:sz w:val="20"/>
      <w:szCs w:val="20"/>
    </w:r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C62307"/>
    <w:rPr>
      <w:rFonts w:asciiTheme="minorHAnsi" w:eastAsiaTheme="minorHAnsi" w:hAnsiTheme="minorHAnsi"/>
      <w:sz w:val="20"/>
      <w:szCs w:val="20"/>
      <w:lang w:eastAsia="en-US"/>
    </w:rPr>
  </w:style>
  <w:style w:type="character" w:customStyle="1" w:styleId="TextonotapieCar1">
    <w:name w:val="Texto nota pie Car1"/>
    <w:basedOn w:val="Fuentedeprrafopredeter"/>
    <w:uiPriority w:val="99"/>
    <w:semiHidden/>
    <w:rsid w:val="00C62307"/>
    <w:rPr>
      <w:rFonts w:ascii="Times New Roman" w:eastAsia="Times New Roman" w:hAnsi="Times New Roman" w:cs="Times New Roman"/>
      <w:sz w:val="20"/>
      <w:szCs w:val="20"/>
      <w:lang w:eastAsia="es-MX"/>
    </w:rPr>
  </w:style>
  <w:style w:type="paragraph" w:customStyle="1" w:styleId="Default">
    <w:name w:val="Default"/>
    <w:rsid w:val="00C62307"/>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88659.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202969.pag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aimex.org.mx/saimex/solicitud/downloadAttach/2188128.page" TargetMode="External"/><Relationship Id="rId4" Type="http://schemas.openxmlformats.org/officeDocument/2006/relationships/settings" Target="settings.xml"/><Relationship Id="rId9" Type="http://schemas.openxmlformats.org/officeDocument/2006/relationships/hyperlink" Target="https://saimex.org.mx/saimex/solicitud/downloadAttach/2188524.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lbnyeVh4AHj02PHZbssnwmmtqA==">CgMxLjAyCGguZ2pkZ3hzMgloLjMwajB6bGwyCWguMWZvYjl0ZTIJaC4zem55c2g3MgloLjJldDkycDAyCGgudHlqY3d0MgloLjNkeTZ2a20yCWguMXQzaDVzZjIJaC40ZDM0b2c4MgloLjJzOGV5bzE4AHIhMVM4U0tNYUZBT24tOE00Qmx4Ync1cHkzN0FkTHpBeVdx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6869</Words>
  <Characters>37780</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Lennon Ruiz</cp:lastModifiedBy>
  <cp:revision>3</cp:revision>
  <cp:lastPrinted>2024-12-06T02:47:00Z</cp:lastPrinted>
  <dcterms:created xsi:type="dcterms:W3CDTF">2024-12-06T02:47:00Z</dcterms:created>
  <dcterms:modified xsi:type="dcterms:W3CDTF">2024-12-06T02:48:00Z</dcterms:modified>
</cp:coreProperties>
</file>