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D811" w14:textId="77777777" w:rsidR="0048397D" w:rsidRDefault="0048397D">
      <w:pPr>
        <w:widowControl w:val="0"/>
        <w:pBdr>
          <w:top w:val="nil"/>
          <w:left w:val="nil"/>
          <w:bottom w:val="nil"/>
          <w:right w:val="nil"/>
          <w:between w:val="nil"/>
        </w:pBdr>
        <w:spacing w:line="276" w:lineRule="auto"/>
      </w:pPr>
    </w:p>
    <w:p w14:paraId="0ED6F4F2" w14:textId="77777777" w:rsidR="0048397D" w:rsidRPr="00402605" w:rsidRDefault="00304BF4">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402605">
        <w:rPr>
          <w:rFonts w:ascii="Palatino Linotype" w:eastAsia="Palatino Linotype" w:hAnsi="Palatino Linotype" w:cs="Palatino Linotype"/>
        </w:rPr>
        <w:t>tres (03) de abril</w:t>
      </w:r>
      <w:r w:rsidRPr="00402605">
        <w:rPr>
          <w:rFonts w:ascii="Palatino Linotype" w:eastAsia="Palatino Linotype" w:hAnsi="Palatino Linotype" w:cs="Palatino Linotype"/>
        </w:rPr>
        <w:t xml:space="preserve"> de dos mil veinticuatro</w:t>
      </w:r>
    </w:p>
    <w:p w14:paraId="677FA9A0" w14:textId="77777777" w:rsidR="0048397D" w:rsidRDefault="0048397D">
      <w:pPr>
        <w:tabs>
          <w:tab w:val="left" w:pos="3465"/>
        </w:tabs>
        <w:spacing w:line="360" w:lineRule="auto"/>
        <w:jc w:val="both"/>
        <w:rPr>
          <w:rFonts w:ascii="Palatino Linotype" w:eastAsia="Palatino Linotype" w:hAnsi="Palatino Linotype" w:cs="Palatino Linotype"/>
        </w:rPr>
      </w:pPr>
    </w:p>
    <w:p w14:paraId="279B446E" w14:textId="7F94AE5A" w:rsidR="0048397D" w:rsidRDefault="00304BF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15093/INFOEM/IP/RR/2022</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promovido </w:t>
      </w:r>
      <w:r>
        <w:rPr>
          <w:rFonts w:ascii="Palatino Linotype" w:eastAsia="Palatino Linotype" w:hAnsi="Palatino Linotype" w:cs="Palatino Linotype"/>
          <w:color w:val="000000"/>
        </w:rPr>
        <w:t xml:space="preserve">por </w:t>
      </w:r>
      <w:r w:rsidR="001F6EBD">
        <w:rPr>
          <w:rFonts w:ascii="Palatino Linotype" w:eastAsia="Palatino Linotype" w:hAnsi="Palatino Linotype" w:cs="Palatino Linotype"/>
          <w:b/>
          <w:color w:val="000000"/>
        </w:rPr>
        <w:t xml:space="preserve">XXX </w:t>
      </w:r>
      <w:proofErr w:type="spellStart"/>
      <w:r w:rsidR="001F6EBD">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xml:space="preserve">, a </w:t>
      </w:r>
      <w:r>
        <w:rPr>
          <w:rFonts w:ascii="Palatino Linotype" w:eastAsia="Palatino Linotype" w:hAnsi="Palatino Linotype" w:cs="Palatino Linotype"/>
        </w:rPr>
        <w:t xml:space="preserve">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Tecnológico de Estudios Superiores de Chimalhuacán, </w:t>
      </w:r>
      <w:r>
        <w:rPr>
          <w:rFonts w:ascii="Palatino Linotype" w:eastAsia="Palatino Linotype" w:hAnsi="Palatino Linotype" w:cs="Palatino Linotype"/>
        </w:rPr>
        <w:t xml:space="preserve">en </w:t>
      </w:r>
      <w:r w:rsidR="00402605">
        <w:rPr>
          <w:rFonts w:ascii="Palatino Linotype" w:eastAsia="Palatino Linotype" w:hAnsi="Palatino Linotype" w:cs="Palatino Linotype"/>
        </w:rPr>
        <w:t>adelante</w:t>
      </w:r>
      <w:r>
        <w:rPr>
          <w:rFonts w:ascii="Palatino Linotype" w:eastAsia="Palatino Linotype" w:hAnsi="Palatino Linotype" w:cs="Palatino Linotype"/>
        </w:rPr>
        <w:t xml:space="preserv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0A9CF99E" w14:textId="77777777" w:rsidR="0048397D" w:rsidRDefault="0048397D">
      <w:pPr>
        <w:spacing w:line="360" w:lineRule="auto"/>
        <w:jc w:val="both"/>
        <w:rPr>
          <w:rFonts w:ascii="Palatino Linotype" w:eastAsia="Palatino Linotype" w:hAnsi="Palatino Linotype" w:cs="Palatino Linotype"/>
          <w:b/>
        </w:rPr>
      </w:pPr>
    </w:p>
    <w:p w14:paraId="4320EB14" w14:textId="77777777" w:rsidR="0048397D" w:rsidRDefault="00304BF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60E73F72" w14:textId="77777777" w:rsidR="0048397D" w:rsidRDefault="0048397D">
      <w:pPr>
        <w:spacing w:line="360" w:lineRule="auto"/>
        <w:rPr>
          <w:rFonts w:ascii="Palatino Linotype" w:eastAsia="Palatino Linotype" w:hAnsi="Palatino Linotype" w:cs="Palatino Linotype"/>
        </w:rPr>
      </w:pPr>
    </w:p>
    <w:p w14:paraId="2279E8CF"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veintiséis (26) de septiembre de dos mil veintidós,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00015/TESCHI/IP/2022; </w:t>
      </w:r>
      <w:r>
        <w:rPr>
          <w:rFonts w:ascii="Palatino Linotype" w:eastAsia="Palatino Linotype" w:hAnsi="Palatino Linotype" w:cs="Palatino Linotype"/>
          <w:color w:val="000000"/>
        </w:rPr>
        <w:t>mediante la cual se solicitó la siguiente información:</w:t>
      </w:r>
    </w:p>
    <w:p w14:paraId="39E5125C"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FE2000" w14:textId="77777777" w:rsidR="0048397D" w:rsidRDefault="00304BF4">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“Cuál es el perfil educativo y psicopedagógico de la docente Ana Luisa Valverde?” </w:t>
      </w:r>
      <w:r>
        <w:rPr>
          <w:rFonts w:ascii="Palatino Linotype" w:eastAsia="Palatino Linotype" w:hAnsi="Palatino Linotype" w:cs="Palatino Linotype"/>
          <w:color w:val="000000"/>
        </w:rPr>
        <w:t>(Sic)</w:t>
      </w:r>
    </w:p>
    <w:p w14:paraId="671E6BE6" w14:textId="77777777" w:rsidR="0048397D" w:rsidRDefault="0048397D">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p>
    <w:p w14:paraId="151E56D6" w14:textId="77777777" w:rsidR="0048397D" w:rsidRDefault="00304BF4">
      <w:pPr>
        <w:numPr>
          <w:ilvl w:val="0"/>
          <w:numId w:val="5"/>
        </w:num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47F60205" w14:textId="77777777" w:rsidR="0048397D" w:rsidRDefault="00304BF4">
      <w:pPr>
        <w:numPr>
          <w:ilvl w:val="0"/>
          <w:numId w:val="4"/>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veintisiete (27) de septiembre de dos mil veintidós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y manifestó </w:t>
      </w:r>
      <w:r>
        <w:rPr>
          <w:rFonts w:ascii="Palatino Linotype" w:eastAsia="Palatino Linotype" w:hAnsi="Palatino Linotype" w:cs="Palatino Linotype"/>
          <w:b/>
          <w:color w:val="000000"/>
        </w:rPr>
        <w:t xml:space="preserve">Información que Puede estar en Poder de Otro Sujeto Obligado (sic) </w:t>
      </w:r>
      <w:r>
        <w:rPr>
          <w:rFonts w:ascii="Palatino Linotype" w:eastAsia="Palatino Linotype" w:hAnsi="Palatino Linotype" w:cs="Palatino Linotype"/>
          <w:color w:val="000000"/>
        </w:rPr>
        <w:t>por medio del archivo</w:t>
      </w:r>
      <w:r>
        <w:rPr>
          <w:rFonts w:ascii="Palatino Linotype" w:eastAsia="Palatino Linotype" w:hAnsi="Palatino Linotype" w:cs="Palatino Linotype"/>
          <w:b/>
          <w:color w:val="000000"/>
        </w:rPr>
        <w:t xml:space="preserve"> </w:t>
      </w:r>
      <w:hyperlink r:id="rId8">
        <w:r>
          <w:rPr>
            <w:rFonts w:ascii="Palatino Linotype" w:eastAsia="Palatino Linotype" w:hAnsi="Palatino Linotype" w:cs="Palatino Linotype"/>
            <w:b/>
            <w:color w:val="000000"/>
          </w:rPr>
          <w:t>qej.pdf</w:t>
        </w:r>
      </w:hyperlink>
      <w:r>
        <w:rPr>
          <w:rFonts w:ascii="Palatino Linotype" w:eastAsia="Palatino Linotype" w:hAnsi="Palatino Linotype" w:cs="Palatino Linotype"/>
          <w:color w:val="000000"/>
        </w:rPr>
        <w:t xml:space="preserve">, cuyo contenido corresponde a la solicitud de información del presente recurso </w:t>
      </w:r>
    </w:p>
    <w:p w14:paraId="43B84F16" w14:textId="77777777" w:rsidR="0048397D" w:rsidRDefault="0048397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10BECD98" w14:textId="77777777" w:rsidR="0048397D" w:rsidRDefault="00304BF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En misma fecha, </w:t>
      </w:r>
      <w:r>
        <w:rPr>
          <w:rFonts w:ascii="Palatino Linotype" w:eastAsia="Palatino Linotype" w:hAnsi="Palatino Linotype" w:cs="Palatino Linotype"/>
          <w:b/>
          <w:color w:val="000000"/>
        </w:rPr>
        <w:t>EL PARTICULAR</w:t>
      </w:r>
      <w:r>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14:paraId="02E20874" w14:textId="77777777" w:rsidR="0048397D" w:rsidRDefault="0048397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346B0183" w14:textId="77777777" w:rsidR="0048397D" w:rsidRDefault="00304BF4">
      <w:pPr>
        <w:numPr>
          <w:ilvl w:val="0"/>
          <w:numId w:val="5"/>
        </w:num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“No se dio respuesta a la pregunta señalada”</w:t>
      </w:r>
    </w:p>
    <w:p w14:paraId="0825E15A" w14:textId="77777777" w:rsidR="0048397D" w:rsidRDefault="0048397D">
      <w:pPr>
        <w:spacing w:line="360" w:lineRule="auto"/>
        <w:ind w:left="567"/>
        <w:jc w:val="both"/>
        <w:rPr>
          <w:rFonts w:ascii="Palatino Linotype" w:eastAsia="Palatino Linotype" w:hAnsi="Palatino Linotype" w:cs="Palatino Linotype"/>
          <w:i/>
          <w:color w:val="000000"/>
        </w:rPr>
      </w:pPr>
    </w:p>
    <w:p w14:paraId="3042ED3F" w14:textId="77777777" w:rsidR="0048397D" w:rsidRDefault="00304BF4">
      <w:pPr>
        <w:numPr>
          <w:ilvl w:val="0"/>
          <w:numId w:val="5"/>
        </w:num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“Requiero conocer el perfil del docente para dar clases en dicha institución”</w:t>
      </w:r>
    </w:p>
    <w:p w14:paraId="12946288" w14:textId="77777777" w:rsidR="0048397D" w:rsidRDefault="0048397D">
      <w:pPr>
        <w:spacing w:line="360" w:lineRule="auto"/>
        <w:rPr>
          <w:rFonts w:ascii="Palatino Linotype" w:eastAsia="Palatino Linotype" w:hAnsi="Palatino Linotype" w:cs="Palatino Linotype"/>
          <w:i/>
          <w:color w:val="000000"/>
        </w:rPr>
      </w:pPr>
    </w:p>
    <w:p w14:paraId="6194AA4F"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Pr>
          <w:rFonts w:ascii="Palatino Linotype" w:eastAsia="Palatino Linotype" w:hAnsi="Palatino Linotype" w:cs="Palatino Linotype"/>
          <w:b/>
          <w:color w:val="000000"/>
        </w:rPr>
        <w:t>cuatro de octubre de dos mil veintidós,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1F568DAA"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6857AFD"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 xml:space="preserve">EL PARTICULAR </w:t>
      </w:r>
      <w:r>
        <w:rPr>
          <w:rFonts w:ascii="Palatino Linotype" w:eastAsia="Palatino Linotype" w:hAnsi="Palatino Linotype" w:cs="Palatino Linotype"/>
          <w:color w:val="000000"/>
        </w:rPr>
        <w:t>no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realizaron manifestaciones conforme a su derecho conviniera y asistiera.</w:t>
      </w:r>
    </w:p>
    <w:p w14:paraId="59CC19A5"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600B1B3" w14:textId="77777777" w:rsidR="0048397D" w:rsidRDefault="00304BF4">
      <w:pPr>
        <w:numPr>
          <w:ilvl w:val="0"/>
          <w:numId w:val="4"/>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El </w:t>
      </w:r>
      <w:r>
        <w:rPr>
          <w:rFonts w:ascii="Palatino Linotype" w:eastAsia="Palatino Linotype" w:hAnsi="Palatino Linotype" w:cs="Palatino Linotype"/>
          <w:b/>
        </w:rPr>
        <w:t>doce (12) de diciembre de dos mil veintidós</w:t>
      </w:r>
      <w:r>
        <w:rPr>
          <w:rFonts w:ascii="Palatino Linotype" w:eastAsia="Palatino Linotype" w:hAnsi="Palatino Linotype" w:cs="Palatino Linotype"/>
        </w:rPr>
        <w:t>, se amplió el término para resolver; al respecto es menester realizar las siguientes precisiones.</w:t>
      </w:r>
    </w:p>
    <w:p w14:paraId="63ADE2F0" w14:textId="77777777" w:rsidR="0048397D" w:rsidRDefault="0048397D">
      <w:pPr>
        <w:spacing w:line="360" w:lineRule="auto"/>
        <w:rPr>
          <w:rFonts w:ascii="Palatino Linotype" w:eastAsia="Palatino Linotype" w:hAnsi="Palatino Linotype" w:cs="Palatino Linotype"/>
        </w:rPr>
      </w:pPr>
    </w:p>
    <w:p w14:paraId="20E7F2E5"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organismo garante no pasa por alto justificar, que la dilación en la resolución del </w:t>
      </w:r>
      <w:r>
        <w:rPr>
          <w:rFonts w:ascii="Palatino Linotype" w:eastAsia="Palatino Linotype" w:hAnsi="Palatino Linotype" w:cs="Palatino Linotype"/>
          <w:color w:val="000000"/>
        </w:rPr>
        <w:t>presente</w:t>
      </w:r>
      <w:r>
        <w:rPr>
          <w:rFonts w:ascii="Palatino Linotype" w:eastAsia="Palatino Linotype" w:hAnsi="Palatino Linotype" w:cs="Palatino Linotype"/>
        </w:rPr>
        <w:t xml:space="preserve"> asunto encuentra justificación en el alto número de recursos de revisión recibidos que,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D5E0FA2" w14:textId="77777777" w:rsidR="0048397D" w:rsidRDefault="0048397D">
      <w:pPr>
        <w:spacing w:line="360" w:lineRule="auto"/>
        <w:jc w:val="both"/>
        <w:rPr>
          <w:rFonts w:ascii="Palatino Linotype" w:eastAsia="Palatino Linotype" w:hAnsi="Palatino Linotype" w:cs="Palatino Linotype"/>
        </w:rPr>
      </w:pPr>
    </w:p>
    <w:p w14:paraId="1C8AAEE4"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F64302E" w14:textId="77777777" w:rsidR="0048397D" w:rsidRDefault="0048397D">
      <w:pPr>
        <w:spacing w:line="360" w:lineRule="auto"/>
        <w:ind w:left="720"/>
        <w:rPr>
          <w:rFonts w:ascii="Palatino Linotype" w:eastAsia="Palatino Linotype" w:hAnsi="Palatino Linotype" w:cs="Palatino Linotype"/>
        </w:rPr>
      </w:pPr>
    </w:p>
    <w:p w14:paraId="119915E7"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8E9F372" w14:textId="77777777" w:rsidR="0048397D" w:rsidRDefault="0048397D">
      <w:pPr>
        <w:spacing w:line="360" w:lineRule="auto"/>
        <w:ind w:left="720"/>
        <w:rPr>
          <w:rFonts w:ascii="Palatino Linotype" w:eastAsia="Palatino Linotype" w:hAnsi="Palatino Linotype" w:cs="Palatino Linotype"/>
        </w:rPr>
      </w:pPr>
    </w:p>
    <w:p w14:paraId="022D1C8F"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AD39A6" w14:textId="77777777" w:rsidR="0048397D" w:rsidRDefault="0048397D">
      <w:pPr>
        <w:spacing w:line="360" w:lineRule="auto"/>
        <w:ind w:left="720"/>
        <w:rPr>
          <w:rFonts w:ascii="Palatino Linotype" w:eastAsia="Palatino Linotype" w:hAnsi="Palatino Linotype" w:cs="Palatino Linotype"/>
        </w:rPr>
      </w:pPr>
    </w:p>
    <w:p w14:paraId="6B894269"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BC5B454" w14:textId="77777777" w:rsidR="0048397D" w:rsidRDefault="0048397D">
      <w:pPr>
        <w:spacing w:line="360" w:lineRule="auto"/>
        <w:jc w:val="both"/>
        <w:rPr>
          <w:rFonts w:ascii="Palatino Linotype" w:eastAsia="Palatino Linotype" w:hAnsi="Palatino Linotype" w:cs="Palatino Linotype"/>
        </w:rPr>
      </w:pPr>
    </w:p>
    <w:p w14:paraId="3AA3A97F" w14:textId="77777777" w:rsidR="0048397D" w:rsidRDefault="00304BF4">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3AA42B5" w14:textId="77777777" w:rsidR="0048397D" w:rsidRDefault="00304BF4">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25CDDDDE" w14:textId="77777777" w:rsidR="0048397D" w:rsidRDefault="00304BF4">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65C54565" w14:textId="77777777" w:rsidR="0048397D" w:rsidRDefault="00304BF4">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5C0412ED" w14:textId="77777777" w:rsidR="0048397D" w:rsidRDefault="0048397D">
      <w:pPr>
        <w:spacing w:line="360" w:lineRule="auto"/>
        <w:ind w:left="851" w:hanging="284"/>
        <w:jc w:val="both"/>
        <w:rPr>
          <w:rFonts w:ascii="Palatino Linotype" w:eastAsia="Palatino Linotype" w:hAnsi="Palatino Linotype" w:cs="Palatino Linotype"/>
        </w:rPr>
      </w:pPr>
    </w:p>
    <w:p w14:paraId="2356E2C5"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465CC8" w14:textId="77777777" w:rsidR="00402605" w:rsidRDefault="00402605" w:rsidP="00402605">
      <w:pPr>
        <w:spacing w:line="360" w:lineRule="auto"/>
        <w:jc w:val="both"/>
        <w:rPr>
          <w:rFonts w:ascii="Palatino Linotype" w:eastAsia="Palatino Linotype" w:hAnsi="Palatino Linotype" w:cs="Palatino Linotype"/>
        </w:rPr>
      </w:pPr>
    </w:p>
    <w:p w14:paraId="41624DDB" w14:textId="77777777" w:rsidR="0048397D" w:rsidRDefault="00304BF4">
      <w:pPr>
        <w:numPr>
          <w:ilvl w:val="0"/>
          <w:numId w:val="4"/>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w:t>
      </w:r>
      <w:r>
        <w:rPr>
          <w:rFonts w:ascii="Palatino Linotype" w:eastAsia="Palatino Linotype" w:hAnsi="Palatino Linotype" w:cs="Palatino Linotype"/>
        </w:rPr>
        <w:t>INDEBIDAMENTE</w:t>
      </w:r>
      <w:r>
        <w:rPr>
          <w:rFonts w:ascii="Palatino Linotype" w:eastAsia="Palatino Linotype" w:hAnsi="Palatino Linotype" w:cs="Palatino Linotype"/>
          <w:i/>
        </w:rPr>
        <w:t xml:space="preserv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7351A54B" w14:textId="77777777" w:rsidR="0048397D" w:rsidRDefault="0048397D">
      <w:pPr>
        <w:spacing w:line="360" w:lineRule="auto"/>
        <w:jc w:val="both"/>
        <w:rPr>
          <w:rFonts w:ascii="Palatino Linotype" w:eastAsia="Palatino Linotype" w:hAnsi="Palatino Linotype" w:cs="Palatino Linotype"/>
        </w:rPr>
      </w:pPr>
    </w:p>
    <w:p w14:paraId="1E3F2D2D"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8B4E5CB" w14:textId="77777777" w:rsidR="0048397D" w:rsidRDefault="0048397D">
      <w:pPr>
        <w:spacing w:line="360" w:lineRule="auto"/>
        <w:ind w:left="720"/>
        <w:rPr>
          <w:rFonts w:ascii="Palatino Linotype" w:eastAsia="Palatino Linotype" w:hAnsi="Palatino Linotype" w:cs="Palatino Linotype"/>
        </w:rPr>
      </w:pPr>
    </w:p>
    <w:p w14:paraId="4EE0A3C4"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AF77C55" w14:textId="77777777" w:rsidR="0048397D" w:rsidRDefault="0048397D">
      <w:pPr>
        <w:spacing w:line="360" w:lineRule="auto"/>
        <w:jc w:val="both"/>
        <w:rPr>
          <w:rFonts w:ascii="Palatino Linotype" w:eastAsia="Palatino Linotype" w:hAnsi="Palatino Linotype" w:cs="Palatino Linotype"/>
        </w:rPr>
      </w:pPr>
    </w:p>
    <w:p w14:paraId="23699276"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24247A95" w14:textId="77777777" w:rsidR="0048397D" w:rsidRDefault="0048397D">
      <w:pPr>
        <w:spacing w:line="360" w:lineRule="auto"/>
        <w:jc w:val="both"/>
        <w:rPr>
          <w:rFonts w:ascii="Palatino Linotype" w:eastAsia="Palatino Linotype" w:hAnsi="Palatino Linotype" w:cs="Palatino Linotype"/>
        </w:rPr>
      </w:pPr>
    </w:p>
    <w:p w14:paraId="267F6512" w14:textId="77777777" w:rsidR="0048397D" w:rsidRDefault="00304BF4">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00552D33" w14:textId="77777777" w:rsidR="0048397D" w:rsidRDefault="0048397D">
      <w:pPr>
        <w:spacing w:line="360" w:lineRule="auto"/>
        <w:ind w:left="425" w:right="476"/>
        <w:jc w:val="both"/>
        <w:rPr>
          <w:rFonts w:ascii="Palatino Linotype" w:eastAsia="Palatino Linotype" w:hAnsi="Palatino Linotype" w:cs="Palatino Linotype"/>
          <w:b/>
        </w:rPr>
      </w:pPr>
    </w:p>
    <w:p w14:paraId="5EB39FD8" w14:textId="77777777" w:rsidR="0048397D" w:rsidRDefault="00304BF4">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2C0802A7" w14:textId="77777777" w:rsidR="0048397D" w:rsidRDefault="0048397D">
      <w:pPr>
        <w:pBdr>
          <w:top w:val="nil"/>
          <w:left w:val="nil"/>
          <w:bottom w:val="nil"/>
          <w:right w:val="nil"/>
          <w:between w:val="nil"/>
        </w:pBdr>
        <w:ind w:left="720"/>
        <w:rPr>
          <w:rFonts w:ascii="Palatino Linotype" w:eastAsia="Palatino Linotype" w:hAnsi="Palatino Linotype" w:cs="Palatino Linotype"/>
          <w:color w:val="000000"/>
        </w:rPr>
      </w:pPr>
    </w:p>
    <w:p w14:paraId="4A5A9915"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Mediante acuerdo de </w:t>
      </w:r>
      <w:r>
        <w:rPr>
          <w:rFonts w:ascii="Palatino Linotype" w:eastAsia="Palatino Linotype" w:hAnsi="Palatino Linotype" w:cs="Palatino Linotype"/>
          <w:b/>
          <w:color w:val="000000"/>
        </w:rPr>
        <w:t xml:space="preserve">once (11) de marzo de dos mil veinticuatro </w:t>
      </w:r>
      <w:r>
        <w:rPr>
          <w:rFonts w:ascii="Palatino Linotype" w:eastAsia="Palatino Linotype" w:hAnsi="Palatino Linotype" w:cs="Palatino Linotype"/>
          <w:color w:val="000000"/>
        </w:rPr>
        <w:t xml:space="preserve">y notificado el día </w:t>
      </w:r>
      <w:r>
        <w:rPr>
          <w:rFonts w:ascii="Palatino Linotype" w:eastAsia="Palatino Linotype" w:hAnsi="Palatino Linotype" w:cs="Palatino Linotype"/>
          <w:b/>
          <w:color w:val="000000"/>
        </w:rPr>
        <w:t xml:space="preserve">doce (12) </w:t>
      </w:r>
      <w:r>
        <w:rPr>
          <w:rFonts w:ascii="Palatino Linotype" w:eastAsia="Palatino Linotype" w:hAnsi="Palatino Linotype" w:cs="Palatino Linotype"/>
          <w:color w:val="000000"/>
        </w:rPr>
        <w:t>del mismo mes y año, se  decretó el cierre de instrucción, por lo que no habiendo más que hacer constar, y ------------------------------------------------------------</w:t>
      </w:r>
    </w:p>
    <w:p w14:paraId="10AFA15C" w14:textId="77777777" w:rsidR="0048397D" w:rsidRDefault="0048397D">
      <w:pPr>
        <w:pBdr>
          <w:top w:val="nil"/>
          <w:left w:val="nil"/>
          <w:bottom w:val="nil"/>
          <w:right w:val="nil"/>
          <w:between w:val="nil"/>
        </w:pBdr>
        <w:spacing w:line="360" w:lineRule="auto"/>
        <w:rPr>
          <w:rFonts w:ascii="Palatino Linotype" w:eastAsia="Palatino Linotype" w:hAnsi="Palatino Linotype" w:cs="Palatino Linotype"/>
          <w:b/>
          <w:color w:val="000000"/>
        </w:rPr>
      </w:pPr>
    </w:p>
    <w:p w14:paraId="3CCDFB06" w14:textId="77777777" w:rsidR="0048397D" w:rsidRDefault="00304BF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4523DC49" w14:textId="77777777" w:rsidR="0048397D" w:rsidRDefault="00304BF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0BC6C4D3"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w:t>
      </w:r>
      <w:r>
        <w:rPr>
          <w:rFonts w:ascii="Palatino Linotype" w:eastAsia="Palatino Linotype" w:hAnsi="Palatino Linotype" w:cs="Palatino Linotype"/>
          <w:color w:val="000000"/>
        </w:rPr>
        <w:lastRenderedPageBreak/>
        <w:t>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63798022"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7357C02" w14:textId="77777777" w:rsidR="0048397D" w:rsidRDefault="00304BF4">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69E32287"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veintisiete de septiembre de dos mil veintidós</w:t>
      </w:r>
      <w:r>
        <w:rPr>
          <w:rFonts w:ascii="Palatino Linotype" w:eastAsia="Palatino Linotype" w:hAnsi="Palatino Linotype" w:cs="Palatino Linotype"/>
          <w:color w:val="000000"/>
        </w:rPr>
        <w:t xml:space="preserve">,  siendo que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interpuso el presente recurso el mismo día de la respuesta,; en consecuencia, se estima que la inconformidad se presentó dentro del lapso legalmente establecido para tal efecto.</w:t>
      </w:r>
    </w:p>
    <w:p w14:paraId="49B09206"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5DEC91F"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D6750B" w14:textId="77777777" w:rsidR="0048397D" w:rsidRDefault="00304BF4">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lastRenderedPageBreak/>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2454E51D"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solicitó tener acceso, a la información del </w:t>
      </w:r>
      <w:r>
        <w:rPr>
          <w:rFonts w:ascii="Palatino Linotype" w:eastAsia="Palatino Linotype" w:hAnsi="Palatino Linotype" w:cs="Palatino Linotype"/>
          <w:b/>
          <w:color w:val="000000"/>
        </w:rPr>
        <w:t xml:space="preserve">perfil educativo y psicopedagógico de la docente Ana Luisa Valverde, </w:t>
      </w: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informó que la información solicitada puede estar en poder de otro Sujeto Obligado, por lo que, inconforme con lo anterior,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 xml:space="preserve">se inconformó arguyendo que </w:t>
      </w:r>
      <w:r>
        <w:rPr>
          <w:rFonts w:ascii="Palatino Linotype" w:eastAsia="Palatino Linotype" w:hAnsi="Palatino Linotype" w:cs="Palatino Linotype"/>
          <w:i/>
          <w:color w:val="000000"/>
        </w:rPr>
        <w:t xml:space="preserve">“no se dio respuesta a la pregunta señalada” </w:t>
      </w:r>
      <w:r>
        <w:rPr>
          <w:rFonts w:ascii="Palatino Linotype" w:eastAsia="Palatino Linotype" w:hAnsi="Palatino Linotype" w:cs="Palatino Linotype"/>
          <w:color w:val="000000"/>
        </w:rPr>
        <w:t>y como razones o motivos de inconformidad que requiere conocer el perfil del docente para dar clases en dicha institución</w:t>
      </w:r>
    </w:p>
    <w:p w14:paraId="67E65343" w14:textId="77777777" w:rsidR="0048397D" w:rsidRDefault="0048397D">
      <w:pPr>
        <w:spacing w:line="360" w:lineRule="auto"/>
        <w:jc w:val="both"/>
        <w:rPr>
          <w:rFonts w:ascii="Palatino Linotype" w:eastAsia="Palatino Linotype" w:hAnsi="Palatino Linotype" w:cs="Palatino Linotype"/>
        </w:rPr>
      </w:pPr>
    </w:p>
    <w:p w14:paraId="0A15275B"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la hipótesis jurídica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689384C1"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E58D0E0" w14:textId="77777777" w:rsidR="0048397D" w:rsidRDefault="00304BF4">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14:paraId="30522FBD" w14:textId="77777777" w:rsidR="0048397D" w:rsidRDefault="0048397D">
      <w:pPr>
        <w:spacing w:line="360" w:lineRule="auto"/>
        <w:rPr>
          <w:rFonts w:ascii="Palatino Linotype" w:eastAsia="Palatino Linotype" w:hAnsi="Palatino Linotype" w:cs="Palatino Linotype"/>
        </w:rPr>
      </w:pPr>
    </w:p>
    <w:p w14:paraId="5BFE43FE" w14:textId="77777777" w:rsidR="0048397D" w:rsidRDefault="00304BF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Marco normativo aplicable en materia de transparencia y acceso a la información pública.</w:t>
      </w:r>
    </w:p>
    <w:p w14:paraId="44835B6A" w14:textId="77777777" w:rsidR="0048397D" w:rsidRDefault="0048397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7E56B9CF"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Acotada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del asunto de mérito, es dable puntualizar inicialmente en términos </w:t>
      </w:r>
      <w:r>
        <w:rPr>
          <w:rFonts w:ascii="Palatino Linotype" w:eastAsia="Palatino Linotype" w:hAnsi="Palatino Linotype" w:cs="Palatino Linotype"/>
          <w:color w:val="000000"/>
        </w:rPr>
        <w:t>generales</w:t>
      </w:r>
      <w:r>
        <w:rPr>
          <w:rFonts w:ascii="Palatino Linotype" w:eastAsia="Palatino Linotype" w:hAnsi="Palatino Linotype" w:cs="Palatino Linotype"/>
        </w:rPr>
        <w:t xml:space="preserve">, que el </w:t>
      </w:r>
      <w:r>
        <w:rPr>
          <w:rFonts w:ascii="Palatino Linotype" w:eastAsia="Palatino Linotype" w:hAnsi="Palatino Linotype" w:cs="Palatino Linotype"/>
          <w:color w:val="000000"/>
        </w:rPr>
        <w:t>Derecho</w:t>
      </w:r>
      <w:r>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0234544" w14:textId="77777777" w:rsidR="0048397D" w:rsidRDefault="0048397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4252056"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F566CE4" w14:textId="77777777" w:rsidR="0048397D" w:rsidRDefault="0048397D">
      <w:pPr>
        <w:spacing w:line="360" w:lineRule="auto"/>
        <w:jc w:val="both"/>
        <w:rPr>
          <w:rFonts w:ascii="Palatino Linotype" w:eastAsia="Palatino Linotype" w:hAnsi="Palatino Linotype" w:cs="Palatino Linotype"/>
        </w:rPr>
      </w:pPr>
    </w:p>
    <w:p w14:paraId="119C4504"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w:t>
      </w:r>
      <w:r>
        <w:rPr>
          <w:rFonts w:ascii="Palatino Linotype" w:eastAsia="Palatino Linotype" w:hAnsi="Palatino Linotype" w:cs="Palatino Linotype"/>
        </w:rPr>
        <w:lastRenderedPageBreak/>
        <w:t>Obligados deberán documentar todo acto que derive del ejercicio de sus facultades, competencias o funciones desde su origen la eventual publicidad y reutilización de la información que generen.</w:t>
      </w:r>
    </w:p>
    <w:p w14:paraId="33106A4B"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7CA8FCC"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0FB42B3" w14:textId="77777777" w:rsidR="0048397D" w:rsidRDefault="0048397D">
      <w:pPr>
        <w:spacing w:line="360" w:lineRule="auto"/>
        <w:rPr>
          <w:rFonts w:ascii="Palatino Linotype" w:eastAsia="Palatino Linotype" w:hAnsi="Palatino Linotype" w:cs="Palatino Linotype"/>
        </w:rPr>
      </w:pPr>
    </w:p>
    <w:p w14:paraId="523AB2B4" w14:textId="77777777" w:rsidR="0048397D" w:rsidRDefault="00304BF4">
      <w:pPr>
        <w:numPr>
          <w:ilvl w:val="0"/>
          <w:numId w:val="2"/>
        </w:numPr>
        <w:pBdr>
          <w:top w:val="nil"/>
          <w:left w:val="nil"/>
          <w:bottom w:val="nil"/>
          <w:right w:val="nil"/>
          <w:between w:val="nil"/>
        </w:pBdr>
        <w:spacing w:line="360" w:lineRule="auto"/>
        <w:ind w:right="75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Estudio de fondo</w:t>
      </w:r>
    </w:p>
    <w:p w14:paraId="30E68FE3"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es necesario primeramente traer a contexto</w:t>
      </w:r>
      <w:r>
        <w:rPr>
          <w:rFonts w:ascii="Palatino Linotype" w:eastAsia="Palatino Linotype" w:hAnsi="Palatino Linotype" w:cs="Palatino Linotype"/>
        </w:rPr>
        <w:t xml:space="preserve"> pronunciamiento el siguiente indicio localizado,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donde se advierte de la </w:t>
      </w:r>
      <w:r>
        <w:rPr>
          <w:rFonts w:ascii="Palatino Linotype" w:eastAsia="Palatino Linotype" w:hAnsi="Palatino Linotype" w:cs="Palatino Linotype"/>
          <w:b/>
        </w:rPr>
        <w:t xml:space="preserve">docente Ana Luisa Valverde, </w:t>
      </w:r>
      <w:r>
        <w:rPr>
          <w:rFonts w:ascii="Palatino Linotype" w:eastAsia="Palatino Linotype" w:hAnsi="Palatino Linotype" w:cs="Palatino Linotype"/>
        </w:rPr>
        <w:t xml:space="preserve"> lo siguiente:</w:t>
      </w:r>
    </w:p>
    <w:p w14:paraId="182AD1E8" w14:textId="77777777" w:rsidR="0048397D" w:rsidRDefault="00304BF4">
      <w:pPr>
        <w:pBdr>
          <w:top w:val="nil"/>
          <w:left w:val="nil"/>
          <w:bottom w:val="nil"/>
          <w:right w:val="nil"/>
          <w:between w:val="nil"/>
        </w:pBdr>
        <w:spacing w:line="360" w:lineRule="auto"/>
        <w:ind w:left="720"/>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6EFE5825" wp14:editId="2E887290">
            <wp:extent cx="4934639" cy="219105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34639" cy="2191056"/>
                    </a:xfrm>
                    <a:prstGeom prst="rect">
                      <a:avLst/>
                    </a:prstGeom>
                    <a:ln/>
                  </pic:spPr>
                </pic:pic>
              </a:graphicData>
            </a:graphic>
          </wp:inline>
        </w:drawing>
      </w:r>
    </w:p>
    <w:p w14:paraId="3DC36DF9" w14:textId="77777777" w:rsidR="0048397D" w:rsidRDefault="0048397D">
      <w:pPr>
        <w:spacing w:line="360" w:lineRule="auto"/>
        <w:rPr>
          <w:rFonts w:ascii="Palatino Linotype" w:eastAsia="Palatino Linotype" w:hAnsi="Palatino Linotype" w:cs="Palatino Linotype"/>
        </w:rPr>
      </w:pPr>
    </w:p>
    <w:p w14:paraId="0D5EC83F"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Lo anterior, constituyen un hecho notorio, Sirven de apoyo a lo anterior las siguiente tesis aisladas: </w:t>
      </w:r>
    </w:p>
    <w:p w14:paraId="0834C3C0" w14:textId="77777777" w:rsidR="0048397D" w:rsidRDefault="00304BF4">
      <w:pPr>
        <w:widowControl w:val="0"/>
        <w:shd w:val="clear" w:color="auto" w:fill="FFFFFF"/>
        <w:spacing w:after="120"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rPr>
        <w:t>PÁGINAS WEB O ELECTRÓNICAS. SU CONTENIDO ES UN HECHO NOTORIO Y SUSCEPTIBLE DE SER VALORADO EN UNA DECISIÓN JUDICIAL.</w:t>
      </w:r>
      <w:r>
        <w:t xml:space="preserve"> </w:t>
      </w:r>
      <w:r>
        <w:rPr>
          <w:rFonts w:ascii="Palatino Linotype" w:eastAsia="Palatino Linotype" w:hAnsi="Palatino Linotype" w:cs="Palatino Linotype"/>
          <w:i/>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TERCER TRIBUNAL COLEGIADO EN MATERIA CIVIL DEL PRIMER CIRCUITO. Amparo en revisión 365/2012. Mardygras, S.A. de C.V. 7 de diciembre de 2012. Unanimidad de votos. Ponente: Neófito López Ramos. Secretaria: Ana Lilia Osorno Arroyo. </w:t>
      </w:r>
    </w:p>
    <w:p w14:paraId="6B464C54" w14:textId="77777777" w:rsidR="0048397D" w:rsidRDefault="0048397D">
      <w:pPr>
        <w:widowControl w:val="0"/>
        <w:pBdr>
          <w:top w:val="nil"/>
          <w:left w:val="nil"/>
          <w:bottom w:val="nil"/>
          <w:right w:val="nil"/>
          <w:between w:val="nil"/>
        </w:pBdr>
        <w:shd w:val="clear" w:color="auto" w:fill="FFFFFF"/>
        <w:spacing w:line="360" w:lineRule="auto"/>
        <w:ind w:left="567" w:right="567"/>
        <w:jc w:val="both"/>
        <w:rPr>
          <w:rFonts w:ascii="Palatino Linotype" w:eastAsia="Palatino Linotype" w:hAnsi="Palatino Linotype" w:cs="Palatino Linotype"/>
          <w:b/>
          <w:i/>
          <w:color w:val="000000"/>
        </w:rPr>
      </w:pPr>
    </w:p>
    <w:p w14:paraId="02EB1979" w14:textId="77777777" w:rsidR="0048397D" w:rsidRDefault="00304BF4">
      <w:pPr>
        <w:widowControl w:val="0"/>
        <w:pBdr>
          <w:top w:val="nil"/>
          <w:left w:val="nil"/>
          <w:bottom w:val="nil"/>
          <w:right w:val="nil"/>
          <w:between w:val="nil"/>
        </w:pBdr>
        <w:shd w:val="clear" w:color="auto" w:fill="FFFFFF"/>
        <w:spacing w:after="120"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Pr>
          <w:rFonts w:ascii="Palatino Linotype" w:eastAsia="Palatino Linotype" w:hAnsi="Palatino Linotype" w:cs="Palatino Linotype"/>
          <w:i/>
          <w:color w:val="000000"/>
          <w:sz w:val="22"/>
          <w:szCs w:val="22"/>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Pag.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 </w:t>
      </w:r>
    </w:p>
    <w:p w14:paraId="103CDA40" w14:textId="77777777" w:rsidR="0048397D" w:rsidRDefault="0048397D">
      <w:pPr>
        <w:spacing w:line="360" w:lineRule="auto"/>
        <w:jc w:val="both"/>
        <w:rPr>
          <w:rFonts w:ascii="Palatino Linotype" w:eastAsia="Palatino Linotype" w:hAnsi="Palatino Linotype" w:cs="Palatino Linotype"/>
        </w:rPr>
      </w:pPr>
    </w:p>
    <w:p w14:paraId="098D91F0"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en un primer momento que, la </w:t>
      </w:r>
      <w:r>
        <w:rPr>
          <w:rFonts w:ascii="Palatino Linotype" w:eastAsia="Palatino Linotype" w:hAnsi="Palatino Linotype" w:cs="Palatino Linotype"/>
          <w:b/>
        </w:rPr>
        <w:t>docente Ana Luisa Valverde</w:t>
      </w:r>
      <w:r>
        <w:rPr>
          <w:rFonts w:ascii="Palatino Linotype" w:eastAsia="Palatino Linotype" w:hAnsi="Palatino Linotype" w:cs="Palatino Linotype"/>
        </w:rPr>
        <w:t xml:space="preserve">, en el año 2022, fue parte del Departamento de Animación Digital del Tecnológico de Estudios Superiores de Chimalhuacán, luego entonces, resulta </w:t>
      </w:r>
      <w:r>
        <w:rPr>
          <w:rFonts w:ascii="Palatino Linotype" w:eastAsia="Palatino Linotype" w:hAnsi="Palatino Linotype" w:cs="Palatino Linotype"/>
        </w:rPr>
        <w:lastRenderedPageBreak/>
        <w:t xml:space="preserve">inconcuso que el </w:t>
      </w:r>
      <w:r>
        <w:rPr>
          <w:rFonts w:ascii="Palatino Linotype" w:eastAsia="Palatino Linotype" w:hAnsi="Palatino Linotype" w:cs="Palatino Linotype"/>
          <w:b/>
        </w:rPr>
        <w:t>SUJETO OBLIGADO</w:t>
      </w:r>
      <w:r>
        <w:rPr>
          <w:rFonts w:ascii="Palatino Linotype" w:eastAsia="Palatino Linotype" w:hAnsi="Palatino Linotype" w:cs="Palatino Linotype"/>
        </w:rPr>
        <w:t>, no genere, posea o administre la información solicitada, por lo que resulta improcedente la declinación de incompetencia hecha valer.</w:t>
      </w:r>
    </w:p>
    <w:p w14:paraId="17244FA6" w14:textId="77777777" w:rsidR="0048397D" w:rsidRDefault="0048397D">
      <w:pPr>
        <w:spacing w:line="360" w:lineRule="auto"/>
        <w:jc w:val="both"/>
        <w:rPr>
          <w:rFonts w:ascii="Palatino Linotype" w:eastAsia="Palatino Linotype" w:hAnsi="Palatino Linotype" w:cs="Palatino Linotype"/>
        </w:rPr>
      </w:pPr>
    </w:p>
    <w:p w14:paraId="67105444" w14:textId="77777777" w:rsidR="0048397D" w:rsidRDefault="00304BF4">
      <w:pPr>
        <w:numPr>
          <w:ilvl w:val="0"/>
          <w:numId w:val="4"/>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Ahora bien, de la solicitud de información se desprende que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solicita específicamente cual es el perfil educativo y psicopedagógico de la </w:t>
      </w:r>
      <w:r>
        <w:rPr>
          <w:rFonts w:ascii="Palatino Linotype" w:eastAsia="Palatino Linotype" w:hAnsi="Palatino Linotype" w:cs="Palatino Linotype"/>
          <w:b/>
        </w:rPr>
        <w:t xml:space="preserve">docente Ana Luisa Valverde </w:t>
      </w:r>
      <w:r>
        <w:rPr>
          <w:rFonts w:ascii="Palatino Linotype" w:eastAsia="Palatino Linotype" w:hAnsi="Palatino Linotype" w:cs="Palatino Linotype"/>
        </w:rPr>
        <w:t xml:space="preserve">lo que implica que se elabore un documento </w:t>
      </w:r>
      <w:r>
        <w:rPr>
          <w:rFonts w:ascii="Palatino Linotype" w:eastAsia="Palatino Linotype" w:hAnsi="Palatino Linotype" w:cs="Palatino Linotype"/>
          <w:i/>
        </w:rPr>
        <w:t>ad hoc</w:t>
      </w:r>
      <w:r>
        <w:rPr>
          <w:rFonts w:ascii="Palatino Linotype" w:eastAsia="Palatino Linotype" w:hAnsi="Palatino Linotype" w:cs="Palatino Linotype"/>
        </w:rPr>
        <w:t xml:space="preserve"> para satisfacer sus pretensiones particulares; contexto que resulta improcedente, toda vez los sujetos obligados no se encuentran obligados a generar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para atender las solicitudes de información de los </w:t>
      </w:r>
      <w:r>
        <w:rPr>
          <w:rFonts w:ascii="Palatino Linotype" w:eastAsia="Palatino Linotype" w:hAnsi="Palatino Linotype" w:cs="Palatino Linotype"/>
          <w:color w:val="000000"/>
        </w:rPr>
        <w:t>particulares</w:t>
      </w:r>
      <w:r>
        <w:rPr>
          <w:rFonts w:ascii="Palatino Linotype" w:eastAsia="Palatino Linotype" w:hAnsi="Palatino Linotype" w:cs="Palatino Linotype"/>
        </w:rPr>
        <w:t xml:space="preserve"> conforme a sus intereses particulares, como apoyo a lo anterior, es aplicable por analogía el </w:t>
      </w:r>
      <w:r>
        <w:rPr>
          <w:rFonts w:ascii="Palatino Linotype" w:eastAsia="Palatino Linotype" w:hAnsi="Palatino Linotype" w:cs="Palatino Linotype"/>
          <w:b/>
        </w:rPr>
        <w:t>Criterio 03/17</w:t>
      </w:r>
      <w:r>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787DA10C" w14:textId="77777777" w:rsidR="0048397D" w:rsidRDefault="0048397D">
      <w:pPr>
        <w:spacing w:line="360" w:lineRule="auto"/>
        <w:ind w:left="720"/>
        <w:rPr>
          <w:rFonts w:ascii="Palatino Linotype" w:eastAsia="Palatino Linotype" w:hAnsi="Palatino Linotype" w:cs="Palatino Linotype"/>
          <w:i/>
        </w:rPr>
      </w:pPr>
    </w:p>
    <w:p w14:paraId="06983C3A" w14:textId="77777777" w:rsidR="0048397D" w:rsidRDefault="00304BF4">
      <w:pPr>
        <w:spacing w:line="360"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w:t>
      </w:r>
      <w:r>
        <w:rPr>
          <w:rFonts w:ascii="Palatino Linotype" w:eastAsia="Palatino Linotype" w:hAnsi="Palatino Linotype" w:cs="Palatino Linotype"/>
          <w:i/>
        </w:rPr>
        <w:lastRenderedPageBreak/>
        <w:t>la información con la que cuentan en el formato en que la misma obre en sus archivos; sin necesidad de elaborar documentos ad hoc para atender las solicitudes de información.</w:t>
      </w:r>
    </w:p>
    <w:p w14:paraId="194B4215" w14:textId="77777777" w:rsidR="0048397D" w:rsidRDefault="0048397D">
      <w:pPr>
        <w:spacing w:line="360" w:lineRule="auto"/>
        <w:ind w:right="618"/>
        <w:jc w:val="both"/>
        <w:rPr>
          <w:rFonts w:ascii="Palatino Linotype" w:eastAsia="Palatino Linotype" w:hAnsi="Palatino Linotype" w:cs="Palatino Linotype"/>
          <w:i/>
        </w:rPr>
      </w:pPr>
    </w:p>
    <w:p w14:paraId="7732DE44" w14:textId="77777777" w:rsidR="0048397D" w:rsidRDefault="00304BF4">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su vez, es necesario referir que el particular no identificó el documento específico, pero si la información que desea conocer, por lo que es procedente traer a contexto el Criterio </w:t>
      </w:r>
      <w:r>
        <w:rPr>
          <w:rFonts w:ascii="Palatino Linotype" w:eastAsia="Palatino Linotype" w:hAnsi="Palatino Linotype" w:cs="Palatino Linotype"/>
          <w:b/>
          <w:color w:val="000000"/>
        </w:rPr>
        <w:t>028-10</w:t>
      </w:r>
      <w:r>
        <w:rPr>
          <w:rFonts w:ascii="Palatino Linotype" w:eastAsia="Palatino Linotype" w:hAnsi="Palatino Linotype" w:cs="Palatino Linotype"/>
          <w:color w:val="000000"/>
        </w:rPr>
        <w:t xml:space="preserve"> emitido por el Pleno del entonces llamado Instituto Federal de Acceso a la Información y Protección de Datos, ahora Instituto Nacional de Transparencia, Acceso a la Información y Protección de Datos Personales ,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7585D135" w14:textId="77777777" w:rsidR="0048397D" w:rsidRDefault="0048397D">
      <w:pPr>
        <w:pBdr>
          <w:top w:val="nil"/>
          <w:left w:val="nil"/>
          <w:bottom w:val="nil"/>
          <w:right w:val="nil"/>
          <w:between w:val="nil"/>
        </w:pBdr>
        <w:tabs>
          <w:tab w:val="left" w:pos="851"/>
        </w:tabs>
        <w:spacing w:line="360" w:lineRule="auto"/>
        <w:ind w:left="644" w:right="49"/>
        <w:jc w:val="both"/>
        <w:rPr>
          <w:rFonts w:ascii="Palatino Linotype" w:eastAsia="Palatino Linotype" w:hAnsi="Palatino Linotype" w:cs="Palatino Linotype"/>
          <w:color w:val="000000"/>
        </w:rPr>
      </w:pPr>
    </w:p>
    <w:p w14:paraId="29B7DDDC" w14:textId="77777777" w:rsidR="0048397D" w:rsidRDefault="00304BF4">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i/>
          <w:color w:val="222222"/>
        </w:rPr>
      </w:pPr>
      <w:r>
        <w:rPr>
          <w:rFonts w:ascii="Palatino Linotype" w:eastAsia="Palatino Linotype" w:hAnsi="Palatino Linotype" w:cs="Palatino Linotype"/>
          <w:b/>
          <w:i/>
          <w:color w:val="222222"/>
        </w:rPr>
        <w:t>“Cuando en una solicitud de información no se identifique un documento en específico, si ésta tiene una expresión documental, el sujeto obligado deberá entregar al particular el documento en específico.</w:t>
      </w:r>
      <w:r>
        <w:rPr>
          <w:rFonts w:ascii="Palatino Linotype" w:eastAsia="Palatino Linotype" w:hAnsi="Palatino Linotype" w:cs="Palatino Linotype"/>
          <w:i/>
          <w:color w:val="2222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w:t>
      </w:r>
      <w:r>
        <w:rPr>
          <w:rFonts w:ascii="Palatino Linotype" w:eastAsia="Palatino Linotype" w:hAnsi="Palatino Linotype" w:cs="Palatino Linotype"/>
          <w:i/>
          <w:color w:val="222222"/>
        </w:rPr>
        <w:lastRenderedPageBreak/>
        <w:t>facultades o la actividad de los sujetos obligados sin importar su fuente o fecha de elaboración. En este sentido</w:t>
      </w:r>
      <w:r>
        <w:rPr>
          <w:rFonts w:ascii="Palatino Linotype" w:eastAsia="Palatino Linotype" w:hAnsi="Palatino Linotype" w:cs="Palatino Linotype"/>
          <w:i/>
          <w:color w:val="222222"/>
          <w:u w:val="single"/>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Pr>
          <w:rFonts w:ascii="Palatino Linotype" w:eastAsia="Palatino Linotype" w:hAnsi="Palatino Linotype" w:cs="Palatino Linotype"/>
          <w:i/>
          <w:color w:val="222222"/>
        </w:rPr>
        <w:t>. Es decir, si la respuesta a la solicitud obra en algún documento en poder de la autoridad, pero el particular no hace referencia específica a tal documento, se deberá hacer entrega del mismo al solicitante.”</w:t>
      </w:r>
    </w:p>
    <w:p w14:paraId="0DC7014A" w14:textId="77777777" w:rsidR="0048397D" w:rsidRDefault="00304BF4">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(Énfasis añadido)</w:t>
      </w:r>
    </w:p>
    <w:p w14:paraId="2689287C" w14:textId="77777777" w:rsidR="0048397D" w:rsidRDefault="0048397D">
      <w:pPr>
        <w:pBdr>
          <w:top w:val="nil"/>
          <w:left w:val="nil"/>
          <w:bottom w:val="nil"/>
          <w:right w:val="nil"/>
          <w:between w:val="nil"/>
        </w:pBdr>
        <w:shd w:val="clear" w:color="auto" w:fill="FFFFFF"/>
        <w:spacing w:line="360" w:lineRule="auto"/>
        <w:ind w:left="851" w:right="822"/>
        <w:jc w:val="both"/>
        <w:rPr>
          <w:rFonts w:ascii="Palatino Linotype" w:eastAsia="Palatino Linotype" w:hAnsi="Palatino Linotype" w:cs="Palatino Linotype"/>
          <w:color w:val="222222"/>
        </w:rPr>
      </w:pPr>
    </w:p>
    <w:p w14:paraId="76E2E427" w14:textId="77777777" w:rsidR="0048397D" w:rsidRDefault="00304BF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Robustece lo anterior el Criterio Orientador </w:t>
      </w:r>
      <w:r>
        <w:rPr>
          <w:rFonts w:ascii="Palatino Linotype" w:eastAsia="Palatino Linotype" w:hAnsi="Palatino Linotype" w:cs="Palatino Linotype"/>
          <w:b/>
          <w:color w:val="000000"/>
        </w:rPr>
        <w:t>16/17</w:t>
      </w:r>
      <w:r>
        <w:rPr>
          <w:rFonts w:ascii="Palatino Linotype" w:eastAsia="Palatino Linotype" w:hAnsi="Palatino Linotype" w:cs="Palatino Linotype"/>
          <w:color w:val="000000"/>
        </w:rPr>
        <w:t xml:space="preserve"> emitido de igual forma por el Instituto Nacional de Transparencia, Acceso a la Información y Protección de Datos Personales que a la literalidad prevé:</w:t>
      </w:r>
    </w:p>
    <w:p w14:paraId="79579477" w14:textId="77777777" w:rsidR="0048397D" w:rsidRDefault="0048397D">
      <w:pPr>
        <w:pBdr>
          <w:top w:val="nil"/>
          <w:left w:val="nil"/>
          <w:bottom w:val="nil"/>
          <w:right w:val="nil"/>
          <w:between w:val="nil"/>
        </w:pBdr>
        <w:spacing w:line="360" w:lineRule="auto"/>
        <w:ind w:left="644" w:right="49"/>
        <w:jc w:val="both"/>
        <w:rPr>
          <w:rFonts w:ascii="Palatino Linotype" w:eastAsia="Palatino Linotype" w:hAnsi="Palatino Linotype" w:cs="Palatino Linotype"/>
          <w:color w:val="000000"/>
        </w:rPr>
      </w:pPr>
    </w:p>
    <w:p w14:paraId="2FE79371"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“Expresión documental</w:t>
      </w:r>
      <w:r>
        <w:rPr>
          <w:rFonts w:ascii="Palatino Linotype" w:eastAsia="Palatino Linotype" w:hAnsi="Palatino Linotype" w:cs="Palatino Linotype"/>
          <w:i/>
          <w:color w:val="00000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Pr>
          <w:rFonts w:ascii="Palatino Linotype" w:eastAsia="Palatino Linotype" w:hAnsi="Palatino Linotype" w:cs="Palatino Linotype"/>
          <w:i/>
          <w:color w:val="000000"/>
          <w:u w:val="single"/>
        </w:rPr>
        <w:t>los sujetos obligados</w:t>
      </w:r>
      <w:r>
        <w:rPr>
          <w:rFonts w:ascii="Palatino Linotype" w:eastAsia="Palatino Linotype" w:hAnsi="Palatino Linotype" w:cs="Palatino Linotype"/>
          <w:i/>
          <w:color w:val="000000"/>
        </w:rPr>
        <w:t xml:space="preserve">, éstos </w:t>
      </w:r>
      <w:r>
        <w:rPr>
          <w:rFonts w:ascii="Palatino Linotype" w:eastAsia="Palatino Linotype" w:hAnsi="Palatino Linotype" w:cs="Palatino Linotype"/>
          <w:b/>
          <w:i/>
          <w:color w:val="000000"/>
          <w:u w:val="single"/>
        </w:rPr>
        <w:t xml:space="preserve">deben dar a dichas </w:t>
      </w:r>
      <w:r>
        <w:rPr>
          <w:rFonts w:ascii="Palatino Linotype" w:eastAsia="Palatino Linotype" w:hAnsi="Palatino Linotype" w:cs="Palatino Linotype"/>
          <w:b/>
          <w:i/>
          <w:color w:val="000000"/>
          <w:u w:val="single"/>
        </w:rPr>
        <w:lastRenderedPageBreak/>
        <w:t>solicitudes una interpretación que les otorgue una expresión documental.</w:t>
      </w:r>
      <w:r>
        <w:rPr>
          <w:rFonts w:ascii="Palatino Linotype" w:eastAsia="Palatino Linotype" w:hAnsi="Palatino Linotype" w:cs="Palatino Linotype"/>
          <w:i/>
          <w:color w:val="000000"/>
        </w:rPr>
        <w:t xml:space="preserve"> </w:t>
      </w:r>
    </w:p>
    <w:p w14:paraId="6210136A" w14:textId="77777777" w:rsidR="0048397D" w:rsidRDefault="0048397D">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p>
    <w:p w14:paraId="1DC5C0A5"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Resoluciones:</w:t>
      </w:r>
    </w:p>
    <w:p w14:paraId="467C4C70"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RRA 0774/16. Secretaría de Salud. 31 de agosto de 2016. Por unanimidad. Comisionada Ponente María Patricia Kurczyn Villalobos.</w:t>
      </w:r>
    </w:p>
    <w:p w14:paraId="298D3E01"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 xml:space="preserve">RRA 0143/17. Universidad Autónoma Agraria Antonio Narro. 22 de febrero de 2017. Por unanimidad. Comisionado Ponente Oscar Mauricio Guerra Ford. </w:t>
      </w:r>
    </w:p>
    <w:p w14:paraId="2A90739F"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RRA 0540/17. Secretaría de Economía. 08 de marzo del 2017. Por unanimidad. Comisionado Ponente Francisco Javier Acuña Llamas”</w:t>
      </w:r>
    </w:p>
    <w:p w14:paraId="02B06AA4" w14:textId="77777777" w:rsidR="0048397D" w:rsidRDefault="00304BF4">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14:paraId="44F7BAD1" w14:textId="77777777" w:rsidR="0048397D" w:rsidRDefault="0048397D">
      <w:pPr>
        <w:pBdr>
          <w:top w:val="nil"/>
          <w:left w:val="nil"/>
          <w:bottom w:val="nil"/>
          <w:right w:val="nil"/>
          <w:between w:val="nil"/>
        </w:pBdr>
        <w:tabs>
          <w:tab w:val="left" w:pos="426"/>
        </w:tabs>
        <w:spacing w:line="360" w:lineRule="auto"/>
        <w:ind w:left="644" w:right="49"/>
        <w:jc w:val="both"/>
        <w:rPr>
          <w:rFonts w:ascii="Palatino Linotype" w:eastAsia="Palatino Linotype" w:hAnsi="Palatino Linotype" w:cs="Palatino Linotype"/>
          <w:color w:val="000000"/>
        </w:rPr>
      </w:pPr>
    </w:p>
    <w:p w14:paraId="6EC6C854" w14:textId="77777777" w:rsidR="0048397D" w:rsidRDefault="00304BF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 por lo tanto, es dable ordenar el soporte documental donde conste o se advierta el perfil educativo o profesional de la servidora pública de referencia.</w:t>
      </w:r>
    </w:p>
    <w:p w14:paraId="5B003EA4" w14:textId="77777777" w:rsidR="0048397D" w:rsidRDefault="0048397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3700ACC" w14:textId="77777777" w:rsidR="0048397D" w:rsidRDefault="00304BF4">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sobre este punto en particular, es necesario enfatizar que el documento que pudiera dar contestación al requerimiento es, de manera </w:t>
      </w:r>
      <w:r>
        <w:rPr>
          <w:rFonts w:ascii="Palatino Linotype" w:eastAsia="Palatino Linotype" w:hAnsi="Palatino Linotype" w:cs="Palatino Linotype"/>
          <w:color w:val="000000"/>
        </w:rPr>
        <w:lastRenderedPageBreak/>
        <w:t>enunciativa más no limitativa el currículum vitae o ficha curricular, por contener el perfil personal dada su propia y especial naturaleza.</w:t>
      </w:r>
    </w:p>
    <w:p w14:paraId="6C5AF931" w14:textId="77777777" w:rsidR="0048397D" w:rsidRDefault="0048397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916B8C5" w14:textId="77777777" w:rsidR="0048397D" w:rsidRDefault="00304BF4">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resulta así, ya que la ficha curricular o curriculum vitae contienen entre otra información, </w:t>
      </w:r>
      <w:r>
        <w:rPr>
          <w:rFonts w:ascii="Palatino Linotype" w:eastAsia="Palatino Linotype" w:hAnsi="Palatino Linotype" w:cs="Palatino Linotype"/>
          <w:b/>
          <w:color w:val="000000"/>
        </w:rPr>
        <w:t>la preparación académica</w:t>
      </w:r>
      <w:r>
        <w:rPr>
          <w:rFonts w:ascii="Palatino Linotype" w:eastAsia="Palatino Linotype" w:hAnsi="Palatino Linotype" w:cs="Palatino Linotype"/>
          <w:color w:val="000000"/>
        </w:rPr>
        <w:t xml:space="preserve">, laboral y méritos con los que cuentan los servidores públicos para ocupar un cargo público. Se cita lo que dispone la  Real Academia de la Lengua Española define como currículum vitae: </w:t>
      </w:r>
    </w:p>
    <w:p w14:paraId="77BB5406" w14:textId="77777777" w:rsidR="0048397D" w:rsidRDefault="00304BF4">
      <w:pPr>
        <w:tabs>
          <w:tab w:val="left" w:pos="426"/>
        </w:tabs>
        <w:spacing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rPr>
        <w:t>“</w:t>
      </w:r>
      <w:r>
        <w:rPr>
          <w:rFonts w:ascii="Palatino Linotype" w:eastAsia="Palatino Linotype" w:hAnsi="Palatino Linotype" w:cs="Palatino Linotype"/>
          <w:b/>
          <w:i/>
        </w:rPr>
        <w:t>currículum vítae</w:t>
      </w:r>
      <w:r>
        <w:rPr>
          <w:rFonts w:ascii="Palatino Linotype" w:eastAsia="Palatino Linotype" w:hAnsi="Palatino Linotype" w:cs="Palatino Linotype"/>
          <w:i/>
        </w:rPr>
        <w:t>. </w:t>
      </w:r>
      <w:bookmarkStart w:id="8" w:name="bookmark=id.4d34og8" w:colFirst="0" w:colLast="0"/>
      <w:bookmarkEnd w:id="8"/>
      <w:r>
        <w:rPr>
          <w:rFonts w:ascii="Palatino Linotype" w:eastAsia="Palatino Linotype" w:hAnsi="Palatino Linotype" w:cs="Palatino Linotype"/>
          <w:b/>
          <w:i/>
        </w:rPr>
        <w:t>1.</w:t>
      </w:r>
      <w:r>
        <w:rPr>
          <w:rFonts w:ascii="Palatino Linotype" w:eastAsia="Palatino Linotype" w:hAnsi="Palatino Linotype" w:cs="Palatino Linotype"/>
          <w:i/>
        </w:rPr>
        <w:t xml:space="preserve"> Loc. lat. que significa literalmente ‘carrera de la vida’. Se usa como locución nominal masculina para designar la relación de los datos personales, </w:t>
      </w:r>
      <w:r>
        <w:rPr>
          <w:rFonts w:ascii="Palatino Linotype" w:eastAsia="Palatino Linotype" w:hAnsi="Palatino Linotype" w:cs="Palatino Linotype"/>
          <w:b/>
          <w:i/>
        </w:rPr>
        <w:t>formación académica</w:t>
      </w:r>
      <w:r>
        <w:rPr>
          <w:rFonts w:ascii="Palatino Linotype" w:eastAsia="Palatino Linotype" w:hAnsi="Palatino Linotype" w:cs="Palatino Linotype"/>
          <w:i/>
        </w:rPr>
        <w:t>, actividad laboral y méritos de una persona.</w:t>
      </w:r>
      <w:r>
        <w:rPr>
          <w:rFonts w:ascii="Palatino Linotype" w:eastAsia="Palatino Linotype" w:hAnsi="Palatino Linotype" w:cs="Palatino Linotype"/>
        </w:rPr>
        <w:t>”</w:t>
      </w:r>
    </w:p>
    <w:p w14:paraId="68937120" w14:textId="77777777" w:rsidR="0048397D" w:rsidRDefault="0048397D">
      <w:pPr>
        <w:tabs>
          <w:tab w:val="left" w:pos="426"/>
        </w:tabs>
        <w:spacing w:line="360" w:lineRule="auto"/>
        <w:ind w:left="567" w:right="616"/>
        <w:jc w:val="both"/>
        <w:rPr>
          <w:rFonts w:ascii="Palatino Linotype" w:eastAsia="Palatino Linotype" w:hAnsi="Palatino Linotype" w:cs="Palatino Linotype"/>
        </w:rPr>
      </w:pPr>
    </w:p>
    <w:p w14:paraId="7B67B7B5" w14:textId="77777777" w:rsidR="0048397D" w:rsidRDefault="00304BF4">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interpretación a esta definición se desprende que tanto la ficha curricular como el curriculum vitae están relacionados con la hoja de vida, carrera de vida o currícula de una persona, donde se podría apreciar la preparación académica y laboral que tiene, además de los méritos como bien lo podrían ser cursos o certificaciones.</w:t>
      </w:r>
    </w:p>
    <w:p w14:paraId="54FF87D9" w14:textId="77777777" w:rsidR="0048397D" w:rsidRDefault="004839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A0B7BA7" w14:textId="77777777" w:rsidR="0048397D" w:rsidRDefault="00304BF4">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la ficha curricular o currículum vítae puede existir información más detallada y relacionada con la </w:t>
      </w:r>
      <w:r>
        <w:rPr>
          <w:rFonts w:ascii="Palatino Linotype" w:eastAsia="Palatino Linotype" w:hAnsi="Palatino Linotype" w:cs="Palatino Linotype"/>
          <w:b/>
          <w:color w:val="000000"/>
        </w:rPr>
        <w:t xml:space="preserve">trayectoria académica o profesional, </w:t>
      </w:r>
      <w:r>
        <w:rPr>
          <w:rFonts w:ascii="Palatino Linotype" w:eastAsia="Palatino Linotype" w:hAnsi="Palatino Linotype" w:cs="Palatino Linotype"/>
          <w:color w:val="000000"/>
        </w:rPr>
        <w:t xml:space="preserve">debiendo conservar los documentos soporte como puede ser </w:t>
      </w:r>
      <w:r>
        <w:rPr>
          <w:rFonts w:ascii="Palatino Linotype" w:eastAsia="Palatino Linotype" w:hAnsi="Palatino Linotype" w:cs="Palatino Linotype"/>
          <w:b/>
          <w:color w:val="000000"/>
        </w:rPr>
        <w:t>el título profesional o cédula profesional</w:t>
      </w:r>
      <w:r>
        <w:rPr>
          <w:rFonts w:ascii="Palatino Linotype" w:eastAsia="Palatino Linotype" w:hAnsi="Palatino Linotype" w:cs="Palatino Linotype"/>
          <w:color w:val="000000"/>
        </w:rPr>
        <w:t xml:space="preserve"> o el documento que avale el grado académico de los servidores públicos, los cuales son susceptibles de proporcionarse en versión pública.</w:t>
      </w:r>
    </w:p>
    <w:p w14:paraId="55939E1E"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B25C6AF" w14:textId="77777777" w:rsidR="0048397D" w:rsidRDefault="00304BF4">
      <w:pPr>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 así que, la información contenida en el currículum vitae proporcionado por el Sujeto Obligado permite conocer el perfil profesional del servidor público.</w:t>
      </w:r>
    </w:p>
    <w:p w14:paraId="1343DCA0"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D73B0AE" w14:textId="77777777" w:rsidR="0048397D" w:rsidRDefault="0048397D">
      <w:pPr>
        <w:tabs>
          <w:tab w:val="left" w:pos="567"/>
        </w:tabs>
        <w:spacing w:line="360" w:lineRule="auto"/>
        <w:jc w:val="both"/>
        <w:rPr>
          <w:rFonts w:ascii="Palatino Linotype" w:eastAsia="Palatino Linotype" w:hAnsi="Palatino Linotype" w:cs="Palatino Linotype"/>
        </w:rPr>
      </w:pPr>
    </w:p>
    <w:p w14:paraId="4A4DD2C9" w14:textId="77777777" w:rsidR="0048397D" w:rsidRDefault="00304BF4">
      <w:pPr>
        <w:numPr>
          <w:ilvl w:val="0"/>
          <w:numId w:val="4"/>
        </w:numPr>
        <w:tabs>
          <w:tab w:val="left" w:pos="567"/>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269C3F1D" w14:textId="77777777" w:rsidR="0048397D" w:rsidRDefault="0048397D">
      <w:pPr>
        <w:spacing w:line="360" w:lineRule="auto"/>
        <w:ind w:left="851" w:right="851"/>
        <w:jc w:val="center"/>
        <w:rPr>
          <w:rFonts w:ascii="Palatino Linotype" w:eastAsia="Palatino Linotype" w:hAnsi="Palatino Linotype" w:cs="Palatino Linotype"/>
          <w:b/>
          <w:i/>
        </w:rPr>
      </w:pPr>
    </w:p>
    <w:p w14:paraId="532E0A0F" w14:textId="77777777" w:rsidR="0048397D" w:rsidRDefault="00304BF4">
      <w:pPr>
        <w:spacing w:line="360" w:lineRule="auto"/>
        <w:ind w:left="851" w:right="851"/>
        <w:jc w:val="center"/>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14:paraId="2844C914" w14:textId="77777777" w:rsidR="0048397D" w:rsidRDefault="00304BF4">
      <w:pPr>
        <w:spacing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1E2BFC2" w14:textId="77777777" w:rsidR="0048397D" w:rsidRDefault="00304BF4">
      <w:pPr>
        <w:spacing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2E357DC" w14:textId="77777777" w:rsidR="0048397D" w:rsidRDefault="00304BF4">
      <w:pPr>
        <w:spacing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XXI.</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La información curricular</w:t>
      </w:r>
      <w:r>
        <w:rPr>
          <w:rFonts w:ascii="Palatino Linotype" w:eastAsia="Palatino Linotype" w:hAnsi="Palatino Linotype" w:cs="Palatino Linotype"/>
          <w:i/>
        </w:rPr>
        <w:t xml:space="preserve">, desde el nivel de jefe de departamento o equivalente, hasta el titular del sujeto obligado, así como, en su caso, </w:t>
      </w:r>
      <w:r>
        <w:rPr>
          <w:rFonts w:ascii="Palatino Linotype" w:eastAsia="Palatino Linotype" w:hAnsi="Palatino Linotype" w:cs="Palatino Linotype"/>
          <w:b/>
          <w:i/>
          <w:u w:val="single"/>
        </w:rPr>
        <w:t>las sanciones administrativas de que haya sido objeto</w:t>
      </w:r>
      <w:r>
        <w:rPr>
          <w:rFonts w:ascii="Palatino Linotype" w:eastAsia="Palatino Linotype" w:hAnsi="Palatino Linotype" w:cs="Palatino Linotype"/>
          <w:i/>
        </w:rPr>
        <w:t>;</w:t>
      </w:r>
    </w:p>
    <w:p w14:paraId="06AE596F" w14:textId="77777777" w:rsidR="0048397D" w:rsidRDefault="00304BF4">
      <w:pPr>
        <w:spacing w:line="360" w:lineRule="auto"/>
        <w:ind w:left="851" w:right="851"/>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69A9A7E0" w14:textId="77777777" w:rsidR="0048397D" w:rsidRDefault="0048397D">
      <w:pPr>
        <w:tabs>
          <w:tab w:val="left" w:pos="426"/>
        </w:tabs>
        <w:spacing w:line="360" w:lineRule="auto"/>
        <w:ind w:right="567"/>
        <w:jc w:val="both"/>
        <w:rPr>
          <w:rFonts w:ascii="Palatino Linotype" w:eastAsia="Palatino Linotype" w:hAnsi="Palatino Linotype" w:cs="Palatino Linotype"/>
        </w:rPr>
      </w:pPr>
    </w:p>
    <w:p w14:paraId="2C9A3131" w14:textId="77777777" w:rsidR="0048397D" w:rsidRDefault="00304BF4">
      <w:pPr>
        <w:numPr>
          <w:ilvl w:val="0"/>
          <w:numId w:val="4"/>
        </w:numPr>
        <w:tabs>
          <w:tab w:val="left" w:pos="426"/>
        </w:tabs>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colige que, el Sujeto Obligado cuenta con fuente obligacional para generar, administrar y poseer la información requerida por el Particular, además, los </w:t>
      </w:r>
      <w:r>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325DDF19" w14:textId="77777777" w:rsidR="0048397D" w:rsidRDefault="0048397D">
      <w:pPr>
        <w:tabs>
          <w:tab w:val="left" w:pos="426"/>
        </w:tabs>
        <w:spacing w:line="360" w:lineRule="auto"/>
        <w:ind w:left="360" w:right="48"/>
        <w:jc w:val="both"/>
        <w:rPr>
          <w:rFonts w:ascii="Palatino Linotype" w:eastAsia="Palatino Linotype" w:hAnsi="Palatino Linotype" w:cs="Palatino Linotype"/>
          <w:i/>
        </w:rPr>
      </w:pPr>
    </w:p>
    <w:p w14:paraId="564481B2"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XVII. La información curricular desde el nivel de jefe de departamento o equivalente    hasta el titular del sujeto obligado, así como, en su caso, las sanciones administrativas de que haya sido objeto  </w:t>
      </w:r>
    </w:p>
    <w:p w14:paraId="1D306BAC" w14:textId="77777777" w:rsidR="0048397D" w:rsidRDefault="0048397D">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p>
    <w:p w14:paraId="659F6F70"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3083003E" w14:textId="77777777" w:rsidR="0048397D" w:rsidRDefault="0048397D">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p>
    <w:p w14:paraId="2CAD1B39"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Criterios sustantivos de contenido </w:t>
      </w:r>
    </w:p>
    <w:p w14:paraId="07FA253D"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 1 Ejercicio </w:t>
      </w:r>
    </w:p>
    <w:p w14:paraId="22734C3C"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Criterio 2 Periodo que se informa (fecha de inicio y fecha de término con el formato día/mes/año) </w:t>
      </w:r>
    </w:p>
    <w:p w14:paraId="3C4060AE"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 3 Denominación del puesto (de acuerdo con el catálogo que en su caso regule la actividad del sujeto obligado) </w:t>
      </w:r>
    </w:p>
    <w:p w14:paraId="0CC9C69C"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 4 Denominación del cargo (de conformidad con nombramiento otorgado) </w:t>
      </w:r>
    </w:p>
    <w:p w14:paraId="33D50885"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 5 Nombre del servidor(a) público(a), integrante y/o, miembro del sujeto obligado, y/o persona que desempeñe un empleo, cargo o comisión y/o ejerza actos de autoridad (nombre[s], primer apellido, segundo apellido) </w:t>
      </w:r>
    </w:p>
    <w:p w14:paraId="0EB4927D"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14:paraId="4064736B"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Criterio 7 Escolaridad, nivel máximo de estudios concluido y comprobable (catálogo): Ninguno/Primaria/Secundaria/Bachillerato/Carrera técnica/Licenciatura/Maestría/Doctorado/Posdoctorado/Especialización </w:t>
      </w:r>
    </w:p>
    <w:p w14:paraId="68AC9793" w14:textId="77777777" w:rsidR="0048397D" w:rsidRDefault="00304BF4">
      <w:pPr>
        <w:pBdr>
          <w:top w:val="nil"/>
          <w:left w:val="nil"/>
          <w:bottom w:val="nil"/>
          <w:right w:val="nil"/>
          <w:between w:val="nil"/>
        </w:pBdr>
        <w:spacing w:line="360" w:lineRule="auto"/>
        <w:ind w:left="567" w:right="333"/>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Criterio 8 Carrera genérica, en su caso</w:t>
      </w:r>
    </w:p>
    <w:p w14:paraId="403FDC16" w14:textId="77777777" w:rsidR="0048397D" w:rsidRDefault="0048397D">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CEB113B" w14:textId="77777777" w:rsidR="0048397D" w:rsidRDefault="00304BF4">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los lineamientos en comento, establecen que la información curricular que se publique en los sitios oficiales, deberá cumplir con diversos parámetros, </w:t>
      </w:r>
      <w:r>
        <w:rPr>
          <w:rFonts w:ascii="Palatino Linotype" w:eastAsia="Palatino Linotype" w:hAnsi="Palatino Linotype" w:cs="Palatino Linotype"/>
          <w:b/>
          <w:color w:val="000000"/>
        </w:rPr>
        <w:t xml:space="preserve">los cuales se encuentran, en escolaridad, nivel máximo de estudios concluido y comprobable. </w:t>
      </w:r>
      <w:r>
        <w:rPr>
          <w:rFonts w:ascii="Palatino Linotype" w:eastAsia="Palatino Linotype" w:hAnsi="Palatino Linotype" w:cs="Palatino Linotype"/>
          <w:color w:val="000000"/>
        </w:rPr>
        <w:t xml:space="preserve">Este último elemento es el que sirve de sustento para establecer que los Sujetos Obligados al cargar la información correspondiente a esta fracción deben contar con el soporte documental correspondiente y que </w:t>
      </w:r>
      <w:r>
        <w:rPr>
          <w:rFonts w:ascii="Palatino Linotype" w:eastAsia="Palatino Linotype" w:hAnsi="Palatino Linotype" w:cs="Palatino Linotype"/>
        </w:rPr>
        <w:t>dé cuenta</w:t>
      </w:r>
      <w:r>
        <w:rPr>
          <w:rFonts w:ascii="Palatino Linotype" w:eastAsia="Palatino Linotype" w:hAnsi="Palatino Linotype" w:cs="Palatino Linotype"/>
          <w:color w:val="000000"/>
        </w:rPr>
        <w:t xml:space="preserve"> del grado de estudios.</w:t>
      </w:r>
    </w:p>
    <w:p w14:paraId="1100EB17" w14:textId="77777777" w:rsidR="0048397D" w:rsidRDefault="00304BF4">
      <w:pPr>
        <w:numPr>
          <w:ilvl w:val="0"/>
          <w:numId w:val="4"/>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Asimismo, lo dispuesto por la </w:t>
      </w:r>
      <w:r>
        <w:rPr>
          <w:rFonts w:ascii="Palatino Linotype" w:eastAsia="Palatino Linotype" w:hAnsi="Palatino Linotype" w:cs="Palatino Linotype"/>
          <w:b/>
        </w:rPr>
        <w:t xml:space="preserve">Ley de Transparencia y Acceso a la Información Pública del </w:t>
      </w:r>
      <w:r>
        <w:rPr>
          <w:rFonts w:ascii="Palatino Linotype" w:eastAsia="Palatino Linotype" w:hAnsi="Palatino Linotype" w:cs="Palatino Linotype"/>
          <w:b/>
          <w:color w:val="000000"/>
        </w:rPr>
        <w:t>Estado</w:t>
      </w:r>
      <w:r>
        <w:rPr>
          <w:rFonts w:ascii="Palatino Linotype" w:eastAsia="Palatino Linotype" w:hAnsi="Palatino Linotype" w:cs="Palatino Linotype"/>
          <w:b/>
        </w:rPr>
        <w:t xml:space="preserve"> de México y Municipios</w:t>
      </w:r>
      <w:r>
        <w:rPr>
          <w:rFonts w:ascii="Palatino Linotype" w:eastAsia="Palatino Linotype" w:hAnsi="Palatino Linotype" w:cs="Palatino Linotype"/>
        </w:rPr>
        <w:t xml:space="preserve"> en su artículo 3, el cual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B477F22"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0E53AE1" w14:textId="77777777" w:rsidR="0048397D" w:rsidRDefault="00304BF4">
      <w:pPr>
        <w:pBdr>
          <w:top w:val="nil"/>
          <w:left w:val="nil"/>
          <w:bottom w:val="nil"/>
          <w:right w:val="nil"/>
          <w:between w:val="nil"/>
        </w:pBdr>
        <w:spacing w:line="360" w:lineRule="auto"/>
        <w:ind w:left="567" w:right="680"/>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color w:val="000000"/>
        </w:rPr>
        <w:t>”</w:t>
      </w:r>
    </w:p>
    <w:p w14:paraId="6510A992" w14:textId="77777777" w:rsidR="0048397D" w:rsidRDefault="0048397D">
      <w:pPr>
        <w:spacing w:line="360" w:lineRule="auto"/>
        <w:ind w:right="902"/>
        <w:jc w:val="both"/>
        <w:rPr>
          <w:rFonts w:ascii="Palatino Linotype" w:eastAsia="Palatino Linotype" w:hAnsi="Palatino Linotype" w:cs="Palatino Linotype"/>
          <w:b/>
        </w:rPr>
      </w:pPr>
    </w:p>
    <w:p w14:paraId="4B462C17" w14:textId="77777777" w:rsidR="0048397D" w:rsidRDefault="00304BF4">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Numerales que compelen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apegarse en todo momento a los criterios ya expuestos, impidiendo a este Órgano Colegiado cuestionar la veracidad de la información</w:t>
      </w:r>
      <w:r>
        <w:rPr>
          <w:rFonts w:ascii="Palatino Linotype" w:eastAsia="Palatino Linotype" w:hAnsi="Palatino Linotype" w:cs="Palatino Linotype"/>
          <w:color w:val="000000"/>
        </w:rPr>
        <w:t>.</w:t>
      </w:r>
    </w:p>
    <w:p w14:paraId="5E165754"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A211DB7" w14:textId="77777777" w:rsidR="0048397D" w:rsidRDefault="00304BF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subrayar que la entrega debe ser de conformidad a lo establecido en el artículo 12 de la ley de la materia, como el propio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refirió, tocante a que los sujetos obligados sólo proporcionarán la información pública que </w:t>
      </w:r>
      <w:r>
        <w:rPr>
          <w:rFonts w:ascii="Palatino Linotype" w:eastAsia="Palatino Linotype" w:hAnsi="Palatino Linotype" w:cs="Palatino Linotype"/>
        </w:rPr>
        <w:lastRenderedPageBreak/>
        <w:t>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37DB40D"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870FD8A"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1BB4E0D" w14:textId="77777777" w:rsidR="0048397D" w:rsidRDefault="00304BF4">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tesitura,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39AE4E65" w14:textId="77777777" w:rsidR="0048397D" w:rsidRDefault="0048397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F025453" w14:textId="77777777" w:rsidR="0048397D" w:rsidRDefault="00304BF4">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769F9F9"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7A7AF2E" w14:textId="77777777" w:rsidR="0048397D" w:rsidRDefault="00304BF4">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“ACCESO A LA INFORMACIÓN. IMPLICACIÓN DEL PRINCIPIO DE MÁXIMA PUBLICIDAD EN EL DERECHO FUNDAMENTAL RELATIVO.</w:t>
      </w:r>
      <w:r>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w:t>
      </w:r>
      <w:r>
        <w:rPr>
          <w:rFonts w:ascii="Palatino Linotype" w:eastAsia="Palatino Linotype" w:hAnsi="Palatino Linotype" w:cs="Palatino Linotype"/>
          <w:i/>
          <w:color w:val="000000"/>
        </w:rPr>
        <w:lastRenderedPageBreak/>
        <w:t>clasificar como confidencial o reservada, esto es, considerarla con una calidad diversa.”</w:t>
      </w:r>
    </w:p>
    <w:p w14:paraId="06F85CDE" w14:textId="77777777" w:rsidR="0048397D" w:rsidRDefault="0048397D">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010F6C5F" w14:textId="77777777" w:rsidR="0048397D" w:rsidRDefault="00304BF4">
      <w:pPr>
        <w:numPr>
          <w:ilvl w:val="0"/>
          <w:numId w:val="4"/>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14:paraId="47BD2312" w14:textId="77777777" w:rsidR="0048397D" w:rsidRDefault="0048397D">
      <w:pPr>
        <w:tabs>
          <w:tab w:val="left" w:pos="851"/>
        </w:tabs>
        <w:spacing w:line="360" w:lineRule="auto"/>
        <w:ind w:right="49"/>
        <w:jc w:val="both"/>
        <w:rPr>
          <w:rFonts w:ascii="Palatino Linotype" w:eastAsia="Palatino Linotype" w:hAnsi="Palatino Linotype" w:cs="Palatino Linotype"/>
        </w:rPr>
      </w:pPr>
    </w:p>
    <w:p w14:paraId="3DF749F9" w14:textId="77777777" w:rsidR="0048397D" w:rsidRDefault="00304BF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pertinente enfatizar lo que respecto al derecho de acceso a la información pública, refiere el artículo 6° de la Constitución Política de los Estados Unidos Mexicanos, que en su parte conducente señala:</w:t>
      </w:r>
    </w:p>
    <w:p w14:paraId="52DDB1FE" w14:textId="77777777" w:rsidR="0048397D" w:rsidRDefault="0048397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E0243A1"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rPr>
        <w:t>El derecho a la información será garantizado por el Estado.</w:t>
      </w:r>
      <w:r>
        <w:rPr>
          <w:rFonts w:ascii="Palatino Linotype" w:eastAsia="Palatino Linotype" w:hAnsi="Palatino Linotype" w:cs="Palatino Linotype"/>
          <w:i/>
        </w:rPr>
        <w:t xml:space="preserve"> </w:t>
      </w:r>
    </w:p>
    <w:p w14:paraId="57E92F9C" w14:textId="77777777" w:rsidR="0048397D" w:rsidRDefault="0048397D">
      <w:pPr>
        <w:spacing w:line="360" w:lineRule="auto"/>
        <w:ind w:left="567" w:right="567"/>
        <w:jc w:val="both"/>
        <w:rPr>
          <w:rFonts w:ascii="Palatino Linotype" w:eastAsia="Palatino Linotype" w:hAnsi="Palatino Linotype" w:cs="Palatino Linotype"/>
          <w:i/>
        </w:rPr>
      </w:pPr>
    </w:p>
    <w:p w14:paraId="27D44F63"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Toda persona tiene derecho al libre acceso a información plural y oportuna, así como a buscar, recibir y difundir información e ideas de toda índole por cualquier medio de expresión.</w:t>
      </w:r>
    </w:p>
    <w:p w14:paraId="16F64908" w14:textId="77777777" w:rsidR="0048397D" w:rsidRDefault="0048397D">
      <w:pPr>
        <w:spacing w:line="360" w:lineRule="auto"/>
        <w:ind w:left="567" w:right="567"/>
        <w:jc w:val="both"/>
        <w:rPr>
          <w:rFonts w:ascii="Palatino Linotype" w:eastAsia="Palatino Linotype" w:hAnsi="Palatino Linotype" w:cs="Palatino Linotype"/>
          <w:i/>
        </w:rPr>
      </w:pPr>
    </w:p>
    <w:p w14:paraId="015C7700"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14:paraId="534DEC3A" w14:textId="77777777" w:rsidR="0048397D" w:rsidRDefault="0048397D">
      <w:pPr>
        <w:spacing w:line="360" w:lineRule="auto"/>
        <w:ind w:left="567" w:right="567"/>
        <w:jc w:val="both"/>
        <w:rPr>
          <w:rFonts w:ascii="Palatino Linotype" w:eastAsia="Palatino Linotype" w:hAnsi="Palatino Linotype" w:cs="Palatino Linotype"/>
          <w:i/>
        </w:rPr>
      </w:pPr>
    </w:p>
    <w:p w14:paraId="6F6C53DF"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 Para el ejercicio del derecho de acceso a la información, la Federación, los Estados y el Distrito Federal, en el ámbito de sus respectivas competencias, se regirán por los siguientes principios y bases:</w:t>
      </w:r>
    </w:p>
    <w:p w14:paraId="29DA7F69" w14:textId="77777777" w:rsidR="0048397D" w:rsidRDefault="0048397D">
      <w:pPr>
        <w:spacing w:line="360" w:lineRule="auto"/>
        <w:ind w:left="567" w:right="567"/>
        <w:jc w:val="both"/>
        <w:rPr>
          <w:rFonts w:ascii="Palatino Linotype" w:eastAsia="Palatino Linotype" w:hAnsi="Palatino Linotype" w:cs="Palatino Linotype"/>
          <w:b/>
          <w:i/>
        </w:rPr>
      </w:pPr>
    </w:p>
    <w:p w14:paraId="3E569A1D"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 Toda la información en posesión de</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cualquier autoridad</w:t>
      </w:r>
      <w:r>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rPr>
        <w:t>Los sujetos obligados deberán documentar todo acto que derive del ejercicio de sus facultades, competencias o funciones</w:t>
      </w:r>
      <w:r>
        <w:rPr>
          <w:rFonts w:ascii="Palatino Linotype" w:eastAsia="Palatino Linotype" w:hAnsi="Palatino Linotype" w:cs="Palatino Linotype"/>
          <w:i/>
        </w:rPr>
        <w:t>, la ley determinará los supuestos específicos bajo los cuales procederá la declaración de inexistencia de la información.</w:t>
      </w:r>
    </w:p>
    <w:p w14:paraId="1B632281" w14:textId="77777777" w:rsidR="0048397D" w:rsidRDefault="0048397D">
      <w:pPr>
        <w:spacing w:line="360" w:lineRule="auto"/>
        <w:ind w:left="567" w:right="567"/>
        <w:jc w:val="both"/>
        <w:rPr>
          <w:rFonts w:ascii="Palatino Linotype" w:eastAsia="Palatino Linotype" w:hAnsi="Palatino Linotype" w:cs="Palatino Linotype"/>
          <w:i/>
        </w:rPr>
      </w:pPr>
    </w:p>
    <w:p w14:paraId="452F6BC8"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La información que se refiere a la vida privada y los datos personales será protegida en los términos y con las excepciones que fijen las leyes.</w:t>
      </w:r>
    </w:p>
    <w:p w14:paraId="4746A4FB" w14:textId="77777777" w:rsidR="0048397D" w:rsidRDefault="0048397D">
      <w:pPr>
        <w:spacing w:line="360" w:lineRule="auto"/>
        <w:ind w:left="567" w:right="567"/>
        <w:jc w:val="both"/>
        <w:rPr>
          <w:rFonts w:ascii="Palatino Linotype" w:eastAsia="Palatino Linotype" w:hAnsi="Palatino Linotype" w:cs="Palatino Linotype"/>
          <w:i/>
        </w:rPr>
      </w:pPr>
    </w:p>
    <w:p w14:paraId="7C341C67"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63298D8" w14:textId="77777777" w:rsidR="0048397D" w:rsidRDefault="0048397D">
      <w:pPr>
        <w:spacing w:line="360" w:lineRule="auto"/>
        <w:ind w:left="567" w:right="567"/>
        <w:jc w:val="both"/>
        <w:rPr>
          <w:rFonts w:ascii="Palatino Linotype" w:eastAsia="Palatino Linotype" w:hAnsi="Palatino Linotype" w:cs="Palatino Linotype"/>
          <w:i/>
        </w:rPr>
      </w:pPr>
    </w:p>
    <w:p w14:paraId="0E1E995F"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IV.   Se establecerán mecanismos de acceso a la información y procedimientos de revisión expeditos que se sustanciarán ante los organismos autónomos especializados e imparciales que establece esta Constitución.</w:t>
      </w:r>
    </w:p>
    <w:p w14:paraId="46EE9193" w14:textId="77777777" w:rsidR="0048397D" w:rsidRDefault="0048397D">
      <w:pPr>
        <w:spacing w:line="360" w:lineRule="auto"/>
        <w:ind w:left="567" w:right="567"/>
        <w:jc w:val="both"/>
        <w:rPr>
          <w:rFonts w:ascii="Palatino Linotype" w:eastAsia="Palatino Linotype" w:hAnsi="Palatino Linotype" w:cs="Palatino Linotype"/>
          <w:b/>
          <w:i/>
        </w:rPr>
      </w:pPr>
    </w:p>
    <w:p w14:paraId="495399DB"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rPr>
        <w:t>, la información completa y actualizada sobre el ejercicio de los recursos públicos y los indicadores que permitan rendir cuenta del cumplimiento de sus objetivos y de los resultados obtenidos.</w:t>
      </w:r>
    </w:p>
    <w:p w14:paraId="27423E27" w14:textId="77777777" w:rsidR="0048397D" w:rsidRDefault="0048397D">
      <w:pPr>
        <w:spacing w:line="360" w:lineRule="auto"/>
        <w:ind w:left="567" w:right="567"/>
        <w:jc w:val="both"/>
        <w:rPr>
          <w:rFonts w:ascii="Palatino Linotype" w:eastAsia="Palatino Linotype" w:hAnsi="Palatino Linotype" w:cs="Palatino Linotype"/>
          <w:i/>
        </w:rPr>
      </w:pPr>
    </w:p>
    <w:p w14:paraId="33571E9B"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 Las leyes determinarán la manera en que los sujetos obligados deberán hacer pública la información relativa a los recursos públicos que entreguen a personas físicas o morales.</w:t>
      </w:r>
    </w:p>
    <w:p w14:paraId="303E023E" w14:textId="77777777" w:rsidR="0048397D" w:rsidRDefault="0048397D">
      <w:pPr>
        <w:spacing w:line="360" w:lineRule="auto"/>
        <w:ind w:left="567" w:right="567"/>
        <w:jc w:val="both"/>
        <w:rPr>
          <w:rFonts w:ascii="Palatino Linotype" w:eastAsia="Palatino Linotype" w:hAnsi="Palatino Linotype" w:cs="Palatino Linotype"/>
          <w:i/>
        </w:rPr>
      </w:pPr>
    </w:p>
    <w:p w14:paraId="55E8C782"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 La inobservancia a las disposiciones en materia de acceso a la información pública será sancionada en los términos que dispongan las leyes.</w:t>
      </w:r>
    </w:p>
    <w:p w14:paraId="5E3AAEE6" w14:textId="77777777" w:rsidR="0048397D" w:rsidRDefault="0048397D">
      <w:pPr>
        <w:spacing w:line="360" w:lineRule="auto"/>
        <w:ind w:left="567" w:right="567"/>
        <w:jc w:val="both"/>
        <w:rPr>
          <w:rFonts w:ascii="Palatino Linotype" w:eastAsia="Palatino Linotype" w:hAnsi="Palatino Linotype" w:cs="Palatino Linotype"/>
          <w:i/>
        </w:rPr>
      </w:pPr>
    </w:p>
    <w:p w14:paraId="0C54A43F"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62DAD93"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168AC15"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La ley establecerá aquella información que se considere reservada o confidencial.”</w:t>
      </w:r>
    </w:p>
    <w:p w14:paraId="679E66A3" w14:textId="77777777" w:rsidR="0048397D" w:rsidRDefault="0048397D">
      <w:pPr>
        <w:spacing w:line="360" w:lineRule="auto"/>
        <w:ind w:left="567" w:right="567"/>
        <w:jc w:val="both"/>
        <w:rPr>
          <w:rFonts w:ascii="Palatino Linotype" w:eastAsia="Palatino Linotype" w:hAnsi="Palatino Linotype" w:cs="Palatino Linotype"/>
          <w:i/>
        </w:rPr>
      </w:pPr>
    </w:p>
    <w:p w14:paraId="42D46038" w14:textId="77777777" w:rsidR="0048397D" w:rsidRDefault="00304BF4">
      <w:pPr>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687C187C" w14:textId="77777777" w:rsidR="0048397D" w:rsidRDefault="0048397D">
      <w:pPr>
        <w:spacing w:line="360" w:lineRule="auto"/>
        <w:ind w:left="709" w:right="757"/>
        <w:jc w:val="both"/>
        <w:rPr>
          <w:rFonts w:ascii="Palatino Linotype" w:eastAsia="Palatino Linotype" w:hAnsi="Palatino Linotype" w:cs="Palatino Linotype"/>
        </w:rPr>
      </w:pPr>
    </w:p>
    <w:p w14:paraId="7BC44C92"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34BA8316" w14:textId="77777777" w:rsidR="0048397D" w:rsidRDefault="0048397D">
      <w:pPr>
        <w:spacing w:line="360" w:lineRule="auto"/>
        <w:ind w:left="709" w:right="757"/>
        <w:jc w:val="both"/>
        <w:rPr>
          <w:rFonts w:ascii="Palatino Linotype" w:eastAsia="Palatino Linotype" w:hAnsi="Palatino Linotype" w:cs="Palatino Linotype"/>
        </w:rPr>
      </w:pPr>
    </w:p>
    <w:p w14:paraId="7243BB2E" w14:textId="77777777" w:rsidR="0048397D" w:rsidRDefault="00304BF4">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5. … </w:t>
      </w:r>
    </w:p>
    <w:p w14:paraId="2B70CBE6"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El derecho a la información será garantizado por el Estado</w:t>
      </w:r>
      <w:r>
        <w:rPr>
          <w:rFonts w:ascii="Palatino Linotype" w:eastAsia="Palatino Linotype" w:hAnsi="Palatino Linotype" w:cs="Palatino Linotype"/>
          <w:i/>
        </w:rPr>
        <w:t xml:space="preserve">. La ley establecerá las previsiones que permitan asegurar la protección, el respeto y la difusión de este derecho. </w:t>
      </w:r>
    </w:p>
    <w:p w14:paraId="214AF785"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4066F4C" w14:textId="77777777" w:rsidR="0048397D" w:rsidRDefault="0048397D">
      <w:pPr>
        <w:spacing w:line="360" w:lineRule="auto"/>
        <w:ind w:left="567" w:right="567"/>
        <w:jc w:val="both"/>
        <w:rPr>
          <w:rFonts w:ascii="Palatino Linotype" w:eastAsia="Palatino Linotype" w:hAnsi="Palatino Linotype" w:cs="Palatino Linotype"/>
          <w:i/>
        </w:rPr>
      </w:pPr>
    </w:p>
    <w:p w14:paraId="15E8A97A"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Este derecho se regirá por los principios y bases siguientes:</w:t>
      </w:r>
    </w:p>
    <w:p w14:paraId="19BA7242" w14:textId="77777777" w:rsidR="0048397D" w:rsidRDefault="0048397D">
      <w:pPr>
        <w:spacing w:line="360" w:lineRule="auto"/>
        <w:ind w:left="567" w:right="567"/>
        <w:jc w:val="both"/>
        <w:rPr>
          <w:rFonts w:ascii="Palatino Linotype" w:eastAsia="Palatino Linotype" w:hAnsi="Palatino Linotype" w:cs="Palatino Linotype"/>
          <w:b/>
          <w:i/>
        </w:rPr>
      </w:pPr>
    </w:p>
    <w:p w14:paraId="20BE05A7"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Toda la información en posesión </w:t>
      </w:r>
      <w:r>
        <w:rPr>
          <w:rFonts w:ascii="Palatino Linotype" w:eastAsia="Palatino Linotype" w:hAnsi="Palatino Linotype" w:cs="Palatino Linotype"/>
          <w:i/>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rPr>
        <w:t>del gobierno y de la administración pública municipal y sus organismos descentralizados</w:t>
      </w:r>
      <w:r>
        <w:rPr>
          <w:rFonts w:ascii="Palatino Linotype" w:eastAsia="Palatino Linotype" w:hAnsi="Palatino Linotype" w:cs="Palatino Linotype"/>
          <w:i/>
        </w:rPr>
        <w:t xml:space="preserve">, asimismo de cualquier persona física, jurídica colectiva o sindicato que reciba y ejerza recursos públicos o realice actos de </w:t>
      </w:r>
      <w:r>
        <w:rPr>
          <w:rFonts w:ascii="Palatino Linotype" w:eastAsia="Palatino Linotype" w:hAnsi="Palatino Linotype" w:cs="Palatino Linotype"/>
          <w:i/>
        </w:rPr>
        <w:lastRenderedPageBreak/>
        <w:t xml:space="preserve">autoridad en el ámbito estatal y municipal, </w:t>
      </w:r>
      <w:r>
        <w:rPr>
          <w:rFonts w:ascii="Palatino Linotype" w:eastAsia="Palatino Linotype" w:hAnsi="Palatino Linotype" w:cs="Palatino Linotype"/>
          <w:b/>
          <w:i/>
        </w:rPr>
        <w:t>es pública</w:t>
      </w:r>
      <w:r>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4EB8992" w14:textId="77777777" w:rsidR="0048397D" w:rsidRDefault="0048397D">
      <w:pPr>
        <w:spacing w:line="360" w:lineRule="auto"/>
        <w:ind w:left="567" w:right="567"/>
        <w:jc w:val="both"/>
        <w:rPr>
          <w:rFonts w:ascii="Palatino Linotype" w:eastAsia="Palatino Linotype" w:hAnsi="Palatino Linotype" w:cs="Palatino Linotype"/>
          <w:i/>
        </w:rPr>
      </w:pPr>
    </w:p>
    <w:p w14:paraId="4B097ED4"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La información referente a la intimidad de la vida privada y la imagen de las personas será protegida a través de un marco jurídico rígido de tratamiento y manejo de datos personales, con las excepciones que establezca la ley reglamentaria.</w:t>
      </w:r>
    </w:p>
    <w:p w14:paraId="46536E38" w14:textId="77777777" w:rsidR="0048397D" w:rsidRDefault="0048397D">
      <w:pPr>
        <w:spacing w:line="360" w:lineRule="auto"/>
        <w:ind w:left="567" w:right="567"/>
        <w:jc w:val="both"/>
        <w:rPr>
          <w:rFonts w:ascii="Palatino Linotype" w:eastAsia="Palatino Linotype" w:hAnsi="Palatino Linotype" w:cs="Palatino Linotype"/>
          <w:i/>
        </w:rPr>
      </w:pPr>
    </w:p>
    <w:p w14:paraId="09B84711"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D8B2027" w14:textId="77777777" w:rsidR="0048397D" w:rsidRDefault="0048397D">
      <w:pPr>
        <w:spacing w:line="360" w:lineRule="auto"/>
        <w:ind w:left="567" w:right="567"/>
        <w:jc w:val="both"/>
        <w:rPr>
          <w:rFonts w:ascii="Palatino Linotype" w:eastAsia="Palatino Linotype" w:hAnsi="Palatino Linotype" w:cs="Palatino Linotype"/>
          <w:i/>
        </w:rPr>
      </w:pPr>
    </w:p>
    <w:p w14:paraId="5D5D7539"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Se establecerán mecanismos de acceso a la información y procedimientos de revisión expeditos que se sustanciarán ante el organismo autónomo especializado e imparcial que establece esta Constitución.</w:t>
      </w:r>
    </w:p>
    <w:p w14:paraId="6566EBB0" w14:textId="77777777" w:rsidR="0048397D" w:rsidRDefault="0048397D">
      <w:pPr>
        <w:spacing w:line="360" w:lineRule="auto"/>
        <w:ind w:left="567" w:right="567"/>
        <w:jc w:val="both"/>
        <w:rPr>
          <w:rFonts w:ascii="Palatino Linotype" w:eastAsia="Palatino Linotype" w:hAnsi="Palatino Linotype" w:cs="Palatino Linotype"/>
          <w:i/>
        </w:rPr>
      </w:pPr>
    </w:p>
    <w:p w14:paraId="386CB2ED"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 Los procedimientos de acceso a la información pública, de acceso, corrección y supresión de datos personales, así como los recursos de revisión derivados de los </w:t>
      </w:r>
      <w:r>
        <w:rPr>
          <w:rFonts w:ascii="Palatino Linotype" w:eastAsia="Palatino Linotype" w:hAnsi="Palatino Linotype" w:cs="Palatino Linotype"/>
          <w:i/>
        </w:rPr>
        <w:lastRenderedPageBreak/>
        <w:t>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D190ED5" w14:textId="77777777" w:rsidR="0048397D" w:rsidRDefault="0048397D">
      <w:pPr>
        <w:spacing w:line="360" w:lineRule="auto"/>
        <w:ind w:left="567" w:right="567"/>
        <w:jc w:val="both"/>
        <w:rPr>
          <w:rFonts w:ascii="Palatino Linotype" w:eastAsia="Palatino Linotype" w:hAnsi="Palatino Linotype" w:cs="Palatino Linotype"/>
          <w:b/>
          <w:i/>
        </w:rPr>
      </w:pPr>
    </w:p>
    <w:p w14:paraId="055AC7F7"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rPr>
        <w:t xml:space="preserve"> y los indicadores que permitan rendir cuenta del cumplimiento de sus objetivos y los resultados obtenidos.</w:t>
      </w:r>
    </w:p>
    <w:p w14:paraId="06B60642" w14:textId="77777777" w:rsidR="0048397D" w:rsidRDefault="0048397D">
      <w:pPr>
        <w:spacing w:line="360" w:lineRule="auto"/>
        <w:ind w:left="567" w:right="567"/>
        <w:jc w:val="both"/>
        <w:rPr>
          <w:rFonts w:ascii="Palatino Linotype" w:eastAsia="Palatino Linotype" w:hAnsi="Palatino Linotype" w:cs="Palatino Linotype"/>
          <w:i/>
        </w:rPr>
      </w:pPr>
    </w:p>
    <w:p w14:paraId="101AB5F2" w14:textId="77777777" w:rsidR="0048397D" w:rsidRDefault="00304BF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 La ley reglamentaria, determinará la manera en que los sujetos obligados deberán hacer pública la información relativa a los recursos públicos que entreguen a personas físicas o jurídicas colectivas.”</w:t>
      </w:r>
    </w:p>
    <w:p w14:paraId="6BC2BF95" w14:textId="77777777" w:rsidR="0048397D" w:rsidRDefault="0048397D">
      <w:pPr>
        <w:spacing w:line="360" w:lineRule="auto"/>
        <w:ind w:left="567" w:right="567"/>
        <w:jc w:val="both"/>
        <w:rPr>
          <w:rFonts w:ascii="Palatino Linotype" w:eastAsia="Palatino Linotype" w:hAnsi="Palatino Linotype" w:cs="Palatino Linotype"/>
        </w:rPr>
      </w:pPr>
    </w:p>
    <w:p w14:paraId="293C9996" w14:textId="77777777" w:rsidR="0048397D" w:rsidRDefault="00304BF4">
      <w:pPr>
        <w:spacing w:line="360" w:lineRule="auto"/>
        <w:ind w:left="567" w:right="567"/>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14DCDD0C" w14:textId="77777777" w:rsidR="0048397D" w:rsidRDefault="0048397D">
      <w:pPr>
        <w:spacing w:line="360" w:lineRule="auto"/>
        <w:ind w:left="567" w:right="567"/>
        <w:jc w:val="both"/>
        <w:rPr>
          <w:rFonts w:ascii="Palatino Linotype" w:eastAsia="Palatino Linotype" w:hAnsi="Palatino Linotype" w:cs="Palatino Linotype"/>
        </w:rPr>
      </w:pPr>
    </w:p>
    <w:p w14:paraId="7818C8C2"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IV, lo siguiente:</w:t>
      </w:r>
    </w:p>
    <w:p w14:paraId="69DAAB8B" w14:textId="77777777" w:rsidR="0048397D" w:rsidRDefault="0048397D">
      <w:pPr>
        <w:spacing w:line="360" w:lineRule="auto"/>
        <w:jc w:val="both"/>
        <w:rPr>
          <w:rFonts w:ascii="Palatino Linotype" w:eastAsia="Palatino Linotype" w:hAnsi="Palatino Linotype" w:cs="Palatino Linotype"/>
        </w:rPr>
      </w:pPr>
    </w:p>
    <w:p w14:paraId="04F3D116" w14:textId="77777777" w:rsidR="0048397D" w:rsidRDefault="00304BF4">
      <w:pPr>
        <w:spacing w:line="360" w:lineRule="auto"/>
        <w:ind w:left="567" w:right="82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23. Son sujetos obligados a transparentar y permitir el acceso a su información y proteger los datos personales que obren en su poder</w:t>
      </w:r>
      <w:r>
        <w:rPr>
          <w:rFonts w:ascii="Palatino Linotype" w:eastAsia="Palatino Linotype" w:hAnsi="Palatino Linotype" w:cs="Palatino Linotype"/>
          <w:i/>
        </w:rPr>
        <w:t>:</w:t>
      </w:r>
    </w:p>
    <w:p w14:paraId="18A8E773" w14:textId="77777777" w:rsidR="0048397D" w:rsidRDefault="00304BF4">
      <w:pPr>
        <w:spacing w:line="360" w:lineRule="auto"/>
        <w:ind w:left="567"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2C3F1EF" w14:textId="77777777" w:rsidR="0048397D" w:rsidRDefault="00304BF4">
      <w:pPr>
        <w:spacing w:line="360" w:lineRule="auto"/>
        <w:ind w:left="567" w:right="822"/>
        <w:jc w:val="both"/>
        <w:rPr>
          <w:rFonts w:ascii="Palatino Linotype" w:eastAsia="Palatino Linotype" w:hAnsi="Palatino Linotype" w:cs="Palatino Linotype"/>
          <w:b/>
          <w:i/>
        </w:rPr>
      </w:pPr>
      <w:r>
        <w:rPr>
          <w:rFonts w:ascii="Palatino Linotype" w:eastAsia="Palatino Linotype" w:hAnsi="Palatino Linotype" w:cs="Palatino Linotype"/>
          <w:i/>
        </w:rPr>
        <w:t>IV. Los ayuntamientos y las dependencias, organismos, órganos y entidades de la administración municipal;</w:t>
      </w:r>
      <w:r>
        <w:rPr>
          <w:rFonts w:ascii="Palatino Linotype" w:eastAsia="Palatino Linotype" w:hAnsi="Palatino Linotype" w:cs="Palatino Linotype"/>
          <w:b/>
          <w:i/>
        </w:rPr>
        <w:t xml:space="preserve"> </w:t>
      </w:r>
    </w:p>
    <w:p w14:paraId="5225186B" w14:textId="77777777" w:rsidR="0048397D" w:rsidRDefault="00304BF4">
      <w:pPr>
        <w:spacing w:line="360" w:lineRule="auto"/>
        <w:ind w:left="567" w:right="822"/>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74269C5B" w14:textId="77777777" w:rsidR="0048397D" w:rsidRDefault="00304BF4">
      <w:pPr>
        <w:spacing w:line="360" w:lineRule="auto"/>
        <w:ind w:left="567" w:right="822"/>
        <w:jc w:val="both"/>
        <w:rPr>
          <w:rFonts w:ascii="Palatino Linotype" w:eastAsia="Palatino Linotype" w:hAnsi="Palatino Linotype" w:cs="Palatino Linotype"/>
          <w:b/>
          <w:i/>
        </w:rPr>
      </w:pPr>
      <w:r>
        <w:rPr>
          <w:rFonts w:ascii="Palatino Linotype" w:eastAsia="Palatino Linotype" w:hAnsi="Palatino Linotype" w:cs="Palatino Linotype"/>
          <w:b/>
          <w:i/>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rPr>
        <w:t xml:space="preserve">, </w:t>
      </w:r>
      <w:r>
        <w:rPr>
          <w:rFonts w:ascii="Palatino Linotype" w:eastAsia="Palatino Linotype" w:hAnsi="Palatino Linotype" w:cs="Palatino Linotype"/>
          <w:b/>
          <w:i/>
        </w:rPr>
        <w:t>así como</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informes que dichas personas les entreguen sobre el uso y destino de dichos recursos.</w:t>
      </w:r>
    </w:p>
    <w:p w14:paraId="084946F3" w14:textId="77777777" w:rsidR="0048397D" w:rsidRDefault="0048397D">
      <w:pPr>
        <w:spacing w:line="360" w:lineRule="auto"/>
        <w:ind w:left="567" w:right="822"/>
        <w:jc w:val="both"/>
        <w:rPr>
          <w:rFonts w:ascii="Palatino Linotype" w:eastAsia="Palatino Linotype" w:hAnsi="Palatino Linotype" w:cs="Palatino Linotype"/>
          <w:b/>
          <w:i/>
        </w:rPr>
      </w:pPr>
    </w:p>
    <w:p w14:paraId="7E337D5D" w14:textId="77777777" w:rsidR="0048397D" w:rsidRDefault="00304BF4">
      <w:pPr>
        <w:spacing w:line="360" w:lineRule="auto"/>
        <w:ind w:left="567" w:right="822"/>
        <w:jc w:val="both"/>
        <w:rPr>
          <w:rFonts w:ascii="Palatino Linotype" w:eastAsia="Palatino Linotype" w:hAnsi="Palatino Linotype" w:cs="Palatino Linotype"/>
          <w:i/>
        </w:rPr>
      </w:pPr>
      <w:r>
        <w:rPr>
          <w:rFonts w:ascii="Palatino Linotype" w:eastAsia="Palatino Linotype" w:hAnsi="Palatino Linotype" w:cs="Palatino Linotype"/>
          <w:b/>
          <w:i/>
        </w:rPr>
        <w:t>Los servidores públicos deberán transparentar sus acciones así como garantizar y respetar el derecho de acceso a la información pública.</w:t>
      </w:r>
      <w:r>
        <w:rPr>
          <w:rFonts w:ascii="Palatino Linotype" w:eastAsia="Palatino Linotype" w:hAnsi="Palatino Linotype" w:cs="Palatino Linotype"/>
          <w:i/>
        </w:rPr>
        <w:t>”</w:t>
      </w:r>
    </w:p>
    <w:p w14:paraId="185D559E" w14:textId="77777777" w:rsidR="0048397D" w:rsidRDefault="0048397D">
      <w:pPr>
        <w:spacing w:line="360" w:lineRule="auto"/>
        <w:ind w:left="567" w:right="822"/>
        <w:jc w:val="both"/>
        <w:rPr>
          <w:rFonts w:ascii="Palatino Linotype" w:eastAsia="Palatino Linotype" w:hAnsi="Palatino Linotype" w:cs="Palatino Linotype"/>
          <w:i/>
        </w:rPr>
      </w:pPr>
    </w:p>
    <w:p w14:paraId="4FAA598D" w14:textId="77777777" w:rsidR="0048397D" w:rsidRDefault="00304BF4">
      <w:pPr>
        <w:spacing w:line="360" w:lineRule="auto"/>
        <w:ind w:left="567" w:right="822"/>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553A572E" w14:textId="77777777" w:rsidR="0048397D" w:rsidRDefault="0048397D">
      <w:pPr>
        <w:spacing w:line="360" w:lineRule="auto"/>
        <w:jc w:val="both"/>
        <w:rPr>
          <w:rFonts w:ascii="Palatino Linotype" w:eastAsia="Palatino Linotype" w:hAnsi="Palatino Linotype" w:cs="Palatino Linotype"/>
        </w:rPr>
      </w:pPr>
    </w:p>
    <w:p w14:paraId="3A2F5B33"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5CA850D"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55F0F2E" w14:textId="77777777" w:rsidR="0048397D" w:rsidRDefault="00304BF4">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consecuencia, se determina que el Sujeto Obligado administra y posee la información requerida por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por lo que se ORDENA realizar una búsqueda exhaustiva y razonable a efecto de localizar y poner a disposición del particular el soporte documental correspondiente.</w:t>
      </w:r>
    </w:p>
    <w:p w14:paraId="2AD607D1" w14:textId="77777777" w:rsidR="0048397D" w:rsidRDefault="0048397D">
      <w:pPr>
        <w:spacing w:line="360" w:lineRule="auto"/>
        <w:jc w:val="both"/>
        <w:rPr>
          <w:rFonts w:ascii="Palatino Linotype" w:eastAsia="Palatino Linotype" w:hAnsi="Palatino Linotype" w:cs="Palatino Linotype"/>
        </w:rPr>
      </w:pPr>
    </w:p>
    <w:p w14:paraId="6FF6A7ED" w14:textId="77777777" w:rsidR="0048397D" w:rsidRDefault="00304BF4">
      <w:pPr>
        <w:pStyle w:val="Ttulo1"/>
        <w:spacing w:before="0" w:line="360" w:lineRule="auto"/>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QUINTO. De la versión pública.</w:t>
      </w:r>
    </w:p>
    <w:p w14:paraId="6495287B" w14:textId="77777777" w:rsidR="0048397D" w:rsidRDefault="00304BF4">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bookmarkStart w:id="10" w:name="_heading=h.17dp8vu" w:colFirst="0" w:colLast="0"/>
      <w:bookmarkEnd w:id="10"/>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93EDA6A" w14:textId="77777777" w:rsidR="0048397D" w:rsidRDefault="0048397D">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0B4DE549" w14:textId="77777777" w:rsidR="0048397D" w:rsidRDefault="00304BF4">
      <w:pPr>
        <w:numPr>
          <w:ilvl w:val="0"/>
          <w:numId w:val="4"/>
        </w:numPr>
        <w:tabs>
          <w:tab w:val="left" w:pos="284"/>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661CDA7" w14:textId="77777777" w:rsidR="0048397D" w:rsidRDefault="0048397D">
      <w:pPr>
        <w:tabs>
          <w:tab w:val="left" w:pos="284"/>
        </w:tabs>
        <w:spacing w:line="360" w:lineRule="auto"/>
        <w:ind w:right="49"/>
        <w:jc w:val="both"/>
        <w:rPr>
          <w:rFonts w:ascii="Palatino Linotype" w:eastAsia="Palatino Linotype" w:hAnsi="Palatino Linotype" w:cs="Palatino Linotype"/>
          <w:color w:val="000000"/>
        </w:rPr>
      </w:pPr>
    </w:p>
    <w:tbl>
      <w:tblPr>
        <w:tblStyle w:val="a0"/>
        <w:tblW w:w="967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990"/>
      </w:tblGrid>
      <w:tr w:rsidR="0048397D" w14:paraId="48B1424D" w14:textId="77777777" w:rsidTr="00483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1B58FC" w14:textId="77777777" w:rsidR="0048397D" w:rsidRDefault="00304BF4">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013182CF" w14:textId="77777777" w:rsidR="0048397D" w:rsidRDefault="00304BF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373E8B5" w14:textId="77777777" w:rsidR="0048397D" w:rsidRDefault="00304BF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lastRenderedPageBreak/>
              <w:t>Al hacerlo tienen que precisar de qué información se trata, señalando el supuesto de clasificación (confidencialidad o reserva).</w:t>
            </w:r>
          </w:p>
          <w:p w14:paraId="70B359B8" w14:textId="77777777" w:rsidR="0048397D" w:rsidRDefault="00304BF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14:paraId="2B85D7B7" w14:textId="77777777" w:rsidR="0048397D" w:rsidRDefault="00304BF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48397D" w14:paraId="4F6712A7" w14:textId="77777777" w:rsidTr="00483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494E00" w14:textId="77777777" w:rsidR="0048397D" w:rsidRDefault="00304BF4">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3E424186"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0ED87E42"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w:t>
            </w:r>
            <w:r>
              <w:rPr>
                <w:rFonts w:ascii="Palatino Linotype" w:eastAsia="Palatino Linotype" w:hAnsi="Palatino Linotype" w:cs="Palatino Linotype"/>
                <w:color w:val="000000"/>
              </w:rPr>
              <w:lastRenderedPageBreak/>
              <w:t>ampliar las excepciones o supuestos de clasificación aduciendo analogía o mayoría de razón.</w:t>
            </w:r>
          </w:p>
          <w:p w14:paraId="227075E2" w14:textId="77777777" w:rsidR="0048397D" w:rsidRDefault="00304BF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8397D" w14:paraId="0E6DFACD" w14:textId="77777777" w:rsidTr="0048397D">
        <w:tc>
          <w:tcPr>
            <w:cnfStyle w:val="001000000000" w:firstRow="0" w:lastRow="0" w:firstColumn="1" w:lastColumn="0" w:oddVBand="0" w:evenVBand="0" w:oddHBand="0" w:evenHBand="0" w:firstRowFirstColumn="0" w:firstRowLastColumn="0" w:lastRowFirstColumn="0" w:lastRowLastColumn="0"/>
            <w:tcW w:w="2689" w:type="dxa"/>
          </w:tcPr>
          <w:p w14:paraId="4043694F" w14:textId="77777777" w:rsidR="0048397D" w:rsidRDefault="00304BF4">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990" w:type="dxa"/>
          </w:tcPr>
          <w:p w14:paraId="752BD0F7" w14:textId="77777777" w:rsidR="0048397D" w:rsidRDefault="00304BF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2CFC88B2" w14:textId="77777777" w:rsidR="0048397D" w:rsidRDefault="00304BF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6F14DCF8" w14:textId="77777777" w:rsidR="0048397D" w:rsidRDefault="00304BF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8397D" w14:paraId="71F651C9" w14:textId="77777777" w:rsidTr="00483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3B42BF" w14:textId="77777777" w:rsidR="0048397D" w:rsidRDefault="0048397D">
            <w:pPr>
              <w:tabs>
                <w:tab w:val="left" w:pos="284"/>
              </w:tabs>
              <w:spacing w:line="360" w:lineRule="auto"/>
              <w:rPr>
                <w:rFonts w:ascii="Palatino Linotype" w:eastAsia="Palatino Linotype" w:hAnsi="Palatino Linotype" w:cs="Palatino Linotype"/>
              </w:rPr>
            </w:pPr>
          </w:p>
          <w:p w14:paraId="787C5CAB" w14:textId="77777777" w:rsidR="0048397D" w:rsidRDefault="00304BF4">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990" w:type="dxa"/>
          </w:tcPr>
          <w:p w14:paraId="55FC10AB"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42185666"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AB75E92"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7B3E6E0"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14:paraId="3BACDF11" w14:textId="77777777" w:rsidR="0048397D" w:rsidRDefault="00304BF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8397D" w14:paraId="0C7D18B7" w14:textId="77777777" w:rsidTr="0048397D">
        <w:tc>
          <w:tcPr>
            <w:cnfStyle w:val="001000000000" w:firstRow="0" w:lastRow="0" w:firstColumn="1" w:lastColumn="0" w:oddVBand="0" w:evenVBand="0" w:oddHBand="0" w:evenHBand="0" w:firstRowFirstColumn="0" w:firstRowLastColumn="0" w:lastRowFirstColumn="0" w:lastRowLastColumn="0"/>
            <w:tcW w:w="2689" w:type="dxa"/>
          </w:tcPr>
          <w:p w14:paraId="11AC7838" w14:textId="77777777" w:rsidR="0048397D" w:rsidRDefault="00304BF4">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val="0"/>
              </w:rPr>
              <w:lastRenderedPageBreak/>
              <w:t>e</w:t>
            </w:r>
            <w:r>
              <w:rPr>
                <w:rFonts w:ascii="Palatino Linotype" w:eastAsia="Palatino Linotype" w:hAnsi="Palatino Linotype" w:cs="Palatino Linotype"/>
              </w:rPr>
              <w:t xml:space="preserve">) Condiciones especiales de la clasificación de la información como confidencial. </w:t>
            </w:r>
          </w:p>
        </w:tc>
        <w:tc>
          <w:tcPr>
            <w:tcW w:w="6990" w:type="dxa"/>
          </w:tcPr>
          <w:p w14:paraId="208CBAE9" w14:textId="77777777" w:rsidR="0048397D" w:rsidRDefault="00304BF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51EB49D2" w14:textId="77777777" w:rsidR="0048397D" w:rsidRDefault="00304BF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A7BDA93" w14:textId="77777777" w:rsidR="0048397D" w:rsidRDefault="00304BF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posible, se deberá consultar al titular de los </w:t>
            </w:r>
            <w:r>
              <w:rPr>
                <w:rFonts w:ascii="Palatino Linotype" w:eastAsia="Palatino Linotype" w:hAnsi="Palatino Linotype" w:cs="Palatino Linotype"/>
                <w:color w:val="000000"/>
              </w:rPr>
              <w:lastRenderedPageBreak/>
              <w:t>datos si permite o no el acceso. De no ser posible, la realización de la consulta, procede, fundando y motivando, la clasificación.</w:t>
            </w:r>
          </w:p>
        </w:tc>
      </w:tr>
    </w:tbl>
    <w:p w14:paraId="3629D9C1" w14:textId="77777777" w:rsidR="0048397D" w:rsidRDefault="0048397D">
      <w:pPr>
        <w:pBdr>
          <w:top w:val="nil"/>
          <w:left w:val="nil"/>
          <w:bottom w:val="nil"/>
          <w:right w:val="nil"/>
          <w:between w:val="nil"/>
        </w:pBdr>
        <w:tabs>
          <w:tab w:val="left" w:pos="284"/>
        </w:tabs>
        <w:spacing w:line="360" w:lineRule="auto"/>
        <w:rPr>
          <w:rFonts w:ascii="Palatino Linotype" w:eastAsia="Palatino Linotype" w:hAnsi="Palatino Linotype" w:cs="Palatino Linotype"/>
          <w:color w:val="000000"/>
        </w:rPr>
      </w:pPr>
    </w:p>
    <w:p w14:paraId="7E93A092" w14:textId="77777777" w:rsidR="0048397D" w:rsidRDefault="00304BF4">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083EA9E" w14:textId="77777777" w:rsidR="0048397D" w:rsidRDefault="0048397D">
      <w:pPr>
        <w:spacing w:line="360" w:lineRule="auto"/>
        <w:jc w:val="both"/>
        <w:rPr>
          <w:rFonts w:ascii="Palatino Linotype" w:eastAsia="Palatino Linotype" w:hAnsi="Palatino Linotype" w:cs="Palatino Linotype"/>
        </w:rPr>
      </w:pPr>
    </w:p>
    <w:p w14:paraId="5FCC6053" w14:textId="77777777" w:rsidR="0048397D" w:rsidRDefault="00304BF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1" w:name="_heading=h.3rdcrjn" w:colFirst="0" w:colLast="0"/>
      <w:bookmarkEnd w:id="11"/>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3E984172" w14:textId="77777777" w:rsidR="0048397D" w:rsidRDefault="00304BF4">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721389ED" w14:textId="77777777" w:rsidR="0048397D" w:rsidRDefault="0048397D">
      <w:pPr>
        <w:spacing w:line="360" w:lineRule="auto"/>
        <w:rPr>
          <w:rFonts w:ascii="Palatino Linotype" w:eastAsia="Palatino Linotype" w:hAnsi="Palatino Linotype" w:cs="Palatino Linotype"/>
        </w:rPr>
      </w:pPr>
    </w:p>
    <w:p w14:paraId="729F4F4B" w14:textId="77777777" w:rsidR="0048397D" w:rsidRDefault="00304BF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15093/INFOEM/IP/RR/2022</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64B1D65F" w14:textId="77777777" w:rsidR="0048397D" w:rsidRDefault="0048397D">
      <w:pPr>
        <w:spacing w:line="360" w:lineRule="auto"/>
        <w:jc w:val="both"/>
        <w:rPr>
          <w:rFonts w:ascii="Palatino Linotype" w:eastAsia="Palatino Linotype" w:hAnsi="Palatino Linotype" w:cs="Palatino Linotype"/>
        </w:rPr>
      </w:pPr>
    </w:p>
    <w:p w14:paraId="1579EA88" w14:textId="77777777" w:rsidR="0048397D" w:rsidRDefault="00304BF4">
      <w:pPr>
        <w:spacing w:line="360" w:lineRule="auto"/>
        <w:jc w:val="both"/>
        <w:rPr>
          <w:rFonts w:ascii="Palatino Linotype" w:eastAsia="Palatino Linotype" w:hAnsi="Palatino Linotype" w:cs="Palatino Linotype"/>
          <w:b/>
        </w:rPr>
      </w:pPr>
      <w:bookmarkStart w:id="12" w:name="_heading=h.26in1rg" w:colFirst="0" w:colLast="0"/>
      <w:bookmarkEnd w:id="12"/>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Tecnológico de Estudios Superiores de Chimalhuacán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previa búsqueda exhaustiva y razonable, en versión pública, la siguiente información:</w:t>
      </w:r>
    </w:p>
    <w:p w14:paraId="01272C17" w14:textId="77777777" w:rsidR="0048397D" w:rsidRDefault="0048397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6D3292C" w14:textId="77777777" w:rsidR="0048397D" w:rsidRDefault="00304BF4">
      <w:pPr>
        <w:numPr>
          <w:ilvl w:val="0"/>
          <w:numId w:val="1"/>
        </w:numPr>
        <w:pBdr>
          <w:top w:val="nil"/>
          <w:left w:val="nil"/>
          <w:bottom w:val="nil"/>
          <w:right w:val="nil"/>
          <w:between w:val="nil"/>
        </w:pBdr>
        <w:spacing w:line="360" w:lineRule="auto"/>
        <w:ind w:left="851" w:right="4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Soporte documental donde conste o se advierta el perfil educativo y profesional de la servidora pública referida en la solicitud de </w:t>
      </w:r>
      <w:r>
        <w:rPr>
          <w:rFonts w:ascii="Palatino Linotype" w:eastAsia="Palatino Linotype" w:hAnsi="Palatino Linotype" w:cs="Palatino Linotype"/>
          <w:b/>
          <w:color w:val="000000"/>
        </w:rPr>
        <w:lastRenderedPageBreak/>
        <w:t>información 00015/TESCHI/IP/2022, al veintiséis (26) de septiembre de dos mil veintidós</w:t>
      </w:r>
    </w:p>
    <w:p w14:paraId="7DDF6D60" w14:textId="77777777" w:rsidR="0048397D" w:rsidRDefault="0048397D">
      <w:pPr>
        <w:pBdr>
          <w:top w:val="nil"/>
          <w:left w:val="nil"/>
          <w:bottom w:val="nil"/>
          <w:right w:val="nil"/>
          <w:between w:val="nil"/>
        </w:pBdr>
        <w:spacing w:line="360" w:lineRule="auto"/>
        <w:ind w:left="1789"/>
        <w:jc w:val="both"/>
        <w:rPr>
          <w:rFonts w:ascii="Palatino Linotype" w:eastAsia="Palatino Linotype" w:hAnsi="Palatino Linotype" w:cs="Palatino Linotype"/>
          <w:b/>
          <w:color w:val="000000"/>
        </w:rPr>
      </w:pPr>
    </w:p>
    <w:p w14:paraId="7F73F2DC" w14:textId="77777777" w:rsidR="0048397D" w:rsidRDefault="00304BF4">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1E38CCD9" w14:textId="77777777" w:rsidR="0048397D" w:rsidRDefault="0048397D">
      <w:pPr>
        <w:spacing w:line="360" w:lineRule="auto"/>
        <w:jc w:val="both"/>
        <w:rPr>
          <w:rFonts w:ascii="Palatino Linotype" w:eastAsia="Palatino Linotype" w:hAnsi="Palatino Linotype" w:cs="Palatino Linotype"/>
          <w:b/>
        </w:rPr>
      </w:pPr>
      <w:bookmarkStart w:id="13" w:name="_heading=h.lnxbz9" w:colFirst="0" w:colLast="0"/>
      <w:bookmarkEnd w:id="13"/>
    </w:p>
    <w:p w14:paraId="04175C1B" w14:textId="77777777" w:rsidR="0048397D" w:rsidRDefault="00304BF4">
      <w:pPr>
        <w:tabs>
          <w:tab w:val="left" w:pos="8080"/>
        </w:tabs>
        <w:spacing w:line="360" w:lineRule="auto"/>
        <w:ind w:right="49"/>
        <w:jc w:val="both"/>
        <w:rPr>
          <w:rFonts w:ascii="Palatino Linotype" w:eastAsia="Palatino Linotype" w:hAnsi="Palatino Linotype" w:cs="Palatino Linotype"/>
          <w:highlight w:val="white"/>
        </w:rPr>
      </w:pPr>
      <w:bookmarkStart w:id="14" w:name="_heading=h.35nkun2" w:colFirst="0" w:colLast="0"/>
      <w:bookmarkEnd w:id="14"/>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02605">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51EED" w14:textId="77777777" w:rsidR="0048397D" w:rsidRDefault="0048397D">
      <w:pPr>
        <w:tabs>
          <w:tab w:val="left" w:pos="8080"/>
        </w:tabs>
        <w:spacing w:line="360" w:lineRule="auto"/>
        <w:ind w:right="49"/>
        <w:jc w:val="both"/>
        <w:rPr>
          <w:rFonts w:ascii="Palatino Linotype" w:eastAsia="Palatino Linotype" w:hAnsi="Palatino Linotype" w:cs="Palatino Linotype"/>
          <w:highlight w:val="white"/>
        </w:rPr>
      </w:pPr>
    </w:p>
    <w:p w14:paraId="03F01689" w14:textId="77777777" w:rsidR="0048397D" w:rsidRDefault="00304BF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Pr>
          <w:rFonts w:ascii="Palatino Linotype" w:eastAsia="Palatino Linotype" w:hAnsi="Palatino Linotype" w:cs="Palatino Linotype"/>
        </w:rPr>
        <w:lastRenderedPageBreak/>
        <w:t xml:space="preserve">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C9D2E3B" w14:textId="77777777" w:rsidR="0048397D" w:rsidRDefault="0048397D">
      <w:pPr>
        <w:spacing w:line="360" w:lineRule="auto"/>
        <w:jc w:val="both"/>
        <w:rPr>
          <w:rFonts w:ascii="Palatino Linotype" w:eastAsia="Palatino Linotype" w:hAnsi="Palatino Linotype" w:cs="Palatino Linotype"/>
        </w:rPr>
      </w:pPr>
    </w:p>
    <w:p w14:paraId="25036A92" w14:textId="77777777" w:rsidR="0048397D" w:rsidRDefault="00304BF4">
      <w:pPr>
        <w:tabs>
          <w:tab w:val="left" w:pos="8080"/>
        </w:tabs>
        <w:spacing w:line="360" w:lineRule="auto"/>
        <w:ind w:right="49"/>
        <w:jc w:val="both"/>
        <w:rPr>
          <w:rFonts w:ascii="Palatino Linotype" w:eastAsia="Palatino Linotype" w:hAnsi="Palatino Linotype" w:cs="Palatino Linotype"/>
        </w:rPr>
      </w:pPr>
      <w:bookmarkStart w:id="15" w:name="_heading=h.1ksv4uv" w:colFirst="0" w:colLast="0"/>
      <w:bookmarkEnd w:id="15"/>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0F1C346A" w14:textId="77777777" w:rsidR="0048397D" w:rsidRDefault="0048397D">
      <w:pPr>
        <w:tabs>
          <w:tab w:val="left" w:pos="8080"/>
        </w:tabs>
        <w:spacing w:line="360" w:lineRule="auto"/>
        <w:ind w:right="49"/>
        <w:jc w:val="both"/>
        <w:rPr>
          <w:rFonts w:ascii="Palatino Linotype" w:eastAsia="Palatino Linotype" w:hAnsi="Palatino Linotype" w:cs="Palatino Linotype"/>
        </w:rPr>
      </w:pPr>
    </w:p>
    <w:p w14:paraId="48138406" w14:textId="77777777" w:rsidR="0048397D" w:rsidRDefault="00304BF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FBCB8E4" w14:textId="77777777" w:rsidR="0048397D" w:rsidRDefault="0048397D">
      <w:pPr>
        <w:shd w:val="clear" w:color="auto" w:fill="FFFFFF"/>
        <w:spacing w:line="360" w:lineRule="auto"/>
        <w:jc w:val="both"/>
        <w:rPr>
          <w:rFonts w:ascii="Palatino Linotype" w:eastAsia="Palatino Linotype" w:hAnsi="Palatino Linotype" w:cs="Palatino Linotype"/>
        </w:rPr>
      </w:pPr>
    </w:p>
    <w:p w14:paraId="760DCD14" w14:textId="77777777" w:rsidR="00402605" w:rsidRPr="00402605" w:rsidRDefault="00402605" w:rsidP="00402605">
      <w:pPr>
        <w:spacing w:before="240" w:after="240" w:line="360" w:lineRule="auto"/>
        <w:ind w:firstLine="1"/>
        <w:jc w:val="both"/>
        <w:rPr>
          <w:rStyle w:val="Referenciasutil"/>
          <w:rFonts w:ascii="Palatino Linotype" w:hAnsi="Palatino Linotype"/>
          <w:color w:val="auto"/>
        </w:rPr>
      </w:pPr>
      <w:bookmarkStart w:id="16" w:name="_Hlk129792997"/>
      <w:r w:rsidRPr="00402605">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 </w:t>
      </w:r>
      <w:bookmarkEnd w:id="16"/>
    </w:p>
    <w:p w14:paraId="0A8178B2" w14:textId="77777777" w:rsidR="0048397D" w:rsidRDefault="0048397D">
      <w:pPr>
        <w:spacing w:line="360" w:lineRule="auto"/>
        <w:jc w:val="both"/>
        <w:rPr>
          <w:rFonts w:ascii="Palatino Linotype" w:eastAsia="Palatino Linotype" w:hAnsi="Palatino Linotype" w:cs="Palatino Linotype"/>
        </w:rPr>
      </w:pPr>
    </w:p>
    <w:p w14:paraId="24000508" w14:textId="77777777" w:rsidR="0048397D" w:rsidRDefault="0048397D">
      <w:pPr>
        <w:spacing w:line="360" w:lineRule="auto"/>
        <w:jc w:val="both"/>
        <w:rPr>
          <w:rFonts w:ascii="Palatino Linotype" w:eastAsia="Palatino Linotype" w:hAnsi="Palatino Linotype" w:cs="Palatino Linotype"/>
        </w:rPr>
      </w:pPr>
    </w:p>
    <w:p w14:paraId="2FCDB882" w14:textId="77777777" w:rsidR="0048397D" w:rsidRDefault="0048397D">
      <w:pPr>
        <w:spacing w:line="360" w:lineRule="auto"/>
        <w:jc w:val="both"/>
        <w:rPr>
          <w:rFonts w:ascii="Palatino Linotype" w:eastAsia="Palatino Linotype" w:hAnsi="Palatino Linotype" w:cs="Palatino Linotype"/>
        </w:rPr>
      </w:pPr>
    </w:p>
    <w:p w14:paraId="022C1A56" w14:textId="77777777" w:rsidR="0048397D" w:rsidRDefault="0048397D">
      <w:pPr>
        <w:spacing w:line="360" w:lineRule="auto"/>
        <w:jc w:val="both"/>
        <w:rPr>
          <w:rFonts w:ascii="Palatino Linotype" w:eastAsia="Palatino Linotype" w:hAnsi="Palatino Linotype" w:cs="Palatino Linotype"/>
        </w:rPr>
      </w:pPr>
    </w:p>
    <w:p w14:paraId="70FB172D" w14:textId="77777777" w:rsidR="0048397D" w:rsidRDefault="0048397D">
      <w:pPr>
        <w:spacing w:line="360" w:lineRule="auto"/>
        <w:jc w:val="both"/>
        <w:rPr>
          <w:rFonts w:ascii="Palatino Linotype" w:eastAsia="Palatino Linotype" w:hAnsi="Palatino Linotype" w:cs="Palatino Linotype"/>
        </w:rPr>
      </w:pPr>
    </w:p>
    <w:p w14:paraId="6BB5138E" w14:textId="77777777" w:rsidR="0048397D" w:rsidRDefault="0048397D">
      <w:pPr>
        <w:spacing w:line="360" w:lineRule="auto"/>
        <w:jc w:val="both"/>
        <w:rPr>
          <w:rFonts w:ascii="Palatino Linotype" w:eastAsia="Palatino Linotype" w:hAnsi="Palatino Linotype" w:cs="Palatino Linotype"/>
        </w:rPr>
      </w:pPr>
    </w:p>
    <w:p w14:paraId="1CBC293F" w14:textId="77777777" w:rsidR="0048397D" w:rsidRDefault="0048397D">
      <w:pPr>
        <w:spacing w:line="360" w:lineRule="auto"/>
        <w:jc w:val="both"/>
        <w:rPr>
          <w:rFonts w:ascii="Palatino Linotype" w:eastAsia="Palatino Linotype" w:hAnsi="Palatino Linotype" w:cs="Palatino Linotype"/>
        </w:rPr>
      </w:pPr>
    </w:p>
    <w:p w14:paraId="798716B2" w14:textId="77777777" w:rsidR="0048397D" w:rsidRDefault="0048397D">
      <w:pPr>
        <w:spacing w:line="360" w:lineRule="auto"/>
        <w:jc w:val="both"/>
        <w:rPr>
          <w:rFonts w:ascii="Palatino Linotype" w:eastAsia="Palatino Linotype" w:hAnsi="Palatino Linotype" w:cs="Palatino Linotype"/>
        </w:rPr>
      </w:pPr>
    </w:p>
    <w:p w14:paraId="4E7EAF70" w14:textId="77777777" w:rsidR="0048397D" w:rsidRDefault="0048397D">
      <w:pPr>
        <w:spacing w:line="360" w:lineRule="auto"/>
        <w:jc w:val="both"/>
        <w:rPr>
          <w:rFonts w:ascii="Palatino Linotype" w:eastAsia="Palatino Linotype" w:hAnsi="Palatino Linotype" w:cs="Palatino Linotype"/>
        </w:rPr>
      </w:pPr>
    </w:p>
    <w:p w14:paraId="6D1D306E" w14:textId="77777777" w:rsidR="0048397D" w:rsidRDefault="0048397D">
      <w:pPr>
        <w:spacing w:line="360" w:lineRule="auto"/>
        <w:rPr>
          <w:rFonts w:ascii="Palatino Linotype" w:eastAsia="Palatino Linotype" w:hAnsi="Palatino Linotype" w:cs="Palatino Linotype"/>
        </w:rPr>
      </w:pPr>
    </w:p>
    <w:p w14:paraId="13D7D683" w14:textId="77777777" w:rsidR="0048397D" w:rsidRDefault="0048397D">
      <w:pPr>
        <w:spacing w:line="360" w:lineRule="auto"/>
        <w:rPr>
          <w:rFonts w:ascii="Palatino Linotype" w:eastAsia="Palatino Linotype" w:hAnsi="Palatino Linotype" w:cs="Palatino Linotype"/>
        </w:rPr>
      </w:pPr>
    </w:p>
    <w:p w14:paraId="5A4D1E74" w14:textId="77777777" w:rsidR="0048397D" w:rsidRDefault="0048397D">
      <w:pPr>
        <w:spacing w:line="360" w:lineRule="auto"/>
        <w:rPr>
          <w:rFonts w:ascii="Palatino Linotype" w:eastAsia="Palatino Linotype" w:hAnsi="Palatino Linotype" w:cs="Palatino Linotype"/>
        </w:rPr>
      </w:pPr>
    </w:p>
    <w:p w14:paraId="5B963130" w14:textId="77777777" w:rsidR="0048397D" w:rsidRDefault="0048397D">
      <w:pPr>
        <w:spacing w:line="360" w:lineRule="auto"/>
        <w:rPr>
          <w:rFonts w:ascii="Palatino Linotype" w:eastAsia="Palatino Linotype" w:hAnsi="Palatino Linotype" w:cs="Palatino Linotype"/>
        </w:rPr>
      </w:pPr>
    </w:p>
    <w:p w14:paraId="2BE9F19B" w14:textId="77777777" w:rsidR="0048397D" w:rsidRDefault="0048397D">
      <w:pPr>
        <w:spacing w:line="360" w:lineRule="auto"/>
        <w:rPr>
          <w:rFonts w:ascii="Palatino Linotype" w:eastAsia="Palatino Linotype" w:hAnsi="Palatino Linotype" w:cs="Palatino Linotype"/>
        </w:rPr>
      </w:pPr>
    </w:p>
    <w:p w14:paraId="48E681C1" w14:textId="77777777" w:rsidR="0048397D" w:rsidRDefault="0048397D">
      <w:pPr>
        <w:spacing w:line="360" w:lineRule="auto"/>
        <w:rPr>
          <w:rFonts w:ascii="Palatino Linotype" w:eastAsia="Palatino Linotype" w:hAnsi="Palatino Linotype" w:cs="Palatino Linotype"/>
        </w:rPr>
      </w:pPr>
    </w:p>
    <w:p w14:paraId="4E0C96AA" w14:textId="77777777" w:rsidR="0048397D" w:rsidRDefault="0048397D">
      <w:pPr>
        <w:spacing w:line="360" w:lineRule="auto"/>
        <w:rPr>
          <w:rFonts w:ascii="Palatino Linotype" w:eastAsia="Palatino Linotype" w:hAnsi="Palatino Linotype" w:cs="Palatino Linotype"/>
        </w:rPr>
      </w:pPr>
    </w:p>
    <w:p w14:paraId="53FCD185" w14:textId="77777777" w:rsidR="0048397D" w:rsidRDefault="00304BF4">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24FECC63" w14:textId="77777777" w:rsidR="0048397D" w:rsidRDefault="0048397D">
      <w:pPr>
        <w:tabs>
          <w:tab w:val="left" w:pos="3374"/>
        </w:tabs>
        <w:spacing w:line="360" w:lineRule="auto"/>
        <w:rPr>
          <w:rFonts w:ascii="Palatino Linotype" w:eastAsia="Palatino Linotype" w:hAnsi="Palatino Linotype" w:cs="Palatino Linotype"/>
        </w:rPr>
      </w:pPr>
    </w:p>
    <w:p w14:paraId="5DF3A91C" w14:textId="77777777" w:rsidR="0048397D" w:rsidRDefault="0048397D">
      <w:pPr>
        <w:tabs>
          <w:tab w:val="left" w:pos="3374"/>
        </w:tabs>
        <w:spacing w:line="360" w:lineRule="auto"/>
        <w:rPr>
          <w:rFonts w:ascii="Palatino Linotype" w:eastAsia="Palatino Linotype" w:hAnsi="Palatino Linotype" w:cs="Palatino Linotype"/>
        </w:rPr>
      </w:pPr>
    </w:p>
    <w:p w14:paraId="67AB8B62" w14:textId="77777777" w:rsidR="0048397D" w:rsidRDefault="0048397D">
      <w:pPr>
        <w:tabs>
          <w:tab w:val="left" w:pos="3374"/>
        </w:tabs>
        <w:spacing w:line="360" w:lineRule="auto"/>
        <w:rPr>
          <w:rFonts w:ascii="Palatino Linotype" w:eastAsia="Palatino Linotype" w:hAnsi="Palatino Linotype" w:cs="Palatino Linotype"/>
        </w:rPr>
      </w:pPr>
    </w:p>
    <w:p w14:paraId="3B0F243D" w14:textId="77777777" w:rsidR="0048397D" w:rsidRDefault="0048397D">
      <w:pPr>
        <w:tabs>
          <w:tab w:val="left" w:pos="3374"/>
        </w:tabs>
        <w:spacing w:line="360" w:lineRule="auto"/>
        <w:rPr>
          <w:rFonts w:ascii="Palatino Linotype" w:eastAsia="Palatino Linotype" w:hAnsi="Palatino Linotype" w:cs="Palatino Linotype"/>
        </w:rPr>
      </w:pPr>
    </w:p>
    <w:p w14:paraId="4EEE18BE" w14:textId="77777777" w:rsidR="0048397D" w:rsidRDefault="0048397D">
      <w:pPr>
        <w:tabs>
          <w:tab w:val="left" w:pos="3374"/>
        </w:tabs>
        <w:spacing w:line="360" w:lineRule="auto"/>
        <w:rPr>
          <w:rFonts w:ascii="Palatino Linotype" w:eastAsia="Palatino Linotype" w:hAnsi="Palatino Linotype" w:cs="Palatino Linotype"/>
        </w:rPr>
      </w:pPr>
    </w:p>
    <w:p w14:paraId="1F381009" w14:textId="77777777" w:rsidR="0048397D" w:rsidRDefault="0048397D">
      <w:pPr>
        <w:tabs>
          <w:tab w:val="left" w:pos="3374"/>
        </w:tabs>
        <w:spacing w:line="360" w:lineRule="auto"/>
        <w:rPr>
          <w:rFonts w:ascii="Palatino Linotype" w:eastAsia="Palatino Linotype" w:hAnsi="Palatino Linotype" w:cs="Palatino Linotype"/>
        </w:rPr>
      </w:pPr>
    </w:p>
    <w:p w14:paraId="44CBE909" w14:textId="77777777" w:rsidR="0048397D" w:rsidRDefault="0048397D">
      <w:pPr>
        <w:tabs>
          <w:tab w:val="left" w:pos="3374"/>
        </w:tabs>
        <w:spacing w:line="360" w:lineRule="auto"/>
        <w:rPr>
          <w:rFonts w:ascii="Palatino Linotype" w:eastAsia="Palatino Linotype" w:hAnsi="Palatino Linotype" w:cs="Palatino Linotype"/>
        </w:rPr>
      </w:pPr>
    </w:p>
    <w:p w14:paraId="5DB7C7D9" w14:textId="77777777" w:rsidR="0048397D" w:rsidRDefault="0048397D">
      <w:pPr>
        <w:tabs>
          <w:tab w:val="left" w:pos="3374"/>
        </w:tabs>
        <w:spacing w:line="360" w:lineRule="auto"/>
        <w:rPr>
          <w:rFonts w:ascii="Palatino Linotype" w:eastAsia="Palatino Linotype" w:hAnsi="Palatino Linotype" w:cs="Palatino Linotype"/>
        </w:rPr>
      </w:pPr>
    </w:p>
    <w:p w14:paraId="6E7AB7E8" w14:textId="77777777" w:rsidR="0048397D" w:rsidRDefault="0048397D">
      <w:pPr>
        <w:tabs>
          <w:tab w:val="left" w:pos="3374"/>
        </w:tabs>
        <w:spacing w:line="360" w:lineRule="auto"/>
        <w:rPr>
          <w:rFonts w:ascii="Palatino Linotype" w:eastAsia="Palatino Linotype" w:hAnsi="Palatino Linotype" w:cs="Palatino Linotype"/>
        </w:rPr>
      </w:pPr>
    </w:p>
    <w:p w14:paraId="74EE2495" w14:textId="77777777" w:rsidR="0048397D" w:rsidRDefault="0048397D">
      <w:pPr>
        <w:tabs>
          <w:tab w:val="left" w:pos="3374"/>
        </w:tabs>
        <w:spacing w:line="360" w:lineRule="auto"/>
        <w:rPr>
          <w:rFonts w:ascii="Palatino Linotype" w:eastAsia="Palatino Linotype" w:hAnsi="Palatino Linotype" w:cs="Palatino Linotype"/>
        </w:rPr>
      </w:pPr>
    </w:p>
    <w:sectPr w:rsidR="0048397D">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FD72" w14:textId="77777777" w:rsidR="00787189" w:rsidRDefault="00787189">
      <w:r>
        <w:separator/>
      </w:r>
    </w:p>
  </w:endnote>
  <w:endnote w:type="continuationSeparator" w:id="0">
    <w:p w14:paraId="67E8AB2A" w14:textId="77777777" w:rsidR="00787189" w:rsidRDefault="0078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8B1" w14:textId="77777777" w:rsidR="0048397D" w:rsidRDefault="00304BF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2605">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2605">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14:paraId="2FBD785E" w14:textId="77777777" w:rsidR="0048397D" w:rsidRDefault="0048397D">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4561" w14:textId="77777777" w:rsidR="0048397D" w:rsidRDefault="00304BF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260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260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p>
  <w:p w14:paraId="08CD634C" w14:textId="77777777" w:rsidR="0048397D" w:rsidRDefault="0048397D">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7F91" w14:textId="77777777" w:rsidR="00787189" w:rsidRDefault="00787189">
      <w:r>
        <w:separator/>
      </w:r>
    </w:p>
  </w:footnote>
  <w:footnote w:type="continuationSeparator" w:id="0">
    <w:p w14:paraId="493EEA48" w14:textId="77777777" w:rsidR="00787189" w:rsidRDefault="00787189">
      <w:r>
        <w:continuationSeparator/>
      </w:r>
    </w:p>
  </w:footnote>
  <w:footnote w:id="1">
    <w:p w14:paraId="026F7B9B" w14:textId="77777777" w:rsidR="0048397D" w:rsidRDefault="00304BF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Ley de Transparencia y Acceso a la Información Pública del Estado de México y Municipios. Artículo 9. …</w:t>
      </w:r>
    </w:p>
    <w:p w14:paraId="09E59046" w14:textId="77777777" w:rsidR="0048397D" w:rsidRDefault="00304BF4">
      <w:pPr>
        <w:pBdr>
          <w:top w:val="nil"/>
          <w:left w:val="nil"/>
          <w:bottom w:val="nil"/>
          <w:right w:val="nil"/>
          <w:between w:val="nil"/>
        </w:pBdr>
        <w:rPr>
          <w:rFonts w:eastAsia="Calibri"/>
          <w:color w:val="000000"/>
          <w:sz w:val="20"/>
          <w:szCs w:val="20"/>
        </w:rPr>
      </w:pPr>
      <w:r>
        <w:rPr>
          <w:rFonts w:eastAsia="Calibri"/>
          <w:color w:val="000000"/>
          <w:sz w:val="20"/>
          <w:szCs w:val="20"/>
        </w:rPr>
        <w:t>II. Eficacia: Obligación del Instituto para tutelar, de manera efectiva, el derecho de acceso a la información;</w:t>
      </w:r>
    </w:p>
    <w:p w14:paraId="46DC924B" w14:textId="77777777" w:rsidR="0048397D" w:rsidRDefault="00304BF4">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5DA6" w14:textId="77777777" w:rsidR="0048397D" w:rsidRDefault="00787189">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E95F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5DF" w14:textId="77777777" w:rsidR="0048397D" w:rsidRDefault="0048397D">
    <w:pPr>
      <w:widowControl w:val="0"/>
      <w:pBdr>
        <w:top w:val="nil"/>
        <w:left w:val="nil"/>
        <w:bottom w:val="nil"/>
        <w:right w:val="nil"/>
        <w:between w:val="nil"/>
      </w:pBdr>
      <w:spacing w:line="276" w:lineRule="auto"/>
      <w:rPr>
        <w:rFonts w:eastAsia="Calibri"/>
        <w:color w:val="000000"/>
        <w:sz w:val="20"/>
        <w:szCs w:val="20"/>
      </w:rPr>
    </w:pPr>
  </w:p>
  <w:tbl>
    <w:tblPr>
      <w:tblStyle w:val="a1"/>
      <w:tblW w:w="7229" w:type="dxa"/>
      <w:tblInd w:w="2694" w:type="dxa"/>
      <w:tblLayout w:type="fixed"/>
      <w:tblLook w:val="0400" w:firstRow="0" w:lastRow="0" w:firstColumn="0" w:lastColumn="0" w:noHBand="0" w:noVBand="1"/>
    </w:tblPr>
    <w:tblGrid>
      <w:gridCol w:w="2976"/>
      <w:gridCol w:w="4253"/>
    </w:tblGrid>
    <w:tr w:rsidR="0048397D" w14:paraId="3886AF99" w14:textId="77777777" w:rsidTr="00402605">
      <w:trPr>
        <w:trHeight w:val="227"/>
      </w:trPr>
      <w:tc>
        <w:tcPr>
          <w:tcW w:w="2976" w:type="dxa"/>
          <w:vAlign w:val="center"/>
        </w:tcPr>
        <w:p w14:paraId="6545E076" w14:textId="77777777" w:rsidR="0048397D" w:rsidRDefault="00304B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vAlign w:val="center"/>
        </w:tcPr>
        <w:p w14:paraId="44C0EE67"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2"/>
              <w:szCs w:val="22"/>
            </w:rPr>
            <w:t>15093/INFOEM/IP/RR/2022</w:t>
          </w:r>
        </w:p>
      </w:tc>
    </w:tr>
    <w:tr w:rsidR="0048397D" w14:paraId="40530D83" w14:textId="77777777" w:rsidTr="00402605">
      <w:trPr>
        <w:trHeight w:val="242"/>
      </w:trPr>
      <w:tc>
        <w:tcPr>
          <w:tcW w:w="2976" w:type="dxa"/>
          <w:vAlign w:val="center"/>
        </w:tcPr>
        <w:p w14:paraId="220B53AE" w14:textId="77777777" w:rsidR="0048397D" w:rsidRDefault="00304B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vAlign w:val="center"/>
        </w:tcPr>
        <w:p w14:paraId="2795FE8C"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2"/>
              <w:szCs w:val="22"/>
            </w:rPr>
            <w:t>Tecnológico de Estudios Superiores de Chimalhuacán</w:t>
          </w:r>
        </w:p>
      </w:tc>
    </w:tr>
    <w:tr w:rsidR="0048397D" w14:paraId="25BA7569" w14:textId="77777777" w:rsidTr="00402605">
      <w:trPr>
        <w:trHeight w:val="342"/>
      </w:trPr>
      <w:tc>
        <w:tcPr>
          <w:tcW w:w="2976" w:type="dxa"/>
          <w:vAlign w:val="center"/>
        </w:tcPr>
        <w:p w14:paraId="4D3A2D76" w14:textId="77777777" w:rsidR="0048397D" w:rsidRDefault="00304B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53" w:type="dxa"/>
          <w:vAlign w:val="center"/>
        </w:tcPr>
        <w:p w14:paraId="4BEEDDA9"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2"/>
              <w:szCs w:val="22"/>
            </w:rPr>
            <w:t>María del Rosario Mejía Ayala</w:t>
          </w:r>
        </w:p>
      </w:tc>
    </w:tr>
  </w:tbl>
  <w:p w14:paraId="7D370EE3" w14:textId="77777777" w:rsidR="0048397D" w:rsidRDefault="00787189">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987A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B2CF" w14:textId="77777777" w:rsidR="0048397D" w:rsidRDefault="0048397D">
    <w:pPr>
      <w:widowControl w:val="0"/>
      <w:pBdr>
        <w:top w:val="nil"/>
        <w:left w:val="nil"/>
        <w:bottom w:val="nil"/>
        <w:right w:val="nil"/>
        <w:between w:val="nil"/>
      </w:pBdr>
      <w:spacing w:line="276" w:lineRule="auto"/>
      <w:rPr>
        <w:rFonts w:eastAsia="Calibri"/>
        <w:color w:val="000000"/>
      </w:rPr>
    </w:pPr>
  </w:p>
  <w:tbl>
    <w:tblPr>
      <w:tblStyle w:val="a2"/>
      <w:tblW w:w="7654" w:type="dxa"/>
      <w:tblInd w:w="2552" w:type="dxa"/>
      <w:tblLayout w:type="fixed"/>
      <w:tblLook w:val="0400" w:firstRow="0" w:lastRow="0" w:firstColumn="0" w:lastColumn="0" w:noHBand="0" w:noVBand="1"/>
    </w:tblPr>
    <w:tblGrid>
      <w:gridCol w:w="2977"/>
      <w:gridCol w:w="4677"/>
    </w:tblGrid>
    <w:tr w:rsidR="0048397D" w14:paraId="59A9670D" w14:textId="77777777" w:rsidTr="00402605">
      <w:trPr>
        <w:trHeight w:val="227"/>
      </w:trPr>
      <w:tc>
        <w:tcPr>
          <w:tcW w:w="2977" w:type="dxa"/>
          <w:vAlign w:val="center"/>
        </w:tcPr>
        <w:p w14:paraId="0A4DA4EA" w14:textId="77777777" w:rsidR="0048397D" w:rsidRDefault="00304B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77" w:type="dxa"/>
          <w:vAlign w:val="center"/>
        </w:tcPr>
        <w:p w14:paraId="5FBC6632"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2"/>
              <w:szCs w:val="22"/>
            </w:rPr>
            <w:t>15093/INFOEM/IP/RR/2022</w:t>
          </w:r>
        </w:p>
      </w:tc>
    </w:tr>
    <w:tr w:rsidR="0048397D" w14:paraId="3B2C6476" w14:textId="77777777" w:rsidTr="00402605">
      <w:trPr>
        <w:trHeight w:val="242"/>
      </w:trPr>
      <w:tc>
        <w:tcPr>
          <w:tcW w:w="2977" w:type="dxa"/>
          <w:vAlign w:val="center"/>
        </w:tcPr>
        <w:p w14:paraId="52E34439" w14:textId="77777777" w:rsidR="0048397D" w:rsidRDefault="00304BF4">
          <w:pPr>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4677" w:type="dxa"/>
        </w:tcPr>
        <w:p w14:paraId="73BD2B20" w14:textId="71DAAAB5" w:rsidR="0048397D" w:rsidRPr="00402605" w:rsidRDefault="001F6EBD" w:rsidP="00402605">
          <w:pPr>
            <w:pBdr>
              <w:top w:val="nil"/>
              <w:left w:val="nil"/>
              <w:bottom w:val="nil"/>
              <w:right w:val="nil"/>
              <w:between w:val="nil"/>
            </w:pBdr>
            <w:tabs>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48397D" w14:paraId="72732449" w14:textId="77777777" w:rsidTr="00402605">
      <w:trPr>
        <w:trHeight w:val="342"/>
      </w:trPr>
      <w:tc>
        <w:tcPr>
          <w:tcW w:w="2977" w:type="dxa"/>
          <w:vAlign w:val="center"/>
        </w:tcPr>
        <w:p w14:paraId="3116C3D5" w14:textId="77777777" w:rsidR="0048397D" w:rsidRDefault="00304B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77" w:type="dxa"/>
          <w:vAlign w:val="center"/>
        </w:tcPr>
        <w:p w14:paraId="5163885C"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2"/>
              <w:szCs w:val="22"/>
            </w:rPr>
            <w:t>Tecnológico de Estudios Superiores de Chimalhuacán</w:t>
          </w:r>
        </w:p>
      </w:tc>
    </w:tr>
    <w:tr w:rsidR="0048397D" w14:paraId="2D026FA2" w14:textId="77777777" w:rsidTr="00402605">
      <w:trPr>
        <w:trHeight w:val="342"/>
      </w:trPr>
      <w:tc>
        <w:tcPr>
          <w:tcW w:w="2977" w:type="dxa"/>
          <w:vAlign w:val="center"/>
        </w:tcPr>
        <w:p w14:paraId="4643EFD1" w14:textId="77777777" w:rsidR="0048397D" w:rsidRDefault="00304B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77" w:type="dxa"/>
          <w:vAlign w:val="center"/>
        </w:tcPr>
        <w:p w14:paraId="375402F6" w14:textId="77777777" w:rsidR="0048397D" w:rsidRPr="00402605" w:rsidRDefault="00304BF4" w:rsidP="00402605">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402605">
            <w:rPr>
              <w:rFonts w:ascii="Palatino Linotype" w:eastAsia="Palatino Linotype" w:hAnsi="Palatino Linotype" w:cs="Palatino Linotype"/>
              <w:color w:val="000000"/>
              <w:sz w:val="21"/>
              <w:szCs w:val="21"/>
            </w:rPr>
            <w:t>María del Rosario Mejía Ayala</w:t>
          </w:r>
        </w:p>
      </w:tc>
    </w:tr>
  </w:tbl>
  <w:p w14:paraId="518172A4" w14:textId="77777777" w:rsidR="0048397D" w:rsidRDefault="00787189">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4EC9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F3413"/>
    <w:multiLevelType w:val="multilevel"/>
    <w:tmpl w:val="11789C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6A2302"/>
    <w:multiLevelType w:val="multilevel"/>
    <w:tmpl w:val="58ECE332"/>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 w15:restartNumberingAfterBreak="0">
    <w:nsid w:val="536D3E1F"/>
    <w:multiLevelType w:val="multilevel"/>
    <w:tmpl w:val="EB84B54C"/>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BE3CA1"/>
    <w:multiLevelType w:val="multilevel"/>
    <w:tmpl w:val="3A02D2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85B39A7"/>
    <w:multiLevelType w:val="multilevel"/>
    <w:tmpl w:val="D898C2B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16cid:durableId="377898451">
    <w:abstractNumId w:val="1"/>
  </w:num>
  <w:num w:numId="2" w16cid:durableId="2023823988">
    <w:abstractNumId w:val="2"/>
  </w:num>
  <w:num w:numId="3" w16cid:durableId="283387065">
    <w:abstractNumId w:val="3"/>
  </w:num>
  <w:num w:numId="4" w16cid:durableId="1736930356">
    <w:abstractNumId w:val="0"/>
  </w:num>
  <w:num w:numId="5" w16cid:durableId="98716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7D"/>
    <w:rsid w:val="001F6EBD"/>
    <w:rsid w:val="00304BF4"/>
    <w:rsid w:val="00402605"/>
    <w:rsid w:val="0048397D"/>
    <w:rsid w:val="00787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CA6B"/>
  <w15:docId w15:val="{879AD1B1-A8EF-46EA-9EC4-DB8FC37B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BC"/>
    <w:rPr>
      <w:rFonts w:eastAsiaTheme="minorEastAsia"/>
      <w:lang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table" w:styleId="Tablanormal1">
    <w:name w:val="Plain Table 1"/>
    <w:basedOn w:val="Tablanormal"/>
    <w:uiPriority w:val="41"/>
    <w:rsid w:val="000B59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40260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85190.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eAzpZz9nrzyh3TOKTvRp7yfJw==">CgMxLjAyCGguZ2pkZ3hzMgloLjMwajB6bGwyCWguMWZvYjl0ZTIJaC4zem55c2g3MgloLjJldDkycDAyCGgudHlqY3d0MgloLjNkeTZ2a20yCWguMXQzaDVzZjIKaWQuNGQzNG9nODIJaC4yczhleW8xMgloLjE3ZHA4dnUyCWguM3JkY3JqbjIJaC4yNmluMXJnMghoLmxueGJ6OTIJaC4zNW5rdW4yMgloLjFrc3Y0dXY4AHIhMXR5Q3B1alJHSWtDN25QU19rSW9CX1lWRFBodDh1LV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7985</Words>
  <Characters>43922</Characters>
  <Application>Microsoft Office Word</Application>
  <DocSecurity>0</DocSecurity>
  <Lines>366</Lines>
  <Paragraphs>103</Paragraphs>
  <ScaleCrop>false</ScaleCrop>
  <Company>HP Inc.</Company>
  <LinksUpToDate>false</LinksUpToDate>
  <CharactersWithSpaces>51804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c:creator>
  <cp:lastModifiedBy>inf03m612@outlook.com</cp:lastModifiedBy>
  <cp:revision>3</cp:revision>
  <dcterms:created xsi:type="dcterms:W3CDTF">2024-03-13T00:38:00Z</dcterms:created>
  <dcterms:modified xsi:type="dcterms:W3CDTF">2024-05-16T20:37:00Z</dcterms:modified>
</cp:coreProperties>
</file>