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690A5" w14:textId="77777777" w:rsidR="00C745C3" w:rsidRDefault="00C745C3">
      <w:pPr>
        <w:widowControl w:val="0"/>
        <w:pBdr>
          <w:top w:val="nil"/>
          <w:left w:val="nil"/>
          <w:bottom w:val="nil"/>
          <w:right w:val="nil"/>
          <w:between w:val="nil"/>
        </w:pBdr>
        <w:spacing w:line="276" w:lineRule="auto"/>
      </w:pPr>
    </w:p>
    <w:p w14:paraId="6EC80C8A" w14:textId="364C8FEB" w:rsidR="00C745C3" w:rsidRDefault="00AC72C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0D200E">
        <w:rPr>
          <w:rFonts w:ascii="Palatino Linotype" w:eastAsia="Palatino Linotype" w:hAnsi="Palatino Linotype" w:cs="Palatino Linotype"/>
          <w:sz w:val="24"/>
          <w:szCs w:val="24"/>
        </w:rPr>
        <w:t>cuatro (04</w:t>
      </w:r>
      <w:r>
        <w:rPr>
          <w:rFonts w:ascii="Palatino Linotype" w:eastAsia="Palatino Linotype" w:hAnsi="Palatino Linotype" w:cs="Palatino Linotype"/>
          <w:sz w:val="24"/>
          <w:szCs w:val="24"/>
        </w:rPr>
        <w:t xml:space="preserve">) de </w:t>
      </w:r>
      <w:r w:rsidR="000D200E">
        <w:rPr>
          <w:rFonts w:ascii="Palatino Linotype" w:eastAsia="Palatino Linotype" w:hAnsi="Palatino Linotype" w:cs="Palatino Linotype"/>
          <w:sz w:val="24"/>
          <w:szCs w:val="24"/>
        </w:rPr>
        <w:t>septiembre</w:t>
      </w:r>
      <w:r>
        <w:rPr>
          <w:rFonts w:ascii="Palatino Linotype" w:eastAsia="Palatino Linotype" w:hAnsi="Palatino Linotype" w:cs="Palatino Linotype"/>
          <w:sz w:val="24"/>
          <w:szCs w:val="24"/>
        </w:rPr>
        <w:t xml:space="preserve"> de dos mil veinticuatro.</w:t>
      </w:r>
    </w:p>
    <w:p w14:paraId="0B95FB0E" w14:textId="77777777" w:rsidR="00C745C3" w:rsidRDefault="00AC72C1">
      <w:pPr>
        <w:pBdr>
          <w:top w:val="nil"/>
          <w:left w:val="nil"/>
          <w:bottom w:val="nil"/>
          <w:right w:val="nil"/>
          <w:between w:val="nil"/>
        </w:pBdr>
        <w:tabs>
          <w:tab w:val="center" w:pos="4419"/>
          <w:tab w:val="right" w:pos="8838"/>
        </w:tabs>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VISTO el</w:t>
      </w:r>
      <w:r>
        <w:rPr>
          <w:rFonts w:ascii="Palatino Linotype" w:eastAsia="Palatino Linotype" w:hAnsi="Palatino Linotype" w:cs="Palatino Linotype"/>
          <w:color w:val="000000"/>
          <w:sz w:val="24"/>
          <w:szCs w:val="24"/>
        </w:rPr>
        <w:t xml:space="preserve"> expediente electrónico formado con motivo del recurso de revisión </w:t>
      </w:r>
      <w:r>
        <w:rPr>
          <w:rFonts w:ascii="Palatino Linotype" w:eastAsia="Palatino Linotype" w:hAnsi="Palatino Linotype" w:cs="Palatino Linotype"/>
          <w:b/>
          <w:color w:val="000000"/>
          <w:sz w:val="24"/>
          <w:szCs w:val="24"/>
        </w:rPr>
        <w:t xml:space="preserve">00623/INFOEM/IP/RR/2024, </w:t>
      </w:r>
      <w:r>
        <w:rPr>
          <w:rFonts w:ascii="Palatino Linotype" w:eastAsia="Palatino Linotype" w:hAnsi="Palatino Linotype" w:cs="Palatino Linotype"/>
          <w:color w:val="000000"/>
          <w:sz w:val="24"/>
          <w:szCs w:val="24"/>
        </w:rPr>
        <w:t xml:space="preserve">promovido por </w:t>
      </w:r>
      <w:r>
        <w:rPr>
          <w:rFonts w:ascii="Palatino Linotype" w:eastAsia="Palatino Linotype" w:hAnsi="Palatino Linotype" w:cs="Palatino Linotype"/>
          <w:b/>
          <w:sz w:val="24"/>
          <w:szCs w:val="24"/>
        </w:rPr>
        <w:t>una persona que no proporcionó nombre</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en su calidad de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contra de la respuesta de </w:t>
      </w:r>
      <w:r>
        <w:rPr>
          <w:rFonts w:ascii="Palatino Linotype" w:eastAsia="Palatino Linotype" w:hAnsi="Palatino Linotype" w:cs="Palatino Linotype"/>
          <w:b/>
          <w:color w:val="000000"/>
          <w:sz w:val="24"/>
          <w:szCs w:val="24"/>
        </w:rPr>
        <w:t>Servicios Educativos Integrados al Estado de México</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en lo sucesivo 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se procede a dictar la presente resolución, con base en los siguientes:</w:t>
      </w:r>
    </w:p>
    <w:p w14:paraId="13CCF160" w14:textId="77777777" w:rsidR="00C745C3" w:rsidRDefault="00AC72C1">
      <w:pPr>
        <w:pStyle w:val="Ttulo1"/>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ANTECEDENTES</w:t>
      </w:r>
    </w:p>
    <w:p w14:paraId="3854A693" w14:textId="77777777" w:rsidR="00C745C3" w:rsidRDefault="00C745C3">
      <w:pPr>
        <w:rPr>
          <w:rFonts w:ascii="Palatino Linotype" w:eastAsia="Palatino Linotype" w:hAnsi="Palatino Linotype" w:cs="Palatino Linotype"/>
          <w:sz w:val="24"/>
          <w:szCs w:val="24"/>
        </w:rPr>
      </w:pPr>
    </w:p>
    <w:p w14:paraId="22871FCF"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cinco (5) de enero de dos mil veinticuatro, </w:t>
      </w:r>
      <w:r>
        <w:rPr>
          <w:rFonts w:ascii="Palatino Linotype" w:eastAsia="Palatino Linotype" w:hAnsi="Palatino Linotype" w:cs="Palatino Linotype"/>
          <w:b/>
          <w:color w:val="000000"/>
          <w:sz w:val="24"/>
          <w:szCs w:val="24"/>
        </w:rPr>
        <w:t xml:space="preserve">EL RECURRENTE </w:t>
      </w:r>
      <w:r>
        <w:rPr>
          <w:rFonts w:ascii="Palatino Linotype" w:eastAsia="Palatino Linotype" w:hAnsi="Palatino Linotype" w:cs="Palatino Linotype"/>
          <w:color w:val="000000"/>
          <w:sz w:val="24"/>
          <w:szCs w:val="24"/>
        </w:rPr>
        <w:t>presentó</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ante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vía Sistema de Acceso a la Información Mexiquense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la solicitud de información pública registrada con el número </w:t>
      </w:r>
      <w:r>
        <w:rPr>
          <w:rFonts w:ascii="Palatino Linotype" w:eastAsia="Palatino Linotype" w:hAnsi="Palatino Linotype" w:cs="Palatino Linotype"/>
          <w:b/>
          <w:color w:val="000000"/>
          <w:sz w:val="24"/>
          <w:szCs w:val="24"/>
        </w:rPr>
        <w:t>00013/SEIEM/IP/2023</w:t>
      </w:r>
      <w:r>
        <w:rPr>
          <w:rFonts w:ascii="Palatino Linotype" w:eastAsia="Palatino Linotype" w:hAnsi="Palatino Linotype" w:cs="Palatino Linotype"/>
          <w:color w:val="000000"/>
          <w:sz w:val="24"/>
          <w:szCs w:val="24"/>
        </w:rPr>
        <w:t>; sin embargo, al presentarse en día inhábil, se tuvo por presentada el once (11) de enero de la misma anualidad, por ser el siguiente día hábil, mediante la cual solicitó lo siguiente:</w:t>
      </w:r>
    </w:p>
    <w:p w14:paraId="34DC09D6"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78723513" w14:textId="77777777" w:rsidR="00C745C3" w:rsidRDefault="00AC72C1">
      <w:pPr>
        <w:pBdr>
          <w:top w:val="nil"/>
          <w:left w:val="nil"/>
          <w:bottom w:val="nil"/>
          <w:right w:val="nil"/>
          <w:between w:val="nil"/>
        </w:pBdr>
        <w:spacing w:line="360" w:lineRule="auto"/>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nombre del servidor público que elaboro la bases de la licitacion publica nacional numero 44074001-012-2023 efectuada por los SEIEM”</w:t>
      </w:r>
    </w:p>
    <w:p w14:paraId="506B0E0A" w14:textId="77777777" w:rsidR="00C745C3" w:rsidRDefault="00C745C3">
      <w:pPr>
        <w:pBdr>
          <w:top w:val="nil"/>
          <w:left w:val="nil"/>
          <w:bottom w:val="nil"/>
          <w:right w:val="nil"/>
          <w:between w:val="nil"/>
        </w:pBdr>
        <w:spacing w:line="360" w:lineRule="auto"/>
        <w:ind w:left="567" w:right="822"/>
        <w:jc w:val="both"/>
        <w:rPr>
          <w:rFonts w:ascii="Palatino Linotype" w:eastAsia="Palatino Linotype" w:hAnsi="Palatino Linotype" w:cs="Palatino Linotype"/>
          <w:i/>
          <w:color w:val="000000"/>
          <w:sz w:val="22"/>
          <w:szCs w:val="22"/>
        </w:rPr>
      </w:pPr>
    </w:p>
    <w:p w14:paraId="36068474"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Señaló como modalidad de entrega de la información a través del </w:t>
      </w:r>
      <w:r>
        <w:rPr>
          <w:rFonts w:ascii="Palatino Linotype" w:eastAsia="Palatino Linotype" w:hAnsi="Palatino Linotype" w:cs="Palatino Linotype"/>
          <w:b/>
          <w:color w:val="000000"/>
          <w:sz w:val="24"/>
          <w:szCs w:val="24"/>
        </w:rPr>
        <w:t>SAIMEX.</w:t>
      </w:r>
    </w:p>
    <w:p w14:paraId="3314226B"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treinta y uno (31) de enero de dos mil veinticuatro dio respuesta a la solicitud, en los siguientes términos:</w:t>
      </w:r>
    </w:p>
    <w:p w14:paraId="26793944" w14:textId="77777777" w:rsidR="00C745C3" w:rsidRDefault="00C745C3">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1396A9BE" w14:textId="77777777" w:rsidR="00C745C3" w:rsidRDefault="00AC72C1">
      <w:pPr>
        <w:spacing w:line="360" w:lineRule="auto"/>
        <w:ind w:left="567" w:right="822"/>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FA8ECE" w14:textId="77777777" w:rsidR="00C745C3" w:rsidRDefault="00AC72C1">
      <w:pPr>
        <w:spacing w:line="360" w:lineRule="auto"/>
        <w:ind w:left="567" w:right="822"/>
        <w:jc w:val="both"/>
        <w:rPr>
          <w:rFonts w:ascii="Palatino Linotype" w:eastAsia="Palatino Linotype" w:hAnsi="Palatino Linotype" w:cs="Palatino Linotype"/>
          <w:i/>
        </w:rPr>
      </w:pPr>
      <w:r>
        <w:rPr>
          <w:rFonts w:ascii="Palatino Linotype" w:eastAsia="Palatino Linotype" w:hAnsi="Palatino Linotype" w:cs="Palatino Linotype"/>
          <w:i/>
        </w:rPr>
        <w:t>SE REMITE RESPUESTA</w:t>
      </w:r>
    </w:p>
    <w:p w14:paraId="484531D4" w14:textId="77777777" w:rsidR="00C745C3" w:rsidRDefault="00AC72C1">
      <w:pPr>
        <w:spacing w:line="360" w:lineRule="auto"/>
        <w:ind w:left="567" w:right="822"/>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21956650" w14:textId="77777777" w:rsidR="00C745C3" w:rsidRDefault="00AC72C1">
      <w:pPr>
        <w:spacing w:line="360" w:lineRule="auto"/>
        <w:ind w:left="567" w:right="822"/>
        <w:jc w:val="both"/>
        <w:rPr>
          <w:rFonts w:ascii="Palatino Linotype" w:eastAsia="Palatino Linotype" w:hAnsi="Palatino Linotype" w:cs="Palatino Linotype"/>
          <w:sz w:val="24"/>
          <w:szCs w:val="24"/>
        </w:rPr>
      </w:pPr>
      <w:r>
        <w:rPr>
          <w:rFonts w:ascii="Palatino Linotype" w:eastAsia="Palatino Linotype" w:hAnsi="Palatino Linotype" w:cs="Palatino Linotype"/>
          <w:i/>
        </w:rPr>
        <w:t xml:space="preserve">Lic. Joaquín Raúl Benítez Vera (SUPLENTE)” (sic) </w:t>
      </w:r>
    </w:p>
    <w:p w14:paraId="7B82CBCC" w14:textId="77777777" w:rsidR="00C745C3" w:rsidRDefault="00C745C3">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63D14EEA"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El Sujeto Obligado adjuntó a la respuesta el documento electrónico siguiente:</w:t>
      </w:r>
    </w:p>
    <w:p w14:paraId="6FCD3FF2"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i/>
          <w:color w:val="000000"/>
          <w:sz w:val="24"/>
          <w:szCs w:val="24"/>
        </w:rPr>
      </w:pPr>
    </w:p>
    <w:p w14:paraId="301B180F" w14:textId="77777777" w:rsidR="00C745C3" w:rsidRDefault="00AC72C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RESP.CIUD.0013.pdf: </w:t>
      </w:r>
      <w:r>
        <w:rPr>
          <w:rFonts w:ascii="Palatino Linotype" w:eastAsia="Palatino Linotype" w:hAnsi="Palatino Linotype" w:cs="Palatino Linotype"/>
          <w:color w:val="000000"/>
          <w:sz w:val="22"/>
          <w:szCs w:val="22"/>
        </w:rPr>
        <w:t>El documento contiene dos oficios, el primero es suscrito por el Suplente de la Unidad de Transparencia en el que indica que anexa la respuesta del Servidor Público Habilitado. Mientras que el segundo oficio es signado por la Coordinadora de Administración y Finanzas</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en el que menciona</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que no se encontró documento que brinde respuesta en los términos requeridos; sin embargo, la información pública de oficio relacionada con Licitación Pública Nacional 44074001-012-2023 podrá ser consultada en las direcciones electrónicas que proporciona.</w:t>
      </w:r>
    </w:p>
    <w:p w14:paraId="1A76B5B8" w14:textId="77777777" w:rsidR="00C745C3" w:rsidRDefault="00C745C3">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14:paraId="57260525"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sz w:val="24"/>
          <w:szCs w:val="24"/>
        </w:rPr>
      </w:pPr>
      <w:bookmarkStart w:id="1" w:name="_heading=h.30j0zll" w:colFirst="0" w:colLast="0"/>
      <w:bookmarkEnd w:id="1"/>
      <w:r>
        <w:rPr>
          <w:rFonts w:ascii="Palatino Linotype" w:eastAsia="Palatino Linotype" w:hAnsi="Palatino Linotype" w:cs="Palatino Linotype"/>
          <w:color w:val="000000"/>
          <w:sz w:val="24"/>
          <w:szCs w:val="24"/>
        </w:rPr>
        <w:lastRenderedPageBreak/>
        <w:t xml:space="preserve">El siete (7) de febrero de dos mil veinticuatro, </w:t>
      </w:r>
      <w:r>
        <w:rPr>
          <w:rFonts w:ascii="Palatino Linotype" w:eastAsia="Palatino Linotype" w:hAnsi="Palatino Linotype" w:cs="Palatino Linotype"/>
          <w:b/>
          <w:color w:val="000000"/>
          <w:sz w:val="24"/>
          <w:szCs w:val="24"/>
        </w:rPr>
        <w:t>EL RECURRENTE</w:t>
      </w:r>
      <w:r>
        <w:rPr>
          <w:rFonts w:ascii="Palatino Linotype" w:eastAsia="Palatino Linotype" w:hAnsi="Palatino Linotype" w:cs="Palatino Linotype"/>
          <w:color w:val="000000"/>
          <w:sz w:val="24"/>
          <w:szCs w:val="24"/>
        </w:rPr>
        <w:t xml:space="preserve"> interpuso el recurso de revisión, en contra de la respuesta y señaló como:</w:t>
      </w:r>
    </w:p>
    <w:p w14:paraId="68A04A36" w14:textId="77777777" w:rsidR="00C745C3" w:rsidRDefault="00C745C3">
      <w:pPr>
        <w:pBdr>
          <w:top w:val="nil"/>
          <w:left w:val="nil"/>
          <w:bottom w:val="nil"/>
          <w:right w:val="nil"/>
          <w:between w:val="nil"/>
        </w:pBdr>
        <w:ind w:left="720"/>
        <w:rPr>
          <w:rFonts w:ascii="Palatino Linotype" w:eastAsia="Palatino Linotype" w:hAnsi="Palatino Linotype" w:cs="Palatino Linotype"/>
          <w:b/>
          <w:color w:val="000000"/>
          <w:sz w:val="24"/>
          <w:szCs w:val="24"/>
        </w:rPr>
      </w:pPr>
    </w:p>
    <w:p w14:paraId="684BD76D" w14:textId="77777777" w:rsidR="00C745C3" w:rsidRDefault="00AC72C1">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 xml:space="preserve">Acto impugnado: </w:t>
      </w: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sz w:val="22"/>
          <w:szCs w:val="22"/>
        </w:rPr>
        <w:t>RESPUESTA</w:t>
      </w:r>
      <w:r>
        <w:rPr>
          <w:rFonts w:ascii="Palatino Linotype" w:eastAsia="Palatino Linotype" w:hAnsi="Palatino Linotype" w:cs="Palatino Linotype"/>
          <w:i/>
          <w:color w:val="000000"/>
          <w:sz w:val="24"/>
          <w:szCs w:val="24"/>
        </w:rPr>
        <w:t>” (sic)</w:t>
      </w:r>
    </w:p>
    <w:p w14:paraId="40945A52" w14:textId="77777777" w:rsidR="00C745C3" w:rsidRDefault="00AC72C1">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4"/>
          <w:szCs w:val="24"/>
        </w:rPr>
        <w:t>Motivos o razones de inconformidad</w:t>
      </w:r>
      <w:r>
        <w:rPr>
          <w:rFonts w:ascii="Palatino Linotype" w:eastAsia="Palatino Linotype" w:hAnsi="Palatino Linotype" w:cs="Palatino Linotype"/>
          <w:b/>
          <w:color w:val="000000"/>
          <w:sz w:val="22"/>
          <w:szCs w:val="22"/>
        </w:rPr>
        <w:t>: “</w:t>
      </w:r>
      <w:r>
        <w:rPr>
          <w:rFonts w:ascii="Palatino Linotype" w:eastAsia="Palatino Linotype" w:hAnsi="Palatino Linotype" w:cs="Palatino Linotype"/>
          <w:color w:val="000000"/>
          <w:sz w:val="22"/>
          <w:szCs w:val="22"/>
        </w:rPr>
        <w:t>Negativa</w:t>
      </w: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i/>
          <w:color w:val="000000"/>
          <w:sz w:val="22"/>
          <w:szCs w:val="22"/>
        </w:rPr>
        <w:t xml:space="preserve"> (sic)</w:t>
      </w:r>
    </w:p>
    <w:p w14:paraId="1659E0F2" w14:textId="77777777" w:rsidR="00C745C3" w:rsidRDefault="00C745C3">
      <w:pPr>
        <w:spacing w:line="360" w:lineRule="auto"/>
        <w:jc w:val="both"/>
        <w:rPr>
          <w:rFonts w:ascii="Palatino Linotype" w:eastAsia="Palatino Linotype" w:hAnsi="Palatino Linotype" w:cs="Palatino Linotype"/>
          <w:i/>
          <w:sz w:val="24"/>
          <w:szCs w:val="24"/>
        </w:rPr>
      </w:pPr>
    </w:p>
    <w:p w14:paraId="11175FA3" w14:textId="77777777" w:rsidR="00C745C3" w:rsidRDefault="00AC72C1">
      <w:pPr>
        <w:numPr>
          <w:ilvl w:val="0"/>
          <w:numId w:val="7"/>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Se registró el recurso revisión bajo el número de expediente al rubro indicado, asimismo con fundamento en lo dispuesto por el artículo 185 fracción I de la </w:t>
      </w:r>
      <w:r>
        <w:rPr>
          <w:rFonts w:ascii="Palatino Linotype" w:eastAsia="Palatino Linotype" w:hAnsi="Palatino Linotype" w:cs="Palatino Linotype"/>
          <w:b/>
          <w:color w:val="000000"/>
          <w:sz w:val="24"/>
          <w:szCs w:val="24"/>
        </w:rPr>
        <w:t xml:space="preserve">Ley de Transparencia y Acceso a la Información Pública del Estado de México y Municipios </w:t>
      </w:r>
      <w:r>
        <w:rPr>
          <w:rFonts w:ascii="Palatino Linotype" w:eastAsia="Palatino Linotype" w:hAnsi="Palatino Linotype" w:cs="Palatino Linotype"/>
          <w:color w:val="000000"/>
          <w:sz w:val="24"/>
          <w:szCs w:val="24"/>
        </w:rPr>
        <w:t xml:space="preserve">se turnó a la </w:t>
      </w:r>
      <w:r>
        <w:rPr>
          <w:rFonts w:ascii="Palatino Linotype" w:eastAsia="Palatino Linotype" w:hAnsi="Palatino Linotype" w:cs="Palatino Linotype"/>
          <w:b/>
          <w:color w:val="000000"/>
          <w:sz w:val="24"/>
          <w:szCs w:val="24"/>
        </w:rPr>
        <w:t xml:space="preserve">Comisionada María del Rosario Mejía Ayala, </w:t>
      </w:r>
      <w:r>
        <w:rPr>
          <w:rFonts w:ascii="Palatino Linotype" w:eastAsia="Palatino Linotype" w:hAnsi="Palatino Linotype" w:cs="Palatino Linotype"/>
          <w:color w:val="000000"/>
          <w:sz w:val="24"/>
          <w:szCs w:val="24"/>
        </w:rPr>
        <w:t>con el objeto de su análisis.</w:t>
      </w:r>
    </w:p>
    <w:p w14:paraId="48BC9AC6"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068A7E5E"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 xml:space="preserve">La Comisionada Ponente con fundamento en lo dispuesto por el artículo 185 fracción II de la ley de la materia, a través del acuerdo de admisión de fecha diecinueve (19) de febrero de dos mil veinticuatro, puso a disposición de las partes el expediente electrónico vía </w:t>
      </w:r>
      <w:r>
        <w:rPr>
          <w:rFonts w:ascii="Palatino Linotype" w:eastAsia="Palatino Linotype" w:hAnsi="Palatino Linotype" w:cs="Palatino Linotype"/>
          <w:b/>
          <w:color w:val="000000"/>
          <w:sz w:val="24"/>
          <w:szCs w:val="24"/>
        </w:rPr>
        <w:t xml:space="preserve">SAIMEX </w:t>
      </w:r>
      <w:r>
        <w:rPr>
          <w:rFonts w:ascii="Palatino Linotype" w:eastAsia="Palatino Linotype" w:hAnsi="Palatino Linotype" w:cs="Palatino Linotype"/>
          <w:color w:val="000000"/>
          <w:sz w:val="24"/>
          <w:szCs w:val="24"/>
        </w:rPr>
        <w:t xml:space="preserve">a efecto de que en un plazo máximo de siete días manifestaran lo que a derecho convinieran, ofrecieran pruebas y alegatos según corresponda al caso concreto, de esta forma para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presentara el informe justificado procedente.</w:t>
      </w:r>
    </w:p>
    <w:p w14:paraId="0A1E86DC" w14:textId="77777777" w:rsidR="00C745C3" w:rsidRDefault="00C745C3">
      <w:pPr>
        <w:pBdr>
          <w:top w:val="nil"/>
          <w:left w:val="nil"/>
          <w:bottom w:val="nil"/>
          <w:right w:val="nil"/>
          <w:between w:val="nil"/>
        </w:pBdr>
        <w:ind w:left="720"/>
        <w:rPr>
          <w:rFonts w:ascii="Palatino Linotype" w:eastAsia="Palatino Linotype" w:hAnsi="Palatino Linotype" w:cs="Palatino Linotype"/>
          <w:i/>
          <w:color w:val="000000"/>
          <w:sz w:val="24"/>
          <w:szCs w:val="24"/>
        </w:rPr>
      </w:pPr>
    </w:p>
    <w:p w14:paraId="50286DED" w14:textId="77777777" w:rsidR="00C745C3" w:rsidRDefault="00AC72C1">
      <w:pPr>
        <w:numPr>
          <w:ilvl w:val="0"/>
          <w:numId w:val="7"/>
        </w:numPr>
        <w:tabs>
          <w:tab w:val="left" w:pos="284"/>
        </w:tabs>
        <w:spacing w:before="240" w:after="240" w:line="360" w:lineRule="auto"/>
        <w:ind w:left="0" w:firstLine="0"/>
        <w:jc w:val="both"/>
        <w:rPr>
          <w:rFonts w:ascii="Palatino Linotype" w:eastAsia="Palatino Linotype" w:hAnsi="Palatino Linotype" w:cs="Palatino Linotype"/>
          <w:i/>
          <w:color w:val="000000"/>
          <w:sz w:val="32"/>
          <w:szCs w:val="32"/>
        </w:rPr>
      </w:pPr>
      <w:r>
        <w:rPr>
          <w:rFonts w:ascii="Palatino Linotype" w:eastAsia="Palatino Linotype" w:hAnsi="Palatino Linotype" w:cs="Palatino Linotype"/>
          <w:color w:val="000000"/>
          <w:sz w:val="24"/>
          <w:szCs w:val="24"/>
        </w:rPr>
        <w:lastRenderedPageBreak/>
        <w:t xml:space="preserve">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el veintidós (22) de febrero de dos mil veinticuatro, el cual se puso a la vista del Recurrente el veintiuno (21) de agosto de dos mil veinticuatro; sin embargo, se describe su contenido medular, siendo el siguiente:</w:t>
      </w:r>
    </w:p>
    <w:p w14:paraId="3A0E0C4B" w14:textId="77777777" w:rsidR="00C745C3" w:rsidRDefault="00AC72C1">
      <w:pPr>
        <w:numPr>
          <w:ilvl w:val="0"/>
          <w:numId w:val="4"/>
        </w:numPr>
        <w:pBdr>
          <w:top w:val="nil"/>
          <w:left w:val="nil"/>
          <w:bottom w:val="nil"/>
          <w:right w:val="nil"/>
          <w:between w:val="nil"/>
        </w:pBdr>
        <w:tabs>
          <w:tab w:val="left" w:pos="284"/>
        </w:tabs>
        <w:spacing w:before="240" w:line="360" w:lineRule="auto"/>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RESPUESTA RR, SOL.00013.pdf: </w:t>
      </w:r>
      <w:r>
        <w:rPr>
          <w:rFonts w:ascii="Palatino Linotype" w:eastAsia="Palatino Linotype" w:hAnsi="Palatino Linotype" w:cs="Palatino Linotype"/>
          <w:i/>
          <w:color w:val="000000"/>
          <w:sz w:val="22"/>
          <w:szCs w:val="22"/>
        </w:rPr>
        <w:t>Documento suscrito por la Coordinadora de Administración y Finanzas en el que ratifica su respuesta inicial añadiendo una imagen de COMPRAMEX.</w:t>
      </w:r>
    </w:p>
    <w:p w14:paraId="47FA6200" w14:textId="77777777" w:rsidR="00C745C3" w:rsidRDefault="00AC72C1">
      <w:pPr>
        <w:numPr>
          <w:ilvl w:val="0"/>
          <w:numId w:val="4"/>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INFORME DE JUSTIFICACIÓN SOL.000013: </w:t>
      </w:r>
      <w:r>
        <w:rPr>
          <w:rFonts w:ascii="Palatino Linotype" w:eastAsia="Palatino Linotype" w:hAnsi="Palatino Linotype" w:cs="Palatino Linotype"/>
          <w:color w:val="000000"/>
          <w:sz w:val="22"/>
          <w:szCs w:val="22"/>
        </w:rPr>
        <w:t>Documento signado por el Suplente del Titular de la Unidad de Transparencia en el que indica que los Sujetos Obligados solo proporcionan la información pública que obre en sus archivos.</w:t>
      </w:r>
    </w:p>
    <w:p w14:paraId="6B8E8226" w14:textId="77777777" w:rsidR="00C745C3" w:rsidRDefault="00C745C3">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b/>
          <w:i/>
          <w:color w:val="000000"/>
          <w:sz w:val="22"/>
          <w:szCs w:val="22"/>
        </w:rPr>
      </w:pPr>
    </w:p>
    <w:p w14:paraId="5523D813"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diecinueve (19) de marzo de dos mil veinticuatro, la Comisionada Ponente notificó el acuerdo de ampliación para emitir resolución.</w:t>
      </w:r>
    </w:p>
    <w:p w14:paraId="5B253CDF"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3E9D2D66"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veintisiete (27) de agosto de dos mil veinticuatro se notificó el acuerdo mediante el cual se decretó el cierre de instrucción.</w:t>
      </w:r>
    </w:p>
    <w:p w14:paraId="2EE37B98" w14:textId="77777777" w:rsidR="00C745C3" w:rsidRDefault="00C745C3">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68095261"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4"/>
          <w:szCs w:val="24"/>
        </w:rPr>
        <w:t xml:space="preserve">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w:t>
      </w:r>
      <w:r>
        <w:rPr>
          <w:rFonts w:ascii="Palatino Linotype" w:eastAsia="Palatino Linotype" w:hAnsi="Palatino Linotype" w:cs="Palatino Linotype"/>
          <w:color w:val="000000"/>
          <w:sz w:val="24"/>
          <w:szCs w:val="24"/>
        </w:rPr>
        <w:lastRenderedPageBreak/>
        <w:t>técnicas y humanas del personal encargado de la elaboración de resoluciones a dichos medios de impugnación.</w:t>
      </w:r>
    </w:p>
    <w:p w14:paraId="48AA3D1D"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45F74E43"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B823A2E"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0DFEC863"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5A30FF" w14:textId="77777777" w:rsidR="00C745C3" w:rsidRDefault="00C745C3">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59164E7F"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7CE5041"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50E9B098"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0288F09"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1F04219D" w14:textId="77777777" w:rsidR="00C745C3" w:rsidRDefault="00AC72C1">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      Complejidad del asunto: La complejidad de la prueba, la pluralidad de sujetos procesales, el tiempo transcurrido, las características y contexto del recurso.</w:t>
      </w:r>
    </w:p>
    <w:p w14:paraId="7C8A599A" w14:textId="77777777" w:rsidR="00C745C3" w:rsidRDefault="00AC72C1">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b)     Actividad Procesal del interesado: Acciones u omisiones del interesado.</w:t>
      </w:r>
    </w:p>
    <w:p w14:paraId="629C536B" w14:textId="77777777" w:rsidR="00C745C3" w:rsidRDefault="00AC72C1">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      Conducta de la Autoridad: Las Acciones u omisiones realizadas en el procedimiento. Así como si la autoridad actuó con la debida diligencia.</w:t>
      </w:r>
    </w:p>
    <w:p w14:paraId="22390E0F" w14:textId="77777777" w:rsidR="00C745C3" w:rsidRDefault="00AC72C1">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 La afectación generada en la situación jurídica de la persona involucrada en el proceso: Violación a sus derechos humanos.</w:t>
      </w:r>
    </w:p>
    <w:p w14:paraId="01DD154B"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1986886F"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92CC7EB"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25FE58B1"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Argumento que encuentra sustento en la jurisprudencia P./J. 32/92 emitida por el Pleno de la Suprema Corte de Justicia de la Nación de rubro “TÉRMINOS </w:t>
      </w:r>
      <w:r>
        <w:rPr>
          <w:rFonts w:ascii="Palatino Linotype" w:eastAsia="Palatino Linotype" w:hAnsi="Palatino Linotype" w:cs="Palatino Linotype"/>
          <w:color w:val="000000"/>
          <w:sz w:val="24"/>
          <w:szCs w:val="24"/>
        </w:rPr>
        <w:lastRenderedPageBreak/>
        <w:t>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99D3B5E" w14:textId="77777777" w:rsidR="00C745C3" w:rsidRDefault="00C745C3">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0FFB606A"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9AE7F20"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764FC670"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Al respecto, también son de considerar los criterios sostenidos por el Cuarto Tribunal Colegiado en Materia Administrativa del Primer Circuito, cuyos rubros y datos de identificación son los siguientes:</w:t>
      </w:r>
    </w:p>
    <w:p w14:paraId="6D7CB264" w14:textId="77777777" w:rsidR="00C745C3" w:rsidRDefault="00C745C3">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63D4A255" w14:textId="77777777" w:rsidR="00C745C3" w:rsidRDefault="00AC72C1">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“PLAZO RAZONABLE PARA RESOLVER. DIMENSIÓN Y EFECTOS DE ESTE CONCEPTO CUANDO SE ADUCE EXCESIVA CARGA DE TRABAJO.” consultable en el Seminario Judicial de la Federación y su gaceta, con el registro digital 2002351.</w:t>
      </w:r>
    </w:p>
    <w:p w14:paraId="6F648865" w14:textId="77777777" w:rsidR="00C745C3" w:rsidRDefault="00AC72C1">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“PLAZO RAZONABLE PARA RESOLVER. CONCEPTO Y ELEMENTOS QUE LO INTEGRAN A LA LUZ DEL DERECHO INTERNACIONAL DE LOS DERECHOS HUMANOS.”, visible en el Seminario Judicial de la Federación y su gaceta, con el registro digital 2002350.</w:t>
      </w:r>
    </w:p>
    <w:p w14:paraId="7ED16BA5" w14:textId="77777777" w:rsidR="00C745C3" w:rsidRDefault="00C745C3">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sz w:val="24"/>
          <w:szCs w:val="24"/>
        </w:rPr>
      </w:pPr>
    </w:p>
    <w:p w14:paraId="431B9AF1"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1513EF16" w14:textId="77777777" w:rsidR="00C745C3" w:rsidRDefault="00AC72C1">
      <w:pPr>
        <w:pStyle w:val="Ttulo1"/>
        <w:jc w:val="center"/>
        <w:rPr>
          <w:rFonts w:ascii="Palatino Linotype" w:eastAsia="Palatino Linotype" w:hAnsi="Palatino Linotype" w:cs="Palatino Linotype"/>
          <w:b/>
          <w:color w:val="000000"/>
          <w:sz w:val="24"/>
          <w:szCs w:val="24"/>
        </w:rPr>
      </w:pPr>
      <w:bookmarkStart w:id="2" w:name="_heading=h.1fob9te" w:colFirst="0" w:colLast="0"/>
      <w:bookmarkEnd w:id="2"/>
      <w:r>
        <w:rPr>
          <w:rFonts w:ascii="Palatino Linotype" w:eastAsia="Palatino Linotype" w:hAnsi="Palatino Linotype" w:cs="Palatino Linotype"/>
          <w:b/>
          <w:color w:val="000000"/>
          <w:sz w:val="24"/>
          <w:szCs w:val="24"/>
        </w:rPr>
        <w:t xml:space="preserve">CONSIDERANDO </w:t>
      </w:r>
    </w:p>
    <w:p w14:paraId="38C7E92C" w14:textId="77777777" w:rsidR="00C745C3" w:rsidRDefault="00C745C3">
      <w:pPr>
        <w:rPr>
          <w:rFonts w:ascii="Palatino Linotype" w:eastAsia="Palatino Linotype" w:hAnsi="Palatino Linotype" w:cs="Palatino Linotype"/>
          <w:sz w:val="24"/>
          <w:szCs w:val="24"/>
        </w:rPr>
      </w:pPr>
    </w:p>
    <w:p w14:paraId="68491014" w14:textId="77777777" w:rsidR="00C745C3" w:rsidRDefault="00AC72C1">
      <w:pPr>
        <w:pStyle w:val="Ttulo2"/>
        <w:rPr>
          <w:rFonts w:ascii="Palatino Linotype" w:eastAsia="Palatino Linotype" w:hAnsi="Palatino Linotype" w:cs="Palatino Linotype"/>
          <w:b/>
          <w:color w:val="000000"/>
          <w:sz w:val="24"/>
          <w:szCs w:val="24"/>
        </w:rPr>
      </w:pPr>
      <w:bookmarkStart w:id="3" w:name="_heading=h.3znysh7" w:colFirst="0" w:colLast="0"/>
      <w:bookmarkEnd w:id="3"/>
      <w:r>
        <w:rPr>
          <w:rFonts w:ascii="Palatino Linotype" w:eastAsia="Palatino Linotype" w:hAnsi="Palatino Linotype" w:cs="Palatino Linotype"/>
          <w:b/>
          <w:color w:val="000000"/>
          <w:sz w:val="24"/>
          <w:szCs w:val="24"/>
        </w:rPr>
        <w:t>PRIMERO. De la competencia</w:t>
      </w:r>
    </w:p>
    <w:p w14:paraId="55FAB9F6" w14:textId="77777777" w:rsidR="00C745C3" w:rsidRDefault="00C745C3"/>
    <w:p w14:paraId="0EBD0563" w14:textId="77777777" w:rsidR="00C745C3" w:rsidRDefault="00AC72C1">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Pr>
          <w:rFonts w:ascii="Palatino Linotype" w:eastAsia="Palatino Linotype" w:hAnsi="Palatino Linotype" w:cs="Palatino Linotype"/>
          <w:b/>
          <w:color w:val="000000"/>
          <w:sz w:val="24"/>
          <w:szCs w:val="24"/>
        </w:rPr>
        <w:t>Constitución Política de los Estados Unidos Mexicanos</w:t>
      </w:r>
      <w:r>
        <w:rPr>
          <w:rFonts w:ascii="Palatino Linotype" w:eastAsia="Palatino Linotype" w:hAnsi="Palatino Linotype" w:cs="Palatino Linotype"/>
          <w:color w:val="000000"/>
          <w:sz w:val="24"/>
          <w:szCs w:val="24"/>
        </w:rPr>
        <w:t xml:space="preserve">; 5, párrafos </w:t>
      </w:r>
      <w:r>
        <w:rPr>
          <w:rFonts w:ascii="Palatino Linotype" w:eastAsia="Palatino Linotype" w:hAnsi="Palatino Linotype" w:cs="Palatino Linotype"/>
          <w:color w:val="222222"/>
          <w:sz w:val="24"/>
          <w:szCs w:val="24"/>
        </w:rPr>
        <w:t xml:space="preserve">trigésimo </w:t>
      </w:r>
      <w:r>
        <w:rPr>
          <w:rFonts w:ascii="Palatino Linotype" w:eastAsia="Palatino Linotype" w:hAnsi="Palatino Linotype" w:cs="Palatino Linotype"/>
          <w:color w:val="222222"/>
          <w:sz w:val="24"/>
          <w:szCs w:val="24"/>
        </w:rPr>
        <w:lastRenderedPageBreak/>
        <w:t>segundo, trigésimo tercero y trigésimo cuarto fracciones</w:t>
      </w:r>
      <w:r>
        <w:rPr>
          <w:rFonts w:ascii="Palatino Linotype" w:eastAsia="Palatino Linotype" w:hAnsi="Palatino Linotype" w:cs="Palatino Linotype"/>
          <w:color w:val="000000"/>
          <w:sz w:val="24"/>
          <w:szCs w:val="24"/>
        </w:rPr>
        <w:t xml:space="preserve"> IV y V de la </w:t>
      </w:r>
      <w:r>
        <w:rPr>
          <w:rFonts w:ascii="Palatino Linotype" w:eastAsia="Palatino Linotype" w:hAnsi="Palatino Linotype" w:cs="Palatino Linotype"/>
          <w:b/>
          <w:color w:val="000000"/>
          <w:sz w:val="24"/>
          <w:szCs w:val="24"/>
        </w:rPr>
        <w:t>Constitución Política del Estado Libre y Soberano de México</w:t>
      </w:r>
      <w:r>
        <w:rPr>
          <w:rFonts w:ascii="Palatino Linotype" w:eastAsia="Palatino Linotype" w:hAnsi="Palatino Linotype" w:cs="Palatino Linotype"/>
          <w:color w:val="000000"/>
          <w:sz w:val="24"/>
          <w:szCs w:val="24"/>
        </w:rPr>
        <w:t xml:space="preserve">; artículos 1, 2 fracción II, 13, 29, 36 fracciones I y II, 176, 178, 179, 181 párrafo tercero y 185 de la </w:t>
      </w:r>
      <w:r>
        <w:rPr>
          <w:rFonts w:ascii="Palatino Linotype" w:eastAsia="Palatino Linotype" w:hAnsi="Palatino Linotype" w:cs="Palatino Linotype"/>
          <w:b/>
          <w:color w:val="000000"/>
          <w:sz w:val="24"/>
          <w:szCs w:val="24"/>
        </w:rPr>
        <w:t>Ley de Transparencia y Acceso a la Información Pública del Estado de México y Municipios</w:t>
      </w:r>
      <w:r>
        <w:rPr>
          <w:rFonts w:ascii="Palatino Linotype" w:eastAsia="Palatino Linotype" w:hAnsi="Palatino Linotype" w:cs="Palatino Linotype"/>
          <w:color w:val="000000"/>
          <w:sz w:val="24"/>
          <w:szCs w:val="24"/>
        </w:rPr>
        <w:t xml:space="preserve">; y 7, 9 fracciones I y XXIII, y 11 del </w:t>
      </w:r>
      <w:r>
        <w:rPr>
          <w:rFonts w:ascii="Palatino Linotype" w:eastAsia="Palatino Linotype" w:hAnsi="Palatino Linotype" w:cs="Palatino Linotype"/>
          <w:b/>
          <w:color w:val="000000"/>
          <w:sz w:val="24"/>
          <w:szCs w:val="24"/>
        </w:rPr>
        <w:t>Reglamento Interior del Instituto de Transparencia, Acceso a la Información Pública y Protección de Datos Personales del Estado de México y Municipios</w:t>
      </w:r>
      <w:r>
        <w:rPr>
          <w:rFonts w:ascii="Palatino Linotype" w:eastAsia="Palatino Linotype" w:hAnsi="Palatino Linotype" w:cs="Palatino Linotype"/>
          <w:color w:val="000000"/>
          <w:sz w:val="24"/>
          <w:szCs w:val="24"/>
        </w:rPr>
        <w:t>.</w:t>
      </w:r>
    </w:p>
    <w:p w14:paraId="0484537A" w14:textId="77777777" w:rsidR="00C745C3" w:rsidRDefault="00C745C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sz w:val="24"/>
          <w:szCs w:val="24"/>
        </w:rPr>
      </w:pPr>
    </w:p>
    <w:p w14:paraId="63831EC0" w14:textId="77777777" w:rsidR="00C745C3" w:rsidRDefault="00AC72C1">
      <w:pPr>
        <w:pStyle w:val="Ttulo2"/>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SEGUNDO. De la oportunidad y procedencia.</w:t>
      </w:r>
    </w:p>
    <w:p w14:paraId="383F84C4" w14:textId="77777777" w:rsidR="00C745C3" w:rsidRDefault="00C745C3">
      <w:pPr>
        <w:rPr>
          <w:rFonts w:ascii="Palatino Linotype" w:eastAsia="Palatino Linotype" w:hAnsi="Palatino Linotype" w:cs="Palatino Linotype"/>
        </w:rPr>
      </w:pPr>
    </w:p>
    <w:p w14:paraId="77D524F2" w14:textId="77777777" w:rsidR="00C745C3" w:rsidRDefault="00AC72C1">
      <w:pPr>
        <w:numPr>
          <w:ilvl w:val="0"/>
          <w:numId w:val="7"/>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sz w:val="24"/>
          <w:szCs w:val="24"/>
        </w:rPr>
      </w:pPr>
      <w:bookmarkStart w:id="5" w:name="_heading=h.tyjcwt" w:colFirst="0" w:colLast="0"/>
      <w:bookmarkEnd w:id="5"/>
      <w:r>
        <w:rPr>
          <w:rFonts w:ascii="Palatino Linotype" w:eastAsia="Palatino Linotype" w:hAnsi="Palatino Linotype" w:cs="Palatino Linotype"/>
          <w:color w:val="000000"/>
          <w:sz w:val="24"/>
          <w:szCs w:val="24"/>
        </w:rPr>
        <w:t xml:space="preserve">El medio de impugnación fue presentado a través del SAIMEX en el formato previamente aprobado para tal efecto y dentro del plazo legal de quince días hábiles otorgados; siendo así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entregó respuesta el treinta y uno (31) de enero de dos mil veinticuatro, de tal forma que el plazo para interponer el recurso de revisión transcurrió del uno (1) al veintidós (22) de febrero de dos mil veinticuatro, el recurso de revisión fue interpuesto el siete (7) de febrero de dos mil veinticuatro, éste se encuentra dentro de los márgenes temporales previstos en el artículo 178 de la Ley de Transparencia y Acceso a la Información Pública del Estado de México y Municipios</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vigente. </w:t>
      </w:r>
    </w:p>
    <w:p w14:paraId="46F75EA3" w14:textId="77777777" w:rsidR="00C745C3" w:rsidRDefault="00C745C3">
      <w:pPr>
        <w:tabs>
          <w:tab w:val="left" w:pos="426"/>
        </w:tabs>
        <w:spacing w:line="360" w:lineRule="auto"/>
        <w:ind w:right="49"/>
        <w:jc w:val="both"/>
        <w:rPr>
          <w:rFonts w:ascii="Palatino Linotype" w:eastAsia="Palatino Linotype" w:hAnsi="Palatino Linotype" w:cs="Palatino Linotype"/>
          <w:color w:val="000000"/>
          <w:sz w:val="22"/>
          <w:szCs w:val="22"/>
        </w:rPr>
      </w:pPr>
    </w:p>
    <w:p w14:paraId="1AF65D79" w14:textId="77777777" w:rsidR="00C745C3" w:rsidRDefault="00AC72C1">
      <w:pPr>
        <w:numPr>
          <w:ilvl w:val="0"/>
          <w:numId w:val="7"/>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786C9EA8" w14:textId="77777777" w:rsidR="00C745C3" w:rsidRDefault="00AC72C1">
      <w:pPr>
        <w:pStyle w:val="Ttulo1"/>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TERCERO. Planteamiento de la Litis </w:t>
      </w:r>
    </w:p>
    <w:p w14:paraId="7A0F799B" w14:textId="77777777" w:rsidR="00C745C3" w:rsidRDefault="00AC72C1">
      <w:pPr>
        <w:numPr>
          <w:ilvl w:val="0"/>
          <w:numId w:val="7"/>
        </w:numPr>
        <w:pBdr>
          <w:top w:val="nil"/>
          <w:left w:val="nil"/>
          <w:bottom w:val="nil"/>
          <w:right w:val="nil"/>
          <w:between w:val="nil"/>
        </w:pBdr>
        <w:spacing w:before="240" w:line="360" w:lineRule="auto"/>
        <w:ind w:left="0" w:right="49" w:firstLine="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El recurrente solicitó la siguiente información:</w:t>
      </w:r>
    </w:p>
    <w:p w14:paraId="3EB922C6" w14:textId="77777777" w:rsidR="00C745C3" w:rsidRDefault="00C745C3">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sz w:val="24"/>
          <w:szCs w:val="24"/>
        </w:rPr>
      </w:pPr>
    </w:p>
    <w:p w14:paraId="5F77DC52" w14:textId="77777777" w:rsidR="00C745C3" w:rsidRDefault="00AC72C1">
      <w:pPr>
        <w:numPr>
          <w:ilvl w:val="0"/>
          <w:numId w:val="4"/>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4"/>
          <w:szCs w:val="24"/>
        </w:rPr>
      </w:pPr>
      <w:bookmarkStart w:id="6" w:name="_heading=h.3dy6vkm" w:colFirst="0" w:colLast="0"/>
      <w:bookmarkEnd w:id="6"/>
      <w:r>
        <w:rPr>
          <w:rFonts w:ascii="Palatino Linotype" w:eastAsia="Palatino Linotype" w:hAnsi="Palatino Linotype" w:cs="Palatino Linotype"/>
          <w:color w:val="000000"/>
          <w:sz w:val="24"/>
          <w:szCs w:val="24"/>
        </w:rPr>
        <w:t>El nombre del servidor público que elaboro la bases de la licitación publica nacional número 44074001-012-2023 efectuada por los SEIEM</w:t>
      </w:r>
    </w:p>
    <w:p w14:paraId="144C2031" w14:textId="77777777" w:rsidR="00C745C3" w:rsidRDefault="00C745C3">
      <w:pPr>
        <w:pBdr>
          <w:top w:val="nil"/>
          <w:left w:val="nil"/>
          <w:bottom w:val="nil"/>
          <w:right w:val="nil"/>
          <w:between w:val="nil"/>
        </w:pBdr>
        <w:tabs>
          <w:tab w:val="left" w:pos="284"/>
        </w:tabs>
        <w:spacing w:line="360" w:lineRule="auto"/>
        <w:ind w:left="567"/>
        <w:jc w:val="both"/>
        <w:rPr>
          <w:rFonts w:ascii="Palatino Linotype" w:eastAsia="Palatino Linotype" w:hAnsi="Palatino Linotype" w:cs="Palatino Linotype"/>
          <w:color w:val="000000"/>
          <w:sz w:val="24"/>
          <w:szCs w:val="24"/>
        </w:rPr>
      </w:pPr>
    </w:p>
    <w:p w14:paraId="477BA894" w14:textId="77777777" w:rsidR="00C745C3" w:rsidRDefault="00AC72C1">
      <w:pPr>
        <w:numPr>
          <w:ilvl w:val="0"/>
          <w:numId w:val="7"/>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El Sujeto Obligado refirió que no existe la obligación de generar documentos ad hoc, además de que la información pública de oficio puede ser consultada en la página del IPOMEX, remitiendo la dirección electrónica correspondiente.</w:t>
      </w:r>
    </w:p>
    <w:p w14:paraId="6DFF191E" w14:textId="77777777" w:rsidR="00C745C3" w:rsidRDefault="00AC72C1">
      <w:pPr>
        <w:numPr>
          <w:ilvl w:val="0"/>
          <w:numId w:val="7"/>
        </w:numPr>
        <w:tabs>
          <w:tab w:val="left" w:pos="284"/>
        </w:tabs>
        <w:spacing w:before="240" w:line="360" w:lineRule="auto"/>
        <w:ind w:left="0" w:firstLine="0"/>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El Recurrente se inconformó por la negativa de la información.</w:t>
      </w:r>
    </w:p>
    <w:p w14:paraId="6E738E8E" w14:textId="77777777" w:rsidR="00C745C3" w:rsidRDefault="00C745C3">
      <w:pPr>
        <w:tabs>
          <w:tab w:val="left" w:pos="284"/>
        </w:tabs>
        <w:spacing w:line="360" w:lineRule="auto"/>
        <w:jc w:val="both"/>
        <w:rPr>
          <w:rFonts w:ascii="Palatino Linotype" w:eastAsia="Palatino Linotype" w:hAnsi="Palatino Linotype" w:cs="Palatino Linotype"/>
          <w:sz w:val="24"/>
          <w:szCs w:val="24"/>
        </w:rPr>
      </w:pPr>
    </w:p>
    <w:p w14:paraId="6230C4C3" w14:textId="77777777" w:rsidR="00C745C3" w:rsidRDefault="00AC72C1">
      <w:pPr>
        <w:numPr>
          <w:ilvl w:val="0"/>
          <w:numId w:val="7"/>
        </w:numPr>
        <w:tabs>
          <w:tab w:val="left" w:pos="284"/>
        </w:tabs>
        <w:spacing w:line="360" w:lineRule="auto"/>
        <w:ind w:left="0" w:firstLine="0"/>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Por lo tanto, el presente recurso de revisión se circunscribe en determinar si se actualiza las causales de procedencia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contenidas en el artículo 179 fracciones I, relativo </w:t>
      </w:r>
      <w:r>
        <w:rPr>
          <w:rFonts w:ascii="Palatino Linotype" w:eastAsia="Palatino Linotype" w:hAnsi="Palatino Linotype" w:cs="Palatino Linotype"/>
          <w:sz w:val="24"/>
          <w:szCs w:val="24"/>
        </w:rPr>
        <w:lastRenderedPageBreak/>
        <w:t xml:space="preserve">a la negativa de la información, de la </w:t>
      </w:r>
      <w:r>
        <w:rPr>
          <w:rFonts w:ascii="Palatino Linotype" w:eastAsia="Palatino Linotype" w:hAnsi="Palatino Linotype" w:cs="Palatino Linotype"/>
          <w:b/>
          <w:sz w:val="24"/>
          <w:szCs w:val="24"/>
        </w:rPr>
        <w:t>Ley de Transparencia y Acceso a la Información Pública del Estado de México y Municipios</w:t>
      </w:r>
      <w:r>
        <w:rPr>
          <w:rFonts w:ascii="Palatino Linotype" w:eastAsia="Palatino Linotype" w:hAnsi="Palatino Linotype" w:cs="Palatino Linotype"/>
          <w:sz w:val="24"/>
          <w:szCs w:val="24"/>
        </w:rPr>
        <w:t>.</w:t>
      </w:r>
    </w:p>
    <w:p w14:paraId="03F94B54" w14:textId="77777777" w:rsidR="00C745C3" w:rsidRDefault="00C745C3">
      <w:pPr>
        <w:tabs>
          <w:tab w:val="left" w:pos="426"/>
        </w:tabs>
        <w:spacing w:line="360" w:lineRule="auto"/>
        <w:ind w:left="567" w:right="616"/>
        <w:jc w:val="both"/>
        <w:rPr>
          <w:rFonts w:ascii="Palatino Linotype" w:eastAsia="Palatino Linotype" w:hAnsi="Palatino Linotype" w:cs="Palatino Linotype"/>
          <w:i/>
          <w:color w:val="000000"/>
          <w:sz w:val="22"/>
          <w:szCs w:val="22"/>
        </w:rPr>
      </w:pPr>
    </w:p>
    <w:p w14:paraId="0DCB8ADE" w14:textId="77777777" w:rsidR="00C745C3" w:rsidRDefault="00AC72C1">
      <w:pPr>
        <w:pStyle w:val="Ttulo2"/>
        <w:tabs>
          <w:tab w:val="left" w:pos="426"/>
        </w:tabs>
        <w:rPr>
          <w:rFonts w:ascii="Palatino Linotype" w:eastAsia="Palatino Linotype" w:hAnsi="Palatino Linotype" w:cs="Palatino Linotype"/>
          <w:b/>
          <w:color w:val="000000"/>
          <w:sz w:val="24"/>
          <w:szCs w:val="24"/>
        </w:rPr>
      </w:pPr>
      <w:bookmarkStart w:id="7" w:name="_heading=h.1t3h5sf" w:colFirst="0" w:colLast="0"/>
      <w:bookmarkEnd w:id="7"/>
      <w:r>
        <w:rPr>
          <w:rFonts w:ascii="Palatino Linotype" w:eastAsia="Palatino Linotype" w:hAnsi="Palatino Linotype" w:cs="Palatino Linotype"/>
          <w:b/>
          <w:color w:val="000000"/>
          <w:sz w:val="24"/>
          <w:szCs w:val="24"/>
        </w:rPr>
        <w:t>CUARTO. Estudio y Resolución del asunto.</w:t>
      </w:r>
    </w:p>
    <w:p w14:paraId="549B26B6" w14:textId="77777777" w:rsidR="00C745C3" w:rsidRDefault="00C745C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4"/>
          <w:szCs w:val="24"/>
        </w:rPr>
      </w:pPr>
    </w:p>
    <w:p w14:paraId="5F28F992" w14:textId="77777777" w:rsidR="00C745C3" w:rsidRDefault="00AC72C1">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b/>
          <w:color w:val="000000"/>
          <w:sz w:val="24"/>
          <w:szCs w:val="24"/>
        </w:rPr>
      </w:pPr>
      <w:bookmarkStart w:id="8" w:name="_heading=h.4d34og8" w:colFirst="0" w:colLast="0"/>
      <w:bookmarkEnd w:id="8"/>
      <w:r>
        <w:rPr>
          <w:rFonts w:ascii="Palatino Linotype" w:eastAsia="Palatino Linotype" w:hAnsi="Palatino Linotype" w:cs="Palatino Linotype"/>
          <w:b/>
          <w:color w:val="000000"/>
          <w:sz w:val="24"/>
          <w:szCs w:val="24"/>
        </w:rPr>
        <w:t>I. De la atención a la solicitud de información.</w:t>
      </w:r>
    </w:p>
    <w:p w14:paraId="41FB2DA1" w14:textId="77777777" w:rsidR="00C745C3" w:rsidRDefault="00AC72C1">
      <w:pPr>
        <w:pStyle w:val="Ttulo2"/>
        <w:numPr>
          <w:ilvl w:val="1"/>
          <w:numId w:val="7"/>
        </w:numPr>
        <w:spacing w:line="259" w:lineRule="auto"/>
        <w:ind w:left="993" w:hanging="360"/>
        <w:rPr>
          <w:rFonts w:ascii="Palatino Linotype" w:eastAsia="Palatino Linotype" w:hAnsi="Palatino Linotype" w:cs="Palatino Linotype"/>
          <w:b/>
          <w:color w:val="000000"/>
          <w:sz w:val="24"/>
          <w:szCs w:val="24"/>
        </w:rPr>
      </w:pPr>
      <w:bookmarkStart w:id="9" w:name="_heading=h.2s8eyo1" w:colFirst="0" w:colLast="0"/>
      <w:bookmarkEnd w:id="9"/>
      <w:r>
        <w:rPr>
          <w:rFonts w:ascii="Palatino Linotype" w:eastAsia="Palatino Linotype" w:hAnsi="Palatino Linotype" w:cs="Palatino Linotype"/>
          <w:b/>
          <w:color w:val="000000"/>
          <w:sz w:val="24"/>
          <w:szCs w:val="24"/>
        </w:rPr>
        <w:t>De la fuente obligacional</w:t>
      </w:r>
    </w:p>
    <w:p w14:paraId="5C12604A" w14:textId="77777777" w:rsidR="00C745C3" w:rsidRDefault="00C745C3">
      <w:pPr>
        <w:rPr>
          <w:rFonts w:ascii="Palatino Linotype" w:eastAsia="Palatino Linotype" w:hAnsi="Palatino Linotype" w:cs="Palatino Linotype"/>
          <w:sz w:val="24"/>
          <w:szCs w:val="24"/>
        </w:rPr>
      </w:pPr>
    </w:p>
    <w:p w14:paraId="4804D8D0" w14:textId="77777777" w:rsidR="00C745C3" w:rsidRDefault="00AC72C1">
      <w:pPr>
        <w:numPr>
          <w:ilvl w:val="0"/>
          <w:numId w:val="7"/>
        </w:numPr>
        <w:spacing w:line="360" w:lineRule="auto"/>
        <w:ind w:left="0" w:right="34"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Pr>
          <w:rFonts w:ascii="Palatino Linotype" w:eastAsia="Palatino Linotype" w:hAnsi="Palatino Linotype" w:cs="Palatino Linotype"/>
          <w:b/>
          <w:color w:val="000000"/>
          <w:sz w:val="24"/>
          <w:szCs w:val="24"/>
        </w:rPr>
        <w:t xml:space="preserve">Constitución Política de los Estados Unidos Mexicanos </w:t>
      </w:r>
      <w:r>
        <w:rPr>
          <w:rFonts w:ascii="Palatino Linotype" w:eastAsia="Palatino Linotype" w:hAnsi="Palatino Linotype" w:cs="Palatino Linotype"/>
          <w:color w:val="000000"/>
          <w:sz w:val="24"/>
          <w:szCs w:val="24"/>
        </w:rPr>
        <w:t xml:space="preserve">al señalar la obligación de “promover, </w:t>
      </w:r>
      <w:r>
        <w:rPr>
          <w:rFonts w:ascii="Palatino Linotype" w:eastAsia="Palatino Linotype" w:hAnsi="Palatino Linotype" w:cs="Palatino Linotype"/>
          <w:b/>
          <w:color w:val="000000"/>
          <w:sz w:val="24"/>
          <w:szCs w:val="24"/>
        </w:rPr>
        <w:t>respetar</w:t>
      </w:r>
      <w:r>
        <w:rPr>
          <w:rFonts w:ascii="Palatino Linotype" w:eastAsia="Palatino Linotype" w:hAnsi="Palatino Linotype" w:cs="Palatino Linotype"/>
          <w:color w:val="000000"/>
          <w:sz w:val="24"/>
          <w:szCs w:val="24"/>
        </w:rPr>
        <w:t xml:space="preserve">, proteger y </w:t>
      </w:r>
      <w:r>
        <w:rPr>
          <w:rFonts w:ascii="Palatino Linotype" w:eastAsia="Palatino Linotype" w:hAnsi="Palatino Linotype" w:cs="Palatino Linotype"/>
          <w:b/>
          <w:color w:val="000000"/>
          <w:sz w:val="24"/>
          <w:szCs w:val="24"/>
        </w:rPr>
        <w:t>garantizar</w:t>
      </w:r>
      <w:r>
        <w:rPr>
          <w:rFonts w:ascii="Palatino Linotype" w:eastAsia="Palatino Linotype" w:hAnsi="Palatino Linotype" w:cs="Palatino Linotype"/>
          <w:color w:val="000000"/>
          <w:sz w:val="24"/>
          <w:szCs w:val="24"/>
        </w:rPr>
        <w:t xml:space="preserve"> los derechos humanos”, entre los cuales se encuentra dicho derecho. </w:t>
      </w:r>
    </w:p>
    <w:p w14:paraId="7CFE8CE9" w14:textId="77777777" w:rsidR="00C745C3" w:rsidRDefault="00C745C3">
      <w:pPr>
        <w:tabs>
          <w:tab w:val="left" w:pos="284"/>
        </w:tabs>
        <w:spacing w:line="360" w:lineRule="auto"/>
        <w:ind w:right="49"/>
        <w:jc w:val="both"/>
        <w:rPr>
          <w:rFonts w:ascii="Palatino Linotype" w:eastAsia="Palatino Linotype" w:hAnsi="Palatino Linotype" w:cs="Palatino Linotype"/>
          <w:color w:val="000000"/>
          <w:sz w:val="24"/>
          <w:szCs w:val="24"/>
        </w:rPr>
      </w:pPr>
    </w:p>
    <w:p w14:paraId="4C70AF52" w14:textId="77777777" w:rsidR="00C745C3" w:rsidRDefault="00AC72C1">
      <w:pPr>
        <w:numPr>
          <w:ilvl w:val="0"/>
          <w:numId w:val="7"/>
        </w:numPr>
        <w:tabs>
          <w:tab w:val="left" w:pos="284"/>
        </w:tabs>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Definiendo el Derecho de Acceso a la Información Pública como: </w:t>
      </w:r>
      <w:r>
        <w:rPr>
          <w:rFonts w:ascii="Palatino Linotype" w:eastAsia="Palatino Linotype" w:hAnsi="Palatino Linotype" w:cs="Palatino Linotype"/>
          <w:i/>
          <w:color w:val="000000"/>
          <w:sz w:val="24"/>
          <w:szCs w:val="24"/>
        </w:rPr>
        <w:t>La igualdad de oportunidades para recibir, buscar e impartir información</w:t>
      </w:r>
      <w:r>
        <w:rPr>
          <w:rFonts w:ascii="Palatino Linotype" w:eastAsia="Palatino Linotype" w:hAnsi="Palatino Linotype" w:cs="Palatino Linotype"/>
          <w:i/>
          <w:color w:val="000000"/>
          <w:sz w:val="24"/>
          <w:szCs w:val="24"/>
          <w:vertAlign w:val="superscript"/>
        </w:rPr>
        <w:footnoteReference w:id="1"/>
      </w:r>
      <w:r>
        <w:rPr>
          <w:rFonts w:ascii="Palatino Linotype" w:eastAsia="Palatino Linotype" w:hAnsi="Palatino Linotype" w:cs="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color w:val="000000"/>
          <w:sz w:val="24"/>
          <w:szCs w:val="24"/>
          <w:vertAlign w:val="superscript"/>
        </w:rPr>
        <w:footnoteReference w:id="2"/>
      </w:r>
      <w:r>
        <w:rPr>
          <w:rFonts w:ascii="Palatino Linotype" w:eastAsia="Palatino Linotype" w:hAnsi="Palatino Linotype" w:cs="Palatino Linotype"/>
          <w:color w:val="000000"/>
          <w:sz w:val="24"/>
          <w:szCs w:val="24"/>
        </w:rPr>
        <w:t>que se constituye como una herramienta fundamental para ejercer</w:t>
      </w:r>
      <w:r>
        <w:rPr>
          <w:rFonts w:ascii="Palatino Linotype" w:eastAsia="Palatino Linotype" w:hAnsi="Palatino Linotype" w:cs="Palatino Linotype"/>
          <w:i/>
          <w:color w:val="000000"/>
          <w:sz w:val="24"/>
          <w:szCs w:val="24"/>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color w:val="000000"/>
          <w:sz w:val="24"/>
          <w:szCs w:val="24"/>
          <w:vertAlign w:val="superscript"/>
        </w:rPr>
        <w:footnoteReference w:id="3"/>
      </w:r>
      <w:r>
        <w:rPr>
          <w:rFonts w:ascii="Palatino Linotype" w:eastAsia="Palatino Linotype" w:hAnsi="Palatino Linotype" w:cs="Palatino Linotype"/>
          <w:color w:val="000000"/>
          <w:sz w:val="24"/>
          <w:szCs w:val="24"/>
        </w:rPr>
        <w:t>fomentando</w:t>
      </w:r>
      <w:r>
        <w:rPr>
          <w:rFonts w:ascii="Palatino Linotype" w:eastAsia="Palatino Linotype" w:hAnsi="Palatino Linotype" w:cs="Palatino Linotype"/>
          <w:i/>
          <w:color w:val="000000"/>
          <w:sz w:val="24"/>
          <w:szCs w:val="24"/>
        </w:rPr>
        <w:t xml:space="preserve"> la transparencia de las actividades estatales y </w:t>
      </w:r>
      <w:r>
        <w:rPr>
          <w:rFonts w:ascii="Palatino Linotype" w:eastAsia="Palatino Linotype" w:hAnsi="Palatino Linotype" w:cs="Palatino Linotype"/>
          <w:color w:val="000000"/>
          <w:sz w:val="24"/>
          <w:szCs w:val="24"/>
        </w:rPr>
        <w:t>promoviendo</w:t>
      </w:r>
      <w:r>
        <w:rPr>
          <w:rFonts w:ascii="Palatino Linotype" w:eastAsia="Palatino Linotype" w:hAnsi="Palatino Linotype" w:cs="Palatino Linotype"/>
          <w:i/>
          <w:color w:val="000000"/>
          <w:sz w:val="24"/>
          <w:szCs w:val="24"/>
        </w:rPr>
        <w:t xml:space="preserve"> la responsabilidad de los funcionarios sobre su gestión pública,</w:t>
      </w:r>
      <w:r>
        <w:rPr>
          <w:rFonts w:ascii="Palatino Linotype" w:eastAsia="Palatino Linotype" w:hAnsi="Palatino Linotype" w:cs="Palatino Linotype"/>
          <w:i/>
          <w:color w:val="000000"/>
          <w:sz w:val="24"/>
          <w:szCs w:val="24"/>
          <w:vertAlign w:val="superscript"/>
        </w:rPr>
        <w:footnoteReference w:id="4"/>
      </w:r>
      <w:r>
        <w:rPr>
          <w:rFonts w:ascii="Palatino Linotype" w:eastAsia="Palatino Linotype" w:hAnsi="Palatino Linotype" w:cs="Palatino Linotype"/>
          <w:color w:val="000000"/>
          <w:sz w:val="24"/>
          <w:szCs w:val="24"/>
        </w:rPr>
        <w:t>que permite</w:t>
      </w:r>
      <w:r>
        <w:rPr>
          <w:rFonts w:ascii="Palatino Linotype" w:eastAsia="Palatino Linotype" w:hAnsi="Palatino Linotype" w:cs="Palatino Linotype"/>
          <w:i/>
          <w:color w:val="000000"/>
          <w:sz w:val="24"/>
          <w:szCs w:val="24"/>
        </w:rPr>
        <w:t xml:space="preserve"> saber qué están haciendo los gobiernos por sus pueblos, sin lo cual la verdad languidecería y la participación en el gobierno permanecería fragmentada.</w:t>
      </w:r>
    </w:p>
    <w:p w14:paraId="1A02AD31" w14:textId="77777777" w:rsidR="00C745C3" w:rsidRDefault="00C745C3">
      <w:pPr>
        <w:tabs>
          <w:tab w:val="left" w:pos="284"/>
        </w:tabs>
        <w:rPr>
          <w:rFonts w:ascii="Palatino Linotype" w:eastAsia="Palatino Linotype" w:hAnsi="Palatino Linotype" w:cs="Palatino Linotype"/>
          <w:sz w:val="24"/>
          <w:szCs w:val="24"/>
        </w:rPr>
      </w:pPr>
    </w:p>
    <w:p w14:paraId="73BAE074" w14:textId="77777777" w:rsidR="00C745C3" w:rsidRDefault="00AC72C1">
      <w:pPr>
        <w:numPr>
          <w:ilvl w:val="0"/>
          <w:numId w:val="7"/>
        </w:numPr>
        <w:tabs>
          <w:tab w:val="left" w:pos="284"/>
        </w:tabs>
        <w:spacing w:line="360" w:lineRule="auto"/>
        <w:ind w:left="0" w:firstLine="0"/>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341B00F" w14:textId="77777777" w:rsidR="00C745C3" w:rsidRDefault="00AC72C1">
      <w:pPr>
        <w:tabs>
          <w:tab w:val="left" w:pos="284"/>
        </w:tabs>
        <w:spacing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lastRenderedPageBreak/>
        <w:t xml:space="preserve"> </w:t>
      </w:r>
    </w:p>
    <w:p w14:paraId="6A0C1B45" w14:textId="77777777" w:rsidR="00C745C3" w:rsidRDefault="00AC72C1">
      <w:pPr>
        <w:numPr>
          <w:ilvl w:val="0"/>
          <w:numId w:val="7"/>
        </w:numPr>
        <w:tabs>
          <w:tab w:val="left" w:pos="284"/>
        </w:tabs>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Pr>
          <w:rFonts w:ascii="Palatino Linotype" w:eastAsia="Palatino Linotype" w:hAnsi="Palatino Linotype" w:cs="Palatino Linotype"/>
          <w:i/>
          <w:sz w:val="24"/>
          <w:szCs w:val="24"/>
        </w:rPr>
        <w:t>por los principios de simplicidad, rapidez gratuidad del procedimiento, auxilio y orientación a los particulares</w:t>
      </w:r>
      <w:r>
        <w:rPr>
          <w:rFonts w:ascii="Palatino Linotype" w:eastAsia="Palatino Linotype" w:hAnsi="Palatino Linotype" w:cs="Palatino Linotype"/>
          <w:sz w:val="24"/>
          <w:szCs w:val="24"/>
        </w:rPr>
        <w:t xml:space="preserve">, contemplando el derecho de las personas con discapacidad y hablantes de lengua indígena. </w:t>
      </w:r>
    </w:p>
    <w:p w14:paraId="6D7F0E84" w14:textId="77777777" w:rsidR="00C745C3" w:rsidRDefault="00C745C3">
      <w:pPr>
        <w:tabs>
          <w:tab w:val="left" w:pos="284"/>
        </w:tabs>
        <w:spacing w:line="360" w:lineRule="auto"/>
        <w:jc w:val="both"/>
        <w:rPr>
          <w:rFonts w:ascii="Palatino Linotype" w:eastAsia="Palatino Linotype" w:hAnsi="Palatino Linotype" w:cs="Palatino Linotype"/>
          <w:sz w:val="24"/>
          <w:szCs w:val="24"/>
        </w:rPr>
      </w:pPr>
    </w:p>
    <w:p w14:paraId="3E5CBFBC" w14:textId="77777777" w:rsidR="00C745C3" w:rsidRDefault="00AC72C1">
      <w:pPr>
        <w:numPr>
          <w:ilvl w:val="0"/>
          <w:numId w:val="7"/>
        </w:numPr>
        <w:tabs>
          <w:tab w:val="left" w:pos="284"/>
        </w:tabs>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así que la </w:t>
      </w:r>
      <w:r>
        <w:rPr>
          <w:rFonts w:ascii="Palatino Linotype" w:eastAsia="Palatino Linotype" w:hAnsi="Palatino Linotype" w:cs="Palatino Linotype"/>
          <w:b/>
          <w:sz w:val="24"/>
          <w:szCs w:val="24"/>
        </w:rPr>
        <w:t xml:space="preserve">Ley de Transparencia y Acceso a la Información Pública del Estado de México y Municipios, </w:t>
      </w:r>
      <w:r>
        <w:rPr>
          <w:rFonts w:ascii="Palatino Linotype" w:eastAsia="Palatino Linotype" w:hAnsi="Palatino Linotype" w:cs="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establece que </w:t>
      </w:r>
      <w:r>
        <w:rPr>
          <w:rFonts w:ascii="Palatino Linotype" w:eastAsia="Palatino Linotype" w:hAnsi="Palatino Linotype" w:cs="Palatino Linotype"/>
          <w:b/>
          <w:i/>
          <w:sz w:val="24"/>
          <w:szCs w:val="24"/>
          <w:u w:val="single"/>
        </w:rPr>
        <w:t>el recurso de revisión es la garantía secundaria</w:t>
      </w:r>
      <w:r>
        <w:rPr>
          <w:rFonts w:ascii="Palatino Linotype" w:eastAsia="Palatino Linotype" w:hAnsi="Palatino Linotype" w:cs="Palatino Linotype"/>
          <w:b/>
          <w:i/>
          <w:sz w:val="24"/>
          <w:szCs w:val="24"/>
        </w:rPr>
        <w:t xml:space="preserve"> mediante la cual se pretende reparar cualquier posible afectación al derecho de acceso a la información pública</w:t>
      </w:r>
      <w:r>
        <w:rPr>
          <w:rFonts w:ascii="Palatino Linotype" w:eastAsia="Palatino Linotype" w:hAnsi="Palatino Linotype" w:cs="Palatino Linotype"/>
          <w:b/>
          <w:sz w:val="24"/>
          <w:szCs w:val="24"/>
        </w:rPr>
        <w:t>, s</w:t>
      </w:r>
      <w:r>
        <w:rPr>
          <w:rFonts w:ascii="Palatino Linotype" w:eastAsia="Palatino Linotype" w:hAnsi="Palatino Linotype" w:cs="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07346ACA" w14:textId="77777777" w:rsidR="00C745C3" w:rsidRDefault="00C745C3">
      <w:pPr>
        <w:tabs>
          <w:tab w:val="left" w:pos="284"/>
        </w:tabs>
        <w:rPr>
          <w:rFonts w:ascii="Palatino Linotype" w:eastAsia="Palatino Linotype" w:hAnsi="Palatino Linotype" w:cs="Palatino Linotype"/>
          <w:sz w:val="24"/>
          <w:szCs w:val="24"/>
        </w:rPr>
      </w:pPr>
    </w:p>
    <w:p w14:paraId="00F1728C" w14:textId="77777777" w:rsidR="00C745C3" w:rsidRDefault="00AC72C1">
      <w:pPr>
        <w:numPr>
          <w:ilvl w:val="0"/>
          <w:numId w:val="7"/>
        </w:numPr>
        <w:tabs>
          <w:tab w:val="left" w:pos="284"/>
        </w:tabs>
        <w:spacing w:after="24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Establecido lo anterior, resulta evidente que las razones o motivos de inconformidad hechos valer en el recurso de revisión resultan </w:t>
      </w:r>
      <w:r>
        <w:rPr>
          <w:rFonts w:ascii="Palatino Linotype" w:eastAsia="Palatino Linotype" w:hAnsi="Palatino Linotype" w:cs="Palatino Linotype"/>
          <w:b/>
          <w:sz w:val="24"/>
          <w:szCs w:val="24"/>
        </w:rPr>
        <w:t>fundadas y procedentes</w:t>
      </w:r>
      <w:r>
        <w:rPr>
          <w:rFonts w:ascii="Palatino Linotype" w:eastAsia="Palatino Linotype" w:hAnsi="Palatino Linotype" w:cs="Palatino Linotype"/>
          <w:sz w:val="24"/>
          <w:szCs w:val="24"/>
        </w:rPr>
        <w:t xml:space="preserve">, debido 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proporcionó información que no corresponde con lo solicitado.</w:t>
      </w:r>
    </w:p>
    <w:p w14:paraId="49C409F3" w14:textId="77777777" w:rsidR="00C745C3" w:rsidRDefault="00AC72C1">
      <w:pPr>
        <w:numPr>
          <w:ilvl w:val="0"/>
          <w:numId w:val="7"/>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0BE85C0"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281DC6DB" w14:textId="77777777" w:rsidR="00C745C3" w:rsidRDefault="00AC72C1">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0002-11</w:t>
      </w:r>
    </w:p>
    <w:p w14:paraId="19628A91"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6A94D5"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7DCA1C2"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263660C7"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F2B68D8" w14:textId="77777777" w:rsidR="00C745C3" w:rsidRDefault="00AC72C1">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 encuentre en posesión de los Sujetos Obligados.”</w:t>
      </w:r>
    </w:p>
    <w:p w14:paraId="0F61E2F0" w14:textId="77777777" w:rsidR="00C745C3" w:rsidRDefault="00C745C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sz w:val="24"/>
          <w:szCs w:val="24"/>
        </w:rPr>
      </w:pPr>
    </w:p>
    <w:p w14:paraId="394BDB11" w14:textId="77777777" w:rsidR="00C745C3" w:rsidRDefault="00AC72C1">
      <w:pPr>
        <w:numPr>
          <w:ilvl w:val="0"/>
          <w:numId w:val="7"/>
        </w:numPr>
        <w:pBdr>
          <w:top w:val="nil"/>
          <w:left w:val="nil"/>
          <w:bottom w:val="nil"/>
          <w:right w:val="nil"/>
          <w:between w:val="nil"/>
        </w:pBdr>
        <w:tabs>
          <w:tab w:val="left" w:pos="851"/>
        </w:tabs>
        <w:spacing w:after="24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derecho de acceso a la información encuentra su materia elemental en los documentos, y la Ley de Transparencia local nos brinda el siguiente concepto, para darnos un mejor panorama:</w:t>
      </w:r>
    </w:p>
    <w:p w14:paraId="2E1FF8C3"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Documento: </w:t>
      </w:r>
      <w:r>
        <w:rPr>
          <w:rFonts w:ascii="Palatino Linotype" w:eastAsia="Palatino Linotype" w:hAnsi="Palatino Linotype" w:cs="Palatino Linotype"/>
          <w:i/>
          <w:sz w:val="22"/>
          <w:szCs w:val="22"/>
        </w:rPr>
        <w:t xml:space="preserve">Los expedientes, reportes, estudios, actas, resoluciones, </w:t>
      </w:r>
      <w:r>
        <w:rPr>
          <w:rFonts w:ascii="Palatino Linotype" w:eastAsia="Palatino Linotype" w:hAnsi="Palatino Linotype" w:cs="Palatino Linotype"/>
          <w:b/>
          <w:i/>
          <w:sz w:val="22"/>
          <w:szCs w:val="22"/>
        </w:rPr>
        <w:t>oficios,</w:t>
      </w:r>
      <w:r>
        <w:rPr>
          <w:rFonts w:ascii="Palatino Linotype" w:eastAsia="Palatino Linotype" w:hAnsi="Palatino Linotype" w:cs="Palatino Linotype"/>
          <w:i/>
          <w:sz w:val="22"/>
          <w:szCs w:val="22"/>
        </w:rPr>
        <w:t xml:space="preserve"> correspondencia, acuerdos, directivas, directrices, circulares, contratos, convenios, instructivos, notas, memorandos, estadísticas o bien, </w:t>
      </w:r>
      <w:r>
        <w:rPr>
          <w:rFonts w:ascii="Palatino Linotype" w:eastAsia="Palatino Linotype" w:hAnsi="Palatino Linotype" w:cs="Palatino Linotype"/>
          <w:b/>
          <w:i/>
          <w:sz w:val="22"/>
          <w:szCs w:val="22"/>
        </w:rPr>
        <w:t>cualquier otro registro</w:t>
      </w:r>
      <w:r>
        <w:rPr>
          <w:rFonts w:ascii="Palatino Linotype" w:eastAsia="Palatino Linotype" w:hAnsi="Palatino Linotype" w:cs="Palatino Linotype"/>
          <w:i/>
          <w:sz w:val="22"/>
          <w:szCs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9725A9" w14:textId="77777777" w:rsidR="00C745C3" w:rsidRDefault="00C745C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sz w:val="22"/>
          <w:szCs w:val="22"/>
        </w:rPr>
      </w:pPr>
    </w:p>
    <w:p w14:paraId="108C8F8D" w14:textId="77777777" w:rsidR="00C745C3" w:rsidRDefault="00AC72C1">
      <w:pPr>
        <w:numPr>
          <w:ilvl w:val="0"/>
          <w:numId w:val="7"/>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B6BCED0"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71EA0369"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w:t>
      </w:r>
      <w:r>
        <w:rPr>
          <w:rFonts w:ascii="Palatino Linotype" w:eastAsia="Palatino Linotype" w:hAnsi="Palatino Linotype" w:cs="Palatino Linotype"/>
          <w:color w:val="000000"/>
          <w:sz w:val="24"/>
          <w:szCs w:val="24"/>
        </w:rPr>
        <w:lastRenderedPageBreak/>
        <w:t xml:space="preserve">Municipios, guardan una estrecha relación, puesto que los ordenamientos citados concurren refiriendo que </w:t>
      </w:r>
      <w:r>
        <w:rPr>
          <w:rFonts w:ascii="Palatino Linotype" w:eastAsia="Palatino Linotype" w:hAnsi="Palatino Linotype" w:cs="Palatino Linotype"/>
          <w:b/>
          <w:color w:val="000000"/>
          <w:sz w:val="24"/>
          <w:szCs w:val="24"/>
        </w:rPr>
        <w:t>los Sujetos Obligados deberán documentar todo acto que se derive del ejercicio de sus facultades, competencias o funciones,</w:t>
      </w:r>
      <w:r>
        <w:rPr>
          <w:rFonts w:ascii="Palatino Linotype" w:eastAsia="Palatino Linotype" w:hAnsi="Palatino Linotype" w:cs="Palatino Linotype"/>
          <w:color w:val="000000"/>
          <w:sz w:val="24"/>
          <w:szCs w:val="24"/>
        </w:rPr>
        <w:t xml:space="preserve"> considerando desde su origen la eventual publicidad y reutilización de la información que generen, posean o administren.</w:t>
      </w:r>
    </w:p>
    <w:p w14:paraId="3991CB1B" w14:textId="77777777" w:rsidR="00C745C3" w:rsidRDefault="00C745C3">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29299D4E"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Además, debemos tomar en cuenta los artículos 4 y 12, de la Ley de Transparencia y Acceso a la Información Pública del Estado de México y Municipios, los cuales establecen lo siguiente:</w:t>
      </w:r>
    </w:p>
    <w:p w14:paraId="3C8492A7" w14:textId="77777777" w:rsidR="00C745C3" w:rsidRDefault="00C745C3">
      <w:pPr>
        <w:pBdr>
          <w:top w:val="nil"/>
          <w:left w:val="nil"/>
          <w:bottom w:val="nil"/>
          <w:right w:val="nil"/>
          <w:between w:val="nil"/>
        </w:pBdr>
        <w:spacing w:line="360" w:lineRule="auto"/>
        <w:ind w:left="720"/>
        <w:rPr>
          <w:rFonts w:ascii="Palatino Linotype" w:eastAsia="Palatino Linotype" w:hAnsi="Palatino Linotype" w:cs="Palatino Linotype"/>
          <w:color w:val="000000"/>
          <w:sz w:val="24"/>
          <w:szCs w:val="24"/>
        </w:rPr>
      </w:pPr>
    </w:p>
    <w:p w14:paraId="44FAD7ED"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663A6EF8" w14:textId="77777777" w:rsidR="00C745C3" w:rsidRDefault="00C745C3">
      <w:pPr>
        <w:ind w:left="567" w:right="567"/>
        <w:jc w:val="both"/>
        <w:rPr>
          <w:rFonts w:ascii="Palatino Linotype" w:eastAsia="Palatino Linotype" w:hAnsi="Palatino Linotype" w:cs="Palatino Linotype"/>
          <w:i/>
          <w:sz w:val="22"/>
          <w:szCs w:val="22"/>
        </w:rPr>
      </w:pPr>
    </w:p>
    <w:p w14:paraId="6AC0120F"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81ADDA" w14:textId="77777777" w:rsidR="00C745C3" w:rsidRDefault="00C745C3">
      <w:pPr>
        <w:ind w:left="567" w:right="567"/>
        <w:jc w:val="both"/>
        <w:rPr>
          <w:rFonts w:ascii="Palatino Linotype" w:eastAsia="Palatino Linotype" w:hAnsi="Palatino Linotype" w:cs="Palatino Linotype"/>
          <w:i/>
          <w:sz w:val="22"/>
          <w:szCs w:val="22"/>
        </w:rPr>
      </w:pPr>
    </w:p>
    <w:p w14:paraId="3AF76D52"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129B68F" w14:textId="77777777" w:rsidR="00C745C3" w:rsidRDefault="00C745C3">
      <w:pPr>
        <w:ind w:left="567" w:right="567"/>
        <w:jc w:val="both"/>
        <w:rPr>
          <w:rFonts w:ascii="Palatino Linotype" w:eastAsia="Palatino Linotype" w:hAnsi="Palatino Linotype" w:cs="Palatino Linotype"/>
          <w:i/>
          <w:color w:val="000000"/>
          <w:sz w:val="22"/>
          <w:szCs w:val="22"/>
        </w:rPr>
      </w:pPr>
    </w:p>
    <w:p w14:paraId="784D68A2"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12. </w:t>
      </w:r>
      <w:r>
        <w:rPr>
          <w:rFonts w:ascii="Palatino Linotype" w:eastAsia="Palatino Linotype" w:hAnsi="Palatino Linotype" w:cs="Palatino Linotype"/>
          <w:i/>
          <w:sz w:val="22"/>
          <w:szCs w:val="22"/>
        </w:rPr>
        <w:t xml:space="preserve">Quienes generen, recopilen, administren, manejen, procesen, archiven o conserven información pública serán responsables de la misma en los términos de las disposiciones jurídicas aplicables. </w:t>
      </w:r>
    </w:p>
    <w:p w14:paraId="4CB40324" w14:textId="77777777" w:rsidR="00C745C3" w:rsidRDefault="00C745C3">
      <w:pPr>
        <w:ind w:left="567" w:right="567"/>
        <w:jc w:val="both"/>
        <w:rPr>
          <w:rFonts w:ascii="Palatino Linotype" w:eastAsia="Palatino Linotype" w:hAnsi="Palatino Linotype" w:cs="Palatino Linotype"/>
          <w:i/>
          <w:sz w:val="22"/>
          <w:szCs w:val="22"/>
        </w:rPr>
      </w:pPr>
    </w:p>
    <w:p w14:paraId="30E95252" w14:textId="77777777" w:rsidR="00C745C3" w:rsidRDefault="00AC72C1">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207F041" w14:textId="77777777" w:rsidR="00C745C3" w:rsidRDefault="00C745C3">
      <w:pPr>
        <w:spacing w:line="360" w:lineRule="auto"/>
        <w:ind w:left="567" w:right="567"/>
        <w:jc w:val="both"/>
        <w:rPr>
          <w:rFonts w:ascii="Palatino Linotype" w:eastAsia="Palatino Linotype" w:hAnsi="Palatino Linotype" w:cs="Palatino Linotype"/>
          <w:i/>
          <w:sz w:val="24"/>
          <w:szCs w:val="24"/>
        </w:rPr>
      </w:pPr>
    </w:p>
    <w:p w14:paraId="0598A6A3" w14:textId="77777777" w:rsidR="00C745C3" w:rsidRDefault="00AC72C1">
      <w:pPr>
        <w:numPr>
          <w:ilvl w:val="0"/>
          <w:numId w:val="7"/>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sz w:val="24"/>
          <w:szCs w:val="24"/>
          <w:vertAlign w:val="superscript"/>
        </w:rPr>
        <w:footnoteReference w:id="5"/>
      </w:r>
      <w:r>
        <w:rPr>
          <w:rFonts w:ascii="Palatino Linotype" w:eastAsia="Palatino Linotype" w:hAnsi="Palatino Linotype" w:cs="Palatino Linotype"/>
          <w:color w:val="000000"/>
          <w:sz w:val="24"/>
          <w:szCs w:val="24"/>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C3D7776" w14:textId="77777777" w:rsidR="00C745C3" w:rsidRDefault="00C745C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sz w:val="24"/>
          <w:szCs w:val="24"/>
        </w:rPr>
      </w:pPr>
    </w:p>
    <w:p w14:paraId="6D1CB5D5" w14:textId="77777777" w:rsidR="00C745C3" w:rsidRDefault="00AC72C1">
      <w:pPr>
        <w:numPr>
          <w:ilvl w:val="0"/>
          <w:numId w:val="7"/>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Robustece lo anterior la Tesis aislada identificada con la clave I.4º.A.40 A del Cuarto Tribunal colegiado en Materia Administrativa del Primer Circuito, publicada </w:t>
      </w:r>
      <w:r>
        <w:rPr>
          <w:rFonts w:ascii="Palatino Linotype" w:eastAsia="Palatino Linotype" w:hAnsi="Palatino Linotype" w:cs="Palatino Linotype"/>
          <w:color w:val="000000"/>
          <w:sz w:val="24"/>
          <w:szCs w:val="24"/>
        </w:rPr>
        <w:lastRenderedPageBreak/>
        <w:t>en el Seminario Judicial de la Federación y su Gaceta en el libro XVIII, Marzo 2013, Página 1899.</w:t>
      </w:r>
    </w:p>
    <w:p w14:paraId="0178A458" w14:textId="77777777" w:rsidR="00C745C3" w:rsidRDefault="00C745C3">
      <w:pPr>
        <w:pBdr>
          <w:top w:val="nil"/>
          <w:left w:val="nil"/>
          <w:bottom w:val="nil"/>
          <w:right w:val="nil"/>
          <w:between w:val="nil"/>
        </w:pBdr>
        <w:spacing w:line="360" w:lineRule="auto"/>
        <w:ind w:left="720"/>
        <w:rPr>
          <w:rFonts w:ascii="Palatino Linotype" w:eastAsia="Palatino Linotype" w:hAnsi="Palatino Linotype" w:cs="Palatino Linotype"/>
          <w:color w:val="000000"/>
          <w:sz w:val="24"/>
          <w:szCs w:val="24"/>
        </w:rPr>
      </w:pPr>
    </w:p>
    <w:p w14:paraId="0C45701B" w14:textId="77777777" w:rsidR="00C745C3" w:rsidRDefault="00AC72C1">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5EEA6EC2" w14:textId="77777777" w:rsidR="00C745C3" w:rsidRDefault="00C745C3">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szCs w:val="22"/>
        </w:rPr>
      </w:pPr>
    </w:p>
    <w:p w14:paraId="62A80199" w14:textId="77777777" w:rsidR="00C745C3" w:rsidRDefault="00AC72C1">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CUARTO TRIBUNAL COLEGIADO EN MATERIA ADMINISTRATIVA DEL PRIMER CIRCUITO. </w:t>
      </w:r>
    </w:p>
    <w:p w14:paraId="62522924" w14:textId="77777777" w:rsidR="00C745C3" w:rsidRDefault="00C745C3">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szCs w:val="22"/>
        </w:rPr>
      </w:pPr>
    </w:p>
    <w:p w14:paraId="05012CC3" w14:textId="77777777" w:rsidR="00C745C3" w:rsidRDefault="00AC72C1">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Amparo en revisión 257/2012. Ruth Corona Muñoz. 6 de diciembre de 2012. Unanimidad de votos. Ponente: Jean Claude Tron Petit. Secretaria: Mayra Susana Martínez López.</w:t>
      </w:r>
    </w:p>
    <w:p w14:paraId="191EF0C9" w14:textId="77777777" w:rsidR="00C745C3" w:rsidRDefault="00C745C3">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sz w:val="24"/>
          <w:szCs w:val="24"/>
        </w:rPr>
      </w:pPr>
    </w:p>
    <w:p w14:paraId="53080E7C" w14:textId="77777777" w:rsidR="00C745C3" w:rsidRDefault="00AC72C1">
      <w:pPr>
        <w:numPr>
          <w:ilvl w:val="0"/>
          <w:numId w:val="7"/>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se ha señalado, los Sujetos Obligados deberán proporcionar toda la información que se encuentre en su posesión bajo los estándares más altos de transparencia y máxima publicidad. </w:t>
      </w:r>
    </w:p>
    <w:p w14:paraId="77207F1D" w14:textId="77777777" w:rsidR="00C745C3" w:rsidRDefault="00C745C3">
      <w:pPr>
        <w:tabs>
          <w:tab w:val="left" w:pos="851"/>
        </w:tabs>
        <w:spacing w:line="360" w:lineRule="auto"/>
        <w:ind w:right="49"/>
        <w:jc w:val="both"/>
        <w:rPr>
          <w:rFonts w:ascii="Palatino Linotype" w:eastAsia="Palatino Linotype" w:hAnsi="Palatino Linotype" w:cs="Palatino Linotype"/>
          <w:sz w:val="24"/>
          <w:szCs w:val="24"/>
        </w:rPr>
      </w:pPr>
    </w:p>
    <w:p w14:paraId="34B97419" w14:textId="77777777" w:rsidR="00C745C3" w:rsidRDefault="00AC72C1">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 pertinente enfatizar lo que respecto al derecho de acceso a la información pública, refiere el artículo 6° de la Constitución Política de los Estados Unidos Mexicanos, que en su parte conducente señala:</w:t>
      </w:r>
    </w:p>
    <w:p w14:paraId="49A7A099" w14:textId="77777777" w:rsidR="00C745C3" w:rsidRDefault="00C745C3">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3EC8EC4B"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eastAsia="Palatino Linotype" w:hAnsi="Palatino Linotype" w:cs="Palatino Linotype"/>
          <w:b/>
          <w:i/>
          <w:sz w:val="22"/>
          <w:szCs w:val="22"/>
        </w:rPr>
        <w:t>El derecho a la información será garantizado por el Estado.</w:t>
      </w:r>
      <w:r>
        <w:rPr>
          <w:rFonts w:ascii="Palatino Linotype" w:eastAsia="Palatino Linotype" w:hAnsi="Palatino Linotype" w:cs="Palatino Linotype"/>
          <w:i/>
          <w:sz w:val="22"/>
          <w:szCs w:val="22"/>
        </w:rPr>
        <w:t xml:space="preserve"> </w:t>
      </w:r>
    </w:p>
    <w:p w14:paraId="3D1DC380" w14:textId="77777777" w:rsidR="00C745C3" w:rsidRDefault="00C745C3">
      <w:pPr>
        <w:ind w:left="567" w:right="567"/>
        <w:jc w:val="both"/>
        <w:rPr>
          <w:rFonts w:ascii="Palatino Linotype" w:eastAsia="Palatino Linotype" w:hAnsi="Palatino Linotype" w:cs="Palatino Linotype"/>
          <w:i/>
          <w:sz w:val="22"/>
          <w:szCs w:val="22"/>
        </w:rPr>
      </w:pPr>
    </w:p>
    <w:p w14:paraId="39E1DF91"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tiene derecho al libre acceso a información plural y oportuna, así como a buscar, recibir y difundir información e ideas de toda índole por cualquier medio de expresión.</w:t>
      </w:r>
    </w:p>
    <w:p w14:paraId="294A7DE4" w14:textId="77777777" w:rsidR="00C745C3" w:rsidRDefault="00C745C3">
      <w:pPr>
        <w:ind w:left="567" w:right="567"/>
        <w:jc w:val="both"/>
        <w:rPr>
          <w:rFonts w:ascii="Palatino Linotype" w:eastAsia="Palatino Linotype" w:hAnsi="Palatino Linotype" w:cs="Palatino Linotype"/>
          <w:i/>
          <w:sz w:val="22"/>
          <w:szCs w:val="22"/>
        </w:rPr>
      </w:pPr>
    </w:p>
    <w:p w14:paraId="29CC60DB"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20AC80E9" w14:textId="77777777" w:rsidR="00C745C3" w:rsidRDefault="00C745C3">
      <w:pPr>
        <w:ind w:left="567" w:right="567"/>
        <w:jc w:val="both"/>
        <w:rPr>
          <w:rFonts w:ascii="Palatino Linotype" w:eastAsia="Palatino Linotype" w:hAnsi="Palatino Linotype" w:cs="Palatino Linotype"/>
          <w:i/>
          <w:sz w:val="22"/>
          <w:szCs w:val="22"/>
        </w:rPr>
      </w:pPr>
    </w:p>
    <w:p w14:paraId="14DA2BD6"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10D06545" w14:textId="77777777" w:rsidR="00C745C3" w:rsidRDefault="00C745C3">
      <w:pPr>
        <w:ind w:left="567" w:right="567"/>
        <w:jc w:val="both"/>
        <w:rPr>
          <w:rFonts w:ascii="Palatino Linotype" w:eastAsia="Palatino Linotype" w:hAnsi="Palatino Linotype" w:cs="Palatino Linotype"/>
          <w:b/>
          <w:i/>
          <w:sz w:val="22"/>
          <w:szCs w:val="22"/>
        </w:rPr>
      </w:pPr>
    </w:p>
    <w:p w14:paraId="25C9C835"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 Toda la información en posesión de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cualquier 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49125F50" w14:textId="77777777" w:rsidR="00C745C3" w:rsidRDefault="00C745C3">
      <w:pPr>
        <w:ind w:left="567" w:right="567"/>
        <w:jc w:val="both"/>
        <w:rPr>
          <w:rFonts w:ascii="Palatino Linotype" w:eastAsia="Palatino Linotype" w:hAnsi="Palatino Linotype" w:cs="Palatino Linotype"/>
          <w:i/>
          <w:sz w:val="22"/>
          <w:szCs w:val="22"/>
        </w:rPr>
      </w:pPr>
    </w:p>
    <w:p w14:paraId="60DF5388"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La información que se refiere a la vida privada y los datos personales será protegida en los términos y con las excepciones que fijen las leyes.</w:t>
      </w:r>
    </w:p>
    <w:p w14:paraId="72946F94" w14:textId="77777777" w:rsidR="00C745C3" w:rsidRDefault="00C745C3">
      <w:pPr>
        <w:ind w:left="567" w:right="567"/>
        <w:jc w:val="both"/>
        <w:rPr>
          <w:rFonts w:ascii="Palatino Linotype" w:eastAsia="Palatino Linotype" w:hAnsi="Palatino Linotype" w:cs="Palatino Linotype"/>
          <w:i/>
          <w:sz w:val="22"/>
          <w:szCs w:val="22"/>
        </w:rPr>
      </w:pPr>
    </w:p>
    <w:p w14:paraId="4389858A"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0DD4D3E1" w14:textId="77777777" w:rsidR="00C745C3" w:rsidRDefault="00C745C3">
      <w:pPr>
        <w:ind w:left="567" w:right="567"/>
        <w:jc w:val="both"/>
        <w:rPr>
          <w:rFonts w:ascii="Palatino Linotype" w:eastAsia="Palatino Linotype" w:hAnsi="Palatino Linotype" w:cs="Palatino Linotype"/>
          <w:i/>
          <w:sz w:val="22"/>
          <w:szCs w:val="22"/>
        </w:rPr>
      </w:pPr>
    </w:p>
    <w:p w14:paraId="38D122EC"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4A359CD0" w14:textId="77777777" w:rsidR="00C745C3" w:rsidRDefault="00C745C3">
      <w:pPr>
        <w:ind w:left="567" w:right="567"/>
        <w:jc w:val="both"/>
        <w:rPr>
          <w:rFonts w:ascii="Palatino Linotype" w:eastAsia="Palatino Linotype" w:hAnsi="Palatino Linotype" w:cs="Palatino Linotype"/>
          <w:b/>
          <w:i/>
          <w:sz w:val="22"/>
          <w:szCs w:val="22"/>
        </w:rPr>
      </w:pPr>
    </w:p>
    <w:p w14:paraId="05CDB2AE"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Los sujetos obligados deberán preservar sus documentos en archivos administrativos actualizados y publicarán, a través de los medios electrónicos disponibles</w:t>
      </w:r>
      <w:r>
        <w:rPr>
          <w:rFonts w:ascii="Palatino Linotype" w:eastAsia="Palatino Linotype" w:hAnsi="Palatino Linotype" w:cs="Palatino Linotype"/>
          <w:i/>
          <w:sz w:val="22"/>
          <w:szCs w:val="22"/>
        </w:rPr>
        <w:t>, la información completa y actualizada sobre el ejercicio de los recursos públicos y los indicadores que permitan rendir cuenta del cumplimiento de sus objetivos y de los resultados obtenidos.</w:t>
      </w:r>
    </w:p>
    <w:p w14:paraId="3F4C6BE4" w14:textId="77777777" w:rsidR="00C745C3" w:rsidRDefault="00C745C3">
      <w:pPr>
        <w:ind w:left="567" w:right="567"/>
        <w:jc w:val="both"/>
        <w:rPr>
          <w:rFonts w:ascii="Palatino Linotype" w:eastAsia="Palatino Linotype" w:hAnsi="Palatino Linotype" w:cs="Palatino Linotype"/>
          <w:i/>
          <w:sz w:val="22"/>
          <w:szCs w:val="22"/>
        </w:rPr>
      </w:pPr>
    </w:p>
    <w:p w14:paraId="71D3E9E2"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Las leyes determinarán la manera en que los sujetos obligados deberán hacer pública la información relativa a los recursos públicos que entreguen a personas físicas o morales.</w:t>
      </w:r>
    </w:p>
    <w:p w14:paraId="69C07E0F" w14:textId="77777777" w:rsidR="00C745C3" w:rsidRDefault="00C745C3">
      <w:pPr>
        <w:ind w:left="567" w:right="567"/>
        <w:jc w:val="both"/>
        <w:rPr>
          <w:rFonts w:ascii="Palatino Linotype" w:eastAsia="Palatino Linotype" w:hAnsi="Palatino Linotype" w:cs="Palatino Linotype"/>
          <w:i/>
          <w:sz w:val="22"/>
          <w:szCs w:val="22"/>
        </w:rPr>
      </w:pPr>
    </w:p>
    <w:p w14:paraId="18B0E223"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La inobservancia a las disposiciones en materia de acceso a la información pública será sancionada en los términos que dispongan las leyes.</w:t>
      </w:r>
    </w:p>
    <w:p w14:paraId="54E026A4" w14:textId="77777777" w:rsidR="00C745C3" w:rsidRDefault="00C745C3">
      <w:pPr>
        <w:ind w:left="567" w:right="567"/>
        <w:jc w:val="both"/>
        <w:rPr>
          <w:rFonts w:ascii="Palatino Linotype" w:eastAsia="Palatino Linotype" w:hAnsi="Palatino Linotype" w:cs="Palatino Linotype"/>
          <w:i/>
          <w:sz w:val="22"/>
          <w:szCs w:val="22"/>
        </w:rPr>
      </w:pPr>
    </w:p>
    <w:p w14:paraId="363737D2"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F654FBF"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CB15822"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ley establecerá aquella información que se considere reservada o confidencial.”</w:t>
      </w:r>
    </w:p>
    <w:p w14:paraId="6A8EF308" w14:textId="77777777" w:rsidR="00C745C3" w:rsidRDefault="00C745C3">
      <w:pPr>
        <w:ind w:left="567" w:right="567"/>
        <w:jc w:val="both"/>
        <w:rPr>
          <w:rFonts w:ascii="Palatino Linotype" w:eastAsia="Palatino Linotype" w:hAnsi="Palatino Linotype" w:cs="Palatino Linotype"/>
          <w:i/>
          <w:sz w:val="22"/>
          <w:szCs w:val="22"/>
        </w:rPr>
      </w:pPr>
    </w:p>
    <w:p w14:paraId="090E5C4A"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6F74952" w14:textId="77777777" w:rsidR="00C745C3" w:rsidRDefault="00C745C3">
      <w:pPr>
        <w:spacing w:line="360" w:lineRule="auto"/>
        <w:ind w:left="709" w:right="757"/>
        <w:jc w:val="both"/>
        <w:rPr>
          <w:rFonts w:ascii="Palatino Linotype" w:eastAsia="Palatino Linotype" w:hAnsi="Palatino Linotype" w:cs="Palatino Linotype"/>
          <w:sz w:val="24"/>
          <w:szCs w:val="24"/>
        </w:rPr>
      </w:pPr>
    </w:p>
    <w:p w14:paraId="57C47860"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14:paraId="274ACD73" w14:textId="77777777" w:rsidR="00C745C3" w:rsidRDefault="00AC72C1">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5. … </w:t>
      </w:r>
    </w:p>
    <w:p w14:paraId="7BB86EB2"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w:t>
      </w:r>
      <w:r>
        <w:rPr>
          <w:rFonts w:ascii="Palatino Linotype" w:eastAsia="Palatino Linotype" w:hAnsi="Palatino Linotype" w:cs="Palatino Linotype"/>
          <w:i/>
          <w:sz w:val="22"/>
          <w:szCs w:val="22"/>
        </w:rPr>
        <w:t xml:space="preserve">. La ley establecerá las previsiones que permitan asegurar la protección, el respeto y la difusión de este derecho. </w:t>
      </w:r>
    </w:p>
    <w:p w14:paraId="6D7B8C29"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7BCF782" w14:textId="77777777" w:rsidR="00C745C3" w:rsidRDefault="00C745C3">
      <w:pPr>
        <w:ind w:left="567" w:right="567"/>
        <w:jc w:val="both"/>
        <w:rPr>
          <w:rFonts w:ascii="Palatino Linotype" w:eastAsia="Palatino Linotype" w:hAnsi="Palatino Linotype" w:cs="Palatino Linotype"/>
          <w:i/>
          <w:sz w:val="22"/>
          <w:szCs w:val="22"/>
        </w:rPr>
      </w:pPr>
    </w:p>
    <w:p w14:paraId="676FFE61"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derecho se regirá por los principios y bases siguientes:</w:t>
      </w:r>
    </w:p>
    <w:p w14:paraId="4E7ECC5E" w14:textId="77777777" w:rsidR="00C745C3" w:rsidRDefault="00C745C3">
      <w:pPr>
        <w:ind w:left="567" w:right="567"/>
        <w:jc w:val="both"/>
        <w:rPr>
          <w:rFonts w:ascii="Palatino Linotype" w:eastAsia="Palatino Linotype" w:hAnsi="Palatino Linotype" w:cs="Palatino Linotype"/>
          <w:b/>
          <w:i/>
          <w:sz w:val="22"/>
          <w:szCs w:val="22"/>
        </w:rPr>
      </w:pPr>
    </w:p>
    <w:p w14:paraId="71731906"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Toda la información en posesión </w:t>
      </w:r>
      <w:r>
        <w:rPr>
          <w:rFonts w:ascii="Palatino Linotype" w:eastAsia="Palatino Linotype" w:hAnsi="Palatino Linotype" w:cs="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Pr>
          <w:rFonts w:ascii="Palatino Linotype" w:eastAsia="Palatino Linotype" w:hAnsi="Palatino Linotype" w:cs="Palatino Linotype"/>
          <w:b/>
          <w:i/>
          <w:sz w:val="22"/>
          <w:szCs w:val="22"/>
        </w:rPr>
        <w:t>del gobierno y de la administración pública municipal y sus organismos descentralizados</w:t>
      </w:r>
      <w:r>
        <w:rPr>
          <w:rFonts w:ascii="Palatino Linotype" w:eastAsia="Palatino Linotype" w:hAnsi="Palatino Linotype" w:cs="Palatino Linotype"/>
          <w:i/>
          <w:sz w:val="22"/>
          <w:szCs w:val="22"/>
        </w:rPr>
        <w:t xml:space="preserve">,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w:t>
      </w:r>
      <w:r>
        <w:rPr>
          <w:rFonts w:ascii="Palatino Linotype" w:eastAsia="Palatino Linotype" w:hAnsi="Palatino Linotype" w:cs="Palatino Linotype"/>
          <w:i/>
          <w:sz w:val="22"/>
          <w:szCs w:val="22"/>
        </w:rPr>
        <w:lastRenderedPageBreak/>
        <w:t>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793E414" w14:textId="77777777" w:rsidR="00C745C3" w:rsidRDefault="00C745C3">
      <w:pPr>
        <w:ind w:left="567" w:right="567"/>
        <w:jc w:val="both"/>
        <w:rPr>
          <w:rFonts w:ascii="Palatino Linotype" w:eastAsia="Palatino Linotype" w:hAnsi="Palatino Linotype" w:cs="Palatino Linotype"/>
          <w:i/>
          <w:sz w:val="22"/>
          <w:szCs w:val="22"/>
        </w:rPr>
      </w:pPr>
    </w:p>
    <w:p w14:paraId="2FA1B87F"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6A2FA2D2" w14:textId="77777777" w:rsidR="00C745C3" w:rsidRDefault="00C745C3">
      <w:pPr>
        <w:ind w:left="567" w:right="567"/>
        <w:jc w:val="both"/>
        <w:rPr>
          <w:rFonts w:ascii="Palatino Linotype" w:eastAsia="Palatino Linotype" w:hAnsi="Palatino Linotype" w:cs="Palatino Linotype"/>
          <w:i/>
          <w:sz w:val="22"/>
          <w:szCs w:val="22"/>
        </w:rPr>
      </w:pPr>
    </w:p>
    <w:p w14:paraId="40864574"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7A2353F2" w14:textId="77777777" w:rsidR="00C745C3" w:rsidRDefault="00C745C3">
      <w:pPr>
        <w:ind w:left="567" w:right="567"/>
        <w:jc w:val="both"/>
        <w:rPr>
          <w:rFonts w:ascii="Palatino Linotype" w:eastAsia="Palatino Linotype" w:hAnsi="Palatino Linotype" w:cs="Palatino Linotype"/>
          <w:i/>
          <w:sz w:val="22"/>
          <w:szCs w:val="22"/>
        </w:rPr>
      </w:pPr>
    </w:p>
    <w:p w14:paraId="38585ED4"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Se establecerán mecanismos de acceso a la información y procedimientos de revisión expeditos que se sustanciarán ante el organismo autónomo especializado e imparcial que establece esta Constitución.</w:t>
      </w:r>
    </w:p>
    <w:p w14:paraId="313AC4DB" w14:textId="77777777" w:rsidR="00C745C3" w:rsidRDefault="00C745C3">
      <w:pPr>
        <w:ind w:left="567" w:right="567"/>
        <w:jc w:val="both"/>
        <w:rPr>
          <w:rFonts w:ascii="Palatino Linotype" w:eastAsia="Palatino Linotype" w:hAnsi="Palatino Linotype" w:cs="Palatino Linotype"/>
          <w:i/>
          <w:sz w:val="22"/>
          <w:szCs w:val="22"/>
        </w:rPr>
      </w:pPr>
    </w:p>
    <w:p w14:paraId="369ED73B"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6B3CBD4" w14:textId="77777777" w:rsidR="00C745C3" w:rsidRDefault="00C745C3">
      <w:pPr>
        <w:ind w:left="567" w:right="567"/>
        <w:jc w:val="both"/>
        <w:rPr>
          <w:rFonts w:ascii="Palatino Linotype" w:eastAsia="Palatino Linotype" w:hAnsi="Palatino Linotype" w:cs="Palatino Linotype"/>
          <w:b/>
          <w:i/>
          <w:sz w:val="22"/>
          <w:szCs w:val="22"/>
        </w:rPr>
      </w:pPr>
    </w:p>
    <w:p w14:paraId="3A9F2BE1"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Pr>
          <w:rFonts w:ascii="Palatino Linotype" w:eastAsia="Palatino Linotype" w:hAnsi="Palatino Linotype" w:cs="Palatino Linotype"/>
          <w:i/>
          <w:sz w:val="22"/>
          <w:szCs w:val="22"/>
        </w:rPr>
        <w:t xml:space="preserve"> y los indicadores que permitan rendir cuenta del cumplimiento de sus objetivos y los resultados obtenidos.</w:t>
      </w:r>
    </w:p>
    <w:p w14:paraId="0763227F" w14:textId="77777777" w:rsidR="00C745C3" w:rsidRDefault="00C745C3">
      <w:pPr>
        <w:ind w:left="567" w:right="567"/>
        <w:jc w:val="both"/>
        <w:rPr>
          <w:rFonts w:ascii="Palatino Linotype" w:eastAsia="Palatino Linotype" w:hAnsi="Palatino Linotype" w:cs="Palatino Linotype"/>
          <w:i/>
          <w:sz w:val="22"/>
          <w:szCs w:val="22"/>
        </w:rPr>
      </w:pPr>
    </w:p>
    <w:p w14:paraId="012F07C1" w14:textId="77777777" w:rsidR="00C745C3" w:rsidRDefault="00AC72C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VII. La ley reglamentaria, determinará la manera en que los sujetos obligados deberán hacer pública la información relativa a los recursos públicos que entreguen a personas físicas o jurídicas colectivas.”</w:t>
      </w:r>
    </w:p>
    <w:p w14:paraId="044931A3" w14:textId="77777777" w:rsidR="00C745C3" w:rsidRDefault="00C745C3">
      <w:pPr>
        <w:ind w:left="567" w:right="567"/>
        <w:jc w:val="both"/>
        <w:rPr>
          <w:rFonts w:ascii="Palatino Linotype" w:eastAsia="Palatino Linotype" w:hAnsi="Palatino Linotype" w:cs="Palatino Linotype"/>
          <w:sz w:val="22"/>
          <w:szCs w:val="22"/>
        </w:rPr>
      </w:pPr>
    </w:p>
    <w:p w14:paraId="0701E860" w14:textId="77777777" w:rsidR="00C745C3" w:rsidRDefault="00AC72C1">
      <w:pPr>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F3C65A6" w14:textId="77777777" w:rsidR="00C745C3" w:rsidRDefault="00C745C3">
      <w:pPr>
        <w:spacing w:line="360" w:lineRule="auto"/>
        <w:ind w:left="567" w:right="567"/>
        <w:jc w:val="both"/>
        <w:rPr>
          <w:rFonts w:ascii="Palatino Linotype" w:eastAsia="Palatino Linotype" w:hAnsi="Palatino Linotype" w:cs="Palatino Linotype"/>
          <w:sz w:val="24"/>
          <w:szCs w:val="24"/>
        </w:rPr>
      </w:pPr>
    </w:p>
    <w:p w14:paraId="7B1489C4"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Adicional, tenemos que la Ley de Transparencia y Acceso a la Información Pública del Estado de México y Municipios, prevé en su artículo 23 fracción I, lo siguiente:</w:t>
      </w:r>
    </w:p>
    <w:p w14:paraId="5DF62F58" w14:textId="77777777" w:rsidR="00C745C3" w:rsidRDefault="00C745C3">
      <w:pPr>
        <w:spacing w:line="360" w:lineRule="auto"/>
        <w:jc w:val="both"/>
        <w:rPr>
          <w:rFonts w:ascii="Palatino Linotype" w:eastAsia="Palatino Linotype" w:hAnsi="Palatino Linotype" w:cs="Palatino Linotype"/>
          <w:sz w:val="24"/>
          <w:szCs w:val="24"/>
        </w:rPr>
      </w:pPr>
    </w:p>
    <w:p w14:paraId="488328A5" w14:textId="77777777" w:rsidR="00C745C3" w:rsidRDefault="00AC72C1">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23. Son sujetos obligados a transparentar y permitir el acceso a su información y proteger los datos personales que obren en su poder</w:t>
      </w:r>
      <w:r>
        <w:rPr>
          <w:rFonts w:ascii="Palatino Linotype" w:eastAsia="Palatino Linotype" w:hAnsi="Palatino Linotype" w:cs="Palatino Linotype"/>
          <w:i/>
          <w:sz w:val="22"/>
          <w:szCs w:val="22"/>
        </w:rPr>
        <w:t>:</w:t>
      </w:r>
    </w:p>
    <w:p w14:paraId="6ABB2E6F" w14:textId="77777777" w:rsidR="00C745C3" w:rsidRDefault="00AC72C1">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9F15921" w14:textId="77777777" w:rsidR="00C745C3" w:rsidRDefault="00AC72C1">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El Poder Ejecutivo del Estado de México, las dependencias, organismos auxiliares, órganos, entidades, fideicomisos y fondos públicos, así como la Fiscalía General de Justicia del Estado de México; </w:t>
      </w:r>
    </w:p>
    <w:p w14:paraId="2AF503AF" w14:textId="77777777" w:rsidR="00C745C3" w:rsidRDefault="00AC72C1">
      <w:pPr>
        <w:ind w:left="567" w:right="82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149B0900" w14:textId="77777777" w:rsidR="00C745C3" w:rsidRDefault="00AC72C1">
      <w:pPr>
        <w:ind w:left="567" w:right="82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deberán hacer pública toda aquella información relativa a los montos y las personas a quienes entreguen, por cualquier motivo, recursos públicos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así como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informes que dichas personas les entreguen sobre el uso y destino de dichos recursos.</w:t>
      </w:r>
    </w:p>
    <w:p w14:paraId="1AB4EFDD" w14:textId="77777777" w:rsidR="00C745C3" w:rsidRDefault="00C745C3">
      <w:pPr>
        <w:ind w:left="567" w:right="822"/>
        <w:jc w:val="both"/>
        <w:rPr>
          <w:rFonts w:ascii="Palatino Linotype" w:eastAsia="Palatino Linotype" w:hAnsi="Palatino Linotype" w:cs="Palatino Linotype"/>
          <w:b/>
          <w:i/>
          <w:sz w:val="22"/>
          <w:szCs w:val="22"/>
        </w:rPr>
      </w:pPr>
    </w:p>
    <w:p w14:paraId="2A62A0DE" w14:textId="77777777" w:rsidR="00C745C3" w:rsidRDefault="00AC72C1">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servidores públicos deberán transparentar sus acciones así como garantizar y respetar el derecho de acceso a la información pública.”</w:t>
      </w:r>
    </w:p>
    <w:p w14:paraId="24C2253D" w14:textId="77777777" w:rsidR="00C745C3" w:rsidRDefault="00AC72C1">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471B5EAA" w14:textId="77777777" w:rsidR="00C745C3" w:rsidRDefault="00C745C3">
      <w:pPr>
        <w:spacing w:line="360" w:lineRule="auto"/>
        <w:jc w:val="both"/>
        <w:rPr>
          <w:rFonts w:ascii="Palatino Linotype" w:eastAsia="Palatino Linotype" w:hAnsi="Palatino Linotype" w:cs="Palatino Linotype"/>
          <w:sz w:val="24"/>
          <w:szCs w:val="24"/>
        </w:rPr>
      </w:pPr>
    </w:p>
    <w:p w14:paraId="000B80DE"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 así que, conforme a los preceptos legales citados, se desprende que el derecho de acceso a la información pública es un derecho individual que puede ser </w:t>
      </w:r>
      <w:r>
        <w:rPr>
          <w:rFonts w:ascii="Palatino Linotype" w:eastAsia="Palatino Linotype" w:hAnsi="Palatino Linotype" w:cs="Palatino Linotype"/>
          <w:color w:val="000000"/>
          <w:sz w:val="24"/>
          <w:szCs w:val="24"/>
        </w:rPr>
        <w:lastRenderedPageBreak/>
        <w:t xml:space="preserve">ejercido ante cualquier autoridad, entidad, órgano u organismo, tanto federales, como estatales, de la Ciudad de México, o Municipales, con el fin de que los particulares conozcan toda aquella información que es considerada como pública. </w:t>
      </w:r>
    </w:p>
    <w:p w14:paraId="545B87B5"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56721A66"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anterior, es de referir que,</w:t>
      </w:r>
      <w:r>
        <w:rPr>
          <w:rFonts w:ascii="Palatino Linotype" w:eastAsia="Palatino Linotype" w:hAnsi="Palatino Linotype" w:cs="Palatino Linotype"/>
          <w:b/>
          <w:color w:val="000000"/>
          <w:sz w:val="24"/>
          <w:szCs w:val="24"/>
        </w:rPr>
        <w:t xml:space="preserve"> Servicios Educativos Integrados al Estado de México</w:t>
      </w:r>
      <w:r>
        <w:rPr>
          <w:rFonts w:ascii="Palatino Linotype" w:eastAsia="Palatino Linotype" w:hAnsi="Palatino Linotype" w:cs="Palatino Linotype"/>
          <w:color w:val="000000"/>
          <w:sz w:val="24"/>
          <w:szCs w:val="24"/>
        </w:rPr>
        <w:t>, al ser un Sujeto Obligado comprendido por la Legislación Local en materia de Transparencia, se encuentra obligado a hacer pública toda aquella información que genere, administre o posea.</w:t>
      </w:r>
    </w:p>
    <w:p w14:paraId="726B94E4" w14:textId="77777777" w:rsidR="00C745C3" w:rsidRDefault="00C745C3">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243BE6DE" w14:textId="77777777" w:rsidR="00C745C3" w:rsidRDefault="00AC72C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sz w:val="24"/>
          <w:szCs w:val="24"/>
        </w:rPr>
      </w:pPr>
      <w:bookmarkStart w:id="10" w:name="_heading=h.17dp8vu" w:colFirst="0" w:colLast="0"/>
      <w:bookmarkEnd w:id="10"/>
      <w:r>
        <w:rPr>
          <w:rFonts w:ascii="Palatino Linotype" w:eastAsia="Palatino Linotype" w:hAnsi="Palatino Linotype" w:cs="Palatino Linotype"/>
          <w:b/>
          <w:color w:val="000000"/>
          <w:sz w:val="24"/>
          <w:szCs w:val="24"/>
        </w:rPr>
        <w:t xml:space="preserve">II. De la información disponible en sitios electrónicos. </w:t>
      </w:r>
    </w:p>
    <w:p w14:paraId="291485D4"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135ECBD1" w14:textId="77777777" w:rsidR="00C745C3" w:rsidRDefault="00AC72C1">
      <w:pPr>
        <w:numPr>
          <w:ilvl w:val="0"/>
          <w:numId w:val="7"/>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4"/>
          <w:szCs w:val="24"/>
        </w:rPr>
        <w:t xml:space="preserve">Es necesario precisar que la Ley de Transparencia y Acceso a la Información Pública del Estado de México y Municipios establece en su artículo 11 que en </w:t>
      </w:r>
      <w:r>
        <w:rPr>
          <w:rFonts w:ascii="Palatino Linotype" w:eastAsia="Palatino Linotype" w:hAnsi="Palatino Linotype" w:cs="Palatino Linotype"/>
          <w:i/>
          <w:color w:val="000000"/>
          <w:sz w:val="24"/>
          <w:szCs w:val="24"/>
        </w:rPr>
        <w:t xml:space="preserve">la entrega de la información se deberá garantizar que ésta sea accesible, actualizada, completa, congruente, confiable, verificable, veraz, integral, oportuna y expedita. </w:t>
      </w:r>
      <w:r>
        <w:rPr>
          <w:rFonts w:ascii="Palatino Linotype" w:eastAsia="Palatino Linotype" w:hAnsi="Palatino Linotype" w:cs="Palatino Linotype"/>
          <w:color w:val="000000"/>
          <w:sz w:val="24"/>
          <w:szCs w:val="24"/>
        </w:rPr>
        <w:t>El artículo 161 de la Ley en comento, refiere lo siguiente:</w:t>
      </w:r>
    </w:p>
    <w:p w14:paraId="36BDD470" w14:textId="77777777" w:rsidR="00C745C3" w:rsidRDefault="00C745C3">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2B8B996A" w14:textId="77777777" w:rsidR="00C745C3" w:rsidRDefault="00AC72C1">
      <w:pPr>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161. Cuando la información requerida por el solicitante ya esté disponible al público </w:t>
      </w:r>
      <w:r>
        <w:rPr>
          <w:rFonts w:ascii="Palatino Linotype" w:eastAsia="Palatino Linotype" w:hAnsi="Palatino Linotype" w:cs="Palatino Linotype"/>
          <w:i/>
          <w:sz w:val="22"/>
          <w:szCs w:val="22"/>
        </w:rPr>
        <w:t xml:space="preserve">en medios impresos, tales como libros, compendios, trípticos, registros públicos, </w:t>
      </w:r>
      <w:r>
        <w:rPr>
          <w:rFonts w:ascii="Palatino Linotype" w:eastAsia="Palatino Linotype" w:hAnsi="Palatino Linotype" w:cs="Palatino Linotype"/>
          <w:b/>
          <w:i/>
          <w:sz w:val="22"/>
          <w:szCs w:val="22"/>
        </w:rPr>
        <w:t>en formatos electrónicos</w:t>
      </w:r>
      <w:r>
        <w:rPr>
          <w:rFonts w:ascii="Palatino Linotype" w:eastAsia="Palatino Linotype" w:hAnsi="Palatino Linotype" w:cs="Palatino Linotype"/>
          <w:i/>
          <w:sz w:val="22"/>
          <w:szCs w:val="22"/>
        </w:rPr>
        <w:t xml:space="preserve"> disponibles en Internet o en cualquier otro medio, </w:t>
      </w:r>
      <w:r>
        <w:rPr>
          <w:rFonts w:ascii="Palatino Linotype" w:eastAsia="Palatino Linotype" w:hAnsi="Palatino Linotype" w:cs="Palatino Linotype"/>
          <w:b/>
          <w:i/>
          <w:sz w:val="22"/>
          <w:szCs w:val="22"/>
        </w:rPr>
        <w:t xml:space="preserve">se le hará saber por el medio requerido por el solicitante la fuente, el lugar </w:t>
      </w:r>
      <w:r>
        <w:rPr>
          <w:rFonts w:ascii="Palatino Linotype" w:eastAsia="Palatino Linotype" w:hAnsi="Palatino Linotype" w:cs="Palatino Linotype"/>
          <w:b/>
          <w:i/>
          <w:sz w:val="22"/>
          <w:szCs w:val="22"/>
        </w:rPr>
        <w:lastRenderedPageBreak/>
        <w:t>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5895159" w14:textId="77777777" w:rsidR="00C745C3" w:rsidRDefault="00AC72C1">
      <w:pPr>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(Énfasis añadido)</w:t>
      </w:r>
    </w:p>
    <w:p w14:paraId="20029502" w14:textId="77777777" w:rsidR="00C745C3" w:rsidRDefault="00C745C3">
      <w:pPr>
        <w:spacing w:line="360" w:lineRule="auto"/>
        <w:ind w:left="567" w:right="567"/>
        <w:jc w:val="both"/>
        <w:rPr>
          <w:rFonts w:ascii="Palatino Linotype" w:eastAsia="Palatino Linotype" w:hAnsi="Palatino Linotype" w:cs="Palatino Linotype"/>
          <w:b/>
          <w:i/>
          <w:sz w:val="28"/>
          <w:szCs w:val="28"/>
        </w:rPr>
      </w:pPr>
    </w:p>
    <w:p w14:paraId="1E1B20C1"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Pr>
          <w:rFonts w:ascii="Palatino Linotype" w:eastAsia="Palatino Linotype" w:hAnsi="Palatino Linotype" w:cs="Palatino Linotype"/>
          <w:b/>
          <w:color w:val="000000"/>
          <w:sz w:val="24"/>
          <w:szCs w:val="24"/>
        </w:rPr>
        <w:t xml:space="preserve">Esta dirección electrónica debe ser precisa, de tal modo que no implique realizar una búsqueda en toda la información que ahí se encuentre, o bien, </w:t>
      </w:r>
      <w:r>
        <w:rPr>
          <w:rFonts w:ascii="Palatino Linotype" w:eastAsia="Palatino Linotype" w:hAnsi="Palatino Linotype" w:cs="Palatino Linotype"/>
          <w:color w:val="000000"/>
          <w:sz w:val="24"/>
          <w:szCs w:val="24"/>
        </w:rPr>
        <w:t>acompañada del procedimiento a seguir, en caso de que la información se encuentre en distintos puntos del sitio electrónico referido.</w:t>
      </w:r>
    </w:p>
    <w:p w14:paraId="11C45A57"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34CA875C"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4"/>
          <w:szCs w:val="24"/>
        </w:rPr>
        <w:t>El Sujeto Obligado en su respuesta remitió las siguientes direcciones electrónicas:</w:t>
      </w:r>
    </w:p>
    <w:p w14:paraId="58B7A066" w14:textId="77777777" w:rsidR="00C745C3" w:rsidRDefault="00C745C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szCs w:val="24"/>
        </w:rPr>
      </w:pPr>
    </w:p>
    <w:p w14:paraId="179149F1" w14:textId="77777777" w:rsidR="00C745C3" w:rsidRDefault="00AC72C1">
      <w:pPr>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https://compramex.edomex.gob.mx/compramex/public/home.xhtml</w:t>
      </w:r>
    </w:p>
    <w:p w14:paraId="3BCE50B5" w14:textId="77777777" w:rsidR="00C745C3" w:rsidRDefault="00AC72C1">
      <w:pPr>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https://compramex.edomex.gob.mx/compramex/public/catalogosExternos/procedimientsoAdquisitivos.xhtml</w:t>
      </w:r>
    </w:p>
    <w:p w14:paraId="74FB0565" w14:textId="77777777" w:rsidR="00C745C3" w:rsidRDefault="00C745C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szCs w:val="24"/>
        </w:rPr>
      </w:pPr>
    </w:p>
    <w:p w14:paraId="5D0AE522" w14:textId="77777777" w:rsidR="00C745C3" w:rsidRDefault="00AC72C1">
      <w:pPr>
        <w:numPr>
          <w:ilvl w:val="0"/>
          <w:numId w:val="7"/>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Al consultarlas se localiza la siguiente información:</w:t>
      </w:r>
    </w:p>
    <w:p w14:paraId="0605237F" w14:textId="77777777" w:rsidR="00C745C3" w:rsidRDefault="00AC72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lang w:eastAsia="es-MX"/>
        </w:rPr>
        <w:drawing>
          <wp:inline distT="0" distB="0" distL="0" distR="0" wp14:anchorId="0CBAA7C1" wp14:editId="6FC24053">
            <wp:extent cx="5742940" cy="349694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42940" cy="3496945"/>
                    </a:xfrm>
                    <a:prstGeom prst="rect">
                      <a:avLst/>
                    </a:prstGeom>
                    <a:ln/>
                  </pic:spPr>
                </pic:pic>
              </a:graphicData>
            </a:graphic>
          </wp:inline>
        </w:drawing>
      </w:r>
    </w:p>
    <w:p w14:paraId="0E2F5FF5" w14:textId="77777777" w:rsidR="00C745C3" w:rsidRDefault="00C745C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szCs w:val="24"/>
        </w:rPr>
      </w:pPr>
    </w:p>
    <w:p w14:paraId="4A8102E9" w14:textId="77777777" w:rsidR="00C745C3" w:rsidRDefault="00AC72C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lang w:eastAsia="es-MX"/>
        </w:rPr>
        <w:lastRenderedPageBreak/>
        <w:drawing>
          <wp:inline distT="0" distB="0" distL="0" distR="0" wp14:anchorId="0A2A9D3E" wp14:editId="1FDF09D9">
            <wp:extent cx="5742940" cy="347916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42940" cy="3479165"/>
                    </a:xfrm>
                    <a:prstGeom prst="rect">
                      <a:avLst/>
                    </a:prstGeom>
                    <a:ln/>
                  </pic:spPr>
                </pic:pic>
              </a:graphicData>
            </a:graphic>
          </wp:inline>
        </w:drawing>
      </w:r>
    </w:p>
    <w:p w14:paraId="5259745E" w14:textId="77777777" w:rsidR="00C745C3" w:rsidRDefault="00C745C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szCs w:val="24"/>
        </w:rPr>
      </w:pPr>
    </w:p>
    <w:p w14:paraId="4CD21E2D" w14:textId="640D908B" w:rsidR="00C745C3" w:rsidRDefault="00AC72C1">
      <w:pPr>
        <w:numPr>
          <w:ilvl w:val="0"/>
          <w:numId w:val="7"/>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Tal y como se aprecia, si bien es cierto, las direcciones electrónicas proporcionadas dirigen a la página oficial de COMPRAMEX, también es cierto que no se proporcionó el procedimiento correcto y específico para acceder a la información </w:t>
      </w:r>
      <w:r w:rsidR="00A750EA">
        <w:rPr>
          <w:rFonts w:ascii="Palatino Linotype" w:eastAsia="Palatino Linotype" w:hAnsi="Palatino Linotype" w:cs="Palatino Linotype"/>
          <w:color w:val="000000"/>
          <w:sz w:val="24"/>
          <w:szCs w:val="24"/>
        </w:rPr>
        <w:t>a la cual remite, en este caso,</w:t>
      </w:r>
      <w:r>
        <w:rPr>
          <w:rFonts w:ascii="Palatino Linotype" w:eastAsia="Palatino Linotype" w:hAnsi="Palatino Linotype" w:cs="Palatino Linotype"/>
          <w:color w:val="000000"/>
          <w:sz w:val="24"/>
          <w:szCs w:val="24"/>
        </w:rPr>
        <w:t xml:space="preserve"> al expediente de la licitación.</w:t>
      </w:r>
    </w:p>
    <w:p w14:paraId="33DC90FF" w14:textId="77777777" w:rsidR="009940A5" w:rsidRDefault="009940A5" w:rsidP="009940A5">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szCs w:val="24"/>
        </w:rPr>
      </w:pPr>
    </w:p>
    <w:p w14:paraId="2FB348A6" w14:textId="77777777" w:rsidR="009940A5" w:rsidRPr="004A1512" w:rsidRDefault="009940A5" w:rsidP="009940A5">
      <w:pPr>
        <w:pStyle w:val="Prrafodelista"/>
        <w:numPr>
          <w:ilvl w:val="0"/>
          <w:numId w:val="7"/>
        </w:numPr>
        <w:spacing w:before="240" w:after="240" w:line="360" w:lineRule="auto"/>
        <w:ind w:left="0" w:right="48" w:firstLine="0"/>
        <w:jc w:val="both"/>
        <w:rPr>
          <w:rFonts w:ascii="Palatino Linotype" w:eastAsia="MS Gothic" w:hAnsi="Palatino Linotype"/>
          <w:sz w:val="24"/>
        </w:rPr>
      </w:pPr>
      <w:r w:rsidRPr="004A1512">
        <w:rPr>
          <w:rFonts w:ascii="Palatino Linotype" w:eastAsia="MS Gothic" w:hAnsi="Palatino Linotype"/>
          <w:sz w:val="24"/>
        </w:rPr>
        <w:t xml:space="preserve">En este sentido, </w:t>
      </w:r>
      <w:r w:rsidRPr="004A1512">
        <w:rPr>
          <w:rFonts w:ascii="Palatino Linotype" w:hAnsi="Palatino Linotype"/>
          <w:sz w:val="24"/>
          <w:lang w:val="es-ES"/>
        </w:rPr>
        <w:t xml:space="preserve">toda aquella información que sea requerida por los Particulares pero que, previamente se encuentre disponible en sitios electrónicos, </w:t>
      </w:r>
      <w:r w:rsidRPr="004A1512">
        <w:rPr>
          <w:rFonts w:ascii="Palatino Linotype" w:hAnsi="Palatino Linotype"/>
          <w:sz w:val="24"/>
          <w:lang w:val="es-ES"/>
        </w:rPr>
        <w:lastRenderedPageBreak/>
        <w:t xml:space="preserve">como puede ser de manera enunciativa más no limitativa, el sitio oficial del </w:t>
      </w:r>
      <w:r w:rsidRPr="004A1512">
        <w:rPr>
          <w:rFonts w:ascii="Palatino Linotype" w:hAnsi="Palatino Linotype"/>
          <w:b/>
          <w:bCs/>
          <w:sz w:val="24"/>
          <w:lang w:val="es-ES"/>
        </w:rPr>
        <w:t>SUJETO OBLIGADO</w:t>
      </w:r>
      <w:r w:rsidRPr="004A1512">
        <w:rPr>
          <w:rFonts w:ascii="Palatino Linotype" w:hAnsi="Palatino Linotype"/>
          <w:sz w:val="24"/>
          <w:lang w:val="es-ES"/>
        </w:rPr>
        <w:t xml:space="preserve">, el portal IPOMEX o </w:t>
      </w:r>
      <w:r w:rsidRPr="004A1512">
        <w:rPr>
          <w:rFonts w:ascii="Palatino Linotype" w:hAnsi="Palatino Linotype"/>
          <w:bCs/>
          <w:sz w:val="24"/>
          <w:lang w:val="es-ES"/>
        </w:rPr>
        <w:t>las páginas institucionales o fuentes oficiales</w:t>
      </w:r>
      <w:r w:rsidRPr="004A1512">
        <w:rPr>
          <w:rFonts w:ascii="Palatino Linotype" w:hAnsi="Palatino Linotype"/>
          <w:sz w:val="24"/>
          <w:lang w:val="es-ES"/>
        </w:rPr>
        <w:t>. Los Sujetos Obligado pueden indicar la dirección electrónica donde obra la información solicitada, debiendo cumplir una serie de requisitos a saber:</w:t>
      </w:r>
    </w:p>
    <w:p w14:paraId="0BF6E31F" w14:textId="77777777" w:rsidR="009940A5" w:rsidRPr="004A1512" w:rsidRDefault="009940A5" w:rsidP="009940A5">
      <w:pPr>
        <w:pStyle w:val="Prrafodelista"/>
        <w:spacing w:before="240" w:after="240" w:line="360" w:lineRule="auto"/>
        <w:ind w:left="0" w:right="48"/>
        <w:jc w:val="both"/>
        <w:rPr>
          <w:rFonts w:ascii="Palatino Linotype" w:eastAsia="MS Gothic" w:hAnsi="Palatino Linotype"/>
          <w:sz w:val="24"/>
        </w:rPr>
      </w:pPr>
    </w:p>
    <w:p w14:paraId="1973D56F" w14:textId="77777777" w:rsidR="009940A5" w:rsidRPr="004A1512" w:rsidRDefault="009940A5" w:rsidP="009940A5">
      <w:pPr>
        <w:pStyle w:val="Prrafodelista"/>
        <w:numPr>
          <w:ilvl w:val="0"/>
          <w:numId w:val="10"/>
        </w:numPr>
        <w:spacing w:before="240" w:after="240" w:line="360" w:lineRule="auto"/>
        <w:ind w:right="48"/>
        <w:jc w:val="both"/>
        <w:rPr>
          <w:rFonts w:ascii="Palatino Linotype" w:hAnsi="Palatino Linotype"/>
          <w:b/>
          <w:sz w:val="24"/>
          <w:lang w:val="es-ES"/>
        </w:rPr>
      </w:pPr>
      <w:r w:rsidRPr="004A1512">
        <w:rPr>
          <w:rFonts w:ascii="Palatino Linotype" w:hAnsi="Palatino Linotype"/>
          <w:b/>
          <w:sz w:val="24"/>
          <w:lang w:val="es-ES"/>
        </w:rPr>
        <w:t>La dirección electrónica debe señalarse en un plazo no mayor a cinco días hábiles;</w:t>
      </w:r>
    </w:p>
    <w:p w14:paraId="0BCFCD82" w14:textId="77777777" w:rsidR="009940A5" w:rsidRPr="004A1512" w:rsidRDefault="009940A5" w:rsidP="009940A5">
      <w:pPr>
        <w:pStyle w:val="Prrafodelista"/>
        <w:numPr>
          <w:ilvl w:val="0"/>
          <w:numId w:val="10"/>
        </w:numPr>
        <w:spacing w:before="240" w:after="240" w:line="360" w:lineRule="auto"/>
        <w:ind w:right="48"/>
        <w:jc w:val="both"/>
        <w:rPr>
          <w:rFonts w:ascii="Palatino Linotype" w:hAnsi="Palatino Linotype"/>
          <w:b/>
          <w:sz w:val="24"/>
          <w:lang w:val="es-ES"/>
        </w:rPr>
      </w:pPr>
      <w:r w:rsidRPr="004A1512">
        <w:rPr>
          <w:rFonts w:ascii="Palatino Linotype" w:hAnsi="Palatino Linotype"/>
          <w:b/>
          <w:sz w:val="24"/>
          <w:lang w:val="es-ES"/>
        </w:rPr>
        <w:t>La dirección electrónica debe ser precisa, de tal modo que no implique realizar una búsqueda en toda la información que ahí se encuentre; y,</w:t>
      </w:r>
    </w:p>
    <w:p w14:paraId="3E0BA0F6" w14:textId="77777777" w:rsidR="009940A5" w:rsidRPr="004A1512" w:rsidRDefault="009940A5" w:rsidP="009940A5">
      <w:pPr>
        <w:pStyle w:val="Prrafodelista"/>
        <w:numPr>
          <w:ilvl w:val="0"/>
          <w:numId w:val="10"/>
        </w:numPr>
        <w:spacing w:before="240" w:after="240" w:line="360" w:lineRule="auto"/>
        <w:ind w:right="48"/>
        <w:jc w:val="both"/>
        <w:rPr>
          <w:rFonts w:ascii="Palatino Linotype" w:eastAsia="MS Gothic" w:hAnsi="Palatino Linotype"/>
          <w:sz w:val="24"/>
        </w:rPr>
      </w:pPr>
      <w:r w:rsidRPr="004A1512">
        <w:rPr>
          <w:rFonts w:ascii="Palatino Linotype" w:hAnsi="Palatino Linotype"/>
          <w:b/>
          <w:sz w:val="24"/>
          <w:lang w:val="es-ES"/>
        </w:rPr>
        <w:t>La dirección electrónica debe ir acompañada del procedimiento a seguir, en caso de que la información se encuentre en distintos puntos del sitio electrónico referido; y,</w:t>
      </w:r>
    </w:p>
    <w:p w14:paraId="5F2AC1B3" w14:textId="77777777" w:rsidR="009940A5" w:rsidRPr="004A1512" w:rsidRDefault="009940A5" w:rsidP="009940A5">
      <w:pPr>
        <w:pStyle w:val="Prrafodelista"/>
        <w:numPr>
          <w:ilvl w:val="0"/>
          <w:numId w:val="10"/>
        </w:numPr>
        <w:spacing w:before="240" w:after="240" w:line="360" w:lineRule="auto"/>
        <w:ind w:right="48"/>
        <w:jc w:val="both"/>
        <w:rPr>
          <w:rFonts w:ascii="Palatino Linotype" w:eastAsia="MS Gothic" w:hAnsi="Palatino Linotype"/>
          <w:sz w:val="24"/>
        </w:rPr>
      </w:pPr>
      <w:r w:rsidRPr="004A1512">
        <w:rPr>
          <w:rFonts w:ascii="Palatino Linotype" w:hAnsi="Palatino Linotype"/>
          <w:b/>
          <w:sz w:val="24"/>
          <w:lang w:val="es-ES"/>
        </w:rPr>
        <w:t>La dirección electrónica se debe entregar en formato abierto, para que el Recurrente pueda copiar y pegar sin la necesidad de transcribir la liga electrónica.</w:t>
      </w:r>
    </w:p>
    <w:p w14:paraId="0655E30C" w14:textId="77777777" w:rsidR="009940A5" w:rsidRPr="004A1512" w:rsidRDefault="009940A5" w:rsidP="009940A5">
      <w:pPr>
        <w:pStyle w:val="Prrafodelista"/>
        <w:spacing w:line="360" w:lineRule="auto"/>
        <w:ind w:left="0"/>
        <w:jc w:val="both"/>
        <w:rPr>
          <w:rFonts w:ascii="Palatino Linotype" w:hAnsi="Palatino Linotype" w:cs="Arial"/>
          <w:sz w:val="24"/>
          <w:lang w:val="es-ES"/>
        </w:rPr>
      </w:pPr>
    </w:p>
    <w:p w14:paraId="27F3EFDE" w14:textId="77777777" w:rsidR="009940A5" w:rsidRPr="004A1512" w:rsidRDefault="009940A5" w:rsidP="009940A5">
      <w:pPr>
        <w:pStyle w:val="Prrafodelista"/>
        <w:numPr>
          <w:ilvl w:val="0"/>
          <w:numId w:val="7"/>
        </w:numPr>
        <w:spacing w:line="360" w:lineRule="auto"/>
        <w:ind w:left="0" w:firstLine="0"/>
        <w:jc w:val="both"/>
        <w:rPr>
          <w:rFonts w:ascii="Palatino Linotype" w:hAnsi="Palatino Linotype" w:cs="Arial"/>
          <w:sz w:val="24"/>
          <w:lang w:val="es-ES"/>
        </w:rPr>
      </w:pPr>
      <w:r w:rsidRPr="004A1512">
        <w:rPr>
          <w:rFonts w:ascii="Palatino Linotype" w:eastAsia="MS Gothic" w:hAnsi="Palatino Linotype"/>
          <w:sz w:val="24"/>
        </w:rPr>
        <w:t xml:space="preserve">Precisado lo anterior, </w:t>
      </w:r>
      <w:r w:rsidRPr="004A1512">
        <w:rPr>
          <w:rFonts w:ascii="Palatino Linotype" w:eastAsia="Calibri" w:hAnsi="Palatino Linotype" w:cs="Tahoma"/>
          <w:b/>
          <w:bCs/>
          <w:sz w:val="24"/>
        </w:rPr>
        <w:t>no se advierte</w:t>
      </w:r>
      <w:r w:rsidRPr="004A1512">
        <w:rPr>
          <w:rFonts w:ascii="Palatino Linotype" w:eastAsia="Calibri" w:hAnsi="Palatino Linotype" w:cs="Tahoma"/>
          <w:bCs/>
          <w:sz w:val="24"/>
        </w:rPr>
        <w:t xml:space="preserve"> que la información remitida en respuesta sirva para atender a la solicitud de información. Toda vez que, el </w:t>
      </w:r>
      <w:r w:rsidRPr="004A1512">
        <w:rPr>
          <w:rFonts w:ascii="Palatino Linotype" w:eastAsia="Calibri" w:hAnsi="Palatino Linotype" w:cs="Tahoma"/>
          <w:b/>
          <w:bCs/>
          <w:sz w:val="24"/>
        </w:rPr>
        <w:t>SUJETO OBLIGADO</w:t>
      </w:r>
      <w:r w:rsidRPr="004A1512">
        <w:rPr>
          <w:rFonts w:ascii="Palatino Linotype" w:eastAsia="Calibri" w:hAnsi="Palatino Linotype" w:cs="Tahoma"/>
          <w:bCs/>
          <w:sz w:val="24"/>
        </w:rPr>
        <w:t xml:space="preserve"> remitió las ligas de acceso directo </w:t>
      </w:r>
      <w:r w:rsidRPr="004A1512">
        <w:rPr>
          <w:rFonts w:ascii="Palatino Linotype" w:eastAsia="Calibri" w:hAnsi="Palatino Linotype" w:cs="Tahoma"/>
          <w:b/>
          <w:bCs/>
          <w:sz w:val="24"/>
        </w:rPr>
        <w:t>en formato cerrado</w:t>
      </w:r>
      <w:r w:rsidRPr="004A1512">
        <w:rPr>
          <w:rFonts w:ascii="Palatino Linotype" w:eastAsia="Calibri" w:hAnsi="Palatino Linotype" w:cs="Tahoma"/>
          <w:bCs/>
          <w:sz w:val="24"/>
        </w:rPr>
        <w:t xml:space="preserve">, en este sentido, para su reproducción sería necesario la digitalización de cada uno de los caracteres, lo </w:t>
      </w:r>
      <w:r w:rsidRPr="004A1512">
        <w:rPr>
          <w:rFonts w:ascii="Palatino Linotype" w:eastAsia="Calibri" w:hAnsi="Palatino Linotype" w:cs="Tahoma"/>
          <w:bCs/>
          <w:sz w:val="24"/>
        </w:rPr>
        <w:lastRenderedPageBreak/>
        <w:t xml:space="preserve">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Pr="004A1512">
        <w:rPr>
          <w:rFonts w:ascii="Palatino Linotype" w:eastAsia="Calibri" w:hAnsi="Palatino Linotype" w:cs="Tahoma"/>
          <w:b/>
          <w:bCs/>
          <w:sz w:val="24"/>
        </w:rPr>
        <w:t>en formatos abiertos, con los efectos de facilitar la reutilización de la información. Además de que se proporciona fuera del plazo que establece el artículo 161 antes citado.</w:t>
      </w:r>
    </w:p>
    <w:p w14:paraId="5445ED71" w14:textId="77777777" w:rsidR="009940A5" w:rsidRPr="004A1512" w:rsidRDefault="009940A5" w:rsidP="009940A5">
      <w:pPr>
        <w:pStyle w:val="Prrafodelista"/>
        <w:spacing w:line="360" w:lineRule="auto"/>
        <w:ind w:left="0"/>
        <w:jc w:val="both"/>
        <w:rPr>
          <w:rFonts w:ascii="Palatino Linotype" w:eastAsia="Calibri" w:hAnsi="Palatino Linotype" w:cs="Tahoma"/>
          <w:b/>
          <w:bCs/>
          <w:sz w:val="24"/>
        </w:rPr>
      </w:pPr>
    </w:p>
    <w:p w14:paraId="19B2E111" w14:textId="77777777" w:rsidR="009940A5" w:rsidRPr="004A1512" w:rsidRDefault="009940A5" w:rsidP="009940A5">
      <w:pPr>
        <w:pStyle w:val="Prrafodelista"/>
        <w:numPr>
          <w:ilvl w:val="0"/>
          <w:numId w:val="7"/>
        </w:numPr>
        <w:tabs>
          <w:tab w:val="left" w:pos="851"/>
        </w:tabs>
        <w:spacing w:before="240" w:after="240" w:line="360" w:lineRule="auto"/>
        <w:ind w:left="0" w:right="49" w:firstLine="0"/>
        <w:jc w:val="both"/>
        <w:rPr>
          <w:rFonts w:ascii="Palatino Linotype" w:hAnsi="Palatino Linotype"/>
          <w:sz w:val="24"/>
          <w:lang w:val="es-ES"/>
        </w:rPr>
      </w:pPr>
      <w:r w:rsidRPr="004A1512">
        <w:rPr>
          <w:rFonts w:ascii="Palatino Linotype" w:eastAsia="Calibri" w:hAnsi="Palatino Linotype" w:cs="Tahoma"/>
          <w:bCs/>
          <w:sz w:val="24"/>
        </w:rPr>
        <w:t xml:space="preserve">Se informa al </w:t>
      </w:r>
      <w:r w:rsidRPr="004A1512">
        <w:rPr>
          <w:rFonts w:ascii="Palatino Linotype" w:eastAsia="Calibri" w:hAnsi="Palatino Linotype" w:cs="Tahoma"/>
          <w:b/>
          <w:bCs/>
          <w:sz w:val="24"/>
        </w:rPr>
        <w:t>SUJETO OBLIGADO</w:t>
      </w:r>
      <w:r w:rsidRPr="004A1512">
        <w:rPr>
          <w:rFonts w:ascii="Palatino Linotype" w:eastAsia="Calibri" w:hAnsi="Palatino Linotype" w:cs="Tahoma"/>
          <w:bCs/>
          <w:sz w:val="24"/>
        </w:rPr>
        <w:t>, que, cuando realice la entrega de la información a través de links o enlaces electrónicos para el acceso directo, no medie la digitación, que permita al usuario a cometer un error humano en la misma transcripción de la información.</w:t>
      </w:r>
    </w:p>
    <w:p w14:paraId="7E711AEB" w14:textId="77777777" w:rsidR="009940A5" w:rsidRPr="004A1512" w:rsidRDefault="009940A5" w:rsidP="009940A5">
      <w:pPr>
        <w:pStyle w:val="Prrafodelista"/>
        <w:rPr>
          <w:rFonts w:ascii="Palatino Linotype" w:hAnsi="Palatino Linotype"/>
          <w:sz w:val="24"/>
          <w:lang w:val="es-ES"/>
        </w:rPr>
      </w:pPr>
    </w:p>
    <w:p w14:paraId="5422B017" w14:textId="77777777" w:rsidR="009940A5" w:rsidRPr="004A1512" w:rsidRDefault="009940A5" w:rsidP="009940A5">
      <w:pPr>
        <w:pStyle w:val="Prrafodelista"/>
        <w:numPr>
          <w:ilvl w:val="0"/>
          <w:numId w:val="7"/>
        </w:numPr>
        <w:spacing w:line="360" w:lineRule="auto"/>
        <w:ind w:left="0" w:firstLine="0"/>
        <w:jc w:val="both"/>
        <w:rPr>
          <w:rFonts w:ascii="Palatino Linotype" w:hAnsi="Palatino Linotype" w:cs="Arial"/>
          <w:sz w:val="28"/>
          <w:lang w:val="es-ES"/>
        </w:rPr>
      </w:pPr>
      <w:r w:rsidRPr="004A1512">
        <w:rPr>
          <w:rFonts w:ascii="Palatino Linotype" w:hAnsi="Palatino Linotype"/>
          <w:sz w:val="24"/>
          <w:lang w:val="es-ES"/>
        </w:rPr>
        <w:t>Se enfatiza el hecho de verificar que la información a entregar cumpla con las características y cualidades que establece el referido artículo 11 de la Ley de Transparencia Local, el cual contiene lo siguiente:</w:t>
      </w:r>
    </w:p>
    <w:p w14:paraId="51CA52F9" w14:textId="77777777" w:rsidR="009940A5" w:rsidRPr="004A1512" w:rsidRDefault="009940A5" w:rsidP="009940A5">
      <w:pPr>
        <w:pStyle w:val="Prrafodelista"/>
        <w:rPr>
          <w:rFonts w:ascii="Palatino Linotype" w:hAnsi="Palatino Linotype" w:cs="Arial"/>
          <w:sz w:val="28"/>
          <w:lang w:val="es-ES"/>
        </w:rPr>
      </w:pPr>
    </w:p>
    <w:p w14:paraId="59DDF485" w14:textId="77777777" w:rsidR="009940A5" w:rsidRPr="004A1512" w:rsidRDefault="009940A5" w:rsidP="009940A5">
      <w:pPr>
        <w:pStyle w:val="Prrafodelista"/>
        <w:spacing w:line="360" w:lineRule="auto"/>
        <w:ind w:left="567" w:right="822"/>
        <w:jc w:val="both"/>
        <w:rPr>
          <w:rFonts w:ascii="Palatino Linotype" w:hAnsi="Palatino Linotype" w:cs="Arial"/>
          <w:i/>
          <w:sz w:val="24"/>
          <w:lang w:val="es-ES"/>
        </w:rPr>
      </w:pPr>
      <w:r w:rsidRPr="004A1512">
        <w:rPr>
          <w:rFonts w:ascii="Palatino Linotype" w:hAnsi="Palatino Linotype" w:cs="Arial"/>
          <w:b/>
          <w:i/>
          <w:sz w:val="24"/>
          <w:lang w:val="es-ES"/>
        </w:rPr>
        <w:t>Artículo 11. En la generación, publicación y entrega de información se deberá garantizar que ésta sea accesible,</w:t>
      </w:r>
      <w:r w:rsidRPr="004A1512">
        <w:rPr>
          <w:rFonts w:ascii="Palatino Linotype" w:hAnsi="Palatino Linotype" w:cs="Arial"/>
          <w:i/>
          <w:sz w:val="24"/>
          <w:lang w:val="es-ES"/>
        </w:rPr>
        <w:t xml:space="preserve"> actualizada, completa, congruente, confiable, verificable, veraz, integral, oportuna y expedita, sujeta a un claro régimen de excepciones que deberá estar definido y ser además legítima y </w:t>
      </w:r>
      <w:r w:rsidRPr="004A1512">
        <w:rPr>
          <w:rFonts w:ascii="Palatino Linotype" w:hAnsi="Palatino Linotype" w:cs="Arial"/>
          <w:i/>
          <w:sz w:val="24"/>
          <w:lang w:val="es-ES"/>
        </w:rPr>
        <w:lastRenderedPageBreak/>
        <w:t>estrictamente necesaria en una sociedad democrática, por lo que atenderá las necesidades del derecho de acceso a la información de toda persona.</w:t>
      </w:r>
    </w:p>
    <w:p w14:paraId="32FA78E5" w14:textId="77777777" w:rsidR="009940A5" w:rsidRPr="004A1512" w:rsidRDefault="009940A5" w:rsidP="009940A5">
      <w:pPr>
        <w:spacing w:line="360" w:lineRule="auto"/>
        <w:ind w:right="822"/>
        <w:jc w:val="both"/>
        <w:rPr>
          <w:rFonts w:ascii="Palatino Linotype" w:hAnsi="Palatino Linotype" w:cs="Arial"/>
          <w:i/>
          <w:sz w:val="24"/>
          <w:lang w:val="es-ES"/>
        </w:rPr>
      </w:pPr>
    </w:p>
    <w:p w14:paraId="4DFCB638" w14:textId="77777777" w:rsidR="009940A5" w:rsidRPr="004A1512" w:rsidRDefault="009940A5" w:rsidP="009940A5">
      <w:pPr>
        <w:pStyle w:val="Prrafodelista"/>
        <w:numPr>
          <w:ilvl w:val="0"/>
          <w:numId w:val="7"/>
        </w:numPr>
        <w:spacing w:line="360" w:lineRule="auto"/>
        <w:ind w:left="0" w:firstLine="0"/>
        <w:jc w:val="both"/>
        <w:rPr>
          <w:rFonts w:ascii="Palatino Linotype" w:hAnsi="Palatino Linotype" w:cs="Arial"/>
          <w:sz w:val="28"/>
          <w:lang w:val="es-ES"/>
        </w:rPr>
      </w:pPr>
      <w:r w:rsidRPr="004A1512">
        <w:rPr>
          <w:rFonts w:ascii="Palatino Linotype" w:hAnsi="Palatino Linotype"/>
          <w:sz w:val="24"/>
          <w:lang w:val="es-ES"/>
        </w:rPr>
        <w:t>Tal y como se muestra en el precepto legal citado, en la entrega de la información se debe garantizar que esta sea accesible, lo cual se relaciona con el artículo 22 del mismo cuerpo normativo, el cual refiere lo siguiente:</w:t>
      </w:r>
    </w:p>
    <w:p w14:paraId="72E751B1" w14:textId="77777777" w:rsidR="009940A5" w:rsidRPr="004A1512" w:rsidRDefault="009940A5" w:rsidP="009940A5">
      <w:pPr>
        <w:pStyle w:val="Prrafodelista"/>
        <w:ind w:left="0"/>
        <w:rPr>
          <w:rFonts w:ascii="Palatino Linotype" w:hAnsi="Palatino Linotype"/>
          <w:lang w:val="es-ES"/>
        </w:rPr>
      </w:pPr>
    </w:p>
    <w:p w14:paraId="2F35DADA" w14:textId="77777777" w:rsidR="009940A5" w:rsidRPr="004A1512" w:rsidRDefault="009940A5" w:rsidP="009940A5">
      <w:pPr>
        <w:pStyle w:val="Prrafodelista"/>
        <w:tabs>
          <w:tab w:val="left" w:pos="426"/>
          <w:tab w:val="left" w:pos="851"/>
        </w:tabs>
        <w:spacing w:before="240" w:after="240" w:line="360" w:lineRule="auto"/>
        <w:ind w:left="567" w:right="616"/>
        <w:jc w:val="both"/>
        <w:rPr>
          <w:rFonts w:ascii="Palatino Linotype" w:hAnsi="Palatino Linotype"/>
          <w:i/>
          <w:lang w:val="es-ES"/>
        </w:rPr>
      </w:pPr>
      <w:r w:rsidRPr="004A1512">
        <w:rPr>
          <w:rFonts w:ascii="Palatino Linotype" w:hAnsi="Palatino Linotype"/>
          <w:b/>
          <w:i/>
          <w:lang w:val="es-ES"/>
        </w:rPr>
        <w:t>Artículo 22. En el procedimiento de acceso, entrega y publicación de la información se propiciarán las condiciones necesarias para que ésta sea accesible a cualquier persona</w:t>
      </w:r>
      <w:r w:rsidRPr="004A1512">
        <w:rPr>
          <w:rFonts w:ascii="Palatino Linotype" w:hAnsi="Palatino Linotype"/>
          <w:i/>
          <w:lang w:val="es-ES"/>
        </w:rPr>
        <w:t>, de conformidad con el artículo 5 de la Constitución Local y demás disposiciones de la materia.</w:t>
      </w:r>
    </w:p>
    <w:p w14:paraId="4019B83C" w14:textId="77777777" w:rsidR="009940A5" w:rsidRPr="004A1512" w:rsidRDefault="009940A5" w:rsidP="009940A5">
      <w:pPr>
        <w:pStyle w:val="Prrafodelista"/>
        <w:tabs>
          <w:tab w:val="left" w:pos="851"/>
        </w:tabs>
        <w:spacing w:before="240" w:after="240" w:line="360" w:lineRule="auto"/>
        <w:ind w:left="0" w:right="49"/>
        <w:jc w:val="both"/>
        <w:rPr>
          <w:rFonts w:ascii="Palatino Linotype" w:hAnsi="Palatino Linotype"/>
          <w:lang w:val="es-ES"/>
        </w:rPr>
      </w:pPr>
    </w:p>
    <w:p w14:paraId="35BDA3E0" w14:textId="77777777" w:rsidR="009940A5" w:rsidRPr="004A1512" w:rsidRDefault="009940A5" w:rsidP="009940A5">
      <w:pPr>
        <w:pStyle w:val="Prrafodelista"/>
        <w:numPr>
          <w:ilvl w:val="0"/>
          <w:numId w:val="7"/>
        </w:numPr>
        <w:tabs>
          <w:tab w:val="left" w:pos="851"/>
        </w:tabs>
        <w:spacing w:before="240" w:after="240" w:line="360" w:lineRule="auto"/>
        <w:ind w:left="0" w:right="49" w:firstLine="0"/>
        <w:jc w:val="both"/>
        <w:rPr>
          <w:rFonts w:ascii="Palatino Linotype" w:hAnsi="Palatino Linotype"/>
          <w:sz w:val="24"/>
          <w:lang w:val="es-ES"/>
        </w:rPr>
      </w:pPr>
      <w:r w:rsidRPr="004A1512">
        <w:rPr>
          <w:rFonts w:ascii="Palatino Linotype" w:hAnsi="Palatino Linotype"/>
          <w:sz w:val="24"/>
          <w:lang w:val="es-ES"/>
        </w:rPr>
        <w:t>Al establecer “</w:t>
      </w:r>
      <w:r w:rsidRPr="004A1512">
        <w:rPr>
          <w:rFonts w:ascii="Palatino Linotype" w:hAnsi="Palatino Linotype"/>
          <w:i/>
          <w:sz w:val="24"/>
          <w:lang w:val="es-ES"/>
        </w:rPr>
        <w:t>condiciones necesarias para que esta sea accesible</w:t>
      </w:r>
      <w:r w:rsidRPr="004A1512">
        <w:rPr>
          <w:rFonts w:ascii="Palatino Linotype" w:hAnsi="Palatino Linotype"/>
          <w:sz w:val="24"/>
          <w:lang w:val="es-ES"/>
        </w:rPr>
        <w:t xml:space="preserve">”, abarca muchos factores, algunos más complejos y específicos como accesibilidad a personas con discapacidad o lenguas indígenas, como algunos más simples, como en el presente asunto en particular, que la entrega de la información en un formato con datos abiertos, que disminuya el riesgo al error al transcribir todos los caracteres uno por uno. </w:t>
      </w:r>
    </w:p>
    <w:p w14:paraId="47448631" w14:textId="77777777" w:rsidR="009940A5" w:rsidRPr="004A1512" w:rsidRDefault="009940A5" w:rsidP="009940A5">
      <w:pPr>
        <w:pStyle w:val="Prrafodelista"/>
        <w:tabs>
          <w:tab w:val="left" w:pos="851"/>
        </w:tabs>
        <w:spacing w:before="240" w:after="240" w:line="360" w:lineRule="auto"/>
        <w:ind w:left="0" w:right="49"/>
        <w:jc w:val="both"/>
        <w:rPr>
          <w:rFonts w:ascii="Palatino Linotype" w:hAnsi="Palatino Linotype"/>
          <w:sz w:val="24"/>
          <w:lang w:val="es-ES"/>
        </w:rPr>
      </w:pPr>
    </w:p>
    <w:p w14:paraId="2ADCDA06" w14:textId="77777777" w:rsidR="009940A5" w:rsidRPr="004A1512" w:rsidRDefault="009940A5" w:rsidP="009940A5">
      <w:pPr>
        <w:pStyle w:val="Prrafodelista"/>
        <w:numPr>
          <w:ilvl w:val="0"/>
          <w:numId w:val="7"/>
        </w:numPr>
        <w:spacing w:line="360" w:lineRule="auto"/>
        <w:ind w:left="0" w:firstLine="0"/>
        <w:jc w:val="both"/>
        <w:rPr>
          <w:rFonts w:ascii="Palatino Linotype" w:eastAsia="Calibri" w:hAnsi="Palatino Linotype" w:cs="Arial"/>
          <w:sz w:val="24"/>
        </w:rPr>
      </w:pPr>
      <w:r w:rsidRPr="004A1512">
        <w:rPr>
          <w:rFonts w:ascii="Palatino Linotype" w:eastAsia="Calibri" w:hAnsi="Palatino Linotype" w:cs="Arial"/>
          <w:sz w:val="24"/>
        </w:rPr>
        <w:t xml:space="preserve">La información que proporcionen los Sujetos Obligados para dar cumplimiento al derecho de acceso a la información debe ser clara, precisa y completa, para cumplir </w:t>
      </w:r>
      <w:r w:rsidRPr="004A1512">
        <w:rPr>
          <w:rFonts w:ascii="Palatino Linotype" w:eastAsia="Calibri" w:hAnsi="Palatino Linotype" w:cs="Arial"/>
          <w:sz w:val="24"/>
        </w:rPr>
        <w:lastRenderedPageBreak/>
        <w:t>en estricto sentido con el principio de accesibilidad, puesto que de lo contrario se restringe de manera ilegítima el derecho de los particulares al impedirles conocer el contenido de los documentos solicitados.</w:t>
      </w:r>
    </w:p>
    <w:p w14:paraId="75A4D1F2" w14:textId="77777777" w:rsidR="009940A5" w:rsidRPr="004A1512" w:rsidRDefault="009940A5" w:rsidP="009940A5">
      <w:pPr>
        <w:pStyle w:val="Prrafodelista"/>
        <w:rPr>
          <w:rFonts w:ascii="Palatino Linotype" w:eastAsia="Calibri" w:hAnsi="Palatino Linotype" w:cs="Arial"/>
          <w:sz w:val="24"/>
        </w:rPr>
      </w:pPr>
    </w:p>
    <w:p w14:paraId="4F1732D7" w14:textId="77777777" w:rsidR="009940A5" w:rsidRPr="004A1512" w:rsidRDefault="009940A5" w:rsidP="009940A5">
      <w:pPr>
        <w:pStyle w:val="Prrafodelista"/>
        <w:numPr>
          <w:ilvl w:val="0"/>
          <w:numId w:val="7"/>
        </w:numPr>
        <w:spacing w:line="360" w:lineRule="auto"/>
        <w:ind w:left="0" w:firstLine="0"/>
        <w:jc w:val="both"/>
        <w:rPr>
          <w:rFonts w:ascii="Palatino Linotype" w:eastAsia="Calibri" w:hAnsi="Palatino Linotype" w:cs="Arial"/>
          <w:sz w:val="24"/>
        </w:rPr>
      </w:pPr>
      <w:r w:rsidRPr="004A1512">
        <w:rPr>
          <w:rFonts w:ascii="Palatino Linotype" w:eastAsia="Calibri" w:hAnsi="Palatino Linotype" w:cs="Arial"/>
          <w:sz w:val="24"/>
        </w:rPr>
        <w:t>En consecuencia, al no encontrarse en datos abiertos, impide que el Recurrente tenga acceso a la información que fue solicitada, sin embargo al señalar la dirección electrónica por ser el lugar donde se encuentra la información requerida, se entiende que asume que la genera, posee y administra.</w:t>
      </w:r>
    </w:p>
    <w:p w14:paraId="48063ABF" w14:textId="77777777" w:rsidR="00C745C3" w:rsidRPr="004A1512" w:rsidRDefault="00C745C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szCs w:val="24"/>
        </w:rPr>
      </w:pPr>
    </w:p>
    <w:p w14:paraId="320886A8" w14:textId="77777777" w:rsidR="00C745C3" w:rsidRDefault="009940A5">
      <w:pPr>
        <w:numPr>
          <w:ilvl w:val="0"/>
          <w:numId w:val="7"/>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sz w:val="24"/>
          <w:szCs w:val="24"/>
        </w:rPr>
      </w:pPr>
      <w:r w:rsidRPr="004A1512">
        <w:rPr>
          <w:rFonts w:ascii="Palatino Linotype" w:eastAsia="Palatino Linotype" w:hAnsi="Palatino Linotype" w:cs="Palatino Linotype"/>
          <w:color w:val="000000"/>
          <w:sz w:val="24"/>
          <w:szCs w:val="24"/>
        </w:rPr>
        <w:t>Mientras que, c</w:t>
      </w:r>
      <w:r w:rsidR="00AC72C1" w:rsidRPr="004A1512">
        <w:rPr>
          <w:rFonts w:ascii="Palatino Linotype" w:eastAsia="Palatino Linotype" w:hAnsi="Palatino Linotype" w:cs="Palatino Linotype"/>
          <w:color w:val="000000"/>
          <w:sz w:val="24"/>
          <w:szCs w:val="24"/>
        </w:rPr>
        <w:t>on la manifestación del Sujeto Obligado se asume que genera, administra o posee la información relativa al proceso de Licitación Pública Nacional</w:t>
      </w:r>
      <w:r w:rsidR="00AC72C1">
        <w:rPr>
          <w:rFonts w:ascii="Palatino Linotype" w:eastAsia="Palatino Linotype" w:hAnsi="Palatino Linotype" w:cs="Palatino Linotype"/>
          <w:color w:val="000000"/>
          <w:sz w:val="24"/>
          <w:szCs w:val="24"/>
        </w:rPr>
        <w:t xml:space="preserve"> referida por el particular.  </w:t>
      </w:r>
    </w:p>
    <w:p w14:paraId="0C22A9A2" w14:textId="77777777" w:rsidR="00C745C3" w:rsidRDefault="00C745C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szCs w:val="24"/>
        </w:rPr>
      </w:pPr>
    </w:p>
    <w:p w14:paraId="28D27416"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Derivado de la naturaleza de la información requerida, es necesario traer a contexto el artículo 12.8 del Código Administrativo del Estado de México, que a la letra dice:</w:t>
      </w:r>
    </w:p>
    <w:p w14:paraId="2CBC275E" w14:textId="77777777" w:rsidR="00C745C3" w:rsidRDefault="00AC72C1">
      <w:pPr>
        <w:spacing w:before="280" w:after="28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12.8.- Corresponde a la Secretaría del Ramo y a los ayuntamientos, en el ámbito de sus respectivas competencias, ejecutar la obra pública, mediante contrato con terceros o por administración directa. </w:t>
      </w:r>
    </w:p>
    <w:p w14:paraId="493EFD8A" w14:textId="77777777" w:rsidR="00C745C3" w:rsidRDefault="00AC72C1">
      <w:pPr>
        <w:spacing w:before="280" w:after="28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14:paraId="10918069" w14:textId="77777777" w:rsidR="00C745C3" w:rsidRDefault="00AC72C1">
      <w:pPr>
        <w:spacing w:before="280" w:after="28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dispuesto en el párrafo anterior será aplicable a los ayuntamientos, tratándose de la realización de obras con cargo a fondos estatales total o parcialmente. </w:t>
      </w:r>
    </w:p>
    <w:p w14:paraId="38F7F77D" w14:textId="77777777" w:rsidR="00C745C3" w:rsidRDefault="00AC72C1">
      <w:pPr>
        <w:spacing w:before="280" w:after="28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1BDE4ADB"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obra pública debemos entender lo que establece el Código Administrativo del Estado de México en el artículo 12.4, siendo lo siguiente:</w:t>
      </w:r>
    </w:p>
    <w:p w14:paraId="39EA823C" w14:textId="77777777" w:rsidR="00C745C3" w:rsidRDefault="00AC72C1">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14:paraId="749306FE" w14:textId="77777777" w:rsidR="00C745C3" w:rsidRDefault="00AC72C1">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12.4.- </w:t>
      </w:r>
      <w:r>
        <w:rPr>
          <w:rFonts w:ascii="Palatino Linotype" w:eastAsia="Palatino Linotype" w:hAnsi="Palatino Linotype" w:cs="Palatino Linotype"/>
          <w:b/>
          <w:i/>
          <w:color w:val="000000"/>
          <w:sz w:val="22"/>
          <w:szCs w:val="22"/>
        </w:rPr>
        <w:t>Se considera obra pública todo trabajo que tenga por objeto principal</w:t>
      </w:r>
      <w:r>
        <w:rPr>
          <w:rFonts w:ascii="Palatino Linotype" w:eastAsia="Palatino Linotype" w:hAnsi="Palatino Linotype" w:cs="Palatino Linotype"/>
          <w:i/>
          <w:color w:val="000000"/>
          <w:sz w:val="22"/>
          <w:szCs w:val="22"/>
        </w:rPr>
        <w:t xml:space="preserve"> construir, instalar, ampliar, adecuar, </w:t>
      </w:r>
      <w:r>
        <w:rPr>
          <w:rFonts w:ascii="Palatino Linotype" w:eastAsia="Palatino Linotype" w:hAnsi="Palatino Linotype" w:cs="Palatino Linotype"/>
          <w:b/>
          <w:i/>
          <w:color w:val="000000"/>
          <w:sz w:val="22"/>
          <w:szCs w:val="22"/>
        </w:rPr>
        <w:t>remodelar</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restaurar</w:t>
      </w:r>
      <w:r>
        <w:rPr>
          <w:rFonts w:ascii="Palatino Linotype" w:eastAsia="Palatino Linotype" w:hAnsi="Palatino Linotype" w:cs="Palatino Linotype"/>
          <w:i/>
          <w:color w:val="000000"/>
          <w:sz w:val="22"/>
          <w:szCs w:val="22"/>
        </w:rPr>
        <w:t xml:space="preserve">, conservar, mantener, modificar o demoler bienes inmuebles propiedad del Estado, de sus dependencias y entidades y de los municipios y sus organismos con cargo a recursos públicos estatales o municipales. </w:t>
      </w:r>
    </w:p>
    <w:p w14:paraId="47803E40" w14:textId="77777777" w:rsidR="00C745C3" w:rsidRDefault="00C745C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1DE10062" w14:textId="77777777" w:rsidR="00C745C3" w:rsidRDefault="00AC72C1">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Quedan comprendidos dentro de la obra pública: </w:t>
      </w:r>
    </w:p>
    <w:p w14:paraId="5BD86EFD" w14:textId="77777777" w:rsidR="00C745C3" w:rsidRDefault="00C745C3">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1926D361" w14:textId="77777777" w:rsidR="00C745C3" w:rsidRDefault="00AC72C1">
      <w:pPr>
        <w:numPr>
          <w:ilvl w:val="0"/>
          <w:numId w:val="6"/>
        </w:numPr>
        <w:pBdr>
          <w:top w:val="nil"/>
          <w:left w:val="nil"/>
          <w:bottom w:val="nil"/>
          <w:right w:val="nil"/>
          <w:between w:val="nil"/>
        </w:pBdr>
        <w:spacing w:line="360" w:lineRule="auto"/>
        <w:ind w:left="851" w:hanging="425"/>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El mantenimiento, restauración, desmantelamiento o remoción de bienes muebles incorporados o adheridos a un inmueble; </w:t>
      </w:r>
    </w:p>
    <w:p w14:paraId="0187E032" w14:textId="77777777" w:rsidR="00C745C3" w:rsidRDefault="00AC72C1">
      <w:pPr>
        <w:numPr>
          <w:ilvl w:val="0"/>
          <w:numId w:val="6"/>
        </w:numPr>
        <w:pBdr>
          <w:top w:val="nil"/>
          <w:left w:val="nil"/>
          <w:bottom w:val="nil"/>
          <w:right w:val="nil"/>
          <w:between w:val="nil"/>
        </w:pBdr>
        <w:spacing w:line="360" w:lineRule="auto"/>
        <w:ind w:left="85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proyectos integrales o comúnmente denominados llave en mano, en los cuales el contratista se obliga desde el diseño de la obra hasta su terminación total, incluyéndose, cuando se requiera, la transferencia de tecnología; </w:t>
      </w:r>
    </w:p>
    <w:p w14:paraId="54B09B3B" w14:textId="77777777" w:rsidR="00C745C3" w:rsidRDefault="00C745C3">
      <w:pPr>
        <w:pBdr>
          <w:top w:val="nil"/>
          <w:left w:val="nil"/>
          <w:bottom w:val="nil"/>
          <w:right w:val="nil"/>
          <w:between w:val="nil"/>
        </w:pBdr>
        <w:spacing w:line="360" w:lineRule="auto"/>
        <w:ind w:left="851" w:hanging="425"/>
        <w:jc w:val="both"/>
        <w:rPr>
          <w:rFonts w:ascii="Palatino Linotype" w:eastAsia="Palatino Linotype" w:hAnsi="Palatino Linotype" w:cs="Palatino Linotype"/>
          <w:i/>
          <w:color w:val="000000"/>
          <w:sz w:val="22"/>
          <w:szCs w:val="22"/>
        </w:rPr>
      </w:pPr>
    </w:p>
    <w:p w14:paraId="164001B3" w14:textId="77777777" w:rsidR="00C745C3" w:rsidRDefault="00AC72C1">
      <w:pPr>
        <w:numPr>
          <w:ilvl w:val="0"/>
          <w:numId w:val="6"/>
        </w:numPr>
        <w:pBdr>
          <w:top w:val="nil"/>
          <w:left w:val="nil"/>
          <w:bottom w:val="nil"/>
          <w:right w:val="nil"/>
          <w:between w:val="nil"/>
        </w:pBdr>
        <w:spacing w:line="360" w:lineRule="auto"/>
        <w:ind w:left="85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trabajos de exploración, localización y perforación; mejoramiento del suelo y/o subsuelo; desmontes y extracción y aquellos similares que tengan por objeto la explotación y desarrollo de los recursos naturales que se encuentran en el suelo y/o subsuelo; </w:t>
      </w:r>
    </w:p>
    <w:p w14:paraId="308DF81C" w14:textId="77777777" w:rsidR="00C745C3" w:rsidRDefault="00C745C3">
      <w:pPr>
        <w:pBdr>
          <w:top w:val="nil"/>
          <w:left w:val="nil"/>
          <w:bottom w:val="nil"/>
          <w:right w:val="nil"/>
          <w:between w:val="nil"/>
        </w:pBdr>
        <w:ind w:left="851" w:hanging="425"/>
        <w:rPr>
          <w:rFonts w:ascii="Palatino Linotype" w:eastAsia="Palatino Linotype" w:hAnsi="Palatino Linotype" w:cs="Palatino Linotype"/>
          <w:i/>
          <w:color w:val="000000"/>
          <w:sz w:val="22"/>
          <w:szCs w:val="22"/>
        </w:rPr>
      </w:pPr>
    </w:p>
    <w:p w14:paraId="517419F8" w14:textId="77777777" w:rsidR="00C745C3" w:rsidRDefault="00AC72C1">
      <w:pPr>
        <w:numPr>
          <w:ilvl w:val="0"/>
          <w:numId w:val="6"/>
        </w:numPr>
        <w:pBdr>
          <w:top w:val="nil"/>
          <w:left w:val="nil"/>
          <w:bottom w:val="nil"/>
          <w:right w:val="nil"/>
          <w:between w:val="nil"/>
        </w:pBdr>
        <w:spacing w:line="360" w:lineRule="auto"/>
        <w:ind w:left="85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trabajos de infraestructura agropecuaria e hidroagrícola: </w:t>
      </w:r>
    </w:p>
    <w:p w14:paraId="6E152A17" w14:textId="77777777" w:rsidR="00C745C3" w:rsidRDefault="00C745C3">
      <w:pPr>
        <w:pBdr>
          <w:top w:val="nil"/>
          <w:left w:val="nil"/>
          <w:bottom w:val="nil"/>
          <w:right w:val="nil"/>
          <w:between w:val="nil"/>
        </w:pBdr>
        <w:ind w:left="851" w:hanging="425"/>
        <w:rPr>
          <w:rFonts w:ascii="Palatino Linotype" w:eastAsia="Palatino Linotype" w:hAnsi="Palatino Linotype" w:cs="Palatino Linotype"/>
          <w:i/>
          <w:color w:val="000000"/>
          <w:sz w:val="22"/>
          <w:szCs w:val="22"/>
        </w:rPr>
      </w:pPr>
    </w:p>
    <w:p w14:paraId="3CFC9CE2" w14:textId="77777777" w:rsidR="00C745C3" w:rsidRDefault="00AC72C1">
      <w:pPr>
        <w:numPr>
          <w:ilvl w:val="0"/>
          <w:numId w:val="6"/>
        </w:numPr>
        <w:pBdr>
          <w:top w:val="nil"/>
          <w:left w:val="nil"/>
          <w:bottom w:val="nil"/>
          <w:right w:val="nil"/>
          <w:between w:val="nil"/>
        </w:pBdr>
        <w:spacing w:line="360" w:lineRule="auto"/>
        <w:ind w:left="85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421B4C90" w14:textId="77777777" w:rsidR="00C745C3" w:rsidRDefault="00C745C3">
      <w:pPr>
        <w:pBdr>
          <w:top w:val="nil"/>
          <w:left w:val="nil"/>
          <w:bottom w:val="nil"/>
          <w:right w:val="nil"/>
          <w:between w:val="nil"/>
        </w:pBdr>
        <w:ind w:left="851" w:hanging="425"/>
        <w:rPr>
          <w:rFonts w:ascii="Palatino Linotype" w:eastAsia="Palatino Linotype" w:hAnsi="Palatino Linotype" w:cs="Palatino Linotype"/>
          <w:i/>
          <w:color w:val="000000"/>
          <w:sz w:val="22"/>
          <w:szCs w:val="22"/>
        </w:rPr>
      </w:pPr>
    </w:p>
    <w:p w14:paraId="2C550E93" w14:textId="77777777" w:rsidR="00C745C3" w:rsidRDefault="00AC72C1">
      <w:pPr>
        <w:numPr>
          <w:ilvl w:val="0"/>
          <w:numId w:val="6"/>
        </w:numPr>
        <w:pBdr>
          <w:top w:val="nil"/>
          <w:left w:val="nil"/>
          <w:bottom w:val="nil"/>
          <w:right w:val="nil"/>
          <w:between w:val="nil"/>
        </w:pBdr>
        <w:spacing w:line="360" w:lineRule="auto"/>
        <w:ind w:left="851"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demás que tengan por objeto principal alguno de los conceptos a que se refiere el párrafo primero de este artículo, excluyéndose expresamente los trabajos regulados por el Libro Décimo Sexto de este Código.</w:t>
      </w:r>
    </w:p>
    <w:p w14:paraId="561CE435"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D6BB80C"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Lo manifestado hasta éste punto, nos deja en clara la facultad para celebrar contratos por concepto de obras públicas. Ahora bien, para llevar a cabo obras públicas, se necesitan recursos estatales o federales, siempre y cuando se sujeten a la normatividad correspondiente, tal como lo señala el artículo 12.7 del ordenamiento en cito, del cual se transcribe su contenido, siendo el siguiente:</w:t>
      </w:r>
    </w:p>
    <w:p w14:paraId="18806254"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1048EC50" w14:textId="77777777" w:rsidR="00C745C3" w:rsidRDefault="00AC72C1">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12.7.-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w:t>
      </w:r>
    </w:p>
    <w:p w14:paraId="589E6A97" w14:textId="77777777" w:rsidR="00C745C3" w:rsidRDefault="00C745C3">
      <w:pPr>
        <w:pBdr>
          <w:top w:val="nil"/>
          <w:left w:val="nil"/>
          <w:bottom w:val="nil"/>
          <w:right w:val="nil"/>
          <w:between w:val="nil"/>
        </w:pBdr>
        <w:spacing w:line="360" w:lineRule="auto"/>
        <w:jc w:val="both"/>
        <w:rPr>
          <w:rFonts w:ascii="Century Gothic" w:eastAsia="Century Gothic" w:hAnsi="Century Gothic" w:cs="Century Gothic"/>
          <w:color w:val="000000"/>
          <w:sz w:val="22"/>
          <w:szCs w:val="22"/>
        </w:rPr>
      </w:pPr>
    </w:p>
    <w:p w14:paraId="506BFF2B"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anterior, no pasa desapercibido que las obras públicas deberán estar a lo dispuesto en el Libro Décimo Segundo Capítulo tercero del Código Administrativo del Estado de México, que corresponde a la planeación, programación y presupuestación de las mismas.</w:t>
      </w:r>
    </w:p>
    <w:p w14:paraId="5A28E611"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E0F0505"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Para la planeación de obras públicas o servicios relacionados, las dependencias deberán:</w:t>
      </w:r>
    </w:p>
    <w:p w14:paraId="514091C4" w14:textId="77777777" w:rsidR="00C745C3" w:rsidRDefault="00C745C3">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3524FD45" w14:textId="77777777" w:rsidR="00C745C3" w:rsidRDefault="00AC72C1">
      <w:pPr>
        <w:numPr>
          <w:ilvl w:val="1"/>
          <w:numId w:val="7"/>
        </w:numPr>
        <w:pBdr>
          <w:top w:val="nil"/>
          <w:left w:val="nil"/>
          <w:bottom w:val="nil"/>
          <w:right w:val="nil"/>
          <w:between w:val="nil"/>
        </w:pBdr>
        <w:spacing w:line="360" w:lineRule="auto"/>
        <w:ind w:lef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Ajustarse a las políticas, objetivos y prioridades señalados en los planes de desarrollo estatal y municipal. Los programas de obra municipales serán congruentes con los programas estatales; </w:t>
      </w:r>
    </w:p>
    <w:p w14:paraId="67151D93" w14:textId="77777777" w:rsidR="00C745C3" w:rsidRDefault="00AC72C1">
      <w:pPr>
        <w:numPr>
          <w:ilvl w:val="1"/>
          <w:numId w:val="7"/>
        </w:numPr>
        <w:pBdr>
          <w:top w:val="nil"/>
          <w:left w:val="nil"/>
          <w:bottom w:val="nil"/>
          <w:right w:val="nil"/>
          <w:between w:val="nil"/>
        </w:pBdr>
        <w:spacing w:line="360" w:lineRule="auto"/>
        <w:ind w:lef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Jerarquizar las obras públicas en función de las necesidades del Estado o del municipio, considerando el beneficia económico, social y ambiental que representen; </w:t>
      </w:r>
    </w:p>
    <w:p w14:paraId="301C849E" w14:textId="77777777" w:rsidR="00C745C3" w:rsidRDefault="00AC72C1">
      <w:pPr>
        <w:numPr>
          <w:ilvl w:val="1"/>
          <w:numId w:val="7"/>
        </w:numPr>
        <w:pBdr>
          <w:top w:val="nil"/>
          <w:left w:val="nil"/>
          <w:bottom w:val="nil"/>
          <w:right w:val="nil"/>
          <w:between w:val="nil"/>
        </w:pBdr>
        <w:spacing w:line="360" w:lineRule="auto"/>
        <w:ind w:lef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Sujetarse a lo establecido por las disposiciones legales; </w:t>
      </w:r>
    </w:p>
    <w:p w14:paraId="511870AC" w14:textId="77777777" w:rsidR="00C745C3" w:rsidRDefault="00AC72C1">
      <w:pPr>
        <w:numPr>
          <w:ilvl w:val="1"/>
          <w:numId w:val="7"/>
        </w:numPr>
        <w:pBdr>
          <w:top w:val="nil"/>
          <w:left w:val="nil"/>
          <w:bottom w:val="nil"/>
          <w:right w:val="nil"/>
          <w:between w:val="nil"/>
        </w:pBdr>
        <w:spacing w:line="360" w:lineRule="auto"/>
        <w:ind w:lef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Contar con inmuebles aptos para la obra pública que se pretenda ejecutar. Tratándose de obra con cargo a recursos estatales total o parcialmente, se requerirá dictamen de la Secretaría del Ramo; </w:t>
      </w:r>
    </w:p>
    <w:p w14:paraId="31A75711" w14:textId="77777777" w:rsidR="00C745C3" w:rsidRDefault="00AC72C1">
      <w:pPr>
        <w:numPr>
          <w:ilvl w:val="1"/>
          <w:numId w:val="7"/>
        </w:numPr>
        <w:pBdr>
          <w:top w:val="nil"/>
          <w:left w:val="nil"/>
          <w:bottom w:val="nil"/>
          <w:right w:val="nil"/>
          <w:between w:val="nil"/>
        </w:pBdr>
        <w:spacing w:line="360" w:lineRule="auto"/>
        <w:ind w:lef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Considerar la disponibilidad de recursos financieros; </w:t>
      </w:r>
    </w:p>
    <w:p w14:paraId="7BC4062E" w14:textId="77777777" w:rsidR="00C745C3" w:rsidRDefault="00AC72C1">
      <w:pPr>
        <w:numPr>
          <w:ilvl w:val="1"/>
          <w:numId w:val="7"/>
        </w:numPr>
        <w:pBdr>
          <w:top w:val="nil"/>
          <w:left w:val="nil"/>
          <w:bottom w:val="nil"/>
          <w:right w:val="nil"/>
          <w:between w:val="nil"/>
        </w:pBdr>
        <w:spacing w:line="360" w:lineRule="auto"/>
        <w:ind w:lef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Prever las obras principales, de infraestructura, complementarias y accesorias, así como las acciones necesarias para poner aquellas en servicio, estableciendo las etapas que se requieran para su terminación; </w:t>
      </w:r>
    </w:p>
    <w:p w14:paraId="2A2E1F34" w14:textId="77777777" w:rsidR="00C745C3" w:rsidRDefault="00AC72C1">
      <w:pPr>
        <w:numPr>
          <w:ilvl w:val="1"/>
          <w:numId w:val="7"/>
        </w:numPr>
        <w:pBdr>
          <w:top w:val="nil"/>
          <w:left w:val="nil"/>
          <w:bottom w:val="nil"/>
          <w:right w:val="nil"/>
          <w:between w:val="nil"/>
        </w:pBdr>
        <w:spacing w:line="360" w:lineRule="auto"/>
        <w:ind w:lef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Considerar la tecnología aplicable, en función de la naturaleza de las obras y la selección de materiales, productos, equipos y procedimientos de tecnología nacional preferentemente, que satisfagan los requerimientos técnicos y económicos del proyecto; </w:t>
      </w:r>
    </w:p>
    <w:p w14:paraId="466FD78C" w14:textId="77777777" w:rsidR="00C745C3" w:rsidRDefault="00AC72C1">
      <w:pPr>
        <w:numPr>
          <w:ilvl w:val="1"/>
          <w:numId w:val="7"/>
        </w:numPr>
        <w:pBdr>
          <w:top w:val="nil"/>
          <w:left w:val="nil"/>
          <w:bottom w:val="nil"/>
          <w:right w:val="nil"/>
          <w:between w:val="nil"/>
        </w:pBdr>
        <w:spacing w:line="360" w:lineRule="auto"/>
        <w:ind w:left="851"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Preferir el empleo de los recursos humanos y la utilización de los materiales propios de la región donde se ubiquen las obras; IX. Cuando así se requiera, ajustarse a lo establecido en el Dictamen Único de Factibilidad</w:t>
      </w:r>
    </w:p>
    <w:p w14:paraId="4BACDE8A"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1E23551"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Además, se deben formular programas de obra pública, mismos que serán remitidos a la Secretaría de Finanzas así como sus respectivos presupuestos con base en las políticas, objetivos y prioridades de la planeación del desarrollo del municipio.</w:t>
      </w:r>
    </w:p>
    <w:p w14:paraId="1E242E75"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D1703A9"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Los contratos que deban realizarse por concepto de obras podrán ser:</w:t>
      </w:r>
    </w:p>
    <w:p w14:paraId="26F45D56"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7AD784C" w14:textId="77777777" w:rsidR="00C745C3" w:rsidRDefault="00AC72C1">
      <w:pPr>
        <w:numPr>
          <w:ilvl w:val="0"/>
          <w:numId w:val="8"/>
        </w:numPr>
        <w:pBdr>
          <w:top w:val="nil"/>
          <w:left w:val="nil"/>
          <w:bottom w:val="nil"/>
          <w:right w:val="nil"/>
          <w:between w:val="nil"/>
        </w:pBdr>
        <w:spacing w:line="360" w:lineRule="auto"/>
        <w:ind w:left="851" w:hanging="28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Licitación Pública;</w:t>
      </w:r>
    </w:p>
    <w:p w14:paraId="24ECBD19" w14:textId="77777777" w:rsidR="00C745C3" w:rsidRDefault="00AC72C1">
      <w:pPr>
        <w:numPr>
          <w:ilvl w:val="0"/>
          <w:numId w:val="8"/>
        </w:numPr>
        <w:pBdr>
          <w:top w:val="nil"/>
          <w:left w:val="nil"/>
          <w:bottom w:val="nil"/>
          <w:right w:val="nil"/>
          <w:between w:val="nil"/>
        </w:pBdr>
        <w:spacing w:line="360" w:lineRule="auto"/>
        <w:ind w:left="851" w:hanging="28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Invitación restringida; y, </w:t>
      </w:r>
    </w:p>
    <w:p w14:paraId="291F387B" w14:textId="77777777" w:rsidR="00C745C3" w:rsidRDefault="00AC72C1">
      <w:pPr>
        <w:numPr>
          <w:ilvl w:val="0"/>
          <w:numId w:val="8"/>
        </w:numPr>
        <w:pBdr>
          <w:top w:val="nil"/>
          <w:left w:val="nil"/>
          <w:bottom w:val="nil"/>
          <w:right w:val="nil"/>
          <w:between w:val="nil"/>
        </w:pBdr>
        <w:spacing w:line="360" w:lineRule="auto"/>
        <w:ind w:left="851" w:hanging="28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Adjudicación directa.</w:t>
      </w:r>
    </w:p>
    <w:p w14:paraId="2DC69CB4"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37766CF3"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Las Licitaciones Públicas deberán establecer los mismos requisitos y condiciones para todos los participantes, debiendo proporcionar igual acceso a la información relacionada con dicho procedimiento a fin de evitar favorecer a algún participante, es decir, estarán abiertas a todas aquellas personas físicas o morales que tengan la capacidad para poder realizar las obras requeridas. Estas a su vez podrán ser Nacionales e Internacionales.</w:t>
      </w:r>
    </w:p>
    <w:p w14:paraId="553E6BA9"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56B513E0"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otra parte, debemos traer a colación que la Ley de Transparencia y Acceso a la Información Pública del Estado de México y Municipios en el artículo 92 establece que </w:t>
      </w:r>
      <w:r>
        <w:rPr>
          <w:rFonts w:ascii="Palatino Linotype" w:eastAsia="Palatino Linotype" w:hAnsi="Palatino Linotype" w:cs="Palatino Linotype"/>
          <w:i/>
          <w:color w:val="000000"/>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entre los que se encuentra lo siguiente:</w:t>
      </w:r>
    </w:p>
    <w:p w14:paraId="7BC85E46"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0D5A4D5" w14:textId="77777777" w:rsidR="00C745C3" w:rsidRDefault="00AC72C1">
      <w:pPr>
        <w:tabs>
          <w:tab w:val="left" w:pos="8364"/>
          <w:tab w:val="left" w:pos="8505"/>
        </w:tabs>
        <w:spacing w:line="360" w:lineRule="auto"/>
        <w:ind w:left="284"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XXIX. </w:t>
      </w:r>
      <w:r>
        <w:rPr>
          <w:rFonts w:ascii="Palatino Linotype" w:eastAsia="Palatino Linotype" w:hAnsi="Palatino Linotype" w:cs="Palatino Linotype"/>
          <w:i/>
          <w:sz w:val="22"/>
          <w:szCs w:val="22"/>
        </w:rPr>
        <w:t xml:space="preserve">La información sobre los procesos y resultados sobre procedimientos de adjudicación directa, invitación restringida y licitación de cualquier naturaleza, incluyendo la versión pública del expediente respectivo y de los </w:t>
      </w:r>
      <w:r>
        <w:rPr>
          <w:rFonts w:ascii="Palatino Linotype" w:eastAsia="Palatino Linotype" w:hAnsi="Palatino Linotype" w:cs="Palatino Linotype"/>
          <w:b/>
          <w:i/>
          <w:sz w:val="22"/>
          <w:szCs w:val="22"/>
        </w:rPr>
        <w:t>contratos celebrados</w:t>
      </w:r>
      <w:r>
        <w:rPr>
          <w:rFonts w:ascii="Palatino Linotype" w:eastAsia="Palatino Linotype" w:hAnsi="Palatino Linotype" w:cs="Palatino Linotype"/>
          <w:i/>
          <w:sz w:val="22"/>
          <w:szCs w:val="22"/>
        </w:rPr>
        <w:t>, que deberán contener, por los menos, lo siguiente:</w:t>
      </w:r>
    </w:p>
    <w:p w14:paraId="2F214D88" w14:textId="77777777" w:rsidR="00C745C3" w:rsidRDefault="00C745C3">
      <w:pPr>
        <w:tabs>
          <w:tab w:val="left" w:pos="8364"/>
          <w:tab w:val="left" w:pos="8505"/>
        </w:tabs>
        <w:spacing w:line="360" w:lineRule="auto"/>
        <w:ind w:left="567" w:right="567"/>
        <w:jc w:val="both"/>
        <w:rPr>
          <w:rFonts w:ascii="Palatino Linotype" w:eastAsia="Palatino Linotype" w:hAnsi="Palatino Linotype" w:cs="Palatino Linotype"/>
          <w:i/>
          <w:sz w:val="22"/>
          <w:szCs w:val="22"/>
        </w:rPr>
      </w:pPr>
    </w:p>
    <w:p w14:paraId="2BA81F31" w14:textId="77777777" w:rsidR="00C745C3" w:rsidRDefault="00AC72C1">
      <w:pPr>
        <w:tabs>
          <w:tab w:val="left" w:pos="8364"/>
          <w:tab w:val="left" w:pos="8505"/>
        </w:tabs>
        <w:spacing w:line="360" w:lineRule="auto"/>
        <w:ind w:left="709" w:right="567" w:hanging="42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w:t>
      </w:r>
      <w:r>
        <w:rPr>
          <w:rFonts w:ascii="Palatino Linotype" w:eastAsia="Palatino Linotype" w:hAnsi="Palatino Linotype" w:cs="Palatino Linotype"/>
          <w:i/>
          <w:sz w:val="22"/>
          <w:szCs w:val="22"/>
        </w:rPr>
        <w:t>De licitaciones públicas o procedimientos de invitación restringida:</w:t>
      </w:r>
    </w:p>
    <w:p w14:paraId="6BC16AE6"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1) La convocatoria o invitación emitida, así como los fundamentos legales aplicados para llevarla a cabo;</w:t>
      </w:r>
    </w:p>
    <w:p w14:paraId="762EDA0F"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2) </w:t>
      </w:r>
      <w:r>
        <w:rPr>
          <w:rFonts w:ascii="Palatino Linotype" w:eastAsia="Palatino Linotype" w:hAnsi="Palatino Linotype" w:cs="Palatino Linotype"/>
          <w:i/>
          <w:sz w:val="22"/>
          <w:szCs w:val="22"/>
        </w:rPr>
        <w:t>Los nombres de los participantes o invitados;</w:t>
      </w:r>
    </w:p>
    <w:p w14:paraId="7E706FDA"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3) </w:t>
      </w:r>
      <w:r>
        <w:rPr>
          <w:rFonts w:ascii="Palatino Linotype" w:eastAsia="Palatino Linotype" w:hAnsi="Palatino Linotype" w:cs="Palatino Linotype"/>
          <w:i/>
          <w:sz w:val="22"/>
          <w:szCs w:val="22"/>
        </w:rPr>
        <w:t>El nombre del ganador y las razones que lo justifican;</w:t>
      </w:r>
    </w:p>
    <w:p w14:paraId="3A7FE885"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4) </w:t>
      </w:r>
      <w:r>
        <w:rPr>
          <w:rFonts w:ascii="Palatino Linotype" w:eastAsia="Palatino Linotype" w:hAnsi="Palatino Linotype" w:cs="Palatino Linotype"/>
          <w:i/>
          <w:sz w:val="22"/>
          <w:szCs w:val="22"/>
        </w:rPr>
        <w:t>El área solicitante y la responsable de su ejecución;</w:t>
      </w:r>
    </w:p>
    <w:p w14:paraId="58080690"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5) Las convocatorias e invitaciones emitidas;</w:t>
      </w:r>
    </w:p>
    <w:p w14:paraId="46F0B0C2"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6) </w:t>
      </w:r>
      <w:r>
        <w:rPr>
          <w:rFonts w:ascii="Palatino Linotype" w:eastAsia="Palatino Linotype" w:hAnsi="Palatino Linotype" w:cs="Palatino Linotype"/>
          <w:i/>
          <w:sz w:val="22"/>
          <w:szCs w:val="22"/>
        </w:rPr>
        <w:t>Los dictámenes y fallo de adjudicación;</w:t>
      </w:r>
    </w:p>
    <w:p w14:paraId="1AB9D247"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7) El contrato y, en su caso, sus anexos;</w:t>
      </w:r>
    </w:p>
    <w:p w14:paraId="65C4B26D"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8) </w:t>
      </w:r>
      <w:r>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45FDE81F"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9) La partida presupuestal, de conformidad con el clasificador por objeto del gasto, en el caso de ser aplicable;</w:t>
      </w:r>
    </w:p>
    <w:p w14:paraId="38BED603"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10) Origen de los recursos especificando si son federales, estatales o municipales, así como el tipo de fondo de participación o aportación respectiva;</w:t>
      </w:r>
    </w:p>
    <w:p w14:paraId="0C250863"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11) </w:t>
      </w:r>
      <w:r>
        <w:rPr>
          <w:rFonts w:ascii="Palatino Linotype" w:eastAsia="Palatino Linotype" w:hAnsi="Palatino Linotype" w:cs="Palatino Linotype"/>
          <w:i/>
          <w:sz w:val="22"/>
          <w:szCs w:val="22"/>
        </w:rPr>
        <w:t>Los convenios modificatorios que, en su caso, sean firmados, precisando el objeto y la fecha de celebración;</w:t>
      </w:r>
    </w:p>
    <w:p w14:paraId="03BF6289"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12) Los informes de avance físico y financiero sobre las obras o servicios contratados;</w:t>
      </w:r>
    </w:p>
    <w:p w14:paraId="6033C775"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13) </w:t>
      </w:r>
      <w:r>
        <w:rPr>
          <w:rFonts w:ascii="Palatino Linotype" w:eastAsia="Palatino Linotype" w:hAnsi="Palatino Linotype" w:cs="Palatino Linotype"/>
          <w:i/>
          <w:sz w:val="22"/>
          <w:szCs w:val="22"/>
        </w:rPr>
        <w:t>El convenio de terminación; y</w:t>
      </w:r>
    </w:p>
    <w:p w14:paraId="3D77BB5B" w14:textId="77777777" w:rsidR="00C745C3" w:rsidRDefault="00AC72C1">
      <w:pPr>
        <w:tabs>
          <w:tab w:val="left" w:pos="8364"/>
          <w:tab w:val="left" w:pos="8505"/>
        </w:tabs>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14) El finiquito.</w:t>
      </w:r>
    </w:p>
    <w:p w14:paraId="355B6275" w14:textId="77777777" w:rsidR="00C745C3" w:rsidRDefault="00C745C3">
      <w:pPr>
        <w:tabs>
          <w:tab w:val="left" w:pos="8364"/>
          <w:tab w:val="left" w:pos="8505"/>
        </w:tabs>
        <w:spacing w:line="360" w:lineRule="auto"/>
        <w:ind w:left="567" w:right="567" w:hanging="425"/>
        <w:jc w:val="both"/>
        <w:rPr>
          <w:rFonts w:ascii="Palatino Linotype" w:eastAsia="Palatino Linotype" w:hAnsi="Palatino Linotype" w:cs="Palatino Linotype"/>
          <w:i/>
          <w:sz w:val="22"/>
          <w:szCs w:val="22"/>
        </w:rPr>
      </w:pPr>
    </w:p>
    <w:p w14:paraId="0DDCF886"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consecuencia, se determina que existe fuente obligacional generar, administrar o poseer la información requerida y que se relaciona con los procedimientos de licitación pública, Además de que existe la obligación de hacer pública la información relacionada con las mismas, de acuerdo al artículo 92 de la Ley de Transparencia Local, </w:t>
      </w:r>
      <w:r>
        <w:rPr>
          <w:rFonts w:ascii="Palatino Linotype" w:eastAsia="Palatino Linotype" w:hAnsi="Palatino Linotype" w:cs="Palatino Linotype"/>
          <w:b/>
          <w:color w:val="000000"/>
          <w:sz w:val="24"/>
          <w:szCs w:val="24"/>
        </w:rPr>
        <w:t>ya que existe un interés colectivo de conocer el uso y destino de los recursos públicos.</w:t>
      </w:r>
    </w:p>
    <w:p w14:paraId="7136F43C"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64448D8B"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tanto, si la convocatoria o las bases son una obligación de transparencia común, se determina que la información debe generarse, pues es un requisito indispensable para llevarse a cabo los procedimientos de licitación pública, en conclusión, si debe de realizarse debe de existir uno o diversos servidores públicos responsables de su elaboración, por lo que se ordena realizar una búsqueda exhaustiva y razonable de la información a efecto de localizar y poner a disposición del Recurr</w:t>
      </w:r>
      <w:r w:rsidR="009B4B8C">
        <w:rPr>
          <w:rFonts w:ascii="Palatino Linotype" w:eastAsia="Palatino Linotype" w:hAnsi="Palatino Linotype" w:cs="Palatino Linotype"/>
          <w:color w:val="000000"/>
          <w:sz w:val="24"/>
          <w:szCs w:val="24"/>
        </w:rPr>
        <w:t xml:space="preserve">ente la información relativa al </w:t>
      </w:r>
      <w:r w:rsidR="009B4B8C" w:rsidRPr="009B4B8C">
        <w:rPr>
          <w:rFonts w:ascii="Palatino Linotype" w:eastAsia="Palatino Linotype" w:hAnsi="Palatino Linotype" w:cs="Palatino Linotype"/>
          <w:color w:val="000000"/>
          <w:sz w:val="24"/>
          <w:szCs w:val="24"/>
        </w:rPr>
        <w:t>documento donde conste el</w:t>
      </w:r>
      <w:r w:rsidR="009B4B8C">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nombre del o de los Servidores Públicos responsables de realizar las bases de la convocatoria de la Licitación Pública Nacional señalada en la solicitud.</w:t>
      </w:r>
    </w:p>
    <w:p w14:paraId="34F6EF21" w14:textId="77777777" w:rsidR="00C745C3" w:rsidRDefault="00C745C3">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00409278" w14:textId="77777777" w:rsidR="00C745C3" w:rsidRDefault="00AC72C1">
      <w:pPr>
        <w:numPr>
          <w:ilvl w:val="0"/>
          <w:numId w:val="7"/>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Ahora bien, de ser el caso de que la información que se ordena entregar contenga datos personales susceptibles de clasificarse como confidenciales, el Sujeto Obligado estará a lo dispuesto en el Considerando QUINTO de la presente resolución, a efecto de que se realicen las versiones públicas correspondientes.</w:t>
      </w:r>
    </w:p>
    <w:p w14:paraId="483FB207" w14:textId="77777777" w:rsidR="00C745C3" w:rsidRDefault="00AC72C1">
      <w:pPr>
        <w:pStyle w:val="Ttulo1"/>
        <w:rPr>
          <w:rFonts w:ascii="Palatino Linotype" w:eastAsia="Palatino Linotype" w:hAnsi="Palatino Linotype" w:cs="Palatino Linotype"/>
          <w:b/>
          <w:color w:val="000000"/>
          <w:sz w:val="24"/>
          <w:szCs w:val="24"/>
        </w:rPr>
      </w:pPr>
      <w:bookmarkStart w:id="11" w:name="_heading=h.3rdcrjn" w:colFirst="0" w:colLast="0"/>
      <w:bookmarkEnd w:id="11"/>
      <w:r>
        <w:rPr>
          <w:rFonts w:ascii="Palatino Linotype" w:eastAsia="Palatino Linotype" w:hAnsi="Palatino Linotype" w:cs="Palatino Linotype"/>
          <w:b/>
          <w:color w:val="000000"/>
          <w:sz w:val="24"/>
          <w:szCs w:val="24"/>
        </w:rPr>
        <w:t>QUINTO. De la versión pública.</w:t>
      </w:r>
    </w:p>
    <w:p w14:paraId="4E9D855E" w14:textId="77777777" w:rsidR="00C745C3" w:rsidRDefault="00C745C3">
      <w:pPr>
        <w:rPr>
          <w:rFonts w:ascii="Palatino Linotype" w:eastAsia="Palatino Linotype" w:hAnsi="Palatino Linotype" w:cs="Palatino Linotype"/>
          <w:sz w:val="16"/>
          <w:szCs w:val="16"/>
        </w:rPr>
      </w:pPr>
    </w:p>
    <w:p w14:paraId="0C1252AD" w14:textId="77777777" w:rsidR="00C745C3" w:rsidRDefault="00AC72C1">
      <w:pPr>
        <w:pStyle w:val="Ttulo1"/>
        <w:numPr>
          <w:ilvl w:val="0"/>
          <w:numId w:val="2"/>
        </w:numPr>
        <w:tabs>
          <w:tab w:val="left" w:pos="284"/>
        </w:tabs>
        <w:spacing w:before="0" w:line="360" w:lineRule="auto"/>
        <w:ind w:left="0" w:firstLine="0"/>
        <w:rPr>
          <w:rFonts w:ascii="Palatino Linotype" w:eastAsia="Palatino Linotype" w:hAnsi="Palatino Linotype" w:cs="Palatino Linotype"/>
          <w:b/>
          <w:color w:val="000000"/>
          <w:sz w:val="24"/>
          <w:szCs w:val="24"/>
        </w:rPr>
      </w:pPr>
      <w:bookmarkStart w:id="12" w:name="_heading=h.26in1rg" w:colFirst="0" w:colLast="0"/>
      <w:bookmarkEnd w:id="12"/>
      <w:r>
        <w:rPr>
          <w:rFonts w:ascii="Palatino Linotype" w:eastAsia="Palatino Linotype" w:hAnsi="Palatino Linotype" w:cs="Palatino Linotype"/>
          <w:b/>
          <w:color w:val="000000"/>
          <w:sz w:val="24"/>
          <w:szCs w:val="24"/>
        </w:rPr>
        <w:t xml:space="preserve">Nociones generales. </w:t>
      </w:r>
    </w:p>
    <w:p w14:paraId="35FA5D10" w14:textId="77777777" w:rsidR="00C745C3" w:rsidRDefault="00C745C3">
      <w:pPr>
        <w:rPr>
          <w:rFonts w:ascii="Palatino Linotype" w:eastAsia="Palatino Linotype" w:hAnsi="Palatino Linotype" w:cs="Palatino Linotype"/>
        </w:rPr>
      </w:pPr>
    </w:p>
    <w:p w14:paraId="60D0FAB7" w14:textId="77777777" w:rsidR="00C745C3" w:rsidRDefault="00AC72C1">
      <w:pPr>
        <w:numPr>
          <w:ilvl w:val="0"/>
          <w:numId w:val="7"/>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Debe destacarse que, debido a la naturaleza de la información solicitada</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eventualmente pudiera obrar datos personales susceptibles de protegerse, así como información susceptible de clasificarse como reservada,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deberá de hacer la adecuada versión pública, protegiendo los datos que no son susceptibles de ser proporcionados. </w:t>
      </w:r>
    </w:p>
    <w:p w14:paraId="4C2F1865" w14:textId="77777777" w:rsidR="00C745C3" w:rsidRDefault="00C745C3">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sz w:val="24"/>
          <w:szCs w:val="24"/>
        </w:rPr>
      </w:pPr>
    </w:p>
    <w:p w14:paraId="45C7B355" w14:textId="77777777" w:rsidR="00C745C3" w:rsidRDefault="00AC72C1">
      <w:pPr>
        <w:numPr>
          <w:ilvl w:val="0"/>
          <w:numId w:val="7"/>
        </w:numPr>
        <w:tabs>
          <w:tab w:val="left" w:pos="284"/>
        </w:tabs>
        <w:spacing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 pasa desapercibido para este Órgano Garante que los </w:t>
      </w:r>
      <w:r>
        <w:rPr>
          <w:rFonts w:ascii="Palatino Linotype" w:eastAsia="Palatino Linotype" w:hAnsi="Palatino Linotype" w:cs="Palatino Linotype"/>
          <w:b/>
          <w:color w:val="000000"/>
          <w:sz w:val="24"/>
          <w:szCs w:val="24"/>
        </w:rPr>
        <w:t xml:space="preserve">Sujetos Obligados </w:t>
      </w:r>
      <w:r>
        <w:rPr>
          <w:rFonts w:ascii="Palatino Linotype" w:eastAsia="Palatino Linotype" w:hAnsi="Palatino Linotype" w:cs="Palatino Linotype"/>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9379926" w14:textId="77777777" w:rsidR="00C745C3" w:rsidRDefault="00C745C3">
      <w:pPr>
        <w:tabs>
          <w:tab w:val="left" w:pos="284"/>
        </w:tabs>
        <w:spacing w:line="360" w:lineRule="auto"/>
        <w:ind w:right="49"/>
        <w:jc w:val="both"/>
        <w:rPr>
          <w:rFonts w:ascii="Palatino Linotype" w:eastAsia="Palatino Linotype" w:hAnsi="Palatino Linotype" w:cs="Palatino Linotype"/>
          <w:color w:val="000000"/>
        </w:rPr>
      </w:pPr>
    </w:p>
    <w:tbl>
      <w:tblPr>
        <w:tblStyle w:val="a"/>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667"/>
      </w:tblGrid>
      <w:tr w:rsidR="00C745C3" w14:paraId="0F0D25CC" w14:textId="77777777" w:rsidTr="00C74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FB1569" w14:textId="77777777" w:rsidR="00C745C3" w:rsidRDefault="00AC72C1">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 Requisitos previos.</w:t>
            </w:r>
          </w:p>
        </w:tc>
        <w:tc>
          <w:tcPr>
            <w:tcW w:w="6667" w:type="dxa"/>
          </w:tcPr>
          <w:p w14:paraId="2F70FF03" w14:textId="77777777" w:rsidR="00C745C3" w:rsidRDefault="00AC72C1">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CF3F3D4" w14:textId="77777777" w:rsidR="00C745C3" w:rsidRDefault="00AC72C1">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Al hacerlo tienen que precisar de qué información se trata, señalando el supuesto de clasificación (confidencialidad o reserva).</w:t>
            </w:r>
          </w:p>
          <w:p w14:paraId="55DDC868" w14:textId="77777777" w:rsidR="00C745C3" w:rsidRDefault="00AC72C1">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Además, se debe señalar el procedimiento, de los tres que establecen los artículos 132 y 106 de la Ley Estatal y General, respectivamente.</w:t>
            </w:r>
          </w:p>
          <w:p w14:paraId="385E270E" w14:textId="77777777" w:rsidR="00C745C3" w:rsidRDefault="00AC72C1">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sz w:val="20"/>
                <w:szCs w:val="20"/>
                <w:u w:val="single"/>
              </w:rPr>
              <w:t>no se puede hacer un acuerdo para clasificar de manera general todos los documentos de un expediente o área, sin</w:t>
            </w:r>
            <w:r>
              <w:rPr>
                <w:rFonts w:ascii="Palatino Linotype" w:eastAsia="Palatino Linotype" w:hAnsi="Palatino Linotype" w:cs="Palatino Linotype"/>
                <w:sz w:val="20"/>
                <w:szCs w:val="20"/>
              </w:rPr>
              <w:t xml:space="preserve"> individualizar su análisis y tampoco se puede hacer un acuerdo por cada dato que se vaya a clasificar dentro de un documento con diez datos, por ejemplo, susceptibles de ser clasificados.</w:t>
            </w:r>
          </w:p>
        </w:tc>
      </w:tr>
      <w:tr w:rsidR="00C745C3" w14:paraId="24822698" w14:textId="77777777" w:rsidTr="00C7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6FB132" w14:textId="77777777" w:rsidR="00C745C3" w:rsidRDefault="00AC72C1">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 Supuestos de clasificación.</w:t>
            </w:r>
          </w:p>
        </w:tc>
        <w:tc>
          <w:tcPr>
            <w:tcW w:w="6667" w:type="dxa"/>
          </w:tcPr>
          <w:p w14:paraId="05ED737B" w14:textId="77777777" w:rsidR="00C745C3" w:rsidRDefault="00AC72C1">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Las disposiciones constitucionales y legales en la materia establecen los dos supuestos generales para clasificar la información: por reserva y por confidencialidad.</w:t>
            </w:r>
          </w:p>
          <w:p w14:paraId="0173DE86" w14:textId="77777777" w:rsidR="00C745C3" w:rsidRDefault="00AC72C1">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w:t>
            </w:r>
            <w:r>
              <w:rPr>
                <w:rFonts w:ascii="Palatino Linotype" w:eastAsia="Palatino Linotype" w:hAnsi="Palatino Linotype" w:cs="Palatino Linotype"/>
                <w:sz w:val="20"/>
                <w:szCs w:val="20"/>
              </w:rPr>
              <w:lastRenderedPageBreak/>
              <w:t>aplicación de estos supuestos debe realizarse de manera restrictiva y limitada, por lo que debe acreditarse que se cumple con esta condición y no se pueden ampliar las excepciones o supuestos de clasificación aduciendo analogía o mayoría de razón.</w:t>
            </w:r>
          </w:p>
          <w:p w14:paraId="552C6DEE" w14:textId="77777777" w:rsidR="00C745C3" w:rsidRDefault="00AC72C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745C3" w14:paraId="3654C125" w14:textId="77777777" w:rsidTr="00C745C3">
        <w:tc>
          <w:tcPr>
            <w:cnfStyle w:val="001000000000" w:firstRow="0" w:lastRow="0" w:firstColumn="1" w:lastColumn="0" w:oddVBand="0" w:evenVBand="0" w:oddHBand="0" w:evenHBand="0" w:firstRowFirstColumn="0" w:firstRowLastColumn="0" w:lastRowFirstColumn="0" w:lastRowLastColumn="0"/>
            <w:tcW w:w="1838" w:type="dxa"/>
          </w:tcPr>
          <w:p w14:paraId="300F6013" w14:textId="77777777" w:rsidR="00C745C3" w:rsidRDefault="00AC72C1">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c) Formalidades para emitir el acuerdo de clasificación.</w:t>
            </w:r>
          </w:p>
        </w:tc>
        <w:tc>
          <w:tcPr>
            <w:tcW w:w="6667" w:type="dxa"/>
          </w:tcPr>
          <w:p w14:paraId="58E57DFC" w14:textId="77777777" w:rsidR="00C745C3" w:rsidRDefault="00AC72C1">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Comité de Transparencia, según lo dispuesto en los artículos cuenta con las facultades para aprobar, modificar o revocar la clasificación de la información que haya propuesto. </w:t>
            </w:r>
          </w:p>
          <w:p w14:paraId="771F1884" w14:textId="77777777" w:rsidR="00C745C3" w:rsidRDefault="00AC72C1">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Es necesario que </w:t>
            </w:r>
            <w:r>
              <w:rPr>
                <w:rFonts w:ascii="Palatino Linotype" w:eastAsia="Palatino Linotype" w:hAnsi="Palatino Linotype" w:cs="Palatino Linotype"/>
                <w:b/>
                <w:sz w:val="20"/>
                <w:szCs w:val="20"/>
                <w:u w:val="single"/>
              </w:rPr>
              <w:t>el acto reúna con los requisitos elementales</w:t>
            </w:r>
            <w:r>
              <w:rPr>
                <w:rFonts w:ascii="Palatino Linotype" w:eastAsia="Palatino Linotype" w:hAnsi="Palatino Linotype" w:cs="Palatino Linotype"/>
                <w:sz w:val="20"/>
                <w:szCs w:val="20"/>
              </w:rPr>
              <w:t>, entre ellos, que la autoridad que va a emitir el acto de autoridad sea la legalmente facultada para ello.</w:t>
            </w:r>
          </w:p>
          <w:p w14:paraId="7EFC7656" w14:textId="77777777" w:rsidR="00C745C3" w:rsidRDefault="00AC72C1">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745C3" w14:paraId="259B38AB" w14:textId="77777777" w:rsidTr="00C7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8284AD" w14:textId="77777777" w:rsidR="00C745C3" w:rsidRDefault="00C745C3">
            <w:pPr>
              <w:tabs>
                <w:tab w:val="left" w:pos="284"/>
              </w:tabs>
              <w:spacing w:line="360" w:lineRule="auto"/>
              <w:rPr>
                <w:rFonts w:ascii="Palatino Linotype" w:eastAsia="Palatino Linotype" w:hAnsi="Palatino Linotype" w:cs="Palatino Linotype"/>
                <w:sz w:val="20"/>
                <w:szCs w:val="20"/>
              </w:rPr>
            </w:pPr>
          </w:p>
          <w:p w14:paraId="6628D1B0" w14:textId="77777777" w:rsidR="00C745C3" w:rsidRDefault="00AC72C1">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 Requisitos de fondo del acuerdo de clasificación. </w:t>
            </w:r>
          </w:p>
        </w:tc>
        <w:tc>
          <w:tcPr>
            <w:tcW w:w="6667" w:type="dxa"/>
          </w:tcPr>
          <w:p w14:paraId="47013C0E" w14:textId="77777777" w:rsidR="00C745C3" w:rsidRDefault="00AC72C1">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sz w:val="20"/>
                <w:szCs w:val="20"/>
              </w:rPr>
              <w:t>Sujetos Obligados</w:t>
            </w:r>
            <w:r>
              <w:rPr>
                <w:rFonts w:ascii="Palatino Linotype" w:eastAsia="Palatino Linotype" w:hAnsi="Palatino Linotype" w:cs="Palatino Linotype"/>
                <w:sz w:val="20"/>
                <w:szCs w:val="20"/>
              </w:rPr>
              <w:t xml:space="preserve">, por lo que deberán fundar y motivar debidamente la clasificación. </w:t>
            </w:r>
          </w:p>
          <w:p w14:paraId="1569CD3D" w14:textId="77777777" w:rsidR="00C745C3" w:rsidRDefault="00AC72C1">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De lo anterior, se desprende que para una correcta </w:t>
            </w:r>
            <w:r>
              <w:rPr>
                <w:rFonts w:ascii="Palatino Linotype" w:eastAsia="Palatino Linotype" w:hAnsi="Palatino Linotype" w:cs="Palatino Linotype"/>
                <w:b/>
                <w:sz w:val="20"/>
                <w:szCs w:val="20"/>
              </w:rPr>
              <w:t>clasificación total o parcial</w:t>
            </w:r>
            <w:r>
              <w:rPr>
                <w:rFonts w:ascii="Palatino Linotype" w:eastAsia="Palatino Linotype" w:hAnsi="Palatino Linotype" w:cs="Palatino Linotype"/>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F36312" w14:textId="77777777" w:rsidR="00C745C3" w:rsidRDefault="00AC72C1">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22C6F13" w14:textId="77777777" w:rsidR="00C745C3" w:rsidRDefault="00AC72C1">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ese mismo sentido, el numeral trigésimo tercero fracción V de los Lineamientos Generales, precisa que para motivar la clasificación se deben acreditar las circunstancias de tiempo, modo y lugar.</w:t>
            </w:r>
          </w:p>
          <w:p w14:paraId="4DADF4F5" w14:textId="77777777" w:rsidR="00C745C3" w:rsidRDefault="00AC72C1">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Ahora bien, </w:t>
            </w:r>
            <w:r>
              <w:rPr>
                <w:rFonts w:ascii="Palatino Linotype" w:eastAsia="Palatino Linotype" w:hAnsi="Palatino Linotype" w:cs="Palatino Linotype"/>
                <w:b/>
                <w:sz w:val="20"/>
                <w:szCs w:val="20"/>
                <w:u w:val="single"/>
              </w:rPr>
              <w:t>para cada caso además de fundar y motivar</w:t>
            </w:r>
            <w:r>
              <w:rPr>
                <w:rFonts w:ascii="Palatino Linotype" w:eastAsia="Palatino Linotype" w:hAnsi="Palatino Linotype" w:cs="Palatino Linotype"/>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745C3" w14:paraId="5809D533" w14:textId="77777777" w:rsidTr="00C745C3">
        <w:tc>
          <w:tcPr>
            <w:cnfStyle w:val="001000000000" w:firstRow="0" w:lastRow="0" w:firstColumn="1" w:lastColumn="0" w:oddVBand="0" w:evenVBand="0" w:oddHBand="0" w:evenHBand="0" w:firstRowFirstColumn="0" w:firstRowLastColumn="0" w:lastRowFirstColumn="0" w:lastRowLastColumn="0"/>
            <w:tcW w:w="1838" w:type="dxa"/>
          </w:tcPr>
          <w:p w14:paraId="4ED9AD8B" w14:textId="77777777" w:rsidR="00C745C3" w:rsidRDefault="00AC72C1">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 Condiciones especiales de la clasificación de la información como confidencial. </w:t>
            </w:r>
          </w:p>
        </w:tc>
        <w:tc>
          <w:tcPr>
            <w:tcW w:w="6667" w:type="dxa"/>
          </w:tcPr>
          <w:p w14:paraId="0FE39AE5" w14:textId="77777777" w:rsidR="00C745C3" w:rsidRDefault="00AC72C1">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148 y 120 de la Ley Estatal y de la Ley General, respectivamente, establecen que aun tratándose de datos personales, se podrán proporcionar, incluso sin solicitar el consentimiento de su titular. </w:t>
            </w:r>
          </w:p>
          <w:p w14:paraId="29B9FE29" w14:textId="77777777" w:rsidR="00C745C3" w:rsidRDefault="00AC72C1">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F5842DC" w14:textId="77777777" w:rsidR="00C745C3" w:rsidRDefault="00AC72C1">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C44F938" w14:textId="77777777" w:rsidR="00C745C3" w:rsidRDefault="00C745C3">
      <w:pPr>
        <w:pBdr>
          <w:top w:val="nil"/>
          <w:left w:val="nil"/>
          <w:bottom w:val="nil"/>
          <w:right w:val="nil"/>
          <w:between w:val="nil"/>
        </w:pBdr>
        <w:tabs>
          <w:tab w:val="left" w:pos="284"/>
        </w:tabs>
        <w:rPr>
          <w:rFonts w:ascii="Palatino Linotype" w:eastAsia="Palatino Linotype" w:hAnsi="Palatino Linotype" w:cs="Palatino Linotype"/>
          <w:color w:val="000000"/>
          <w:sz w:val="22"/>
          <w:szCs w:val="22"/>
        </w:rPr>
      </w:pPr>
    </w:p>
    <w:p w14:paraId="4D199E34"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2"/>
          <w:szCs w:val="22"/>
        </w:rPr>
        <w:t xml:space="preserve">Si el servidor público incumple con estas formalidades y entrega la información sin proteger los datos personales incumple con lo que estipula las disposiciones legales </w:t>
      </w:r>
      <w:r>
        <w:rPr>
          <w:rFonts w:ascii="Palatino Linotype" w:eastAsia="Palatino Linotype" w:hAnsi="Palatino Linotype" w:cs="Palatino Linotype"/>
          <w:color w:val="000000"/>
          <w:sz w:val="22"/>
          <w:szCs w:val="22"/>
        </w:rPr>
        <w:lastRenderedPageBreak/>
        <w:t>establecidas, asimismo que si entrega un documento testado sin el debido acuerdo de clasificación.</w:t>
      </w:r>
    </w:p>
    <w:p w14:paraId="6AD707F4" w14:textId="77777777" w:rsidR="00C745C3" w:rsidRDefault="00C745C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szCs w:val="24"/>
        </w:rPr>
      </w:pPr>
    </w:p>
    <w:p w14:paraId="56591E64" w14:textId="77777777" w:rsidR="00C745C3" w:rsidRDefault="00AC72C1">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222222"/>
          <w:sz w:val="24"/>
          <w:szCs w:val="24"/>
        </w:rPr>
        <w:t xml:space="preserve">Por lo anteriormente expuesto y fundado, este </w:t>
      </w:r>
      <w:r>
        <w:rPr>
          <w:rFonts w:ascii="Palatino Linotype" w:eastAsia="Palatino Linotype" w:hAnsi="Palatino Linotype" w:cs="Palatino Linotype"/>
          <w:b/>
          <w:color w:val="222222"/>
          <w:sz w:val="24"/>
          <w:szCs w:val="24"/>
        </w:rPr>
        <w:t>ÓRGANO GARANTE</w:t>
      </w:r>
      <w:r>
        <w:rPr>
          <w:rFonts w:ascii="Palatino Linotype" w:eastAsia="Palatino Linotype" w:hAnsi="Palatino Linotype" w:cs="Palatino Linotype"/>
          <w:color w:val="222222"/>
          <w:sz w:val="24"/>
          <w:szCs w:val="24"/>
        </w:rPr>
        <w:t xml:space="preserve"> emite los siguientes:</w:t>
      </w:r>
    </w:p>
    <w:p w14:paraId="33EFBAD2" w14:textId="77777777" w:rsidR="00C745C3" w:rsidRDefault="00AC72C1">
      <w:pPr>
        <w:pStyle w:val="Ttulo1"/>
        <w:jc w:val="center"/>
        <w:rPr>
          <w:rFonts w:ascii="Palatino Linotype" w:eastAsia="Palatino Linotype" w:hAnsi="Palatino Linotype" w:cs="Palatino Linotype"/>
          <w:b/>
          <w:color w:val="000000"/>
          <w:sz w:val="24"/>
          <w:szCs w:val="24"/>
        </w:rPr>
      </w:pPr>
      <w:bookmarkStart w:id="13" w:name="_heading=h.lnxbz9" w:colFirst="0" w:colLast="0"/>
      <w:bookmarkEnd w:id="13"/>
      <w:r>
        <w:rPr>
          <w:rFonts w:ascii="Palatino Linotype" w:eastAsia="Palatino Linotype" w:hAnsi="Palatino Linotype" w:cs="Palatino Linotype"/>
          <w:b/>
          <w:color w:val="000000"/>
          <w:sz w:val="24"/>
          <w:szCs w:val="24"/>
        </w:rPr>
        <w:t>R E S O L U T I V O S</w:t>
      </w:r>
    </w:p>
    <w:p w14:paraId="0EDED1A0" w14:textId="77777777" w:rsidR="00C745C3" w:rsidRDefault="00C745C3">
      <w:pPr>
        <w:keepNext/>
        <w:keepLines/>
        <w:spacing w:line="360" w:lineRule="auto"/>
        <w:jc w:val="center"/>
        <w:rPr>
          <w:rFonts w:ascii="Palatino Linotype" w:eastAsia="Palatino Linotype" w:hAnsi="Palatino Linotype" w:cs="Palatino Linotype"/>
          <w:b/>
          <w:sz w:val="24"/>
          <w:szCs w:val="24"/>
        </w:rPr>
      </w:pPr>
    </w:p>
    <w:p w14:paraId="151C979B" w14:textId="77777777" w:rsidR="00C745C3" w:rsidRDefault="00AC72C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Resultan parcialmente fundadas las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razones o motivos de inconformidad hechos valer en el recurso de revisión </w:t>
      </w:r>
      <w:r>
        <w:rPr>
          <w:rFonts w:ascii="Palatino Linotype" w:eastAsia="Palatino Linotype" w:hAnsi="Palatino Linotype" w:cs="Palatino Linotype"/>
          <w:b/>
          <w:sz w:val="24"/>
          <w:szCs w:val="24"/>
        </w:rPr>
        <w:t xml:space="preserve">00623/INFOEM/IP/RR/2024 </w:t>
      </w:r>
      <w:r>
        <w:rPr>
          <w:rFonts w:ascii="Palatino Linotype" w:eastAsia="Palatino Linotype" w:hAnsi="Palatino Linotype" w:cs="Palatino Linotype"/>
          <w:sz w:val="24"/>
          <w:szCs w:val="24"/>
        </w:rPr>
        <w:t>en términos de los</w:t>
      </w:r>
      <w:r>
        <w:rPr>
          <w:rFonts w:ascii="Palatino Linotype" w:eastAsia="Palatino Linotype" w:hAnsi="Palatino Linotype" w:cs="Palatino Linotype"/>
          <w:b/>
          <w:sz w:val="24"/>
          <w:szCs w:val="24"/>
        </w:rPr>
        <w:t xml:space="preserve"> Considerandos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CUARTO y QUINTO</w:t>
      </w:r>
      <w:r>
        <w:rPr>
          <w:rFonts w:ascii="Palatino Linotype" w:eastAsia="Palatino Linotype" w:hAnsi="Palatino Linotype" w:cs="Palatino Linotype"/>
          <w:sz w:val="24"/>
          <w:szCs w:val="24"/>
        </w:rPr>
        <w:t xml:space="preserve"> de la presente resolución.</w:t>
      </w:r>
    </w:p>
    <w:p w14:paraId="04F0DCCB" w14:textId="77777777" w:rsidR="00C745C3" w:rsidRDefault="00C745C3">
      <w:pPr>
        <w:spacing w:line="360" w:lineRule="auto"/>
        <w:jc w:val="both"/>
        <w:rPr>
          <w:rFonts w:ascii="Palatino Linotype" w:eastAsia="Palatino Linotype" w:hAnsi="Palatino Linotype" w:cs="Palatino Linotype"/>
          <w:b/>
          <w:sz w:val="24"/>
          <w:szCs w:val="24"/>
        </w:rPr>
      </w:pPr>
    </w:p>
    <w:p w14:paraId="2753162A" w14:textId="77777777" w:rsidR="00C745C3" w:rsidRDefault="00AC72C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SEGUNDO. </w:t>
      </w:r>
      <w:r>
        <w:rPr>
          <w:rFonts w:ascii="Palatino Linotype" w:eastAsia="Palatino Linotype" w:hAnsi="Palatino Linotype" w:cs="Palatino Linotype"/>
          <w:color w:val="000000"/>
          <w:sz w:val="24"/>
          <w:szCs w:val="24"/>
        </w:rPr>
        <w:t xml:space="preserve">Se </w:t>
      </w:r>
      <w:r>
        <w:rPr>
          <w:rFonts w:ascii="Palatino Linotype" w:eastAsia="Palatino Linotype" w:hAnsi="Palatino Linotype" w:cs="Palatino Linotype"/>
          <w:b/>
          <w:color w:val="000000"/>
          <w:sz w:val="24"/>
          <w:szCs w:val="24"/>
        </w:rPr>
        <w:t>REVOCA</w:t>
      </w:r>
      <w:r>
        <w:rPr>
          <w:rFonts w:ascii="Palatino Linotype" w:eastAsia="Palatino Linotype" w:hAnsi="Palatino Linotype" w:cs="Palatino Linotype"/>
          <w:color w:val="000000"/>
          <w:sz w:val="24"/>
          <w:szCs w:val="24"/>
        </w:rPr>
        <w:t xml:space="preserve"> la respuesta y se </w:t>
      </w:r>
      <w:r>
        <w:rPr>
          <w:rFonts w:ascii="Palatino Linotype" w:eastAsia="Palatino Linotype" w:hAnsi="Palatino Linotype" w:cs="Palatino Linotype"/>
          <w:b/>
          <w:color w:val="000000"/>
          <w:sz w:val="24"/>
          <w:szCs w:val="24"/>
        </w:rPr>
        <w:t xml:space="preserve">ORDENA </w:t>
      </w:r>
      <w:r>
        <w:rPr>
          <w:rFonts w:ascii="Palatino Linotype" w:eastAsia="Palatino Linotype" w:hAnsi="Palatino Linotype" w:cs="Palatino Linotype"/>
          <w:color w:val="000000"/>
          <w:sz w:val="24"/>
          <w:szCs w:val="24"/>
        </w:rPr>
        <w:t xml:space="preserve">a los </w:t>
      </w:r>
      <w:r>
        <w:rPr>
          <w:rFonts w:ascii="Palatino Linotype" w:eastAsia="Palatino Linotype" w:hAnsi="Palatino Linotype" w:cs="Palatino Linotype"/>
          <w:b/>
          <w:color w:val="000000"/>
          <w:sz w:val="24"/>
          <w:szCs w:val="24"/>
        </w:rPr>
        <w:t>Servicios Educativos Integrados al Estado de México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color w:val="000000"/>
          <w:sz w:val="24"/>
          <w:szCs w:val="24"/>
        </w:rPr>
        <w:t>entregar, vía Sistema de Acceso a la Información Mexiquense (SAIMEX), de ser el caso en versión pública</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la siguiente información:</w:t>
      </w:r>
    </w:p>
    <w:p w14:paraId="3986087F" w14:textId="77777777" w:rsidR="00C745C3" w:rsidRDefault="00C745C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6600D5AA" w14:textId="63097E0E" w:rsidR="00C745C3" w:rsidRDefault="00A82289">
      <w:pPr>
        <w:numPr>
          <w:ilvl w:val="0"/>
          <w:numId w:val="3"/>
        </w:numPr>
        <w:pBdr>
          <w:top w:val="nil"/>
          <w:left w:val="nil"/>
          <w:bottom w:val="nil"/>
          <w:right w:val="nil"/>
          <w:between w:val="nil"/>
        </w:pBdr>
        <w:spacing w:line="360" w:lineRule="auto"/>
        <w:ind w:right="616"/>
        <w:jc w:val="both"/>
        <w:rPr>
          <w:rFonts w:ascii="Palatino Linotype" w:eastAsia="Palatino Linotype" w:hAnsi="Palatino Linotype" w:cs="Palatino Linotype"/>
          <w:b/>
          <w:color w:val="000000"/>
          <w:sz w:val="24"/>
          <w:szCs w:val="24"/>
        </w:rPr>
      </w:pPr>
      <w:r w:rsidRPr="004A1512">
        <w:rPr>
          <w:rFonts w:ascii="Palatino Linotype" w:eastAsia="Palatino Linotype" w:hAnsi="Palatino Linotype" w:cs="Palatino Linotype"/>
          <w:b/>
          <w:color w:val="000000"/>
          <w:sz w:val="24"/>
          <w:szCs w:val="24"/>
        </w:rPr>
        <w:t>Documento donde conste el n</w:t>
      </w:r>
      <w:r w:rsidR="00AC72C1" w:rsidRPr="004A1512">
        <w:rPr>
          <w:rFonts w:ascii="Palatino Linotype" w:eastAsia="Palatino Linotype" w:hAnsi="Palatino Linotype" w:cs="Palatino Linotype"/>
          <w:b/>
          <w:color w:val="000000"/>
          <w:sz w:val="24"/>
          <w:szCs w:val="24"/>
        </w:rPr>
        <w:t>ombre</w:t>
      </w:r>
      <w:r w:rsidR="00AC72C1">
        <w:rPr>
          <w:rFonts w:ascii="Palatino Linotype" w:eastAsia="Palatino Linotype" w:hAnsi="Palatino Linotype" w:cs="Palatino Linotype"/>
          <w:b/>
          <w:color w:val="000000"/>
          <w:sz w:val="24"/>
          <w:szCs w:val="24"/>
        </w:rPr>
        <w:t xml:space="preserve"> del Responsable o responsables de elaborar las bases de la Licitación Pública Nacional referida en la </w:t>
      </w:r>
      <w:r w:rsidR="000D200E">
        <w:rPr>
          <w:rFonts w:ascii="Palatino Linotype" w:eastAsia="Palatino Linotype" w:hAnsi="Palatino Linotype" w:cs="Palatino Linotype"/>
          <w:b/>
          <w:color w:val="000000"/>
          <w:sz w:val="24"/>
          <w:szCs w:val="24"/>
        </w:rPr>
        <w:t>solicitud 00</w:t>
      </w:r>
      <w:bookmarkStart w:id="14" w:name="_GoBack"/>
      <w:bookmarkEnd w:id="14"/>
      <w:r w:rsidR="000D200E">
        <w:rPr>
          <w:rFonts w:ascii="Palatino Linotype" w:eastAsia="Palatino Linotype" w:hAnsi="Palatino Linotype" w:cs="Palatino Linotype"/>
          <w:b/>
          <w:color w:val="000000"/>
          <w:sz w:val="24"/>
          <w:szCs w:val="24"/>
        </w:rPr>
        <w:t>013/SEIEM/IP/2024</w:t>
      </w:r>
      <w:r w:rsidR="00AC72C1">
        <w:rPr>
          <w:rFonts w:ascii="Palatino Linotype" w:eastAsia="Palatino Linotype" w:hAnsi="Palatino Linotype" w:cs="Palatino Linotype"/>
          <w:b/>
          <w:color w:val="000000"/>
          <w:sz w:val="24"/>
          <w:szCs w:val="24"/>
        </w:rPr>
        <w:t>.</w:t>
      </w:r>
    </w:p>
    <w:p w14:paraId="4911B951" w14:textId="77777777" w:rsidR="00C745C3" w:rsidRDefault="00C745C3">
      <w:pPr>
        <w:pBdr>
          <w:top w:val="nil"/>
          <w:left w:val="nil"/>
          <w:bottom w:val="nil"/>
          <w:right w:val="nil"/>
          <w:between w:val="nil"/>
        </w:pBdr>
        <w:spacing w:after="160" w:line="360" w:lineRule="auto"/>
        <w:ind w:left="720" w:right="616"/>
        <w:jc w:val="both"/>
        <w:rPr>
          <w:rFonts w:ascii="Palatino Linotype" w:eastAsia="Palatino Linotype" w:hAnsi="Palatino Linotype" w:cs="Palatino Linotype"/>
          <w:b/>
          <w:color w:val="000000"/>
          <w:sz w:val="24"/>
          <w:szCs w:val="24"/>
        </w:rPr>
      </w:pPr>
    </w:p>
    <w:p w14:paraId="47FF3B1B" w14:textId="77777777" w:rsidR="00C745C3" w:rsidRDefault="00AC72C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 </w:t>
      </w:r>
    </w:p>
    <w:p w14:paraId="258B5D1E" w14:textId="77777777" w:rsidR="00C745C3" w:rsidRDefault="00C745C3">
      <w:pPr>
        <w:spacing w:line="360" w:lineRule="auto"/>
        <w:jc w:val="both"/>
        <w:rPr>
          <w:rFonts w:ascii="Palatino Linotype" w:eastAsia="Palatino Linotype" w:hAnsi="Palatino Linotype" w:cs="Palatino Linotype"/>
          <w:sz w:val="24"/>
          <w:szCs w:val="24"/>
        </w:rPr>
      </w:pPr>
    </w:p>
    <w:p w14:paraId="6E80075C" w14:textId="77777777" w:rsidR="00C745C3" w:rsidRDefault="00AC72C1">
      <w:pPr>
        <w:tabs>
          <w:tab w:val="left" w:pos="284"/>
          <w:tab w:val="left" w:pos="8080"/>
        </w:tabs>
        <w:spacing w:line="360" w:lineRule="auto"/>
        <w:ind w:right="49"/>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sz w:val="24"/>
          <w:szCs w:val="24"/>
        </w:rPr>
        <w:t xml:space="preserve">TERCERO. </w:t>
      </w:r>
      <w:r>
        <w:rPr>
          <w:rFonts w:ascii="Palatino Linotype" w:eastAsia="Palatino Linotype" w:hAnsi="Palatino Linotype" w:cs="Palatino Linotype"/>
          <w:b/>
          <w:color w:val="222222"/>
          <w:sz w:val="24"/>
          <w:szCs w:val="24"/>
          <w:highlight w:val="white"/>
        </w:rPr>
        <w:t>NOTIFÍQUESE</w:t>
      </w:r>
      <w:r>
        <w:rPr>
          <w:rFonts w:ascii="Palatino Linotype" w:eastAsia="Palatino Linotype" w:hAnsi="Palatino Linotype" w:cs="Palatino Linotype"/>
          <w:color w:val="222222"/>
          <w:sz w:val="24"/>
          <w:szCs w:val="24"/>
          <w:highlight w:val="white"/>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w:t>
      </w:r>
      <w:r w:rsidRPr="000C614A">
        <w:rPr>
          <w:rFonts w:ascii="Palatino Linotype" w:eastAsia="Palatino Linotype" w:hAnsi="Palatino Linotype" w:cs="Palatino Linotype"/>
          <w:b/>
          <w:color w:val="222222"/>
          <w:sz w:val="24"/>
          <w:szCs w:val="24"/>
          <w:highlight w:val="white"/>
        </w:rPr>
        <w:t>diez días hábiles</w:t>
      </w:r>
      <w:r>
        <w:rPr>
          <w:rFonts w:ascii="Palatino Linotype" w:eastAsia="Palatino Linotype" w:hAnsi="Palatino Linotype" w:cs="Palatino Linotype"/>
          <w:color w:val="222222"/>
          <w:sz w:val="24"/>
          <w:szCs w:val="24"/>
          <w:highlight w:val="whit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0A74EDB" w14:textId="77777777" w:rsidR="00C745C3" w:rsidRDefault="00C745C3">
      <w:pPr>
        <w:tabs>
          <w:tab w:val="left" w:pos="284"/>
          <w:tab w:val="left" w:pos="8080"/>
        </w:tabs>
        <w:spacing w:line="360" w:lineRule="auto"/>
        <w:ind w:right="49"/>
        <w:jc w:val="both"/>
        <w:rPr>
          <w:rFonts w:ascii="Palatino Linotype" w:eastAsia="Palatino Linotype" w:hAnsi="Palatino Linotype" w:cs="Palatino Linotype"/>
          <w:color w:val="222222"/>
          <w:sz w:val="24"/>
          <w:szCs w:val="24"/>
          <w:highlight w:val="white"/>
        </w:rPr>
      </w:pPr>
    </w:p>
    <w:p w14:paraId="6D88F9E7" w14:textId="77777777" w:rsidR="00C745C3" w:rsidRDefault="00AC72C1">
      <w:pPr>
        <w:shd w:val="clear" w:color="auto" w:fill="FFFFFF"/>
        <w:tabs>
          <w:tab w:val="left" w:pos="284"/>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b/>
          <w:color w:val="222222"/>
          <w:sz w:val="24"/>
          <w:szCs w:val="24"/>
        </w:rPr>
        <w:t xml:space="preserve">Notifíquese </w:t>
      </w:r>
      <w:r>
        <w:rPr>
          <w:rFonts w:ascii="Palatino Linotype" w:eastAsia="Palatino Linotype" w:hAnsi="Palatino Linotype" w:cs="Palatino Linotype"/>
          <w:color w:val="222222"/>
          <w:sz w:val="24"/>
          <w:szCs w:val="24"/>
        </w:rPr>
        <w:t xml:space="preserve">al </w:t>
      </w:r>
      <w:r>
        <w:rPr>
          <w:rFonts w:ascii="Palatino Linotype" w:eastAsia="Palatino Linotype" w:hAnsi="Palatino Linotype" w:cs="Palatino Linotype"/>
          <w:b/>
          <w:color w:val="222222"/>
          <w:sz w:val="24"/>
          <w:szCs w:val="24"/>
        </w:rPr>
        <w:t xml:space="preserve">RECURRENTE </w:t>
      </w:r>
      <w:r>
        <w:rPr>
          <w:rFonts w:ascii="Palatino Linotype" w:eastAsia="Palatino Linotype" w:hAnsi="Palatino Linotype" w:cs="Palatino Linotype"/>
          <w:sz w:val="24"/>
          <w:szCs w:val="24"/>
        </w:rPr>
        <w:t>la presente resolución a través del Sistema de Acceso a la Información Mexiquense (SAIMEX).</w:t>
      </w:r>
    </w:p>
    <w:p w14:paraId="3AE804A9" w14:textId="77777777" w:rsidR="00C745C3" w:rsidRDefault="00C745C3">
      <w:pPr>
        <w:shd w:val="clear" w:color="auto" w:fill="FFFFFF"/>
        <w:tabs>
          <w:tab w:val="left" w:pos="284"/>
        </w:tabs>
        <w:spacing w:line="360" w:lineRule="auto"/>
        <w:jc w:val="both"/>
        <w:rPr>
          <w:rFonts w:ascii="Palatino Linotype" w:eastAsia="Palatino Linotype" w:hAnsi="Palatino Linotype" w:cs="Palatino Linotype"/>
          <w:sz w:val="24"/>
          <w:szCs w:val="24"/>
        </w:rPr>
      </w:pPr>
    </w:p>
    <w:p w14:paraId="7207970A" w14:textId="77777777" w:rsidR="00C745C3" w:rsidRDefault="00AC72C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w:t>
      </w:r>
      <w:r>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3A5E0F" w14:textId="77777777" w:rsidR="00C745C3" w:rsidRDefault="00AC72C1">
      <w:pPr>
        <w:shd w:val="clear" w:color="auto" w:fill="FFFFFF"/>
        <w:spacing w:before="240" w:after="36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b/>
          <w:sz w:val="24"/>
          <w:szCs w:val="24"/>
        </w:rPr>
        <w:t>SEXTO.</w:t>
      </w:r>
      <w:r>
        <w:rPr>
          <w:rFonts w:ascii="Palatino Linotype" w:eastAsia="Palatino Linotype" w:hAnsi="Palatino Linotype" w:cs="Palatino Linotype"/>
          <w:color w:val="222222"/>
          <w:sz w:val="24"/>
          <w:szCs w:val="24"/>
        </w:rPr>
        <w:t xml:space="preserve"> </w:t>
      </w:r>
      <w:r>
        <w:rPr>
          <w:rFonts w:ascii="Palatino Linotype" w:eastAsia="Palatino Linotype" w:hAnsi="Palatino Linotype" w:cs="Palatino Linotype"/>
          <w:sz w:val="24"/>
          <w:szCs w:val="24"/>
        </w:rPr>
        <w:t xml:space="preserve">Se hace del conocimiento de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que, de conformidad con lo establecido en el artículo 196 de la Ley de Transparencia y Acceso a la Información Pública del Estado de México y Municipios, </w:t>
      </w:r>
      <w:r>
        <w:rPr>
          <w:rFonts w:ascii="Palatino Linotype" w:eastAsia="Palatino Linotype" w:hAnsi="Palatino Linotype" w:cs="Palatino Linotype"/>
          <w:color w:val="000000"/>
          <w:sz w:val="24"/>
          <w:szCs w:val="24"/>
        </w:rPr>
        <w:t xml:space="preserve">en caso de que considere que la resolución le cause algún perjuicio podrá impugnarla vía </w:t>
      </w:r>
      <w:r>
        <w:rPr>
          <w:rFonts w:ascii="Palatino Linotype" w:eastAsia="Palatino Linotype" w:hAnsi="Palatino Linotype" w:cs="Palatino Linotype"/>
          <w:sz w:val="24"/>
          <w:szCs w:val="24"/>
        </w:rPr>
        <w:t>juicio de amparo en los términos de las leyes aplicables.</w:t>
      </w:r>
    </w:p>
    <w:p w14:paraId="2715FCB0" w14:textId="77777777" w:rsidR="000C614A" w:rsidRPr="000C614A" w:rsidRDefault="000C614A" w:rsidP="000C614A">
      <w:pPr>
        <w:spacing w:line="360" w:lineRule="auto"/>
        <w:ind w:firstLine="1"/>
        <w:jc w:val="both"/>
        <w:rPr>
          <w:rFonts w:ascii="Palatino Linotype" w:hAnsi="Palatino Linotype"/>
          <w:sz w:val="24"/>
        </w:rPr>
      </w:pPr>
      <w:r w:rsidRPr="000C614A">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CUATRO (04) DE SEPTIEMBRE DE DOS MIL VEINTICUATRO, ANTE EL SECRETARIO TÉCNICO DEL PLENO ALEXIS TAPIA RAMÍREZ. </w:t>
      </w:r>
    </w:p>
    <w:p w14:paraId="7A3965EF" w14:textId="77777777" w:rsidR="00C745C3" w:rsidRDefault="00C745C3">
      <w:pPr>
        <w:spacing w:before="240" w:after="360" w:line="360" w:lineRule="auto"/>
        <w:jc w:val="both"/>
        <w:rPr>
          <w:rFonts w:ascii="Palatino Linotype" w:eastAsia="Palatino Linotype" w:hAnsi="Palatino Linotype" w:cs="Palatino Linotype"/>
          <w:color w:val="222222"/>
          <w:sz w:val="24"/>
          <w:szCs w:val="24"/>
        </w:rPr>
      </w:pPr>
    </w:p>
    <w:p w14:paraId="07087E49" w14:textId="77777777" w:rsidR="00C745C3" w:rsidRDefault="00C745C3">
      <w:pPr>
        <w:spacing w:before="240" w:after="360" w:line="360" w:lineRule="auto"/>
        <w:jc w:val="both"/>
        <w:rPr>
          <w:rFonts w:ascii="Palatino Linotype" w:eastAsia="Palatino Linotype" w:hAnsi="Palatino Linotype" w:cs="Palatino Linotype"/>
          <w:color w:val="222222"/>
          <w:sz w:val="24"/>
          <w:szCs w:val="24"/>
        </w:rPr>
      </w:pPr>
    </w:p>
    <w:p w14:paraId="6BE15EC1" w14:textId="77777777" w:rsidR="00C745C3" w:rsidRDefault="00C745C3">
      <w:pPr>
        <w:spacing w:before="240" w:after="360" w:line="360" w:lineRule="auto"/>
        <w:jc w:val="both"/>
        <w:rPr>
          <w:rFonts w:ascii="Palatino Linotype" w:eastAsia="Palatino Linotype" w:hAnsi="Palatino Linotype" w:cs="Palatino Linotype"/>
          <w:color w:val="222222"/>
          <w:sz w:val="24"/>
          <w:szCs w:val="24"/>
        </w:rPr>
      </w:pPr>
    </w:p>
    <w:p w14:paraId="3FFD00B5" w14:textId="77777777" w:rsidR="00C745C3" w:rsidRDefault="00C745C3">
      <w:pPr>
        <w:spacing w:before="240" w:after="360" w:line="360" w:lineRule="auto"/>
        <w:jc w:val="both"/>
        <w:rPr>
          <w:rFonts w:ascii="Palatino Linotype" w:eastAsia="Palatino Linotype" w:hAnsi="Palatino Linotype" w:cs="Palatino Linotype"/>
          <w:color w:val="222222"/>
          <w:sz w:val="24"/>
          <w:szCs w:val="24"/>
        </w:rPr>
      </w:pPr>
    </w:p>
    <w:p w14:paraId="6810FD7D" w14:textId="77777777" w:rsidR="00C745C3" w:rsidRDefault="00C745C3">
      <w:pPr>
        <w:spacing w:before="240" w:after="360" w:line="360" w:lineRule="auto"/>
        <w:jc w:val="both"/>
        <w:rPr>
          <w:rFonts w:ascii="Palatino Linotype" w:eastAsia="Palatino Linotype" w:hAnsi="Palatino Linotype" w:cs="Palatino Linotype"/>
          <w:color w:val="222222"/>
          <w:sz w:val="24"/>
          <w:szCs w:val="24"/>
        </w:rPr>
      </w:pPr>
    </w:p>
    <w:p w14:paraId="6ED9872A" w14:textId="77777777" w:rsidR="00C745C3" w:rsidRDefault="00C745C3">
      <w:pPr>
        <w:spacing w:before="240" w:after="360" w:line="360" w:lineRule="auto"/>
        <w:jc w:val="both"/>
        <w:rPr>
          <w:rFonts w:ascii="Palatino Linotype" w:eastAsia="Palatino Linotype" w:hAnsi="Palatino Linotype" w:cs="Palatino Linotype"/>
          <w:color w:val="222222"/>
          <w:sz w:val="24"/>
          <w:szCs w:val="24"/>
        </w:rPr>
      </w:pPr>
    </w:p>
    <w:p w14:paraId="2A233F89" w14:textId="77777777" w:rsidR="00C745C3" w:rsidRDefault="00C745C3">
      <w:pPr>
        <w:spacing w:before="240" w:after="360" w:line="360" w:lineRule="auto"/>
        <w:jc w:val="both"/>
        <w:rPr>
          <w:rFonts w:ascii="Palatino Linotype" w:eastAsia="Palatino Linotype" w:hAnsi="Palatino Linotype" w:cs="Palatino Linotype"/>
          <w:color w:val="222222"/>
          <w:sz w:val="24"/>
          <w:szCs w:val="24"/>
        </w:rPr>
      </w:pPr>
    </w:p>
    <w:p w14:paraId="25492631" w14:textId="77777777" w:rsidR="00C745C3" w:rsidRDefault="00C745C3">
      <w:pPr>
        <w:spacing w:before="240" w:after="360" w:line="360" w:lineRule="auto"/>
        <w:jc w:val="both"/>
        <w:rPr>
          <w:rFonts w:ascii="Palatino Linotype" w:eastAsia="Palatino Linotype" w:hAnsi="Palatino Linotype" w:cs="Palatino Linotype"/>
          <w:color w:val="222222"/>
          <w:sz w:val="24"/>
          <w:szCs w:val="24"/>
        </w:rPr>
      </w:pPr>
    </w:p>
    <w:p w14:paraId="024ADADB" w14:textId="77777777" w:rsidR="00C745C3" w:rsidRDefault="00C745C3">
      <w:pPr>
        <w:spacing w:before="240" w:after="360" w:line="360" w:lineRule="auto"/>
        <w:jc w:val="both"/>
        <w:rPr>
          <w:rFonts w:ascii="Palatino Linotype" w:eastAsia="Palatino Linotype" w:hAnsi="Palatino Linotype" w:cs="Palatino Linotype"/>
          <w:color w:val="222222"/>
          <w:sz w:val="24"/>
          <w:szCs w:val="24"/>
        </w:rPr>
      </w:pPr>
    </w:p>
    <w:sectPr w:rsidR="00C745C3">
      <w:headerReference w:type="even" r:id="rId10"/>
      <w:headerReference w:type="default" r:id="rId11"/>
      <w:footerReference w:type="default" r:id="rId12"/>
      <w:headerReference w:type="first" r:id="rId13"/>
      <w:footerReference w:type="first" r:id="rId14"/>
      <w:pgSz w:w="12240" w:h="15840"/>
      <w:pgMar w:top="80" w:right="1608"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C0904" w14:textId="77777777" w:rsidR="00C53CB7" w:rsidRDefault="00C53CB7">
      <w:r>
        <w:separator/>
      </w:r>
    </w:p>
  </w:endnote>
  <w:endnote w:type="continuationSeparator" w:id="0">
    <w:p w14:paraId="081223E8" w14:textId="77777777" w:rsidR="00C53CB7" w:rsidRDefault="00C53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7BC1A" w14:textId="77777777" w:rsidR="00C745C3" w:rsidRDefault="00C745C3">
    <w:pPr>
      <w:pBdr>
        <w:top w:val="nil"/>
        <w:left w:val="nil"/>
        <w:bottom w:val="nil"/>
        <w:right w:val="nil"/>
        <w:between w:val="nil"/>
      </w:pBdr>
      <w:tabs>
        <w:tab w:val="center" w:pos="4419"/>
        <w:tab w:val="right" w:pos="8838"/>
      </w:tabs>
      <w:jc w:val="right"/>
      <w:rPr>
        <w:color w:val="000000"/>
      </w:rPr>
    </w:pPr>
  </w:p>
  <w:p w14:paraId="47E7F867" w14:textId="77777777" w:rsidR="00C745C3" w:rsidRDefault="00AC72C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17887">
      <w:rPr>
        <w:b/>
        <w:noProof/>
        <w:color w:val="000000"/>
        <w:sz w:val="24"/>
        <w:szCs w:val="24"/>
      </w:rPr>
      <w:t>46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17887">
      <w:rPr>
        <w:b/>
        <w:noProof/>
        <w:color w:val="000000"/>
        <w:sz w:val="24"/>
        <w:szCs w:val="24"/>
      </w:rPr>
      <w:t>47</w:t>
    </w:r>
    <w:r>
      <w:rPr>
        <w:b/>
        <w:color w:val="000000"/>
        <w:sz w:val="24"/>
        <w:szCs w:val="24"/>
      </w:rPr>
      <w:fldChar w:fldCharType="end"/>
    </w:r>
  </w:p>
  <w:p w14:paraId="293161C9" w14:textId="77777777" w:rsidR="00C745C3" w:rsidRDefault="00C745C3">
    <w:pPr>
      <w:pBdr>
        <w:top w:val="nil"/>
        <w:left w:val="nil"/>
        <w:bottom w:val="nil"/>
        <w:right w:val="nil"/>
        <w:between w:val="nil"/>
      </w:pBdr>
      <w:tabs>
        <w:tab w:val="center" w:pos="4419"/>
        <w:tab w:val="right" w:pos="8838"/>
      </w:tabs>
      <w:rPr>
        <w:color w:val="000000"/>
      </w:rPr>
    </w:pPr>
  </w:p>
  <w:p w14:paraId="668111BE" w14:textId="77777777" w:rsidR="00C745C3" w:rsidRDefault="00C745C3"/>
  <w:p w14:paraId="009288EF" w14:textId="77777777" w:rsidR="00C745C3" w:rsidRDefault="00C745C3"/>
  <w:p w14:paraId="109BE350" w14:textId="77777777" w:rsidR="00C745C3" w:rsidRDefault="00C745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7A194" w14:textId="77777777" w:rsidR="00C745C3" w:rsidRDefault="00AC72C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1788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17887">
      <w:rPr>
        <w:b/>
        <w:noProof/>
        <w:color w:val="000000"/>
        <w:sz w:val="24"/>
        <w:szCs w:val="24"/>
      </w:rPr>
      <w:t>47</w:t>
    </w:r>
    <w:r>
      <w:rPr>
        <w:b/>
        <w:color w:val="000000"/>
        <w:sz w:val="24"/>
        <w:szCs w:val="24"/>
      </w:rPr>
      <w:fldChar w:fldCharType="end"/>
    </w:r>
  </w:p>
  <w:p w14:paraId="2C4E832F" w14:textId="77777777" w:rsidR="00C745C3" w:rsidRDefault="00C745C3">
    <w:pPr>
      <w:pBdr>
        <w:top w:val="nil"/>
        <w:left w:val="nil"/>
        <w:bottom w:val="nil"/>
        <w:right w:val="nil"/>
        <w:between w:val="nil"/>
      </w:pBdr>
      <w:tabs>
        <w:tab w:val="center" w:pos="4419"/>
        <w:tab w:val="right" w:pos="8838"/>
      </w:tabs>
      <w:rPr>
        <w:color w:val="000000"/>
      </w:rPr>
    </w:pPr>
  </w:p>
  <w:p w14:paraId="5B0B6270" w14:textId="77777777" w:rsidR="00C745C3" w:rsidRDefault="00C745C3"/>
  <w:p w14:paraId="5ECC3DA6" w14:textId="77777777" w:rsidR="00C745C3" w:rsidRDefault="00C745C3"/>
  <w:p w14:paraId="5C65F6C6" w14:textId="77777777" w:rsidR="00C745C3" w:rsidRDefault="00C745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2D4D2" w14:textId="77777777" w:rsidR="00C53CB7" w:rsidRDefault="00C53CB7">
      <w:r>
        <w:separator/>
      </w:r>
    </w:p>
  </w:footnote>
  <w:footnote w:type="continuationSeparator" w:id="0">
    <w:p w14:paraId="45FF3486" w14:textId="77777777" w:rsidR="00C53CB7" w:rsidRDefault="00C53CB7">
      <w:r>
        <w:continuationSeparator/>
      </w:r>
    </w:p>
  </w:footnote>
  <w:footnote w:id="1">
    <w:p w14:paraId="6FC9EF53" w14:textId="77777777" w:rsidR="00C745C3" w:rsidRDefault="00AC72C1">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Convención Americana sobre Derechos Humanos. Artículo 13.</w:t>
      </w:r>
    </w:p>
  </w:footnote>
  <w:footnote w:id="2">
    <w:p w14:paraId="30EF344C" w14:textId="77777777" w:rsidR="00C745C3" w:rsidRDefault="00AC72C1">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Constitución Política de los Estados Unidos Mexicanos. Artículo sexto, sección A, fracción I.</w:t>
      </w:r>
    </w:p>
  </w:footnote>
  <w:footnote w:id="3">
    <w:p w14:paraId="63B605DF" w14:textId="77777777" w:rsidR="00C745C3" w:rsidRDefault="00AC72C1">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Corte Interamericana de Derechos Humanos. Caso Claude Reyes y otros vs. Chile. Sentencia de 19 de septiembre de 2006. Serie C. No. 151. Párr. 86.</w:t>
      </w:r>
    </w:p>
  </w:footnote>
  <w:footnote w:id="4">
    <w:p w14:paraId="590C3A0A" w14:textId="77777777" w:rsidR="00C745C3" w:rsidRDefault="00AC72C1">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Ibídem. Parr. 87.</w:t>
      </w:r>
    </w:p>
  </w:footnote>
  <w:footnote w:id="5">
    <w:p w14:paraId="451B7F67" w14:textId="77777777" w:rsidR="00C745C3" w:rsidRDefault="00AC72C1">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Ley de Transparencia y Acceso a la Información Pública del Estado de México y Municipios. Artículo 9. …</w:t>
      </w:r>
    </w:p>
    <w:p w14:paraId="4AF3703A" w14:textId="77777777" w:rsidR="00C745C3" w:rsidRDefault="00AC72C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II. Eficacia: Obligación del Instituto para tutelar, de manera efectiva, el derecho de acceso a la información;</w:t>
      </w:r>
    </w:p>
    <w:p w14:paraId="78254ACB" w14:textId="77777777" w:rsidR="00C745C3" w:rsidRDefault="00AC72C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7A2F9" w14:textId="77777777" w:rsidR="00C745C3" w:rsidRDefault="00C53CB7">
    <w:pPr>
      <w:pBdr>
        <w:top w:val="nil"/>
        <w:left w:val="nil"/>
        <w:bottom w:val="nil"/>
        <w:right w:val="nil"/>
        <w:between w:val="nil"/>
      </w:pBdr>
      <w:tabs>
        <w:tab w:val="center" w:pos="4419"/>
        <w:tab w:val="right" w:pos="8838"/>
      </w:tabs>
      <w:rPr>
        <w:color w:val="000000"/>
      </w:rPr>
    </w:pPr>
    <w:r>
      <w:rPr>
        <w:color w:val="000000"/>
      </w:rPr>
      <w:pict w14:anchorId="1138A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14:paraId="59C4288F" w14:textId="77777777" w:rsidR="00C745C3" w:rsidRDefault="00C745C3"/>
  <w:p w14:paraId="5554EAB0" w14:textId="77777777" w:rsidR="00C745C3" w:rsidRDefault="00C745C3"/>
  <w:p w14:paraId="35BC3BA1" w14:textId="77777777" w:rsidR="00C745C3" w:rsidRDefault="00C745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D9357" w14:textId="77777777" w:rsidR="00C745C3" w:rsidRDefault="00C745C3">
    <w:pPr>
      <w:widowControl w:val="0"/>
      <w:pBdr>
        <w:top w:val="nil"/>
        <w:left w:val="nil"/>
        <w:bottom w:val="nil"/>
        <w:right w:val="nil"/>
        <w:between w:val="nil"/>
      </w:pBdr>
      <w:spacing w:line="276" w:lineRule="auto"/>
    </w:pPr>
  </w:p>
  <w:tbl>
    <w:tblPr>
      <w:tblStyle w:val="a0"/>
      <w:tblW w:w="9356" w:type="dxa"/>
      <w:tblInd w:w="0" w:type="dxa"/>
      <w:tblLayout w:type="fixed"/>
      <w:tblLook w:val="0400" w:firstRow="0" w:lastRow="0" w:firstColumn="0" w:lastColumn="0" w:noHBand="0" w:noVBand="1"/>
    </w:tblPr>
    <w:tblGrid>
      <w:gridCol w:w="1843"/>
      <w:gridCol w:w="7513"/>
    </w:tblGrid>
    <w:tr w:rsidR="00C745C3" w14:paraId="0A1BF911" w14:textId="77777777">
      <w:trPr>
        <w:trHeight w:val="1435"/>
      </w:trPr>
      <w:tc>
        <w:tcPr>
          <w:tcW w:w="1843" w:type="dxa"/>
          <w:shd w:val="clear" w:color="auto" w:fill="auto"/>
        </w:tcPr>
        <w:p w14:paraId="03FA3E16" w14:textId="77777777" w:rsidR="00C745C3" w:rsidRDefault="00AC72C1">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7513" w:type="dxa"/>
          <w:shd w:val="clear" w:color="auto" w:fill="auto"/>
        </w:tcPr>
        <w:p w14:paraId="322C7E6D" w14:textId="77777777" w:rsidR="00C745C3" w:rsidRDefault="00C745C3"/>
        <w:tbl>
          <w:tblPr>
            <w:tblStyle w:val="a1"/>
            <w:tblW w:w="5528" w:type="dxa"/>
            <w:tblInd w:w="159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C745C3" w14:paraId="0AE17DCA" w14:textId="77777777">
            <w:trPr>
              <w:trHeight w:val="338"/>
            </w:trPr>
            <w:tc>
              <w:tcPr>
                <w:tcW w:w="2551" w:type="dxa"/>
              </w:tcPr>
              <w:p w14:paraId="6FFAEA6B" w14:textId="77777777" w:rsidR="00C745C3" w:rsidRDefault="00C745C3">
                <w:pPr>
                  <w:tabs>
                    <w:tab w:val="right" w:pos="8838"/>
                  </w:tabs>
                  <w:ind w:right="-105"/>
                  <w:rPr>
                    <w:rFonts w:ascii="Palatino Linotype" w:eastAsia="Palatino Linotype" w:hAnsi="Palatino Linotype" w:cs="Palatino Linotype"/>
                    <w:b/>
                    <w:sz w:val="22"/>
                    <w:szCs w:val="22"/>
                  </w:rPr>
                </w:pPr>
              </w:p>
              <w:p w14:paraId="08000E60" w14:textId="77777777" w:rsidR="00C745C3" w:rsidRDefault="00AC72C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tcPr>
              <w:p w14:paraId="053423F6" w14:textId="77777777" w:rsidR="00C745C3" w:rsidRDefault="00C745C3">
                <w:pPr>
                  <w:tabs>
                    <w:tab w:val="right" w:pos="8838"/>
                  </w:tabs>
                  <w:ind w:right="-105" w:hanging="101"/>
                  <w:jc w:val="both"/>
                  <w:rPr>
                    <w:rFonts w:ascii="Palatino Linotype" w:eastAsia="Palatino Linotype" w:hAnsi="Palatino Linotype" w:cs="Palatino Linotype"/>
                    <w:sz w:val="22"/>
                    <w:szCs w:val="22"/>
                  </w:rPr>
                </w:pPr>
              </w:p>
              <w:p w14:paraId="3C5458DA" w14:textId="77777777" w:rsidR="00C745C3" w:rsidRDefault="00AC72C1">
                <w:pPr>
                  <w:tabs>
                    <w:tab w:val="right" w:pos="8838"/>
                  </w:tabs>
                  <w:ind w:right="-105" w:hanging="10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00623/INFOEM/IP/RR/2024</w:t>
                </w:r>
              </w:p>
            </w:tc>
          </w:tr>
          <w:tr w:rsidR="00C745C3" w14:paraId="51A9D6CE" w14:textId="77777777">
            <w:trPr>
              <w:trHeight w:val="283"/>
            </w:trPr>
            <w:tc>
              <w:tcPr>
                <w:tcW w:w="2551" w:type="dxa"/>
              </w:tcPr>
              <w:p w14:paraId="07A352A7" w14:textId="77777777" w:rsidR="00C745C3" w:rsidRDefault="00AC72C1">
                <w:pPr>
                  <w:tabs>
                    <w:tab w:val="right" w:pos="8838"/>
                  </w:tabs>
                  <w:ind w:right="-105"/>
                  <w:rPr>
                    <w:rFonts w:ascii="Palatino Linotype" w:eastAsia="Palatino Linotype" w:hAnsi="Palatino Linotype" w:cs="Palatino Linotype"/>
                    <w:b/>
                    <w:sz w:val="22"/>
                    <w:szCs w:val="22"/>
                  </w:rPr>
                </w:pPr>
                <w:bookmarkStart w:id="15" w:name="_heading=h.35nkun2" w:colFirst="0" w:colLast="0"/>
                <w:bookmarkEnd w:id="15"/>
                <w:r>
                  <w:rPr>
                    <w:rFonts w:ascii="Palatino Linotype" w:eastAsia="Palatino Linotype" w:hAnsi="Palatino Linotype" w:cs="Palatino Linotype"/>
                    <w:b/>
                    <w:sz w:val="22"/>
                    <w:szCs w:val="22"/>
                  </w:rPr>
                  <w:t>Sujeto Obligado:</w:t>
                </w:r>
              </w:p>
            </w:tc>
            <w:tc>
              <w:tcPr>
                <w:tcW w:w="2977" w:type="dxa"/>
              </w:tcPr>
              <w:p w14:paraId="1FA680D9" w14:textId="77777777" w:rsidR="00C745C3" w:rsidRDefault="00AC72C1">
                <w:pPr>
                  <w:tabs>
                    <w:tab w:val="left" w:pos="2834"/>
                    <w:tab w:val="right" w:pos="8838"/>
                  </w:tabs>
                  <w:ind w:left="-113" w:right="-10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Servicios Educativos Integrados al Estado de México </w:t>
                </w:r>
                <w:r>
                  <w:rPr>
                    <w:rFonts w:ascii="Palatino Linotype" w:eastAsia="Palatino Linotype" w:hAnsi="Palatino Linotype" w:cs="Palatino Linotype"/>
                  </w:rPr>
                  <w:t xml:space="preserve"> </w:t>
                </w:r>
              </w:p>
            </w:tc>
          </w:tr>
          <w:tr w:rsidR="00C745C3" w14:paraId="61EC0FAB" w14:textId="77777777">
            <w:trPr>
              <w:trHeight w:val="283"/>
            </w:trPr>
            <w:tc>
              <w:tcPr>
                <w:tcW w:w="2551" w:type="dxa"/>
              </w:tcPr>
              <w:p w14:paraId="7BA26BBB" w14:textId="77777777" w:rsidR="00C745C3" w:rsidRDefault="00AC72C1">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tcPr>
              <w:p w14:paraId="210BEF67" w14:textId="77777777" w:rsidR="00C745C3" w:rsidRDefault="00AC72C1">
                <w:pPr>
                  <w:tabs>
                    <w:tab w:val="right" w:pos="8838"/>
                  </w:tabs>
                  <w:ind w:left="-113"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María del Rosario Mejía Ayala</w:t>
                </w:r>
              </w:p>
            </w:tc>
          </w:tr>
        </w:tbl>
        <w:p w14:paraId="3821F760" w14:textId="77777777" w:rsidR="00C745C3" w:rsidRDefault="00C745C3">
          <w:pPr>
            <w:tabs>
              <w:tab w:val="right" w:pos="8838"/>
            </w:tabs>
            <w:ind w:left="-28"/>
            <w:jc w:val="both"/>
            <w:rPr>
              <w:rFonts w:ascii="Arial" w:eastAsia="Arial" w:hAnsi="Arial" w:cs="Arial"/>
              <w:b/>
              <w:sz w:val="22"/>
              <w:szCs w:val="22"/>
            </w:rPr>
          </w:pPr>
        </w:p>
      </w:tc>
    </w:tr>
  </w:tbl>
  <w:p w14:paraId="6E2EB6D2" w14:textId="77777777" w:rsidR="00C745C3" w:rsidRDefault="00C53CB7">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45A30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104.3pt;margin-top:-133.1pt;width:663.5pt;height:12in;z-index:-251659776;mso-position-horizontal:absolute;mso-position-horizontal-relative:margin;mso-position-vertical:absolute;mso-position-vertical-relative:margin">
          <v:imagedata r:id="rId1" o:title="image1"/>
          <w10:wrap anchorx="margin" anchory="margin"/>
        </v:shape>
      </w:pict>
    </w:r>
  </w:p>
  <w:p w14:paraId="11289898" w14:textId="77777777" w:rsidR="00C745C3" w:rsidRDefault="00C745C3"/>
  <w:p w14:paraId="5D72ADE6" w14:textId="77777777" w:rsidR="00C745C3" w:rsidRDefault="00C745C3"/>
  <w:p w14:paraId="1386309E" w14:textId="77777777" w:rsidR="00C745C3" w:rsidRDefault="00C745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756F5" w14:textId="77777777" w:rsidR="00C745C3" w:rsidRDefault="00C745C3">
    <w:pPr>
      <w:widowControl w:val="0"/>
      <w:pBdr>
        <w:top w:val="nil"/>
        <w:left w:val="nil"/>
        <w:bottom w:val="nil"/>
        <w:right w:val="nil"/>
        <w:between w:val="nil"/>
      </w:pBdr>
      <w:spacing w:line="276" w:lineRule="auto"/>
    </w:pPr>
  </w:p>
  <w:tbl>
    <w:tblPr>
      <w:tblStyle w:val="a2"/>
      <w:tblW w:w="9498" w:type="dxa"/>
      <w:tblInd w:w="0" w:type="dxa"/>
      <w:tblLayout w:type="fixed"/>
      <w:tblLook w:val="0400" w:firstRow="0" w:lastRow="0" w:firstColumn="0" w:lastColumn="0" w:noHBand="0" w:noVBand="1"/>
    </w:tblPr>
    <w:tblGrid>
      <w:gridCol w:w="1560"/>
      <w:gridCol w:w="7938"/>
    </w:tblGrid>
    <w:tr w:rsidR="00C745C3" w14:paraId="57E39CCC" w14:textId="77777777">
      <w:trPr>
        <w:trHeight w:val="1435"/>
      </w:trPr>
      <w:tc>
        <w:tcPr>
          <w:tcW w:w="1560" w:type="dxa"/>
          <w:shd w:val="clear" w:color="auto" w:fill="auto"/>
        </w:tcPr>
        <w:p w14:paraId="4F3FA4F5" w14:textId="77777777" w:rsidR="00C745C3" w:rsidRDefault="00C745C3">
          <w:pPr>
            <w:tabs>
              <w:tab w:val="right" w:pos="4273"/>
            </w:tabs>
            <w:rPr>
              <w:rFonts w:ascii="Garamond" w:eastAsia="Garamond" w:hAnsi="Garamond" w:cs="Garamond"/>
              <w:sz w:val="22"/>
              <w:szCs w:val="22"/>
            </w:rPr>
          </w:pPr>
        </w:p>
      </w:tc>
      <w:tc>
        <w:tcPr>
          <w:tcW w:w="7938" w:type="dxa"/>
          <w:shd w:val="clear" w:color="auto" w:fill="auto"/>
        </w:tcPr>
        <w:p w14:paraId="57A82E6F" w14:textId="77777777" w:rsidR="00C745C3" w:rsidRDefault="00C745C3">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3"/>
            <w:tblW w:w="8930"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444"/>
            <w:gridCol w:w="3084"/>
            <w:gridCol w:w="3402"/>
          </w:tblGrid>
          <w:tr w:rsidR="00C745C3" w14:paraId="6ED8FA45" w14:textId="77777777">
            <w:trPr>
              <w:trHeight w:val="144"/>
            </w:trPr>
            <w:tc>
              <w:tcPr>
                <w:tcW w:w="2444" w:type="dxa"/>
              </w:tcPr>
              <w:p w14:paraId="6A0A3396" w14:textId="77777777" w:rsidR="00C745C3" w:rsidRDefault="00AC72C1">
                <w:pPr>
                  <w:tabs>
                    <w:tab w:val="right" w:pos="8838"/>
                  </w:tabs>
                  <w:ind w:left="-74" w:right="-105"/>
                  <w:rPr>
                    <w:rFonts w:ascii="Palatino Linotype" w:eastAsia="Palatino Linotype" w:hAnsi="Palatino Linotype" w:cs="Palatino Linotype"/>
                    <w:b/>
                    <w:sz w:val="22"/>
                    <w:szCs w:val="22"/>
                  </w:rPr>
                </w:pPr>
                <w:bookmarkStart w:id="16" w:name="_heading=h.1ksv4uv" w:colFirst="0" w:colLast="0"/>
                <w:bookmarkEnd w:id="16"/>
                <w:r>
                  <w:rPr>
                    <w:rFonts w:ascii="Palatino Linotype" w:eastAsia="Palatino Linotype" w:hAnsi="Palatino Linotype" w:cs="Palatino Linotype"/>
                    <w:b/>
                    <w:sz w:val="22"/>
                    <w:szCs w:val="22"/>
                  </w:rPr>
                  <w:t>Recurso de Revisión:</w:t>
                </w:r>
              </w:p>
            </w:tc>
            <w:tc>
              <w:tcPr>
                <w:tcW w:w="3084" w:type="dxa"/>
              </w:tcPr>
              <w:p w14:paraId="2469E479" w14:textId="77777777" w:rsidR="00C745C3" w:rsidRDefault="00AC72C1">
                <w:pPr>
                  <w:tabs>
                    <w:tab w:val="right" w:pos="8838"/>
                  </w:tabs>
                  <w:ind w:left="-3"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00623/INFOEM/IP/RR/2024</w:t>
                </w:r>
              </w:p>
            </w:tc>
            <w:tc>
              <w:tcPr>
                <w:tcW w:w="3402" w:type="dxa"/>
              </w:tcPr>
              <w:p w14:paraId="0D6ECDC7" w14:textId="77777777" w:rsidR="00C745C3" w:rsidRDefault="00C745C3">
                <w:pPr>
                  <w:tabs>
                    <w:tab w:val="right" w:pos="8838"/>
                  </w:tabs>
                  <w:ind w:left="-74" w:right="-105"/>
                  <w:jc w:val="both"/>
                  <w:rPr>
                    <w:rFonts w:ascii="Palatino Linotype" w:eastAsia="Palatino Linotype" w:hAnsi="Palatino Linotype" w:cs="Palatino Linotype"/>
                    <w:sz w:val="22"/>
                    <w:szCs w:val="22"/>
                  </w:rPr>
                </w:pPr>
              </w:p>
            </w:tc>
          </w:tr>
          <w:tr w:rsidR="00C745C3" w14:paraId="6FF7EA2B" w14:textId="77777777">
            <w:trPr>
              <w:trHeight w:val="144"/>
            </w:trPr>
            <w:tc>
              <w:tcPr>
                <w:tcW w:w="2444" w:type="dxa"/>
              </w:tcPr>
              <w:p w14:paraId="15062500" w14:textId="77777777" w:rsidR="00C745C3" w:rsidRDefault="00AC72C1">
                <w:pPr>
                  <w:tabs>
                    <w:tab w:val="right" w:pos="8838"/>
                  </w:tabs>
                  <w:ind w:left="-74" w:right="-105"/>
                  <w:rPr>
                    <w:rFonts w:ascii="Palatino Linotype" w:eastAsia="Palatino Linotype" w:hAnsi="Palatino Linotype" w:cs="Palatino Linotype"/>
                    <w:b/>
                    <w:sz w:val="22"/>
                    <w:szCs w:val="22"/>
                  </w:rPr>
                </w:pPr>
                <w:bookmarkStart w:id="17" w:name="_heading=h.44sinio" w:colFirst="0" w:colLast="0"/>
                <w:bookmarkEnd w:id="17"/>
                <w:r>
                  <w:rPr>
                    <w:rFonts w:ascii="Palatino Linotype" w:eastAsia="Palatino Linotype" w:hAnsi="Palatino Linotype" w:cs="Palatino Linotype"/>
                    <w:b/>
                    <w:sz w:val="22"/>
                    <w:szCs w:val="22"/>
                  </w:rPr>
                  <w:t>Recurrente:</w:t>
                </w:r>
              </w:p>
            </w:tc>
            <w:tc>
              <w:tcPr>
                <w:tcW w:w="3084" w:type="dxa"/>
              </w:tcPr>
              <w:p w14:paraId="27C63543" w14:textId="77777777" w:rsidR="00C745C3" w:rsidRDefault="00C745C3">
                <w:pPr>
                  <w:tabs>
                    <w:tab w:val="left" w:pos="3122"/>
                    <w:tab w:val="right" w:pos="8838"/>
                  </w:tabs>
                  <w:ind w:right="745"/>
                  <w:jc w:val="both"/>
                  <w:rPr>
                    <w:rFonts w:ascii="Palatino Linotype" w:eastAsia="Palatino Linotype" w:hAnsi="Palatino Linotype" w:cs="Palatino Linotype"/>
                    <w:sz w:val="22"/>
                    <w:szCs w:val="22"/>
                  </w:rPr>
                </w:pPr>
              </w:p>
            </w:tc>
            <w:tc>
              <w:tcPr>
                <w:tcW w:w="3402" w:type="dxa"/>
              </w:tcPr>
              <w:p w14:paraId="79F61105" w14:textId="77777777" w:rsidR="00C745C3" w:rsidRDefault="00C745C3">
                <w:pPr>
                  <w:tabs>
                    <w:tab w:val="left" w:pos="3122"/>
                    <w:tab w:val="right" w:pos="8838"/>
                  </w:tabs>
                  <w:ind w:right="-105"/>
                  <w:jc w:val="both"/>
                  <w:rPr>
                    <w:rFonts w:ascii="Palatino Linotype" w:eastAsia="Palatino Linotype" w:hAnsi="Palatino Linotype" w:cs="Palatino Linotype"/>
                    <w:sz w:val="22"/>
                    <w:szCs w:val="22"/>
                  </w:rPr>
                </w:pPr>
              </w:p>
            </w:tc>
          </w:tr>
          <w:tr w:rsidR="00C745C3" w14:paraId="5AEC94DA" w14:textId="77777777">
            <w:trPr>
              <w:trHeight w:val="283"/>
            </w:trPr>
            <w:tc>
              <w:tcPr>
                <w:tcW w:w="2444" w:type="dxa"/>
              </w:tcPr>
              <w:p w14:paraId="14DF6F7B" w14:textId="77777777" w:rsidR="00C745C3" w:rsidRDefault="00AC72C1">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084" w:type="dxa"/>
              </w:tcPr>
              <w:p w14:paraId="5AC47EE6" w14:textId="77777777" w:rsidR="00C745C3" w:rsidRDefault="00AC72C1">
                <w:pPr>
                  <w:tabs>
                    <w:tab w:val="left" w:pos="2834"/>
                    <w:tab w:val="right" w:pos="8838"/>
                  </w:tabs>
                  <w:ind w:left="-3"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Servicios Educativos Integrados al Estado de México</w:t>
                </w:r>
                <w:r>
                  <w:rPr>
                    <w:rFonts w:ascii="Palatino Linotype" w:eastAsia="Palatino Linotype" w:hAnsi="Palatino Linotype" w:cs="Palatino Linotype"/>
                  </w:rPr>
                  <w:t xml:space="preserve"> </w:t>
                </w:r>
              </w:p>
            </w:tc>
            <w:tc>
              <w:tcPr>
                <w:tcW w:w="3402" w:type="dxa"/>
              </w:tcPr>
              <w:p w14:paraId="3F4526C1" w14:textId="77777777" w:rsidR="00C745C3" w:rsidRDefault="00C745C3">
                <w:pPr>
                  <w:tabs>
                    <w:tab w:val="left" w:pos="2834"/>
                    <w:tab w:val="right" w:pos="8838"/>
                  </w:tabs>
                  <w:ind w:left="-74" w:right="-105"/>
                  <w:jc w:val="both"/>
                  <w:rPr>
                    <w:rFonts w:ascii="Palatino Linotype" w:eastAsia="Palatino Linotype" w:hAnsi="Palatino Linotype" w:cs="Palatino Linotype"/>
                    <w:sz w:val="22"/>
                    <w:szCs w:val="22"/>
                  </w:rPr>
                </w:pPr>
              </w:p>
            </w:tc>
          </w:tr>
          <w:tr w:rsidR="00C745C3" w14:paraId="330A5D54" w14:textId="77777777">
            <w:trPr>
              <w:trHeight w:val="283"/>
            </w:trPr>
            <w:tc>
              <w:tcPr>
                <w:tcW w:w="2444" w:type="dxa"/>
              </w:tcPr>
              <w:p w14:paraId="411747C3" w14:textId="77777777" w:rsidR="00C745C3" w:rsidRDefault="00AC72C1">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084" w:type="dxa"/>
              </w:tcPr>
              <w:p w14:paraId="3528D224" w14:textId="77777777" w:rsidR="00C745C3" w:rsidRDefault="00AC72C1">
                <w:pPr>
                  <w:tabs>
                    <w:tab w:val="right" w:pos="8838"/>
                  </w:tabs>
                  <w:ind w:left="-3"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c>
              <w:tcPr>
                <w:tcW w:w="3402" w:type="dxa"/>
              </w:tcPr>
              <w:p w14:paraId="7A1281CC" w14:textId="77777777" w:rsidR="00C745C3" w:rsidRDefault="00C745C3">
                <w:pPr>
                  <w:tabs>
                    <w:tab w:val="right" w:pos="8838"/>
                  </w:tabs>
                  <w:ind w:left="-74" w:right="-105"/>
                  <w:jc w:val="both"/>
                  <w:rPr>
                    <w:rFonts w:ascii="Palatino Linotype" w:eastAsia="Palatino Linotype" w:hAnsi="Palatino Linotype" w:cs="Palatino Linotype"/>
                    <w:sz w:val="22"/>
                    <w:szCs w:val="22"/>
                  </w:rPr>
                </w:pPr>
              </w:p>
            </w:tc>
          </w:tr>
        </w:tbl>
        <w:p w14:paraId="2FAB40D9" w14:textId="77777777" w:rsidR="00C745C3" w:rsidRDefault="00C745C3">
          <w:pPr>
            <w:tabs>
              <w:tab w:val="right" w:pos="8838"/>
            </w:tabs>
            <w:ind w:left="-28"/>
            <w:jc w:val="both"/>
            <w:rPr>
              <w:rFonts w:ascii="Arial" w:eastAsia="Arial" w:hAnsi="Arial" w:cs="Arial"/>
              <w:b/>
              <w:sz w:val="22"/>
              <w:szCs w:val="22"/>
            </w:rPr>
          </w:pPr>
        </w:p>
      </w:tc>
    </w:tr>
  </w:tbl>
  <w:p w14:paraId="52032163" w14:textId="77777777" w:rsidR="00C745C3" w:rsidRDefault="00C53CB7">
    <w:pPr>
      <w:pBdr>
        <w:top w:val="nil"/>
        <w:left w:val="nil"/>
        <w:bottom w:val="nil"/>
        <w:right w:val="nil"/>
        <w:between w:val="nil"/>
      </w:pBdr>
      <w:tabs>
        <w:tab w:val="center" w:pos="4419"/>
        <w:tab w:val="right" w:pos="8838"/>
        <w:tab w:val="center" w:pos="4522"/>
      </w:tabs>
      <w:rPr>
        <w:color w:val="000000"/>
      </w:rPr>
    </w:pPr>
    <w:r>
      <w:rPr>
        <w:color w:val="000000"/>
        <w:sz w:val="14"/>
        <w:szCs w:val="14"/>
      </w:rPr>
      <w:pict w14:anchorId="1B4CE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75.8pt;margin-top:-134.3pt;width:663.5pt;height:12in;z-index:-251658752;mso-position-horizontal:absolute;mso-position-horizontal-relative:margin;mso-position-vertical:absolute;mso-position-vertical-relative:margin">
          <v:imagedata r:id="rId1" o:title="image1"/>
          <w10:wrap anchorx="margin" anchory="margin"/>
        </v:shape>
      </w:pict>
    </w:r>
  </w:p>
  <w:p w14:paraId="5D24C6A7" w14:textId="77777777" w:rsidR="00C745C3" w:rsidRDefault="00C745C3"/>
  <w:p w14:paraId="66E5DFE3" w14:textId="77777777" w:rsidR="00C745C3" w:rsidRDefault="00C745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E67B8F"/>
    <w:multiLevelType w:val="multilevel"/>
    <w:tmpl w:val="FF2CBE80"/>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BE0C10"/>
    <w:multiLevelType w:val="multilevel"/>
    <w:tmpl w:val="ED683DA8"/>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88B6A7B"/>
    <w:multiLevelType w:val="multilevel"/>
    <w:tmpl w:val="8C52B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8F96AA9"/>
    <w:multiLevelType w:val="multilevel"/>
    <w:tmpl w:val="53508B1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29763CE"/>
    <w:multiLevelType w:val="multilevel"/>
    <w:tmpl w:val="4E5C96B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3217305"/>
    <w:multiLevelType w:val="hybridMultilevel"/>
    <w:tmpl w:val="89481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8D90BDF"/>
    <w:multiLevelType w:val="multilevel"/>
    <w:tmpl w:val="1BE0C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B420FD0"/>
    <w:multiLevelType w:val="multilevel"/>
    <w:tmpl w:val="A8E6ECF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DD55D67"/>
    <w:multiLevelType w:val="multilevel"/>
    <w:tmpl w:val="E390B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8"/>
  </w:num>
  <w:num w:numId="3">
    <w:abstractNumId w:val="4"/>
  </w:num>
  <w:num w:numId="4">
    <w:abstractNumId w:val="3"/>
  </w:num>
  <w:num w:numId="5">
    <w:abstractNumId w:val="9"/>
  </w:num>
  <w:num w:numId="6">
    <w:abstractNumId w:val="5"/>
  </w:num>
  <w:num w:numId="7">
    <w:abstractNumId w:val="2"/>
  </w:num>
  <w:num w:numId="8">
    <w:abstractNumId w:val="7"/>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5C3"/>
    <w:rsid w:val="000C614A"/>
    <w:rsid w:val="000D200E"/>
    <w:rsid w:val="00117887"/>
    <w:rsid w:val="00282B04"/>
    <w:rsid w:val="00306EEC"/>
    <w:rsid w:val="004A1512"/>
    <w:rsid w:val="00521488"/>
    <w:rsid w:val="009940A5"/>
    <w:rsid w:val="009B4B8C"/>
    <w:rsid w:val="00A44852"/>
    <w:rsid w:val="00A750EA"/>
    <w:rsid w:val="00A82289"/>
    <w:rsid w:val="00AC72C1"/>
    <w:rsid w:val="00C53CB7"/>
    <w:rsid w:val="00C745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3094E0"/>
  <w15:docId w15:val="{0E961EEA-1B5B-4AA1-AD21-74A8D0C9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rPr>
      <w:rFonts w:asciiTheme="minorHAnsi"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styleId="Textosinformato">
    <w:name w:val="Plain Text"/>
    <w:basedOn w:val="Normal"/>
    <w:link w:val="TextosinformatoCar"/>
    <w:rsid w:val="00D10EF0"/>
    <w:rPr>
      <w:rFonts w:ascii="Courier New" w:hAnsi="Courier New"/>
      <w:lang w:val="es-ES"/>
    </w:rPr>
  </w:style>
  <w:style w:type="character" w:customStyle="1" w:styleId="TextosinformatoCar">
    <w:name w:val="Texto sin formato Car"/>
    <w:basedOn w:val="Fuentedeprrafopredeter"/>
    <w:link w:val="Textosinformato"/>
    <w:rsid w:val="00D10EF0"/>
    <w:rPr>
      <w:rFonts w:ascii="Courier New" w:eastAsia="Times New Roman" w:hAnsi="Courier New"/>
      <w:lang w:val="es-ES" w:eastAsia="es-ES"/>
    </w:rPr>
  </w:style>
  <w:style w:type="paragraph" w:customStyle="1" w:styleId="p">
    <w:name w:val="p"/>
    <w:basedOn w:val="Normal"/>
    <w:rsid w:val="00F05CCB"/>
    <w:pPr>
      <w:spacing w:before="100" w:beforeAutospacing="1" w:after="100" w:afterAutospacing="1"/>
    </w:pPr>
    <w:rPr>
      <w:sz w:val="24"/>
      <w:szCs w:val="24"/>
      <w:lang w:eastAsia="es-MX"/>
    </w:rPr>
  </w:style>
  <w:style w:type="character" w:customStyle="1" w:styleId="il">
    <w:name w:val="il"/>
    <w:basedOn w:val="Fuentedeprrafopredeter"/>
    <w:rsid w:val="008B3B7F"/>
  </w:style>
  <w:style w:type="paragraph" w:customStyle="1" w:styleId="Citas">
    <w:name w:val="Citas"/>
    <w:basedOn w:val="Normal"/>
    <w:qFormat/>
    <w:rsid w:val="00FB06DE"/>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sz w:val="24"/>
      <w:szCs w:val="24"/>
    </w:rPr>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rPr>
      <w:rFonts w:ascii="Calibri" w:eastAsia="Calibri" w:hAnsi="Calibri" w:cs="Calibri"/>
      <w:color w:val="000000"/>
      <w:sz w:val="24"/>
      <w:szCs w:val="24"/>
    </w:r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rPr>
      <w:rFonts w:ascii="Calibri" w:eastAsia="Calibri" w:hAnsi="Calibri" w:cs="Calibri"/>
      <w:color w:val="000000"/>
      <w:sz w:val="24"/>
      <w:szCs w:val="24"/>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PLcKNmUyVhrwnMweaplY9BOPQ==">CgMxLjAyCGguZ2pkZ3hzMgloLjMwajB6bGwyCWguMWZvYjl0ZTIJaC4zem55c2g3MgloLjJldDkycDAyCGgudHlqY3d0MgloLjNkeTZ2a20yCWguMXQzaDVzZjIJaC40ZDM0b2c4MgloLjJzOGV5bzEyCWguMTdkcDh2dTIJaC4zcmRjcmpuMgloLjI2aW4xcmcyCGgubG54Yno5MgloLjM1bmt1bjIyCWguMWtzdjR1djIJaC40NHNpbmlvOAByITFldy1Vb1NtSGxLTWZ5cjQyZDdWc2lhUEhDdVZzTWRz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47</Pages>
  <Words>9154</Words>
  <Characters>50347</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59383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USUARIO</cp:lastModifiedBy>
  <cp:revision>9</cp:revision>
  <cp:lastPrinted>2024-09-05T17:03:00Z</cp:lastPrinted>
  <dcterms:created xsi:type="dcterms:W3CDTF">2024-08-21T23:27:00Z</dcterms:created>
  <dcterms:modified xsi:type="dcterms:W3CDTF">2024-09-05T17:03:00Z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