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26354" w14:textId="77777777" w:rsidR="001C39B3" w:rsidRDefault="003D6FED">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Pr="001F1A9B">
        <w:rPr>
          <w:rFonts w:ascii="Palatino Linotype" w:eastAsia="Palatino Linotype" w:hAnsi="Palatino Linotype" w:cs="Palatino Linotype"/>
          <w:b/>
          <w:bCs/>
        </w:rPr>
        <w:t>veintiuno</w:t>
      </w:r>
      <w:r w:rsidRPr="001F1A9B">
        <w:rPr>
          <w:rFonts w:ascii="Palatino Linotype" w:eastAsia="Palatino Linotype" w:hAnsi="Palatino Linotype" w:cs="Palatino Linotype"/>
          <w:b/>
          <w:bCs/>
          <w:color w:val="FF0000"/>
        </w:rPr>
        <w:t xml:space="preserve"> </w:t>
      </w:r>
      <w:r w:rsidRPr="001F1A9B">
        <w:rPr>
          <w:rFonts w:ascii="Palatino Linotype" w:eastAsia="Palatino Linotype" w:hAnsi="Palatino Linotype" w:cs="Palatino Linotype"/>
          <w:b/>
          <w:bCs/>
        </w:rPr>
        <w:t>de agosto de dos mil veinticuatro</w:t>
      </w:r>
      <w:r>
        <w:rPr>
          <w:rFonts w:ascii="Palatino Linotype" w:eastAsia="Palatino Linotype" w:hAnsi="Palatino Linotype" w:cs="Palatino Linotype"/>
        </w:rPr>
        <w:t xml:space="preserve">. </w:t>
      </w:r>
    </w:p>
    <w:p w14:paraId="1E89433E" w14:textId="43329E9E" w:rsidR="001C39B3" w:rsidRDefault="003D6FED">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VISTO</w:t>
      </w:r>
      <w:r>
        <w:rPr>
          <w:rFonts w:ascii="Palatino Linotype" w:eastAsia="Palatino Linotype" w:hAnsi="Palatino Linotype" w:cs="Palatino Linotype"/>
        </w:rPr>
        <w:t xml:space="preserve"> el expediente formado con motivo del recurso de revisión </w:t>
      </w:r>
      <w:r>
        <w:rPr>
          <w:rFonts w:ascii="Palatino Linotype" w:eastAsia="Palatino Linotype" w:hAnsi="Palatino Linotype" w:cs="Palatino Linotype"/>
          <w:b/>
        </w:rPr>
        <w:t>04099/INFOEM/IP/RR/2024</w:t>
      </w:r>
      <w:r>
        <w:rPr>
          <w:rFonts w:ascii="Palatino Linotype" w:eastAsia="Palatino Linotype" w:hAnsi="Palatino Linotype" w:cs="Palatino Linotype"/>
        </w:rPr>
        <w:t>, interpuesto por</w:t>
      </w:r>
      <w:r>
        <w:rPr>
          <w:rFonts w:ascii="Palatino Linotype" w:eastAsia="Palatino Linotype" w:hAnsi="Palatino Linotype" w:cs="Palatino Linotype"/>
          <w:b/>
        </w:rPr>
        <w:t xml:space="preserve"> </w:t>
      </w:r>
      <w:r w:rsidR="00C15742" w:rsidRPr="00C15742">
        <w:rPr>
          <w:rFonts w:ascii="Palatino Linotype" w:eastAsia="Palatino Linotype" w:hAnsi="Palatino Linotype" w:cs="Palatino Linotype"/>
          <w:b/>
        </w:rPr>
        <w:t>XXXX XXXXXX XXXXX XXXX</w:t>
      </w:r>
      <w:r>
        <w:rPr>
          <w:rFonts w:ascii="Palatino Linotype" w:eastAsia="Palatino Linotype" w:hAnsi="Palatino Linotype" w:cs="Palatino Linotype"/>
        </w:rPr>
        <w:t xml:space="preserve">, en lo sucesivo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en contra de la respuesta a su solicitud de información con número de folio</w:t>
      </w:r>
      <w:r>
        <w:rPr>
          <w:rFonts w:ascii="Palatino Linotype" w:eastAsia="Palatino Linotype" w:hAnsi="Palatino Linotype" w:cs="Palatino Linotype"/>
          <w:b/>
        </w:rPr>
        <w:t xml:space="preserve"> 00053/CAPULHUA/IP/2024, </w:t>
      </w:r>
      <w:r>
        <w:rPr>
          <w:rFonts w:ascii="Palatino Linotype" w:eastAsia="Palatino Linotype" w:hAnsi="Palatino Linotype" w:cs="Palatino Linotype"/>
        </w:rPr>
        <w:t xml:space="preserve">por parte del </w:t>
      </w:r>
      <w:r>
        <w:rPr>
          <w:rFonts w:ascii="Palatino Linotype" w:eastAsia="Palatino Linotype" w:hAnsi="Palatino Linotype" w:cs="Palatino Linotype"/>
          <w:b/>
        </w:rPr>
        <w:t xml:space="preserve">Ayuntamiento de Capulhuac, </w:t>
      </w:r>
      <w:r>
        <w:rPr>
          <w:rFonts w:ascii="Palatino Linotype" w:eastAsia="Palatino Linotype" w:hAnsi="Palatino Linotype" w:cs="Palatino Linotype"/>
        </w:rPr>
        <w:t xml:space="preserve">en lo sucesivo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se procede a dictar la presente resolución con base en los siguientes: </w:t>
      </w:r>
    </w:p>
    <w:p w14:paraId="12E55E12" w14:textId="77777777" w:rsidR="001C39B3" w:rsidRDefault="003D6FED">
      <w:pPr>
        <w:spacing w:before="240" w:after="240"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I. A N T E C E D E N T E S</w:t>
      </w:r>
    </w:p>
    <w:p w14:paraId="04568307" w14:textId="77777777" w:rsidR="001C39B3" w:rsidRDefault="003D6FED">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1. Solicitud de acceso a la información.</w:t>
      </w:r>
      <w:r>
        <w:rPr>
          <w:rFonts w:ascii="Palatino Linotype" w:eastAsia="Palatino Linotype" w:hAnsi="Palatino Linotype" w:cs="Palatino Linotype"/>
        </w:rPr>
        <w:t xml:space="preserve"> Con fecha </w:t>
      </w:r>
      <w:r>
        <w:rPr>
          <w:rFonts w:ascii="Palatino Linotype" w:eastAsia="Palatino Linotype" w:hAnsi="Palatino Linotype" w:cs="Palatino Linotype"/>
          <w:b/>
        </w:rPr>
        <w:t>diez de junio del dos mil veinticuatro,</w:t>
      </w:r>
      <w:r>
        <w:rPr>
          <w:rFonts w:ascii="Palatino Linotype" w:eastAsia="Palatino Linotype" w:hAnsi="Palatino Linotype" w:cs="Palatino Linotype"/>
        </w:rPr>
        <w:t xml:space="preserve">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presentó, a través de la Plataforma Nacional de Transparencia registrada en el Sistema de Acceso a la Información Mexiquense, en lo subsecuente el </w:t>
      </w:r>
      <w:r>
        <w:rPr>
          <w:rFonts w:ascii="Palatino Linotype" w:eastAsia="Palatino Linotype" w:hAnsi="Palatino Linotype" w:cs="Palatino Linotype"/>
          <w:b/>
        </w:rPr>
        <w:t>SAIMEX,</w:t>
      </w:r>
      <w:r>
        <w:rPr>
          <w:rFonts w:ascii="Palatino Linotype" w:eastAsia="Palatino Linotype" w:hAnsi="Palatino Linotype" w:cs="Palatino Linotype"/>
        </w:rPr>
        <w:t xml:space="preserve"> ante el </w:t>
      </w:r>
      <w:r>
        <w:rPr>
          <w:rFonts w:ascii="Palatino Linotype" w:eastAsia="Palatino Linotype" w:hAnsi="Palatino Linotype" w:cs="Palatino Linotype"/>
          <w:b/>
        </w:rPr>
        <w:t>SUJETO OBLIGADO</w:t>
      </w:r>
      <w:r>
        <w:rPr>
          <w:rFonts w:ascii="Palatino Linotype" w:eastAsia="Palatino Linotype" w:hAnsi="Palatino Linotype" w:cs="Palatino Linotype"/>
        </w:rPr>
        <w:t>, la solicitud de acceso a la información pública, a la que se le asignó el número</w:t>
      </w:r>
      <w:r>
        <w:rPr>
          <w:rFonts w:ascii="Palatino Linotype" w:eastAsia="Palatino Linotype" w:hAnsi="Palatino Linotype" w:cs="Palatino Linotype"/>
          <w:b/>
        </w:rPr>
        <w:t xml:space="preserve"> 00053/CAPULHUA/IP/2024, </w:t>
      </w:r>
      <w:r>
        <w:rPr>
          <w:rFonts w:ascii="Palatino Linotype" w:eastAsia="Palatino Linotype" w:hAnsi="Palatino Linotype" w:cs="Palatino Linotype"/>
        </w:rPr>
        <w:t xml:space="preserve">mediante la cual requirió la información siguiente: </w:t>
      </w:r>
    </w:p>
    <w:p w14:paraId="05ED56A6" w14:textId="77777777" w:rsidR="001C39B3" w:rsidRDefault="003D6FED">
      <w:pPr>
        <w:spacing w:before="240"/>
        <w:ind w:left="851" w:right="902"/>
        <w:jc w:val="both"/>
        <w:rPr>
          <w:rFonts w:ascii="Palatino Linotype" w:eastAsia="Palatino Linotype" w:hAnsi="Palatino Linotype" w:cs="Palatino Linotype"/>
          <w:i/>
          <w:sz w:val="22"/>
          <w:szCs w:val="22"/>
        </w:rPr>
      </w:pPr>
      <w:bookmarkStart w:id="0" w:name="_heading=h.gjdgxs" w:colFirst="0" w:colLast="0"/>
      <w:bookmarkEnd w:id="0"/>
      <w:r>
        <w:rPr>
          <w:rFonts w:ascii="Palatino Linotype" w:eastAsia="Palatino Linotype" w:hAnsi="Palatino Linotype" w:cs="Palatino Linotype"/>
          <w:i/>
          <w:sz w:val="22"/>
          <w:szCs w:val="22"/>
        </w:rPr>
        <w:t>“Se solicita en formato XLS compatible con Excel, la base de datos del padrón actualizado de licencias otorgadas para la operación de establecimientos en los que se vende o consumen bebidas alcohólicas, otorgadas por (la Comisión de Turismo, desarrollo Económico y Metropolitano), así como, su giro o modalidad, dirección de los establecimientos, los nombres y/o razones sociales de los titulares, y el hipervínculo del documento en el que obre cada una de las licencias.” (Sic)</w:t>
      </w:r>
    </w:p>
    <w:p w14:paraId="7D21CD22" w14:textId="77777777" w:rsidR="001C39B3" w:rsidRDefault="001C39B3">
      <w:pPr>
        <w:spacing w:before="240"/>
        <w:ind w:left="851" w:right="902"/>
        <w:jc w:val="both"/>
        <w:rPr>
          <w:rFonts w:ascii="Palatino Linotype" w:eastAsia="Palatino Linotype" w:hAnsi="Palatino Linotype" w:cs="Palatino Linotype"/>
          <w:i/>
          <w:sz w:val="22"/>
          <w:szCs w:val="22"/>
        </w:rPr>
      </w:pPr>
    </w:p>
    <w:p w14:paraId="14C77F59" w14:textId="77777777" w:rsidR="001C39B3" w:rsidRDefault="003D6FE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Modalidad de Entrega:</w:t>
      </w:r>
      <w:r>
        <w:rPr>
          <w:rFonts w:ascii="Palatino Linotype" w:eastAsia="Palatino Linotype" w:hAnsi="Palatino Linotype" w:cs="Palatino Linotype"/>
        </w:rPr>
        <w:t xml:space="preserve"> A través de SAIMEX y correo electrónico.</w:t>
      </w:r>
    </w:p>
    <w:p w14:paraId="446D45AF" w14:textId="77777777" w:rsidR="001C39B3" w:rsidRDefault="001C39B3">
      <w:pPr>
        <w:spacing w:line="360" w:lineRule="auto"/>
        <w:jc w:val="both"/>
        <w:rPr>
          <w:rFonts w:ascii="Palatino Linotype" w:eastAsia="Palatino Linotype" w:hAnsi="Palatino Linotype" w:cs="Palatino Linotype"/>
        </w:rPr>
      </w:pPr>
    </w:p>
    <w:p w14:paraId="2F1727F0" w14:textId="77777777" w:rsidR="001C39B3" w:rsidRDefault="003D6FED">
      <w:pPr>
        <w:spacing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2. Respuesta. </w:t>
      </w:r>
      <w:r>
        <w:rPr>
          <w:rFonts w:ascii="Palatino Linotype" w:eastAsia="Palatino Linotype" w:hAnsi="Palatino Linotype" w:cs="Palatino Linotype"/>
        </w:rPr>
        <w:t xml:space="preserve">Con fecha </w:t>
      </w:r>
      <w:r>
        <w:rPr>
          <w:rFonts w:ascii="Palatino Linotype" w:eastAsia="Palatino Linotype" w:hAnsi="Palatino Linotype" w:cs="Palatino Linotype"/>
          <w:b/>
        </w:rPr>
        <w:t>veinticuatro de junio de dos mil veinticuatro</w:t>
      </w:r>
      <w:r>
        <w:rPr>
          <w:rFonts w:ascii="Palatino Linotype" w:eastAsia="Palatino Linotype" w:hAnsi="Palatino Linotype" w:cs="Palatino Linotype"/>
        </w:rPr>
        <w:t xml:space="preserve">,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2663E21A" w14:textId="77777777" w:rsidR="001C39B3" w:rsidRDefault="003D6FED">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“…se </w:t>
      </w:r>
      <w:proofErr w:type="gramStart"/>
      <w:r>
        <w:rPr>
          <w:rFonts w:ascii="Palatino Linotype" w:eastAsia="Palatino Linotype" w:hAnsi="Palatino Linotype" w:cs="Palatino Linotype"/>
          <w:i/>
          <w:sz w:val="22"/>
          <w:szCs w:val="22"/>
        </w:rPr>
        <w:t>anexa....</w:t>
      </w:r>
      <w:proofErr w:type="gramEnd"/>
      <w:r>
        <w:rPr>
          <w:rFonts w:ascii="Palatino Linotype" w:eastAsia="Palatino Linotype" w:hAnsi="Palatino Linotype" w:cs="Palatino Linotype"/>
          <w:i/>
          <w:sz w:val="22"/>
          <w:szCs w:val="22"/>
        </w:rPr>
        <w:t>” (Sic)</w:t>
      </w:r>
    </w:p>
    <w:p w14:paraId="60E5D6F6" w14:textId="77777777" w:rsidR="001C39B3" w:rsidRDefault="003D6FED">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El </w:t>
      </w:r>
      <w:r>
        <w:rPr>
          <w:rFonts w:ascii="Palatino Linotype" w:eastAsia="Palatino Linotype" w:hAnsi="Palatino Linotype" w:cs="Palatino Linotype"/>
          <w:b/>
        </w:rPr>
        <w:t>SUJETO OBLIGADO</w:t>
      </w:r>
      <w:r>
        <w:rPr>
          <w:rFonts w:ascii="Palatino Linotype" w:eastAsia="Palatino Linotype" w:hAnsi="Palatino Linotype" w:cs="Palatino Linotype"/>
        </w:rPr>
        <w:t>, adjuntó a su respuesta el archivo electrónico siguiente:</w:t>
      </w:r>
    </w:p>
    <w:p w14:paraId="6C747B33" w14:textId="77777777" w:rsidR="001C39B3" w:rsidRDefault="003D6FED">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w:t>
      </w:r>
      <w:hyperlink r:id="rId8">
        <w:r>
          <w:rPr>
            <w:rFonts w:ascii="Palatino Linotype" w:eastAsia="Palatino Linotype" w:hAnsi="Palatino Linotype" w:cs="Palatino Linotype"/>
          </w:rPr>
          <w:t>00053.pdf</w:t>
        </w:r>
      </w:hyperlink>
      <w:r>
        <w:rPr>
          <w:rFonts w:ascii="Palatino Linotype" w:eastAsia="Palatino Linotype" w:hAnsi="Palatino Linotype" w:cs="Palatino Linotype"/>
        </w:rPr>
        <w:t xml:space="preserve">”, el cual contiene el oficio número MCAP/TTAIPMYPDP/401/2024, el cual corresponde el turno de la solicitud número </w:t>
      </w:r>
      <w:r>
        <w:rPr>
          <w:rFonts w:ascii="Palatino Linotype" w:eastAsia="Palatino Linotype" w:hAnsi="Palatino Linotype" w:cs="Palatino Linotype"/>
          <w:b/>
        </w:rPr>
        <w:t xml:space="preserve">00053/CAPULHUA/IP/2024, </w:t>
      </w:r>
      <w:r>
        <w:rPr>
          <w:rFonts w:ascii="Palatino Linotype" w:eastAsia="Palatino Linotype" w:hAnsi="Palatino Linotype" w:cs="Palatino Linotype"/>
        </w:rPr>
        <w:t xml:space="preserve">al servidor público habilitado de la Coordinación General Municipal de Mejora Regulatoria del Ayuntamiento de Capulhuac. </w:t>
      </w:r>
    </w:p>
    <w:p w14:paraId="4BA73994" w14:textId="77777777" w:rsidR="001C39B3" w:rsidRDefault="003D6FED">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También contiene el oficio número MCAP/TTAIPMYPDP/401/2024, por medio del cual la Coordinación General Municipal de Mejora Regulatoria del Ayuntamiento de Capulhuac, informó que no genera formatos XLS compatible con Excel, no maneja base de datos de padrones actualizados de licencias para la operaciones de establecimientos en las que se venden o consumen bebidas alcohólicas, no maneja base de datos con</w:t>
      </w:r>
      <w:r>
        <w:rPr>
          <w:rFonts w:ascii="Verdana" w:eastAsia="Verdana" w:hAnsi="Verdana" w:cs="Verdana"/>
          <w:color w:val="000000"/>
          <w:sz w:val="14"/>
          <w:szCs w:val="14"/>
        </w:rPr>
        <w:t xml:space="preserve"> </w:t>
      </w:r>
      <w:r>
        <w:rPr>
          <w:rFonts w:ascii="Palatino Linotype" w:eastAsia="Palatino Linotype" w:hAnsi="Palatino Linotype" w:cs="Palatino Linotype"/>
        </w:rPr>
        <w:t xml:space="preserve">direcciones de los establecimientos, nombres y/o razones sociales de los titulares, ni hipervínculos del documento en el que obre dichas licencias, en razón de que las actividades de la Coordinación son totalmente diferentes a las solicitadas.   </w:t>
      </w:r>
    </w:p>
    <w:p w14:paraId="6958CBBD" w14:textId="77777777" w:rsidR="001C39B3" w:rsidRDefault="003D6FED">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También contiene el acuse de la solicitud de información número 00053/CAPULHUA/IP/2024.</w:t>
      </w:r>
    </w:p>
    <w:p w14:paraId="0E8CFDDC" w14:textId="77777777" w:rsidR="001C39B3" w:rsidRDefault="003D6FED">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b/>
        </w:rPr>
        <w:lastRenderedPageBreak/>
        <w:t xml:space="preserve">3. Interposición del recurso de revisión. </w:t>
      </w:r>
      <w:r>
        <w:rPr>
          <w:rFonts w:ascii="Palatino Linotype" w:eastAsia="Palatino Linotype" w:hAnsi="Palatino Linotype" w:cs="Palatino Linotype"/>
        </w:rPr>
        <w:t xml:space="preserve">Inconforme con los términos de la respuesta emitida por parte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el </w:t>
      </w:r>
      <w:r>
        <w:rPr>
          <w:rFonts w:ascii="Palatino Linotype" w:eastAsia="Palatino Linotype" w:hAnsi="Palatino Linotype" w:cs="Palatino Linotype"/>
          <w:b/>
        </w:rPr>
        <w:t>tres de julio</w:t>
      </w:r>
      <w:r>
        <w:rPr>
          <w:rFonts w:ascii="Palatino Linotype" w:eastAsia="Palatino Linotype" w:hAnsi="Palatino Linotype" w:cs="Palatino Linotype"/>
          <w:b/>
          <w:color w:val="FF0000"/>
        </w:rPr>
        <w:t xml:space="preserve"> </w:t>
      </w:r>
      <w:r>
        <w:rPr>
          <w:rFonts w:ascii="Palatino Linotype" w:eastAsia="Palatino Linotype" w:hAnsi="Palatino Linotype" w:cs="Palatino Linotype"/>
          <w:b/>
        </w:rPr>
        <w:t>del dos mil veinticuatro,</w:t>
      </w:r>
      <w:r>
        <w:rPr>
          <w:rFonts w:ascii="Palatino Linotype" w:eastAsia="Palatino Linotype" w:hAnsi="Palatino Linotype" w:cs="Palatino Linotype"/>
        </w:rPr>
        <w:t xml:space="preserve"> la parte recurrente interpuso el recurso de revisión a través de </w:t>
      </w:r>
      <w:r>
        <w:rPr>
          <w:rFonts w:ascii="Palatino Linotype" w:eastAsia="Palatino Linotype" w:hAnsi="Palatino Linotype" w:cs="Palatino Linotype"/>
          <w:b/>
        </w:rPr>
        <w:t xml:space="preserve">SAIMEX, </w:t>
      </w:r>
      <w:r>
        <w:rPr>
          <w:rFonts w:ascii="Palatino Linotype" w:eastAsia="Palatino Linotype" w:hAnsi="Palatino Linotype" w:cs="Palatino Linotype"/>
        </w:rPr>
        <w:t>en donde se manifestó de la siguiente manera:</w:t>
      </w:r>
    </w:p>
    <w:p w14:paraId="51F39F7C" w14:textId="77777777" w:rsidR="001C39B3" w:rsidRDefault="003D6FED">
      <w:pPr>
        <w:tabs>
          <w:tab w:val="left" w:pos="2745"/>
        </w:tabs>
        <w:spacing w:before="240" w:after="24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 xml:space="preserve">Acto impugnado: </w:t>
      </w:r>
      <w:r>
        <w:rPr>
          <w:rFonts w:ascii="Palatino Linotype" w:eastAsia="Palatino Linotype" w:hAnsi="Palatino Linotype" w:cs="Palatino Linotype"/>
          <w:b/>
        </w:rPr>
        <w:tab/>
      </w:r>
    </w:p>
    <w:p w14:paraId="0A3A4B97" w14:textId="39777840" w:rsidR="001C39B3" w:rsidRDefault="003D6FED">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“C. TITULAR DE LA TRANSPARENCIA, ACCESO A LA INFORMACION PÚBLICA MUNICIPAL Y PROTECCIÓN DE DATOS PERSONALES DEL AYUNTAMIENTO DEL CALPUHUAC ESTADO DE MÉXICO PRESENTE. Asunto: Se promueve recurso de revisión. </w:t>
      </w:r>
      <w:r w:rsidR="00C15742" w:rsidRPr="00C15742">
        <w:rPr>
          <w:rFonts w:ascii="Palatino Linotype" w:eastAsia="Palatino Linotype" w:hAnsi="Palatino Linotype" w:cs="Palatino Linotype"/>
          <w:i/>
          <w:sz w:val="22"/>
          <w:szCs w:val="22"/>
        </w:rPr>
        <w:t>XXXX XXXXXX XXXXX XXXX</w:t>
      </w:r>
      <w:r>
        <w:rPr>
          <w:rFonts w:ascii="Palatino Linotype" w:eastAsia="Palatino Linotype" w:hAnsi="Palatino Linotype" w:cs="Palatino Linotype"/>
          <w:i/>
          <w:sz w:val="22"/>
          <w:szCs w:val="22"/>
        </w:rPr>
        <w:t xml:space="preserve">, por mi propio derecho, (en adelante EL RECURRENTE), con el debido respeto comparezco y expongo: En términos de los artículos 10, 11, 12, 15, 16, 17, 23 fracción IV, 176, 177, 178, 179 fracción I , 183, 184, 185, 151, 152 y demás aplicables de la Ley de Transparencia y Acceso a la Información Pública del estado de México y sus Municipios, los artículos 11, 12 y 27 del Reglamento de Ley de Transparencia y Acceso a la Información Pública del estado de México y sus Municipios; vengo a interponer en tiempo y forma legales RECURSO DE REVISIÓN en contra de la RESPUESTA A MI SOLICITUD DE ACCESO A LA INFORMACIÓN, de fecha 20 de junio de 2024, con número de folio MCAP/TTAIPMYPDP/401/2024, realizada en fecha 20 de junio de 2024, a través de la cual, el c. Ignacio Benítez Bobadilla titular de la unidad de la transparencia, acceso a la información pública municipal y protección de datos personales del ayuntamiento del Capulhuac estado de México, informó que la información solicitada no maneja base de datos de padrones actualizados de Licencias por la Operación de establecimientos en las que se venden o consumen bebidas alcohólicas sin fundamento o motivación de alguna Ley, norma o reglamento que lo mencione o establezca el cual no se cumple con lo establecido en esta ley.. HECHOS: 1. El 10 de junio de 2024, realicé en la Plataforma Nacional de Transparencia una solicitud de acceso a la Información consistente en: “Se solicita en formato XLS compatible con Excel, la base de datos del padrón actualizado de licencias otorgadas para la operación de establecimientos en los que se vende o consumen bebidas alcohólicas, otorgadas por (la Comisión de Turismo, desarrollo Económico y Metropolitano), así como, su giro o modalidad, dirección de los establecimientos, los nombres y/o razones sociales de los titulares, y el hipervínculo del documento en el que obre cada una de las licencias..” 2. En fecha 20 de junio de 2024, el TITULAR DE LA TRANSPARENCIA, ACCESO A LA </w:t>
      </w:r>
      <w:r>
        <w:rPr>
          <w:rFonts w:ascii="Palatino Linotype" w:eastAsia="Palatino Linotype" w:hAnsi="Palatino Linotype" w:cs="Palatino Linotype"/>
          <w:i/>
          <w:sz w:val="22"/>
          <w:szCs w:val="22"/>
        </w:rPr>
        <w:lastRenderedPageBreak/>
        <w:t xml:space="preserve">INFORMACION PÚBLICA MUNICIPAL Y PROTECCIÓN DE DATOS PERSONALES DEL AYUNTAMIENTO DEL CALPUHUAC ESTADO DE MÉXICO, procedió a dar contestación en los siguientes términos: 3. El 20 de junio de 2024, fue notificada a LA RECURRENTE, la respuesta a la Solicitud de Información con número de folio MCAP/TTAIPMYPDP/401/2024, realizada en esa misma fecha. AGRAVIOS: PRIMERO. La RESPUESTA A MI SOLICITUD DE ACCESO A LA INFORMACIÓN, de fecha 20 de junio de 2024, con número de folio MCAP/TTAIPMYPDP/401/2024, es ilegal, por no encontrarse fundada y motivada. Al respecto, conviene señalar que el principio de fundamentación y motivación implica un razonamiento lógico jurídico, consistente en una adecuación real de los hechos generadores del acto y la norma jurídica aplicada. Derivado de lo anterior, resultan aplicables los siguientes criterios adoptados por el propio Poder Judicial de la Federación, en torno a la fundamentación y motivación de los actos de autoridad: “FUNDAMENTACIÓN Y MOTIVACIÓN. De acuerdo con el artículo 16 de la Constitución Federal, todo acto de autoridad debe estar adecuado y suficientemente fundado y motivado, entendiéndose por lo primero que ha de expresarse con precisión el precepto legal aplicable al caso y, por lo segundo, que también debe señalarse con precisión, las circunstancias especiales razones particulares o causas inmediatas que se hayan tenido en consideración para la emisión del acto; siendo necesario, además, que exista adecuación entre los motivos aducidos y su configuración en las hipótesis normativas". SEGUNDO. Con fundamento en el artículo 24 en su fracción XI de la Ley de Transparencia y Acceso a la Información Pública para el Estado de México no se </w:t>
      </w:r>
      <w:proofErr w:type="spellStart"/>
      <w:r>
        <w:rPr>
          <w:rFonts w:ascii="Palatino Linotype" w:eastAsia="Palatino Linotype" w:hAnsi="Palatino Linotype" w:cs="Palatino Linotype"/>
          <w:i/>
          <w:sz w:val="22"/>
          <w:szCs w:val="22"/>
        </w:rPr>
        <w:t>respeto</w:t>
      </w:r>
      <w:proofErr w:type="spellEnd"/>
      <w:r>
        <w:rPr>
          <w:rFonts w:ascii="Palatino Linotype" w:eastAsia="Palatino Linotype" w:hAnsi="Palatino Linotype" w:cs="Palatino Linotype"/>
          <w:i/>
          <w:sz w:val="22"/>
          <w:szCs w:val="22"/>
        </w:rPr>
        <w:t xml:space="preserve"> y por ende me deja en estado de </w:t>
      </w:r>
      <w:proofErr w:type="spellStart"/>
      <w:r>
        <w:rPr>
          <w:rFonts w:ascii="Palatino Linotype" w:eastAsia="Palatino Linotype" w:hAnsi="Palatino Linotype" w:cs="Palatino Linotype"/>
          <w:i/>
          <w:sz w:val="22"/>
          <w:szCs w:val="22"/>
        </w:rPr>
        <w:t>infensión</w:t>
      </w:r>
      <w:proofErr w:type="spellEnd"/>
      <w:proofErr w:type="gramStart"/>
      <w:r>
        <w:rPr>
          <w:rFonts w:ascii="Palatino Linotype" w:eastAsia="Palatino Linotype" w:hAnsi="Palatino Linotype" w:cs="Palatino Linotype"/>
          <w:i/>
          <w:sz w:val="22"/>
          <w:szCs w:val="22"/>
        </w:rPr>
        <w:t>.”(</w:t>
      </w:r>
      <w:proofErr w:type="gramEnd"/>
      <w:r>
        <w:rPr>
          <w:rFonts w:ascii="Palatino Linotype" w:eastAsia="Palatino Linotype" w:hAnsi="Palatino Linotype" w:cs="Palatino Linotype"/>
          <w:i/>
          <w:sz w:val="22"/>
          <w:szCs w:val="22"/>
        </w:rPr>
        <w:t>Sic)</w:t>
      </w:r>
    </w:p>
    <w:p w14:paraId="797296C6" w14:textId="77777777" w:rsidR="001C39B3" w:rsidRDefault="001C39B3">
      <w:pPr>
        <w:ind w:left="851" w:right="902"/>
        <w:jc w:val="both"/>
        <w:rPr>
          <w:rFonts w:ascii="Palatino Linotype" w:eastAsia="Palatino Linotype" w:hAnsi="Palatino Linotype" w:cs="Palatino Linotype"/>
          <w:i/>
          <w:sz w:val="22"/>
          <w:szCs w:val="22"/>
        </w:rPr>
      </w:pPr>
    </w:p>
    <w:p w14:paraId="3C0F2F9A" w14:textId="77777777" w:rsidR="001C39B3" w:rsidRDefault="003D6FE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Y Razones o motivos de inconformidad</w:t>
      </w:r>
      <w:r>
        <w:rPr>
          <w:rFonts w:ascii="Palatino Linotype" w:eastAsia="Palatino Linotype" w:hAnsi="Palatino Linotype" w:cs="Palatino Linotype"/>
        </w:rPr>
        <w:t>:</w:t>
      </w:r>
    </w:p>
    <w:p w14:paraId="2DA20296" w14:textId="77777777" w:rsidR="001C39B3" w:rsidRDefault="003D6FED">
      <w:pPr>
        <w:ind w:right="902"/>
        <w:jc w:val="both"/>
        <w:rPr>
          <w:rFonts w:ascii="Palatino Linotype" w:eastAsia="Palatino Linotype" w:hAnsi="Palatino Linotype" w:cs="Palatino Linotype"/>
        </w:rPr>
      </w:pPr>
      <w:bookmarkStart w:id="1" w:name="_heading=h.30j0zll" w:colFirst="0" w:colLast="0"/>
      <w:bookmarkEnd w:id="1"/>
      <w:r>
        <w:rPr>
          <w:rFonts w:ascii="Palatino Linotype" w:eastAsia="Palatino Linotype" w:hAnsi="Palatino Linotype" w:cs="Palatino Linotype"/>
        </w:rPr>
        <w:t>No señaló motivos de inconformidad.</w:t>
      </w:r>
    </w:p>
    <w:p w14:paraId="3B49ED97" w14:textId="77777777" w:rsidR="001C39B3" w:rsidRDefault="001C39B3">
      <w:pPr>
        <w:ind w:right="902"/>
        <w:jc w:val="both"/>
        <w:rPr>
          <w:rFonts w:ascii="Palatino Linotype" w:eastAsia="Palatino Linotype" w:hAnsi="Palatino Linotype" w:cs="Palatino Linotype"/>
          <w:sz w:val="22"/>
          <w:szCs w:val="22"/>
        </w:rPr>
      </w:pPr>
    </w:p>
    <w:p w14:paraId="1E2C7D12" w14:textId="77777777" w:rsidR="001C39B3" w:rsidRDefault="003D6FED">
      <w:pPr>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La parte </w:t>
      </w:r>
      <w:r>
        <w:rPr>
          <w:rFonts w:ascii="Palatino Linotype" w:eastAsia="Palatino Linotype" w:hAnsi="Palatino Linotype" w:cs="Palatino Linotype"/>
          <w:b/>
        </w:rPr>
        <w:t>RECURRENTE</w:t>
      </w:r>
      <w:r>
        <w:rPr>
          <w:rFonts w:ascii="Palatino Linotype" w:eastAsia="Palatino Linotype" w:hAnsi="Palatino Linotype" w:cs="Palatino Linotype"/>
        </w:rPr>
        <w:t>, adjuntó a su acuse del recurso de revisión el siguiente archivo electrónico: “</w:t>
      </w:r>
      <w:hyperlink r:id="rId9">
        <w:r>
          <w:rPr>
            <w:rFonts w:ascii="Palatino Linotype" w:eastAsia="Palatino Linotype" w:hAnsi="Palatino Linotype" w:cs="Palatino Linotype"/>
          </w:rPr>
          <w:t>Archivo1720047756206null</w:t>
        </w:r>
      </w:hyperlink>
      <w:r>
        <w:rPr>
          <w:rFonts w:ascii="Palatino Linotype" w:eastAsia="Palatino Linotype" w:hAnsi="Palatino Linotype" w:cs="Palatino Linotype"/>
        </w:rPr>
        <w:t xml:space="preserve">” el cual no se puede abrir. </w:t>
      </w:r>
    </w:p>
    <w:p w14:paraId="2BC6CC65" w14:textId="77777777" w:rsidR="001C39B3" w:rsidRDefault="001C39B3">
      <w:pPr>
        <w:spacing w:line="360" w:lineRule="auto"/>
        <w:ind w:right="51"/>
        <w:jc w:val="both"/>
        <w:rPr>
          <w:rFonts w:ascii="Palatino Linotype" w:eastAsia="Palatino Linotype" w:hAnsi="Palatino Linotype" w:cs="Palatino Linotype"/>
        </w:rPr>
      </w:pPr>
    </w:p>
    <w:p w14:paraId="049C02A8" w14:textId="77777777" w:rsidR="001C39B3" w:rsidRDefault="003D6FED">
      <w:pPr>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b/>
        </w:rPr>
        <w:t xml:space="preserve">4. Turno. </w:t>
      </w:r>
      <w:r>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w:t>
      </w:r>
      <w:r>
        <w:rPr>
          <w:rFonts w:ascii="Palatino Linotype" w:eastAsia="Palatino Linotype" w:hAnsi="Palatino Linotype" w:cs="Palatino Linotype"/>
        </w:rPr>
        <w:lastRenderedPageBreak/>
        <w:t xml:space="preserve">Transparencia, Acceso a la Información Pública y Protección de Datos Personales del Estado de México y Municipios, a la Comisionada </w:t>
      </w:r>
      <w:r>
        <w:rPr>
          <w:rFonts w:ascii="Palatino Linotype" w:eastAsia="Palatino Linotype" w:hAnsi="Palatino Linotype" w:cs="Palatino Linotype"/>
          <w:b/>
        </w:rPr>
        <w:t xml:space="preserve">Guadalupe Ramírez Peña, </w:t>
      </w:r>
      <w:r>
        <w:rPr>
          <w:rFonts w:ascii="Palatino Linotype" w:eastAsia="Palatino Linotype" w:hAnsi="Palatino Linotype" w:cs="Palatino Linotype"/>
        </w:rPr>
        <w:t xml:space="preserve">a efecto de que analizara sobre su admisión o su </w:t>
      </w:r>
      <w:proofErr w:type="spellStart"/>
      <w:r>
        <w:rPr>
          <w:rFonts w:ascii="Palatino Linotype" w:eastAsia="Palatino Linotype" w:hAnsi="Palatino Linotype" w:cs="Palatino Linotype"/>
        </w:rPr>
        <w:t>desechamiento</w:t>
      </w:r>
      <w:proofErr w:type="spellEnd"/>
      <w:r>
        <w:rPr>
          <w:rFonts w:ascii="Palatino Linotype" w:eastAsia="Palatino Linotype" w:hAnsi="Palatino Linotype" w:cs="Palatino Linotype"/>
        </w:rPr>
        <w:t>.</w:t>
      </w:r>
    </w:p>
    <w:p w14:paraId="701E90D7" w14:textId="77777777" w:rsidR="001C39B3" w:rsidRDefault="001C39B3">
      <w:pPr>
        <w:spacing w:line="360" w:lineRule="auto"/>
        <w:ind w:right="51"/>
        <w:jc w:val="both"/>
        <w:rPr>
          <w:rFonts w:ascii="Palatino Linotype" w:eastAsia="Palatino Linotype" w:hAnsi="Palatino Linotype" w:cs="Palatino Linotype"/>
        </w:rPr>
      </w:pPr>
    </w:p>
    <w:p w14:paraId="5FA76F94" w14:textId="77777777" w:rsidR="001C39B3" w:rsidRDefault="003D6FED">
      <w:pPr>
        <w:spacing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5. Admisión del Recurso de revisión.</w:t>
      </w:r>
      <w:r>
        <w:rPr>
          <w:rFonts w:ascii="Palatino Linotype" w:eastAsia="Palatino Linotype" w:hAnsi="Palatino Linotype" w:cs="Palatino Linotype"/>
        </w:rPr>
        <w:t xml:space="preserve"> Con fecha</w:t>
      </w:r>
      <w:r>
        <w:rPr>
          <w:rFonts w:ascii="Palatino Linotype" w:eastAsia="Palatino Linotype" w:hAnsi="Palatino Linotype" w:cs="Palatino Linotype"/>
          <w:b/>
        </w:rPr>
        <w:t xml:space="preserve"> ocho de julio de dos mil veinticuatro, </w:t>
      </w:r>
      <w:r>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presentara su informe justificado.</w:t>
      </w:r>
    </w:p>
    <w:p w14:paraId="35707B20" w14:textId="77777777" w:rsidR="001C39B3" w:rsidRDefault="003D6FED">
      <w:pPr>
        <w:spacing w:before="240" w:after="240" w:line="360" w:lineRule="auto"/>
        <w:jc w:val="both"/>
      </w:pPr>
      <w:r>
        <w:rPr>
          <w:rFonts w:ascii="Palatino Linotype" w:eastAsia="Palatino Linotype" w:hAnsi="Palatino Linotype" w:cs="Palatino Linotype"/>
          <w:b/>
        </w:rPr>
        <w:t>6. Manifestaciones</w:t>
      </w:r>
      <w:r>
        <w:rPr>
          <w:rFonts w:ascii="Palatino Linotype" w:eastAsia="Palatino Linotype" w:hAnsi="Palatino Linotype" w:cs="Palatino Linotype"/>
        </w:rPr>
        <w:t xml:space="preserve">. De las constancias que obran en el expediente electrónico del SAIMEX se desprende que </w:t>
      </w:r>
      <w:r>
        <w:rPr>
          <w:rFonts w:ascii="Palatino Linotype" w:eastAsia="Palatino Linotype" w:hAnsi="Palatino Linotype" w:cs="Palatino Linotype"/>
          <w:b/>
        </w:rPr>
        <w:t>la parte RECURRENTE</w:t>
      </w:r>
      <w:r>
        <w:rPr>
          <w:rFonts w:ascii="Palatino Linotype" w:eastAsia="Palatino Linotype" w:hAnsi="Palatino Linotype" w:cs="Palatino Linotype"/>
        </w:rPr>
        <w:t xml:space="preserve"> omitió realizar manifestaciones. </w:t>
      </w:r>
    </w:p>
    <w:p w14:paraId="373045DB" w14:textId="77777777" w:rsidR="001C39B3" w:rsidRDefault="003D6FED">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su parte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en fecha nueve y treinta de julio del año en curso, remitió los siguientes archivos electrónicos:</w:t>
      </w:r>
    </w:p>
    <w:p w14:paraId="51F4A41F" w14:textId="77777777" w:rsidR="001C39B3" w:rsidRDefault="003D6FED">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w:t>
      </w:r>
      <w:hyperlink r:id="rId10">
        <w:r>
          <w:rPr>
            <w:rFonts w:ascii="Palatino Linotype" w:eastAsia="Palatino Linotype" w:hAnsi="Palatino Linotype" w:cs="Palatino Linotype"/>
          </w:rPr>
          <w:t>00053.pdf</w:t>
        </w:r>
      </w:hyperlink>
      <w:r>
        <w:rPr>
          <w:rFonts w:ascii="Palatino Linotype" w:eastAsia="Palatino Linotype" w:hAnsi="Palatino Linotype" w:cs="Palatino Linotype"/>
        </w:rPr>
        <w:t xml:space="preserve">”, el cual corresponde a los archivos electrónicos remitidos en respuesta por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descritos en el antecedente número 2 de la presente resolución.  </w:t>
      </w:r>
    </w:p>
    <w:p w14:paraId="314910A1" w14:textId="77777777" w:rsidR="001C39B3" w:rsidRDefault="003D6FED">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w:t>
      </w:r>
      <w:hyperlink r:id="rId11">
        <w:r>
          <w:rPr>
            <w:rFonts w:ascii="Palatino Linotype" w:eastAsia="Palatino Linotype" w:hAnsi="Palatino Linotype" w:cs="Palatino Linotype"/>
          </w:rPr>
          <w:t>04099.pdf</w:t>
        </w:r>
      </w:hyperlink>
      <w:r>
        <w:rPr>
          <w:rFonts w:ascii="Palatino Linotype" w:eastAsia="Palatino Linotype" w:hAnsi="Palatino Linotype" w:cs="Palatino Linotype"/>
        </w:rPr>
        <w:t xml:space="preserve">”, el cual contiene el turno de los motivos de inconformidad de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por parte de la Unidad de Transparencia a la Coordinación General Municipal de Mejora Regulatoria del Ayuntamiento de Capulhuac, así como el informe justificado </w:t>
      </w:r>
      <w:r>
        <w:rPr>
          <w:rFonts w:ascii="Palatino Linotype" w:eastAsia="Palatino Linotype" w:hAnsi="Palatino Linotype" w:cs="Palatino Linotype"/>
          <w:b/>
        </w:rPr>
        <w:t xml:space="preserve">por medio del cual en lo medular confirmó su respuesta primigenia. </w:t>
      </w:r>
    </w:p>
    <w:p w14:paraId="5B0FC262" w14:textId="77777777" w:rsidR="001C39B3" w:rsidRDefault="003D6FED">
      <w:pPr>
        <w:spacing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Documentos que, una vez analizados, se hizo del conocimiento de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a efecto de que manifestara lo que a su derecho estimara conveniente; sin embargo, fue omiso en ejercer dicha prerrogativa en el plazo establecido para tal efecto.</w:t>
      </w:r>
    </w:p>
    <w:p w14:paraId="06A117E6" w14:textId="77777777" w:rsidR="001C39B3" w:rsidRDefault="003D6FED">
      <w:pPr>
        <w:widowControl w:val="0"/>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7. Cierre de instrucción. </w:t>
      </w:r>
      <w:r>
        <w:rPr>
          <w:rFonts w:ascii="Palatino Linotype" w:eastAsia="Palatino Linotype" w:hAnsi="Palatino Linotype" w:cs="Palatino Linotype"/>
        </w:rPr>
        <w:t>Una vez transcurrido el periodo otorgado a las partes para realizar sus manifestaciones y no habiendo documentos que integrar al expediente, el</w:t>
      </w:r>
      <w:r>
        <w:rPr>
          <w:rFonts w:ascii="Palatino Linotype" w:eastAsia="Palatino Linotype" w:hAnsi="Palatino Linotype" w:cs="Palatino Linotype"/>
          <w:b/>
        </w:rPr>
        <w:t xml:space="preserve"> diecinueve de agosto de dos mil veinticuatro</w:t>
      </w:r>
      <w:r>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6D1E946A" w14:textId="77777777" w:rsidR="001C39B3" w:rsidRDefault="003D6FED">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493099BF" w14:textId="77777777" w:rsidR="001C39B3" w:rsidRDefault="003D6FED">
      <w:pPr>
        <w:widowControl w:val="0"/>
        <w:spacing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II. C O N S I D E R A N D O S</w:t>
      </w:r>
    </w:p>
    <w:p w14:paraId="68871C29" w14:textId="77777777" w:rsidR="001C39B3" w:rsidRDefault="001C39B3">
      <w:pPr>
        <w:widowControl w:val="0"/>
        <w:spacing w:line="360" w:lineRule="auto"/>
        <w:jc w:val="center"/>
        <w:rPr>
          <w:rFonts w:ascii="Palatino Linotype" w:eastAsia="Palatino Linotype" w:hAnsi="Palatino Linotype" w:cs="Palatino Linotype"/>
          <w:b/>
        </w:rPr>
      </w:pPr>
    </w:p>
    <w:p w14:paraId="225040B1" w14:textId="77777777" w:rsidR="001C39B3" w:rsidRDefault="003D6FE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Primero. Competencia.</w:t>
      </w:r>
      <w:r>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w:t>
      </w:r>
      <w:r>
        <w:rPr>
          <w:rFonts w:ascii="Palatino Linotype" w:eastAsia="Palatino Linotype" w:hAnsi="Palatino Linotype" w:cs="Palatino Linotype"/>
        </w:rPr>
        <w:lastRenderedPageBreak/>
        <w:t>del Reglamento Interior del Instituto de Transparencia, Acceso a la Información Pública y Protección de Datos Personales del Estado de México y Municipios.</w:t>
      </w:r>
    </w:p>
    <w:p w14:paraId="7BCE7A13" w14:textId="77777777" w:rsidR="001C39B3" w:rsidRDefault="003D6FED">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Segundo. Oportunidad y Procedibilidad del Recurso de Revisión</w:t>
      </w:r>
      <w:r>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3B2E1873" w14:textId="77777777" w:rsidR="001C39B3" w:rsidRDefault="003D6FED">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ya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proporcionó su respuesta a la solicitud de información el veinticuatro de junio del dos mil veinticuatro  y la parte RECURRENTE presentó su recurso de revisión el tres de julio del mismo año; esto es, al séptimo día hábil siguiente</w:t>
      </w:r>
      <w:r>
        <w:rPr>
          <w:rFonts w:ascii="Palatino Linotype" w:eastAsia="Palatino Linotype" w:hAnsi="Palatino Linotype" w:cs="Palatino Linotype"/>
          <w:color w:val="FF0000"/>
        </w:rPr>
        <w:t xml:space="preserve"> </w:t>
      </w:r>
      <w:r>
        <w:rPr>
          <w:rFonts w:ascii="Palatino Linotype" w:eastAsia="Palatino Linotype" w:hAnsi="Palatino Linotype" w:cs="Palatino Linotype"/>
        </w:rPr>
        <w:t>en que tuvo conocimiento de la respuesta impugnada.</w:t>
      </w:r>
    </w:p>
    <w:p w14:paraId="726CBCAE" w14:textId="77777777" w:rsidR="001C39B3" w:rsidRDefault="003D6FED">
      <w:pPr>
        <w:spacing w:before="240" w:after="240"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508F554C" w14:textId="77777777" w:rsidR="001C39B3" w:rsidRDefault="003D6FED">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resulta procedente la interposición del recurso de revisión al rubro anotado, toda vez que se actualiza las hipótesis previstas en el artículo 179, fracción I y XIII de la ley de la materia, que a la letra dice:</w:t>
      </w:r>
    </w:p>
    <w:p w14:paraId="25C828A4" w14:textId="77777777" w:rsidR="001C39B3" w:rsidRDefault="003D6FED">
      <w:pPr>
        <w:ind w:left="1276" w:right="175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w:t>
      </w:r>
      <w:r>
        <w:rPr>
          <w:rFonts w:ascii="Palatino Linotype" w:eastAsia="Palatino Linotype" w:hAnsi="Palatino Linotype" w:cs="Palatino Linotype"/>
          <w:b/>
          <w:i/>
          <w:sz w:val="22"/>
          <w:szCs w:val="22"/>
        </w:rPr>
        <w:t xml:space="preserve">Artículo 179. </w:t>
      </w:r>
      <w:r>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0ACBE1DD" w14:textId="77777777" w:rsidR="001C39B3" w:rsidRDefault="003D6FED">
      <w:pPr>
        <w:numPr>
          <w:ilvl w:val="0"/>
          <w:numId w:val="2"/>
        </w:numPr>
        <w:pBdr>
          <w:top w:val="nil"/>
          <w:left w:val="nil"/>
          <w:bottom w:val="nil"/>
          <w:right w:val="nil"/>
          <w:between w:val="nil"/>
        </w:pBdr>
        <w:ind w:right="175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La negativa de la información solicitada</w:t>
      </w:r>
    </w:p>
    <w:p w14:paraId="4AA49D4C" w14:textId="77777777" w:rsidR="001C39B3" w:rsidRDefault="003D6FED">
      <w:pPr>
        <w:ind w:left="1276" w:right="175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2833476D" w14:textId="77777777" w:rsidR="001C39B3" w:rsidRDefault="003D6FED">
      <w:pPr>
        <w:ind w:left="1276" w:right="175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XIII. La falta, deficiencia o insuficiencia de la fundamentación y/o motivación en la respuesta…” (Sic) </w:t>
      </w:r>
    </w:p>
    <w:p w14:paraId="5247D9C4" w14:textId="77777777" w:rsidR="001C39B3" w:rsidRDefault="003D6FED">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b/>
          <w:color w:val="000000"/>
        </w:rPr>
        <w:t>Tercero. Materia de Revisión</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 xml:space="preserve">De las constancias que integran el expediente electrónico se advierte que el tema sobre el que este Instituto se pronunciará será: </w:t>
      </w:r>
      <w:r>
        <w:rPr>
          <w:rFonts w:ascii="Palatino Linotype" w:eastAsia="Palatino Linotype" w:hAnsi="Palatino Linotype" w:cs="Palatino Linotype"/>
          <w:b/>
        </w:rPr>
        <w:t xml:space="preserve">verificar si la respuesta otorgada por el SUJETO OBLIGADO es adecuada y suficiente para satisfacer el derecho de acceso a la información pública </w:t>
      </w:r>
      <w:r>
        <w:rPr>
          <w:rFonts w:ascii="Palatino Linotype" w:eastAsia="Palatino Linotype" w:hAnsi="Palatino Linotype" w:cs="Palatino Linotype"/>
        </w:rPr>
        <w:t xml:space="preserve">de la PARTE </w:t>
      </w:r>
      <w:r>
        <w:rPr>
          <w:rFonts w:ascii="Palatino Linotype" w:eastAsia="Palatino Linotype" w:hAnsi="Palatino Linotype" w:cs="Palatino Linotype"/>
          <w:b/>
        </w:rPr>
        <w:t>RECURRENTE</w:t>
      </w:r>
      <w:r>
        <w:rPr>
          <w:rFonts w:ascii="Palatino Linotype" w:eastAsia="Palatino Linotype" w:hAnsi="Palatino Linotype" w:cs="Palatino Linotype"/>
        </w:rPr>
        <w:t>, o en su defecto, en caso de ser procedente, ordenar la entrega de información.</w:t>
      </w:r>
    </w:p>
    <w:p w14:paraId="297A24BF" w14:textId="77777777" w:rsidR="001C39B3" w:rsidRDefault="003D6FED">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Cuarto. Estudio de fondo del asunto. </w:t>
      </w:r>
      <w:r>
        <w:rPr>
          <w:rFonts w:ascii="Palatino Linotype" w:eastAsia="Palatino Linotype" w:hAnsi="Palatino Linotype" w:cs="Palatino Linotype"/>
        </w:rPr>
        <w:t xml:space="preserve">es conveniente analizar si la respuesta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cumple con los requisitos y procedimientos del derecho de acceso a la información pública, en atención a que en la Ley de Transparencia y Acceso a la Información Pública del Estado de México y Municipios en su </w:t>
      </w:r>
      <w:r>
        <w:rPr>
          <w:rFonts w:ascii="Palatino Linotype" w:eastAsia="Palatino Linotype" w:hAnsi="Palatino Linotype" w:cs="Palatino Linotype"/>
          <w:color w:val="000000"/>
        </w:rPr>
        <w:t>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4DE0867B" w14:textId="77777777" w:rsidR="001C39B3" w:rsidRDefault="003D6FED">
      <w:pPr>
        <w:spacing w:before="240"/>
        <w:ind w:left="709" w:right="76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4.</w:t>
      </w:r>
      <w:r>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39940762" w14:textId="77777777" w:rsidR="001C39B3" w:rsidRDefault="003D6FED">
      <w:pPr>
        <w:ind w:left="709" w:right="76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Toda la información generada, obtenida, adquirida, transformada, administrada o en posesión de los sujetos obligados es pública y accesible </w:t>
      </w:r>
      <w:r>
        <w:rPr>
          <w:rFonts w:ascii="Palatino Linotype" w:eastAsia="Palatino Linotype" w:hAnsi="Palatino Linotype" w:cs="Palatino Linotype"/>
          <w:b/>
          <w:i/>
          <w:sz w:val="22"/>
          <w:szCs w:val="22"/>
        </w:rPr>
        <w:lastRenderedPageBreak/>
        <w:t>de manera permanente a cualquier persona</w:t>
      </w:r>
      <w:r>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EEC0740" w14:textId="77777777" w:rsidR="001C39B3" w:rsidRDefault="003D6FED">
      <w:pPr>
        <w:ind w:left="709" w:right="76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proofErr w:type="gramStart"/>
      <w:r>
        <w:rPr>
          <w:rFonts w:ascii="Palatino Linotype" w:eastAsia="Palatino Linotype" w:hAnsi="Palatino Linotype" w:cs="Palatino Linotype"/>
          <w:i/>
          <w:sz w:val="22"/>
          <w:szCs w:val="22"/>
        </w:rPr>
        <w:t>.”(</w:t>
      </w:r>
      <w:proofErr w:type="gramEnd"/>
      <w:r>
        <w:rPr>
          <w:rFonts w:ascii="Palatino Linotype" w:eastAsia="Palatino Linotype" w:hAnsi="Palatino Linotype" w:cs="Palatino Linotype"/>
          <w:i/>
          <w:sz w:val="22"/>
          <w:szCs w:val="22"/>
        </w:rPr>
        <w:t>Sic)</w:t>
      </w:r>
    </w:p>
    <w:p w14:paraId="3FDF1B7C" w14:textId="77777777" w:rsidR="001C39B3" w:rsidRDefault="003D6FED">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De lo anterior, se desprende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6D2E39D6" w14:textId="77777777" w:rsidR="001C39B3" w:rsidRDefault="003D6FED">
      <w:pPr>
        <w:ind w:left="567" w:right="75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Artículo12.-</w:t>
      </w:r>
      <w:r>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216DC61F" w14:textId="77777777" w:rsidR="001C39B3" w:rsidRDefault="003D6FED">
      <w:pPr>
        <w:ind w:left="567" w:right="758"/>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 (Sic)</w:t>
      </w:r>
    </w:p>
    <w:p w14:paraId="0B566503" w14:textId="77777777" w:rsidR="001C39B3" w:rsidRDefault="001C39B3">
      <w:pPr>
        <w:spacing w:line="360" w:lineRule="auto"/>
        <w:ind w:right="-93"/>
        <w:jc w:val="both"/>
        <w:rPr>
          <w:rFonts w:ascii="Palatino Linotype" w:eastAsia="Palatino Linotype" w:hAnsi="Palatino Linotype" w:cs="Palatino Linotype"/>
          <w:color w:val="000000"/>
        </w:rPr>
      </w:pPr>
    </w:p>
    <w:p w14:paraId="0C6DDE16" w14:textId="77777777" w:rsidR="001C39B3" w:rsidRDefault="003D6FED">
      <w:pPr>
        <w:spacing w:line="360" w:lineRule="auto"/>
        <w:ind w:right="-93"/>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 decir, todo Sujeto Obligado que genere, recopile, administre, procese, archive, posea o conserve información es responsables de la misma, teniendo a su vez la obligación de proporcionarla cuando se le requiera, sin necesidad de resumirla, </w:t>
      </w:r>
      <w:r>
        <w:rPr>
          <w:rFonts w:ascii="Palatino Linotype" w:eastAsia="Palatino Linotype" w:hAnsi="Palatino Linotype" w:cs="Palatino Linotype"/>
          <w:color w:val="000000"/>
        </w:rPr>
        <w:lastRenderedPageBreak/>
        <w:t xml:space="preserve">efectuar procedimientos para obtenerla, calcular y practicar investigaciones; es decir, los Sujetos Obligados sólo se concretarán a proporcionar la información solicitada que tengan en su poder en el estado que se encuentran, sin necesidad de concretarse al interés o términos específicos del solicitante. </w:t>
      </w:r>
    </w:p>
    <w:p w14:paraId="6DEDBC18" w14:textId="77777777" w:rsidR="001C39B3" w:rsidRDefault="001C39B3">
      <w:pPr>
        <w:spacing w:line="360" w:lineRule="auto"/>
        <w:jc w:val="both"/>
        <w:rPr>
          <w:rFonts w:ascii="Palatino Linotype" w:eastAsia="Palatino Linotype" w:hAnsi="Palatino Linotype" w:cs="Palatino Linotype"/>
          <w:color w:val="000000"/>
        </w:rPr>
      </w:pPr>
    </w:p>
    <w:p w14:paraId="5455D735" w14:textId="77777777" w:rsidR="001C39B3" w:rsidRDefault="003D6FED">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Sirve de apoyo a lo anterior, el criterio 03-17, expuesto por el Instituto Nacional de Transparencia, Acceso a la Información y Protección de Datos Personales, que dice:</w:t>
      </w:r>
    </w:p>
    <w:p w14:paraId="7C2DFB12" w14:textId="77777777" w:rsidR="001C39B3" w:rsidRDefault="003D6FED">
      <w:pP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 </w:t>
      </w:r>
    </w:p>
    <w:p w14:paraId="0B05D42F" w14:textId="77777777" w:rsidR="001C39B3" w:rsidRDefault="003D6FED">
      <w:pPr>
        <w:ind w:left="851" w:right="90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No existe obligación de elaborar documentos ad hoc para atender las solicitudes de acceso a la información.</w:t>
      </w:r>
      <w:r>
        <w:rPr>
          <w:rFonts w:ascii="Palatino Linotype" w:eastAsia="Palatino Linotype" w:hAnsi="Palatino Linotype" w:cs="Palatino Linotype"/>
          <w:i/>
          <w:color w:val="000000"/>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79A9BF1A" w14:textId="77777777" w:rsidR="001C39B3" w:rsidRDefault="003D6FED">
      <w:pPr>
        <w:ind w:left="851" w:right="90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Resoluciones: </w:t>
      </w:r>
    </w:p>
    <w:p w14:paraId="001532D9" w14:textId="77777777" w:rsidR="001C39B3" w:rsidRDefault="003D6FED">
      <w:pPr>
        <w:ind w:left="851" w:right="901"/>
        <w:jc w:val="both"/>
        <w:rPr>
          <w:rFonts w:ascii="Palatino Linotype" w:eastAsia="Palatino Linotype" w:hAnsi="Palatino Linotype" w:cs="Palatino Linotype"/>
          <w:i/>
          <w:color w:val="000000"/>
          <w:sz w:val="22"/>
          <w:szCs w:val="22"/>
        </w:rPr>
      </w:pPr>
      <w:r>
        <w:rPr>
          <w:rFonts w:ascii="Noto Sans Symbols" w:eastAsia="Noto Sans Symbols" w:hAnsi="Noto Sans Symbols" w:cs="Noto Sans Symbols"/>
          <w:i/>
          <w:color w:val="000000"/>
          <w:sz w:val="22"/>
          <w:szCs w:val="22"/>
        </w:rPr>
        <w:t>∙</w:t>
      </w:r>
      <w:r>
        <w:rPr>
          <w:rFonts w:ascii="Palatino Linotype" w:eastAsia="Palatino Linotype" w:hAnsi="Palatino Linotype" w:cs="Palatino Linotype"/>
          <w:i/>
          <w:color w:val="000000"/>
          <w:sz w:val="22"/>
          <w:szCs w:val="22"/>
        </w:rPr>
        <w:t xml:space="preserve"> RRA 0050/16. Instituto Nacional para la Evaluación de la Educación. 13 julio de 2016. Por unanimidad. Comisionado Ponente: Francisco Javier Acuña Llamas.</w:t>
      </w:r>
    </w:p>
    <w:p w14:paraId="484C5F9C" w14:textId="77777777" w:rsidR="001C39B3" w:rsidRDefault="003D6FED">
      <w:pPr>
        <w:ind w:left="851" w:right="901"/>
        <w:jc w:val="both"/>
        <w:rPr>
          <w:rFonts w:ascii="Palatino Linotype" w:eastAsia="Palatino Linotype" w:hAnsi="Palatino Linotype" w:cs="Palatino Linotype"/>
          <w:i/>
          <w:color w:val="000000"/>
          <w:sz w:val="22"/>
          <w:szCs w:val="22"/>
        </w:rPr>
      </w:pPr>
      <w:r>
        <w:rPr>
          <w:rFonts w:ascii="Noto Sans Symbols" w:eastAsia="Noto Sans Symbols" w:hAnsi="Noto Sans Symbols" w:cs="Noto Sans Symbols"/>
          <w:i/>
          <w:color w:val="000000"/>
          <w:sz w:val="22"/>
          <w:szCs w:val="22"/>
        </w:rPr>
        <w:t>∙</w:t>
      </w:r>
      <w:r>
        <w:rPr>
          <w:rFonts w:ascii="Palatino Linotype" w:eastAsia="Palatino Linotype" w:hAnsi="Palatino Linotype" w:cs="Palatino Linotype"/>
          <w:i/>
          <w:color w:val="000000"/>
          <w:sz w:val="22"/>
          <w:szCs w:val="22"/>
        </w:rPr>
        <w:t xml:space="preserve"> RRA 0310/16. Instituto Nacional de Transparencia, Acceso a la Información y Protección de Datos Personales. 10 de agosto de 2016. Por unanimidad. Comisionada Ponente. Areli Cano Guadiana. </w:t>
      </w:r>
    </w:p>
    <w:p w14:paraId="34FCC707" w14:textId="77777777" w:rsidR="001C39B3" w:rsidRDefault="003D6FED">
      <w:pPr>
        <w:ind w:left="851" w:right="901"/>
        <w:jc w:val="both"/>
        <w:rPr>
          <w:rFonts w:ascii="Palatino Linotype" w:eastAsia="Palatino Linotype" w:hAnsi="Palatino Linotype" w:cs="Palatino Linotype"/>
          <w:i/>
          <w:color w:val="000000"/>
          <w:sz w:val="22"/>
          <w:szCs w:val="22"/>
        </w:rPr>
      </w:pPr>
      <w:r>
        <w:rPr>
          <w:rFonts w:ascii="Noto Sans Symbols" w:eastAsia="Noto Sans Symbols" w:hAnsi="Noto Sans Symbols" w:cs="Noto Sans Symbols"/>
          <w:i/>
          <w:color w:val="000000"/>
          <w:sz w:val="22"/>
          <w:szCs w:val="22"/>
        </w:rPr>
        <w:t>∙</w:t>
      </w:r>
      <w:r>
        <w:rPr>
          <w:rFonts w:ascii="Palatino Linotype" w:eastAsia="Palatino Linotype" w:hAnsi="Palatino Linotype" w:cs="Palatino Linotype"/>
          <w:i/>
          <w:color w:val="000000"/>
          <w:sz w:val="22"/>
          <w:szCs w:val="22"/>
        </w:rPr>
        <w:t xml:space="preserve"> RRA 1889/16. Secretaría de Hacienda y Crédito Público. 05 de octubre de 2016. Por unanimidad. Comisionada Ponente. Ximena Puente de la Mora</w:t>
      </w:r>
      <w:proofErr w:type="gramStart"/>
      <w:r>
        <w:rPr>
          <w:rFonts w:ascii="Palatino Linotype" w:eastAsia="Palatino Linotype" w:hAnsi="Palatino Linotype" w:cs="Palatino Linotype"/>
          <w:i/>
          <w:color w:val="000000"/>
          <w:sz w:val="22"/>
          <w:szCs w:val="22"/>
        </w:rPr>
        <w:t>.”(</w:t>
      </w:r>
      <w:proofErr w:type="gramEnd"/>
      <w:r>
        <w:rPr>
          <w:rFonts w:ascii="Palatino Linotype" w:eastAsia="Palatino Linotype" w:hAnsi="Palatino Linotype" w:cs="Palatino Linotype"/>
          <w:i/>
          <w:color w:val="000000"/>
          <w:sz w:val="22"/>
          <w:szCs w:val="22"/>
        </w:rPr>
        <w:t>Sic)</w:t>
      </w:r>
    </w:p>
    <w:p w14:paraId="606C3979" w14:textId="77777777" w:rsidR="001C39B3" w:rsidRDefault="001C39B3">
      <w:pPr>
        <w:spacing w:line="360" w:lineRule="auto"/>
        <w:jc w:val="both"/>
        <w:rPr>
          <w:rFonts w:ascii="Palatino Linotype" w:eastAsia="Palatino Linotype" w:hAnsi="Palatino Linotype" w:cs="Palatino Linotype"/>
        </w:rPr>
      </w:pPr>
    </w:p>
    <w:p w14:paraId="32E5C04F" w14:textId="77777777" w:rsidR="001C39B3" w:rsidRDefault="003D6FED">
      <w:pPr>
        <w:spacing w:line="360" w:lineRule="auto"/>
        <w:jc w:val="both"/>
        <w:rPr>
          <w:rFonts w:ascii="Palatino Linotype" w:eastAsia="Palatino Linotype" w:hAnsi="Palatino Linotype" w:cs="Palatino Linotype"/>
          <w:strike/>
          <w:color w:val="FF0000"/>
        </w:rPr>
      </w:pPr>
      <w:r>
        <w:rPr>
          <w:rFonts w:ascii="Palatino Linotype" w:eastAsia="Palatino Linotype" w:hAnsi="Palatino Linotype" w:cs="Palatino Linotype"/>
        </w:rPr>
        <w:t xml:space="preserve">En esa tesitura, el artículo 24 en su último párrafo de la Ley de la Materia, dispone que los Sujetos Obligados </w:t>
      </w:r>
      <w:r>
        <w:rPr>
          <w:rFonts w:ascii="Palatino Linotype" w:eastAsia="Palatino Linotype" w:hAnsi="Palatino Linotype" w:cs="Palatino Linotype"/>
          <w:color w:val="000000"/>
        </w:rPr>
        <w:t xml:space="preserve">sólo proporcionarán la información pública que </w:t>
      </w:r>
      <w:r>
        <w:rPr>
          <w:rFonts w:ascii="Palatino Linotype" w:eastAsia="Palatino Linotype" w:hAnsi="Palatino Linotype" w:cs="Palatino Linotype"/>
        </w:rPr>
        <w:t>generen</w:t>
      </w:r>
      <w:r>
        <w:rPr>
          <w:rFonts w:ascii="Palatino Linotype" w:eastAsia="Palatino Linotype" w:hAnsi="Palatino Linotype" w:cs="Palatino Linotype"/>
          <w:color w:val="000000"/>
        </w:rPr>
        <w:t xml:space="preserve">, administren o posean en el ejercicio de sus atribuciones; por consiguiente, la </w:t>
      </w:r>
      <w:r>
        <w:rPr>
          <w:rFonts w:ascii="Palatino Linotype" w:eastAsia="Palatino Linotype" w:hAnsi="Palatino Linotype" w:cs="Palatino Linotype"/>
          <w:color w:val="000000"/>
        </w:rPr>
        <w:lastRenderedPageBreak/>
        <w:t xml:space="preserve">información pública se encuentra a disposición de cualquier persona, lo que implica que es deber de los Sujetos Obligados, garantizar el Derecho de Acceso a la Información Pública, circunstancia que aconteció en el presente asunto que se analiza.  </w:t>
      </w:r>
    </w:p>
    <w:p w14:paraId="330F5903" w14:textId="77777777" w:rsidR="001C39B3" w:rsidRDefault="001C39B3">
      <w:pPr>
        <w:spacing w:line="360" w:lineRule="auto"/>
        <w:jc w:val="both"/>
        <w:rPr>
          <w:rFonts w:ascii="Palatino Linotype" w:eastAsia="Palatino Linotype" w:hAnsi="Palatino Linotype" w:cs="Palatino Linotype"/>
          <w:color w:val="000000"/>
        </w:rPr>
      </w:pPr>
    </w:p>
    <w:p w14:paraId="6ED69869" w14:textId="77777777" w:rsidR="001C39B3" w:rsidRDefault="003D6FED">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39A1E98F" w14:textId="77777777" w:rsidR="001C39B3" w:rsidRDefault="001C39B3">
      <w:pPr>
        <w:spacing w:line="360" w:lineRule="auto"/>
        <w:ind w:right="49"/>
        <w:jc w:val="both"/>
        <w:rPr>
          <w:rFonts w:ascii="Palatino Linotype" w:eastAsia="Palatino Linotype" w:hAnsi="Palatino Linotype" w:cs="Palatino Linotype"/>
        </w:rPr>
      </w:pPr>
    </w:p>
    <w:p w14:paraId="1389DEB4" w14:textId="77777777" w:rsidR="001C39B3" w:rsidRDefault="003D6FE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2B316B5F" w14:textId="77777777" w:rsidR="001C39B3" w:rsidRDefault="001C39B3">
      <w:pPr>
        <w:ind w:left="851" w:right="899"/>
        <w:jc w:val="both"/>
        <w:rPr>
          <w:rFonts w:ascii="Palatino Linotype" w:eastAsia="Palatino Linotype" w:hAnsi="Palatino Linotype" w:cs="Palatino Linotype"/>
          <w:i/>
          <w:sz w:val="22"/>
          <w:szCs w:val="22"/>
        </w:rPr>
      </w:pPr>
    </w:p>
    <w:p w14:paraId="21F0D608" w14:textId="77777777" w:rsidR="001C39B3" w:rsidRDefault="003D6FED">
      <w:pPr>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 xml:space="preserve">Artículo 3. </w:t>
      </w:r>
      <w:r>
        <w:rPr>
          <w:rFonts w:ascii="Palatino Linotype" w:eastAsia="Palatino Linotype" w:hAnsi="Palatino Linotype" w:cs="Palatino Linotype"/>
          <w:i/>
          <w:sz w:val="22"/>
          <w:szCs w:val="22"/>
        </w:rPr>
        <w:t>Para los efectos de la presente Ley se entenderá por:</w:t>
      </w:r>
    </w:p>
    <w:p w14:paraId="2F4FC56D" w14:textId="77777777" w:rsidR="001C39B3" w:rsidRDefault="003D6FED">
      <w:pPr>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2255BC3E" w14:textId="77777777" w:rsidR="001C39B3" w:rsidRDefault="003D6FED">
      <w:pPr>
        <w:ind w:left="851" w:right="89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lastRenderedPageBreak/>
        <w:t>XI. Documento:</w:t>
      </w:r>
      <w:r>
        <w:rPr>
          <w:rFonts w:ascii="Palatino Linotype" w:eastAsia="Palatino Linotype" w:hAnsi="Palatino Linotype" w:cs="Palatino Linotype"/>
          <w:i/>
          <w:color w:val="000000"/>
          <w:sz w:val="22"/>
          <w:szCs w:val="22"/>
        </w:rPr>
        <w:t xml:space="preserve"> Los expedientes, reportes, estudios, actas</w:t>
      </w:r>
      <w:r>
        <w:rPr>
          <w:rFonts w:ascii="Palatino Linotype" w:eastAsia="Palatino Linotype" w:hAnsi="Palatino Linotype" w:cs="Palatino Linotype"/>
          <w:b/>
          <w:i/>
          <w:color w:val="000000"/>
          <w:sz w:val="22"/>
          <w:szCs w:val="22"/>
        </w:rPr>
        <w:t>,</w:t>
      </w:r>
      <w:r>
        <w:rPr>
          <w:rFonts w:ascii="Palatino Linotype" w:eastAsia="Palatino Linotype" w:hAnsi="Palatino Linotype" w:cs="Palatino Linotype"/>
          <w:i/>
          <w:color w:val="000000"/>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4E23619A" w14:textId="77777777" w:rsidR="001C39B3" w:rsidRDefault="001C39B3">
      <w:pPr>
        <w:ind w:left="851" w:right="899"/>
        <w:jc w:val="both"/>
        <w:rPr>
          <w:rFonts w:ascii="Palatino Linotype" w:eastAsia="Palatino Linotype" w:hAnsi="Palatino Linotype" w:cs="Palatino Linotype"/>
          <w:sz w:val="22"/>
          <w:szCs w:val="22"/>
        </w:rPr>
      </w:pPr>
    </w:p>
    <w:p w14:paraId="3E642AEF" w14:textId="77777777" w:rsidR="001C39B3" w:rsidRDefault="003D6FE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23CFF26F" w14:textId="77777777" w:rsidR="001C39B3" w:rsidRDefault="001C39B3">
      <w:pPr>
        <w:ind w:left="851" w:right="899"/>
        <w:jc w:val="both"/>
        <w:rPr>
          <w:rFonts w:ascii="Palatino Linotype" w:eastAsia="Palatino Linotype" w:hAnsi="Palatino Linotype" w:cs="Palatino Linotype"/>
        </w:rPr>
      </w:pPr>
    </w:p>
    <w:p w14:paraId="7B945D78" w14:textId="77777777" w:rsidR="001C39B3" w:rsidRDefault="003D6FED">
      <w:pPr>
        <w:ind w:left="851" w:right="899"/>
        <w:jc w:val="both"/>
        <w:rPr>
          <w:rFonts w:ascii="Palatino Linotype" w:eastAsia="Palatino Linotype" w:hAnsi="Palatino Linotype" w:cs="Palatino Linotype"/>
          <w:b/>
          <w:i/>
          <w:sz w:val="22"/>
          <w:szCs w:val="22"/>
        </w:rPr>
      </w:pPr>
      <w:r>
        <w:rPr>
          <w:rFonts w:ascii="Palatino Linotype" w:eastAsia="Palatino Linotype" w:hAnsi="Palatino Linotype" w:cs="Palatino Linotype"/>
          <w:b/>
          <w:sz w:val="22"/>
          <w:szCs w:val="22"/>
        </w:rPr>
        <w:t>“</w:t>
      </w:r>
      <w:r>
        <w:rPr>
          <w:rFonts w:ascii="Palatino Linotype" w:eastAsia="Palatino Linotype" w:hAnsi="Palatino Linotype" w:cs="Palatino Linotype"/>
          <w:b/>
          <w:i/>
          <w:sz w:val="22"/>
          <w:szCs w:val="22"/>
        </w:rPr>
        <w:t>CRITERIO 0002-11</w:t>
      </w:r>
    </w:p>
    <w:p w14:paraId="05D2B9EF" w14:textId="77777777" w:rsidR="001C39B3" w:rsidRDefault="003D6FED">
      <w:pPr>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033CA8A" w14:textId="77777777" w:rsidR="001C39B3" w:rsidRDefault="003D6FED">
      <w:pPr>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En </w:t>
      </w:r>
      <w:proofErr w:type="gramStart"/>
      <w:r>
        <w:rPr>
          <w:rFonts w:ascii="Palatino Linotype" w:eastAsia="Palatino Linotype" w:hAnsi="Palatino Linotype" w:cs="Palatino Linotype"/>
          <w:i/>
          <w:sz w:val="22"/>
          <w:szCs w:val="22"/>
        </w:rPr>
        <w:t>consecuencia</w:t>
      </w:r>
      <w:proofErr w:type="gramEnd"/>
      <w:r>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5DEDB2E6" w14:textId="77777777" w:rsidR="001C39B3" w:rsidRDefault="003D6FED">
      <w:pPr>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1) Que se trate de información registrada en cualquier soporte documental, </w:t>
      </w:r>
      <w:proofErr w:type="gramStart"/>
      <w:r>
        <w:rPr>
          <w:rFonts w:ascii="Palatino Linotype" w:eastAsia="Palatino Linotype" w:hAnsi="Palatino Linotype" w:cs="Palatino Linotype"/>
          <w:i/>
          <w:sz w:val="22"/>
          <w:szCs w:val="22"/>
        </w:rPr>
        <w:t>que</w:t>
      </w:r>
      <w:proofErr w:type="gramEnd"/>
      <w:r>
        <w:rPr>
          <w:rFonts w:ascii="Palatino Linotype" w:eastAsia="Palatino Linotype" w:hAnsi="Palatino Linotype" w:cs="Palatino Linotype"/>
          <w:i/>
          <w:sz w:val="22"/>
          <w:szCs w:val="22"/>
        </w:rPr>
        <w:t xml:space="preserve"> en ejercicio de las atribuciones conferidas, sea generada por los Sujetos Obligados;</w:t>
      </w:r>
    </w:p>
    <w:p w14:paraId="02F50630" w14:textId="77777777" w:rsidR="001C39B3" w:rsidRDefault="003D6FED">
      <w:pPr>
        <w:ind w:left="851" w:right="899"/>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2) Que se trate de información registrada en cualquier soporte documental, </w:t>
      </w:r>
      <w:proofErr w:type="gramStart"/>
      <w:r>
        <w:rPr>
          <w:rFonts w:ascii="Palatino Linotype" w:eastAsia="Palatino Linotype" w:hAnsi="Palatino Linotype" w:cs="Palatino Linotype"/>
          <w:b/>
          <w:i/>
          <w:sz w:val="22"/>
          <w:szCs w:val="22"/>
        </w:rPr>
        <w:t>que</w:t>
      </w:r>
      <w:proofErr w:type="gramEnd"/>
      <w:r>
        <w:rPr>
          <w:rFonts w:ascii="Palatino Linotype" w:eastAsia="Palatino Linotype" w:hAnsi="Palatino Linotype" w:cs="Palatino Linotype"/>
          <w:b/>
          <w:i/>
          <w:sz w:val="22"/>
          <w:szCs w:val="22"/>
        </w:rPr>
        <w:t xml:space="preserve"> en ejercicio de las atribuciones conferidas, sea administrada por los Sujetos Obligados, y</w:t>
      </w:r>
    </w:p>
    <w:p w14:paraId="0CFB1F21" w14:textId="77777777" w:rsidR="001C39B3" w:rsidRDefault="003D6FED">
      <w:pPr>
        <w:ind w:left="851" w:right="899"/>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3) Que se trate de información registrada en cualquier soporte documental, que en ejercicio de las atribuciones conferidas, se encuentre en posesión de los Sujetos Obligados</w:t>
      </w:r>
      <w:proofErr w:type="gramStart"/>
      <w:r>
        <w:rPr>
          <w:rFonts w:ascii="Palatino Linotype" w:eastAsia="Palatino Linotype" w:hAnsi="Palatino Linotype" w:cs="Palatino Linotype"/>
          <w:b/>
          <w:i/>
          <w:sz w:val="22"/>
          <w:szCs w:val="22"/>
        </w:rPr>
        <w:t>.”(</w:t>
      </w:r>
      <w:proofErr w:type="gramEnd"/>
      <w:r>
        <w:rPr>
          <w:rFonts w:ascii="Palatino Linotype" w:eastAsia="Palatino Linotype" w:hAnsi="Palatino Linotype" w:cs="Palatino Linotype"/>
          <w:b/>
          <w:i/>
          <w:sz w:val="22"/>
          <w:szCs w:val="22"/>
        </w:rPr>
        <w:t>Sic)</w:t>
      </w:r>
    </w:p>
    <w:p w14:paraId="18E5F79B" w14:textId="77777777" w:rsidR="001C39B3" w:rsidRDefault="003D6FED">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Ahora bien, del análisis de la solicitud de información pública que motivó el recurso de revisión que ahora se resuelve, se advierte que el particular requirió al Ayuntamiento de Capulhuac, lo siguiente:</w:t>
      </w:r>
    </w:p>
    <w:p w14:paraId="4958ABC6" w14:textId="77777777" w:rsidR="001C39B3" w:rsidRDefault="003D6FED">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En formato XLS compatible con Excel:</w:t>
      </w:r>
    </w:p>
    <w:p w14:paraId="69C2978B" w14:textId="77777777" w:rsidR="001C39B3" w:rsidRDefault="003D6FED">
      <w:pPr>
        <w:numPr>
          <w:ilvl w:val="0"/>
          <w:numId w:val="3"/>
        </w:num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La base de datos del padrón actualizado de licencias otorgadas para la operación de establecimientos en los que se vende o consumen bebidas alcohólicas; así como, su giro o modalidad, dirección de los establecimientos, los nombres y/o razones sociales de los titulares, y el hipervínculo del documento en el que obre cada una de las licencias.</w:t>
      </w:r>
    </w:p>
    <w:p w14:paraId="693C9219" w14:textId="77777777" w:rsidR="001C39B3" w:rsidRDefault="003D6FED">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En respuesta,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a través de su Coordinación General Municipal de Mejora Regulatoria del Ayuntamiento de Capulhuac, informó que no genera formatos XLS compatible con Excel, no maneja base de datos de padrones actualizados de licencias para la operaciones de establecimientos en las que se venden o consumen bebidas alcohólicas, no maneja base de datos con</w:t>
      </w:r>
      <w:r>
        <w:rPr>
          <w:rFonts w:ascii="Verdana" w:eastAsia="Verdana" w:hAnsi="Verdana" w:cs="Verdana"/>
          <w:color w:val="000000"/>
          <w:sz w:val="14"/>
          <w:szCs w:val="14"/>
        </w:rPr>
        <w:t xml:space="preserve"> </w:t>
      </w:r>
      <w:r>
        <w:rPr>
          <w:rFonts w:ascii="Palatino Linotype" w:eastAsia="Palatino Linotype" w:hAnsi="Palatino Linotype" w:cs="Palatino Linotype"/>
        </w:rPr>
        <w:t xml:space="preserve">direcciones de los establecimientos, nombres y/o razones sociales de los titulares, ni hipervínculos del documento en el que obre dichas licencias, en razón de que las actividades de la Coordinación son totalmente diferentes a las solicitadas.   </w:t>
      </w:r>
    </w:p>
    <w:p w14:paraId="53BDCAC8" w14:textId="77777777" w:rsidR="001C39B3" w:rsidRDefault="003D6FED">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La parte </w:t>
      </w:r>
      <w:r>
        <w:rPr>
          <w:rFonts w:ascii="Palatino Linotype" w:eastAsia="Palatino Linotype" w:hAnsi="Palatino Linotype" w:cs="Palatino Linotype"/>
          <w:b/>
        </w:rPr>
        <w:t>RECURRENTE</w:t>
      </w:r>
      <w:r>
        <w:rPr>
          <w:rFonts w:ascii="Palatino Linotype" w:eastAsia="Palatino Linotype" w:hAnsi="Palatino Linotype" w:cs="Palatino Linotype"/>
        </w:rPr>
        <w:t>, al presentar el recurso de revisión que nos ocupa, se inconformó en lo medular por la negativa de la información solicitada</w:t>
      </w:r>
    </w:p>
    <w:p w14:paraId="3319449B" w14:textId="77777777" w:rsidR="001C39B3" w:rsidRDefault="003D6FED">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Ante la interposición del recurso de revisión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rindió su informe justificado, a través del cual en lo medular ratificó su respuesta primigenia. </w:t>
      </w:r>
    </w:p>
    <w:p w14:paraId="6B69C200" w14:textId="77777777" w:rsidR="001C39B3" w:rsidRDefault="003D6FE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lastRenderedPageBreak/>
        <w:t>Con base en lo precedente</w:t>
      </w:r>
      <w:r>
        <w:rPr>
          <w:rFonts w:ascii="Palatino Linotype" w:eastAsia="Palatino Linotype" w:hAnsi="Palatino Linotype" w:cs="Palatino Linotype"/>
        </w:rPr>
        <w:t xml:space="preserve">, se determina que la información proporcionada por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en su respuesta, no cumple con lo establecido por los artículos 4, 12 y 24 último párrafo de la Ley de Transparencia y Acceso a la Información Pública del Estado de México y Municipios; por ello, los motivos de inconformidad acontecen fundados para revocar la respuesta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en razón de las consideraciones de derecho que a continuación se exponen:</w:t>
      </w:r>
    </w:p>
    <w:p w14:paraId="53447615" w14:textId="77777777" w:rsidR="001C39B3" w:rsidRDefault="001C39B3">
      <w:pPr>
        <w:spacing w:line="360" w:lineRule="auto"/>
        <w:jc w:val="both"/>
        <w:rPr>
          <w:rFonts w:ascii="Palatino Linotype" w:eastAsia="Palatino Linotype" w:hAnsi="Palatino Linotype" w:cs="Palatino Linotype"/>
        </w:rPr>
      </w:pPr>
    </w:p>
    <w:p w14:paraId="0472D5AE" w14:textId="77777777" w:rsidR="001C39B3" w:rsidRDefault="003D6FE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Antes del estudio de fondo, se debe precisar que si bien es cierto que la parte</w:t>
      </w:r>
      <w:r>
        <w:rPr>
          <w:rFonts w:ascii="Palatino Linotype" w:eastAsia="Palatino Linotype" w:hAnsi="Palatino Linotype" w:cs="Palatino Linotype"/>
          <w:b/>
        </w:rPr>
        <w:t xml:space="preserve"> RECURRENTE</w:t>
      </w:r>
      <w:r>
        <w:rPr>
          <w:rFonts w:ascii="Palatino Linotype" w:eastAsia="Palatino Linotype" w:hAnsi="Palatino Linotype" w:cs="Palatino Linotype"/>
        </w:rPr>
        <w:t xml:space="preserve"> no señaló de manera precisa la temporalidad de la información que requiere, lo cierto es que, de la solicitud se advierte que el particular requiere la entrega del padrón actualizado y las licencias que correspondan con dicho padrón; por lo que, se advierte que solicita la información vigente a la fecha de la solicitud, esto es, al diez de junio de dos mil veinticuatro. </w:t>
      </w:r>
    </w:p>
    <w:p w14:paraId="447C23B7" w14:textId="77777777" w:rsidR="001C39B3" w:rsidRDefault="001C39B3">
      <w:pPr>
        <w:spacing w:line="360" w:lineRule="auto"/>
        <w:jc w:val="both"/>
        <w:rPr>
          <w:rFonts w:ascii="Palatino Linotype" w:eastAsia="Palatino Linotype" w:hAnsi="Palatino Linotype" w:cs="Palatino Linotype"/>
        </w:rPr>
      </w:pPr>
    </w:p>
    <w:p w14:paraId="69730376" w14:textId="77777777" w:rsidR="001C39B3" w:rsidRDefault="003D6FE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Ahora bien, sobre la naturaleza de la información solicitada, conviene señalar que de conformidad con el artículo 31 de la Ley Orgánica Municipal del Estado de México, los ayuntamientos cuentan con atribuciones para otorgar licencia de funcionamiento, previa presentación del Dictamen de Giro, a las unidades económicas que tengan como actividad complementaria o principal la venta de bebidas alcohólicas; además, dicha licencia tendrá una vigencia de cinco años y deberá ser refrendada de manera anual, con independencia de que puedan ser sujetos de visitas de verificación para constatar el cumplimiento de las disposiciones jurídicas aplicables.</w:t>
      </w:r>
    </w:p>
    <w:p w14:paraId="7C58B9DA" w14:textId="77777777" w:rsidR="001C39B3" w:rsidRDefault="001C39B3">
      <w:pPr>
        <w:spacing w:line="360" w:lineRule="auto"/>
        <w:jc w:val="both"/>
        <w:rPr>
          <w:rFonts w:ascii="Palatino Linotype" w:eastAsia="Palatino Linotype" w:hAnsi="Palatino Linotype" w:cs="Palatino Linotype"/>
        </w:rPr>
      </w:pPr>
    </w:p>
    <w:p w14:paraId="72DEE74A" w14:textId="77777777" w:rsidR="001C39B3" w:rsidRDefault="003D6FE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Aunado a lo anterior, el Código Financiero del Estado de México establece en su artículo 159 </w:t>
      </w:r>
      <w:r>
        <w:rPr>
          <w:rFonts w:ascii="Palatino Linotype" w:eastAsia="Palatino Linotype" w:hAnsi="Palatino Linotype" w:cs="Palatino Linotype"/>
          <w:i/>
        </w:rPr>
        <w:t>“Los derechos por la expedición o refrendo anual de licencias para la venta de bebidas alcohólicas al público”</w:t>
      </w:r>
      <w:r>
        <w:rPr>
          <w:rFonts w:ascii="Palatino Linotype" w:eastAsia="Palatino Linotype" w:hAnsi="Palatino Linotype" w:cs="Palatino Linotype"/>
        </w:rPr>
        <w:t xml:space="preserve">, </w:t>
      </w:r>
      <w:proofErr w:type="gramStart"/>
      <w:r>
        <w:rPr>
          <w:rFonts w:ascii="Palatino Linotype" w:eastAsia="Palatino Linotype" w:hAnsi="Palatino Linotype" w:cs="Palatino Linotype"/>
        </w:rPr>
        <w:t>que</w:t>
      </w:r>
      <w:proofErr w:type="gramEnd"/>
      <w:r>
        <w:rPr>
          <w:rFonts w:ascii="Palatino Linotype" w:eastAsia="Palatino Linotype" w:hAnsi="Palatino Linotype" w:cs="Palatino Linotype"/>
        </w:rPr>
        <w:t xml:space="preserve"> por la expedición o refrendo de licencias para vender bebidas alcohólicas al público en botella cerrada, o al copeo en general, en establecimientos comerciales, de servicios o de diversión y espectáculos públicos, se pagarán derechos conforme la tarifa que establece.</w:t>
      </w:r>
    </w:p>
    <w:p w14:paraId="6C5BEEE7" w14:textId="77777777" w:rsidR="001C39B3" w:rsidRDefault="001C39B3">
      <w:pPr>
        <w:spacing w:line="360" w:lineRule="auto"/>
        <w:jc w:val="both"/>
        <w:rPr>
          <w:rFonts w:ascii="Palatino Linotype" w:eastAsia="Palatino Linotype" w:hAnsi="Palatino Linotype" w:cs="Palatino Linotype"/>
        </w:rPr>
      </w:pPr>
    </w:p>
    <w:p w14:paraId="1DE8F8D9" w14:textId="77777777" w:rsidR="001C39B3" w:rsidRDefault="003D6FE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su parte, la Ley de Competitividad y Ordenamiento Comercial del Estado de México, define a la licencia de funcionamiento en términos del artículo 2 fracciones I y XV respectivamente, como el acto administrativo que emite la autoridad, por el cual autoriza a una persona física o jurídica colectiva a desarrollar actividades económicas; mientras que una actividad económica, es el conjunto de acciones y recursos que emplean las unidades económicas para producir bienes o proporcionar servicios. </w:t>
      </w:r>
    </w:p>
    <w:p w14:paraId="0D9F6A16" w14:textId="77777777" w:rsidR="001C39B3" w:rsidRDefault="001C39B3">
      <w:pPr>
        <w:spacing w:line="360" w:lineRule="auto"/>
        <w:jc w:val="both"/>
        <w:rPr>
          <w:rFonts w:ascii="Palatino Linotype" w:eastAsia="Palatino Linotype" w:hAnsi="Palatino Linotype" w:cs="Palatino Linotype"/>
        </w:rPr>
      </w:pPr>
    </w:p>
    <w:p w14:paraId="37B58BE2" w14:textId="77777777" w:rsidR="001C39B3" w:rsidRDefault="003D6FE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Asimismo, el artículo 7 del mismo ordenamiento, señala que a los municipios les corresponde crear, operar, digitalizar y mantener actualizado semanalmente el registro municipal a través de la Dirección de Desarrollo Económico, tal y como se muestra a continuación: </w:t>
      </w:r>
    </w:p>
    <w:p w14:paraId="4AC4384A" w14:textId="77777777" w:rsidR="001C39B3" w:rsidRDefault="001C39B3">
      <w:pPr>
        <w:spacing w:line="360" w:lineRule="auto"/>
        <w:jc w:val="both"/>
        <w:rPr>
          <w:rFonts w:ascii="Palatino Linotype" w:eastAsia="Palatino Linotype" w:hAnsi="Palatino Linotype" w:cs="Palatino Linotype"/>
          <w:sz w:val="22"/>
          <w:szCs w:val="22"/>
        </w:rPr>
      </w:pPr>
    </w:p>
    <w:p w14:paraId="64B04AE5" w14:textId="77777777" w:rsidR="001C39B3" w:rsidRDefault="003D6FED">
      <w:pP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7.</w:t>
      </w:r>
      <w:r>
        <w:rPr>
          <w:rFonts w:ascii="Palatino Linotype" w:eastAsia="Palatino Linotype" w:hAnsi="Palatino Linotype" w:cs="Palatino Linotype"/>
          <w:i/>
          <w:sz w:val="22"/>
          <w:szCs w:val="22"/>
        </w:rPr>
        <w:t xml:space="preserve"> Corresponde a los municipios:</w:t>
      </w:r>
    </w:p>
    <w:p w14:paraId="5A360F21" w14:textId="77777777" w:rsidR="001C39B3" w:rsidRDefault="003D6FED">
      <w:pP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 </w:t>
      </w:r>
      <w:r>
        <w:rPr>
          <w:rFonts w:ascii="Palatino Linotype" w:eastAsia="Palatino Linotype" w:hAnsi="Palatino Linotype" w:cs="Palatino Linotype"/>
          <w:b/>
          <w:i/>
          <w:sz w:val="22"/>
          <w:szCs w:val="22"/>
          <w:u w:val="single"/>
        </w:rPr>
        <w:t>Crear el registro municipal</w:t>
      </w:r>
      <w:r>
        <w:rPr>
          <w:rFonts w:ascii="Palatino Linotype" w:eastAsia="Palatino Linotype" w:hAnsi="Palatino Linotype" w:cs="Palatino Linotype"/>
          <w:i/>
          <w:sz w:val="22"/>
          <w:szCs w:val="22"/>
        </w:rPr>
        <w:t>, donde se especifica la licencia de funcionamiento con la actividad de la unidad económica e impacto que generen, así como las demás características que se determinen.</w:t>
      </w:r>
    </w:p>
    <w:p w14:paraId="66EF39F4" w14:textId="77777777" w:rsidR="001C39B3" w:rsidRDefault="003D6FED">
      <w:pP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w:t>
      </w:r>
    </w:p>
    <w:p w14:paraId="028F4519" w14:textId="77777777" w:rsidR="001C39B3" w:rsidRDefault="003D6FED">
      <w:pP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 xml:space="preserve">III. Operar, digitalizar y </w:t>
      </w:r>
      <w:r>
        <w:rPr>
          <w:rFonts w:ascii="Palatino Linotype" w:eastAsia="Palatino Linotype" w:hAnsi="Palatino Linotype" w:cs="Palatino Linotype"/>
          <w:b/>
          <w:i/>
          <w:sz w:val="22"/>
          <w:szCs w:val="22"/>
          <w:u w:val="single"/>
        </w:rPr>
        <w:t>mantener, semanalmente actualizado, el registro municipal, a través de la Dirección de Desarrollo Económico o su equivalente,</w:t>
      </w:r>
      <w:r>
        <w:rPr>
          <w:rFonts w:ascii="Palatino Linotype" w:eastAsia="Palatino Linotype" w:hAnsi="Palatino Linotype" w:cs="Palatino Linotype"/>
          <w:i/>
          <w:sz w:val="22"/>
          <w:szCs w:val="22"/>
        </w:rPr>
        <w:t xml:space="preserve"> que opere en su demarcación, el cual deberá publicarse en el portal de Internet del municipio.</w:t>
      </w:r>
    </w:p>
    <w:p w14:paraId="4D5A826F" w14:textId="77777777" w:rsidR="001C39B3" w:rsidRDefault="003D6FED">
      <w:pPr>
        <w:spacing w:line="276" w:lineRule="auto"/>
        <w:ind w:left="851" w:right="616"/>
        <w:jc w:val="both"/>
        <w:rPr>
          <w:rFonts w:ascii="Palatino Linotype" w:eastAsia="Palatino Linotype" w:hAnsi="Palatino Linotype" w:cs="Palatino Linotype"/>
          <w:b/>
          <w:i/>
          <w:sz w:val="22"/>
          <w:szCs w:val="22"/>
          <w:u w:val="single"/>
        </w:rPr>
      </w:pPr>
      <w:r>
        <w:rPr>
          <w:rFonts w:ascii="Palatino Linotype" w:eastAsia="Palatino Linotype" w:hAnsi="Palatino Linotype" w:cs="Palatino Linotype"/>
          <w:i/>
          <w:sz w:val="22"/>
          <w:szCs w:val="22"/>
        </w:rPr>
        <w:t xml:space="preserve">IV. </w:t>
      </w:r>
      <w:r>
        <w:rPr>
          <w:rFonts w:ascii="Palatino Linotype" w:eastAsia="Palatino Linotype" w:hAnsi="Palatino Linotype" w:cs="Palatino Linotype"/>
          <w:b/>
          <w:i/>
          <w:sz w:val="22"/>
          <w:szCs w:val="22"/>
          <w:u w:val="single"/>
        </w:rPr>
        <w:t>Enviar, dentro de los cinco días hábiles siguientes de cada mes calendario la actualización de su registro municipal, el informe correspondiente a las autoridades estatales, para actualizar el registro estatal.</w:t>
      </w:r>
    </w:p>
    <w:p w14:paraId="244AB891" w14:textId="77777777" w:rsidR="001C39B3" w:rsidRDefault="003D6FED">
      <w:pPr>
        <w:spacing w:line="276" w:lineRule="auto"/>
        <w:ind w:left="851"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V. Resguardar y actualizar el archivo físico y digital con los documentos requeridos por las leyes para la expedición y refrendo de las licencias correspondientes</w:t>
      </w:r>
    </w:p>
    <w:p w14:paraId="61974DCB" w14:textId="77777777" w:rsidR="001C39B3" w:rsidRDefault="003D6FED">
      <w:pP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 a X…”</w:t>
      </w:r>
    </w:p>
    <w:p w14:paraId="04904AA7" w14:textId="77777777" w:rsidR="001C39B3" w:rsidRDefault="001C39B3">
      <w:pPr>
        <w:spacing w:line="360" w:lineRule="auto"/>
        <w:ind w:right="539"/>
        <w:jc w:val="both"/>
        <w:rPr>
          <w:rFonts w:ascii="Palatino Linotype" w:eastAsia="Palatino Linotype" w:hAnsi="Palatino Linotype" w:cs="Palatino Linotype"/>
          <w:sz w:val="22"/>
          <w:szCs w:val="22"/>
        </w:rPr>
      </w:pPr>
    </w:p>
    <w:p w14:paraId="2E8C9D58" w14:textId="77777777" w:rsidR="001C39B3" w:rsidRDefault="003D6FED">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Bajo esa misma premisa, en su artículo 10 refiere que los registros tienen como finalidad crear una base de datos confiable, actualizada e integrada de las unidades económicas que se </w:t>
      </w:r>
      <w:proofErr w:type="spellStart"/>
      <w:r>
        <w:rPr>
          <w:rFonts w:ascii="Palatino Linotype" w:eastAsia="Palatino Linotype" w:hAnsi="Palatino Linotype" w:cs="Palatino Linotype"/>
        </w:rPr>
        <w:t>aperturen</w:t>
      </w:r>
      <w:proofErr w:type="spellEnd"/>
      <w:r>
        <w:rPr>
          <w:rFonts w:ascii="Palatino Linotype" w:eastAsia="Palatino Linotype" w:hAnsi="Palatino Linotype" w:cs="Palatino Linotype"/>
        </w:rPr>
        <w:t xml:space="preserve">, mismos que contendrán por lo menos los siguientes datos: </w:t>
      </w:r>
    </w:p>
    <w:p w14:paraId="637D070B" w14:textId="77777777" w:rsidR="001C39B3" w:rsidRDefault="001C39B3">
      <w:pPr>
        <w:spacing w:line="360" w:lineRule="auto"/>
        <w:ind w:right="49"/>
        <w:jc w:val="both"/>
        <w:rPr>
          <w:rFonts w:ascii="Palatino Linotype" w:eastAsia="Palatino Linotype" w:hAnsi="Palatino Linotype" w:cs="Palatino Linotype"/>
          <w:sz w:val="22"/>
          <w:szCs w:val="22"/>
        </w:rPr>
      </w:pPr>
    </w:p>
    <w:p w14:paraId="4E84152D" w14:textId="77777777" w:rsidR="001C39B3" w:rsidRDefault="003D6FED">
      <w:pP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sz w:val="22"/>
          <w:szCs w:val="22"/>
        </w:rPr>
        <w:t>“</w:t>
      </w:r>
      <w:r>
        <w:rPr>
          <w:rFonts w:ascii="Palatino Linotype" w:eastAsia="Palatino Linotype" w:hAnsi="Palatino Linotype" w:cs="Palatino Linotype"/>
          <w:b/>
          <w:i/>
          <w:sz w:val="22"/>
          <w:szCs w:val="22"/>
        </w:rPr>
        <w:t>Artículo 10</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 xml:space="preserve">Los registros tienen como finalidad </w:t>
      </w:r>
      <w:r>
        <w:rPr>
          <w:rFonts w:ascii="Palatino Linotype" w:eastAsia="Palatino Linotype" w:hAnsi="Palatino Linotype" w:cs="Palatino Linotype"/>
          <w:b/>
          <w:i/>
          <w:sz w:val="22"/>
          <w:szCs w:val="22"/>
          <w:u w:val="single"/>
        </w:rPr>
        <w:t>crear una base de datos confiable</w:t>
      </w:r>
      <w:r>
        <w:rPr>
          <w:rFonts w:ascii="Palatino Linotype" w:eastAsia="Palatino Linotype" w:hAnsi="Palatino Linotype" w:cs="Palatino Linotype"/>
          <w:b/>
          <w:i/>
          <w:sz w:val="22"/>
          <w:szCs w:val="22"/>
        </w:rPr>
        <w:t xml:space="preserve">, </w:t>
      </w:r>
      <w:r>
        <w:rPr>
          <w:rFonts w:ascii="Palatino Linotype" w:eastAsia="Palatino Linotype" w:hAnsi="Palatino Linotype" w:cs="Palatino Linotype"/>
          <w:i/>
          <w:sz w:val="22"/>
          <w:szCs w:val="22"/>
        </w:rPr>
        <w:t xml:space="preserve">actualizada e integrada a nivel estatal y municipal de las unidades económicas que se </w:t>
      </w:r>
      <w:proofErr w:type="spellStart"/>
      <w:r>
        <w:rPr>
          <w:rFonts w:ascii="Palatino Linotype" w:eastAsia="Palatino Linotype" w:hAnsi="Palatino Linotype" w:cs="Palatino Linotype"/>
          <w:i/>
          <w:sz w:val="22"/>
          <w:szCs w:val="22"/>
        </w:rPr>
        <w:t>aperturen</w:t>
      </w:r>
      <w:proofErr w:type="spellEnd"/>
      <w:r>
        <w:rPr>
          <w:rFonts w:ascii="Palatino Linotype" w:eastAsia="Palatino Linotype" w:hAnsi="Palatino Linotype" w:cs="Palatino Linotype"/>
          <w:i/>
          <w:sz w:val="22"/>
          <w:szCs w:val="22"/>
        </w:rPr>
        <w:t xml:space="preserve"> en el territorio de la Entidad.</w:t>
      </w:r>
    </w:p>
    <w:p w14:paraId="3C2D3391" w14:textId="77777777" w:rsidR="001C39B3" w:rsidRDefault="001C39B3">
      <w:pPr>
        <w:spacing w:line="276" w:lineRule="auto"/>
        <w:ind w:left="851" w:right="616"/>
        <w:jc w:val="both"/>
        <w:rPr>
          <w:rFonts w:ascii="Palatino Linotype" w:eastAsia="Palatino Linotype" w:hAnsi="Palatino Linotype" w:cs="Palatino Linotype"/>
          <w:i/>
          <w:sz w:val="22"/>
          <w:szCs w:val="22"/>
        </w:rPr>
      </w:pPr>
    </w:p>
    <w:p w14:paraId="2D2021CF" w14:textId="77777777" w:rsidR="001C39B3" w:rsidRDefault="003D6FED">
      <w:pP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11.</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u w:val="single"/>
        </w:rPr>
        <w:t>El registro incluirá al menos los datos siguientes</w:t>
      </w:r>
      <w:r>
        <w:rPr>
          <w:rFonts w:ascii="Palatino Linotype" w:eastAsia="Palatino Linotype" w:hAnsi="Palatino Linotype" w:cs="Palatino Linotype"/>
          <w:i/>
          <w:sz w:val="22"/>
          <w:szCs w:val="22"/>
        </w:rPr>
        <w:t>:</w:t>
      </w:r>
    </w:p>
    <w:p w14:paraId="44BDDDC3" w14:textId="77777777" w:rsidR="001C39B3" w:rsidRDefault="003D6FED">
      <w:pP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 Clave única, que se integrará de una serie alfanumérica.</w:t>
      </w:r>
    </w:p>
    <w:p w14:paraId="42F15A55" w14:textId="77777777" w:rsidR="001C39B3" w:rsidRDefault="003D6FED">
      <w:pP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Nombre del municipio.</w:t>
      </w:r>
    </w:p>
    <w:p w14:paraId="40233636" w14:textId="77777777" w:rsidR="001C39B3" w:rsidRDefault="003D6FED">
      <w:pPr>
        <w:spacing w:line="276" w:lineRule="auto"/>
        <w:ind w:left="851"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III. Nombre del titular.</w:t>
      </w:r>
    </w:p>
    <w:p w14:paraId="21E38C76" w14:textId="77777777" w:rsidR="001C39B3" w:rsidRDefault="003D6FED">
      <w:pPr>
        <w:spacing w:line="276" w:lineRule="auto"/>
        <w:ind w:left="851"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IV. Actividad económica.</w:t>
      </w:r>
    </w:p>
    <w:p w14:paraId="3190525A" w14:textId="77777777" w:rsidR="001C39B3" w:rsidRDefault="003D6FED">
      <w:pP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 Fecha de inicio de actividades.</w:t>
      </w:r>
    </w:p>
    <w:p w14:paraId="08B4051D" w14:textId="77777777" w:rsidR="001C39B3" w:rsidRDefault="003D6FED">
      <w:pP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 Tipo de impacto.</w:t>
      </w:r>
    </w:p>
    <w:p w14:paraId="7D34E8C5" w14:textId="77777777" w:rsidR="001C39B3" w:rsidRDefault="003D6FED">
      <w:pPr>
        <w:spacing w:line="276" w:lineRule="auto"/>
        <w:ind w:left="851"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VII. Domicilio de la unidad económica.</w:t>
      </w:r>
    </w:p>
    <w:p w14:paraId="71D2D974" w14:textId="77777777" w:rsidR="001C39B3" w:rsidRDefault="003D6FED">
      <w:pP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VIII. Visitas y procedimientos de verificación en su caso.</w:t>
      </w:r>
    </w:p>
    <w:p w14:paraId="40ED3C23" w14:textId="77777777" w:rsidR="001C39B3" w:rsidRDefault="003D6FED">
      <w:pP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IX. Sanciones en su caso.</w:t>
      </w:r>
    </w:p>
    <w:p w14:paraId="6828F470" w14:textId="77777777" w:rsidR="001C39B3" w:rsidRDefault="003D6FED">
      <w:pP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 Las demás que le confieran esta Ley y otras disposiciones aplicables.”</w:t>
      </w:r>
    </w:p>
    <w:p w14:paraId="063651D8" w14:textId="77777777" w:rsidR="001C39B3" w:rsidRDefault="001C39B3">
      <w:pPr>
        <w:spacing w:line="360" w:lineRule="auto"/>
        <w:jc w:val="both"/>
        <w:rPr>
          <w:rFonts w:ascii="Palatino Linotype" w:eastAsia="Palatino Linotype" w:hAnsi="Palatino Linotype" w:cs="Palatino Linotype"/>
          <w:sz w:val="22"/>
          <w:szCs w:val="22"/>
        </w:rPr>
      </w:pPr>
    </w:p>
    <w:p w14:paraId="6CEE872F" w14:textId="77777777" w:rsidR="001C39B3" w:rsidRDefault="003D6FE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Además, sobre las unidades económicas dedicadas a la venta y/o distribución de bebidas alcohólicas el artículo 70 señala que la Dirección de Desarrollo Económico o unidad administrativa equivalente en el municipio creará y actualizará el registro de las unidades económicas que cuenten con el Dictamen de Giro, para la solicitud o refrendo de licencias de funcionamiento.</w:t>
      </w:r>
    </w:p>
    <w:p w14:paraId="15C50D5D" w14:textId="77777777" w:rsidR="001C39B3" w:rsidRDefault="001C39B3">
      <w:pPr>
        <w:spacing w:line="360" w:lineRule="auto"/>
        <w:jc w:val="both"/>
        <w:rPr>
          <w:rFonts w:ascii="Palatino Linotype" w:eastAsia="Palatino Linotype" w:hAnsi="Palatino Linotype" w:cs="Palatino Linotype"/>
        </w:rPr>
      </w:pPr>
    </w:p>
    <w:p w14:paraId="439E62DB" w14:textId="77777777" w:rsidR="001C39B3" w:rsidRDefault="003D6FE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la normatividad citada, se desprende que corresponde al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crear el registro municipal en donde se especifique el número de las licencias de funcionamiento con la actividad económica que realicen los particulares en las que se les denomina como unidades económicas al lugar en donde realicen sus actividades y para ello los solicitantes deben cubrir ciertos requisitos que contiene los datos requeridos por el Particular. </w:t>
      </w:r>
    </w:p>
    <w:p w14:paraId="2E433CA2" w14:textId="77777777" w:rsidR="001C39B3" w:rsidRDefault="001C39B3">
      <w:pPr>
        <w:spacing w:line="360" w:lineRule="auto"/>
        <w:jc w:val="both"/>
        <w:rPr>
          <w:rFonts w:ascii="Palatino Linotype" w:eastAsia="Palatino Linotype" w:hAnsi="Palatino Linotype" w:cs="Palatino Linotype"/>
        </w:rPr>
      </w:pPr>
    </w:p>
    <w:p w14:paraId="6479DADB" w14:textId="77777777" w:rsidR="001C39B3" w:rsidRDefault="003D6FE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Conjuntamente, sobre las licencias, se debe indicar que no sólo se trata de información pública, sino además que corresponde a las obligaciones de transparencia, de acuerdo a lo señalado en el artículo 92, fracción XXXII, de la Ley de Transparencia y Acceso a la Información Pública del Estado de México y Municipios, que se transcribe a continuación:</w:t>
      </w:r>
    </w:p>
    <w:p w14:paraId="31CDF2C1" w14:textId="77777777" w:rsidR="001C39B3" w:rsidRDefault="001C39B3">
      <w:pPr>
        <w:spacing w:line="360" w:lineRule="auto"/>
        <w:ind w:right="-93"/>
        <w:jc w:val="both"/>
        <w:rPr>
          <w:rFonts w:ascii="Palatino Linotype" w:eastAsia="Palatino Linotype" w:hAnsi="Palatino Linotype" w:cs="Palatino Linotype"/>
          <w:sz w:val="22"/>
          <w:szCs w:val="22"/>
        </w:rPr>
      </w:pPr>
    </w:p>
    <w:p w14:paraId="44E69EDE" w14:textId="77777777" w:rsidR="001C39B3" w:rsidRDefault="003D6FED">
      <w:pP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92.</w:t>
      </w:r>
      <w:r>
        <w:rPr>
          <w:rFonts w:ascii="Palatino Linotype" w:eastAsia="Palatino Linotype" w:hAnsi="Palatino Linotype" w:cs="Palatino Linotype"/>
          <w:i/>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5E6992CC" w14:textId="77777777" w:rsidR="001C39B3" w:rsidRDefault="003D6FED">
      <w:pPr>
        <w:spacing w:line="276" w:lineRule="auto"/>
        <w:ind w:left="851"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w:t>
      </w:r>
    </w:p>
    <w:p w14:paraId="13318862" w14:textId="77777777" w:rsidR="001C39B3" w:rsidRDefault="003D6FED">
      <w:pPr>
        <w:spacing w:line="276" w:lineRule="auto"/>
        <w:ind w:left="851"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lastRenderedPageBreak/>
        <w:t xml:space="preserve">XXXII. </w:t>
      </w:r>
      <w:r>
        <w:rPr>
          <w:rFonts w:ascii="Palatino Linotype" w:eastAsia="Palatino Linotype" w:hAnsi="Palatino Linotype" w:cs="Palatino Linotype"/>
          <w:i/>
          <w:sz w:val="22"/>
          <w:szCs w:val="22"/>
        </w:rPr>
        <w:t>Las concesiones, contratos, convenios, permisos</w:t>
      </w:r>
      <w:r>
        <w:rPr>
          <w:rFonts w:ascii="Palatino Linotype" w:eastAsia="Palatino Linotype" w:hAnsi="Palatino Linotype" w:cs="Palatino Linotype"/>
          <w:b/>
          <w:i/>
          <w:sz w:val="22"/>
          <w:szCs w:val="22"/>
        </w:rPr>
        <w:t xml:space="preserve">, </w:t>
      </w:r>
      <w:r>
        <w:rPr>
          <w:rFonts w:ascii="Palatino Linotype" w:eastAsia="Palatino Linotype" w:hAnsi="Palatino Linotype" w:cs="Palatino Linotype"/>
          <w:b/>
          <w:i/>
          <w:sz w:val="22"/>
          <w:szCs w:val="22"/>
          <w:u w:val="single"/>
        </w:rPr>
        <w:t>licencias o autorizaciones otorgados</w:t>
      </w:r>
      <w:r>
        <w:rPr>
          <w:rFonts w:ascii="Palatino Linotype" w:eastAsia="Palatino Linotype" w:hAnsi="Palatino Linotype" w:cs="Palatino Linotype"/>
          <w:i/>
          <w:sz w:val="22"/>
          <w:szCs w:val="22"/>
        </w:rPr>
        <w:t>, especificando los titulares de aquéllos, debiendo publicarse su objeto, nombre o razón social del titular, vigencia, tipo, términos, condiciones, monto y modificaciones, así como si el procedimiento involucra el aprovechamiento de bienes, servicios y/o recursos públicos;</w:t>
      </w:r>
      <w:r>
        <w:rPr>
          <w:rFonts w:ascii="Palatino Linotype" w:eastAsia="Palatino Linotype" w:hAnsi="Palatino Linotype" w:cs="Palatino Linotype"/>
          <w:b/>
          <w:i/>
          <w:sz w:val="22"/>
          <w:szCs w:val="22"/>
        </w:rPr>
        <w:t xml:space="preserve"> </w:t>
      </w:r>
    </w:p>
    <w:p w14:paraId="6E49DD22" w14:textId="77777777" w:rsidR="001C39B3" w:rsidRDefault="003D6FED">
      <w:pP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w:t>
      </w:r>
    </w:p>
    <w:p w14:paraId="22B550C6" w14:textId="77777777" w:rsidR="001C39B3" w:rsidRDefault="001C39B3">
      <w:pPr>
        <w:spacing w:line="360" w:lineRule="auto"/>
        <w:jc w:val="both"/>
        <w:rPr>
          <w:rFonts w:ascii="Palatino Linotype" w:eastAsia="Palatino Linotype" w:hAnsi="Palatino Linotype" w:cs="Palatino Linotype"/>
          <w:sz w:val="22"/>
          <w:szCs w:val="22"/>
        </w:rPr>
      </w:pPr>
    </w:p>
    <w:p w14:paraId="20E8734E" w14:textId="77777777" w:rsidR="001C39B3" w:rsidRDefault="003D6FED">
      <w:pPr>
        <w:spacing w:line="360" w:lineRule="auto"/>
        <w:jc w:val="both"/>
      </w:pPr>
      <w:r>
        <w:rPr>
          <w:rFonts w:ascii="Palatino Linotype" w:eastAsia="Palatino Linotype" w:hAnsi="Palatino Linotype" w:cs="Palatino Linotype"/>
        </w:rPr>
        <w:t>Lo que se robustece con lo señalado por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que señalan al respecto:</w:t>
      </w:r>
    </w:p>
    <w:p w14:paraId="109C33BB" w14:textId="77777777" w:rsidR="001C39B3" w:rsidRDefault="003D6FED">
      <w:pPr>
        <w:spacing w:line="360" w:lineRule="auto"/>
        <w:jc w:val="both"/>
        <w:rPr>
          <w:rFonts w:ascii="Palatino Linotype" w:eastAsia="Palatino Linotype" w:hAnsi="Palatino Linotype" w:cs="Palatino Linotype"/>
          <w:b/>
          <w:color w:val="000000"/>
          <w:u w:val="single"/>
        </w:rPr>
      </w:pPr>
      <w:r>
        <w:rPr>
          <w:noProof/>
          <w:lang w:val="es-MX"/>
        </w:rPr>
        <w:drawing>
          <wp:inline distT="0" distB="0" distL="0" distR="0" wp14:anchorId="4ACF50A3" wp14:editId="0E555E8D">
            <wp:extent cx="5398599" cy="2927593"/>
            <wp:effectExtent l="0" t="0" r="0" b="0"/>
            <wp:docPr id="8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l="41699" t="17930" r="26691" b="12690"/>
                    <a:stretch>
                      <a:fillRect/>
                    </a:stretch>
                  </pic:blipFill>
                  <pic:spPr>
                    <a:xfrm>
                      <a:off x="0" y="0"/>
                      <a:ext cx="5398599" cy="2927593"/>
                    </a:xfrm>
                    <a:prstGeom prst="rect">
                      <a:avLst/>
                    </a:prstGeom>
                    <a:ln/>
                  </pic:spPr>
                </pic:pic>
              </a:graphicData>
            </a:graphic>
          </wp:inline>
        </w:drawing>
      </w:r>
    </w:p>
    <w:p w14:paraId="53794FD8" w14:textId="77777777" w:rsidR="001C39B3" w:rsidRDefault="003D6FED">
      <w:pPr>
        <w:spacing w:line="360" w:lineRule="auto"/>
        <w:jc w:val="both"/>
        <w:rPr>
          <w:rFonts w:ascii="Palatino Linotype" w:eastAsia="Palatino Linotype" w:hAnsi="Palatino Linotype" w:cs="Palatino Linotype"/>
        </w:rPr>
      </w:pPr>
      <w:r>
        <w:rPr>
          <w:noProof/>
          <w:lang w:val="es-MX"/>
        </w:rPr>
        <w:lastRenderedPageBreak/>
        <w:drawing>
          <wp:inline distT="0" distB="0" distL="0" distR="0" wp14:anchorId="7C18F8D2" wp14:editId="650E99EE">
            <wp:extent cx="5534948" cy="3766542"/>
            <wp:effectExtent l="0" t="0" r="0" b="0"/>
            <wp:docPr id="8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l="37480" t="25952" r="25602" b="10856"/>
                    <a:stretch>
                      <a:fillRect/>
                    </a:stretch>
                  </pic:blipFill>
                  <pic:spPr>
                    <a:xfrm>
                      <a:off x="0" y="0"/>
                      <a:ext cx="5534948" cy="3766542"/>
                    </a:xfrm>
                    <a:prstGeom prst="rect">
                      <a:avLst/>
                    </a:prstGeom>
                    <a:ln/>
                  </pic:spPr>
                </pic:pic>
              </a:graphicData>
            </a:graphic>
          </wp:inline>
        </w:drawing>
      </w:r>
    </w:p>
    <w:p w14:paraId="6FF8F32C" w14:textId="77777777" w:rsidR="001C39B3" w:rsidRDefault="001C39B3">
      <w:pPr>
        <w:spacing w:line="360" w:lineRule="auto"/>
        <w:jc w:val="both"/>
        <w:rPr>
          <w:rFonts w:ascii="Palatino Linotype" w:eastAsia="Palatino Linotype" w:hAnsi="Palatino Linotype" w:cs="Palatino Linotype"/>
          <w:sz w:val="22"/>
          <w:szCs w:val="22"/>
        </w:rPr>
      </w:pPr>
    </w:p>
    <w:p w14:paraId="3C95D9CB" w14:textId="77777777" w:rsidR="001C39B3" w:rsidRDefault="003D6FED">
      <w:pPr>
        <w:spacing w:line="360" w:lineRule="auto"/>
        <w:ind w:firstLine="1"/>
        <w:jc w:val="both"/>
        <w:rPr>
          <w:rFonts w:ascii="Palatino Linotype" w:eastAsia="Palatino Linotype" w:hAnsi="Palatino Linotype" w:cs="Palatino Linotype"/>
        </w:rPr>
      </w:pPr>
      <w:r>
        <w:rPr>
          <w:rFonts w:ascii="Palatino Linotype" w:eastAsia="Palatino Linotype" w:hAnsi="Palatino Linotype" w:cs="Palatino Linotype"/>
        </w:rPr>
        <w:t xml:space="preserve">Expuesto lo anterior, se concluye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cuenta con atribuciones para generar poseer y/o administrar la información solicitada, a través de la Dirección de Desarrollo Económico. </w:t>
      </w:r>
    </w:p>
    <w:p w14:paraId="5BD10F7F" w14:textId="77777777" w:rsidR="001C39B3" w:rsidRDefault="003D6FED">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Regresando con la respuesta se advierte que esta fue proporcionada por Coordinación General Municipal de Mejora Regulatoria del Ayuntamiento de Capulhuac, en el sentido de que no maneja base de datos de padrones actualizados de licencias para la operaciones de establecimientos en las que se venden o consumen bebidas alcohólicas, no maneja base de datos con</w:t>
      </w:r>
      <w:r>
        <w:rPr>
          <w:rFonts w:ascii="Verdana" w:eastAsia="Verdana" w:hAnsi="Verdana" w:cs="Verdana"/>
          <w:color w:val="000000"/>
          <w:sz w:val="14"/>
          <w:szCs w:val="14"/>
        </w:rPr>
        <w:t xml:space="preserve"> </w:t>
      </w:r>
      <w:r>
        <w:rPr>
          <w:rFonts w:ascii="Palatino Linotype" w:eastAsia="Palatino Linotype" w:hAnsi="Palatino Linotype" w:cs="Palatino Linotype"/>
        </w:rPr>
        <w:t xml:space="preserve">direcciones de los establecimientos, nombres y/o razones sociales de los titulares, ni hipervínculos del documento en el que obre dichas licencias, en razón de que las actividades de la Coordinación son totalmente diferentes a las solicitadas. </w:t>
      </w:r>
    </w:p>
    <w:p w14:paraId="7E4C514D" w14:textId="77777777" w:rsidR="001C39B3" w:rsidRDefault="003D6FED">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La cuales de acuerdo a sus atribuciones señaladas en el artículo 104 al 108 del Bando Municipal del Ayuntamiento de Capulhuac vigente para la anualidad en curso, efectivamente no se advierte que tenga la atribución de generar, administrar o poseer las Licencias de Funcionamiento que expida el Ayuntamiento. </w:t>
      </w:r>
    </w:p>
    <w:p w14:paraId="50D7F2D4" w14:textId="77777777" w:rsidR="001C39B3" w:rsidRDefault="003D6FED">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Con lo cual se acredita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incumplió con el procedimiento de búsqueda de la información señalado por el artículo 162 de la Ley de Transparencia y Acceso a la Información Pública del Estado de México y Municipios, ya que, no se puede perder de vista que para otorgar respuesta a la solicitud inicial,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debió turnar la solicitud a las áreas en las que podría obrar la información de conformidad con la fracción XXXIX del artículo tercero de la legislación local vigente en materia de transparencia, el Servidor Público Habilitado es el competente para apoyar, gestionar y entregar la información: </w:t>
      </w:r>
    </w:p>
    <w:p w14:paraId="078B9299" w14:textId="77777777" w:rsidR="001C39B3" w:rsidRDefault="003D6FED">
      <w:pPr>
        <w:spacing w:before="240" w:after="240"/>
        <w:ind w:left="709" w:right="902"/>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1083BA6C" w14:textId="77777777" w:rsidR="001C39B3" w:rsidRDefault="003D6FED">
      <w:pPr>
        <w:shd w:val="clear" w:color="auto" w:fill="FFFFFF"/>
        <w:spacing w:before="240" w:after="240" w:line="360" w:lineRule="auto"/>
        <w:jc w:val="both"/>
        <w:rPr>
          <w:color w:val="222222"/>
        </w:rPr>
      </w:pPr>
      <w:r>
        <w:rPr>
          <w:rFonts w:ascii="Palatino Linotype" w:eastAsia="Palatino Linotype" w:hAnsi="Palatino Linotype" w:cs="Palatino Linotype"/>
          <w:color w:val="222222"/>
        </w:rPr>
        <w:t>En este orden de ideas, se advierte que efectivamente la Unidad de Transparencia no cumplió con lo expresado en el artículo 162 de la Ley </w:t>
      </w:r>
      <w:r>
        <w:rPr>
          <w:rFonts w:ascii="Palatino Linotype" w:eastAsia="Palatino Linotype" w:hAnsi="Palatino Linotype" w:cs="Palatino Linotype"/>
          <w:color w:val="000000"/>
        </w:rPr>
        <w:t>de Transparencia y Acceso a la Información Pública del Estado de México y Municipios, el cual menciona lo siguiente:</w:t>
      </w:r>
    </w:p>
    <w:p w14:paraId="2893759C" w14:textId="77777777" w:rsidR="001C39B3" w:rsidRDefault="003D6FED">
      <w:pPr>
        <w:shd w:val="clear" w:color="auto" w:fill="FFFFFF"/>
        <w:spacing w:after="240"/>
        <w:ind w:left="993" w:right="1041"/>
        <w:jc w:val="both"/>
        <w:rPr>
          <w:color w:val="222222"/>
        </w:rPr>
      </w:pPr>
      <w:r>
        <w:rPr>
          <w:rFonts w:ascii="Palatino Linotype" w:eastAsia="Palatino Linotype" w:hAnsi="Palatino Linotype" w:cs="Palatino Linotype"/>
          <w:b/>
          <w:i/>
          <w:color w:val="222222"/>
          <w:sz w:val="22"/>
          <w:szCs w:val="22"/>
        </w:rPr>
        <w:t>“Artículo 162.</w:t>
      </w:r>
      <w:r>
        <w:rPr>
          <w:rFonts w:ascii="Palatino Linotype" w:eastAsia="Palatino Linotype" w:hAnsi="Palatino Linotype" w:cs="Palatino Linotype"/>
          <w:i/>
          <w:color w:val="222222"/>
          <w:sz w:val="22"/>
          <w:szCs w:val="22"/>
        </w:rPr>
        <w:t xml:space="preserve"> Las unidades de transparencia deberán garantizar que las solicitudes se turnen a todas las Áreas competentes que cuenten con la información o deban tenerla de acuerdo a sus facultades, competencias y </w:t>
      </w:r>
      <w:r>
        <w:rPr>
          <w:rFonts w:ascii="Palatino Linotype" w:eastAsia="Palatino Linotype" w:hAnsi="Palatino Linotype" w:cs="Palatino Linotype"/>
          <w:i/>
          <w:color w:val="222222"/>
          <w:sz w:val="22"/>
          <w:szCs w:val="22"/>
        </w:rPr>
        <w:lastRenderedPageBreak/>
        <w:t>funciones, con el objeto de que realicen una búsqueda exhaustiva y razonable de la información solicitada.”</w:t>
      </w:r>
    </w:p>
    <w:p w14:paraId="3C13BA3D" w14:textId="77777777" w:rsidR="001C39B3" w:rsidRDefault="003D6FED">
      <w:pPr>
        <w:shd w:val="clear" w:color="auto" w:fill="FFFFFF"/>
        <w:spacing w:line="360" w:lineRule="auto"/>
        <w:jc w:val="both"/>
        <w:rPr>
          <w:color w:val="222222"/>
        </w:rPr>
      </w:pPr>
      <w:r>
        <w:rPr>
          <w:rFonts w:ascii="Palatino Linotype" w:eastAsia="Palatino Linotype" w:hAnsi="Palatino Linotype" w:cs="Palatino Linotype"/>
          <w:color w:val="222222"/>
        </w:rPr>
        <w:t>Dicho procedimiento de búsqueda, se constituye como la garantía primaria del derecho humano de acceso a la información pública, el cual se rige por los principios de simplicidad, rapidez, gratuidad del procedimiento, auxilio y orientación a los particulares con el fin de otorgar la protección más amplia de éste derecho</w:t>
      </w:r>
      <w:r>
        <w:rPr>
          <w:rFonts w:ascii="Palatino Linotype" w:eastAsia="Palatino Linotype" w:hAnsi="Palatino Linotype" w:cs="Palatino Linotype"/>
          <w:color w:val="222222"/>
          <w:vertAlign w:val="superscript"/>
        </w:rPr>
        <w:footnoteReference w:id="1"/>
      </w:r>
      <w:r>
        <w:rPr>
          <w:rFonts w:ascii="Palatino Linotype" w:eastAsia="Palatino Linotype" w:hAnsi="Palatino Linotype" w:cs="Palatino Linotype"/>
          <w:color w:val="222222"/>
        </w:rPr>
        <w:t>, para ello la misma norma establece que los sujetos obligados deberán otorgar el acceso a los documentos que obren en sus archivos o que estén obligados a documentar de acuerdo a sus facultades, competencias o funciones; por ende, al recibir una solicitud de acceso a la información pública, y como fue referido, las solicitudes se tendrán que turnar al área competente para brindar contestación, por lo que la misma Ley indica que serán los Sujetos Obligados quienes establecerán la forma y términos en que darán trámite interno a las solicitudes que no podrán exceder de los periodos establecidos para brindar respuesta, tal cual se desprende de los siguientes artículos:</w:t>
      </w:r>
    </w:p>
    <w:p w14:paraId="5BDC8475" w14:textId="77777777" w:rsidR="001C39B3" w:rsidRDefault="001C39B3">
      <w:pPr>
        <w:shd w:val="clear" w:color="auto" w:fill="FFFFFF"/>
        <w:ind w:left="993" w:right="1041"/>
        <w:jc w:val="both"/>
        <w:rPr>
          <w:rFonts w:ascii="Palatino Linotype" w:eastAsia="Palatino Linotype" w:hAnsi="Palatino Linotype" w:cs="Palatino Linotype"/>
          <w:b/>
          <w:i/>
          <w:color w:val="222222"/>
          <w:sz w:val="22"/>
          <w:szCs w:val="22"/>
        </w:rPr>
      </w:pPr>
    </w:p>
    <w:p w14:paraId="35D27597" w14:textId="77777777" w:rsidR="001C39B3" w:rsidRDefault="003D6FED">
      <w:pPr>
        <w:shd w:val="clear" w:color="auto" w:fill="FFFFFF"/>
        <w:ind w:left="993" w:right="1041"/>
        <w:jc w:val="both"/>
        <w:rPr>
          <w:color w:val="222222"/>
        </w:rPr>
      </w:pPr>
      <w:r>
        <w:rPr>
          <w:rFonts w:ascii="Palatino Linotype" w:eastAsia="Palatino Linotype" w:hAnsi="Palatino Linotype" w:cs="Palatino Linotype"/>
          <w:b/>
          <w:i/>
          <w:color w:val="222222"/>
          <w:sz w:val="22"/>
          <w:szCs w:val="22"/>
        </w:rPr>
        <w:t>“Artículo 160. </w:t>
      </w:r>
      <w:r>
        <w:rPr>
          <w:rFonts w:ascii="Palatino Linotype" w:eastAsia="Palatino Linotype" w:hAnsi="Palatino Linotype" w:cs="Palatino Linotype"/>
          <w:i/>
          <w:color w:val="222222"/>
          <w:sz w:val="22"/>
          <w:szCs w:val="22"/>
        </w:rPr>
        <w:t>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65F5E9B6" w14:textId="77777777" w:rsidR="001C39B3" w:rsidRDefault="003D6FED">
      <w:pPr>
        <w:shd w:val="clear" w:color="auto" w:fill="FFFFFF"/>
        <w:ind w:left="993" w:right="1041"/>
        <w:jc w:val="both"/>
        <w:rPr>
          <w:color w:val="222222"/>
        </w:rPr>
      </w:pPr>
      <w:r>
        <w:rPr>
          <w:rFonts w:ascii="Palatino Linotype" w:eastAsia="Palatino Linotype" w:hAnsi="Palatino Linotype" w:cs="Palatino Linotype"/>
          <w:i/>
          <w:color w:val="222222"/>
          <w:sz w:val="22"/>
          <w:szCs w:val="22"/>
        </w:rPr>
        <w:t>En caso que la información solicitada consista en bases de datos se deberá privilegiar la entrega de la misma en formatos abiertos.</w:t>
      </w:r>
    </w:p>
    <w:p w14:paraId="2613CC60" w14:textId="77777777" w:rsidR="001C39B3" w:rsidRDefault="003D6FED">
      <w:pPr>
        <w:shd w:val="clear" w:color="auto" w:fill="FFFFFF"/>
        <w:ind w:left="993" w:right="1041"/>
        <w:jc w:val="both"/>
        <w:rPr>
          <w:color w:val="222222"/>
        </w:rPr>
      </w:pPr>
      <w:r>
        <w:rPr>
          <w:rFonts w:ascii="Palatino Linotype" w:eastAsia="Palatino Linotype" w:hAnsi="Palatino Linotype" w:cs="Palatino Linotype"/>
          <w:b/>
          <w:i/>
          <w:color w:val="222222"/>
          <w:sz w:val="22"/>
          <w:szCs w:val="22"/>
        </w:rPr>
        <w:t>Artículo 163.</w:t>
      </w:r>
      <w:r>
        <w:rPr>
          <w:rFonts w:ascii="Palatino Linotype" w:eastAsia="Palatino Linotype" w:hAnsi="Palatino Linotype" w:cs="Palatino Linotype"/>
          <w:i/>
          <w:color w:val="222222"/>
          <w:sz w:val="22"/>
          <w:szCs w:val="22"/>
        </w:rPr>
        <w:t> La Unidad de Transparencia deberá notificar la respuesta a la solicitud al interesado en el menor tiempo posible, que no podrá exceder de quince días hábiles, contados a partir del día siguiente a la presentación de aquélla.</w:t>
      </w:r>
    </w:p>
    <w:p w14:paraId="60944FDF" w14:textId="77777777" w:rsidR="001C39B3" w:rsidRDefault="003D6FED">
      <w:pPr>
        <w:shd w:val="clear" w:color="auto" w:fill="FFFFFF"/>
        <w:ind w:left="993" w:right="1041"/>
        <w:jc w:val="both"/>
        <w:rPr>
          <w:color w:val="222222"/>
        </w:rPr>
      </w:pPr>
      <w:r>
        <w:rPr>
          <w:rFonts w:ascii="Palatino Linotype" w:eastAsia="Palatino Linotype" w:hAnsi="Palatino Linotype" w:cs="Palatino Linotype"/>
          <w:i/>
          <w:color w:val="222222"/>
          <w:sz w:val="22"/>
          <w:szCs w:val="22"/>
        </w:rPr>
        <w:t xml:space="preserve">Excepcionalmente, el plazo referido en el párrafo anterior podrá ampliarse hasta por siete días hábiles más, siempre y cuando existan razones fundadas y </w:t>
      </w:r>
      <w:r>
        <w:rPr>
          <w:rFonts w:ascii="Palatino Linotype" w:eastAsia="Palatino Linotype" w:hAnsi="Palatino Linotype" w:cs="Palatino Linotype"/>
          <w:i/>
          <w:color w:val="222222"/>
          <w:sz w:val="22"/>
          <w:szCs w:val="22"/>
        </w:rPr>
        <w:lastRenderedPageBreak/>
        <w:t>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34C9056A" w14:textId="77777777" w:rsidR="001C39B3" w:rsidRDefault="003D6FED">
      <w:pPr>
        <w:shd w:val="clear" w:color="auto" w:fill="FFFFFF"/>
        <w:ind w:left="993" w:right="1041"/>
        <w:jc w:val="both"/>
        <w:rPr>
          <w:color w:val="222222"/>
        </w:rPr>
      </w:pPr>
      <w:r>
        <w:rPr>
          <w:rFonts w:ascii="Palatino Linotype" w:eastAsia="Palatino Linotype" w:hAnsi="Palatino Linotype" w:cs="Palatino Linotype"/>
          <w:b/>
          <w:i/>
          <w:color w:val="222222"/>
          <w:sz w:val="22"/>
          <w:szCs w:val="22"/>
        </w:rPr>
        <w:t>Artículo 165.</w:t>
      </w:r>
      <w:r>
        <w:rPr>
          <w:rFonts w:ascii="Palatino Linotype" w:eastAsia="Palatino Linotype" w:hAnsi="Palatino Linotype" w:cs="Palatino Linotype"/>
          <w:i/>
          <w:color w:val="222222"/>
          <w:sz w:val="22"/>
          <w:szCs w:val="22"/>
        </w:rPr>
        <w:t> Los sujetos obligados establecerán la forma y términos en que darán trámite interno a las solicitudes en materia de acceso a la información.</w:t>
      </w:r>
    </w:p>
    <w:p w14:paraId="1EE18076" w14:textId="77777777" w:rsidR="001C39B3" w:rsidRDefault="003D6FED">
      <w:pPr>
        <w:shd w:val="clear" w:color="auto" w:fill="FFFFFF"/>
        <w:ind w:left="993" w:right="1041"/>
        <w:jc w:val="both"/>
        <w:rPr>
          <w:color w:val="222222"/>
        </w:rPr>
      </w:pPr>
      <w:r>
        <w:rPr>
          <w:rFonts w:ascii="Palatino Linotype" w:eastAsia="Palatino Linotype" w:hAnsi="Palatino Linotype" w:cs="Palatino Linotype"/>
          <w:i/>
          <w:color w:val="222222"/>
          <w:sz w:val="22"/>
          <w:szCs w:val="22"/>
        </w:rPr>
        <w:t>La información que se entregue en versión pública, cuya modalidad de reproducción o envío tenga un costo, procederá una vez que se acredite el pago respectivo. No puede entenderse como reproducción la elaboración de la misma.</w:t>
      </w:r>
    </w:p>
    <w:p w14:paraId="4C09F73F" w14:textId="77777777" w:rsidR="001C39B3" w:rsidRDefault="003D6FED">
      <w:pPr>
        <w:shd w:val="clear" w:color="auto" w:fill="FFFFFF"/>
        <w:spacing w:after="240"/>
        <w:ind w:left="993" w:right="1041"/>
        <w:jc w:val="both"/>
        <w:rPr>
          <w:color w:val="222222"/>
        </w:rPr>
      </w:pPr>
      <w:r>
        <w:rPr>
          <w:rFonts w:ascii="Palatino Linotype" w:eastAsia="Palatino Linotype" w:hAnsi="Palatino Linotype" w:cs="Palatino Linotype"/>
          <w:i/>
          <w:color w:val="222222"/>
          <w:sz w:val="22"/>
          <w:szCs w:val="22"/>
        </w:rPr>
        <w:t>Ante la falta de respuesta a una solicitud en el plazo previsto y en caso de que proceda el acceso, los costos de reproducción y envío correrán a cargo del sujeto obligado.”</w:t>
      </w:r>
    </w:p>
    <w:p w14:paraId="355F178F" w14:textId="77777777" w:rsidR="001C39B3" w:rsidRDefault="003D6FED">
      <w:pPr>
        <w:shd w:val="clear" w:color="auto" w:fill="FFFFFF"/>
        <w:spacing w:before="240" w:after="240" w:line="360" w:lineRule="auto"/>
        <w:jc w:val="both"/>
        <w:rPr>
          <w:color w:val="222222"/>
        </w:rPr>
      </w:pPr>
      <w:r>
        <w:rPr>
          <w:rFonts w:ascii="Palatino Linotype" w:eastAsia="Palatino Linotype" w:hAnsi="Palatino Linotype" w:cs="Palatino Linotype"/>
          <w:color w:val="222222"/>
        </w:rPr>
        <w:t>Finalmente, la Ley de Transparencia vigente determina que el procedimiento de acceso a la información pública se tendrá por cumplida cuando el solicitante tenga a su disposición la información requerida, o en su caso, cuando realice la consulta de la misma en el que ésta se localice</w:t>
      </w:r>
      <w:r>
        <w:rPr>
          <w:rFonts w:ascii="Palatino Linotype" w:eastAsia="Palatino Linotype" w:hAnsi="Palatino Linotype" w:cs="Palatino Linotype"/>
          <w:color w:val="222222"/>
          <w:vertAlign w:val="superscript"/>
        </w:rPr>
        <w:footnoteReference w:id="2"/>
      </w:r>
      <w:r>
        <w:rPr>
          <w:rFonts w:ascii="Palatino Linotype" w:eastAsia="Palatino Linotype" w:hAnsi="Palatino Linotype" w:cs="Palatino Linotype"/>
          <w:color w:val="222222"/>
        </w:rPr>
        <w:t xml:space="preserve">, situación que no se advierte en el presente caso, toda vez que el </w:t>
      </w:r>
      <w:r>
        <w:rPr>
          <w:rFonts w:ascii="Palatino Linotype" w:eastAsia="Palatino Linotype" w:hAnsi="Palatino Linotype" w:cs="Palatino Linotype"/>
          <w:b/>
          <w:color w:val="222222"/>
        </w:rPr>
        <w:t>SUJETO OBLIGADO</w:t>
      </w:r>
      <w:r>
        <w:rPr>
          <w:rFonts w:ascii="Palatino Linotype" w:eastAsia="Palatino Linotype" w:hAnsi="Palatino Linotype" w:cs="Palatino Linotype"/>
          <w:color w:val="222222"/>
        </w:rPr>
        <w:t xml:space="preserve">, a través de su </w:t>
      </w:r>
      <w:r>
        <w:rPr>
          <w:rFonts w:ascii="Palatino Linotype" w:eastAsia="Palatino Linotype" w:hAnsi="Palatino Linotype" w:cs="Palatino Linotype"/>
          <w:color w:val="000000"/>
        </w:rPr>
        <w:t xml:space="preserve">Unidad de Transparencia </w:t>
      </w:r>
      <w:r>
        <w:rPr>
          <w:rFonts w:ascii="Palatino Linotype" w:eastAsia="Palatino Linotype" w:hAnsi="Palatino Linotype" w:cs="Palatino Linotype"/>
          <w:color w:val="222222"/>
        </w:rPr>
        <w:t>no ha brindado el acceso a la información solicitada por el particular, por ende para tener por satisfecho el derecho humano en mérito, será necesario que la Unidad de Transparencia en estricto apego al procedimiento descrito realice una búsqueda exhaustiva y razonable de la información, turnando a las áreas competentes la solicitud con el objetivo de brindar contestación al requerimiento.</w:t>
      </w:r>
    </w:p>
    <w:p w14:paraId="1C17A377" w14:textId="77777777" w:rsidR="001C39B3" w:rsidRDefault="003D6FED">
      <w:pPr>
        <w:spacing w:line="360" w:lineRule="auto"/>
        <w:ind w:right="51"/>
        <w:jc w:val="both"/>
        <w:rPr>
          <w:rFonts w:ascii="Palatino Linotype" w:eastAsia="Palatino Linotype" w:hAnsi="Palatino Linotype" w:cs="Palatino Linotype"/>
          <w:color w:val="222222"/>
        </w:rPr>
      </w:pPr>
      <w:r>
        <w:rPr>
          <w:rFonts w:ascii="Palatino Linotype" w:eastAsia="Palatino Linotype" w:hAnsi="Palatino Linotype" w:cs="Palatino Linotype"/>
          <w:color w:val="222222"/>
        </w:rPr>
        <w:t xml:space="preserve">En mérito de lo anterior, se colige que el </w:t>
      </w:r>
      <w:r>
        <w:rPr>
          <w:rFonts w:ascii="Palatino Linotype" w:eastAsia="Palatino Linotype" w:hAnsi="Palatino Linotype" w:cs="Palatino Linotype"/>
          <w:b/>
          <w:color w:val="222222"/>
        </w:rPr>
        <w:t>SUJETO OBLIGADO</w:t>
      </w:r>
      <w:r>
        <w:rPr>
          <w:rFonts w:ascii="Palatino Linotype" w:eastAsia="Palatino Linotype" w:hAnsi="Palatino Linotype" w:cs="Palatino Linotype"/>
          <w:color w:val="222222"/>
        </w:rPr>
        <w:t xml:space="preserve"> debió realizar una búsqueda exhaustiva y razonable de la información peticionada en todas las áreas competentes para que se pronunciaran respecto de la solicitud del particular.</w:t>
      </w:r>
    </w:p>
    <w:p w14:paraId="51E6CFE4" w14:textId="77777777" w:rsidR="001C39B3" w:rsidRDefault="001C39B3">
      <w:pPr>
        <w:spacing w:line="360" w:lineRule="auto"/>
        <w:ind w:right="51"/>
        <w:jc w:val="both"/>
        <w:rPr>
          <w:rFonts w:ascii="Palatino Linotype" w:eastAsia="Palatino Linotype" w:hAnsi="Palatino Linotype" w:cs="Palatino Linotype"/>
          <w:color w:val="222222"/>
        </w:rPr>
      </w:pPr>
    </w:p>
    <w:p w14:paraId="1EC2387E" w14:textId="77777777" w:rsidR="001C39B3" w:rsidRDefault="003D6FED">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En este sentido el área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 manera enunciativa más no limitativa en donde se debe hacer la búsqueda de la información solicitada, es la Dirección de Desarrollo Económico y Coordinación de Gobernación, Licencias y Permisos, en términos de lo señalado por el artículo 72, 73, 75 y 76 del </w:t>
      </w:r>
      <w:r>
        <w:rPr>
          <w:rFonts w:ascii="Palatino Linotype" w:eastAsia="Palatino Linotype" w:hAnsi="Palatino Linotype" w:cs="Palatino Linotype"/>
          <w:color w:val="000000"/>
        </w:rPr>
        <w:t xml:space="preserve">Bando Municipal vigente para el Ayuntamiento de Capulhuac, que señalan: </w:t>
      </w:r>
    </w:p>
    <w:p w14:paraId="1BFE0B5F" w14:textId="77777777" w:rsidR="001C39B3" w:rsidRDefault="001C39B3">
      <w:pPr>
        <w:widowControl w:val="0"/>
        <w:tabs>
          <w:tab w:val="left" w:pos="1701"/>
          <w:tab w:val="left" w:pos="1843"/>
        </w:tabs>
        <w:spacing w:line="360" w:lineRule="auto"/>
        <w:jc w:val="both"/>
        <w:rPr>
          <w:rFonts w:ascii="Palatino Linotype" w:eastAsia="Palatino Linotype" w:hAnsi="Palatino Linotype" w:cs="Palatino Linotype"/>
          <w:color w:val="000000"/>
        </w:rPr>
      </w:pPr>
    </w:p>
    <w:p w14:paraId="7C070DEE" w14:textId="77777777" w:rsidR="001C39B3" w:rsidRDefault="003D6FED">
      <w:pPr>
        <w:widowControl w:val="0"/>
        <w:tabs>
          <w:tab w:val="left" w:pos="1701"/>
          <w:tab w:val="left" w:pos="1843"/>
        </w:tabs>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“CAPÍTULO VIII DE LA </w:t>
      </w:r>
      <w:r>
        <w:rPr>
          <w:rFonts w:ascii="Palatino Linotype" w:eastAsia="Palatino Linotype" w:hAnsi="Palatino Linotype" w:cs="Palatino Linotype"/>
          <w:b/>
          <w:i/>
          <w:sz w:val="22"/>
          <w:szCs w:val="22"/>
        </w:rPr>
        <w:t>DIRECCIÓN DE DESARROLLO ECONÓMICO</w:t>
      </w:r>
      <w:r>
        <w:rPr>
          <w:rFonts w:ascii="Palatino Linotype" w:eastAsia="Palatino Linotype" w:hAnsi="Palatino Linotype" w:cs="Palatino Linotype"/>
          <w:i/>
          <w:sz w:val="22"/>
          <w:szCs w:val="22"/>
        </w:rPr>
        <w:t xml:space="preserve"> Artículo 72. Esta Dirección, será la encargada de promover y fomentar el desarrollo de las actividades industriales, promoción y conservación de fuentes de empleo, impulsando el establecimiento de la micro, pequeña, mediana y grande empresa en el territorio municipal, así como planear, coordinar, dirigir y ejecutar los programas, planes y políticas federales, estatales y municipales en materia de desarrollo económico. </w:t>
      </w:r>
    </w:p>
    <w:p w14:paraId="35AE5C2C" w14:textId="77777777" w:rsidR="001C39B3" w:rsidRDefault="003D6FED">
      <w:pPr>
        <w:widowControl w:val="0"/>
        <w:tabs>
          <w:tab w:val="left" w:pos="1701"/>
          <w:tab w:val="left" w:pos="1843"/>
        </w:tabs>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Es responsabilidad de la Dirección de Desarrollo Económico</w:t>
      </w:r>
      <w:r>
        <w:rPr>
          <w:rFonts w:ascii="Palatino Linotype" w:eastAsia="Palatino Linotype" w:hAnsi="Palatino Linotype" w:cs="Palatino Linotype"/>
          <w:i/>
          <w:sz w:val="22"/>
          <w:szCs w:val="22"/>
        </w:rPr>
        <w:t xml:space="preserve">, a través de sus áreas correspondientes, la operación del Sistema de Apertura Rápida de Empresas del municipio de Capulhuac, Estado de México. </w:t>
      </w:r>
    </w:p>
    <w:p w14:paraId="7D12CF6F" w14:textId="77777777" w:rsidR="001C39B3" w:rsidRDefault="003D6FED">
      <w:pPr>
        <w:widowControl w:val="0"/>
        <w:tabs>
          <w:tab w:val="left" w:pos="1701"/>
          <w:tab w:val="left" w:pos="1843"/>
        </w:tabs>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Las Licencias emitidas en este sistema serán expedidas conforme a lo establecido en el Manual de Operación del Sistema de Apertura Rápida de Empresas del Municipio de Capulhuac.</w:t>
      </w:r>
      <w:r>
        <w:rPr>
          <w:rFonts w:ascii="Palatino Linotype" w:eastAsia="Palatino Linotype" w:hAnsi="Palatino Linotype" w:cs="Palatino Linotype"/>
          <w:i/>
          <w:sz w:val="22"/>
          <w:szCs w:val="22"/>
        </w:rPr>
        <w:t xml:space="preserve"> </w:t>
      </w:r>
    </w:p>
    <w:p w14:paraId="55ACD227" w14:textId="77777777" w:rsidR="001C39B3" w:rsidRDefault="003D6FED">
      <w:pPr>
        <w:widowControl w:val="0"/>
        <w:tabs>
          <w:tab w:val="left" w:pos="1701"/>
          <w:tab w:val="left" w:pos="1843"/>
        </w:tabs>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Asimismo, será la encargada de coadyuvar con la persona titular de la Presidencia Municipal, </w:t>
      </w:r>
      <w:r>
        <w:rPr>
          <w:rFonts w:ascii="Palatino Linotype" w:eastAsia="Palatino Linotype" w:hAnsi="Palatino Linotype" w:cs="Palatino Linotype"/>
          <w:b/>
          <w:i/>
          <w:sz w:val="22"/>
          <w:szCs w:val="22"/>
        </w:rPr>
        <w:t>respecto a la integración y funcionamiento del Comité Municipal de Dictamen de Giro</w:t>
      </w:r>
      <w:r>
        <w:rPr>
          <w:rFonts w:ascii="Palatino Linotype" w:eastAsia="Palatino Linotype" w:hAnsi="Palatino Linotype" w:cs="Palatino Linotype"/>
          <w:i/>
          <w:sz w:val="22"/>
          <w:szCs w:val="22"/>
        </w:rPr>
        <w:t xml:space="preserve">. </w:t>
      </w:r>
    </w:p>
    <w:p w14:paraId="62071388" w14:textId="77777777" w:rsidR="001C39B3" w:rsidRDefault="003D6FED">
      <w:pPr>
        <w:widowControl w:val="0"/>
        <w:tabs>
          <w:tab w:val="left" w:pos="1701"/>
          <w:tab w:val="left" w:pos="1843"/>
        </w:tabs>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El Comité a que se refiere el párrafo anterior, estará integrado por las personas titulares de las Direcciones Municipales de Desarrollo Económico, Desarrollo Urbano y Obras Públicas, Ecología y Desarrollo Sustentable, Coordinación Municipal de Protección Civil y Bomberos, Coordinación de Salud o sus equivalentes, un representante de las Cámaras Empresariales, así como un representante del Comité Coordinador del Sistema Municipal Anticorrupción y representante de la Contraloría Municipal. Será presidido por la persona titular de la Presidencia Municipal o quien éste determine, y tendrá la finalidad de establecer la factibilidad para la operación de las actividades previstas en la presente Ley en términos de las disposiciones jurídicas aplicables.</w:t>
      </w:r>
    </w:p>
    <w:p w14:paraId="448541CA" w14:textId="77777777" w:rsidR="001C39B3" w:rsidRDefault="003D6FED">
      <w:pPr>
        <w:widowControl w:val="0"/>
        <w:tabs>
          <w:tab w:val="left" w:pos="1701"/>
          <w:tab w:val="left" w:pos="1843"/>
        </w:tabs>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4739C61D" w14:textId="77777777" w:rsidR="001C39B3" w:rsidRDefault="003D6FED">
      <w:pPr>
        <w:widowControl w:val="0"/>
        <w:tabs>
          <w:tab w:val="left" w:pos="1701"/>
          <w:tab w:val="left" w:pos="1843"/>
        </w:tabs>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Artículo 73. Son atribuciones de la Dirección de Desarrollo Económico: </w:t>
      </w:r>
    </w:p>
    <w:p w14:paraId="0E721750" w14:textId="77777777" w:rsidR="001C39B3" w:rsidRDefault="003D6FED">
      <w:pPr>
        <w:widowControl w:val="0"/>
        <w:tabs>
          <w:tab w:val="left" w:pos="1701"/>
          <w:tab w:val="left" w:pos="1843"/>
        </w:tabs>
        <w:ind w:left="851" w:right="851"/>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lastRenderedPageBreak/>
        <w:t xml:space="preserve">I. Las señaladas en el artículo 96 </w:t>
      </w:r>
      <w:proofErr w:type="spellStart"/>
      <w:r>
        <w:rPr>
          <w:rFonts w:ascii="Palatino Linotype" w:eastAsia="Palatino Linotype" w:hAnsi="Palatino Linotype" w:cs="Palatino Linotype"/>
          <w:b/>
          <w:i/>
          <w:sz w:val="22"/>
          <w:szCs w:val="22"/>
        </w:rPr>
        <w:t>Quáter</w:t>
      </w:r>
      <w:proofErr w:type="spellEnd"/>
      <w:r>
        <w:rPr>
          <w:rFonts w:ascii="Palatino Linotype" w:eastAsia="Palatino Linotype" w:hAnsi="Palatino Linotype" w:cs="Palatino Linotype"/>
          <w:b/>
          <w:i/>
          <w:sz w:val="22"/>
          <w:szCs w:val="22"/>
        </w:rPr>
        <w:t xml:space="preserve"> de la Ley Orgánica Municipal del Estado de México;</w:t>
      </w:r>
    </w:p>
    <w:p w14:paraId="49F50432" w14:textId="77777777" w:rsidR="001C39B3" w:rsidRDefault="003D6FED">
      <w:pPr>
        <w:widowControl w:val="0"/>
        <w:tabs>
          <w:tab w:val="left" w:pos="1701"/>
          <w:tab w:val="left" w:pos="1843"/>
        </w:tabs>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57AECB7A" w14:textId="77777777" w:rsidR="001C39B3" w:rsidRDefault="003D6FED">
      <w:pPr>
        <w:widowControl w:val="0"/>
        <w:tabs>
          <w:tab w:val="left" w:pos="1701"/>
          <w:tab w:val="left" w:pos="1843"/>
        </w:tabs>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w:t>
      </w:r>
      <w:r>
        <w:rPr>
          <w:rFonts w:ascii="Palatino Linotype" w:eastAsia="Palatino Linotype" w:hAnsi="Palatino Linotype" w:cs="Palatino Linotype"/>
          <w:b/>
          <w:i/>
          <w:sz w:val="22"/>
          <w:szCs w:val="22"/>
        </w:rPr>
        <w:t>. Expedir los</w:t>
      </w:r>
      <w:r>
        <w:rPr>
          <w:rFonts w:ascii="Palatino Linotype" w:eastAsia="Palatino Linotype" w:hAnsi="Palatino Linotype" w:cs="Palatino Linotype"/>
          <w:i/>
          <w:sz w:val="22"/>
          <w:szCs w:val="22"/>
        </w:rPr>
        <w:t xml:space="preserve"> permisos provisionales, </w:t>
      </w:r>
      <w:r>
        <w:rPr>
          <w:rFonts w:ascii="Palatino Linotype" w:eastAsia="Palatino Linotype" w:hAnsi="Palatino Linotype" w:cs="Palatino Linotype"/>
          <w:b/>
          <w:i/>
          <w:sz w:val="22"/>
          <w:szCs w:val="22"/>
        </w:rPr>
        <w:t>licencias de funcionamiento</w:t>
      </w:r>
      <w:r>
        <w:rPr>
          <w:rFonts w:ascii="Palatino Linotype" w:eastAsia="Palatino Linotype" w:hAnsi="Palatino Linotype" w:cs="Palatino Linotype"/>
          <w:i/>
          <w:sz w:val="22"/>
          <w:szCs w:val="22"/>
        </w:rPr>
        <w:t xml:space="preserve"> o cualquier otra autorización administrativa que señalen las disposiciones legales y que se </w:t>
      </w:r>
      <w:r>
        <w:rPr>
          <w:rFonts w:ascii="Palatino Linotype" w:eastAsia="Palatino Linotype" w:hAnsi="Palatino Linotype" w:cs="Palatino Linotype"/>
          <w:b/>
          <w:i/>
          <w:sz w:val="22"/>
          <w:szCs w:val="22"/>
        </w:rPr>
        <w:t>relacionen con actividades comerciales</w:t>
      </w:r>
      <w:r>
        <w:rPr>
          <w:rFonts w:ascii="Palatino Linotype" w:eastAsia="Palatino Linotype" w:hAnsi="Palatino Linotype" w:cs="Palatino Linotype"/>
          <w:i/>
          <w:sz w:val="22"/>
          <w:szCs w:val="22"/>
        </w:rPr>
        <w:t xml:space="preserve">, industriales y de prestación de servicios, conforme a las normas jurídicas respectivas; </w:t>
      </w:r>
    </w:p>
    <w:p w14:paraId="67C0F4F0" w14:textId="77777777" w:rsidR="001C39B3" w:rsidRDefault="003D6FED">
      <w:pPr>
        <w:widowControl w:val="0"/>
        <w:tabs>
          <w:tab w:val="left" w:pos="1701"/>
          <w:tab w:val="left" w:pos="1843"/>
        </w:tabs>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XI. Requerir a las dependencias la expedición de los actos administrativos de su competencia que se tramiten a través de la Ventanilla Única;</w:t>
      </w:r>
    </w:p>
    <w:p w14:paraId="7081916C" w14:textId="77777777" w:rsidR="001C39B3" w:rsidRDefault="003D6FED">
      <w:pPr>
        <w:widowControl w:val="0"/>
        <w:tabs>
          <w:tab w:val="left" w:pos="1701"/>
          <w:tab w:val="left" w:pos="1843"/>
        </w:tabs>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35B4CE34" w14:textId="77777777" w:rsidR="001C39B3" w:rsidRDefault="003D6FED">
      <w:pPr>
        <w:widowControl w:val="0"/>
        <w:tabs>
          <w:tab w:val="left" w:pos="1701"/>
          <w:tab w:val="left" w:pos="1843"/>
        </w:tabs>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u w:val="single"/>
        </w:rPr>
        <w:t>XVII. Elaborar el padrón de comercios establecidos en el territorio municipal</w:t>
      </w:r>
      <w:r>
        <w:rPr>
          <w:rFonts w:ascii="Palatino Linotype" w:eastAsia="Palatino Linotype" w:hAnsi="Palatino Linotype" w:cs="Palatino Linotype"/>
          <w:i/>
          <w:sz w:val="22"/>
          <w:szCs w:val="22"/>
        </w:rPr>
        <w:t>;</w:t>
      </w:r>
    </w:p>
    <w:p w14:paraId="74575F01" w14:textId="77777777" w:rsidR="001C39B3" w:rsidRDefault="003D6FED">
      <w:pPr>
        <w:widowControl w:val="0"/>
        <w:tabs>
          <w:tab w:val="left" w:pos="1701"/>
          <w:tab w:val="left" w:pos="1843"/>
        </w:tabs>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56E49974" w14:textId="77777777" w:rsidR="001C39B3" w:rsidRDefault="003D6FED">
      <w:pPr>
        <w:widowControl w:val="0"/>
        <w:tabs>
          <w:tab w:val="left" w:pos="1701"/>
          <w:tab w:val="left" w:pos="1843"/>
        </w:tabs>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CAPÍTULO IX DE LA COORDINACIÓN DE GOBERNACIÓN, LICENCIAS Y PERMISOS </w:t>
      </w:r>
    </w:p>
    <w:p w14:paraId="1ADFED28" w14:textId="77777777" w:rsidR="001C39B3" w:rsidRDefault="003D6FED">
      <w:pPr>
        <w:widowControl w:val="0"/>
        <w:tabs>
          <w:tab w:val="left" w:pos="1701"/>
          <w:tab w:val="left" w:pos="1843"/>
        </w:tabs>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75. Corresponde a la Coordinación regular toda actividad comercial,</w:t>
      </w:r>
      <w:r>
        <w:rPr>
          <w:rFonts w:ascii="Palatino Linotype" w:eastAsia="Palatino Linotype" w:hAnsi="Palatino Linotype" w:cs="Palatino Linotype"/>
          <w:i/>
          <w:sz w:val="22"/>
          <w:szCs w:val="22"/>
        </w:rPr>
        <w:t xml:space="preserve"> industrial, de servicios y eventos públicos, así como lo concerniente a las actividades de publicidad de los mismos, los cuales requieren de licencia o permisos emitidos por dependencias federales, estatales y/o municipales acorde a su competencia sujetándose a la normatividad aplicable. </w:t>
      </w:r>
    </w:p>
    <w:p w14:paraId="1B99CE3B" w14:textId="77777777" w:rsidR="001C39B3" w:rsidRDefault="003D6FED">
      <w:pPr>
        <w:widowControl w:val="0"/>
        <w:tabs>
          <w:tab w:val="left" w:pos="1701"/>
          <w:tab w:val="left" w:pos="1843"/>
        </w:tabs>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El ejercicio de actividades económicas estará sujeto a lo estipulado por las Leyes de los órdenes Federal y Estatal así como en las disposiciones en la materia que para tal efecto emita el Ayuntamiento y serán obligatorias para los titulares de licencias de funcionamiento, permisos o autorización administrativa que acorde a su competencia se otorgue, sin dejar de observar en todo momento reformas, adiciones y/o derogaciones normativas emitidas por autoridad competente con posterioridad al otorgamiento de las mismas.</w:t>
      </w:r>
    </w:p>
    <w:p w14:paraId="768977D6" w14:textId="77777777" w:rsidR="001C39B3" w:rsidRDefault="003D6FED">
      <w:pPr>
        <w:widowControl w:val="0"/>
        <w:tabs>
          <w:tab w:val="left" w:pos="1701"/>
          <w:tab w:val="left" w:pos="1843"/>
        </w:tabs>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Artículo 76. Corresponde a la Coordinación de Gobernación, Licencias y Permisos las siguientes atribuciones: </w:t>
      </w:r>
    </w:p>
    <w:p w14:paraId="12C734BF" w14:textId="77777777" w:rsidR="001C39B3" w:rsidRDefault="003D6FED">
      <w:pPr>
        <w:widowControl w:val="0"/>
        <w:tabs>
          <w:tab w:val="left" w:pos="1701"/>
          <w:tab w:val="left" w:pos="1843"/>
        </w:tabs>
        <w:ind w:left="851" w:right="851"/>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I. Operar la Ventanilla Única de Gestión en coordinación con la Dirección de Desarrollo Económico; </w:t>
      </w:r>
    </w:p>
    <w:p w14:paraId="7F3F3B5B" w14:textId="77777777" w:rsidR="001C39B3" w:rsidRDefault="003D6FED">
      <w:pPr>
        <w:widowControl w:val="0"/>
        <w:tabs>
          <w:tab w:val="left" w:pos="1701"/>
          <w:tab w:val="left" w:pos="1843"/>
        </w:tabs>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 Inspeccionar, verificar y en su caso notificar todas aquellas actividades comerciales, industriales y de prestación de servicios que se realicen el municipio; III. Dar difusión de requisitos y procedimientos aplicables para la apertura de unidades económicas a través de medios oficiales; </w:t>
      </w:r>
    </w:p>
    <w:p w14:paraId="37D50633" w14:textId="77777777" w:rsidR="001C39B3" w:rsidRDefault="003D6FED">
      <w:pPr>
        <w:widowControl w:val="0"/>
        <w:tabs>
          <w:tab w:val="left" w:pos="1701"/>
          <w:tab w:val="left" w:pos="1843"/>
        </w:tabs>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IV. Requerir a las diversas dependencias la expedición de protocolos de actos administrativos dentro de su competencia que se tramitan a través de la Ventanilla Única; </w:t>
      </w:r>
    </w:p>
    <w:p w14:paraId="025B9AD6" w14:textId="77777777" w:rsidR="001C39B3" w:rsidRDefault="003D6FED">
      <w:pPr>
        <w:widowControl w:val="0"/>
        <w:tabs>
          <w:tab w:val="left" w:pos="1701"/>
          <w:tab w:val="left" w:pos="1843"/>
        </w:tabs>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 Establecer y dar difusión a los lineamientos de regularización y control de actividades comerciales, industriales y de prestación de servicios en coordinación </w:t>
      </w:r>
      <w:r>
        <w:rPr>
          <w:rFonts w:ascii="Palatino Linotype" w:eastAsia="Palatino Linotype" w:hAnsi="Palatino Linotype" w:cs="Palatino Linotype"/>
          <w:i/>
          <w:sz w:val="22"/>
          <w:szCs w:val="22"/>
        </w:rPr>
        <w:lastRenderedPageBreak/>
        <w:t xml:space="preserve">con las dependencias municipales competentes; </w:t>
      </w:r>
    </w:p>
    <w:p w14:paraId="0F4FC216" w14:textId="77777777" w:rsidR="001C39B3" w:rsidRDefault="003D6FED">
      <w:pPr>
        <w:widowControl w:val="0"/>
        <w:tabs>
          <w:tab w:val="left" w:pos="1701"/>
          <w:tab w:val="left" w:pos="1843"/>
        </w:tabs>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VI. Acorde a lo estipulado por los artículos 81, 82, 93 y 128 del Código de Procedimientos Administrativos del Estado de México: El personal de inspección, notificación y verificación podrá tomar evidencia fotográfica y videográfica como método de prueba en las diligencias que se practiquen; </w:t>
      </w:r>
    </w:p>
    <w:p w14:paraId="01D57E45" w14:textId="77777777" w:rsidR="001C39B3" w:rsidRDefault="003D6FED">
      <w:pPr>
        <w:widowControl w:val="0"/>
        <w:tabs>
          <w:tab w:val="left" w:pos="1701"/>
          <w:tab w:val="left" w:pos="1843"/>
        </w:tabs>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VII. Verificar que las unidades económicas de bajo, mediano y alto impacto donde se expendan bebidas alcohólicas cumplan en todo momento con los requisitos legales para su funcionamiento; </w:t>
      </w:r>
    </w:p>
    <w:p w14:paraId="7659D0FD" w14:textId="77777777" w:rsidR="001C39B3" w:rsidRDefault="003D6FED">
      <w:pPr>
        <w:widowControl w:val="0"/>
        <w:tabs>
          <w:tab w:val="left" w:pos="1701"/>
          <w:tab w:val="left" w:pos="1843"/>
        </w:tabs>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VIII. Ordenar, controlar, verificar e inspeccionar toda actividad comercial, industrial y de prestación de servicios; </w:t>
      </w:r>
    </w:p>
    <w:p w14:paraId="6EB37564" w14:textId="77777777" w:rsidR="001C39B3" w:rsidRDefault="003D6FED">
      <w:pPr>
        <w:widowControl w:val="0"/>
        <w:tabs>
          <w:tab w:val="left" w:pos="1701"/>
          <w:tab w:val="left" w:pos="1843"/>
        </w:tabs>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IX. Ordenar, controlar, verificar e inspeccionar toda actividad tendiente a publicitar servicios con fines de reclutamiento de personal, así como actividades tendientes a publicitar la oferta de productos y servicios en el municipio; </w:t>
      </w:r>
    </w:p>
    <w:p w14:paraId="75AB7B48" w14:textId="77777777" w:rsidR="001C39B3" w:rsidRDefault="003D6FED">
      <w:pPr>
        <w:widowControl w:val="0"/>
        <w:tabs>
          <w:tab w:val="left" w:pos="1701"/>
          <w:tab w:val="left" w:pos="1843"/>
        </w:tabs>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X. Verificar el cumplimiento de la normatividad municipal que regule actividades comerciales, industriales y de servicios determinando los lugares y espacios permitidos para su ejercicio en coordinación con las diversas dependencias municipales dentro de su competencia. Para tal efecto el personal de esta coordinación solicitará la documentación necesaria que así lo acredite; </w:t>
      </w:r>
    </w:p>
    <w:p w14:paraId="4EA56008" w14:textId="77777777" w:rsidR="001C39B3" w:rsidRDefault="003D6FED">
      <w:pPr>
        <w:widowControl w:val="0"/>
        <w:tabs>
          <w:tab w:val="left" w:pos="1701"/>
          <w:tab w:val="left" w:pos="1843"/>
        </w:tabs>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XI. Supervisar que los eventos públicos se desarrollen conforme a las disposiciones legales aplicables y se cumpla con los requisitos estipulados en el permiso correspondiente;</w:t>
      </w:r>
    </w:p>
    <w:p w14:paraId="3961FBE2" w14:textId="77777777" w:rsidR="001C39B3" w:rsidRDefault="003D6FED">
      <w:pPr>
        <w:widowControl w:val="0"/>
        <w:tabs>
          <w:tab w:val="left" w:pos="1701"/>
          <w:tab w:val="left" w:pos="1843"/>
        </w:tabs>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XII. Inspeccionar, vigilar y controlar el funcionamiento y la prestación de servicios de puestos semifijos que ejercen comercio en vía y espacios públicos verificando que cuenten con el respectivo permiso y el cumplimiento de disposiciones oficiales; </w:t>
      </w:r>
    </w:p>
    <w:p w14:paraId="7F08D2EE" w14:textId="77777777" w:rsidR="001C39B3" w:rsidRDefault="003D6FED">
      <w:pPr>
        <w:widowControl w:val="0"/>
        <w:tabs>
          <w:tab w:val="left" w:pos="1701"/>
          <w:tab w:val="left" w:pos="1843"/>
        </w:tabs>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XIII. Retirar estructuras y elementos de las Unidades Económicas y de puestos semifijos que incumplan la normatividad y sean empleados con la finalidad de ejercer actos de comercio y que no sean retirados voluntariamente o hayan sido abandonados por los propietarios, suspendiendo los efectos del permiso o licencia correspondiente; </w:t>
      </w:r>
    </w:p>
    <w:p w14:paraId="1090FFC1" w14:textId="77777777" w:rsidR="001C39B3" w:rsidRDefault="003D6FED">
      <w:pPr>
        <w:widowControl w:val="0"/>
        <w:tabs>
          <w:tab w:val="left" w:pos="1701"/>
          <w:tab w:val="left" w:pos="1843"/>
        </w:tabs>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XIV. Brindar la asesoría y apoyo correspondiente para el trámite y la obtención de autorización administrativa que otorguen autoridades federales y/o estatales que refiere la Ley de Competitividad y Ordenamiento Comercial del Estado de México y demás disposiciones aplicables; </w:t>
      </w:r>
    </w:p>
    <w:p w14:paraId="25B05C5E" w14:textId="77777777" w:rsidR="001C39B3" w:rsidRDefault="003D6FED">
      <w:pPr>
        <w:widowControl w:val="0"/>
        <w:tabs>
          <w:tab w:val="left" w:pos="1701"/>
          <w:tab w:val="left" w:pos="1843"/>
        </w:tabs>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XV. Vigilar que los mercados públicos funcionen de manera ordenada y realizar las acciones correspondientes para contener el comercio irregular en el interior y el exterior de los mismos; </w:t>
      </w:r>
    </w:p>
    <w:p w14:paraId="79D44009" w14:textId="77777777" w:rsidR="001C39B3" w:rsidRDefault="003D6FED">
      <w:pPr>
        <w:widowControl w:val="0"/>
        <w:tabs>
          <w:tab w:val="left" w:pos="1701"/>
          <w:tab w:val="left" w:pos="1843"/>
        </w:tabs>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XVI. Vigilar que las acciones de control, verificación e inspección de actividades comerciales, industriales y de prestación de servicios se realicen de manera oportuna, eficaz y planeada acorde a los ordenamientos jurídicos aplicables; </w:t>
      </w:r>
    </w:p>
    <w:p w14:paraId="5EA99AD2" w14:textId="77777777" w:rsidR="001C39B3" w:rsidRDefault="003D6FED">
      <w:pPr>
        <w:widowControl w:val="0"/>
        <w:tabs>
          <w:tab w:val="left" w:pos="1701"/>
          <w:tab w:val="left" w:pos="1843"/>
        </w:tabs>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 xml:space="preserve">XVII. Aplicar las sanciones correspondientes a personas físicas o jurídico colectivas que ejerzan actividades comerciales y de eventos públicos que contravengan lo estipulado en la Ley Orgánica Municipal del Estado de México, a la Ley de Competitividad y Ordenamiento Comercial del Estado de México y su Reglamente, a la Ley de Fomento Económico para el Estado de México, Ley de Eventos Públicos del Estado de México, el presente Bando y demás disposiciones relativas aplicables; </w:t>
      </w:r>
    </w:p>
    <w:p w14:paraId="2BA54661" w14:textId="77777777" w:rsidR="001C39B3" w:rsidRDefault="003D6FED">
      <w:pPr>
        <w:widowControl w:val="0"/>
        <w:tabs>
          <w:tab w:val="left" w:pos="1701"/>
          <w:tab w:val="left" w:pos="1843"/>
        </w:tabs>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XVIII. Realizar en coordinación con la Dirección de Desarrollo Económico la actualización permanente de padrones de unidades y organizaciones comerciales, industriales y de servicios con el fin de facilitar la identificación, procedencia, clasificación y control de quienes ejerzan tales actividades. Así como el desarrollo de catálogos y registros para la generación de bases de datos para la toma de decisiones; XIX. Tramitar y resolver los procedimientos administrativos que deban instaurarse con motivo de infracciones y sanciones en el ejercicio de la actividad comercial, así como en la prestación de servicios; </w:t>
      </w:r>
    </w:p>
    <w:p w14:paraId="7E89B3C7" w14:textId="77777777" w:rsidR="001C39B3" w:rsidRDefault="003D6FED">
      <w:pPr>
        <w:widowControl w:val="0"/>
        <w:tabs>
          <w:tab w:val="left" w:pos="1701"/>
          <w:tab w:val="left" w:pos="1843"/>
        </w:tabs>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XX. Coordinar entre las diversas dependencias municipales competentes para el otorgamiento de licencias y permisos para la apertura de unidades económicas;</w:t>
      </w:r>
    </w:p>
    <w:p w14:paraId="03C2D082" w14:textId="77777777" w:rsidR="001C39B3" w:rsidRDefault="003D6FED">
      <w:pPr>
        <w:widowControl w:val="0"/>
        <w:tabs>
          <w:tab w:val="left" w:pos="1701"/>
          <w:tab w:val="left" w:pos="1843"/>
        </w:tabs>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XXI. Suspender actividades comerciales que ejerzan personas físicas o jurídico colectivas que no cuenten con licencia o permiso correspondiente, sin perjuicio de las sanciones y medidas de seguridad y apremio que establezcan los diversos ordenamientos legales aplicables; </w:t>
      </w:r>
    </w:p>
    <w:p w14:paraId="63C5BE67" w14:textId="77777777" w:rsidR="001C39B3" w:rsidRDefault="003D6FED">
      <w:pPr>
        <w:widowControl w:val="0"/>
        <w:tabs>
          <w:tab w:val="left" w:pos="1701"/>
          <w:tab w:val="left" w:pos="1843"/>
        </w:tabs>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XXII. Inspeccionar, notificar, verificar y previo procedimiento administrativo sancionar a unidades económicas que sin autorización expresa obstaculice la vía pública en el ejercicio de su actividad;</w:t>
      </w:r>
    </w:p>
    <w:p w14:paraId="34265195" w14:textId="77777777" w:rsidR="001C39B3" w:rsidRDefault="003D6FED">
      <w:pPr>
        <w:widowControl w:val="0"/>
        <w:tabs>
          <w:tab w:val="left" w:pos="1701"/>
          <w:tab w:val="left" w:pos="1843"/>
        </w:tabs>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XXIII. Verificar y en su caso sancionar (previo proceso administrativo) a las unidades económicas y puestos semifijos que contravengan las disposiciones de horario y condiciones para el ejercicio de la actividad comercial citadas en la autorización administrativa otorgada; </w:t>
      </w:r>
    </w:p>
    <w:p w14:paraId="3D1484A4" w14:textId="77777777" w:rsidR="001C39B3" w:rsidRDefault="003D6FED">
      <w:pPr>
        <w:widowControl w:val="0"/>
        <w:tabs>
          <w:tab w:val="left" w:pos="1701"/>
          <w:tab w:val="left" w:pos="1843"/>
        </w:tabs>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XXIV. Regularizar en todas las vialidades del municipio todas aquellas unidades económicas, industriales y de prestación de servicios que obstruyan guarniciones, vías de comunicación y accesos a inmuebles que causen mala imagen urbana; XXV. Prohibir y en su caso sancionar a toda persona física o jurídico colectiva que ejerzan la actividad de taller de servicios automotrices, refaccionarias y/o vulcanizadoras que realicen sus actividades en vía pública. Aplicará de igual forma en el caso de exhibición de mercancías y enseres que no cuenten con la respectiva autorización; </w:t>
      </w:r>
    </w:p>
    <w:p w14:paraId="5731544E" w14:textId="77777777" w:rsidR="001C39B3" w:rsidRDefault="003D6FED">
      <w:pPr>
        <w:widowControl w:val="0"/>
        <w:tabs>
          <w:tab w:val="left" w:pos="1701"/>
          <w:tab w:val="left" w:pos="1843"/>
        </w:tabs>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XXVI. Suspender y en su caso clausurar previo proceso administrativo a las unidades económicas que expendan bebidas con cualquier grado de alcohol que no cumplan con lo estipulado por la Ley de Competitividad y Ordenamiento </w:t>
      </w:r>
      <w:r>
        <w:rPr>
          <w:rFonts w:ascii="Palatino Linotype" w:eastAsia="Palatino Linotype" w:hAnsi="Palatino Linotype" w:cs="Palatino Linotype"/>
          <w:i/>
          <w:sz w:val="22"/>
          <w:szCs w:val="22"/>
        </w:rPr>
        <w:lastRenderedPageBreak/>
        <w:t xml:space="preserve">Comercial del Estado de México y demás relativas aplicables; </w:t>
      </w:r>
    </w:p>
    <w:p w14:paraId="1A7C0E2D" w14:textId="77777777" w:rsidR="001C39B3" w:rsidRDefault="003D6FED">
      <w:pPr>
        <w:widowControl w:val="0"/>
        <w:tabs>
          <w:tab w:val="left" w:pos="1701"/>
          <w:tab w:val="left" w:pos="1843"/>
        </w:tabs>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XXVII. Se sancionará la venta de bebidas con cualquier grado de alcohol de consumo inmediato en las inmediaciones de planteles educativos; </w:t>
      </w:r>
    </w:p>
    <w:p w14:paraId="2438A606" w14:textId="77777777" w:rsidR="001C39B3" w:rsidRDefault="003D6FED">
      <w:pPr>
        <w:widowControl w:val="0"/>
        <w:tabs>
          <w:tab w:val="left" w:pos="1701"/>
          <w:tab w:val="left" w:pos="1843"/>
        </w:tabs>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XXVIII. Se colaborará e informará oportunamente a las personas titulares de la Presidencia Municipal y la Secretaría del Ayuntamiento de procedimiento administrativo diverso que pudiese devenir en conflicto social por causa del ejercicio de actividad comercial dentro del municipio, y </w:t>
      </w:r>
    </w:p>
    <w:p w14:paraId="2C45E735" w14:textId="77777777" w:rsidR="001C39B3" w:rsidRDefault="003D6FED">
      <w:pPr>
        <w:widowControl w:val="0"/>
        <w:tabs>
          <w:tab w:val="left" w:pos="1701"/>
          <w:tab w:val="left" w:pos="1843"/>
        </w:tabs>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XXIX. Dar puntual desahogo a lo estipulado en ordenamientos diversos dentro del campo de competencia referente a cualquier actividad comercial, industrial y de prestación de servicios. </w:t>
      </w:r>
    </w:p>
    <w:p w14:paraId="10C3AA7B" w14:textId="77777777" w:rsidR="001C39B3" w:rsidRDefault="003D6FED">
      <w:pPr>
        <w:widowControl w:val="0"/>
        <w:tabs>
          <w:tab w:val="left" w:pos="1701"/>
          <w:tab w:val="left" w:pos="1843"/>
        </w:tabs>
        <w:ind w:left="851" w:right="85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sz w:val="22"/>
          <w:szCs w:val="22"/>
        </w:rPr>
        <w:t>El Gobierno Municipal restringirá la venta de mercancías y frituras frente a edificios escolares y de servicios públicos, en horas de entrada y salida de escolares y de mayor afluencia de personas y tránsito vehicular, a través de la Coordinación de Gobernación, Licencias y Permisos”</w:t>
      </w:r>
    </w:p>
    <w:p w14:paraId="3D6FFC70" w14:textId="77777777" w:rsidR="001C39B3" w:rsidRDefault="001C39B3">
      <w:pPr>
        <w:spacing w:line="360" w:lineRule="auto"/>
        <w:jc w:val="both"/>
        <w:rPr>
          <w:rFonts w:ascii="Palatino Linotype" w:eastAsia="Palatino Linotype" w:hAnsi="Palatino Linotype" w:cs="Palatino Linotype"/>
          <w:color w:val="000000"/>
        </w:rPr>
      </w:pPr>
    </w:p>
    <w:p w14:paraId="0C3420AB" w14:textId="77777777" w:rsidR="001C39B3" w:rsidRDefault="003D6FE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En donde se advierte por una parte que la </w:t>
      </w:r>
      <w:r>
        <w:rPr>
          <w:rFonts w:ascii="Palatino Linotype" w:eastAsia="Palatino Linotype" w:hAnsi="Palatino Linotype" w:cs="Palatino Linotype"/>
        </w:rPr>
        <w:t>Dirección de Desarrollo Económico le corresponde el de expedir las licencias de funcionamiento a los establecimiento que se relacionen con actividades comerciales y elaborar el padrón de comercios establecidos en el territorio municipal y por otra parte la Coordinación de Gobernación, Licencias y Permisos, le corresponde el de  operar la ventanilla única de Gestión en coordinación con la Dirección de Desarrollo Económico y coordinarse entre las diversas dependencias municipales competentes para el otorgamiento de licencias para la apertura de unidades económicas.</w:t>
      </w:r>
    </w:p>
    <w:p w14:paraId="46D5FAA4" w14:textId="77777777" w:rsidR="001C39B3" w:rsidRDefault="001C39B3">
      <w:pPr>
        <w:spacing w:line="360" w:lineRule="auto"/>
        <w:jc w:val="both"/>
        <w:rPr>
          <w:rFonts w:ascii="Palatino Linotype" w:eastAsia="Palatino Linotype" w:hAnsi="Palatino Linotype" w:cs="Palatino Linotype"/>
          <w:color w:val="000000"/>
        </w:rPr>
      </w:pPr>
    </w:p>
    <w:p w14:paraId="19FD3A1A" w14:textId="77777777" w:rsidR="001C39B3" w:rsidRDefault="003D6FED">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Razones por las cuales lo procedente es ordenar una nueva búsqueda exhaustiva y razonable, del documento o documentos en donde conste lo siguiente:</w:t>
      </w:r>
    </w:p>
    <w:p w14:paraId="22AAA6BA" w14:textId="77777777" w:rsidR="001C39B3" w:rsidRDefault="003D6FED">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En formato Excel o en el que se haya generado:</w:t>
      </w:r>
    </w:p>
    <w:p w14:paraId="07CAF8A7" w14:textId="77777777" w:rsidR="001C39B3" w:rsidRDefault="003D6FED">
      <w:pPr>
        <w:numPr>
          <w:ilvl w:val="0"/>
          <w:numId w:val="4"/>
        </w:numPr>
        <w:pBdr>
          <w:top w:val="nil"/>
          <w:left w:val="nil"/>
          <w:bottom w:val="nil"/>
          <w:right w:val="nil"/>
          <w:between w:val="nil"/>
        </w:pBdr>
        <w:spacing w:line="360" w:lineRule="auto"/>
        <w:ind w:left="142" w:right="5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Registro Municipal de las licencias de funcionamiento otorgadas para la operación de establecimientos en los que se vende o consume bebidas alcohólicas, </w:t>
      </w:r>
      <w:r>
        <w:rPr>
          <w:rFonts w:ascii="Palatino Linotype" w:eastAsia="Palatino Linotype" w:hAnsi="Palatino Linotype" w:cs="Palatino Linotype"/>
          <w:color w:val="000000"/>
        </w:rPr>
        <w:lastRenderedPageBreak/>
        <w:t>y en donde conste</w:t>
      </w:r>
      <w:r>
        <w:rPr>
          <w:rFonts w:ascii="Palatino Linotype" w:eastAsia="Palatino Linotype" w:hAnsi="Palatino Linotype" w:cs="Palatino Linotype"/>
        </w:rPr>
        <w:t xml:space="preserve"> la</w:t>
      </w:r>
      <w:r>
        <w:rPr>
          <w:rFonts w:ascii="Palatino Linotype" w:eastAsia="Palatino Linotype" w:hAnsi="Palatino Linotype" w:cs="Palatino Linotype"/>
          <w:color w:val="000000"/>
        </w:rPr>
        <w:t xml:space="preserve"> dirección de los establecimientos, nombres y/o razones sociales de los titulares, vigente al diez de junio de dos mil veinticuatro.</w:t>
      </w:r>
    </w:p>
    <w:p w14:paraId="10B1D24C" w14:textId="77777777" w:rsidR="001C39B3" w:rsidRDefault="001C39B3">
      <w:pPr>
        <w:pBdr>
          <w:top w:val="nil"/>
          <w:left w:val="nil"/>
          <w:bottom w:val="nil"/>
          <w:right w:val="nil"/>
          <w:between w:val="nil"/>
        </w:pBdr>
        <w:spacing w:line="360" w:lineRule="auto"/>
        <w:ind w:left="142" w:right="51"/>
        <w:jc w:val="both"/>
        <w:rPr>
          <w:rFonts w:ascii="Palatino Linotype" w:eastAsia="Palatino Linotype" w:hAnsi="Palatino Linotype" w:cs="Palatino Linotype"/>
          <w:color w:val="000000"/>
        </w:rPr>
      </w:pPr>
    </w:p>
    <w:p w14:paraId="10DD66DC" w14:textId="77777777" w:rsidR="001C39B3" w:rsidRDefault="003D6FED">
      <w:pPr>
        <w:numPr>
          <w:ilvl w:val="0"/>
          <w:numId w:val="4"/>
        </w:numPr>
        <w:pBdr>
          <w:top w:val="nil"/>
          <w:left w:val="nil"/>
          <w:bottom w:val="nil"/>
          <w:right w:val="nil"/>
          <w:between w:val="nil"/>
        </w:pBdr>
        <w:spacing w:line="360" w:lineRule="auto"/>
        <w:ind w:left="142" w:right="5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Las licencias relativas a la actividad económica referida en la solicitud, vigentes al diez de junio de dos mil veinticuatro.</w:t>
      </w:r>
    </w:p>
    <w:p w14:paraId="18BFB0B5" w14:textId="77777777" w:rsidR="001C39B3" w:rsidRDefault="003D6FED">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Y en versión pública de ser procedente conforme a lo señalado en el considerando quinto del presente fallo. </w:t>
      </w:r>
    </w:p>
    <w:p w14:paraId="0CEADEBB" w14:textId="77777777" w:rsidR="001C39B3" w:rsidRDefault="003D6FED">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otro </w:t>
      </w:r>
      <w:proofErr w:type="gramStart"/>
      <w:r>
        <w:rPr>
          <w:rFonts w:ascii="Palatino Linotype" w:eastAsia="Palatino Linotype" w:hAnsi="Palatino Linotype" w:cs="Palatino Linotype"/>
        </w:rPr>
        <w:t>lado</w:t>
      </w:r>
      <w:proofErr w:type="gramEnd"/>
      <w:r>
        <w:rPr>
          <w:rFonts w:ascii="Palatino Linotype" w:eastAsia="Palatino Linotype" w:hAnsi="Palatino Linotype" w:cs="Palatino Linotype"/>
        </w:rPr>
        <w:t xml:space="preserve"> y en atención a que el particular requirió información sobre el giro o modalidad, dirección de los establecimientos, los nombres y/o razones sociales de los titulares, se procede a realizar las siguientes precisiones para determinar si dicha información es pública o confidencial: </w:t>
      </w:r>
    </w:p>
    <w:p w14:paraId="296F70A5" w14:textId="77777777" w:rsidR="001C39B3" w:rsidRDefault="003D6FED">
      <w:pPr>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por cuanto al </w:t>
      </w:r>
      <w:r>
        <w:rPr>
          <w:rFonts w:ascii="Palatino Linotype" w:eastAsia="Palatino Linotype" w:hAnsi="Palatino Linotype" w:cs="Palatino Linotype"/>
          <w:b/>
        </w:rPr>
        <w:t>Nombre del titular de la Licencia de funcionamiento (persona física):</w:t>
      </w:r>
    </w:p>
    <w:p w14:paraId="33413313" w14:textId="77777777" w:rsidR="001C39B3" w:rsidRDefault="001C39B3">
      <w:pPr>
        <w:spacing w:line="360" w:lineRule="auto"/>
        <w:jc w:val="both"/>
        <w:rPr>
          <w:rFonts w:ascii="Palatino Linotype" w:eastAsia="Palatino Linotype" w:hAnsi="Palatino Linotype" w:cs="Palatino Linotype"/>
        </w:rPr>
      </w:pPr>
    </w:p>
    <w:p w14:paraId="67511E2A" w14:textId="77777777" w:rsidR="001C39B3" w:rsidRDefault="003D6FED">
      <w:pPr>
        <w:spacing w:line="360" w:lineRule="auto"/>
        <w:ind w:right="-93"/>
        <w:jc w:val="both"/>
        <w:rPr>
          <w:rFonts w:ascii="Palatino Linotype" w:eastAsia="Palatino Linotype" w:hAnsi="Palatino Linotype" w:cs="Palatino Linotype"/>
          <w:b/>
        </w:rPr>
      </w:pPr>
      <w:r>
        <w:rPr>
          <w:rFonts w:ascii="Palatino Linotype" w:eastAsia="Palatino Linotype" w:hAnsi="Palatino Linotype" w:cs="Palatino Linotype"/>
        </w:rPr>
        <w:t xml:space="preserve">Al respecto, se considera que el nombre de una persona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Pr>
          <w:rFonts w:ascii="Palatino Linotype" w:eastAsia="Palatino Linotype" w:hAnsi="Palatino Linotype" w:cs="Palatino Linotype"/>
          <w:i/>
        </w:rPr>
        <w:t>per se</w:t>
      </w:r>
      <w:r>
        <w:rPr>
          <w:rFonts w:ascii="Palatino Linotype" w:eastAsia="Palatino Linotype" w:hAnsi="Palatino Linotype" w:cs="Palatino Linotype"/>
        </w:rPr>
        <w:t xml:space="preserve"> es un elemento que hace a una persona física identificada o identificable, por lo que, </w:t>
      </w:r>
      <w:r>
        <w:rPr>
          <w:rFonts w:ascii="Palatino Linotype" w:eastAsia="Palatino Linotype" w:hAnsi="Palatino Linotype" w:cs="Palatino Linotype"/>
          <w:b/>
        </w:rPr>
        <w:t>se considera un dato personal.</w:t>
      </w:r>
    </w:p>
    <w:p w14:paraId="2DFF2F4A" w14:textId="77777777" w:rsidR="001C39B3" w:rsidRDefault="001C39B3">
      <w:pPr>
        <w:spacing w:line="360" w:lineRule="auto"/>
        <w:ind w:right="-93"/>
        <w:jc w:val="both"/>
        <w:rPr>
          <w:rFonts w:ascii="Palatino Linotype" w:eastAsia="Palatino Linotype" w:hAnsi="Palatino Linotype" w:cs="Palatino Linotype"/>
          <w:b/>
        </w:rPr>
      </w:pPr>
    </w:p>
    <w:p w14:paraId="31C5F14A" w14:textId="77777777" w:rsidR="001C39B3" w:rsidRDefault="003D6FE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Sobre el tema, se tiene presente que este Instituto emitió el Criterio Relevante 01/18, de la Segunda Época de este Instituto, que establece que el nombre del titular de una </w:t>
      </w:r>
      <w:r>
        <w:rPr>
          <w:rFonts w:ascii="Palatino Linotype" w:eastAsia="Palatino Linotype" w:hAnsi="Palatino Linotype" w:cs="Palatino Linotype"/>
        </w:rPr>
        <w:lastRenderedPageBreak/>
        <w:t>licencia (persona física), como en el caso que nos ocupa, es información confidencial, cuando no involucra aprovechamiento de recursos públicos.</w:t>
      </w:r>
    </w:p>
    <w:p w14:paraId="11C681B2" w14:textId="77777777" w:rsidR="001C39B3" w:rsidRDefault="001C39B3">
      <w:pPr>
        <w:spacing w:line="360" w:lineRule="auto"/>
        <w:jc w:val="both"/>
        <w:rPr>
          <w:rFonts w:ascii="Palatino Linotype" w:eastAsia="Palatino Linotype" w:hAnsi="Palatino Linotype" w:cs="Palatino Linotype"/>
          <w:sz w:val="20"/>
          <w:szCs w:val="20"/>
        </w:rPr>
      </w:pPr>
    </w:p>
    <w:p w14:paraId="076A4D07" w14:textId="77777777" w:rsidR="001C39B3" w:rsidRDefault="003D6FED">
      <w:pPr>
        <w:ind w:left="567" w:right="567"/>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“Nombre del titular de una licencia que no involucre el aprovechamiento de bienes, servicios y/o recursos públicos, constituye un dato personal susceptible de clasificar como confidencial.</w:t>
      </w:r>
      <w:r>
        <w:rPr>
          <w:rFonts w:ascii="Palatino Linotype" w:eastAsia="Palatino Linotype" w:hAnsi="Palatino Linotype" w:cs="Palatino Linotype"/>
          <w:i/>
          <w:sz w:val="20"/>
          <w:szCs w:val="20"/>
        </w:rPr>
        <w:t xml:space="preserve"> El artículo 1, párrafo segundo de la Constitución Política de los Estados Unidos Mexicanos determina que las normas relativas a los derechos humanos se interpretarán de conformidad con la Constitución y con los tratados internacionales de la materia favoreciendo en todo tiempo a las personas la protección más amplia, por su parte el artículo 6, apartado A, fracciones I y II, de dicho ordenamiento establece que toda información en posesión de los sujetos obligados es pública y sólo podrá limitarse de manera justificada por razones de interés público, seguridad nacional, y para proteger la vida privada y datos personales en los términos precisados por las Leyes reglamentarias. Ahora bien, el artículo 92, fracción XXXII de la Ley de Transparencia y Acceso a la Información Pública del Estado de México y Municipios, señala que el nombre de los titulares de las licencias es un dato de carácter público, no obstante, para su aplicación, dicho numeral debe ser interpretado de manera armónica y sistemática con el ordenamiento reglamentario de la materia de transparencia y protección de datos personales, pues la intromisión a los datos personales de particulares únicamente se verá justificada cuando se involucre el aprovechamiento de bienes, servicios y/o recursos públicos en términos de lo dispuesto por los artículos 6, 92, fracción XXXII, 122 y 143, fracción I, de la Ley de Transparencia referida en concordancia con lo establecido por los numerales 6 y 15 de la Ley de Protección de Datos Personales en Posesión de Sujetos Obligados de la entidad. En ese sentido, el nombre de los titulares de licencias constituye un dato personal que debe ser tratado bajo los principios y términos de la ley reglamentaria de la materia, y para su publicidad se requerirá que la expedición de la licencia correspondiente involucre el aprovechamiento de bienes, servicios y/o recursos públicos, caso contrario se deberá clasificar como confidencial.”</w:t>
      </w:r>
    </w:p>
    <w:p w14:paraId="1419C456" w14:textId="77777777" w:rsidR="001C39B3" w:rsidRDefault="001C39B3">
      <w:pPr>
        <w:spacing w:line="360" w:lineRule="auto"/>
        <w:ind w:right="-93"/>
        <w:jc w:val="both"/>
        <w:rPr>
          <w:rFonts w:ascii="Palatino Linotype" w:eastAsia="Palatino Linotype" w:hAnsi="Palatino Linotype" w:cs="Palatino Linotype"/>
        </w:rPr>
      </w:pPr>
    </w:p>
    <w:p w14:paraId="3B8DD2F6" w14:textId="77777777" w:rsidR="001C39B3" w:rsidRDefault="003D6FED">
      <w:pPr>
        <w:spacing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En el Criterio en cita, se argumenta que si bien el nombre de los titulares de las licencias es un dato de carácter público, en términos del artículo 92, fracción XXXII de la Ley de Transparencia y Acceso a la Información Pública del Estado de México y Municipios, dicho precepto legal debe ser interpretado de manera armónica y sistemática, pues la intromisión a los datos personales de particulares únicamente se verá justificada cuando involucre el aprovechamiento de bienes, servicios o recursos públicos; por lo que constituye un dato personal, a menos que se actualice alguno de los supuestos previamente señalados.</w:t>
      </w:r>
    </w:p>
    <w:p w14:paraId="4AE2F84A" w14:textId="77777777" w:rsidR="001C39B3" w:rsidRDefault="003D6FED">
      <w:pPr>
        <w:spacing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lastRenderedPageBreak/>
        <w:t>No obstante, se considera que el nombre localizado en una licencia de funcionamiento, guarda cierto interés público, dado que cualquier actividad comercial, industrial o económica, es regulada por el Municipio de Malinalco dentro de su circunscripción territorial, pues ayuda a transparentar la gestión pública.</w:t>
      </w:r>
    </w:p>
    <w:p w14:paraId="005C0F52" w14:textId="77777777" w:rsidR="001C39B3" w:rsidRDefault="001C39B3">
      <w:pPr>
        <w:spacing w:line="360" w:lineRule="auto"/>
        <w:ind w:right="-93"/>
        <w:jc w:val="both"/>
        <w:rPr>
          <w:rFonts w:ascii="Palatino Linotype" w:eastAsia="Palatino Linotype" w:hAnsi="Palatino Linotype" w:cs="Palatino Linotype"/>
        </w:rPr>
      </w:pPr>
    </w:p>
    <w:p w14:paraId="66C4677F" w14:textId="77777777" w:rsidR="001C39B3" w:rsidRDefault="003D6FED">
      <w:pPr>
        <w:spacing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Al respecto, cabe puntualizar que las licencias, tal como se estableció en párrafos anteriores, se refiere a los documentos que contienen la autorización por parte del Ayuntamiento de Malinalco, a través de la Dirección de Desarrollo Económico, para que un particular o persona jurídica colectiva pueda realizar una actividad económica, comercial o industrial, regulada por las Leyes respectivas.</w:t>
      </w:r>
    </w:p>
    <w:p w14:paraId="17C36183" w14:textId="77777777" w:rsidR="001C39B3" w:rsidRDefault="001C39B3">
      <w:pPr>
        <w:spacing w:line="360" w:lineRule="auto"/>
        <w:ind w:right="-93"/>
        <w:jc w:val="both"/>
        <w:rPr>
          <w:rFonts w:ascii="Palatino Linotype" w:eastAsia="Palatino Linotype" w:hAnsi="Palatino Linotype" w:cs="Palatino Linotype"/>
        </w:rPr>
      </w:pPr>
    </w:p>
    <w:p w14:paraId="3D808F72" w14:textId="77777777" w:rsidR="001C39B3" w:rsidRDefault="003D6FED">
      <w:pPr>
        <w:spacing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 xml:space="preserve">En ese sentido, de acuerdo con el artículo 92, fracción XXXII de la Ley en cita, el legislador contempló como información de interés público y que debe estar disponible para consulta, aquellas licencias otorgadas, especificando </w:t>
      </w:r>
      <w:r>
        <w:rPr>
          <w:rFonts w:ascii="Palatino Linotype" w:eastAsia="Palatino Linotype" w:hAnsi="Palatino Linotype" w:cs="Palatino Linotype"/>
          <w:b/>
        </w:rPr>
        <w:t>el nombre de su titular</w:t>
      </w:r>
      <w:r>
        <w:rPr>
          <w:rFonts w:ascii="Palatino Linotype" w:eastAsia="Palatino Linotype" w:hAnsi="Palatino Linotype" w:cs="Palatino Linotype"/>
        </w:rPr>
        <w:t xml:space="preserve"> y las características principales. Lo anterior, en concordancia a lo establecido en la Ley General de Transparencia y Acceso a la Información Pública. </w:t>
      </w:r>
    </w:p>
    <w:p w14:paraId="080BCC61" w14:textId="77777777" w:rsidR="001C39B3" w:rsidRDefault="001C39B3">
      <w:pPr>
        <w:spacing w:line="360" w:lineRule="auto"/>
        <w:ind w:right="-93"/>
        <w:jc w:val="both"/>
        <w:rPr>
          <w:rFonts w:ascii="Palatino Linotype" w:eastAsia="Palatino Linotype" w:hAnsi="Palatino Linotype" w:cs="Palatino Linotype"/>
        </w:rPr>
      </w:pPr>
    </w:p>
    <w:p w14:paraId="47AC4F0C" w14:textId="77777777" w:rsidR="001C39B3" w:rsidRDefault="003D6FED">
      <w:pPr>
        <w:spacing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Ello, con la finalidad de asegurar su mayor difusión, que permita a los ciudadanos evaluar de manera permanente los indicadores más importantes de la gestión pública, como lo son, la autorización de licencias de funcionamiento, pues es facultad exclusiva de los Municipios, ver las cuestiones relacionadas con el tema en cuestión. Además, se incluyó el deber para los sujetos obligados de proporcionar, en la medida de lo posible, esta información con valor agregado, a efecto de facilitar su uso, comprensión y permitir evaluar su calidad, confiabilidad, oportunidad y veracidad.</w:t>
      </w:r>
    </w:p>
    <w:p w14:paraId="386166D6" w14:textId="77777777" w:rsidR="001C39B3" w:rsidRDefault="001C39B3">
      <w:pPr>
        <w:spacing w:line="360" w:lineRule="auto"/>
        <w:ind w:right="51"/>
        <w:jc w:val="both"/>
        <w:rPr>
          <w:rFonts w:ascii="Palatino Linotype" w:eastAsia="Palatino Linotype" w:hAnsi="Palatino Linotype" w:cs="Palatino Linotype"/>
        </w:rPr>
      </w:pPr>
    </w:p>
    <w:p w14:paraId="0BB2F3AA" w14:textId="77777777" w:rsidR="001C39B3" w:rsidRDefault="003D6FED">
      <w:pPr>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Sobre la </w:t>
      </w:r>
      <w:r>
        <w:rPr>
          <w:rFonts w:ascii="Palatino Linotype" w:eastAsia="Palatino Linotype" w:hAnsi="Palatino Linotype" w:cs="Palatino Linotype"/>
          <w:b/>
        </w:rPr>
        <w:t>clave catastral</w:t>
      </w:r>
      <w:r>
        <w:rPr>
          <w:rFonts w:ascii="Palatino Linotype" w:eastAsia="Palatino Linotype" w:hAnsi="Palatino Linotype" w:cs="Palatino Linotype"/>
        </w:rPr>
        <w:t xml:space="preserve"> debe decirse que artículo 179, fracción I del </w:t>
      </w:r>
      <w:r>
        <w:rPr>
          <w:rFonts w:ascii="Palatino Linotype" w:eastAsia="Palatino Linotype" w:hAnsi="Palatino Linotype" w:cs="Palatino Linotype"/>
          <w:i/>
        </w:rPr>
        <w:t>Código Financiero del Estado de México y Municipios,</w:t>
      </w:r>
      <w:r>
        <w:rPr>
          <w:rFonts w:ascii="Palatino Linotype" w:eastAsia="Palatino Linotype" w:hAnsi="Palatino Linotype" w:cs="Palatino Linotype"/>
        </w:rPr>
        <w:t xml:space="preserve"> refiere que la clave catastral es un código alfanumérico único e irrepetible, que se asigna para efectos de localización geográfica, identificación, inscripción, control y registro de los inmuebles; por lo que, integrado de dieciséis caracteres, los primeros tres identifican el código del municipio, los dos siguientes a la zona catastral, los subsecuentes tres a la manzana y los últimos dos, identifican el número de lote o predio.</w:t>
      </w:r>
    </w:p>
    <w:p w14:paraId="6B3A8504" w14:textId="77777777" w:rsidR="001C39B3" w:rsidRDefault="003D6FED">
      <w:pPr>
        <w:spacing w:before="240" w:after="24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Conforme a lo descrito, se advierte que el dato en comento, hace referencia a un predio determinado.</w:t>
      </w:r>
    </w:p>
    <w:p w14:paraId="3F0DD680" w14:textId="77777777" w:rsidR="001C39B3" w:rsidRDefault="003D6FED">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El “Diccionario de Datos catastrales Escala 1:1000” del Instituto Nacional de Estadística y Geografía (INEGI), contempla en su Glosario la definición de la Clave Catastral, la cual, apunta lo siguiente:</w:t>
      </w:r>
    </w:p>
    <w:p w14:paraId="10EAC37F" w14:textId="77777777" w:rsidR="001C39B3" w:rsidRDefault="003D6FED">
      <w:pPr>
        <w:spacing w:before="120" w:after="120"/>
        <w:ind w:left="709"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Clave Catastral</w:t>
      </w:r>
      <w:r>
        <w:rPr>
          <w:rFonts w:ascii="Palatino Linotype" w:eastAsia="Palatino Linotype" w:hAnsi="Palatino Linotype" w:cs="Palatino Linotype"/>
          <w:i/>
          <w:sz w:val="22"/>
          <w:szCs w:val="22"/>
        </w:rPr>
        <w:t>: El código que identifica al predio de forma única para su localización geográfica, mismo que es asignado a cada uno de ellos en el momento de su inscripción en el padrón catastral por las Unidades del Estado con atribuciones catastrales</w:t>
      </w:r>
      <w:proofErr w:type="gramStart"/>
      <w:r>
        <w:rPr>
          <w:rFonts w:ascii="Palatino Linotype" w:eastAsia="Palatino Linotype" w:hAnsi="Palatino Linotype" w:cs="Palatino Linotype"/>
          <w:i/>
          <w:sz w:val="22"/>
          <w:szCs w:val="22"/>
        </w:rPr>
        <w:t>.”(</w:t>
      </w:r>
      <w:proofErr w:type="gramEnd"/>
      <w:r>
        <w:rPr>
          <w:rFonts w:ascii="Palatino Linotype" w:eastAsia="Palatino Linotype" w:hAnsi="Palatino Linotype" w:cs="Palatino Linotype"/>
          <w:i/>
          <w:sz w:val="22"/>
          <w:szCs w:val="22"/>
        </w:rPr>
        <w:t>Sic)</w:t>
      </w:r>
    </w:p>
    <w:p w14:paraId="195A8E32" w14:textId="77777777" w:rsidR="001C39B3" w:rsidRDefault="003D6FED">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De los conceptos antepuestos, se advierte que la Clave Catastral es una serie de elementos que hacen identificable un inmueble para su localización geográfica y posterior inscripción al padrón catastral de cada Entidad Federativa y, quizá hasta podría revelar información inherente al patrimonio del propietario de dicho predio o inmueble, lo que no otorga ni certeza jurídica ni abona a la transparencia, ya que no se trata de actos de autoridad que ayuden a hacer público el quehacer de los servidores, por lo cual se considera que no es procedente la entrega de dicho dato.</w:t>
      </w:r>
    </w:p>
    <w:p w14:paraId="420DCA56" w14:textId="77777777" w:rsidR="001C39B3" w:rsidRDefault="003D6FED">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En cuanto al </w:t>
      </w:r>
      <w:r>
        <w:rPr>
          <w:rFonts w:ascii="Palatino Linotype" w:eastAsia="Palatino Linotype" w:hAnsi="Palatino Linotype" w:cs="Palatino Linotype"/>
          <w:b/>
        </w:rPr>
        <w:t>nombre de representante legal</w:t>
      </w:r>
      <w:r>
        <w:rPr>
          <w:rFonts w:ascii="Palatino Linotype" w:eastAsia="Palatino Linotype" w:hAnsi="Palatino Linotype" w:cs="Palatino Linotype"/>
        </w:rPr>
        <w:t>, al respecto, resulta necesario señalar que las personas jurídico colectivas son representadas mediante personas físicas, debidamente acreditadas para realizar determinados actos a nombre de la jurídico-colectiva, por lo que, el nombre de dichos individuos no puede ser objeto de clasificación, en virtud de que la representación persigue la finalidad de dar certeza jurídica a los actos que realiza, en el presente caso, solicitar y recibir diversas Licencias de Funcionamiento.</w:t>
      </w:r>
    </w:p>
    <w:p w14:paraId="26182B99" w14:textId="77777777" w:rsidR="001C39B3" w:rsidRDefault="003D6FED">
      <w:pPr>
        <w:widowControl w:val="0"/>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En ese sentido, el artículo 10 de la Ley General de Sociedades Mercantiles, establece que la representación de toda sociedad mercantil corresponderá a su administrador o administradores, quiénes podrán realizar todas las operaciones inherentes al objeto de la sociedad; por lo que, para que surtan efectos los poderes que otorgue dicha empresa bastará su protocolización ante notario público.</w:t>
      </w:r>
    </w:p>
    <w:p w14:paraId="084D44B5" w14:textId="77777777" w:rsidR="001C39B3" w:rsidRDefault="001C39B3">
      <w:pPr>
        <w:spacing w:line="360" w:lineRule="auto"/>
        <w:jc w:val="both"/>
        <w:rPr>
          <w:rFonts w:ascii="Palatino Linotype" w:eastAsia="Palatino Linotype" w:hAnsi="Palatino Linotype" w:cs="Palatino Linotype"/>
        </w:rPr>
      </w:pPr>
    </w:p>
    <w:p w14:paraId="1751891B" w14:textId="77777777" w:rsidR="001C39B3" w:rsidRDefault="003D6FE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En esa tesitura, la representación de las personas morales se realizará por medio de representantes o apoderados, y en el caso específico de las sociedades mercantiles, dicha representación se otorgará mediante instrumento público.</w:t>
      </w:r>
    </w:p>
    <w:p w14:paraId="2E0590E0" w14:textId="77777777" w:rsidR="001C39B3" w:rsidRDefault="001C39B3">
      <w:pPr>
        <w:spacing w:line="360" w:lineRule="auto"/>
        <w:jc w:val="both"/>
        <w:rPr>
          <w:rFonts w:ascii="Palatino Linotype" w:eastAsia="Palatino Linotype" w:hAnsi="Palatino Linotype" w:cs="Palatino Linotype"/>
        </w:rPr>
      </w:pPr>
    </w:p>
    <w:p w14:paraId="2693A077" w14:textId="77777777" w:rsidR="001C39B3" w:rsidRDefault="003D6FE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Ello, toda vez que la representación legal debe ser conocida para surtir efectos ante terceros; es decir, la publicidad de la misma tiene por objeto dar certeza a quienes se relacionan con la persona jurídico-colectiva representada, que las actuaciones de su representante están previamente autorizadas y que surtirán efectos legales a que constriñe cada acto.</w:t>
      </w:r>
    </w:p>
    <w:p w14:paraId="087FCCD3" w14:textId="77777777" w:rsidR="001C39B3" w:rsidRDefault="001C39B3">
      <w:pPr>
        <w:spacing w:line="360" w:lineRule="auto"/>
        <w:jc w:val="both"/>
        <w:rPr>
          <w:rFonts w:ascii="Palatino Linotype" w:eastAsia="Palatino Linotype" w:hAnsi="Palatino Linotype" w:cs="Palatino Linotype"/>
        </w:rPr>
      </w:pPr>
    </w:p>
    <w:p w14:paraId="29E17B18" w14:textId="77777777" w:rsidR="001C39B3" w:rsidRDefault="003D6FE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En ese orden de ideas, se estima que si bien, el nombre es uno de los atributos de la personalidad y la manifestación principal del derecho subjetivo a la identidad, en virtud de que hace una persona física identificada o identificable; lo cierto es que el nombre del apoderado legal de una empresa, </w:t>
      </w:r>
      <w:r>
        <w:rPr>
          <w:rFonts w:ascii="Palatino Linotype" w:eastAsia="Palatino Linotype" w:hAnsi="Palatino Linotype" w:cs="Palatino Linotype"/>
          <w:b/>
        </w:rPr>
        <w:t xml:space="preserve">es público, </w:t>
      </w:r>
      <w:r>
        <w:rPr>
          <w:rFonts w:ascii="Palatino Linotype" w:eastAsia="Palatino Linotype" w:hAnsi="Palatino Linotype" w:cs="Palatino Linotype"/>
        </w:rPr>
        <w:t xml:space="preserve">toda vez que por conducto de este, una persona jurídico-colectiva realiza cualquier acto jurídico; es decir, la publicidad de dicho dato da certeza a quienes se relacionan con la persona representada, partiendo del supuesto de que las actuaciones de su representante están previamente autorizadas y que surtirán los efectos legales a que se constriñe en cada acto. </w:t>
      </w:r>
    </w:p>
    <w:p w14:paraId="4A3C0349" w14:textId="77777777" w:rsidR="001C39B3" w:rsidRDefault="001C39B3">
      <w:pPr>
        <w:spacing w:line="360" w:lineRule="auto"/>
        <w:jc w:val="both"/>
        <w:rPr>
          <w:rFonts w:ascii="Palatino Linotype" w:eastAsia="Palatino Linotype" w:hAnsi="Palatino Linotype" w:cs="Palatino Linotype"/>
        </w:rPr>
      </w:pPr>
    </w:p>
    <w:p w14:paraId="7B56F0DE" w14:textId="77777777" w:rsidR="001C39B3" w:rsidRDefault="003D6FED">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Lo anterior, se robustece con el criterio 01/19, emitido por el Instituto Nacional de Transparencia, Acceso a la Información Pública y Protección de Datos Personales, que establece lo siguiente:</w:t>
      </w:r>
    </w:p>
    <w:p w14:paraId="51635D53" w14:textId="77777777" w:rsidR="001C39B3" w:rsidRDefault="001C39B3">
      <w:pPr>
        <w:spacing w:line="360" w:lineRule="auto"/>
        <w:ind w:left="567" w:right="567"/>
        <w:jc w:val="both"/>
        <w:rPr>
          <w:rFonts w:ascii="Palatino Linotype" w:eastAsia="Palatino Linotype" w:hAnsi="Palatino Linotype" w:cs="Palatino Linotype"/>
          <w:b/>
          <w:i/>
          <w:color w:val="000000"/>
        </w:rPr>
      </w:pPr>
    </w:p>
    <w:p w14:paraId="6C00098C" w14:textId="77777777" w:rsidR="001C39B3" w:rsidRDefault="003D6FED">
      <w:pPr>
        <w:ind w:left="567" w:right="53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“Datos de identificación del representante o apoderado legal.</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 xml:space="preserve">Naturaleza jurídica. </w:t>
      </w:r>
      <w:r>
        <w:rPr>
          <w:rFonts w:ascii="Palatino Linotype" w:eastAsia="Palatino Linotype" w:hAnsi="Palatino Linotype" w:cs="Palatino Linotype"/>
          <w:i/>
          <w:color w:val="000000"/>
          <w:sz w:val="22"/>
          <w:szCs w:val="22"/>
        </w:rPr>
        <w:t>El nombre, la firma y la rúbrica de una persona física, que actúe como representante o apoderado legal de un tercero que haya celebrado un acto jurídico, con algún sujeto obligado, es información pública, en razón de que tales datos fueron proporcionados con el objeto de expresar el consentimiento obligacional del tercero y otorgar validez a dicho instrumento jurídico</w:t>
      </w:r>
      <w:proofErr w:type="gramStart"/>
      <w:r>
        <w:rPr>
          <w:rFonts w:ascii="Palatino Linotype" w:eastAsia="Palatino Linotype" w:hAnsi="Palatino Linotype" w:cs="Palatino Linotype"/>
          <w:i/>
          <w:color w:val="000000"/>
          <w:sz w:val="22"/>
          <w:szCs w:val="22"/>
        </w:rPr>
        <w:t>.”(</w:t>
      </w:r>
      <w:proofErr w:type="gramEnd"/>
      <w:r>
        <w:rPr>
          <w:rFonts w:ascii="Palatino Linotype" w:eastAsia="Palatino Linotype" w:hAnsi="Palatino Linotype" w:cs="Palatino Linotype"/>
          <w:i/>
          <w:color w:val="000000"/>
          <w:sz w:val="22"/>
          <w:szCs w:val="22"/>
        </w:rPr>
        <w:t>Sic)</w:t>
      </w:r>
    </w:p>
    <w:p w14:paraId="587B3C3D" w14:textId="77777777" w:rsidR="001C39B3" w:rsidRDefault="001C39B3">
      <w:pPr>
        <w:spacing w:line="360" w:lineRule="auto"/>
        <w:jc w:val="both"/>
        <w:rPr>
          <w:rFonts w:ascii="Palatino Linotype" w:eastAsia="Palatino Linotype" w:hAnsi="Palatino Linotype" w:cs="Palatino Linotype"/>
        </w:rPr>
      </w:pPr>
    </w:p>
    <w:p w14:paraId="0AC2DE15" w14:textId="77777777" w:rsidR="001C39B3" w:rsidRDefault="003D6FE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Ante tales situaciones, el nombre del representante legal, de una persona jurídica colectiva que solicitó una Licencia de Funcionamiento, no es susceptible de ser clasificado como confidencial, en términos del artículo 143, fracción I de la Ley Federal de Transparencia y Acceso a la Información Pública; inclusive ayuda a rendir cuentas, de que dicha autorización fue entregada a la persona adecuada.</w:t>
      </w:r>
    </w:p>
    <w:p w14:paraId="70CE9103" w14:textId="77777777" w:rsidR="001C39B3" w:rsidRDefault="001C39B3">
      <w:pPr>
        <w:spacing w:line="360" w:lineRule="auto"/>
        <w:ind w:right="51"/>
        <w:jc w:val="both"/>
        <w:rPr>
          <w:rFonts w:ascii="Palatino Linotype" w:eastAsia="Palatino Linotype" w:hAnsi="Palatino Linotype" w:cs="Palatino Linotype"/>
        </w:rPr>
      </w:pPr>
    </w:p>
    <w:p w14:paraId="3F9E0192" w14:textId="77777777" w:rsidR="001C39B3" w:rsidRDefault="003D6FE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En cuanto al </w:t>
      </w:r>
      <w:r>
        <w:rPr>
          <w:rFonts w:ascii="Palatino Linotype" w:eastAsia="Palatino Linotype" w:hAnsi="Palatino Linotype" w:cs="Palatino Linotype"/>
          <w:b/>
        </w:rPr>
        <w:t>domicilio particular del titular de la licencia de funcionamiento y el domicilio del local o establecimiento comercial</w:t>
      </w:r>
      <w:r>
        <w:rPr>
          <w:rFonts w:ascii="Palatino Linotype" w:eastAsia="Palatino Linotype" w:hAnsi="Palatino Linotype" w:cs="Palatino Linotype"/>
        </w:rPr>
        <w:t>, es dable precisar que el código civil, lo define de la siguiente manera:</w:t>
      </w:r>
    </w:p>
    <w:p w14:paraId="2BAF2405" w14:textId="77777777" w:rsidR="001C39B3" w:rsidRDefault="001C39B3">
      <w:pPr>
        <w:spacing w:line="360" w:lineRule="auto"/>
        <w:jc w:val="both"/>
        <w:rPr>
          <w:rFonts w:ascii="Palatino Linotype" w:eastAsia="Palatino Linotype" w:hAnsi="Palatino Linotype" w:cs="Palatino Linotype"/>
        </w:rPr>
      </w:pPr>
    </w:p>
    <w:p w14:paraId="79058F75" w14:textId="77777777" w:rsidR="001C39B3" w:rsidRDefault="003D6FED">
      <w:pPr>
        <w:ind w:left="567" w:right="618"/>
        <w:jc w:val="both"/>
      </w:pPr>
      <w:r>
        <w:rPr>
          <w:rFonts w:ascii="Palatino Linotype" w:eastAsia="Palatino Linotype" w:hAnsi="Palatino Linotype" w:cs="Palatino Linotype"/>
          <w:i/>
          <w:color w:val="000000"/>
          <w:sz w:val="22"/>
          <w:szCs w:val="22"/>
        </w:rPr>
        <w:t>“Concepto de domicilio de las personas físicas Artículo 2.17.- El domicilio de una persona física es el lugar donde reside con el propósito de establecerse en él; a falta de éste, el lugar en que tiene el principal asiento de sus negocios; y a falta de uno y otro, el lugar en que se halle.”</w:t>
      </w:r>
      <w:r>
        <w:t xml:space="preserve"> </w:t>
      </w:r>
    </w:p>
    <w:p w14:paraId="655D6BD2" w14:textId="77777777" w:rsidR="001C39B3" w:rsidRDefault="001C39B3">
      <w:pPr>
        <w:spacing w:line="360" w:lineRule="auto"/>
        <w:jc w:val="both"/>
      </w:pPr>
    </w:p>
    <w:p w14:paraId="4BFE3BEB" w14:textId="77777777" w:rsidR="001C39B3" w:rsidRDefault="003D6FE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Entonces se identifica que el domicilio no solamente permite identificar a una persona, sino que la hace localizable de manera física. </w:t>
      </w:r>
    </w:p>
    <w:p w14:paraId="734D7E09" w14:textId="77777777" w:rsidR="001C39B3" w:rsidRDefault="001C39B3">
      <w:pPr>
        <w:spacing w:line="360" w:lineRule="auto"/>
        <w:jc w:val="both"/>
        <w:rPr>
          <w:rFonts w:ascii="Palatino Linotype" w:eastAsia="Palatino Linotype" w:hAnsi="Palatino Linotype" w:cs="Palatino Linotype"/>
        </w:rPr>
      </w:pPr>
    </w:p>
    <w:p w14:paraId="7EE90D09" w14:textId="77777777" w:rsidR="001C39B3" w:rsidRDefault="003D6FE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Ahora bien, en el caso que nos ocupa, el domicilio particular del titular de la licencia de funcionamiento, este dato se clasifica, en términos al criterio 01/18, del Instituto de Transparencia y Acceso a la Información Pública del Estado de México, ya señalado.</w:t>
      </w:r>
    </w:p>
    <w:p w14:paraId="4DA61684" w14:textId="77777777" w:rsidR="001C39B3" w:rsidRDefault="001C39B3">
      <w:pPr>
        <w:spacing w:line="360" w:lineRule="auto"/>
        <w:jc w:val="both"/>
        <w:rPr>
          <w:rFonts w:ascii="Palatino Linotype" w:eastAsia="Palatino Linotype" w:hAnsi="Palatino Linotype" w:cs="Palatino Linotype"/>
        </w:rPr>
      </w:pPr>
    </w:p>
    <w:p w14:paraId="77BAB6B8" w14:textId="77777777" w:rsidR="001C39B3" w:rsidRDefault="003D6FE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No así en cuanto al domicilio del local o establecimiento comercial, ya que se identifica que el domicilio sobre el cual versa la licencia de funcionamiento es información de naturaleza pública.</w:t>
      </w:r>
    </w:p>
    <w:p w14:paraId="510098D8" w14:textId="77777777" w:rsidR="001C39B3" w:rsidRDefault="001C39B3">
      <w:pPr>
        <w:spacing w:line="360" w:lineRule="auto"/>
        <w:jc w:val="both"/>
        <w:rPr>
          <w:rFonts w:ascii="Palatino Linotype" w:eastAsia="Palatino Linotype" w:hAnsi="Palatino Linotype" w:cs="Palatino Linotype"/>
        </w:rPr>
      </w:pPr>
    </w:p>
    <w:p w14:paraId="1EF474CE" w14:textId="77777777" w:rsidR="001C39B3" w:rsidRDefault="003D6FE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Del Registro Federal de Contribuyentes (RFC), en las licencias de funcionamiento, puede ser de personas físicas y morales.</w:t>
      </w:r>
    </w:p>
    <w:p w14:paraId="2331D09D" w14:textId="77777777" w:rsidR="001C39B3" w:rsidRDefault="001C39B3">
      <w:pPr>
        <w:spacing w:line="360" w:lineRule="auto"/>
        <w:jc w:val="both"/>
        <w:rPr>
          <w:rFonts w:ascii="Palatino Linotype" w:eastAsia="Palatino Linotype" w:hAnsi="Palatino Linotype" w:cs="Palatino Linotype"/>
        </w:rPr>
      </w:pPr>
    </w:p>
    <w:p w14:paraId="491CDF57" w14:textId="77777777" w:rsidR="001C39B3" w:rsidRDefault="003D6FE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El Registro Federal de Contribuyentes de personas físicas, es un dato personal, ya que hace a las personas físicas identificadas e identificables, además de que las </w:t>
      </w:r>
      <w:r>
        <w:rPr>
          <w:rFonts w:ascii="Palatino Linotype" w:eastAsia="Palatino Linotype" w:hAnsi="Palatino Linotype" w:cs="Palatino Linotype"/>
        </w:rPr>
        <w:lastRenderedPageBreak/>
        <w:t>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w:t>
      </w:r>
    </w:p>
    <w:p w14:paraId="73B0F14E" w14:textId="77777777" w:rsidR="001C39B3" w:rsidRDefault="001C39B3">
      <w:pPr>
        <w:spacing w:line="360" w:lineRule="auto"/>
        <w:jc w:val="both"/>
        <w:rPr>
          <w:rFonts w:ascii="Palatino Linotype" w:eastAsia="Palatino Linotype" w:hAnsi="Palatino Linotype" w:cs="Palatino Linotype"/>
        </w:rPr>
      </w:pPr>
    </w:p>
    <w:p w14:paraId="66264255" w14:textId="77777777" w:rsidR="001C39B3" w:rsidRDefault="003D6FE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Lo anterior, resulta congruente con el Criterio 19/17 emitido por el Instituto Nacional de Transparencia, Acceso a la Información y Protección de Datos Personales, en el cual se señala lo siguiente:</w:t>
      </w:r>
    </w:p>
    <w:p w14:paraId="64CBA09A" w14:textId="77777777" w:rsidR="001C39B3" w:rsidRDefault="001C39B3">
      <w:pPr>
        <w:spacing w:line="360" w:lineRule="auto"/>
        <w:jc w:val="both"/>
        <w:rPr>
          <w:rFonts w:ascii="Palatino Linotype" w:eastAsia="Palatino Linotype" w:hAnsi="Palatino Linotype" w:cs="Palatino Linotype"/>
        </w:rPr>
      </w:pPr>
    </w:p>
    <w:p w14:paraId="72DD1919" w14:textId="77777777" w:rsidR="001C39B3" w:rsidRDefault="003D6FED">
      <w:pPr>
        <w:ind w:left="567" w:right="61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“Registro Federal de Contribuyentes (RFC) de personas físicas. El RFC es una clave de carácter fiscal, única e irrepetible, que permite identificar al titular, su edad y fecha de nacimiento, por lo que es un dato personal de carácter confidencial.”</w:t>
      </w:r>
    </w:p>
    <w:p w14:paraId="2718B62A" w14:textId="77777777" w:rsidR="001C39B3" w:rsidRDefault="003D6FED">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En cuanto el giro o modalidad, se considera información pública ya que dar a conocer dicho dato no revela información que haga identificable a una persona física, por lo que no actualiza su confidencialidad que indica el artículo 143 de la Ley de la Materia. </w:t>
      </w:r>
    </w:p>
    <w:p w14:paraId="7A113A41" w14:textId="77777777" w:rsidR="001C39B3" w:rsidRDefault="003D6FE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Quinto. Versión Pública. </w:t>
      </w:r>
      <w:r>
        <w:rPr>
          <w:rFonts w:ascii="Palatino Linotype" w:eastAsia="Palatino Linotype" w:hAnsi="Palatino Linotype" w:cs="Palatino Linotype"/>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sin menoscabar el derecho a la protección de los datos personales de terceros.</w:t>
      </w:r>
    </w:p>
    <w:p w14:paraId="01F4B705" w14:textId="77777777" w:rsidR="001C39B3" w:rsidRDefault="003D6FED">
      <w:pPr>
        <w:spacing w:before="240" w:after="240" w:line="360" w:lineRule="auto"/>
        <w:ind w:right="50"/>
        <w:jc w:val="both"/>
        <w:rPr>
          <w:rFonts w:ascii="Palatino Linotype" w:eastAsia="Palatino Linotype" w:hAnsi="Palatino Linotype" w:cs="Palatino Linotype"/>
        </w:rPr>
      </w:pPr>
      <w:r>
        <w:rPr>
          <w:rFonts w:ascii="Palatino Linotype" w:eastAsia="Palatino Linotype" w:hAnsi="Palatino Linotype" w:cs="Palatino Linotype"/>
        </w:rPr>
        <w:lastRenderedPageBreak/>
        <w:t>Lo anterior, de conformidad a lo que señalan los artículos 3, fracciones IX, XX, XXXII, XLV; 6, 137 y 143 fracción I, de la Ley de Transparencia y Acceso a la Información Pública del Estado de México y Municipios vigente, que se leen como sigue:</w:t>
      </w:r>
    </w:p>
    <w:p w14:paraId="241DE168" w14:textId="77777777" w:rsidR="001C39B3" w:rsidRDefault="003D6FED">
      <w:pPr>
        <w:ind w:left="993" w:right="1041"/>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 “Artículo 3. Para los efectos de la presente Ley se entenderá por:</w:t>
      </w:r>
    </w:p>
    <w:p w14:paraId="295D1B2B" w14:textId="77777777" w:rsidR="001C39B3" w:rsidRDefault="003D6FED">
      <w:pPr>
        <w:ind w:left="993" w:right="104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IX. Datos personales:</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La información concerniente a una persona, identificada o identificable</w:t>
      </w:r>
      <w:r>
        <w:rPr>
          <w:rFonts w:ascii="Palatino Linotype" w:eastAsia="Palatino Linotype" w:hAnsi="Palatino Linotype" w:cs="Palatino Linotype"/>
          <w:i/>
          <w:sz w:val="22"/>
          <w:szCs w:val="22"/>
        </w:rPr>
        <w:t xml:space="preserve"> según lo dispuesto por la Ley de Protección de Datos Personales del Estado de México;</w:t>
      </w:r>
    </w:p>
    <w:p w14:paraId="73E7F691" w14:textId="77777777" w:rsidR="001C39B3" w:rsidRDefault="003D6FED">
      <w:pPr>
        <w:ind w:left="993" w:right="104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XX. Información clasificada:</w:t>
      </w:r>
      <w:r>
        <w:rPr>
          <w:rFonts w:ascii="Palatino Linotype" w:eastAsia="Palatino Linotype" w:hAnsi="Palatino Linotype" w:cs="Palatino Linotype"/>
          <w:i/>
          <w:sz w:val="22"/>
          <w:szCs w:val="22"/>
        </w:rPr>
        <w:t xml:space="preserve"> Aquella considerada por la presente Ley como reservada o confidencial;</w:t>
      </w:r>
    </w:p>
    <w:p w14:paraId="24EB107D" w14:textId="77777777" w:rsidR="001C39B3" w:rsidRDefault="003D6FED">
      <w:pPr>
        <w:ind w:left="993" w:right="104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XXXII. Protección de Datos Personales:</w:t>
      </w:r>
      <w:r>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68E44FF8" w14:textId="77777777" w:rsidR="001C39B3" w:rsidRDefault="003D6FED">
      <w:pPr>
        <w:ind w:left="993" w:right="104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XLV. Versión pública</w:t>
      </w:r>
      <w:r>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19DCBEA7" w14:textId="77777777" w:rsidR="001C39B3" w:rsidRDefault="001C39B3">
      <w:pPr>
        <w:ind w:left="993" w:right="1041"/>
        <w:jc w:val="both"/>
        <w:rPr>
          <w:rFonts w:ascii="Palatino Linotype" w:eastAsia="Palatino Linotype" w:hAnsi="Palatino Linotype" w:cs="Palatino Linotype"/>
          <w:i/>
          <w:sz w:val="22"/>
          <w:szCs w:val="22"/>
        </w:rPr>
      </w:pPr>
    </w:p>
    <w:p w14:paraId="448AD32D" w14:textId="77777777" w:rsidR="001C39B3" w:rsidRDefault="003D6FED">
      <w:pPr>
        <w:ind w:left="993" w:right="104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6.</w:t>
      </w:r>
      <w:r>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1CD43C44" w14:textId="77777777" w:rsidR="001C39B3" w:rsidRDefault="001C39B3">
      <w:pPr>
        <w:ind w:left="993" w:right="1041"/>
        <w:jc w:val="both"/>
        <w:rPr>
          <w:rFonts w:ascii="Palatino Linotype" w:eastAsia="Palatino Linotype" w:hAnsi="Palatino Linotype" w:cs="Palatino Linotype"/>
          <w:i/>
          <w:sz w:val="22"/>
          <w:szCs w:val="22"/>
        </w:rPr>
      </w:pPr>
    </w:p>
    <w:p w14:paraId="1518CB28" w14:textId="77777777" w:rsidR="001C39B3" w:rsidRDefault="003D6FED">
      <w:pPr>
        <w:ind w:left="993" w:right="1041"/>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“Artículo 137.</w:t>
      </w:r>
      <w:r>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733677D3" w14:textId="77777777" w:rsidR="001C39B3" w:rsidRDefault="001C39B3">
      <w:pPr>
        <w:ind w:left="993" w:right="1041"/>
        <w:jc w:val="both"/>
        <w:rPr>
          <w:rFonts w:ascii="Palatino Linotype" w:eastAsia="Palatino Linotype" w:hAnsi="Palatino Linotype" w:cs="Palatino Linotype"/>
          <w:b/>
          <w:i/>
          <w:sz w:val="22"/>
          <w:szCs w:val="22"/>
        </w:rPr>
      </w:pPr>
    </w:p>
    <w:p w14:paraId="0B9FBFA2" w14:textId="77777777" w:rsidR="001C39B3" w:rsidRDefault="003D6FED">
      <w:pPr>
        <w:ind w:left="993" w:right="104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143</w:t>
      </w:r>
      <w:r>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0A876593" w14:textId="77777777" w:rsidR="001C39B3" w:rsidRDefault="003D6FED">
      <w:pPr>
        <w:ind w:left="993" w:right="104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I.</w:t>
      </w:r>
      <w:r>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075062F7" w14:textId="77777777" w:rsidR="001C39B3" w:rsidRDefault="003D6FED">
      <w:pPr>
        <w:ind w:left="993" w:right="104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31F157CD" w14:textId="77777777" w:rsidR="001C39B3" w:rsidRDefault="003D6FED">
      <w:pPr>
        <w:ind w:left="993" w:right="104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 (Sic)</w:t>
      </w:r>
    </w:p>
    <w:p w14:paraId="12C2248C" w14:textId="77777777" w:rsidR="001C39B3" w:rsidRDefault="001C39B3">
      <w:pPr>
        <w:ind w:left="993" w:right="1041"/>
        <w:jc w:val="both"/>
        <w:rPr>
          <w:rFonts w:ascii="Palatino Linotype" w:eastAsia="Palatino Linotype" w:hAnsi="Palatino Linotype" w:cs="Palatino Linotype"/>
          <w:i/>
          <w:sz w:val="22"/>
          <w:szCs w:val="22"/>
        </w:rPr>
      </w:pPr>
    </w:p>
    <w:p w14:paraId="3D00D6DE" w14:textId="77777777" w:rsidR="001C39B3" w:rsidRDefault="003D6FED">
      <w:pPr>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para satisfacer el derecho de acceso a la información pública de la parte </w:t>
      </w:r>
      <w:r>
        <w:rPr>
          <w:rFonts w:ascii="Palatino Linotype" w:eastAsia="Palatino Linotype" w:hAnsi="Palatino Linotype" w:cs="Palatino Linotype"/>
          <w:b/>
        </w:rPr>
        <w:t>RECURRENTE</w:t>
      </w:r>
      <w:r>
        <w:rPr>
          <w:rFonts w:ascii="Palatino Linotype" w:eastAsia="Palatino Linotype" w:hAnsi="Palatino Linotype" w:cs="Palatino Linotype"/>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643FCB7A" w14:textId="77777777" w:rsidR="001C39B3" w:rsidRDefault="001C39B3">
      <w:pPr>
        <w:spacing w:line="360" w:lineRule="auto"/>
        <w:ind w:right="51"/>
        <w:jc w:val="both"/>
        <w:rPr>
          <w:rFonts w:ascii="Palatino Linotype" w:eastAsia="Palatino Linotype" w:hAnsi="Palatino Linotype" w:cs="Palatino Linotype"/>
        </w:rPr>
      </w:pPr>
    </w:p>
    <w:p w14:paraId="7E6DF66F" w14:textId="77777777" w:rsidR="001C39B3" w:rsidRDefault="003D6FED">
      <w:pPr>
        <w:spacing w:line="360" w:lineRule="auto"/>
        <w:ind w:right="50"/>
        <w:jc w:val="both"/>
        <w:rPr>
          <w:rFonts w:ascii="Palatino Linotype" w:eastAsia="Palatino Linotype" w:hAnsi="Palatino Linotype" w:cs="Palatino Linotype"/>
        </w:rPr>
      </w:pPr>
      <w:r>
        <w:rPr>
          <w:rFonts w:ascii="Palatino Linotype" w:eastAsia="Palatino Linotype" w:hAnsi="Palatino Linotype" w:cs="Palatino Linotype"/>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5B940ED6" w14:textId="77777777" w:rsidR="001C39B3" w:rsidRDefault="001C39B3">
      <w:pPr>
        <w:spacing w:line="360" w:lineRule="auto"/>
        <w:ind w:right="50"/>
        <w:jc w:val="both"/>
        <w:rPr>
          <w:rFonts w:ascii="Palatino Linotype" w:eastAsia="Palatino Linotype" w:hAnsi="Palatino Linotype" w:cs="Palatino Linotype"/>
        </w:rPr>
      </w:pPr>
    </w:p>
    <w:p w14:paraId="5A0A1403" w14:textId="77777777" w:rsidR="001C39B3" w:rsidRDefault="003D6FED">
      <w:pPr>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En ese contexto, la clasificación de la información no opera con la simple supresión de datos que se haga en los documentos de que se trate o con la simple decisión que tome el Servidor Público Habilitado o el </w:t>
      </w:r>
      <w:proofErr w:type="gramStart"/>
      <w:r>
        <w:rPr>
          <w:rFonts w:ascii="Palatino Linotype" w:eastAsia="Palatino Linotype" w:hAnsi="Palatino Linotype" w:cs="Palatino Linotype"/>
        </w:rPr>
        <w:t>Responsable</w:t>
      </w:r>
      <w:proofErr w:type="gramEnd"/>
      <w:r>
        <w:rPr>
          <w:rFonts w:ascii="Palatino Linotype" w:eastAsia="Palatino Linotype" w:hAnsi="Palatino Linotype" w:cs="Palatino Linotype"/>
        </w:rPr>
        <w:t xml:space="preserve"> de la Unidad de Transparencia del Sujeto Obligado, sino que ello deberá realizarse en términos de lo que disponen los artículos 49 fracción VIII, 53, fracción X y 59, fracción V, de la Ley en consulta, cuyo sentido literal es el siguiente:</w:t>
      </w:r>
    </w:p>
    <w:p w14:paraId="4FAEA2FC" w14:textId="77777777" w:rsidR="001C39B3" w:rsidRDefault="001C39B3">
      <w:pPr>
        <w:spacing w:line="360" w:lineRule="auto"/>
        <w:ind w:right="51"/>
        <w:jc w:val="both"/>
        <w:rPr>
          <w:rFonts w:ascii="Palatino Linotype" w:eastAsia="Palatino Linotype" w:hAnsi="Palatino Linotype" w:cs="Palatino Linotype"/>
        </w:rPr>
      </w:pPr>
    </w:p>
    <w:p w14:paraId="79AF8CF6" w14:textId="77777777" w:rsidR="001C39B3" w:rsidRDefault="003D6FED">
      <w:pPr>
        <w:ind w:left="992" w:right="1043"/>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49.</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Los Comités de Transparencia</w:t>
      </w:r>
      <w:r>
        <w:rPr>
          <w:rFonts w:ascii="Palatino Linotype" w:eastAsia="Palatino Linotype" w:hAnsi="Palatino Linotype" w:cs="Palatino Linotype"/>
          <w:i/>
          <w:sz w:val="22"/>
          <w:szCs w:val="22"/>
        </w:rPr>
        <w:t xml:space="preserve"> tendrán las siguientes atribuciones:</w:t>
      </w:r>
    </w:p>
    <w:p w14:paraId="5EBFBD64" w14:textId="77777777" w:rsidR="001C39B3" w:rsidRDefault="003D6FED">
      <w:pPr>
        <w:ind w:left="992" w:right="1043"/>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VIII. Aprobar, modificar o revocar la clasificación de la información</w:t>
      </w:r>
      <w:r>
        <w:rPr>
          <w:rFonts w:ascii="Palatino Linotype" w:eastAsia="Palatino Linotype" w:hAnsi="Palatino Linotype" w:cs="Palatino Linotype"/>
          <w:i/>
          <w:sz w:val="22"/>
          <w:szCs w:val="22"/>
        </w:rPr>
        <w:t>…”</w:t>
      </w:r>
    </w:p>
    <w:p w14:paraId="7CD1811D" w14:textId="77777777" w:rsidR="001C39B3" w:rsidRDefault="003D6FED">
      <w:pPr>
        <w:ind w:left="992" w:right="104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53.</w:t>
      </w:r>
      <w:r>
        <w:rPr>
          <w:rFonts w:ascii="Palatino Linotype" w:eastAsia="Palatino Linotype" w:hAnsi="Palatino Linotype" w:cs="Palatino Linotype"/>
          <w:i/>
          <w:sz w:val="22"/>
          <w:szCs w:val="22"/>
        </w:rPr>
        <w:t xml:space="preserve"> Las </w:t>
      </w:r>
      <w:r>
        <w:rPr>
          <w:rFonts w:ascii="Palatino Linotype" w:eastAsia="Palatino Linotype" w:hAnsi="Palatino Linotype" w:cs="Palatino Linotype"/>
          <w:b/>
          <w:i/>
          <w:sz w:val="22"/>
          <w:szCs w:val="22"/>
        </w:rPr>
        <w:t>Unidades de Transparencia</w:t>
      </w:r>
      <w:r>
        <w:rPr>
          <w:rFonts w:ascii="Palatino Linotype" w:eastAsia="Palatino Linotype" w:hAnsi="Palatino Linotype" w:cs="Palatino Linotype"/>
          <w:i/>
          <w:sz w:val="22"/>
          <w:szCs w:val="22"/>
        </w:rPr>
        <w:t xml:space="preserve"> tendrán las siguientes </w:t>
      </w:r>
      <w:r>
        <w:rPr>
          <w:rFonts w:ascii="Palatino Linotype" w:eastAsia="Palatino Linotype" w:hAnsi="Palatino Linotype" w:cs="Palatino Linotype"/>
          <w:b/>
          <w:i/>
          <w:sz w:val="22"/>
          <w:szCs w:val="22"/>
        </w:rPr>
        <w:t>funciones</w:t>
      </w:r>
      <w:r>
        <w:rPr>
          <w:rFonts w:ascii="Palatino Linotype" w:eastAsia="Palatino Linotype" w:hAnsi="Palatino Linotype" w:cs="Palatino Linotype"/>
          <w:i/>
          <w:sz w:val="22"/>
          <w:szCs w:val="22"/>
        </w:rPr>
        <w:t>:</w:t>
      </w:r>
    </w:p>
    <w:p w14:paraId="0C5322EF" w14:textId="77777777" w:rsidR="001C39B3" w:rsidRDefault="003D6FED">
      <w:pPr>
        <w:ind w:left="992" w:right="1043"/>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 Presentar ante el Comité, el proyecto de clasificación de información</w:t>
      </w:r>
      <w:r>
        <w:rPr>
          <w:rFonts w:ascii="Palatino Linotype" w:eastAsia="Palatino Linotype" w:hAnsi="Palatino Linotype" w:cs="Palatino Linotype"/>
          <w:i/>
          <w:sz w:val="22"/>
          <w:szCs w:val="22"/>
        </w:rPr>
        <w:t xml:space="preserve">…” </w:t>
      </w:r>
    </w:p>
    <w:p w14:paraId="6C6FE5CA" w14:textId="77777777" w:rsidR="001C39B3" w:rsidRDefault="003D6FED">
      <w:pPr>
        <w:ind w:left="992" w:right="1043"/>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59.</w:t>
      </w:r>
      <w:r>
        <w:rPr>
          <w:rFonts w:ascii="Palatino Linotype" w:eastAsia="Palatino Linotype" w:hAnsi="Palatino Linotype" w:cs="Palatino Linotype"/>
          <w:i/>
          <w:sz w:val="22"/>
          <w:szCs w:val="22"/>
        </w:rPr>
        <w:t xml:space="preserve"> Los </w:t>
      </w:r>
      <w:r>
        <w:rPr>
          <w:rFonts w:ascii="Palatino Linotype" w:eastAsia="Palatino Linotype" w:hAnsi="Palatino Linotype" w:cs="Palatino Linotype"/>
          <w:b/>
          <w:i/>
          <w:sz w:val="22"/>
          <w:szCs w:val="22"/>
        </w:rPr>
        <w:t>servidores públicos habilitados</w:t>
      </w:r>
      <w:r>
        <w:rPr>
          <w:rFonts w:ascii="Palatino Linotype" w:eastAsia="Palatino Linotype" w:hAnsi="Palatino Linotype" w:cs="Palatino Linotype"/>
          <w:i/>
          <w:sz w:val="22"/>
          <w:szCs w:val="22"/>
        </w:rPr>
        <w:t xml:space="preserve"> tendrán las </w:t>
      </w:r>
      <w:r>
        <w:rPr>
          <w:rFonts w:ascii="Palatino Linotype" w:eastAsia="Palatino Linotype" w:hAnsi="Palatino Linotype" w:cs="Palatino Linotype"/>
          <w:b/>
          <w:i/>
          <w:sz w:val="22"/>
          <w:szCs w:val="22"/>
        </w:rPr>
        <w:t>funciones</w:t>
      </w:r>
      <w:r>
        <w:rPr>
          <w:rFonts w:ascii="Palatino Linotype" w:eastAsia="Palatino Linotype" w:hAnsi="Palatino Linotype" w:cs="Palatino Linotype"/>
          <w:i/>
          <w:sz w:val="22"/>
          <w:szCs w:val="22"/>
        </w:rPr>
        <w:t xml:space="preserve"> siguientes:</w:t>
      </w:r>
    </w:p>
    <w:p w14:paraId="1BCF74B7" w14:textId="77777777" w:rsidR="001C39B3" w:rsidRDefault="003D6FED">
      <w:pPr>
        <w:ind w:left="992" w:right="1043"/>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 Integrar y presentar al responsable de la Unidad de Transparencia la propuesta de clasificación de información</w:t>
      </w:r>
      <w:r>
        <w:rPr>
          <w:rFonts w:ascii="Palatino Linotype" w:eastAsia="Palatino Linotype" w:hAnsi="Palatino Linotype" w:cs="Palatino Linotype"/>
          <w:i/>
          <w:sz w:val="22"/>
          <w:szCs w:val="22"/>
        </w:rPr>
        <w:t>, la cual tendrá los fundamentos y argumentos en que se basa dicha propuesta</w:t>
      </w:r>
      <w:proofErr w:type="gramStart"/>
      <w:r>
        <w:rPr>
          <w:rFonts w:ascii="Palatino Linotype" w:eastAsia="Palatino Linotype" w:hAnsi="Palatino Linotype" w:cs="Palatino Linotype"/>
          <w:i/>
          <w:sz w:val="22"/>
          <w:szCs w:val="22"/>
        </w:rPr>
        <w:t>…”(</w:t>
      </w:r>
      <w:proofErr w:type="gramEnd"/>
      <w:r>
        <w:rPr>
          <w:rFonts w:ascii="Palatino Linotype" w:eastAsia="Palatino Linotype" w:hAnsi="Palatino Linotype" w:cs="Palatino Linotype"/>
          <w:i/>
          <w:sz w:val="22"/>
          <w:szCs w:val="22"/>
        </w:rPr>
        <w:t>Sic)</w:t>
      </w:r>
    </w:p>
    <w:p w14:paraId="00BD4D67" w14:textId="77777777" w:rsidR="001C39B3" w:rsidRDefault="001C39B3">
      <w:pPr>
        <w:ind w:left="992" w:right="1043"/>
        <w:jc w:val="both"/>
        <w:rPr>
          <w:rFonts w:ascii="Palatino Linotype" w:eastAsia="Palatino Linotype" w:hAnsi="Palatino Linotype" w:cs="Palatino Linotype"/>
          <w:i/>
          <w:sz w:val="22"/>
          <w:szCs w:val="22"/>
        </w:rPr>
      </w:pPr>
    </w:p>
    <w:p w14:paraId="794F0F61" w14:textId="77777777" w:rsidR="001C39B3" w:rsidRDefault="003D6FE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690DE776" w14:textId="77777777" w:rsidR="001C39B3" w:rsidRDefault="001C39B3">
      <w:pPr>
        <w:spacing w:line="360" w:lineRule="auto"/>
        <w:jc w:val="both"/>
        <w:rPr>
          <w:rFonts w:ascii="Palatino Linotype" w:eastAsia="Palatino Linotype" w:hAnsi="Palatino Linotype" w:cs="Palatino Linotype"/>
        </w:rPr>
      </w:pPr>
    </w:p>
    <w:p w14:paraId="55757C66" w14:textId="77777777" w:rsidR="001C39B3" w:rsidRDefault="003D6FE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Para lo cual, a su vez en el caso de información de carácter confidencial, se debe atender a lo que señala el artículo 149 de la Ley de Transparencia Local vigente, que se lee como sigue:</w:t>
      </w:r>
    </w:p>
    <w:p w14:paraId="1732296D" w14:textId="77777777" w:rsidR="001C39B3" w:rsidRDefault="001C39B3">
      <w:pPr>
        <w:spacing w:line="360" w:lineRule="auto"/>
        <w:jc w:val="both"/>
        <w:rPr>
          <w:rFonts w:ascii="Palatino Linotype" w:eastAsia="Palatino Linotype" w:hAnsi="Palatino Linotype" w:cs="Palatino Linotype"/>
        </w:rPr>
      </w:pPr>
    </w:p>
    <w:p w14:paraId="7A6C024D" w14:textId="77777777" w:rsidR="001C39B3" w:rsidRDefault="003D6FED">
      <w:pPr>
        <w:spacing w:after="240"/>
        <w:ind w:left="993" w:right="104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149.</w:t>
      </w:r>
      <w:r>
        <w:rPr>
          <w:rFonts w:ascii="Palatino Linotype" w:eastAsia="Palatino Linotype" w:hAnsi="Palatino Linotype" w:cs="Palatino Linotype"/>
          <w:i/>
          <w:sz w:val="22"/>
          <w:szCs w:val="22"/>
        </w:rPr>
        <w:t xml:space="preserve"> El </w:t>
      </w:r>
      <w:r>
        <w:rPr>
          <w:rFonts w:ascii="Palatino Linotype" w:eastAsia="Palatino Linotype" w:hAnsi="Palatino Linotype" w:cs="Palatino Linotype"/>
          <w:b/>
          <w:i/>
          <w:sz w:val="22"/>
          <w:szCs w:val="22"/>
        </w:rPr>
        <w:t>acuerdo que clasifique la información como confidencial</w:t>
      </w:r>
      <w:r>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w:t>
      </w:r>
      <w:proofErr w:type="gramStart"/>
      <w:r>
        <w:rPr>
          <w:rFonts w:ascii="Palatino Linotype" w:eastAsia="Palatino Linotype" w:hAnsi="Palatino Linotype" w:cs="Palatino Linotype"/>
          <w:i/>
          <w:sz w:val="22"/>
          <w:szCs w:val="22"/>
        </w:rPr>
        <w:t>.”(</w:t>
      </w:r>
      <w:proofErr w:type="gramEnd"/>
      <w:r>
        <w:rPr>
          <w:rFonts w:ascii="Palatino Linotype" w:eastAsia="Palatino Linotype" w:hAnsi="Palatino Linotype" w:cs="Palatino Linotype"/>
          <w:i/>
          <w:sz w:val="22"/>
          <w:szCs w:val="22"/>
        </w:rPr>
        <w:t>Sic)</w:t>
      </w:r>
    </w:p>
    <w:p w14:paraId="1CA13DA9" w14:textId="77777777" w:rsidR="001C39B3" w:rsidRDefault="001C39B3">
      <w:pPr>
        <w:spacing w:before="240" w:line="360" w:lineRule="auto"/>
        <w:ind w:right="51"/>
        <w:jc w:val="both"/>
        <w:rPr>
          <w:rFonts w:ascii="Palatino Linotype" w:eastAsia="Palatino Linotype" w:hAnsi="Palatino Linotype" w:cs="Palatino Linotype"/>
          <w:i/>
          <w:sz w:val="22"/>
          <w:szCs w:val="22"/>
        </w:rPr>
      </w:pPr>
    </w:p>
    <w:p w14:paraId="70C72F45" w14:textId="77777777" w:rsidR="001C39B3" w:rsidRDefault="003D6FED">
      <w:pPr>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Es decir,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246D50B8" w14:textId="77777777" w:rsidR="001C39B3" w:rsidRDefault="001C39B3">
      <w:pPr>
        <w:spacing w:line="360" w:lineRule="auto"/>
        <w:jc w:val="both"/>
        <w:rPr>
          <w:rFonts w:ascii="Palatino Linotype" w:eastAsia="Palatino Linotype" w:hAnsi="Palatino Linotype" w:cs="Palatino Linotype"/>
        </w:rPr>
      </w:pPr>
    </w:p>
    <w:p w14:paraId="10BE76D7" w14:textId="77777777" w:rsidR="001C39B3" w:rsidRDefault="003D6FE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Al respecto, se destaca que la versión pública que elabore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Pr>
          <w:rFonts w:ascii="Palatino Linotype" w:eastAsia="Palatino Linotype" w:hAnsi="Palatino Linotype" w:cs="Palatino Linotype"/>
          <w:b/>
        </w:rPr>
        <w:lastRenderedPageBreak/>
        <w:t>LINEAMIENTOS GENERALES EN MATERIA DE CLASIFICACIÓN Y DESCLASIFICACIÓN DE LA INFORMACIÓN, ASÍ COMO PARA LA ELABORACIÓN DE VERSIONES PÚBLICAS</w:t>
      </w:r>
      <w:r>
        <w:rPr>
          <w:rFonts w:ascii="Palatino Linotype" w:eastAsia="Palatino Linotype" w:hAnsi="Palatino Linotype" w:cs="Palatino Linotype"/>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75E1E155" w14:textId="77777777" w:rsidR="001C39B3" w:rsidRDefault="001C39B3">
      <w:pPr>
        <w:ind w:left="709" w:right="709"/>
        <w:jc w:val="both"/>
        <w:rPr>
          <w:rFonts w:ascii="Palatino Linotype" w:eastAsia="Palatino Linotype" w:hAnsi="Palatino Linotype" w:cs="Palatino Linotype"/>
          <w:b/>
          <w:i/>
          <w:sz w:val="22"/>
          <w:szCs w:val="22"/>
        </w:rPr>
      </w:pPr>
    </w:p>
    <w:p w14:paraId="758E61CD" w14:textId="77777777" w:rsidR="001C39B3" w:rsidRDefault="003D6FED">
      <w:pPr>
        <w:pBdr>
          <w:top w:val="nil"/>
          <w:left w:val="nil"/>
          <w:bottom w:val="nil"/>
          <w:right w:val="nil"/>
          <w:between w:val="nil"/>
        </w:pBdr>
        <w:ind w:left="709" w:right="709"/>
        <w:jc w:val="both"/>
        <w:rPr>
          <w:color w:val="000000"/>
        </w:rPr>
      </w:pPr>
      <w:r>
        <w:rPr>
          <w:rFonts w:ascii="Palatino Linotype" w:eastAsia="Palatino Linotype" w:hAnsi="Palatino Linotype" w:cs="Palatino Linotype"/>
          <w:b/>
          <w:i/>
          <w:color w:val="000000"/>
          <w:sz w:val="22"/>
          <w:szCs w:val="22"/>
        </w:rPr>
        <w:t>“Lineamientos Generales en materia de Clasificación y Desclasificación de la Información, así como para la elaboración de Versiones Públicas</w:t>
      </w:r>
    </w:p>
    <w:p w14:paraId="724AF346" w14:textId="77777777" w:rsidR="001C39B3" w:rsidRDefault="003D6FED">
      <w:pPr>
        <w:pBdr>
          <w:top w:val="nil"/>
          <w:left w:val="nil"/>
          <w:bottom w:val="nil"/>
          <w:right w:val="nil"/>
          <w:between w:val="nil"/>
        </w:pBdr>
        <w:ind w:left="709" w:right="709"/>
        <w:jc w:val="both"/>
        <w:rPr>
          <w:color w:val="000000"/>
        </w:rPr>
      </w:pPr>
      <w:r>
        <w:rPr>
          <w:rFonts w:ascii="Palatino Linotype" w:eastAsia="Palatino Linotype" w:hAnsi="Palatino Linotype" w:cs="Palatino Linotype"/>
          <w:i/>
          <w:color w:val="000000"/>
          <w:sz w:val="22"/>
          <w:szCs w:val="22"/>
        </w:rPr>
        <w:t>“</w:t>
      </w:r>
      <w:proofErr w:type="gramStart"/>
      <w:r>
        <w:rPr>
          <w:rFonts w:ascii="Palatino Linotype" w:eastAsia="Palatino Linotype" w:hAnsi="Palatino Linotype" w:cs="Palatino Linotype"/>
          <w:b/>
          <w:i/>
          <w:color w:val="000000"/>
          <w:sz w:val="22"/>
          <w:szCs w:val="22"/>
        </w:rPr>
        <w:t>Segundo.-</w:t>
      </w:r>
      <w:proofErr w:type="gramEnd"/>
      <w:r>
        <w:rPr>
          <w:rFonts w:ascii="Palatino Linotype" w:eastAsia="Palatino Linotype" w:hAnsi="Palatino Linotype" w:cs="Palatino Linotype"/>
          <w:i/>
          <w:color w:val="000000"/>
          <w:sz w:val="22"/>
          <w:szCs w:val="22"/>
        </w:rPr>
        <w:t xml:space="preserve"> Para efectos de los presentes Lineamientos Generales, se entenderá por:</w:t>
      </w:r>
    </w:p>
    <w:p w14:paraId="4063C3BC" w14:textId="77777777" w:rsidR="001C39B3" w:rsidRDefault="003D6FED">
      <w:pPr>
        <w:pBdr>
          <w:top w:val="nil"/>
          <w:left w:val="nil"/>
          <w:bottom w:val="nil"/>
          <w:right w:val="nil"/>
          <w:between w:val="nil"/>
        </w:pBdr>
        <w:ind w:left="709" w:right="709"/>
        <w:jc w:val="both"/>
        <w:rPr>
          <w:color w:val="000000"/>
        </w:rPr>
      </w:pPr>
      <w:r>
        <w:rPr>
          <w:rFonts w:ascii="Palatino Linotype" w:eastAsia="Palatino Linotype" w:hAnsi="Palatino Linotype" w:cs="Palatino Linotype"/>
          <w:b/>
          <w:i/>
          <w:color w:val="000000"/>
          <w:sz w:val="22"/>
          <w:szCs w:val="22"/>
        </w:rPr>
        <w:t>XVIII.</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Versión pública:</w:t>
      </w:r>
      <w:r>
        <w:rPr>
          <w:rFonts w:ascii="Palatino Linotype" w:eastAsia="Palatino Linotype" w:hAnsi="Palatino Linotype" w:cs="Palatino Linotype"/>
          <w:i/>
          <w:color w:val="000000"/>
          <w:sz w:val="22"/>
          <w:szCs w:val="22"/>
        </w:rPr>
        <w:t xml:space="preserve"> El documento a partir del que se otorga acceso a la información, en el que se testan partes o secciones clasificadas, indicando el contenido de éstas de manera genérica, </w:t>
      </w:r>
      <w:r>
        <w:rPr>
          <w:rFonts w:ascii="Palatino Linotype" w:eastAsia="Palatino Linotype" w:hAnsi="Palatino Linotype" w:cs="Palatino Linotype"/>
          <w:b/>
          <w:i/>
          <w:color w:val="000000"/>
          <w:sz w:val="22"/>
          <w:szCs w:val="22"/>
          <w:u w:val="single"/>
        </w:rPr>
        <w:t>fundando y motivando la</w:t>
      </w:r>
      <w:r>
        <w:rPr>
          <w:rFonts w:ascii="Palatino Linotype" w:eastAsia="Palatino Linotype" w:hAnsi="Palatino Linotype" w:cs="Palatino Linotype"/>
          <w:i/>
          <w:color w:val="000000"/>
          <w:sz w:val="22"/>
          <w:szCs w:val="22"/>
        </w:rPr>
        <w:t xml:space="preserve"> reserva o </w:t>
      </w:r>
      <w:r>
        <w:rPr>
          <w:rFonts w:ascii="Palatino Linotype" w:eastAsia="Palatino Linotype" w:hAnsi="Palatino Linotype" w:cs="Palatino Linotype"/>
          <w:b/>
          <w:i/>
          <w:color w:val="000000"/>
          <w:sz w:val="22"/>
          <w:szCs w:val="22"/>
          <w:u w:val="single"/>
        </w:rPr>
        <w:t>confidencialidad</w:t>
      </w:r>
      <w:r>
        <w:rPr>
          <w:rFonts w:ascii="Palatino Linotype" w:eastAsia="Palatino Linotype" w:hAnsi="Palatino Linotype" w:cs="Palatino Linotype"/>
          <w:i/>
          <w:color w:val="000000"/>
          <w:sz w:val="22"/>
          <w:szCs w:val="22"/>
        </w:rPr>
        <w:t>, a través de la resolución que para tal efecto emita el Comité de Transparencia.</w:t>
      </w:r>
    </w:p>
    <w:p w14:paraId="4E58CE26" w14:textId="77777777" w:rsidR="001C39B3" w:rsidRDefault="003D6FED">
      <w:pPr>
        <w:pBdr>
          <w:top w:val="nil"/>
          <w:left w:val="nil"/>
          <w:bottom w:val="nil"/>
          <w:right w:val="nil"/>
          <w:between w:val="nil"/>
        </w:pBdr>
        <w:ind w:left="709" w:right="709"/>
        <w:jc w:val="both"/>
        <w:rPr>
          <w:color w:val="000000"/>
        </w:rPr>
      </w:pPr>
      <w:r>
        <w:rPr>
          <w:rFonts w:ascii="Palatino Linotype" w:eastAsia="Palatino Linotype" w:hAnsi="Palatino Linotype" w:cs="Palatino Linotype"/>
          <w:b/>
          <w:i/>
          <w:color w:val="000000"/>
          <w:sz w:val="22"/>
          <w:szCs w:val="22"/>
        </w:rPr>
        <w:t>Cuarto.</w:t>
      </w:r>
      <w:r>
        <w:rPr>
          <w:rFonts w:ascii="Palatino Linotype" w:eastAsia="Palatino Linotype" w:hAnsi="Palatino Linotype" w:cs="Palatino Linotype"/>
          <w:i/>
          <w:color w:val="000000"/>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FE97341" w14:textId="77777777" w:rsidR="001C39B3" w:rsidRDefault="003D6FED">
      <w:pPr>
        <w:pBdr>
          <w:top w:val="nil"/>
          <w:left w:val="nil"/>
          <w:bottom w:val="nil"/>
          <w:right w:val="nil"/>
          <w:between w:val="nil"/>
        </w:pBdr>
        <w:ind w:left="709" w:right="709"/>
        <w:jc w:val="both"/>
        <w:rPr>
          <w:color w:val="000000"/>
        </w:rPr>
      </w:pPr>
      <w:r>
        <w:rPr>
          <w:rFonts w:ascii="Palatino Linotype" w:eastAsia="Palatino Linotype" w:hAnsi="Palatino Linotype" w:cs="Palatino Linotype"/>
          <w:i/>
          <w:color w:val="000000"/>
          <w:sz w:val="22"/>
          <w:szCs w:val="22"/>
        </w:rPr>
        <w:t>Los sujetos obligados deberán aplicar, de manera estricta, las excepciones al derecho de acceso a la información y sólo podrán invocarlas cuando acrediten su procedencia.</w:t>
      </w:r>
    </w:p>
    <w:p w14:paraId="79F74A38" w14:textId="77777777" w:rsidR="001C39B3" w:rsidRDefault="003D6FED">
      <w:pPr>
        <w:pBdr>
          <w:top w:val="nil"/>
          <w:left w:val="nil"/>
          <w:bottom w:val="nil"/>
          <w:right w:val="nil"/>
          <w:between w:val="nil"/>
        </w:pBdr>
        <w:ind w:left="709" w:right="709"/>
        <w:jc w:val="both"/>
        <w:rPr>
          <w:color w:val="000000"/>
        </w:rPr>
      </w:pPr>
      <w:r>
        <w:rPr>
          <w:rFonts w:ascii="Palatino Linotype" w:eastAsia="Palatino Linotype" w:hAnsi="Palatino Linotype" w:cs="Palatino Linotype"/>
          <w:b/>
          <w:i/>
          <w:color w:val="000000"/>
          <w:sz w:val="22"/>
          <w:szCs w:val="22"/>
        </w:rPr>
        <w:t>Quinto.</w:t>
      </w:r>
      <w:r>
        <w:rPr>
          <w:rFonts w:ascii="Palatino Linotype" w:eastAsia="Palatino Linotype" w:hAnsi="Palatino Linotype" w:cs="Palatino Linotype"/>
          <w:i/>
          <w:color w:val="000000"/>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EE73CBC" w14:textId="77777777" w:rsidR="001C39B3" w:rsidRDefault="003D6FED">
      <w:pPr>
        <w:pBdr>
          <w:top w:val="nil"/>
          <w:left w:val="nil"/>
          <w:bottom w:val="nil"/>
          <w:right w:val="nil"/>
          <w:between w:val="nil"/>
        </w:pBdr>
        <w:ind w:left="709" w:right="709"/>
        <w:jc w:val="both"/>
        <w:rPr>
          <w:color w:val="000000"/>
        </w:rPr>
      </w:pPr>
      <w:r>
        <w:rPr>
          <w:rFonts w:ascii="Palatino Linotype" w:eastAsia="Palatino Linotype" w:hAnsi="Palatino Linotype" w:cs="Palatino Linotype"/>
          <w:b/>
          <w:i/>
          <w:color w:val="000000"/>
          <w:sz w:val="22"/>
          <w:szCs w:val="22"/>
        </w:rPr>
        <w:t>…</w:t>
      </w:r>
    </w:p>
    <w:p w14:paraId="2811AB7A" w14:textId="77777777" w:rsidR="001C39B3" w:rsidRDefault="003D6FED">
      <w:pPr>
        <w:pBdr>
          <w:top w:val="nil"/>
          <w:left w:val="nil"/>
          <w:bottom w:val="nil"/>
          <w:right w:val="nil"/>
          <w:between w:val="nil"/>
        </w:pBdr>
        <w:ind w:left="709" w:right="709"/>
        <w:jc w:val="both"/>
        <w:rPr>
          <w:color w:val="000000"/>
        </w:rPr>
      </w:pPr>
      <w:r>
        <w:rPr>
          <w:rFonts w:ascii="Palatino Linotype" w:eastAsia="Palatino Linotype" w:hAnsi="Palatino Linotype" w:cs="Palatino Linotype"/>
          <w:b/>
          <w:i/>
          <w:color w:val="000000"/>
          <w:sz w:val="22"/>
          <w:szCs w:val="22"/>
        </w:rPr>
        <w:t>Séptimo.</w:t>
      </w:r>
      <w:r>
        <w:rPr>
          <w:rFonts w:ascii="Palatino Linotype" w:eastAsia="Palatino Linotype" w:hAnsi="Palatino Linotype" w:cs="Palatino Linotype"/>
          <w:i/>
          <w:color w:val="000000"/>
          <w:sz w:val="22"/>
          <w:szCs w:val="22"/>
        </w:rPr>
        <w:t xml:space="preserve"> La clasificación de la información se llevará a cabo en el momento en que:</w:t>
      </w:r>
    </w:p>
    <w:p w14:paraId="48EC1D1E" w14:textId="77777777" w:rsidR="001C39B3" w:rsidRDefault="003D6FED">
      <w:pPr>
        <w:pBdr>
          <w:top w:val="nil"/>
          <w:left w:val="nil"/>
          <w:bottom w:val="nil"/>
          <w:right w:val="nil"/>
          <w:between w:val="nil"/>
        </w:pBdr>
        <w:ind w:left="709" w:right="709"/>
        <w:jc w:val="both"/>
        <w:rPr>
          <w:color w:val="000000"/>
        </w:rPr>
      </w:pPr>
      <w:r>
        <w:rPr>
          <w:rFonts w:ascii="Palatino Linotype" w:eastAsia="Palatino Linotype" w:hAnsi="Palatino Linotype" w:cs="Palatino Linotype"/>
          <w:b/>
          <w:i/>
          <w:color w:val="000000"/>
          <w:sz w:val="22"/>
          <w:szCs w:val="22"/>
        </w:rPr>
        <w:t>I.</w:t>
      </w:r>
      <w:r>
        <w:rPr>
          <w:rFonts w:ascii="Palatino Linotype" w:eastAsia="Palatino Linotype" w:hAnsi="Palatino Linotype" w:cs="Palatino Linotype"/>
          <w:i/>
          <w:color w:val="000000"/>
          <w:sz w:val="22"/>
          <w:szCs w:val="22"/>
        </w:rPr>
        <w:t xml:space="preserve"> Se reciba una solicitud de acceso a la información;</w:t>
      </w:r>
    </w:p>
    <w:p w14:paraId="2525F1C6" w14:textId="77777777" w:rsidR="001C39B3" w:rsidRDefault="003D6FED">
      <w:pPr>
        <w:pBdr>
          <w:top w:val="nil"/>
          <w:left w:val="nil"/>
          <w:bottom w:val="nil"/>
          <w:right w:val="nil"/>
          <w:between w:val="nil"/>
        </w:pBdr>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II.</w:t>
      </w:r>
      <w:r>
        <w:rPr>
          <w:rFonts w:ascii="Palatino Linotype" w:eastAsia="Palatino Linotype" w:hAnsi="Palatino Linotype" w:cs="Palatino Linotype"/>
          <w:i/>
          <w:color w:val="000000"/>
          <w:sz w:val="22"/>
          <w:szCs w:val="22"/>
        </w:rPr>
        <w:t xml:space="preserve"> </w:t>
      </w:r>
      <w:proofErr w:type="gramStart"/>
      <w:r>
        <w:rPr>
          <w:rFonts w:ascii="Palatino Linotype" w:eastAsia="Palatino Linotype" w:hAnsi="Palatino Linotype" w:cs="Palatino Linotype"/>
          <w:i/>
          <w:color w:val="000000"/>
          <w:sz w:val="22"/>
          <w:szCs w:val="22"/>
        </w:rPr>
        <w:t>Se  determine</w:t>
      </w:r>
      <w:proofErr w:type="gramEnd"/>
      <w:r>
        <w:rPr>
          <w:rFonts w:ascii="Palatino Linotype" w:eastAsia="Palatino Linotype" w:hAnsi="Palatino Linotype" w:cs="Palatino Linotype"/>
          <w:i/>
          <w:color w:val="000000"/>
          <w:sz w:val="22"/>
          <w:szCs w:val="22"/>
        </w:rPr>
        <w:t xml:space="preserve"> mediante resolución del Comité de Transparencia, el órgano garante </w:t>
      </w:r>
    </w:p>
    <w:p w14:paraId="3BB905A8" w14:textId="77777777" w:rsidR="001C39B3" w:rsidRDefault="003D6FED">
      <w:pPr>
        <w:pBdr>
          <w:top w:val="nil"/>
          <w:left w:val="nil"/>
          <w:bottom w:val="nil"/>
          <w:right w:val="nil"/>
          <w:between w:val="nil"/>
        </w:pBdr>
        <w:ind w:left="709" w:right="709"/>
        <w:jc w:val="both"/>
        <w:rPr>
          <w:color w:val="000000"/>
        </w:rPr>
      </w:pPr>
      <w:r>
        <w:rPr>
          <w:rFonts w:ascii="Palatino Linotype" w:eastAsia="Palatino Linotype" w:hAnsi="Palatino Linotype" w:cs="Palatino Linotype"/>
          <w:i/>
          <w:color w:val="000000"/>
          <w:sz w:val="22"/>
          <w:szCs w:val="22"/>
        </w:rPr>
        <w:t>competente, o en cumplimiento a una sentencia del Poder Judicial; o</w:t>
      </w:r>
    </w:p>
    <w:p w14:paraId="441AD7DF" w14:textId="77777777" w:rsidR="001C39B3" w:rsidRDefault="003D6FED">
      <w:pPr>
        <w:pBdr>
          <w:top w:val="nil"/>
          <w:left w:val="nil"/>
          <w:bottom w:val="nil"/>
          <w:right w:val="nil"/>
          <w:between w:val="nil"/>
        </w:pBdr>
        <w:ind w:left="709" w:right="709"/>
        <w:jc w:val="both"/>
        <w:rPr>
          <w:color w:val="000000"/>
        </w:rPr>
      </w:pPr>
      <w:r>
        <w:rPr>
          <w:rFonts w:ascii="Palatino Linotype" w:eastAsia="Palatino Linotype" w:hAnsi="Palatino Linotype" w:cs="Palatino Linotype"/>
          <w:b/>
          <w:i/>
          <w:color w:val="000000"/>
          <w:sz w:val="22"/>
          <w:szCs w:val="22"/>
        </w:rPr>
        <w:lastRenderedPageBreak/>
        <w:t>III.</w:t>
      </w:r>
      <w:r>
        <w:rPr>
          <w:rFonts w:ascii="Palatino Linotype" w:eastAsia="Palatino Linotype" w:hAnsi="Palatino Linotype" w:cs="Palatino Linotype"/>
          <w:i/>
          <w:color w:val="000000"/>
          <w:sz w:val="22"/>
          <w:szCs w:val="22"/>
        </w:rPr>
        <w:t xml:space="preserve"> Se generen versiones públicas para dar cumplimiento a las obligaciones de transparencia previstas en la Ley General, la Ley Federal y las correspondientes de las entidades federativas.</w:t>
      </w:r>
    </w:p>
    <w:p w14:paraId="54D857AF" w14:textId="77777777" w:rsidR="001C39B3" w:rsidRDefault="003D6FED">
      <w:pPr>
        <w:pBdr>
          <w:top w:val="nil"/>
          <w:left w:val="nil"/>
          <w:bottom w:val="nil"/>
          <w:right w:val="nil"/>
          <w:between w:val="nil"/>
        </w:pBdr>
        <w:ind w:left="709" w:right="709"/>
        <w:jc w:val="both"/>
        <w:rPr>
          <w:color w:val="000000"/>
        </w:rPr>
      </w:pPr>
      <w:r>
        <w:rPr>
          <w:rFonts w:ascii="Palatino Linotype" w:eastAsia="Palatino Linotype" w:hAnsi="Palatino Linotype" w:cs="Palatino Linotype"/>
          <w:i/>
          <w:color w:val="000000"/>
          <w:sz w:val="22"/>
          <w:szCs w:val="22"/>
        </w:rPr>
        <w:t>Los titulares de las áreas deberán revisar la clasificación al momento de la recepción de una solicitud de acceso a la información, para verificar si encuadra en una causal de reserva o de confidencialidad.</w:t>
      </w:r>
    </w:p>
    <w:p w14:paraId="0AA8ADF8" w14:textId="77777777" w:rsidR="001C39B3" w:rsidRDefault="003D6FED">
      <w:pPr>
        <w:pBdr>
          <w:top w:val="nil"/>
          <w:left w:val="nil"/>
          <w:bottom w:val="nil"/>
          <w:right w:val="nil"/>
          <w:between w:val="nil"/>
        </w:pBdr>
        <w:ind w:left="709" w:right="709"/>
        <w:jc w:val="both"/>
        <w:rPr>
          <w:color w:val="000000"/>
        </w:rPr>
      </w:pPr>
      <w:r>
        <w:rPr>
          <w:rFonts w:ascii="Palatino Linotype" w:eastAsia="Palatino Linotype" w:hAnsi="Palatino Linotype" w:cs="Palatino Linotype"/>
          <w:b/>
          <w:i/>
          <w:color w:val="000000"/>
          <w:sz w:val="22"/>
          <w:szCs w:val="22"/>
        </w:rPr>
        <w:t>Octavo.</w:t>
      </w:r>
      <w:r>
        <w:rPr>
          <w:rFonts w:ascii="Palatino Linotype" w:eastAsia="Palatino Linotype" w:hAnsi="Palatino Linotype" w:cs="Palatino Linotype"/>
          <w:i/>
          <w:color w:val="000000"/>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0426AAF6" w14:textId="77777777" w:rsidR="001C39B3" w:rsidRDefault="003D6FED">
      <w:pPr>
        <w:pBdr>
          <w:top w:val="nil"/>
          <w:left w:val="nil"/>
          <w:bottom w:val="nil"/>
          <w:right w:val="nil"/>
          <w:between w:val="nil"/>
        </w:pBdr>
        <w:ind w:left="709" w:right="709"/>
        <w:jc w:val="both"/>
        <w:rPr>
          <w:color w:val="000000"/>
        </w:rPr>
      </w:pPr>
      <w:r>
        <w:rPr>
          <w:rFonts w:ascii="Palatino Linotype" w:eastAsia="Palatino Linotype" w:hAnsi="Palatino Linotype" w:cs="Palatino Linotype"/>
          <w:i/>
          <w:color w:val="000000"/>
          <w:sz w:val="22"/>
          <w:szCs w:val="22"/>
        </w:rPr>
        <w:t>Para motivar la clasificación se deberán señalar las razones o circunstancias especiales que lo llevaron a concluir que el caso particular se ajusta al supuesto previsto por la norma legal invocada como fundamento.</w:t>
      </w:r>
    </w:p>
    <w:p w14:paraId="5A7944C1" w14:textId="77777777" w:rsidR="001C39B3" w:rsidRDefault="003D6FED">
      <w:pPr>
        <w:pBdr>
          <w:top w:val="nil"/>
          <w:left w:val="nil"/>
          <w:bottom w:val="nil"/>
          <w:right w:val="nil"/>
          <w:between w:val="nil"/>
        </w:pBdr>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794F9273" w14:textId="77777777" w:rsidR="001C39B3" w:rsidRDefault="003D6FED">
      <w:pPr>
        <w:pBdr>
          <w:top w:val="nil"/>
          <w:left w:val="nil"/>
          <w:bottom w:val="nil"/>
          <w:right w:val="nil"/>
          <w:between w:val="nil"/>
        </w:pBdr>
        <w:ind w:left="709" w:right="709"/>
        <w:jc w:val="both"/>
        <w:rPr>
          <w:color w:val="000000"/>
        </w:rPr>
      </w:pPr>
      <w:r>
        <w:rPr>
          <w:rFonts w:ascii="Palatino Linotype" w:eastAsia="Palatino Linotype" w:hAnsi="Palatino Linotype" w:cs="Palatino Linotype"/>
          <w:b/>
          <w:i/>
          <w:color w:val="000000"/>
          <w:sz w:val="22"/>
          <w:szCs w:val="22"/>
        </w:rPr>
        <w:t>Noveno.</w:t>
      </w:r>
      <w:r>
        <w:rPr>
          <w:rFonts w:ascii="Palatino Linotype" w:eastAsia="Palatino Linotype" w:hAnsi="Palatino Linotype" w:cs="Palatino Linotype"/>
          <w:i/>
          <w:color w:val="000000"/>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CB24D05" w14:textId="77777777" w:rsidR="001C39B3" w:rsidRDefault="003D6FED">
      <w:pPr>
        <w:pBdr>
          <w:top w:val="nil"/>
          <w:left w:val="nil"/>
          <w:bottom w:val="nil"/>
          <w:right w:val="nil"/>
          <w:between w:val="nil"/>
        </w:pBdr>
        <w:ind w:left="709" w:right="709"/>
        <w:jc w:val="both"/>
        <w:rPr>
          <w:color w:val="000000"/>
        </w:rPr>
      </w:pPr>
      <w:r>
        <w:rPr>
          <w:rFonts w:ascii="Palatino Linotype" w:eastAsia="Palatino Linotype" w:hAnsi="Palatino Linotype" w:cs="Palatino Linotype"/>
          <w:b/>
          <w:i/>
          <w:color w:val="000000"/>
          <w:sz w:val="22"/>
          <w:szCs w:val="22"/>
        </w:rPr>
        <w:t>Décimo.</w:t>
      </w:r>
      <w:r>
        <w:rPr>
          <w:rFonts w:ascii="Palatino Linotype" w:eastAsia="Palatino Linotype" w:hAnsi="Palatino Linotype" w:cs="Palatino Linotype"/>
          <w:i/>
          <w:color w:val="000000"/>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5F41B3C6" w14:textId="77777777" w:rsidR="001C39B3" w:rsidRDefault="003D6FED">
      <w:pPr>
        <w:pBdr>
          <w:top w:val="nil"/>
          <w:left w:val="nil"/>
          <w:bottom w:val="nil"/>
          <w:right w:val="nil"/>
          <w:between w:val="nil"/>
        </w:pBdr>
        <w:ind w:left="709" w:right="709"/>
        <w:jc w:val="both"/>
        <w:rPr>
          <w:color w:val="000000"/>
        </w:rPr>
      </w:pPr>
      <w:r>
        <w:rPr>
          <w:rFonts w:ascii="Palatino Linotype" w:eastAsia="Palatino Linotype" w:hAnsi="Palatino Linotype" w:cs="Palatino Linotype"/>
          <w:i/>
          <w:color w:val="000000"/>
          <w:sz w:val="22"/>
          <w:szCs w:val="22"/>
        </w:rPr>
        <w:t>En ausencia de los titulares de las áreas, la información será clasificada o desclasificada por la persona que lo supla, en términos de la normativa que rija la actuación del sujeto obligado.</w:t>
      </w:r>
    </w:p>
    <w:p w14:paraId="769A8F9D" w14:textId="77777777" w:rsidR="001C39B3" w:rsidRDefault="003D6FED">
      <w:pPr>
        <w:pBdr>
          <w:top w:val="nil"/>
          <w:left w:val="nil"/>
          <w:bottom w:val="nil"/>
          <w:right w:val="nil"/>
          <w:between w:val="nil"/>
        </w:pBdr>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Décimo primero.</w:t>
      </w:r>
      <w:r>
        <w:rPr>
          <w:rFonts w:ascii="Palatino Linotype" w:eastAsia="Palatino Linotype" w:hAnsi="Palatino Linotype" w:cs="Palatino Linotype"/>
          <w:i/>
          <w:color w:val="000000"/>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22846E53" w14:textId="77777777" w:rsidR="001C39B3" w:rsidRDefault="001C39B3">
      <w:pPr>
        <w:pBdr>
          <w:top w:val="nil"/>
          <w:left w:val="nil"/>
          <w:bottom w:val="nil"/>
          <w:right w:val="nil"/>
          <w:between w:val="nil"/>
        </w:pBdr>
        <w:ind w:right="709"/>
        <w:jc w:val="both"/>
        <w:rPr>
          <w:color w:val="000000"/>
        </w:rPr>
      </w:pPr>
    </w:p>
    <w:p w14:paraId="4D893C65" w14:textId="77777777" w:rsidR="001C39B3" w:rsidRDefault="003D6FED">
      <w:pPr>
        <w:pBdr>
          <w:top w:val="nil"/>
          <w:left w:val="nil"/>
          <w:bottom w:val="nil"/>
          <w:right w:val="nil"/>
          <w:between w:val="nil"/>
        </w:pBdr>
        <w:ind w:left="709" w:right="709"/>
        <w:jc w:val="both"/>
        <w:rPr>
          <w:color w:val="000000"/>
        </w:rPr>
      </w:pPr>
      <w:r>
        <w:rPr>
          <w:rFonts w:ascii="Palatino Linotype" w:eastAsia="Palatino Linotype" w:hAnsi="Palatino Linotype" w:cs="Palatino Linotype"/>
          <w:i/>
          <w:color w:val="000000"/>
          <w:sz w:val="22"/>
          <w:szCs w:val="22"/>
        </w:rPr>
        <w:t>[…]</w:t>
      </w:r>
    </w:p>
    <w:p w14:paraId="24DECB28" w14:textId="77777777" w:rsidR="001C39B3" w:rsidRDefault="003D6FED">
      <w:pPr>
        <w:pBdr>
          <w:top w:val="nil"/>
          <w:left w:val="nil"/>
          <w:bottom w:val="nil"/>
          <w:right w:val="nil"/>
          <w:between w:val="nil"/>
        </w:pBdr>
        <w:ind w:left="709" w:right="709"/>
        <w:jc w:val="center"/>
        <w:rPr>
          <w:color w:val="000000"/>
        </w:rPr>
      </w:pPr>
      <w:r>
        <w:rPr>
          <w:rFonts w:ascii="Palatino Linotype" w:eastAsia="Palatino Linotype" w:hAnsi="Palatino Linotype" w:cs="Palatino Linotype"/>
          <w:b/>
          <w:i/>
          <w:color w:val="000000"/>
          <w:sz w:val="22"/>
          <w:szCs w:val="22"/>
        </w:rPr>
        <w:t>CAPÍTULO VIII</w:t>
      </w:r>
    </w:p>
    <w:p w14:paraId="1224768E" w14:textId="77777777" w:rsidR="001C39B3" w:rsidRDefault="003D6FED">
      <w:pPr>
        <w:pBdr>
          <w:top w:val="nil"/>
          <w:left w:val="nil"/>
          <w:bottom w:val="nil"/>
          <w:right w:val="nil"/>
          <w:between w:val="nil"/>
        </w:pBdr>
        <w:spacing w:after="160"/>
        <w:ind w:left="709" w:right="709"/>
        <w:jc w:val="center"/>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DE LOS ELEMENTOS PARA LA CLASIFICACIÓN</w:t>
      </w:r>
    </w:p>
    <w:p w14:paraId="1BE4E1D5" w14:textId="77777777" w:rsidR="001C39B3" w:rsidRDefault="003D6FED">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lastRenderedPageBreak/>
        <w:t>Quincuagésimo</w:t>
      </w:r>
      <w:r>
        <w:rPr>
          <w:rFonts w:ascii="Palatino Linotype" w:eastAsia="Palatino Linotype" w:hAnsi="Palatino Linotype" w:cs="Palatino Linotype"/>
          <w:i/>
          <w:color w:val="000000"/>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36B85D5B" w14:textId="77777777" w:rsidR="001C39B3" w:rsidRDefault="003D6FED">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Quincuagésimo primero</w:t>
      </w:r>
      <w:r>
        <w:rPr>
          <w:rFonts w:ascii="Palatino Linotype" w:eastAsia="Palatino Linotype" w:hAnsi="Palatino Linotype" w:cs="Palatino Linotype"/>
          <w:i/>
          <w:color w:val="000000"/>
          <w:sz w:val="22"/>
          <w:szCs w:val="22"/>
        </w:rPr>
        <w:t>. Toda acta del Comité de Transparencia deberá contener:</w:t>
      </w:r>
    </w:p>
    <w:p w14:paraId="59E22FA5" w14:textId="77777777" w:rsidR="001C39B3" w:rsidRDefault="003D6FED">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 El número de sesión y fecha; </w:t>
      </w:r>
    </w:p>
    <w:p w14:paraId="554AA0A3" w14:textId="77777777" w:rsidR="001C39B3" w:rsidRDefault="003D6FED">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 El nombre del área que solicitó la clasificación de información;</w:t>
      </w:r>
    </w:p>
    <w:p w14:paraId="2B0162EF" w14:textId="77777777" w:rsidR="001C39B3" w:rsidRDefault="003D6FED">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III. La fundamentación legal y motivación correspondiente;</w:t>
      </w:r>
    </w:p>
    <w:p w14:paraId="6F3D3CDE" w14:textId="77777777" w:rsidR="001C39B3" w:rsidRDefault="003D6FED">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IV. La resolución o resoluciones aprobadas; y</w:t>
      </w:r>
    </w:p>
    <w:p w14:paraId="1B550CE2" w14:textId="77777777" w:rsidR="001C39B3" w:rsidRDefault="003D6FED">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 La rúbrica o firma digital de cada integrante del Comité de Transparencia. </w:t>
      </w:r>
    </w:p>
    <w:p w14:paraId="28DBF3B9" w14:textId="77777777" w:rsidR="001C39B3" w:rsidRDefault="003D6FED">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Las resoluciones del Comité en las que se haya determinado confirmar o modificar la clasificación de información pública como reservada, deberán incluir, cuando menos:</w:t>
      </w:r>
    </w:p>
    <w:p w14:paraId="1921CDD6" w14:textId="77777777" w:rsidR="001C39B3" w:rsidRDefault="003D6FED">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 Los motivos y razonamientos que sustenten la confirmación o modificación de la prueba de daño;</w:t>
      </w:r>
    </w:p>
    <w:p w14:paraId="40E2451D" w14:textId="77777777" w:rsidR="001C39B3" w:rsidRDefault="003D6FED">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 Descripción de las partes o secciones reservadas, en caso de clasificación parcial;</w:t>
      </w:r>
    </w:p>
    <w:p w14:paraId="4382301E" w14:textId="77777777" w:rsidR="001C39B3" w:rsidRDefault="003D6FED">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III. El periodo por el que mantendrá su clasificación y fecha de expiración; y</w:t>
      </w:r>
    </w:p>
    <w:p w14:paraId="747CCCC8" w14:textId="77777777" w:rsidR="001C39B3" w:rsidRDefault="003D6FED">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IV. El nombre del titular y área encargada de realizar la versión pública del documento, en su caso.</w:t>
      </w:r>
    </w:p>
    <w:p w14:paraId="72C90558" w14:textId="77777777" w:rsidR="001C39B3" w:rsidRDefault="003D6FED">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En los casos en que se clasifique la información como reservada siempre se entregará o anexará la prueba de daño con la respuesta al solicitante. </w:t>
      </w:r>
    </w:p>
    <w:p w14:paraId="24DF085E" w14:textId="77777777" w:rsidR="001C39B3" w:rsidRDefault="003D6FED">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1B50BA52" w14:textId="77777777" w:rsidR="001C39B3" w:rsidRDefault="003D6FED">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Quincuagésimo segundo</w:t>
      </w:r>
      <w:r>
        <w:rPr>
          <w:rFonts w:ascii="Palatino Linotype" w:eastAsia="Palatino Linotype" w:hAnsi="Palatino Linotype" w:cs="Palatino Linotype"/>
          <w:i/>
          <w:color w:val="000000"/>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030889CD" w14:textId="77777777" w:rsidR="001C39B3" w:rsidRDefault="003D6FED">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el caso específico de la clasificación y elaboración de versiones públicas de documentos que contengan información confidencial, las áreas de los sujetos obligados deberán:</w:t>
      </w:r>
    </w:p>
    <w:p w14:paraId="799B1ED0" w14:textId="77777777" w:rsidR="001C39B3" w:rsidRDefault="003D6FED">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I. Fijar la fecha en que se elaboró la versión pública y la fecha en la cual el Comité de Transparencia confirmó dicha versión;</w:t>
      </w:r>
    </w:p>
    <w:p w14:paraId="4EFA0B3F" w14:textId="77777777" w:rsidR="001C39B3" w:rsidRDefault="003D6FED">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 Señalar dentro del documento el tipo de información confidencial que fue testada en cada caso específico, de conformidad con el lineamiento trigésimo octavo; y</w:t>
      </w:r>
    </w:p>
    <w:p w14:paraId="698E600D" w14:textId="77777777" w:rsidR="001C39B3" w:rsidRDefault="003D6FED">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III. Señalar las personas o instancias autorizadas a acceder a la información clasificada.</w:t>
      </w:r>
    </w:p>
    <w:p w14:paraId="1607CFB5" w14:textId="77777777" w:rsidR="001C39B3" w:rsidRDefault="003D6FED">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los documentos de difusión electrónica, señalar en la primera hoja y en el nombre del archivo, que la versión pública corresponde a un documento que contiene información confidencial.</w:t>
      </w:r>
    </w:p>
    <w:p w14:paraId="44B80555" w14:textId="77777777" w:rsidR="001C39B3" w:rsidRDefault="003D6FED">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62B158A8" w14:textId="77777777" w:rsidR="001C39B3" w:rsidRDefault="003D6FED">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48A30983" w14:textId="77777777" w:rsidR="001C39B3" w:rsidRDefault="003D6FED">
      <w:pPr>
        <w:pBdr>
          <w:top w:val="nil"/>
          <w:left w:val="nil"/>
          <w:bottom w:val="nil"/>
          <w:right w:val="nil"/>
          <w:between w:val="nil"/>
        </w:pBdr>
        <w:spacing w:after="160"/>
        <w:ind w:left="709" w:right="709"/>
        <w:jc w:val="both"/>
      </w:pPr>
      <w:r>
        <w:rPr>
          <w:rFonts w:ascii="Palatino Linotype" w:eastAsia="Palatino Linotype" w:hAnsi="Palatino Linotype" w:cs="Palatino Linotype"/>
          <w:i/>
          <w:color w:val="000000"/>
          <w:sz w:val="22"/>
          <w:szCs w:val="22"/>
        </w:rPr>
        <w:t xml:space="preserve">Quincuagésimo quinto. Cada área del sujeto obligado podrá designar formalmente a una o más personas como responsables del </w:t>
      </w:r>
      <w:proofErr w:type="spellStart"/>
      <w:r>
        <w:rPr>
          <w:rFonts w:ascii="Palatino Linotype" w:eastAsia="Palatino Linotype" w:hAnsi="Palatino Linotype" w:cs="Palatino Linotype"/>
          <w:i/>
          <w:color w:val="000000"/>
          <w:sz w:val="22"/>
          <w:szCs w:val="22"/>
        </w:rPr>
        <w:t>testado</w:t>
      </w:r>
      <w:proofErr w:type="spellEnd"/>
      <w:r>
        <w:rPr>
          <w:rFonts w:ascii="Palatino Linotype" w:eastAsia="Palatino Linotype" w:hAnsi="Palatino Linotype" w:cs="Palatino Linotype"/>
          <w:i/>
          <w:color w:val="000000"/>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(Sic)</w:t>
      </w:r>
    </w:p>
    <w:p w14:paraId="31B0B052" w14:textId="77777777" w:rsidR="001C39B3" w:rsidRDefault="001C39B3">
      <w:pPr>
        <w:jc w:val="both"/>
      </w:pPr>
    </w:p>
    <w:p w14:paraId="62690970" w14:textId="77777777" w:rsidR="001C39B3" w:rsidRDefault="001C39B3">
      <w:pPr>
        <w:rPr>
          <w:color w:val="000000"/>
        </w:rPr>
      </w:pPr>
    </w:p>
    <w:p w14:paraId="729BEABF" w14:textId="77777777" w:rsidR="001C39B3" w:rsidRDefault="003D6FE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Efectivamente, cuando se clasifica información como confidencial es importante someterlo al Comité de Transparencia, quien debe confirmar, modificar o revocar la clasificación.</w:t>
      </w:r>
    </w:p>
    <w:p w14:paraId="62899227" w14:textId="77777777" w:rsidR="001C39B3" w:rsidRDefault="001C39B3">
      <w:pPr>
        <w:spacing w:line="360" w:lineRule="auto"/>
        <w:jc w:val="both"/>
        <w:rPr>
          <w:rFonts w:ascii="Palatino Linotype" w:eastAsia="Palatino Linotype" w:hAnsi="Palatino Linotype" w:cs="Palatino Linotype"/>
        </w:rPr>
      </w:pPr>
    </w:p>
    <w:p w14:paraId="52B8CA3E" w14:textId="77777777" w:rsidR="001C39B3" w:rsidRDefault="003D6FED">
      <w:pPr>
        <w:shd w:val="clear" w:color="auto" w:fill="FFFFFF"/>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w:t>
      </w:r>
      <w:r>
        <w:rPr>
          <w:rFonts w:ascii="Palatino Linotype" w:eastAsia="Palatino Linotype" w:hAnsi="Palatino Linotype" w:cs="Palatino Linotype"/>
        </w:rPr>
        <w:lastRenderedPageBreak/>
        <w:t xml:space="preserve">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la parte </w:t>
      </w:r>
      <w:r>
        <w:rPr>
          <w:rFonts w:ascii="Palatino Linotype" w:eastAsia="Palatino Linotype" w:hAnsi="Palatino Linotype" w:cs="Palatino Linotype"/>
          <w:b/>
        </w:rPr>
        <w:t>RECURRENTE</w:t>
      </w:r>
      <w:r>
        <w:rPr>
          <w:rFonts w:ascii="Palatino Linotype" w:eastAsia="Palatino Linotype" w:hAnsi="Palatino Linotype" w:cs="Palatino Linotype"/>
        </w:rPr>
        <w:t>.</w:t>
      </w:r>
    </w:p>
    <w:p w14:paraId="163391D4" w14:textId="77777777" w:rsidR="001C39B3" w:rsidRDefault="003D6FED">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536E3BAB" w14:textId="77777777" w:rsidR="001C39B3" w:rsidRDefault="003D6FED">
      <w:pPr>
        <w:numPr>
          <w:ilvl w:val="0"/>
          <w:numId w:val="1"/>
        </w:numPr>
        <w:pBdr>
          <w:top w:val="nil"/>
          <w:left w:val="nil"/>
          <w:bottom w:val="nil"/>
          <w:right w:val="nil"/>
          <w:between w:val="nil"/>
        </w:pBdr>
        <w:spacing w:before="240" w:after="240" w:line="36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 E S U E L V E:</w:t>
      </w:r>
    </w:p>
    <w:p w14:paraId="46F3FE2A" w14:textId="77777777" w:rsidR="001C39B3" w:rsidRDefault="003D6FED">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Primero. </w:t>
      </w:r>
      <w:r>
        <w:rPr>
          <w:rFonts w:ascii="Palatino Linotype" w:eastAsia="Palatino Linotype" w:hAnsi="Palatino Linotype" w:cs="Palatino Linotype"/>
        </w:rPr>
        <w:t xml:space="preserve">Resultan fundados los motivos de inconformidad hechos valer por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en el Recurso de Revisión </w:t>
      </w:r>
      <w:r>
        <w:rPr>
          <w:rFonts w:ascii="Palatino Linotype" w:eastAsia="Palatino Linotype" w:hAnsi="Palatino Linotype" w:cs="Palatino Linotype"/>
          <w:b/>
        </w:rPr>
        <w:t xml:space="preserve">04099/INFOEM/IP/RR/2024; </w:t>
      </w:r>
      <w:r>
        <w:rPr>
          <w:rFonts w:ascii="Palatino Linotype" w:eastAsia="Palatino Linotype" w:hAnsi="Palatino Linotype" w:cs="Palatino Linotype"/>
        </w:rPr>
        <w:t xml:space="preserve">por lo que, en términos del considerando </w:t>
      </w:r>
      <w:r>
        <w:rPr>
          <w:rFonts w:ascii="Palatino Linotype" w:eastAsia="Palatino Linotype" w:hAnsi="Palatino Linotype" w:cs="Palatino Linotype"/>
          <w:b/>
        </w:rPr>
        <w:t xml:space="preserve">Cuarto </w:t>
      </w:r>
      <w:r>
        <w:rPr>
          <w:rFonts w:ascii="Palatino Linotype" w:eastAsia="Palatino Linotype" w:hAnsi="Palatino Linotype" w:cs="Palatino Linotype"/>
        </w:rPr>
        <w:t xml:space="preserve">de esta resolución, se </w:t>
      </w:r>
      <w:r>
        <w:rPr>
          <w:rFonts w:ascii="Palatino Linotype" w:eastAsia="Palatino Linotype" w:hAnsi="Palatino Linotype" w:cs="Palatino Linotype"/>
          <w:b/>
        </w:rPr>
        <w:t xml:space="preserve">REVOCA </w:t>
      </w:r>
      <w:r>
        <w:rPr>
          <w:rFonts w:ascii="Palatino Linotype" w:eastAsia="Palatino Linotype" w:hAnsi="Palatino Linotype" w:cs="Palatino Linotype"/>
        </w:rPr>
        <w:t xml:space="preserve">la respuesta emitida por el </w:t>
      </w:r>
      <w:r>
        <w:rPr>
          <w:rFonts w:ascii="Palatino Linotype" w:eastAsia="Palatino Linotype" w:hAnsi="Palatino Linotype" w:cs="Palatino Linotype"/>
          <w:b/>
        </w:rPr>
        <w:t>SUJETO OBLIGADO</w:t>
      </w:r>
      <w:r>
        <w:rPr>
          <w:rFonts w:ascii="Palatino Linotype" w:eastAsia="Palatino Linotype" w:hAnsi="Palatino Linotype" w:cs="Palatino Linotype"/>
        </w:rPr>
        <w:t>.</w:t>
      </w:r>
    </w:p>
    <w:p w14:paraId="196A7271" w14:textId="77777777" w:rsidR="001C39B3" w:rsidRDefault="003D6FED">
      <w:pPr>
        <w:spacing w:line="360" w:lineRule="auto"/>
        <w:ind w:right="49"/>
        <w:jc w:val="both"/>
        <w:rPr>
          <w:rFonts w:ascii="Palatino Linotype" w:eastAsia="Palatino Linotype" w:hAnsi="Palatino Linotype" w:cs="Palatino Linotype"/>
        </w:rPr>
      </w:pPr>
      <w:bookmarkStart w:id="2" w:name="_heading=h.2et92p0" w:colFirst="0" w:colLast="0"/>
      <w:bookmarkEnd w:id="2"/>
      <w:r>
        <w:rPr>
          <w:rFonts w:ascii="Palatino Linotype" w:eastAsia="Palatino Linotype" w:hAnsi="Palatino Linotype" w:cs="Palatino Linotype"/>
          <w:b/>
        </w:rPr>
        <w:t xml:space="preserve">Segundo. </w:t>
      </w:r>
      <w:r>
        <w:rPr>
          <w:rFonts w:ascii="Palatino Linotype" w:eastAsia="Palatino Linotype" w:hAnsi="Palatino Linotype" w:cs="Palatino Linotype"/>
        </w:rPr>
        <w:t>Se</w:t>
      </w:r>
      <w:r>
        <w:rPr>
          <w:rFonts w:ascii="Palatino Linotype" w:eastAsia="Palatino Linotype" w:hAnsi="Palatino Linotype" w:cs="Palatino Linotype"/>
          <w:b/>
        </w:rPr>
        <w:t xml:space="preserve"> ORDENA </w:t>
      </w:r>
      <w:r>
        <w:rPr>
          <w:rFonts w:ascii="Palatino Linotype" w:eastAsia="Palatino Linotype" w:hAnsi="Palatino Linotype" w:cs="Palatino Linotype"/>
        </w:rPr>
        <w:t xml:space="preserve">al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 que,</w:t>
      </w:r>
      <w:r>
        <w:rPr>
          <w:rFonts w:ascii="Palatino Linotype" w:eastAsia="Palatino Linotype" w:hAnsi="Palatino Linotype" w:cs="Palatino Linotype"/>
          <w:b/>
        </w:rPr>
        <w:t xml:space="preserve"> </w:t>
      </w:r>
      <w:r>
        <w:rPr>
          <w:rFonts w:ascii="Palatino Linotype" w:eastAsia="Palatino Linotype" w:hAnsi="Palatino Linotype" w:cs="Palatino Linotype"/>
        </w:rPr>
        <w:t>en términos de los Considerandos Cuarto y Quinto, haga entrega previa búsqueda exhaustiva y razonable, vía SAIMEX y correo electrónico, de ser el caso en versión pública,</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 xml:space="preserve">en formato Excel o en el formato en que se encuentre, el o los documentos en donde conste lo siguiente: </w:t>
      </w:r>
    </w:p>
    <w:p w14:paraId="23B52315" w14:textId="77777777" w:rsidR="001C39B3" w:rsidRDefault="001C39B3">
      <w:pPr>
        <w:spacing w:line="360" w:lineRule="auto"/>
        <w:ind w:right="49"/>
        <w:jc w:val="both"/>
        <w:rPr>
          <w:rFonts w:ascii="Palatino Linotype" w:eastAsia="Palatino Linotype" w:hAnsi="Palatino Linotype" w:cs="Palatino Linotype"/>
        </w:rPr>
      </w:pPr>
      <w:bookmarkStart w:id="3" w:name="_heading=h.rpl3jt5cdna5" w:colFirst="0" w:colLast="0"/>
      <w:bookmarkEnd w:id="3"/>
    </w:p>
    <w:p w14:paraId="770FA1C9" w14:textId="77777777" w:rsidR="001C39B3" w:rsidRDefault="003D6FED">
      <w:pPr>
        <w:numPr>
          <w:ilvl w:val="0"/>
          <w:numId w:val="5"/>
        </w:numPr>
        <w:pBdr>
          <w:top w:val="nil"/>
          <w:left w:val="nil"/>
          <w:bottom w:val="nil"/>
          <w:right w:val="nil"/>
          <w:between w:val="nil"/>
        </w:pBdr>
        <w:spacing w:line="360" w:lineRule="auto"/>
        <w:ind w:left="851" w:right="51" w:hanging="28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Registro Municipal de las licencias de funcionamiento otorgadas para la operación de establecimientos en los que se vende o consume bebidas alcohólicas, y en donde conste</w:t>
      </w:r>
      <w:r>
        <w:rPr>
          <w:rFonts w:ascii="Palatino Linotype" w:eastAsia="Palatino Linotype" w:hAnsi="Palatino Linotype" w:cs="Palatino Linotype"/>
        </w:rPr>
        <w:t xml:space="preserve"> la </w:t>
      </w:r>
      <w:r>
        <w:rPr>
          <w:rFonts w:ascii="Palatino Linotype" w:eastAsia="Palatino Linotype" w:hAnsi="Palatino Linotype" w:cs="Palatino Linotype"/>
          <w:color w:val="000000"/>
        </w:rPr>
        <w:t>dirección de los establecimientos, nombres y/o razones sociales de los titulares, vigente al diez de junio de dos mil veinticuatro.</w:t>
      </w:r>
    </w:p>
    <w:p w14:paraId="2DBE8EF6" w14:textId="77777777" w:rsidR="001C39B3" w:rsidRDefault="003D6FED">
      <w:pPr>
        <w:numPr>
          <w:ilvl w:val="0"/>
          <w:numId w:val="5"/>
        </w:numPr>
        <w:pBdr>
          <w:top w:val="nil"/>
          <w:left w:val="nil"/>
          <w:bottom w:val="nil"/>
          <w:right w:val="nil"/>
          <w:between w:val="nil"/>
        </w:pBdr>
        <w:spacing w:line="360" w:lineRule="auto"/>
        <w:ind w:left="851" w:right="51" w:hanging="28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Las licencias de funcionamiento relativas a la actividad económica referida en la solicitud, vigentes al diez de junio de dos mil veinticuatro.</w:t>
      </w:r>
    </w:p>
    <w:p w14:paraId="027F3F46" w14:textId="77777777" w:rsidR="001C39B3" w:rsidRDefault="003D6FED">
      <w:pPr>
        <w:pBdr>
          <w:top w:val="nil"/>
          <w:left w:val="nil"/>
          <w:bottom w:val="nil"/>
          <w:right w:val="nil"/>
          <w:between w:val="nil"/>
        </w:pBdr>
        <w:ind w:left="720" w:right="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De ser el caso, debiendo emitir el Acuerdo del Comité de Transparencia de conformidad a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del </w:t>
      </w:r>
      <w:r>
        <w:rPr>
          <w:rFonts w:ascii="Palatino Linotype" w:eastAsia="Palatino Linotype" w:hAnsi="Palatino Linotype" w:cs="Palatino Linotype"/>
          <w:b/>
          <w:i/>
          <w:sz w:val="22"/>
          <w:szCs w:val="22"/>
        </w:rPr>
        <w:t>RECURRENTE</w:t>
      </w:r>
      <w:r>
        <w:rPr>
          <w:rFonts w:ascii="Palatino Linotype" w:eastAsia="Palatino Linotype" w:hAnsi="Palatino Linotype" w:cs="Palatino Linotype"/>
          <w:i/>
          <w:sz w:val="22"/>
          <w:szCs w:val="22"/>
        </w:rPr>
        <w:t>, mismo que igualmente hará de su conocimiento.</w:t>
      </w:r>
    </w:p>
    <w:p w14:paraId="66AB13FA" w14:textId="77777777" w:rsidR="001C39B3" w:rsidRDefault="001C39B3">
      <w:pPr>
        <w:spacing w:line="360" w:lineRule="auto"/>
        <w:ind w:left="360" w:right="49"/>
        <w:jc w:val="both"/>
        <w:rPr>
          <w:rFonts w:ascii="Palatino Linotype" w:eastAsia="Palatino Linotype" w:hAnsi="Palatino Linotype" w:cs="Palatino Linotype"/>
          <w:b/>
          <w:color w:val="000000"/>
        </w:rPr>
      </w:pPr>
    </w:p>
    <w:p w14:paraId="4C2A5CD3" w14:textId="77777777" w:rsidR="001C39B3" w:rsidRDefault="003D6FED">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b/>
          <w:color w:val="000000"/>
        </w:rPr>
        <w:t xml:space="preserve">Tercero. Notifíquese, </w:t>
      </w:r>
      <w:r>
        <w:rPr>
          <w:rFonts w:ascii="Palatino Linotype" w:eastAsia="Palatino Linotype" w:hAnsi="Palatino Linotype" w:cs="Palatino Linotype"/>
          <w:color w:val="000000"/>
        </w:rPr>
        <w:t xml:space="preserve">vía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al Titular de la Unidad de Transparencia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Pr>
          <w:rFonts w:ascii="Palatino Linotype" w:eastAsia="Palatino Linotype" w:hAnsi="Palatino Linotype" w:cs="Palatino Linotype"/>
        </w:rPr>
        <w:t>.</w:t>
      </w:r>
    </w:p>
    <w:p w14:paraId="1037F6ED" w14:textId="77777777" w:rsidR="001C39B3" w:rsidRDefault="001C39B3">
      <w:pPr>
        <w:spacing w:line="360" w:lineRule="auto"/>
        <w:ind w:right="49"/>
        <w:jc w:val="both"/>
        <w:rPr>
          <w:rFonts w:ascii="Palatino Linotype" w:eastAsia="Palatino Linotype" w:hAnsi="Palatino Linotype" w:cs="Palatino Linotype"/>
        </w:rPr>
      </w:pPr>
    </w:p>
    <w:p w14:paraId="4E08A7A1" w14:textId="77777777" w:rsidR="001C39B3" w:rsidRDefault="003D6FED">
      <w:pPr>
        <w:spacing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lastRenderedPageBreak/>
        <w:t xml:space="preserve">Cuarto. </w:t>
      </w:r>
      <w:r>
        <w:rPr>
          <w:rFonts w:ascii="Palatino Linotype" w:eastAsia="Palatino Linotype" w:hAnsi="Palatino Linotype" w:cs="Palatino Linotype"/>
        </w:rPr>
        <w:t xml:space="preserve">Notifíquese, vía </w:t>
      </w:r>
      <w:r>
        <w:rPr>
          <w:rFonts w:ascii="Palatino Linotype" w:eastAsia="Palatino Linotype" w:hAnsi="Palatino Linotype" w:cs="Palatino Linotype"/>
          <w:b/>
        </w:rPr>
        <w:t>SAIMEX y correo electrónico</w:t>
      </w:r>
      <w:r>
        <w:rPr>
          <w:rFonts w:ascii="Palatino Linotype" w:eastAsia="Palatino Linotype" w:hAnsi="Palatino Linotype" w:cs="Palatino Linotype"/>
        </w:rPr>
        <w:t xml:space="preserve">, a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3D13BAE8" w14:textId="77777777" w:rsidR="001C39B3" w:rsidRDefault="003D6FED">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Quinto.</w:t>
      </w:r>
      <w:r>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 manera fundada y motivada, podrá solicitar una ampliación de plazo para el cumplimiento de la presente resolución.</w:t>
      </w:r>
    </w:p>
    <w:p w14:paraId="38F633F1" w14:textId="17672296" w:rsidR="001F1A9B" w:rsidRDefault="003D6FED">
      <w:pPr>
        <w:spacing w:before="240" w:after="240" w:line="360" w:lineRule="auto"/>
        <w:jc w:val="both"/>
        <w:rPr>
          <w:rFonts w:ascii="Palatino Linotype" w:eastAsia="Palatino Linotype" w:hAnsi="Palatino Linotype" w:cs="Palatino Linotype"/>
        </w:rPr>
      </w:pPr>
      <w:bookmarkStart w:id="4" w:name="_heading=h.3znysh7" w:colFirst="0" w:colLast="0"/>
      <w:bookmarkEnd w:id="4"/>
      <w:r>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NOVENA SESIÓN ORDINARIA CELEBRADA EL VEINTIUNO DE AGOSTO</w:t>
      </w:r>
      <w:r>
        <w:rPr>
          <w:rFonts w:ascii="Palatino Linotype" w:eastAsia="Palatino Linotype" w:hAnsi="Palatino Linotype" w:cs="Palatino Linotype"/>
          <w:color w:val="FF0000"/>
        </w:rPr>
        <w:t xml:space="preserve"> </w:t>
      </w:r>
      <w:r>
        <w:rPr>
          <w:rFonts w:ascii="Palatino Linotype" w:eastAsia="Palatino Linotype" w:hAnsi="Palatino Linotype" w:cs="Palatino Linotype"/>
        </w:rPr>
        <w:t>DE DOS MIL VEINTICUATRO, ANTE EL SECRETARIO TÉCNICO DEL PLENO ALEXIS TAPIA RAMÍREZ.</w:t>
      </w:r>
    </w:p>
    <w:p w14:paraId="6AA68D49" w14:textId="77777777" w:rsidR="001F1A9B" w:rsidRDefault="001F1A9B">
      <w:pPr>
        <w:rPr>
          <w:rFonts w:ascii="Palatino Linotype" w:eastAsia="Palatino Linotype" w:hAnsi="Palatino Linotype" w:cs="Palatino Linotype"/>
        </w:rPr>
      </w:pPr>
      <w:r>
        <w:rPr>
          <w:rFonts w:ascii="Palatino Linotype" w:eastAsia="Palatino Linotype" w:hAnsi="Palatino Linotype" w:cs="Palatino Linotype"/>
        </w:rPr>
        <w:br w:type="page"/>
      </w:r>
    </w:p>
    <w:p w14:paraId="35AF0BDE" w14:textId="77777777" w:rsidR="001C39B3" w:rsidRDefault="001C39B3">
      <w:pPr>
        <w:spacing w:before="240" w:after="240" w:line="360" w:lineRule="auto"/>
        <w:jc w:val="both"/>
        <w:rPr>
          <w:rFonts w:ascii="Palatino Linotype" w:eastAsia="Palatino Linotype" w:hAnsi="Palatino Linotype" w:cs="Palatino Linotype"/>
        </w:rPr>
      </w:pPr>
    </w:p>
    <w:p w14:paraId="58338056" w14:textId="77777777" w:rsidR="001C39B3" w:rsidRDefault="001C39B3">
      <w:pPr>
        <w:spacing w:before="240" w:after="240" w:line="360" w:lineRule="auto"/>
        <w:jc w:val="both"/>
        <w:rPr>
          <w:rFonts w:ascii="Palatino Linotype" w:eastAsia="Palatino Linotype" w:hAnsi="Palatino Linotype" w:cs="Palatino Linotype"/>
        </w:rPr>
      </w:pPr>
    </w:p>
    <w:sectPr w:rsidR="001C39B3">
      <w:headerReference w:type="default" r:id="rId14"/>
      <w:footerReference w:type="default" r:id="rId15"/>
      <w:headerReference w:type="first" r:id="rId16"/>
      <w:footerReference w:type="first" r:id="rId17"/>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540D7" w14:textId="77777777" w:rsidR="00C82660" w:rsidRDefault="00C82660">
      <w:r>
        <w:separator/>
      </w:r>
    </w:p>
  </w:endnote>
  <w:endnote w:type="continuationSeparator" w:id="0">
    <w:p w14:paraId="4CC853CD" w14:textId="77777777" w:rsidR="00C82660" w:rsidRDefault="00C8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auto"/>
    <w:notTrueType/>
    <w:pitch w:val="variable"/>
    <w:sig w:usb0="E00002FF" w:usb1="5000785B" w:usb2="00000000" w:usb3="00000000" w:csb0="0000019F"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A795F" w14:textId="77777777" w:rsidR="001C39B3" w:rsidRDefault="003D6FED">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46</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46</w:t>
    </w:r>
    <w:r>
      <w:rPr>
        <w:rFonts w:ascii="Palatino Linotype" w:eastAsia="Palatino Linotype" w:hAnsi="Palatino Linotype" w:cs="Palatino Linotype"/>
        <w:b/>
        <w:color w:val="000000"/>
        <w:sz w:val="20"/>
        <w:szCs w:val="20"/>
      </w:rPr>
      <w:fldChar w:fldCharType="end"/>
    </w:r>
  </w:p>
  <w:p w14:paraId="1B7F1D56" w14:textId="77777777" w:rsidR="001C39B3" w:rsidRDefault="001C39B3">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260FF" w14:textId="77777777" w:rsidR="001C39B3" w:rsidRDefault="003D6FED">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46</w:t>
    </w:r>
    <w:r>
      <w:rPr>
        <w:rFonts w:ascii="Palatino Linotype" w:eastAsia="Palatino Linotype" w:hAnsi="Palatino Linotype" w:cs="Palatino Linotype"/>
        <w:b/>
        <w:color w:val="000000"/>
        <w:sz w:val="20"/>
        <w:szCs w:val="20"/>
      </w:rPr>
      <w:fldChar w:fldCharType="end"/>
    </w:r>
  </w:p>
  <w:p w14:paraId="36FFFAAB" w14:textId="77777777" w:rsidR="001C39B3" w:rsidRDefault="001C39B3">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9DFBE" w14:textId="77777777" w:rsidR="00C82660" w:rsidRDefault="00C82660">
      <w:r>
        <w:separator/>
      </w:r>
    </w:p>
  </w:footnote>
  <w:footnote w:type="continuationSeparator" w:id="0">
    <w:p w14:paraId="45726449" w14:textId="77777777" w:rsidR="00C82660" w:rsidRDefault="00C82660">
      <w:r>
        <w:continuationSeparator/>
      </w:r>
    </w:p>
  </w:footnote>
  <w:footnote w:id="1">
    <w:p w14:paraId="7F786AF4" w14:textId="77777777" w:rsidR="001C39B3" w:rsidRDefault="003D6FED">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150 de la Ley de Transparencia y Acceso a la Información Pública del Estado de México y Municipios</w:t>
      </w:r>
    </w:p>
  </w:footnote>
  <w:footnote w:id="2">
    <w:p w14:paraId="49AC05A8" w14:textId="77777777" w:rsidR="001C39B3" w:rsidRDefault="003D6FED">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165, ibídem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6D41F" w14:textId="77777777" w:rsidR="001C39B3" w:rsidRDefault="003D6FED">
    <w:pPr>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0A24D990" wp14:editId="42BB227C">
          <wp:simplePos x="0" y="0"/>
          <wp:positionH relativeFrom="column">
            <wp:posOffset>-1080129</wp:posOffset>
          </wp:positionH>
          <wp:positionV relativeFrom="paragraph">
            <wp:posOffset>-488309</wp:posOffset>
          </wp:positionV>
          <wp:extent cx="7809865" cy="10165715"/>
          <wp:effectExtent l="0" t="0" r="0" b="0"/>
          <wp:wrapNone/>
          <wp:docPr id="7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6"/>
      <w:tblW w:w="5953" w:type="dxa"/>
      <w:tblInd w:w="3261" w:type="dxa"/>
      <w:tblLayout w:type="fixed"/>
      <w:tblLook w:val="0400" w:firstRow="0" w:lastRow="0" w:firstColumn="0" w:lastColumn="0" w:noHBand="0" w:noVBand="1"/>
    </w:tblPr>
    <w:tblGrid>
      <w:gridCol w:w="2489"/>
      <w:gridCol w:w="3464"/>
    </w:tblGrid>
    <w:tr w:rsidR="001C39B3" w14:paraId="00A56B34" w14:textId="77777777">
      <w:tc>
        <w:tcPr>
          <w:tcW w:w="2489" w:type="dxa"/>
          <w:shd w:val="clear" w:color="auto" w:fill="auto"/>
        </w:tcPr>
        <w:p w14:paraId="1FD492D7" w14:textId="77777777" w:rsidR="001C39B3" w:rsidRDefault="003D6FE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3911F309" w14:textId="77777777" w:rsidR="001C39B3" w:rsidRDefault="003D6FED">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04099/INFOEM/IP/RR/2024</w:t>
          </w:r>
        </w:p>
      </w:tc>
    </w:tr>
    <w:tr w:rsidR="001C39B3" w14:paraId="05903144" w14:textId="77777777">
      <w:trPr>
        <w:trHeight w:val="228"/>
      </w:trPr>
      <w:tc>
        <w:tcPr>
          <w:tcW w:w="2489" w:type="dxa"/>
          <w:shd w:val="clear" w:color="auto" w:fill="auto"/>
          <w:vAlign w:val="center"/>
        </w:tcPr>
        <w:p w14:paraId="650E4F94" w14:textId="77777777" w:rsidR="001C39B3" w:rsidRDefault="003D6FE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710FC89D" w14:textId="77777777" w:rsidR="001C39B3" w:rsidRDefault="003D6FED">
          <w:pPr>
            <w:ind w:right="31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Capulhuac.</w:t>
          </w:r>
        </w:p>
      </w:tc>
    </w:tr>
    <w:tr w:rsidR="001C39B3" w14:paraId="3B394544" w14:textId="77777777">
      <w:tc>
        <w:tcPr>
          <w:tcW w:w="2489" w:type="dxa"/>
          <w:shd w:val="clear" w:color="auto" w:fill="auto"/>
          <w:vAlign w:val="center"/>
        </w:tcPr>
        <w:p w14:paraId="07BEA558" w14:textId="77777777" w:rsidR="001C39B3" w:rsidRDefault="003D6FED">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37D9D7D1" w14:textId="77777777" w:rsidR="001C39B3" w:rsidRDefault="003D6FED">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F232177" w14:textId="77777777" w:rsidR="001C39B3" w:rsidRDefault="003D6FED">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0E2B" w14:textId="77777777" w:rsidR="001C39B3" w:rsidRDefault="001C39B3">
    <w:pPr>
      <w:widowControl w:val="0"/>
      <w:pBdr>
        <w:top w:val="nil"/>
        <w:left w:val="nil"/>
        <w:bottom w:val="nil"/>
        <w:right w:val="nil"/>
        <w:between w:val="nil"/>
      </w:pBdr>
      <w:spacing w:line="276" w:lineRule="auto"/>
      <w:ind w:right="191"/>
      <w:rPr>
        <w:rFonts w:ascii="Palatino Linotype" w:eastAsia="Palatino Linotype" w:hAnsi="Palatino Linotype" w:cs="Palatino Linotype"/>
        <w:color w:val="000000"/>
        <w:sz w:val="16"/>
        <w:szCs w:val="16"/>
      </w:rPr>
    </w:pPr>
  </w:p>
  <w:tbl>
    <w:tblPr>
      <w:tblStyle w:val="a7"/>
      <w:tblW w:w="5670" w:type="dxa"/>
      <w:tblInd w:w="3261" w:type="dxa"/>
      <w:tblLayout w:type="fixed"/>
      <w:tblLook w:val="0400" w:firstRow="0" w:lastRow="0" w:firstColumn="0" w:lastColumn="0" w:noHBand="0" w:noVBand="1"/>
    </w:tblPr>
    <w:tblGrid>
      <w:gridCol w:w="2551"/>
      <w:gridCol w:w="3119"/>
    </w:tblGrid>
    <w:tr w:rsidR="001C39B3" w14:paraId="15FB203E" w14:textId="77777777">
      <w:tc>
        <w:tcPr>
          <w:tcW w:w="2551" w:type="dxa"/>
          <w:shd w:val="clear" w:color="auto" w:fill="auto"/>
          <w:vAlign w:val="center"/>
        </w:tcPr>
        <w:p w14:paraId="39865EEA" w14:textId="77777777" w:rsidR="001C39B3" w:rsidRDefault="003D6FE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72F401EF" w14:textId="77777777" w:rsidR="001C39B3" w:rsidRDefault="003D6FED">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04099/INFOEM/IP/RR/2024</w:t>
          </w:r>
        </w:p>
      </w:tc>
    </w:tr>
    <w:tr w:rsidR="001C39B3" w14:paraId="533C5E51" w14:textId="77777777">
      <w:trPr>
        <w:trHeight w:val="130"/>
      </w:trPr>
      <w:tc>
        <w:tcPr>
          <w:tcW w:w="2551" w:type="dxa"/>
          <w:shd w:val="clear" w:color="auto" w:fill="auto"/>
          <w:vAlign w:val="center"/>
        </w:tcPr>
        <w:p w14:paraId="5E10AC16" w14:textId="77777777" w:rsidR="001C39B3" w:rsidRDefault="003D6FED">
          <w:pPr>
            <w:rPr>
              <w:rFonts w:ascii="Palatino Linotype" w:eastAsia="Palatino Linotype" w:hAnsi="Palatino Linotype" w:cs="Palatino Linotype"/>
              <w:b/>
              <w:sz w:val="22"/>
              <w:szCs w:val="22"/>
            </w:rPr>
          </w:pPr>
          <w:bookmarkStart w:id="5" w:name="_Hlk175732832"/>
          <w:r>
            <w:rPr>
              <w:rFonts w:ascii="Palatino Linotype" w:eastAsia="Palatino Linotype" w:hAnsi="Palatino Linotype" w:cs="Palatino Linotype"/>
              <w:b/>
              <w:sz w:val="22"/>
              <w:szCs w:val="22"/>
            </w:rPr>
            <w:t>Recurrente:</w:t>
          </w:r>
        </w:p>
      </w:tc>
      <w:tc>
        <w:tcPr>
          <w:tcW w:w="3119" w:type="dxa"/>
          <w:shd w:val="clear" w:color="auto" w:fill="auto"/>
          <w:vAlign w:val="center"/>
        </w:tcPr>
        <w:p w14:paraId="40A69F5C" w14:textId="4183E4E1" w:rsidR="001C39B3" w:rsidRDefault="00C15742">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 XXXXXX XXXXX XXXX </w:t>
          </w:r>
        </w:p>
      </w:tc>
    </w:tr>
    <w:bookmarkEnd w:id="5"/>
    <w:tr w:rsidR="001C39B3" w14:paraId="35DF5D6B" w14:textId="77777777">
      <w:trPr>
        <w:trHeight w:val="228"/>
      </w:trPr>
      <w:tc>
        <w:tcPr>
          <w:tcW w:w="2551" w:type="dxa"/>
          <w:shd w:val="clear" w:color="auto" w:fill="auto"/>
          <w:vAlign w:val="center"/>
        </w:tcPr>
        <w:p w14:paraId="4DFB37B8" w14:textId="77777777" w:rsidR="001C39B3" w:rsidRDefault="003D6FE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39957612" w14:textId="77777777" w:rsidR="001C39B3" w:rsidRDefault="003D6FED">
          <w:pPr>
            <w:ind w:left="-45" w:right="-533"/>
            <w:jc w:val="both"/>
          </w:pPr>
          <w:r>
            <w:rPr>
              <w:rFonts w:ascii="Palatino Linotype" w:eastAsia="Palatino Linotype" w:hAnsi="Palatino Linotype" w:cs="Palatino Linotype"/>
              <w:b/>
              <w:sz w:val="22"/>
              <w:szCs w:val="22"/>
            </w:rPr>
            <w:t>Ayuntamiento de Capulhuac.</w:t>
          </w:r>
        </w:p>
      </w:tc>
    </w:tr>
    <w:tr w:rsidR="001C39B3" w14:paraId="6E06E46A" w14:textId="77777777">
      <w:tc>
        <w:tcPr>
          <w:tcW w:w="2551" w:type="dxa"/>
          <w:shd w:val="clear" w:color="auto" w:fill="auto"/>
          <w:vAlign w:val="center"/>
        </w:tcPr>
        <w:p w14:paraId="550F9348" w14:textId="77777777" w:rsidR="001C39B3" w:rsidRDefault="003D6FE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519220F3" w14:textId="77777777" w:rsidR="001C39B3" w:rsidRDefault="003D6FED">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975A40E" w14:textId="77777777" w:rsidR="001C39B3" w:rsidRDefault="003D6FED">
    <w:pPr>
      <w:pBdr>
        <w:top w:val="nil"/>
        <w:left w:val="nil"/>
        <w:bottom w:val="nil"/>
        <w:right w:val="nil"/>
        <w:between w:val="nil"/>
      </w:pBdr>
      <w:tabs>
        <w:tab w:val="center" w:pos="4252"/>
        <w:tab w:val="right" w:pos="8504"/>
      </w:tabs>
      <w:rPr>
        <w:rFonts w:ascii="Cambria" w:eastAsia="Cambria" w:hAnsi="Cambria" w:cs="Cambria"/>
        <w:color w:val="000000"/>
      </w:rPr>
    </w:pPr>
    <w:r>
      <w:rPr>
        <w:noProof/>
        <w:lang w:val="es-MX"/>
      </w:rPr>
      <w:drawing>
        <wp:anchor distT="0" distB="0" distL="0" distR="0" simplePos="0" relativeHeight="251659264" behindDoc="1" locked="0" layoutInCell="1" hidden="0" allowOverlap="1" wp14:anchorId="2026B93A" wp14:editId="089CB92B">
          <wp:simplePos x="0" y="0"/>
          <wp:positionH relativeFrom="column">
            <wp:posOffset>-1089654</wp:posOffset>
          </wp:positionH>
          <wp:positionV relativeFrom="paragraph">
            <wp:posOffset>-1169664</wp:posOffset>
          </wp:positionV>
          <wp:extent cx="7809865" cy="10165715"/>
          <wp:effectExtent l="0" t="0" r="0" b="0"/>
          <wp:wrapNone/>
          <wp:docPr id="7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F5188"/>
    <w:multiLevelType w:val="multilevel"/>
    <w:tmpl w:val="49965E78"/>
    <w:lvl w:ilvl="0">
      <w:start w:val="1"/>
      <w:numFmt w:val="upperRoman"/>
      <w:pStyle w:val="Listaconvietas3"/>
      <w:lvlText w:val="%1."/>
      <w:lvlJc w:val="left"/>
      <w:pPr>
        <w:ind w:left="1996" w:hanging="72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 w15:restartNumberingAfterBreak="0">
    <w:nsid w:val="312A5201"/>
    <w:multiLevelType w:val="multilevel"/>
    <w:tmpl w:val="622A7ED8"/>
    <w:lvl w:ilvl="0">
      <w:start w:val="1"/>
      <w:numFmt w:val="lowerLetter"/>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15:restartNumberingAfterBreak="0">
    <w:nsid w:val="46AD1C31"/>
    <w:multiLevelType w:val="multilevel"/>
    <w:tmpl w:val="5ACA69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57419E5"/>
    <w:multiLevelType w:val="multilevel"/>
    <w:tmpl w:val="143239A0"/>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5F072C9"/>
    <w:multiLevelType w:val="multilevel"/>
    <w:tmpl w:val="93FA5480"/>
    <w:lvl w:ilvl="0">
      <w:start w:val="1"/>
      <w:numFmt w:val="lowerLetter"/>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9B3"/>
    <w:rsid w:val="001C39B3"/>
    <w:rsid w:val="001F1A9B"/>
    <w:rsid w:val="003D6FED"/>
    <w:rsid w:val="00C15742"/>
    <w:rsid w:val="00C82660"/>
    <w:rsid w:val="00D41E39"/>
    <w:rsid w:val="00D97AF1"/>
    <w:rsid w:val="00DC60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9A007"/>
  <w15:docId w15:val="{DFE8C9B3-CD43-4003-AF3F-DD5E0B88F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Fundamentos,INAI"/>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Fundamentos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7">
    <w:name w:val="7"/>
    <w:basedOn w:val="TableNormal1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6">
    <w:name w:val="6"/>
    <w:basedOn w:val="TableNormal10"/>
    <w:tblPr>
      <w:tblStyleRowBandSize w:val="1"/>
      <w:tblStyleColBandSize w:val="1"/>
      <w:tblCellMar>
        <w:left w:w="115" w:type="dxa"/>
        <w:right w:w="115" w:type="dxa"/>
      </w:tblCellMar>
    </w:tblPr>
  </w:style>
  <w:style w:type="table" w:customStyle="1" w:styleId="5">
    <w:name w:val="5"/>
    <w:basedOn w:val="TableNormal10"/>
    <w:tblPr>
      <w:tblStyleRowBandSize w:val="1"/>
      <w:tblStyleColBandSize w:val="1"/>
      <w:tblCellMar>
        <w:left w:w="115" w:type="dxa"/>
        <w:right w:w="115" w:type="dxa"/>
      </w:tblCellMar>
    </w:tbl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left w:w="115" w:type="dxa"/>
        <w:right w:w="115" w:type="dxa"/>
      </w:tblCellMar>
    </w:tblPr>
  </w:style>
  <w:style w:type="table" w:customStyle="1" w:styleId="2">
    <w:name w:val="2"/>
    <w:basedOn w:val="TableNormal20"/>
    <w:tblPr>
      <w:tblStyleRowBandSize w:val="1"/>
      <w:tblStyleColBandSize w:val="1"/>
      <w:tblCellMar>
        <w:left w:w="115" w:type="dxa"/>
        <w:right w:w="115" w:type="dxa"/>
      </w:tblCellMar>
    </w:tblPr>
  </w:style>
  <w:style w:type="table" w:customStyle="1" w:styleId="1">
    <w:name w:val="1"/>
    <w:basedOn w:val="TableNormal20"/>
    <w:tblPr>
      <w:tblStyleRowBandSize w:val="1"/>
      <w:tblStyleColBandSize w:val="1"/>
      <w:tblCellMar>
        <w:left w:w="115" w:type="dxa"/>
        <w:right w:w="115" w:type="dxa"/>
      </w:tblCellMar>
    </w:tblPr>
  </w:style>
  <w:style w:type="character" w:customStyle="1" w:styleId="object">
    <w:name w:val="object"/>
    <w:basedOn w:val="Fuentedeprrafopredeter"/>
    <w:rsid w:val="001A55EF"/>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147400.page"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2174707.pag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aimex.org.mx/saimex/solicitud/downloadAttach/2162386.pag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aimex.org.mx/saimex/solicitud/downloadAttach/2157712.pag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HjlNwpTUR2rpsxLqKMVlO6FRYw==">CgMxLjAyCGguZ2pkZ3hzMgloLjMwajB6bGwyCWguMmV0OTJwMDIOaC5ycGwzanQ1Y2RuYTUyCWguM3pueXNoNzgAciExdGVBU3cxaFprZ05HYUtWZEZuLWpsd3lHOHRqZmIyQnI=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13045</Words>
  <Characters>71753</Characters>
  <Application>Microsoft Office Word</Application>
  <DocSecurity>0</DocSecurity>
  <Lines>597</Lines>
  <Paragraphs>169</Paragraphs>
  <ScaleCrop>false</ScaleCrop>
  <Company>HP Inc.</Company>
  <LinksUpToDate>false</LinksUpToDate>
  <CharactersWithSpaces>84629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2024-08-23T17:42:00Z</cp:lastPrinted>
  <dcterms:created xsi:type="dcterms:W3CDTF">2024-08-28T16:23:00Z</dcterms:created>
  <dcterms:modified xsi:type="dcterms:W3CDTF">2024-08-28T16:23:00Z</dcterms:modified>
</cp:coreProperties>
</file>