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AFA4"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bookmarkStart w:id="0" w:name="_heading=h.3znysh7" w:colFirst="0" w:colLast="0"/>
      <w:bookmarkEnd w:id="0"/>
      <w:r w:rsidRPr="009A1C1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9A1C1B">
        <w:rPr>
          <w:rFonts w:ascii="Palatino Linotype" w:eastAsia="Palatino Linotype" w:hAnsi="Palatino Linotype" w:cs="Palatino Linotype"/>
          <w:b/>
          <w:sz w:val="22"/>
          <w:szCs w:val="22"/>
        </w:rPr>
        <w:t>veintisiete de noviembre de dos mil veinticuatro</w:t>
      </w:r>
      <w:r w:rsidRPr="009A1C1B">
        <w:rPr>
          <w:rFonts w:ascii="Palatino Linotype" w:eastAsia="Palatino Linotype" w:hAnsi="Palatino Linotype" w:cs="Palatino Linotype"/>
          <w:sz w:val="22"/>
          <w:szCs w:val="22"/>
        </w:rPr>
        <w:t xml:space="preserve">. </w:t>
      </w:r>
    </w:p>
    <w:p w14:paraId="366E140D" w14:textId="77777777" w:rsidR="004E6904" w:rsidRPr="009A1C1B" w:rsidRDefault="00063E7D">
      <w:pPr>
        <w:spacing w:before="240" w:after="240" w:line="360" w:lineRule="auto"/>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sz w:val="22"/>
          <w:szCs w:val="22"/>
        </w:rPr>
        <w:t>Visto</w:t>
      </w:r>
      <w:r w:rsidRPr="009A1C1B">
        <w:rPr>
          <w:rFonts w:ascii="Palatino Linotype" w:eastAsia="Palatino Linotype" w:hAnsi="Palatino Linotype" w:cs="Palatino Linotype"/>
          <w:sz w:val="22"/>
          <w:szCs w:val="22"/>
        </w:rPr>
        <w:t xml:space="preserve"> el expediente formado con motivo del recurso de revisión </w:t>
      </w:r>
      <w:r w:rsidRPr="009A1C1B">
        <w:rPr>
          <w:rFonts w:ascii="Palatino Linotype" w:eastAsia="Palatino Linotype" w:hAnsi="Palatino Linotype" w:cs="Palatino Linotype"/>
          <w:b/>
          <w:sz w:val="22"/>
          <w:szCs w:val="22"/>
        </w:rPr>
        <w:t>06589/INFOEM/IP/RR/2024</w:t>
      </w:r>
      <w:r w:rsidRPr="009A1C1B">
        <w:rPr>
          <w:rFonts w:ascii="Palatino Linotype" w:eastAsia="Palatino Linotype" w:hAnsi="Palatino Linotype" w:cs="Palatino Linotype"/>
          <w:sz w:val="22"/>
          <w:szCs w:val="22"/>
        </w:rPr>
        <w:t>, interpuesto por</w:t>
      </w:r>
      <w:r w:rsidRPr="009A1C1B">
        <w:rPr>
          <w:rFonts w:ascii="Palatino Linotype" w:eastAsia="Palatino Linotype" w:hAnsi="Palatino Linotype" w:cs="Palatino Linotype"/>
          <w:b/>
          <w:sz w:val="22"/>
          <w:szCs w:val="22"/>
        </w:rPr>
        <w:t xml:space="preserve"> un particular de manera anónima</w:t>
      </w:r>
      <w:r w:rsidRPr="009A1C1B">
        <w:rPr>
          <w:rFonts w:ascii="Palatino Linotype" w:eastAsia="Palatino Linotype" w:hAnsi="Palatino Linotype" w:cs="Palatino Linotype"/>
          <w:sz w:val="22"/>
          <w:szCs w:val="22"/>
        </w:rPr>
        <w:t xml:space="preserve">, en lo sucesivo </w:t>
      </w:r>
      <w:r w:rsidRPr="009A1C1B">
        <w:rPr>
          <w:rFonts w:ascii="Palatino Linotype" w:eastAsia="Palatino Linotype" w:hAnsi="Palatino Linotype" w:cs="Palatino Linotype"/>
          <w:b/>
          <w:sz w:val="22"/>
          <w:szCs w:val="22"/>
        </w:rPr>
        <w:t>la</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parte</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Recurrente,</w:t>
      </w:r>
      <w:r w:rsidRPr="009A1C1B">
        <w:rPr>
          <w:rFonts w:ascii="Palatino Linotype" w:eastAsia="Palatino Linotype" w:hAnsi="Palatino Linotype" w:cs="Palatino Linotype"/>
          <w:sz w:val="22"/>
          <w:szCs w:val="22"/>
        </w:rPr>
        <w:t xml:space="preserve"> en contra de la respuesta a su solicitud por parte del </w:t>
      </w:r>
      <w:r w:rsidRPr="009A1C1B">
        <w:rPr>
          <w:rFonts w:ascii="Palatino Linotype" w:eastAsia="Palatino Linotype" w:hAnsi="Palatino Linotype" w:cs="Palatino Linotype"/>
          <w:b/>
          <w:sz w:val="22"/>
          <w:szCs w:val="22"/>
        </w:rPr>
        <w:t xml:space="preserve">Ayuntamiento de Temamatla, </w:t>
      </w:r>
      <w:r w:rsidRPr="009A1C1B">
        <w:rPr>
          <w:rFonts w:ascii="Palatino Linotype" w:eastAsia="Palatino Linotype" w:hAnsi="Palatino Linotype" w:cs="Palatino Linotype"/>
          <w:sz w:val="22"/>
          <w:szCs w:val="22"/>
        </w:rPr>
        <w:t xml:space="preserve">en lo sucesivo el </w:t>
      </w:r>
      <w:r w:rsidRPr="009A1C1B">
        <w:rPr>
          <w:rFonts w:ascii="Palatino Linotype" w:eastAsia="Palatino Linotype" w:hAnsi="Palatino Linotype" w:cs="Palatino Linotype"/>
          <w:b/>
          <w:sz w:val="22"/>
          <w:szCs w:val="22"/>
        </w:rPr>
        <w:t xml:space="preserve">Sujeto Obligado, </w:t>
      </w:r>
      <w:r w:rsidRPr="009A1C1B">
        <w:rPr>
          <w:rFonts w:ascii="Palatino Linotype" w:eastAsia="Palatino Linotype" w:hAnsi="Palatino Linotype" w:cs="Palatino Linotype"/>
          <w:sz w:val="22"/>
          <w:szCs w:val="22"/>
        </w:rPr>
        <w:t xml:space="preserve">se procede a dictar la presente resolución con base en los siguientes: </w:t>
      </w:r>
    </w:p>
    <w:p w14:paraId="3803F8BC" w14:textId="77777777" w:rsidR="004E6904" w:rsidRPr="009A1C1B" w:rsidRDefault="00063E7D">
      <w:pPr>
        <w:spacing w:before="240" w:after="240" w:line="360" w:lineRule="auto"/>
        <w:jc w:val="center"/>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rPr>
        <w:t xml:space="preserve">I. </w:t>
      </w:r>
      <w:r w:rsidRPr="009A1C1B">
        <w:rPr>
          <w:rFonts w:ascii="Palatino Linotype" w:eastAsia="Palatino Linotype" w:hAnsi="Palatino Linotype" w:cs="Palatino Linotype"/>
          <w:b/>
          <w:sz w:val="22"/>
          <w:szCs w:val="22"/>
        </w:rPr>
        <w:t>A N T E C E D E N T E S</w:t>
      </w:r>
    </w:p>
    <w:p w14:paraId="0B6A1F1D"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t>1. Solicitud de acceso a la información.</w:t>
      </w:r>
      <w:r w:rsidRPr="009A1C1B">
        <w:rPr>
          <w:rFonts w:ascii="Palatino Linotype" w:eastAsia="Palatino Linotype" w:hAnsi="Palatino Linotype" w:cs="Palatino Linotype"/>
          <w:sz w:val="22"/>
          <w:szCs w:val="22"/>
        </w:rPr>
        <w:t xml:space="preserve"> El </w:t>
      </w:r>
      <w:r w:rsidRPr="009A1C1B">
        <w:rPr>
          <w:rFonts w:ascii="Palatino Linotype" w:eastAsia="Palatino Linotype" w:hAnsi="Palatino Linotype" w:cs="Palatino Linotype"/>
          <w:b/>
          <w:sz w:val="22"/>
          <w:szCs w:val="22"/>
        </w:rPr>
        <w:t>veinticinco de septiembre del dos mil veinticuatro,</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 xml:space="preserve">la parte Recurrente </w:t>
      </w:r>
      <w:r w:rsidRPr="009A1C1B">
        <w:rPr>
          <w:rFonts w:ascii="Palatino Linotype" w:eastAsia="Palatino Linotype" w:hAnsi="Palatino Linotype" w:cs="Palatino Linotype"/>
          <w:sz w:val="22"/>
          <w:szCs w:val="22"/>
        </w:rPr>
        <w:t xml:space="preserve">presentó, a través del Sistema de Acceso a la Información Mexiquense, en lo subsecuente el </w:t>
      </w:r>
      <w:r w:rsidRPr="009A1C1B">
        <w:rPr>
          <w:rFonts w:ascii="Palatino Linotype" w:eastAsia="Palatino Linotype" w:hAnsi="Palatino Linotype" w:cs="Palatino Linotype"/>
          <w:b/>
          <w:sz w:val="22"/>
          <w:szCs w:val="22"/>
        </w:rPr>
        <w:t>SAIMEX,</w:t>
      </w:r>
      <w:r w:rsidRPr="009A1C1B">
        <w:rPr>
          <w:rFonts w:ascii="Palatino Linotype" w:eastAsia="Palatino Linotype" w:hAnsi="Palatino Linotype" w:cs="Palatino Linotype"/>
          <w:sz w:val="22"/>
          <w:szCs w:val="22"/>
        </w:rPr>
        <w:t xml:space="preserve"> ante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la solicitud de acceso a la información pública, a la que se le asignó el número</w:t>
      </w:r>
      <w:r w:rsidRPr="009A1C1B">
        <w:rPr>
          <w:rFonts w:ascii="Palatino Linotype" w:eastAsia="Palatino Linotype" w:hAnsi="Palatino Linotype" w:cs="Palatino Linotype"/>
          <w:b/>
          <w:sz w:val="22"/>
          <w:szCs w:val="22"/>
        </w:rPr>
        <w:t xml:space="preserve"> 00307/TEMAMATL/IP/2024, </w:t>
      </w:r>
      <w:r w:rsidRPr="009A1C1B">
        <w:rPr>
          <w:rFonts w:ascii="Palatino Linotype" w:eastAsia="Palatino Linotype" w:hAnsi="Palatino Linotype" w:cs="Palatino Linotype"/>
          <w:sz w:val="22"/>
          <w:szCs w:val="22"/>
        </w:rPr>
        <w:t xml:space="preserve">mediante la cual requirió la información siguiente: </w:t>
      </w:r>
    </w:p>
    <w:p w14:paraId="013854B6" w14:textId="77777777" w:rsidR="004E6904" w:rsidRPr="009A1C1B" w:rsidRDefault="00063E7D">
      <w:pPr>
        <w:spacing w:before="240"/>
        <w:ind w:left="567" w:right="902"/>
        <w:jc w:val="both"/>
        <w:rPr>
          <w:rFonts w:ascii="Palatino Linotype" w:eastAsia="Palatino Linotype" w:hAnsi="Palatino Linotype" w:cs="Palatino Linotype"/>
          <w:b/>
          <w:i/>
          <w:sz w:val="22"/>
          <w:szCs w:val="22"/>
          <w:u w:val="single"/>
        </w:rPr>
      </w:pPr>
      <w:bookmarkStart w:id="1" w:name="_heading=h.gjdgxs" w:colFirst="0" w:colLast="0"/>
      <w:bookmarkEnd w:id="1"/>
      <w:r w:rsidRPr="009A1C1B">
        <w:rPr>
          <w:rFonts w:ascii="Palatino Linotype" w:eastAsia="Palatino Linotype" w:hAnsi="Palatino Linotype" w:cs="Palatino Linotype"/>
          <w:i/>
          <w:sz w:val="22"/>
          <w:szCs w:val="22"/>
        </w:rPr>
        <w:t xml:space="preserve">“Cual </w:t>
      </w:r>
      <w:proofErr w:type="spellStart"/>
      <w:r w:rsidRPr="009A1C1B">
        <w:rPr>
          <w:rFonts w:ascii="Palatino Linotype" w:eastAsia="Palatino Linotype" w:hAnsi="Palatino Linotype" w:cs="Palatino Linotype"/>
          <w:i/>
          <w:sz w:val="22"/>
          <w:szCs w:val="22"/>
        </w:rPr>
        <w:t>a</w:t>
      </w:r>
      <w:proofErr w:type="spellEnd"/>
      <w:r w:rsidRPr="009A1C1B">
        <w:rPr>
          <w:rFonts w:ascii="Palatino Linotype" w:eastAsia="Palatino Linotype" w:hAnsi="Palatino Linotype" w:cs="Palatino Linotype"/>
          <w:i/>
          <w:sz w:val="22"/>
          <w:szCs w:val="22"/>
        </w:rPr>
        <w:t xml:space="preserve"> sido el </w:t>
      </w:r>
      <w:r w:rsidRPr="009A1C1B">
        <w:rPr>
          <w:rFonts w:ascii="Palatino Linotype" w:eastAsia="Palatino Linotype" w:hAnsi="Palatino Linotype" w:cs="Palatino Linotype"/>
          <w:b/>
          <w:i/>
          <w:sz w:val="22"/>
          <w:szCs w:val="22"/>
          <w:u w:val="single"/>
        </w:rPr>
        <w:t xml:space="preserve">monto mensual de gasto por concepto de compra de consumibles durante la administración 2022 2024, cual ha sido el proveedor proveedores, requiero la información desglosada por </w:t>
      </w:r>
      <w:proofErr w:type="gramStart"/>
      <w:r w:rsidRPr="009A1C1B">
        <w:rPr>
          <w:rFonts w:ascii="Palatino Linotype" w:eastAsia="Palatino Linotype" w:hAnsi="Palatino Linotype" w:cs="Palatino Linotype"/>
          <w:b/>
          <w:i/>
          <w:sz w:val="22"/>
          <w:szCs w:val="22"/>
          <w:u w:val="single"/>
        </w:rPr>
        <w:t>mes ,</w:t>
      </w:r>
      <w:proofErr w:type="gramEnd"/>
      <w:r w:rsidRPr="009A1C1B">
        <w:rPr>
          <w:rFonts w:ascii="Palatino Linotype" w:eastAsia="Palatino Linotype" w:hAnsi="Palatino Linotype" w:cs="Palatino Linotype"/>
          <w:b/>
          <w:i/>
          <w:sz w:val="22"/>
          <w:szCs w:val="22"/>
          <w:u w:val="single"/>
        </w:rPr>
        <w:t xml:space="preserve"> favor de adjuntar las pólizas de egresos</w:t>
      </w:r>
      <w:r w:rsidRPr="009A1C1B">
        <w:rPr>
          <w:rFonts w:ascii="Palatino Linotype" w:eastAsia="Palatino Linotype" w:hAnsi="Palatino Linotype" w:cs="Palatino Linotype"/>
          <w:i/>
          <w:sz w:val="22"/>
          <w:szCs w:val="22"/>
        </w:rPr>
        <w:t xml:space="preserve"> por este concepto” (Sic) </w:t>
      </w:r>
    </w:p>
    <w:p w14:paraId="69166DEE" w14:textId="77777777" w:rsidR="004E6904" w:rsidRPr="009A1C1B" w:rsidRDefault="00063E7D">
      <w:pPr>
        <w:tabs>
          <w:tab w:val="left" w:pos="1080"/>
        </w:tabs>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ab/>
      </w:r>
    </w:p>
    <w:p w14:paraId="1C843CEC"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t>Modalidad de Entrega:</w:t>
      </w:r>
      <w:r w:rsidRPr="009A1C1B">
        <w:rPr>
          <w:rFonts w:ascii="Palatino Linotype" w:eastAsia="Palatino Linotype" w:hAnsi="Palatino Linotype" w:cs="Palatino Linotype"/>
          <w:sz w:val="22"/>
          <w:szCs w:val="22"/>
        </w:rPr>
        <w:t xml:space="preserve"> A través de </w:t>
      </w:r>
      <w:r w:rsidRPr="009A1C1B">
        <w:rPr>
          <w:rFonts w:ascii="Palatino Linotype" w:eastAsia="Palatino Linotype" w:hAnsi="Palatino Linotype" w:cs="Palatino Linotype"/>
          <w:b/>
          <w:sz w:val="22"/>
          <w:szCs w:val="22"/>
        </w:rPr>
        <w:t>SAIMEX</w:t>
      </w:r>
      <w:r w:rsidRPr="009A1C1B">
        <w:rPr>
          <w:rFonts w:ascii="Palatino Linotype" w:eastAsia="Palatino Linotype" w:hAnsi="Palatino Linotype" w:cs="Palatino Linotype"/>
          <w:sz w:val="22"/>
          <w:szCs w:val="22"/>
        </w:rPr>
        <w:t>.</w:t>
      </w:r>
    </w:p>
    <w:p w14:paraId="1821F989" w14:textId="77777777" w:rsidR="004E6904" w:rsidRPr="009A1C1B" w:rsidRDefault="004E6904">
      <w:pPr>
        <w:spacing w:line="360" w:lineRule="auto"/>
        <w:ind w:left="567" w:right="900"/>
        <w:jc w:val="both"/>
        <w:rPr>
          <w:rFonts w:ascii="Palatino Linotype" w:eastAsia="Palatino Linotype" w:hAnsi="Palatino Linotype" w:cs="Palatino Linotype"/>
          <w:sz w:val="22"/>
          <w:szCs w:val="22"/>
        </w:rPr>
      </w:pPr>
    </w:p>
    <w:p w14:paraId="6A6EC167" w14:textId="77777777" w:rsidR="004E6904" w:rsidRPr="009A1C1B" w:rsidRDefault="00063E7D">
      <w:pPr>
        <w:spacing w:after="240" w:line="360" w:lineRule="auto"/>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sz w:val="22"/>
          <w:szCs w:val="22"/>
        </w:rPr>
        <w:t xml:space="preserve">2. Respuesta. </w:t>
      </w:r>
      <w:r w:rsidRPr="009A1C1B">
        <w:rPr>
          <w:rFonts w:ascii="Palatino Linotype" w:eastAsia="Palatino Linotype" w:hAnsi="Palatino Linotype" w:cs="Palatino Linotype"/>
          <w:sz w:val="22"/>
          <w:szCs w:val="22"/>
        </w:rPr>
        <w:t xml:space="preserve">El </w:t>
      </w:r>
      <w:r w:rsidRPr="009A1C1B">
        <w:rPr>
          <w:rFonts w:ascii="Palatino Linotype" w:eastAsia="Palatino Linotype" w:hAnsi="Palatino Linotype" w:cs="Palatino Linotype"/>
          <w:b/>
          <w:sz w:val="22"/>
          <w:szCs w:val="22"/>
        </w:rPr>
        <w:t>diecisiete de octubre de dos mil veinticuatro</w:t>
      </w:r>
      <w:r w:rsidRPr="009A1C1B">
        <w:rPr>
          <w:rFonts w:ascii="Palatino Linotype" w:eastAsia="Palatino Linotype" w:hAnsi="Palatino Linotype" w:cs="Palatino Linotype"/>
          <w:sz w:val="22"/>
          <w:szCs w:val="22"/>
        </w:rPr>
        <w:t xml:space="preserve">, el </w:t>
      </w:r>
      <w:r w:rsidRPr="009A1C1B">
        <w:rPr>
          <w:rFonts w:ascii="Palatino Linotype" w:eastAsia="Palatino Linotype" w:hAnsi="Palatino Linotype" w:cs="Palatino Linotype"/>
          <w:b/>
          <w:sz w:val="22"/>
          <w:szCs w:val="22"/>
        </w:rPr>
        <w:t xml:space="preserve">Sujeto Obligado </w:t>
      </w:r>
      <w:r w:rsidRPr="009A1C1B">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35FE74F2" w14:textId="77777777" w:rsidR="004E6904" w:rsidRPr="009A1C1B" w:rsidRDefault="00063E7D">
      <w:pPr>
        <w:spacing w:before="240" w:after="240"/>
        <w:ind w:left="567" w:right="902"/>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7DD92A4C" w14:textId="77777777" w:rsidR="004E6904" w:rsidRPr="009A1C1B" w:rsidRDefault="00063E7D">
      <w:pPr>
        <w:spacing w:before="240" w:after="240"/>
        <w:ind w:left="567" w:right="902"/>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w:t>
      </w:r>
      <w:r w:rsidRPr="009A1C1B">
        <w:rPr>
          <w:rFonts w:ascii="Palatino Linotype" w:eastAsia="Palatino Linotype" w:hAnsi="Palatino Linotype" w:cs="Palatino Linotype"/>
          <w:i/>
          <w:sz w:val="22"/>
          <w:szCs w:val="22"/>
        </w:rPr>
        <w:lastRenderedPageBreak/>
        <w:t xml:space="preserve">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9A1C1B">
        <w:rPr>
          <w:rFonts w:ascii="Palatino Linotype" w:eastAsia="Palatino Linotype" w:hAnsi="Palatino Linotype" w:cs="Palatino Linotype"/>
          <w:i/>
          <w:sz w:val="22"/>
          <w:szCs w:val="22"/>
        </w:rPr>
        <w:t>MÉXICO .</w:t>
      </w:r>
      <w:proofErr w:type="gramEnd"/>
    </w:p>
    <w:p w14:paraId="0F38A344" w14:textId="77777777" w:rsidR="004E6904" w:rsidRPr="009A1C1B" w:rsidRDefault="00063E7D">
      <w:pPr>
        <w:spacing w:before="240" w:after="240"/>
        <w:ind w:left="567" w:right="902"/>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ATENTAMENTE</w:t>
      </w:r>
    </w:p>
    <w:p w14:paraId="0ADC32B6" w14:textId="77777777" w:rsidR="004E6904" w:rsidRPr="009A1C1B" w:rsidRDefault="00063E7D">
      <w:pPr>
        <w:spacing w:before="240" w:after="240"/>
        <w:ind w:left="567" w:right="902"/>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Lic. Derecho Claudia </w:t>
      </w:r>
      <w:proofErr w:type="spellStart"/>
      <w:r w:rsidRPr="009A1C1B">
        <w:rPr>
          <w:rFonts w:ascii="Palatino Linotype" w:eastAsia="Palatino Linotype" w:hAnsi="Palatino Linotype" w:cs="Palatino Linotype"/>
          <w:i/>
          <w:sz w:val="22"/>
          <w:szCs w:val="22"/>
        </w:rPr>
        <w:t>Jimenéz</w:t>
      </w:r>
      <w:proofErr w:type="spellEnd"/>
      <w:r w:rsidRPr="009A1C1B">
        <w:rPr>
          <w:rFonts w:ascii="Palatino Linotype" w:eastAsia="Palatino Linotype" w:hAnsi="Palatino Linotype" w:cs="Palatino Linotype"/>
          <w:i/>
          <w:sz w:val="22"/>
          <w:szCs w:val="22"/>
        </w:rPr>
        <w:t xml:space="preserve"> Maldonado” (Sic) </w:t>
      </w:r>
    </w:p>
    <w:p w14:paraId="3C921CC6" w14:textId="77777777" w:rsidR="004E6904" w:rsidRPr="009A1C1B" w:rsidRDefault="00063E7D">
      <w:pPr>
        <w:spacing w:before="240" w:after="240" w:line="360" w:lineRule="auto"/>
        <w:ind w:left="567" w:right="49"/>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sz w:val="22"/>
          <w:szCs w:val="22"/>
        </w:rPr>
        <w:t xml:space="preserve">Archivos adjuntos: </w:t>
      </w:r>
    </w:p>
    <w:p w14:paraId="4C66BBA9" w14:textId="77777777" w:rsidR="004E6904" w:rsidRPr="009A1C1B" w:rsidRDefault="00063E7D">
      <w:pPr>
        <w:spacing w:before="240" w:after="240" w:line="360" w:lineRule="auto"/>
        <w:ind w:left="567" w:right="900"/>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i/>
          <w:sz w:val="22"/>
          <w:szCs w:val="22"/>
        </w:rPr>
        <w:t>“SOL_00307.pdf”:</w:t>
      </w:r>
      <w:r w:rsidRPr="009A1C1B">
        <w:rPr>
          <w:rFonts w:ascii="Palatino Linotype" w:eastAsia="Palatino Linotype" w:hAnsi="Palatino Linotype" w:cs="Palatino Linotype"/>
          <w:sz w:val="22"/>
          <w:szCs w:val="22"/>
        </w:rPr>
        <w:t xml:space="preserve"> Oficio MT/TESORERIAMPAL/OI/411/2024, suscrito por la Tesorera Municipal, mediante el cual detalla los pasos a seguir para consultar la información solicitada.</w:t>
      </w:r>
    </w:p>
    <w:p w14:paraId="1C3A132B" w14:textId="77777777" w:rsidR="004E6904" w:rsidRPr="009A1C1B" w:rsidRDefault="00063E7D">
      <w:pPr>
        <w:spacing w:before="240" w:after="240" w:line="360" w:lineRule="auto"/>
        <w:ind w:left="567" w:right="900"/>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i/>
          <w:sz w:val="22"/>
          <w:szCs w:val="22"/>
        </w:rPr>
        <w:t xml:space="preserve">“ACTA.pdf”: </w:t>
      </w:r>
      <w:r w:rsidRPr="009A1C1B">
        <w:rPr>
          <w:rFonts w:ascii="Palatino Linotype" w:eastAsia="Palatino Linotype" w:hAnsi="Palatino Linotype" w:cs="Palatino Linotype"/>
          <w:sz w:val="22"/>
          <w:szCs w:val="22"/>
        </w:rPr>
        <w:t>Acta de la Octagésima Tercera Sesión Ordinaria del Comité de Transparencia del Ayuntamiento de Temamatla por la que se aprueba el cambio de modalidad de entrega de la información de diversas solicitudes, dentro de estas, se encuentra la solicitud que nos ocupa.</w:t>
      </w:r>
    </w:p>
    <w:p w14:paraId="7AFE2B1D" w14:textId="77777777" w:rsidR="004E6904" w:rsidRPr="009A1C1B" w:rsidRDefault="00063E7D">
      <w:pPr>
        <w:spacing w:before="240" w:after="240" w:line="360" w:lineRule="auto"/>
        <w:ind w:right="49"/>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b/>
          <w:sz w:val="22"/>
          <w:szCs w:val="22"/>
        </w:rPr>
        <w:t xml:space="preserve">3. Interposición del recurso de revisión. </w:t>
      </w:r>
      <w:r w:rsidRPr="009A1C1B">
        <w:rPr>
          <w:rFonts w:ascii="Palatino Linotype" w:eastAsia="Palatino Linotype" w:hAnsi="Palatino Linotype" w:cs="Palatino Linotype"/>
          <w:sz w:val="22"/>
          <w:szCs w:val="22"/>
        </w:rPr>
        <w:t xml:space="preserve">Inconforme con los términos de la respuesta emitida por parte del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el </w:t>
      </w:r>
      <w:r w:rsidRPr="009A1C1B">
        <w:rPr>
          <w:rFonts w:ascii="Palatino Linotype" w:eastAsia="Palatino Linotype" w:hAnsi="Palatino Linotype" w:cs="Palatino Linotype"/>
          <w:b/>
          <w:sz w:val="22"/>
          <w:szCs w:val="22"/>
        </w:rPr>
        <w:t>veintitrés de octubre de dos mil veinticuatro,</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la parte Recurrente</w:t>
      </w:r>
      <w:r w:rsidRPr="009A1C1B">
        <w:rPr>
          <w:rFonts w:ascii="Palatino Linotype" w:eastAsia="Palatino Linotype" w:hAnsi="Palatino Linotype" w:cs="Palatino Linotype"/>
          <w:sz w:val="22"/>
          <w:szCs w:val="22"/>
        </w:rPr>
        <w:t xml:space="preserve"> interpuso el recurso de revisión a través de </w:t>
      </w:r>
      <w:r w:rsidRPr="009A1C1B">
        <w:rPr>
          <w:rFonts w:ascii="Palatino Linotype" w:eastAsia="Palatino Linotype" w:hAnsi="Palatino Linotype" w:cs="Palatino Linotype"/>
          <w:b/>
          <w:sz w:val="22"/>
          <w:szCs w:val="22"/>
        </w:rPr>
        <w:t xml:space="preserve">SAIMEX, </w:t>
      </w:r>
      <w:r w:rsidRPr="009A1C1B">
        <w:rPr>
          <w:rFonts w:ascii="Palatino Linotype" w:eastAsia="Palatino Linotype" w:hAnsi="Palatino Linotype" w:cs="Palatino Linotype"/>
          <w:sz w:val="22"/>
          <w:szCs w:val="22"/>
        </w:rPr>
        <w:t>en donde se manifestó de la siguiente manera:</w:t>
      </w:r>
    </w:p>
    <w:p w14:paraId="03C8F738" w14:textId="77777777" w:rsidR="004E6904" w:rsidRPr="009A1C1B" w:rsidRDefault="00063E7D">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sz w:val="22"/>
          <w:szCs w:val="22"/>
        </w:rPr>
        <w:t xml:space="preserve">a) Acto impugnado: </w:t>
      </w:r>
      <w:r w:rsidRPr="009A1C1B">
        <w:rPr>
          <w:rFonts w:ascii="Palatino Linotype" w:eastAsia="Palatino Linotype" w:hAnsi="Palatino Linotype" w:cs="Palatino Linotype"/>
          <w:i/>
          <w:sz w:val="22"/>
          <w:szCs w:val="22"/>
        </w:rPr>
        <w:t>“RESPUESTA DE SOLICITUD” (Sic)</w:t>
      </w:r>
    </w:p>
    <w:p w14:paraId="4FC0C03D" w14:textId="77777777" w:rsidR="004E6904" w:rsidRPr="009A1C1B" w:rsidRDefault="00063E7D">
      <w:pPr>
        <w:spacing w:line="276" w:lineRule="auto"/>
        <w:ind w:left="567" w:right="900"/>
        <w:jc w:val="both"/>
        <w:rPr>
          <w:rFonts w:ascii="Palatino Linotype" w:eastAsia="Palatino Linotype" w:hAnsi="Palatino Linotype" w:cs="Palatino Linotype"/>
          <w:i/>
          <w:sz w:val="22"/>
          <w:szCs w:val="22"/>
        </w:rPr>
      </w:pPr>
      <w:bookmarkStart w:id="2" w:name="_heading=h.30j0zll" w:colFirst="0" w:colLast="0"/>
      <w:bookmarkEnd w:id="2"/>
      <w:r w:rsidRPr="009A1C1B">
        <w:rPr>
          <w:rFonts w:ascii="Palatino Linotype" w:eastAsia="Palatino Linotype" w:hAnsi="Palatino Linotype" w:cs="Palatino Linotype"/>
          <w:b/>
          <w:sz w:val="22"/>
          <w:szCs w:val="22"/>
        </w:rPr>
        <w:lastRenderedPageBreak/>
        <w:t>b) Razones o motivos de inconformidad</w:t>
      </w:r>
      <w:r w:rsidRPr="009A1C1B">
        <w:rPr>
          <w:rFonts w:ascii="Palatino Linotype" w:eastAsia="Palatino Linotype" w:hAnsi="Palatino Linotype" w:cs="Palatino Linotype"/>
        </w:rPr>
        <w:t xml:space="preserve">: </w:t>
      </w: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u w:val="single"/>
        </w:rPr>
        <w:t>EL SUJETO OBLIGADO REFIERE EN SU RESPUESTA UNA LIGA PARA LA CONSULTA DE LA INFORMACION SIN EMBARGO EN SU PLATAFORMA NO SE ENCUENTRA LA INFORMACION DE MANERA ESPECIFICA</w:t>
      </w:r>
      <w:r w:rsidRPr="009A1C1B">
        <w:rPr>
          <w:rFonts w:ascii="Palatino Linotype" w:eastAsia="Palatino Linotype" w:hAnsi="Palatino Linotype" w:cs="Palatino Linotype"/>
          <w:i/>
          <w:sz w:val="22"/>
          <w:szCs w:val="22"/>
        </w:rPr>
        <w:t xml:space="preserve"> DEACUERDO A MI SOLICITUD LA INFORMACION ES GLOBAL Y GENERALIZADA, </w:t>
      </w:r>
      <w:r w:rsidRPr="009A1C1B">
        <w:rPr>
          <w:rFonts w:ascii="Palatino Linotype" w:eastAsia="Palatino Linotype" w:hAnsi="Palatino Linotype" w:cs="Palatino Linotype"/>
          <w:b/>
          <w:i/>
          <w:sz w:val="22"/>
          <w:szCs w:val="22"/>
          <w:u w:val="single"/>
        </w:rPr>
        <w:t>NI TAMPOCO SE ENCUENTRAN LAS POLIZAS DE LA INFORMACION SOLICITADA</w:t>
      </w:r>
      <w:r w:rsidRPr="009A1C1B">
        <w:rPr>
          <w:rFonts w:ascii="Palatino Linotype" w:eastAsia="Palatino Linotype" w:hAnsi="Palatino Linotype" w:cs="Palatino Linotype"/>
          <w:i/>
          <w:sz w:val="22"/>
          <w:szCs w:val="22"/>
        </w:rPr>
        <w:t xml:space="preserve">” (Sic) </w:t>
      </w:r>
    </w:p>
    <w:p w14:paraId="309BB409" w14:textId="77777777" w:rsidR="004E6904" w:rsidRPr="009A1C1B" w:rsidRDefault="004E6904">
      <w:pPr>
        <w:spacing w:line="276" w:lineRule="auto"/>
        <w:ind w:left="567" w:right="900"/>
        <w:jc w:val="both"/>
        <w:rPr>
          <w:rFonts w:ascii="Palatino Linotype" w:eastAsia="Palatino Linotype" w:hAnsi="Palatino Linotype" w:cs="Palatino Linotype"/>
          <w:i/>
          <w:sz w:val="22"/>
          <w:szCs w:val="22"/>
        </w:rPr>
      </w:pPr>
    </w:p>
    <w:p w14:paraId="605688DF" w14:textId="77777777" w:rsidR="004E6904" w:rsidRPr="009A1C1B" w:rsidRDefault="00063E7D">
      <w:pPr>
        <w:spacing w:line="360" w:lineRule="auto"/>
        <w:ind w:right="51"/>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t xml:space="preserve">4. Turno. </w:t>
      </w:r>
      <w:r w:rsidRPr="009A1C1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9A1C1B">
        <w:rPr>
          <w:rFonts w:ascii="Palatino Linotype" w:eastAsia="Palatino Linotype" w:hAnsi="Palatino Linotype" w:cs="Palatino Linotype"/>
          <w:b/>
          <w:sz w:val="22"/>
          <w:szCs w:val="22"/>
        </w:rPr>
        <w:t>Comisionada</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 xml:space="preserve">Guadalupe Ramírez Peña, </w:t>
      </w:r>
      <w:r w:rsidRPr="009A1C1B">
        <w:rPr>
          <w:rFonts w:ascii="Palatino Linotype" w:eastAsia="Palatino Linotype" w:hAnsi="Palatino Linotype" w:cs="Palatino Linotype"/>
          <w:sz w:val="22"/>
          <w:szCs w:val="22"/>
        </w:rPr>
        <w:t xml:space="preserve">a efecto de que analizara sobre su admisión o su </w:t>
      </w:r>
      <w:proofErr w:type="spellStart"/>
      <w:r w:rsidRPr="009A1C1B">
        <w:rPr>
          <w:rFonts w:ascii="Palatino Linotype" w:eastAsia="Palatino Linotype" w:hAnsi="Palatino Linotype" w:cs="Palatino Linotype"/>
          <w:sz w:val="22"/>
          <w:szCs w:val="22"/>
        </w:rPr>
        <w:t>desechamiento</w:t>
      </w:r>
      <w:proofErr w:type="spellEnd"/>
      <w:r w:rsidRPr="009A1C1B">
        <w:rPr>
          <w:rFonts w:ascii="Palatino Linotype" w:eastAsia="Palatino Linotype" w:hAnsi="Palatino Linotype" w:cs="Palatino Linotype"/>
          <w:sz w:val="22"/>
          <w:szCs w:val="22"/>
        </w:rPr>
        <w:t>.</w:t>
      </w:r>
    </w:p>
    <w:p w14:paraId="72CDB76A" w14:textId="77777777" w:rsidR="004E6904" w:rsidRPr="009A1C1B" w:rsidRDefault="004E6904">
      <w:pPr>
        <w:spacing w:line="360" w:lineRule="auto"/>
        <w:ind w:right="51"/>
        <w:jc w:val="both"/>
        <w:rPr>
          <w:rFonts w:ascii="Palatino Linotype" w:eastAsia="Palatino Linotype" w:hAnsi="Palatino Linotype" w:cs="Palatino Linotype"/>
        </w:rPr>
      </w:pPr>
    </w:p>
    <w:p w14:paraId="590246A2" w14:textId="77777777" w:rsidR="004E6904" w:rsidRPr="009A1C1B" w:rsidRDefault="00063E7D">
      <w:pPr>
        <w:spacing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t>5. Admisión del Recurso de Revisión.</w:t>
      </w:r>
      <w:r w:rsidRPr="009A1C1B">
        <w:rPr>
          <w:rFonts w:ascii="Palatino Linotype" w:eastAsia="Palatino Linotype" w:hAnsi="Palatino Linotype" w:cs="Palatino Linotype"/>
          <w:sz w:val="22"/>
          <w:szCs w:val="22"/>
        </w:rPr>
        <w:t xml:space="preserve"> El</w:t>
      </w:r>
      <w:r w:rsidRPr="009A1C1B">
        <w:rPr>
          <w:rFonts w:ascii="Palatino Linotype" w:eastAsia="Palatino Linotype" w:hAnsi="Palatino Linotype" w:cs="Palatino Linotype"/>
          <w:b/>
          <w:sz w:val="22"/>
          <w:szCs w:val="22"/>
        </w:rPr>
        <w:t xml:space="preserve"> veintiocho de octubre de dos mil veinticuatro, </w:t>
      </w:r>
      <w:r w:rsidRPr="009A1C1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A1C1B">
        <w:rPr>
          <w:rFonts w:ascii="Palatino Linotype" w:eastAsia="Palatino Linotype" w:hAnsi="Palatino Linotype" w:cs="Palatino Linotype"/>
          <w:b/>
          <w:sz w:val="22"/>
          <w:szCs w:val="22"/>
        </w:rPr>
        <w:t xml:space="preserve">Sujeto Obligado </w:t>
      </w:r>
      <w:r w:rsidRPr="009A1C1B">
        <w:rPr>
          <w:rFonts w:ascii="Palatino Linotype" w:eastAsia="Palatino Linotype" w:hAnsi="Palatino Linotype" w:cs="Palatino Linotype"/>
          <w:sz w:val="22"/>
          <w:szCs w:val="22"/>
        </w:rPr>
        <w:t>presentara su informe justificado.</w:t>
      </w:r>
    </w:p>
    <w:p w14:paraId="475C88B2" w14:textId="77777777" w:rsidR="004E6904" w:rsidRPr="009A1C1B" w:rsidRDefault="00063E7D">
      <w:pPr>
        <w:spacing w:after="240" w:line="360" w:lineRule="auto"/>
        <w:jc w:val="both"/>
        <w:rPr>
          <w:rFonts w:ascii="Palatino Linotype" w:eastAsia="Palatino Linotype" w:hAnsi="Palatino Linotype" w:cs="Palatino Linotype"/>
          <w:sz w:val="22"/>
          <w:szCs w:val="22"/>
        </w:rPr>
      </w:pPr>
      <w:bookmarkStart w:id="3" w:name="_heading=h.2s8eyo1" w:colFirst="0" w:colLast="0"/>
      <w:bookmarkEnd w:id="3"/>
      <w:r w:rsidRPr="009A1C1B">
        <w:rPr>
          <w:rFonts w:ascii="Palatino Linotype" w:eastAsia="Palatino Linotype" w:hAnsi="Palatino Linotype" w:cs="Palatino Linotype"/>
          <w:b/>
          <w:sz w:val="22"/>
          <w:szCs w:val="22"/>
        </w:rPr>
        <w:t>6. Manifestaciones e Informe Justificado</w:t>
      </w:r>
      <w:r w:rsidRPr="009A1C1B">
        <w:rPr>
          <w:rFonts w:ascii="Palatino Linotype" w:eastAsia="Palatino Linotype" w:hAnsi="Palatino Linotype" w:cs="Palatino Linotype"/>
          <w:sz w:val="22"/>
          <w:szCs w:val="22"/>
        </w:rPr>
        <w:t xml:space="preserve">. Durante este plazo, se tiene constancia que </w:t>
      </w:r>
      <w:r w:rsidRPr="009A1C1B">
        <w:rPr>
          <w:rFonts w:ascii="Palatino Linotype" w:eastAsia="Palatino Linotype" w:hAnsi="Palatino Linotype" w:cs="Palatino Linotype"/>
          <w:b/>
          <w:sz w:val="22"/>
          <w:szCs w:val="22"/>
        </w:rPr>
        <w:t>las partes fueron omisas</w:t>
      </w:r>
      <w:r w:rsidRPr="009A1C1B">
        <w:rPr>
          <w:rFonts w:ascii="Palatino Linotype" w:eastAsia="Palatino Linotype" w:hAnsi="Palatino Linotype" w:cs="Palatino Linotype"/>
          <w:sz w:val="22"/>
          <w:szCs w:val="22"/>
        </w:rPr>
        <w:t xml:space="preserve"> en remitir sus informes justificados o manifestaciones que a su derecho conviniera, por lo tanto, se tiene por precluido su derecho para tal efecto.</w:t>
      </w:r>
    </w:p>
    <w:p w14:paraId="43F4F852" w14:textId="77777777" w:rsidR="004E6904" w:rsidRPr="009A1C1B" w:rsidRDefault="00063E7D">
      <w:pPr>
        <w:spacing w:after="240" w:line="360" w:lineRule="auto"/>
        <w:rPr>
          <w:rFonts w:ascii="Palatino Linotype" w:eastAsia="Palatino Linotype" w:hAnsi="Palatino Linotype" w:cs="Palatino Linotype"/>
        </w:rPr>
      </w:pPr>
      <w:r w:rsidRPr="009A1C1B">
        <w:rPr>
          <w:rFonts w:ascii="Palatino Linotype" w:eastAsia="Palatino Linotype" w:hAnsi="Palatino Linotype" w:cs="Palatino Linotype"/>
          <w:noProof/>
          <w:lang w:val="es-MX"/>
        </w:rPr>
        <w:lastRenderedPageBreak/>
        <w:drawing>
          <wp:inline distT="0" distB="0" distL="0" distR="0" wp14:anchorId="199762A7" wp14:editId="5FB05BA3">
            <wp:extent cx="5612130" cy="1362075"/>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362075"/>
                    </a:xfrm>
                    <a:prstGeom prst="rect">
                      <a:avLst/>
                    </a:prstGeom>
                    <a:ln/>
                  </pic:spPr>
                </pic:pic>
              </a:graphicData>
            </a:graphic>
          </wp:inline>
        </w:drawing>
      </w:r>
    </w:p>
    <w:p w14:paraId="27E72B98" w14:textId="77777777" w:rsidR="004E6904" w:rsidRPr="009A1C1B" w:rsidRDefault="00063E7D">
      <w:pPr>
        <w:spacing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t xml:space="preserve">7. Cierre de instrucción. </w:t>
      </w:r>
      <w:r w:rsidRPr="009A1C1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9A1C1B">
        <w:rPr>
          <w:rFonts w:ascii="Palatino Linotype" w:eastAsia="Palatino Linotype" w:hAnsi="Palatino Linotype" w:cs="Palatino Linotype"/>
          <w:b/>
          <w:sz w:val="22"/>
          <w:szCs w:val="22"/>
        </w:rPr>
        <w:t>ocho de noviembre de dos mil veinticuatro</w:t>
      </w:r>
      <w:r w:rsidRPr="009A1C1B">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A803CD5" w14:textId="77777777" w:rsidR="004E6904" w:rsidRPr="009A1C1B" w:rsidRDefault="00063E7D">
      <w:pPr>
        <w:spacing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t xml:space="preserve">8. Requerimiento de Información Adicional. </w:t>
      </w:r>
      <w:r w:rsidRPr="009A1C1B">
        <w:rPr>
          <w:rFonts w:ascii="Palatino Linotype" w:eastAsia="Palatino Linotype" w:hAnsi="Palatino Linotype" w:cs="Palatino Linotype"/>
          <w:sz w:val="22"/>
          <w:szCs w:val="22"/>
        </w:rPr>
        <w:t>Con el objeto de contar con los elementos necesarios para la elaboración del proyecto de resolución correspondiente y, contar con la incidencia respectiva, el quince de noviembre de dos mil veinticuatro, se le hizo llegar al</w:t>
      </w:r>
      <w:r w:rsidRPr="009A1C1B">
        <w:rPr>
          <w:rFonts w:ascii="Palatino Linotype" w:eastAsia="Palatino Linotype" w:hAnsi="Palatino Linotype" w:cs="Palatino Linotype"/>
          <w:b/>
          <w:sz w:val="22"/>
          <w:szCs w:val="22"/>
        </w:rPr>
        <w:t xml:space="preserve"> Sujeto Obligado </w:t>
      </w:r>
      <w:r w:rsidRPr="009A1C1B">
        <w:rPr>
          <w:rFonts w:ascii="Palatino Linotype" w:eastAsia="Palatino Linotype" w:hAnsi="Palatino Linotype" w:cs="Palatino Linotype"/>
          <w:sz w:val="22"/>
          <w:szCs w:val="22"/>
        </w:rPr>
        <w:t xml:space="preserve">un requerimiento de información adicional el cual tenía como objetivo conocer el número de fojas que compone la información, sin embargo, el </w:t>
      </w:r>
      <w:r w:rsidRPr="009A1C1B">
        <w:rPr>
          <w:rFonts w:ascii="Palatino Linotype" w:eastAsia="Palatino Linotype" w:hAnsi="Palatino Linotype" w:cs="Palatino Linotype"/>
          <w:b/>
          <w:sz w:val="22"/>
          <w:szCs w:val="22"/>
        </w:rPr>
        <w:t xml:space="preserve">Sujeto Obligado </w:t>
      </w:r>
      <w:r w:rsidRPr="009A1C1B">
        <w:rPr>
          <w:rFonts w:ascii="Palatino Linotype" w:eastAsia="Palatino Linotype" w:hAnsi="Palatino Linotype" w:cs="Palatino Linotype"/>
          <w:sz w:val="22"/>
          <w:szCs w:val="22"/>
        </w:rPr>
        <w:t>fue omiso en desahogar el Requerimiento de Información Adicional.</w:t>
      </w:r>
    </w:p>
    <w:p w14:paraId="54AAB6AE"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42F225B" w14:textId="77777777" w:rsidR="004E6904" w:rsidRPr="009A1C1B" w:rsidRDefault="00063E7D">
      <w:pPr>
        <w:widowControl w:val="0"/>
        <w:spacing w:line="360" w:lineRule="auto"/>
        <w:jc w:val="center"/>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rPr>
        <w:t xml:space="preserve">II. </w:t>
      </w:r>
      <w:r w:rsidRPr="009A1C1B">
        <w:rPr>
          <w:rFonts w:ascii="Palatino Linotype" w:eastAsia="Palatino Linotype" w:hAnsi="Palatino Linotype" w:cs="Palatino Linotype"/>
          <w:b/>
          <w:sz w:val="22"/>
          <w:szCs w:val="22"/>
        </w:rPr>
        <w:t>C O N S I D E R A N D O S</w:t>
      </w:r>
    </w:p>
    <w:p w14:paraId="0F45BB2D"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t>Primero. Competencia.</w:t>
      </w:r>
      <w:r w:rsidRPr="009A1C1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9A1C1B">
        <w:rPr>
          <w:rFonts w:ascii="Palatino Linotype" w:eastAsia="Palatino Linotype" w:hAnsi="Palatino Linotype" w:cs="Palatino Linotype"/>
          <w:b/>
          <w:sz w:val="22"/>
          <w:szCs w:val="22"/>
        </w:rPr>
        <w:t>la parte Recurrente</w:t>
      </w:r>
      <w:r w:rsidRPr="009A1C1B">
        <w:rPr>
          <w:rFonts w:ascii="Palatino Linotype" w:eastAsia="Palatino Linotype" w:hAnsi="Palatino Linotype" w:cs="Palatino Linotype"/>
          <w:sz w:val="22"/>
          <w:szCs w:val="22"/>
        </w:rPr>
        <w:t xml:space="preserve">, conforme a lo dispuesto en los artículos 6, apartado A de la Constitución Política de los </w:t>
      </w:r>
      <w:r w:rsidRPr="009A1C1B">
        <w:rPr>
          <w:rFonts w:ascii="Palatino Linotype" w:eastAsia="Palatino Linotype" w:hAnsi="Palatino Linotype" w:cs="Palatino Linotype"/>
          <w:sz w:val="22"/>
          <w:szCs w:val="22"/>
        </w:rPr>
        <w:lastRenderedPageBreak/>
        <w:t>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12A7715"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9A1C1B">
        <w:rPr>
          <w:rFonts w:ascii="Palatino Linotype" w:eastAsia="Palatino Linotype" w:hAnsi="Palatino Linotype" w:cs="Palatino Linotype"/>
          <w:b/>
          <w:sz w:val="22"/>
          <w:szCs w:val="22"/>
        </w:rPr>
        <w:t xml:space="preserve">Segundo. Oportunidad y Procedibilidad del Recurso de Revisión. </w:t>
      </w:r>
      <w:r w:rsidRPr="009A1C1B">
        <w:rPr>
          <w:rFonts w:ascii="Palatino Linotype" w:eastAsia="Palatino Linotype" w:hAnsi="Palatino Linotype" w:cs="Palatino Linotype"/>
          <w:sz w:val="22"/>
          <w:szCs w:val="22"/>
        </w:rPr>
        <w:t xml:space="preserve">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  </w:t>
      </w:r>
    </w:p>
    <w:p w14:paraId="552709EA"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toda vez que </w:t>
      </w:r>
      <w:r w:rsidRPr="009A1C1B">
        <w:rPr>
          <w:rFonts w:ascii="Palatino Linotype" w:eastAsia="Palatino Linotype" w:hAnsi="Palatino Linotype" w:cs="Palatino Linotype"/>
          <w:b/>
          <w:sz w:val="22"/>
          <w:szCs w:val="22"/>
        </w:rPr>
        <w:t>el Sujeto Obligado</w:t>
      </w:r>
      <w:r w:rsidRPr="009A1C1B">
        <w:rPr>
          <w:rFonts w:ascii="Palatino Linotype" w:eastAsia="Palatino Linotype" w:hAnsi="Palatino Linotype" w:cs="Palatino Linotype"/>
          <w:sz w:val="22"/>
          <w:szCs w:val="22"/>
        </w:rPr>
        <w:t xml:space="preserve"> respondió a la solicitud de información el </w:t>
      </w:r>
      <w:r w:rsidRPr="009A1C1B">
        <w:rPr>
          <w:rFonts w:ascii="Palatino Linotype" w:eastAsia="Palatino Linotype" w:hAnsi="Palatino Linotype" w:cs="Palatino Linotype"/>
          <w:b/>
          <w:sz w:val="22"/>
          <w:szCs w:val="22"/>
        </w:rPr>
        <w:t xml:space="preserve">diecisiete de octubre de dos mil veinticuatro, </w:t>
      </w:r>
      <w:r w:rsidRPr="009A1C1B">
        <w:rPr>
          <w:rFonts w:ascii="Palatino Linotype" w:eastAsia="Palatino Linotype" w:hAnsi="Palatino Linotype" w:cs="Palatino Linotype"/>
          <w:sz w:val="22"/>
          <w:szCs w:val="22"/>
        </w:rPr>
        <w:t xml:space="preserve">mientras que el recurso de revisión se interpuso el </w:t>
      </w:r>
      <w:r w:rsidRPr="009A1C1B">
        <w:rPr>
          <w:rFonts w:ascii="Palatino Linotype" w:eastAsia="Palatino Linotype" w:hAnsi="Palatino Linotype" w:cs="Palatino Linotype"/>
          <w:b/>
          <w:sz w:val="22"/>
          <w:szCs w:val="22"/>
        </w:rPr>
        <w:t>veintitrés de octubre de dos mil veinticuatro</w:t>
      </w:r>
      <w:r w:rsidRPr="009A1C1B">
        <w:rPr>
          <w:rFonts w:ascii="Palatino Linotype" w:eastAsia="Palatino Linotype" w:hAnsi="Palatino Linotype" w:cs="Palatino Linotype"/>
          <w:sz w:val="22"/>
          <w:szCs w:val="22"/>
        </w:rPr>
        <w:t xml:space="preserve">, esto es, el </w:t>
      </w:r>
      <w:r w:rsidRPr="009A1C1B">
        <w:rPr>
          <w:rFonts w:ascii="Palatino Linotype" w:eastAsia="Palatino Linotype" w:hAnsi="Palatino Linotype" w:cs="Palatino Linotype"/>
          <w:b/>
          <w:sz w:val="22"/>
          <w:szCs w:val="22"/>
        </w:rPr>
        <w:t xml:space="preserve">cuarto día hábil </w:t>
      </w:r>
      <w:r w:rsidRPr="009A1C1B">
        <w:rPr>
          <w:rFonts w:ascii="Palatino Linotype" w:eastAsia="Palatino Linotype" w:hAnsi="Palatino Linotype" w:cs="Palatino Linotype"/>
          <w:sz w:val="22"/>
          <w:szCs w:val="22"/>
        </w:rPr>
        <w:t>posterior en que tuvo conocimiento de la respuesta impugnada.</w:t>
      </w:r>
    </w:p>
    <w:p w14:paraId="55B43312"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7D180F67" w14:textId="77777777" w:rsidR="004E6904" w:rsidRPr="009A1C1B" w:rsidRDefault="00063E7D">
      <w:pPr>
        <w:pBdr>
          <w:top w:val="nil"/>
          <w:left w:val="nil"/>
          <w:bottom w:val="nil"/>
          <w:right w:val="nil"/>
          <w:between w:val="nil"/>
        </w:pBdr>
        <w:spacing w:before="240" w:after="240" w:line="360" w:lineRule="auto"/>
        <w:jc w:val="both"/>
        <w:rPr>
          <w:sz w:val="22"/>
          <w:szCs w:val="22"/>
        </w:rPr>
      </w:pPr>
      <w:r w:rsidRPr="009A1C1B">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9A1C1B">
        <w:rPr>
          <w:rFonts w:ascii="Palatino Linotype" w:eastAsia="Palatino Linotype" w:hAnsi="Palatino Linotype" w:cs="Palatino Linotype"/>
          <w:b/>
          <w:sz w:val="22"/>
          <w:szCs w:val="22"/>
        </w:rPr>
        <w:t>la parte Recurrente</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no señaló</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nombre o seudónimo c</w:t>
      </w:r>
      <w:r w:rsidRPr="009A1C1B">
        <w:rPr>
          <w:rFonts w:ascii="Palatino Linotype" w:eastAsia="Palatino Linotype" w:hAnsi="Palatino Linotype" w:cs="Palatino Linotype"/>
          <w:sz w:val="22"/>
          <w:szCs w:val="22"/>
        </w:rPr>
        <w:t xml:space="preserve">on el que desea que se le identifique, tal como se advierte en el detalle de seguimiento del SAIMEX, no obstante no proporcionar el nombre no es motivo para archivar la solicitud de acceso a la información pública como concluida, conforme a lo previsto en el artículo 155, penúltimo </w:t>
      </w:r>
      <w:r w:rsidRPr="009A1C1B">
        <w:rPr>
          <w:rFonts w:ascii="Palatino Linotype" w:eastAsia="Palatino Linotype" w:hAnsi="Palatino Linotype" w:cs="Palatino Linotype"/>
          <w:sz w:val="22"/>
          <w:szCs w:val="22"/>
        </w:rPr>
        <w:lastRenderedPageBreak/>
        <w:t>párrafo de la Ley de Transparencia y Acceso a la Información Pública del Estado de México y Municipios que establece lo siguiente:</w:t>
      </w:r>
    </w:p>
    <w:p w14:paraId="1F13E8C4" w14:textId="77777777" w:rsidR="004E6904" w:rsidRPr="009A1C1B" w:rsidRDefault="00063E7D">
      <w:pPr>
        <w:pBdr>
          <w:top w:val="nil"/>
          <w:left w:val="nil"/>
          <w:bottom w:val="nil"/>
          <w:right w:val="nil"/>
          <w:between w:val="nil"/>
        </w:pBdr>
        <w:spacing w:before="240" w:after="240"/>
        <w:ind w:left="567" w:right="616"/>
        <w:jc w:val="both"/>
      </w:pP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r w:rsidRPr="009A1C1B">
        <w:rPr>
          <w:rFonts w:ascii="Palatino Linotype" w:eastAsia="Palatino Linotype" w:hAnsi="Palatino Linotype" w:cs="Palatino Linotype"/>
          <w:i/>
          <w:sz w:val="22"/>
          <w:szCs w:val="22"/>
        </w:rPr>
        <w:t>."</w:t>
      </w:r>
    </w:p>
    <w:p w14:paraId="59D574E7"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CF2A99E" w14:textId="77777777" w:rsidR="004E6904" w:rsidRPr="009A1C1B" w:rsidRDefault="00063E7D">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acuerdo al artículo 179, fracciones VI y VIII de la Ley de Transparencia y Acceso a la Información Pública del Estado de México y Municipios; que a la letra dice:</w:t>
      </w:r>
    </w:p>
    <w:p w14:paraId="3461FB39" w14:textId="77777777" w:rsidR="004E6904" w:rsidRPr="009A1C1B" w:rsidRDefault="00063E7D">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“Artículo 179</w:t>
      </w:r>
      <w:r w:rsidRPr="009A1C1B">
        <w:rPr>
          <w:rFonts w:ascii="Palatino Linotype" w:eastAsia="Palatino Linotype" w:hAnsi="Palatino Linotype" w:cs="Palatino Linotype"/>
          <w:i/>
          <w:sz w:val="22"/>
          <w:szCs w:val="22"/>
        </w:rPr>
        <w:t xml:space="preserve">. </w:t>
      </w:r>
      <w:r w:rsidRPr="009A1C1B">
        <w:rPr>
          <w:rFonts w:ascii="Palatino Linotype" w:eastAsia="Palatino Linotype" w:hAnsi="Palatino Linotype" w:cs="Palatino Linotype"/>
          <w:b/>
          <w:i/>
          <w:sz w:val="22"/>
          <w:szCs w:val="22"/>
        </w:rPr>
        <w:t>El recurso de revisión</w:t>
      </w:r>
      <w:r w:rsidRPr="009A1C1B">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9A1C1B">
        <w:rPr>
          <w:rFonts w:ascii="Palatino Linotype" w:eastAsia="Palatino Linotype" w:hAnsi="Palatino Linotype" w:cs="Palatino Linotype"/>
          <w:b/>
          <w:i/>
          <w:sz w:val="22"/>
          <w:szCs w:val="22"/>
        </w:rPr>
        <w:t>, y procederá en contra de las siguientes causas</w:t>
      </w:r>
      <w:r w:rsidRPr="009A1C1B">
        <w:rPr>
          <w:rFonts w:ascii="Palatino Linotype" w:eastAsia="Palatino Linotype" w:hAnsi="Palatino Linotype" w:cs="Palatino Linotype"/>
          <w:i/>
          <w:sz w:val="22"/>
          <w:szCs w:val="22"/>
        </w:rPr>
        <w:t>:</w:t>
      </w:r>
    </w:p>
    <w:p w14:paraId="2DEF980B" w14:textId="77777777" w:rsidR="004E6904" w:rsidRPr="009A1C1B" w:rsidRDefault="00063E7D">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w:t>
      </w:r>
    </w:p>
    <w:p w14:paraId="5BA8ABC5" w14:textId="77777777" w:rsidR="004E6904" w:rsidRPr="009A1C1B" w:rsidRDefault="00063E7D">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u w:val="single"/>
        </w:rPr>
        <w:t>VI. La entrega de información que no corresponda con lo solicitado;</w:t>
      </w:r>
      <w:r w:rsidRPr="009A1C1B">
        <w:rPr>
          <w:rFonts w:ascii="Palatino Linotype" w:eastAsia="Palatino Linotype" w:hAnsi="Palatino Linotype" w:cs="Palatino Linotype"/>
          <w:b/>
          <w:i/>
          <w:sz w:val="22"/>
          <w:szCs w:val="22"/>
          <w:u w:val="single"/>
        </w:rPr>
        <w:br/>
      </w:r>
      <w:r w:rsidRPr="009A1C1B">
        <w:rPr>
          <w:rFonts w:ascii="Palatino Linotype" w:eastAsia="Palatino Linotype" w:hAnsi="Palatino Linotype" w:cs="Palatino Linotype"/>
          <w:i/>
          <w:sz w:val="22"/>
          <w:szCs w:val="22"/>
        </w:rPr>
        <w:t>…</w:t>
      </w:r>
    </w:p>
    <w:p w14:paraId="70D2933C" w14:textId="77777777" w:rsidR="004E6904" w:rsidRPr="009A1C1B" w:rsidRDefault="00063E7D">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u w:val="single"/>
        </w:rPr>
      </w:pPr>
      <w:r w:rsidRPr="009A1C1B">
        <w:rPr>
          <w:rFonts w:ascii="Palatino Linotype" w:eastAsia="Palatino Linotype" w:hAnsi="Palatino Linotype" w:cs="Palatino Linotype"/>
          <w:b/>
          <w:i/>
          <w:sz w:val="22"/>
          <w:szCs w:val="22"/>
          <w:u w:val="single"/>
        </w:rPr>
        <w:t>VIII. La notificación, entrega o puesta a disposición de información en una modalidad o formato distinto al solicitado;</w:t>
      </w:r>
    </w:p>
    <w:p w14:paraId="59674980" w14:textId="77777777" w:rsidR="004E6904" w:rsidRPr="009A1C1B" w:rsidRDefault="00063E7D">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(Énfasis añadido)</w:t>
      </w:r>
    </w:p>
    <w:p w14:paraId="6A7B9222"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lastRenderedPageBreak/>
        <w:t xml:space="preserve">Tercero. Materia de la revisión. </w:t>
      </w:r>
      <w:r w:rsidRPr="009A1C1B">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9A1C1B">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9A1C1B">
        <w:rPr>
          <w:rFonts w:ascii="Palatino Linotype" w:eastAsia="Palatino Linotype" w:hAnsi="Palatino Linotype" w:cs="Palatino Linotype"/>
          <w:sz w:val="22"/>
          <w:szCs w:val="22"/>
        </w:rPr>
        <w:t xml:space="preserve">de </w:t>
      </w:r>
      <w:r w:rsidRPr="009A1C1B">
        <w:rPr>
          <w:rFonts w:ascii="Palatino Linotype" w:eastAsia="Palatino Linotype" w:hAnsi="Palatino Linotype" w:cs="Palatino Linotype"/>
          <w:b/>
          <w:sz w:val="22"/>
          <w:szCs w:val="22"/>
        </w:rPr>
        <w:t>la parte Recurrente,</w:t>
      </w:r>
      <w:r w:rsidRPr="009A1C1B">
        <w:rPr>
          <w:rFonts w:ascii="Palatino Linotype" w:eastAsia="Palatino Linotype" w:hAnsi="Palatino Linotype" w:cs="Palatino Linotype"/>
          <w:sz w:val="22"/>
          <w:szCs w:val="22"/>
        </w:rPr>
        <w:t xml:space="preserve"> o en su defecto, en caso de ser procedente, ordenar la entrega de información oportuna.</w:t>
      </w:r>
    </w:p>
    <w:p w14:paraId="21A20C01" w14:textId="77777777" w:rsidR="004E6904" w:rsidRPr="009A1C1B" w:rsidRDefault="00063E7D">
      <w:pPr>
        <w:pBdr>
          <w:top w:val="nil"/>
          <w:left w:val="nil"/>
          <w:bottom w:val="nil"/>
          <w:right w:val="nil"/>
          <w:between w:val="nil"/>
        </w:pBdr>
        <w:spacing w:before="240" w:after="240" w:line="360" w:lineRule="auto"/>
        <w:jc w:val="both"/>
        <w:rPr>
          <w:sz w:val="22"/>
          <w:szCs w:val="22"/>
        </w:rPr>
      </w:pPr>
      <w:r w:rsidRPr="009A1C1B">
        <w:rPr>
          <w:rFonts w:ascii="Palatino Linotype" w:eastAsia="Palatino Linotype" w:hAnsi="Palatino Linotype" w:cs="Palatino Linotype"/>
          <w:b/>
          <w:sz w:val="22"/>
          <w:szCs w:val="22"/>
        </w:rPr>
        <w:t xml:space="preserve">Cuarto. Estudio del asunto. </w:t>
      </w:r>
      <w:r w:rsidRPr="009A1C1B">
        <w:rPr>
          <w:rFonts w:ascii="Palatino Linotype" w:eastAsia="Palatino Linotype" w:hAnsi="Palatino Linotype" w:cs="Palatino Linotype"/>
          <w:sz w:val="22"/>
          <w:szCs w:val="22"/>
        </w:rPr>
        <w:t xml:space="preserve">Antes de entrar al análisis de los pronunciamientos del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0B33A2F" w14:textId="77777777" w:rsidR="004E6904" w:rsidRPr="009A1C1B" w:rsidRDefault="00063E7D">
      <w:pPr>
        <w:pBdr>
          <w:top w:val="nil"/>
          <w:left w:val="nil"/>
          <w:bottom w:val="nil"/>
          <w:right w:val="nil"/>
          <w:between w:val="nil"/>
        </w:pBdr>
        <w:spacing w:before="240" w:after="240"/>
        <w:ind w:left="851" w:right="850"/>
        <w:jc w:val="both"/>
        <w:rPr>
          <w:sz w:val="22"/>
          <w:szCs w:val="22"/>
        </w:rPr>
      </w:pPr>
      <w:r w:rsidRPr="009A1C1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A1C1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6CC0346" w14:textId="77777777" w:rsidR="004E6904" w:rsidRPr="009A1C1B" w:rsidRDefault="00063E7D">
      <w:pPr>
        <w:pBdr>
          <w:top w:val="nil"/>
          <w:left w:val="nil"/>
          <w:bottom w:val="nil"/>
          <w:right w:val="nil"/>
          <w:between w:val="nil"/>
        </w:pBdr>
        <w:spacing w:before="240" w:after="240"/>
        <w:ind w:left="851" w:right="850"/>
        <w:jc w:val="both"/>
        <w:rPr>
          <w:sz w:val="22"/>
          <w:szCs w:val="22"/>
        </w:rPr>
      </w:pPr>
      <w:r w:rsidRPr="009A1C1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BA68B57" w14:textId="77777777" w:rsidR="004E6904" w:rsidRPr="009A1C1B" w:rsidRDefault="00063E7D">
      <w:pPr>
        <w:pBdr>
          <w:top w:val="nil"/>
          <w:left w:val="nil"/>
          <w:bottom w:val="nil"/>
          <w:right w:val="nil"/>
          <w:between w:val="nil"/>
        </w:pBdr>
        <w:spacing w:before="240" w:after="240"/>
        <w:ind w:left="851" w:right="850"/>
        <w:jc w:val="both"/>
        <w:rPr>
          <w:sz w:val="22"/>
          <w:szCs w:val="22"/>
        </w:rPr>
      </w:pPr>
      <w:r w:rsidRPr="009A1C1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A1C1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F3C6C8F" w14:textId="77777777" w:rsidR="004E6904" w:rsidRPr="009A1C1B" w:rsidRDefault="00063E7D">
      <w:pPr>
        <w:pBdr>
          <w:top w:val="nil"/>
          <w:left w:val="nil"/>
          <w:bottom w:val="nil"/>
          <w:right w:val="nil"/>
          <w:between w:val="nil"/>
        </w:pBdr>
        <w:spacing w:before="240" w:after="240"/>
        <w:ind w:left="851" w:right="850"/>
        <w:jc w:val="both"/>
        <w:rPr>
          <w:sz w:val="22"/>
          <w:szCs w:val="22"/>
        </w:rPr>
      </w:pPr>
      <w:r w:rsidRPr="009A1C1B">
        <w:rPr>
          <w:rFonts w:ascii="Palatino Linotype" w:eastAsia="Palatino Linotype" w:hAnsi="Palatino Linotype" w:cs="Palatino Linotype"/>
          <w:i/>
          <w:sz w:val="22"/>
          <w:szCs w:val="22"/>
        </w:rPr>
        <w:lastRenderedPageBreak/>
        <w:t>[…]</w:t>
      </w:r>
    </w:p>
    <w:p w14:paraId="7C1D8FC6" w14:textId="77777777" w:rsidR="004E6904" w:rsidRPr="009A1C1B" w:rsidRDefault="00063E7D">
      <w:pPr>
        <w:pBdr>
          <w:top w:val="nil"/>
          <w:left w:val="nil"/>
          <w:bottom w:val="nil"/>
          <w:right w:val="nil"/>
          <w:between w:val="nil"/>
        </w:pBdr>
        <w:spacing w:before="240" w:after="240"/>
        <w:ind w:left="851" w:right="901"/>
        <w:jc w:val="both"/>
        <w:rPr>
          <w:sz w:val="22"/>
          <w:szCs w:val="22"/>
        </w:rPr>
      </w:pPr>
      <w:r w:rsidRPr="009A1C1B">
        <w:rPr>
          <w:rFonts w:ascii="Palatino Linotype" w:eastAsia="Palatino Linotype" w:hAnsi="Palatino Linotype" w:cs="Palatino Linotype"/>
          <w:b/>
          <w:i/>
          <w:sz w:val="22"/>
          <w:szCs w:val="22"/>
        </w:rPr>
        <w:t>“Artículo 6o.</w:t>
      </w:r>
    </w:p>
    <w:p w14:paraId="15219971" w14:textId="77777777" w:rsidR="004E6904" w:rsidRPr="009A1C1B" w:rsidRDefault="00063E7D">
      <w:pPr>
        <w:pBdr>
          <w:top w:val="nil"/>
          <w:left w:val="nil"/>
          <w:bottom w:val="nil"/>
          <w:right w:val="nil"/>
          <w:between w:val="nil"/>
        </w:pBdr>
        <w:spacing w:before="240" w:after="240"/>
        <w:ind w:left="851" w:right="901"/>
        <w:jc w:val="both"/>
        <w:rPr>
          <w:sz w:val="22"/>
          <w:szCs w:val="22"/>
        </w:rPr>
      </w:pPr>
      <w:r w:rsidRPr="009A1C1B">
        <w:rPr>
          <w:rFonts w:ascii="Palatino Linotype" w:eastAsia="Palatino Linotype" w:hAnsi="Palatino Linotype" w:cs="Palatino Linotype"/>
          <w:i/>
          <w:sz w:val="22"/>
          <w:szCs w:val="22"/>
        </w:rPr>
        <w:t>[...]</w:t>
      </w:r>
    </w:p>
    <w:p w14:paraId="450836ED" w14:textId="77777777" w:rsidR="004E6904" w:rsidRPr="009A1C1B" w:rsidRDefault="00063E7D">
      <w:pPr>
        <w:pBdr>
          <w:top w:val="nil"/>
          <w:left w:val="nil"/>
          <w:bottom w:val="nil"/>
          <w:right w:val="nil"/>
          <w:between w:val="nil"/>
        </w:pBdr>
        <w:spacing w:before="240" w:after="240"/>
        <w:ind w:left="851" w:right="851"/>
        <w:jc w:val="both"/>
        <w:rPr>
          <w:sz w:val="22"/>
          <w:szCs w:val="22"/>
        </w:rPr>
      </w:pPr>
      <w:r w:rsidRPr="009A1C1B">
        <w:rPr>
          <w:rFonts w:ascii="Palatino Linotype" w:eastAsia="Palatino Linotype" w:hAnsi="Palatino Linotype" w:cs="Palatino Linotype"/>
          <w:b/>
          <w:i/>
          <w:sz w:val="22"/>
          <w:szCs w:val="22"/>
        </w:rPr>
        <w:t xml:space="preserve">A. Para el ejercicio del derecho de acceso a la información, la Federación y </w:t>
      </w:r>
      <w:r w:rsidRPr="009A1C1B">
        <w:rPr>
          <w:rFonts w:ascii="Palatino Linotype" w:eastAsia="Palatino Linotype" w:hAnsi="Palatino Linotype" w:cs="Palatino Linotype"/>
          <w:b/>
          <w:i/>
          <w:sz w:val="22"/>
          <w:szCs w:val="22"/>
          <w:u w:val="single"/>
        </w:rPr>
        <w:t>las entidades federativas</w:t>
      </w:r>
      <w:r w:rsidRPr="009A1C1B">
        <w:rPr>
          <w:rFonts w:ascii="Palatino Linotype" w:eastAsia="Palatino Linotype" w:hAnsi="Palatino Linotype" w:cs="Palatino Linotype"/>
          <w:b/>
          <w:i/>
          <w:sz w:val="22"/>
          <w:szCs w:val="22"/>
        </w:rPr>
        <w:t>,</w:t>
      </w:r>
      <w:r w:rsidRPr="009A1C1B">
        <w:rPr>
          <w:rFonts w:ascii="Palatino Linotype" w:eastAsia="Palatino Linotype" w:hAnsi="Palatino Linotype" w:cs="Palatino Linotype"/>
          <w:i/>
          <w:sz w:val="22"/>
          <w:szCs w:val="22"/>
        </w:rPr>
        <w:t xml:space="preserve"> en el ámbito de sus respectivas competencias, se regirán por los siguientes principios y bases:</w:t>
      </w:r>
    </w:p>
    <w:p w14:paraId="673008BF" w14:textId="77777777" w:rsidR="004E6904" w:rsidRPr="009A1C1B" w:rsidRDefault="00063E7D">
      <w:pPr>
        <w:pBdr>
          <w:top w:val="nil"/>
          <w:left w:val="nil"/>
          <w:bottom w:val="nil"/>
          <w:right w:val="nil"/>
          <w:between w:val="nil"/>
        </w:pBdr>
        <w:spacing w:before="240" w:after="240"/>
        <w:ind w:left="851" w:right="851"/>
        <w:jc w:val="both"/>
        <w:rPr>
          <w:sz w:val="22"/>
          <w:szCs w:val="22"/>
        </w:rPr>
      </w:pPr>
      <w:r w:rsidRPr="009A1C1B">
        <w:rPr>
          <w:rFonts w:ascii="Palatino Linotype" w:eastAsia="Palatino Linotype" w:hAnsi="Palatino Linotype" w:cs="Palatino Linotype"/>
          <w:i/>
          <w:sz w:val="22"/>
          <w:szCs w:val="22"/>
        </w:rPr>
        <w:t> </w:t>
      </w:r>
      <w:r w:rsidRPr="009A1C1B">
        <w:rPr>
          <w:rFonts w:ascii="Palatino Linotype" w:eastAsia="Palatino Linotype" w:hAnsi="Palatino Linotype" w:cs="Palatino Linotype"/>
          <w:b/>
          <w:i/>
          <w:sz w:val="22"/>
          <w:szCs w:val="22"/>
        </w:rPr>
        <w:t xml:space="preserve">I. </w:t>
      </w:r>
      <w:r w:rsidRPr="009A1C1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A1C1B">
        <w:rPr>
          <w:rFonts w:ascii="Palatino Linotype" w:eastAsia="Palatino Linotype" w:hAnsi="Palatino Linotype" w:cs="Palatino Linotype"/>
          <w:i/>
          <w:sz w:val="22"/>
          <w:szCs w:val="22"/>
        </w:rPr>
        <w:t xml:space="preserve"> Ejecutivo, Legislativo </w:t>
      </w:r>
      <w:r w:rsidRPr="009A1C1B">
        <w:rPr>
          <w:rFonts w:ascii="Palatino Linotype" w:eastAsia="Palatino Linotype" w:hAnsi="Palatino Linotype" w:cs="Palatino Linotype"/>
          <w:b/>
          <w:i/>
          <w:sz w:val="22"/>
          <w:szCs w:val="22"/>
          <w:u w:val="single"/>
        </w:rPr>
        <w:t>y Judicial</w:t>
      </w:r>
      <w:r w:rsidRPr="009A1C1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A1C1B">
        <w:rPr>
          <w:rFonts w:ascii="Palatino Linotype" w:eastAsia="Palatino Linotype" w:hAnsi="Palatino Linotype" w:cs="Palatino Linotype"/>
          <w:b/>
          <w:i/>
          <w:sz w:val="22"/>
          <w:szCs w:val="22"/>
        </w:rPr>
        <w:t>es pública y sólo podrá ser reservada temporalmente por razones de interés público y seguridad nacional,</w:t>
      </w:r>
      <w:r w:rsidRPr="009A1C1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8CC81BF" w14:textId="77777777" w:rsidR="004E6904" w:rsidRPr="009A1C1B" w:rsidRDefault="00063E7D">
      <w:pPr>
        <w:pBdr>
          <w:top w:val="nil"/>
          <w:left w:val="nil"/>
          <w:bottom w:val="nil"/>
          <w:right w:val="nil"/>
          <w:between w:val="nil"/>
        </w:pBdr>
        <w:spacing w:before="240" w:after="240"/>
        <w:ind w:left="851" w:right="851"/>
        <w:jc w:val="both"/>
        <w:rPr>
          <w:sz w:val="22"/>
          <w:szCs w:val="22"/>
        </w:rPr>
      </w:pPr>
      <w:r w:rsidRPr="009A1C1B">
        <w:rPr>
          <w:rFonts w:ascii="Palatino Linotype" w:eastAsia="Palatino Linotype" w:hAnsi="Palatino Linotype" w:cs="Palatino Linotype"/>
          <w:i/>
          <w:sz w:val="22"/>
          <w:szCs w:val="22"/>
        </w:rPr>
        <w:t> </w:t>
      </w:r>
      <w:r w:rsidRPr="009A1C1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89A479E" w14:textId="77777777" w:rsidR="004E6904" w:rsidRPr="009A1C1B" w:rsidRDefault="00063E7D">
      <w:pPr>
        <w:pBdr>
          <w:top w:val="nil"/>
          <w:left w:val="nil"/>
          <w:bottom w:val="nil"/>
          <w:right w:val="nil"/>
          <w:between w:val="nil"/>
        </w:pBdr>
        <w:spacing w:before="240" w:after="240"/>
        <w:ind w:left="851" w:right="851"/>
        <w:jc w:val="both"/>
        <w:rPr>
          <w:sz w:val="22"/>
          <w:szCs w:val="22"/>
        </w:rPr>
      </w:pPr>
      <w:r w:rsidRPr="009A1C1B">
        <w:rPr>
          <w:rFonts w:ascii="Palatino Linotype" w:eastAsia="Palatino Linotype" w:hAnsi="Palatino Linotype" w:cs="Palatino Linotype"/>
          <w:i/>
          <w:sz w:val="22"/>
          <w:szCs w:val="22"/>
        </w:rPr>
        <w:t> </w:t>
      </w:r>
      <w:r w:rsidRPr="009A1C1B">
        <w:rPr>
          <w:rFonts w:ascii="Palatino Linotype" w:eastAsia="Palatino Linotype" w:hAnsi="Palatino Linotype" w:cs="Palatino Linotype"/>
          <w:b/>
          <w:i/>
          <w:sz w:val="22"/>
          <w:szCs w:val="22"/>
        </w:rPr>
        <w:t xml:space="preserve">III. </w:t>
      </w:r>
      <w:r w:rsidRPr="009A1C1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A1C1B">
        <w:rPr>
          <w:rFonts w:ascii="Palatino Linotype" w:eastAsia="Palatino Linotype" w:hAnsi="Palatino Linotype" w:cs="Palatino Linotype"/>
          <w:i/>
          <w:sz w:val="22"/>
          <w:szCs w:val="22"/>
        </w:rPr>
        <w:t xml:space="preserve"> a sus datos personales o a la rectificación de éstos.</w:t>
      </w:r>
    </w:p>
    <w:p w14:paraId="71BA39F5" w14:textId="77777777" w:rsidR="004E6904" w:rsidRPr="009A1C1B" w:rsidRDefault="00063E7D">
      <w:pPr>
        <w:pBdr>
          <w:top w:val="nil"/>
          <w:left w:val="nil"/>
          <w:bottom w:val="nil"/>
          <w:right w:val="nil"/>
          <w:between w:val="nil"/>
        </w:pBdr>
        <w:spacing w:before="240" w:after="240"/>
        <w:ind w:left="851" w:right="851"/>
        <w:jc w:val="both"/>
        <w:rPr>
          <w:sz w:val="22"/>
          <w:szCs w:val="22"/>
        </w:rPr>
      </w:pPr>
      <w:r w:rsidRPr="009A1C1B">
        <w:rPr>
          <w:rFonts w:ascii="Palatino Linotype" w:eastAsia="Palatino Linotype" w:hAnsi="Palatino Linotype" w:cs="Palatino Linotype"/>
          <w:i/>
          <w:sz w:val="22"/>
          <w:szCs w:val="22"/>
        </w:rPr>
        <w:t> </w:t>
      </w:r>
      <w:r w:rsidRPr="009A1C1B">
        <w:rPr>
          <w:rFonts w:ascii="Palatino Linotype" w:eastAsia="Palatino Linotype" w:hAnsi="Palatino Linotype" w:cs="Palatino Linotype"/>
          <w:b/>
          <w:i/>
          <w:sz w:val="22"/>
          <w:szCs w:val="22"/>
        </w:rPr>
        <w:t xml:space="preserve">IV. </w:t>
      </w:r>
      <w:r w:rsidRPr="009A1C1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04E69BD" w14:textId="77777777" w:rsidR="004E6904" w:rsidRPr="009A1C1B" w:rsidRDefault="00063E7D">
      <w:pPr>
        <w:pBdr>
          <w:top w:val="nil"/>
          <w:left w:val="nil"/>
          <w:bottom w:val="nil"/>
          <w:right w:val="nil"/>
          <w:between w:val="nil"/>
        </w:pBdr>
        <w:spacing w:before="240" w:after="240"/>
        <w:ind w:left="851" w:right="851"/>
        <w:jc w:val="both"/>
        <w:rPr>
          <w:sz w:val="22"/>
          <w:szCs w:val="22"/>
        </w:rPr>
      </w:pPr>
      <w:r w:rsidRPr="009A1C1B">
        <w:rPr>
          <w:rFonts w:ascii="Palatino Linotype" w:eastAsia="Palatino Linotype" w:hAnsi="Palatino Linotype" w:cs="Palatino Linotype"/>
          <w:b/>
          <w:i/>
          <w:sz w:val="22"/>
          <w:szCs w:val="22"/>
        </w:rPr>
        <w:t xml:space="preserve">V. </w:t>
      </w:r>
      <w:r w:rsidRPr="009A1C1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3B2358" w14:textId="77777777" w:rsidR="004E6904" w:rsidRPr="009A1C1B" w:rsidRDefault="00063E7D">
      <w:pPr>
        <w:pBdr>
          <w:top w:val="nil"/>
          <w:left w:val="nil"/>
          <w:bottom w:val="nil"/>
          <w:right w:val="nil"/>
          <w:between w:val="nil"/>
        </w:pBdr>
        <w:spacing w:before="240" w:after="240"/>
        <w:ind w:left="851" w:right="851"/>
        <w:jc w:val="both"/>
        <w:rPr>
          <w:sz w:val="22"/>
          <w:szCs w:val="22"/>
        </w:rPr>
      </w:pPr>
      <w:r w:rsidRPr="009A1C1B">
        <w:rPr>
          <w:rFonts w:ascii="Palatino Linotype" w:eastAsia="Palatino Linotype" w:hAnsi="Palatino Linotype" w:cs="Palatino Linotype"/>
          <w:i/>
          <w:sz w:val="22"/>
          <w:szCs w:val="22"/>
        </w:rPr>
        <w:t> </w:t>
      </w:r>
      <w:r w:rsidRPr="009A1C1B">
        <w:rPr>
          <w:rFonts w:ascii="Palatino Linotype" w:eastAsia="Palatino Linotype" w:hAnsi="Palatino Linotype" w:cs="Palatino Linotype"/>
          <w:b/>
          <w:i/>
          <w:sz w:val="22"/>
          <w:szCs w:val="22"/>
        </w:rPr>
        <w:t xml:space="preserve">VI. </w:t>
      </w:r>
      <w:r w:rsidRPr="009A1C1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6C7BCD7" w14:textId="77777777" w:rsidR="004E6904" w:rsidRPr="009A1C1B" w:rsidRDefault="00063E7D">
      <w:pPr>
        <w:pBdr>
          <w:top w:val="nil"/>
          <w:left w:val="nil"/>
          <w:bottom w:val="nil"/>
          <w:right w:val="nil"/>
          <w:between w:val="nil"/>
        </w:pBdr>
        <w:spacing w:before="240" w:after="240"/>
        <w:ind w:left="851" w:right="851"/>
        <w:jc w:val="both"/>
        <w:rPr>
          <w:sz w:val="22"/>
          <w:szCs w:val="22"/>
        </w:rPr>
      </w:pPr>
      <w:r w:rsidRPr="009A1C1B">
        <w:rPr>
          <w:rFonts w:ascii="Palatino Linotype" w:eastAsia="Palatino Linotype" w:hAnsi="Palatino Linotype" w:cs="Palatino Linotype"/>
          <w:i/>
          <w:sz w:val="22"/>
          <w:szCs w:val="22"/>
        </w:rPr>
        <w:lastRenderedPageBreak/>
        <w:t> </w:t>
      </w:r>
      <w:r w:rsidRPr="009A1C1B">
        <w:rPr>
          <w:rFonts w:ascii="Palatino Linotype" w:eastAsia="Palatino Linotype" w:hAnsi="Palatino Linotype" w:cs="Palatino Linotype"/>
          <w:b/>
          <w:i/>
          <w:sz w:val="22"/>
          <w:szCs w:val="22"/>
        </w:rPr>
        <w:t xml:space="preserve">VII. </w:t>
      </w:r>
      <w:r w:rsidRPr="009A1C1B">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7A43DBB" w14:textId="77777777" w:rsidR="004E6904" w:rsidRPr="009A1C1B" w:rsidRDefault="00063E7D">
      <w:pPr>
        <w:pBdr>
          <w:top w:val="nil"/>
          <w:left w:val="nil"/>
          <w:bottom w:val="nil"/>
          <w:right w:val="nil"/>
          <w:between w:val="nil"/>
        </w:pBdr>
        <w:spacing w:before="240" w:after="240" w:line="360" w:lineRule="auto"/>
        <w:jc w:val="both"/>
        <w:rPr>
          <w:sz w:val="22"/>
          <w:szCs w:val="22"/>
        </w:rPr>
      </w:pPr>
      <w:r w:rsidRPr="009A1C1B">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2E0D632" w14:textId="77777777" w:rsidR="004E6904" w:rsidRPr="009A1C1B" w:rsidRDefault="00063E7D">
      <w:pPr>
        <w:pBdr>
          <w:top w:val="nil"/>
          <w:left w:val="nil"/>
          <w:bottom w:val="nil"/>
          <w:right w:val="nil"/>
          <w:between w:val="nil"/>
        </w:pBdr>
        <w:spacing w:before="240" w:after="240"/>
        <w:ind w:left="709" w:right="760"/>
        <w:jc w:val="both"/>
        <w:rPr>
          <w:sz w:val="22"/>
          <w:szCs w:val="22"/>
        </w:rPr>
      </w:pP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rPr>
        <w:t>Artículo 4</w:t>
      </w:r>
      <w:r w:rsidRPr="009A1C1B">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46861CE5" w14:textId="77777777" w:rsidR="004E6904" w:rsidRPr="009A1C1B" w:rsidRDefault="00063E7D">
      <w:pPr>
        <w:pBdr>
          <w:top w:val="nil"/>
          <w:left w:val="nil"/>
          <w:bottom w:val="nil"/>
          <w:right w:val="nil"/>
          <w:between w:val="nil"/>
        </w:pBdr>
        <w:spacing w:before="240" w:after="240"/>
        <w:ind w:left="709" w:right="760"/>
        <w:jc w:val="both"/>
        <w:rPr>
          <w:sz w:val="22"/>
          <w:szCs w:val="22"/>
        </w:rPr>
      </w:pPr>
      <w:r w:rsidRPr="009A1C1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20F6A24" w14:textId="77777777" w:rsidR="004E6904" w:rsidRPr="009A1C1B" w:rsidRDefault="00063E7D">
      <w:pPr>
        <w:pBdr>
          <w:top w:val="nil"/>
          <w:left w:val="nil"/>
          <w:bottom w:val="nil"/>
          <w:right w:val="nil"/>
          <w:between w:val="nil"/>
        </w:pBdr>
        <w:spacing w:before="240" w:after="240"/>
        <w:ind w:left="709" w:right="760"/>
        <w:jc w:val="both"/>
        <w:rPr>
          <w:sz w:val="22"/>
          <w:szCs w:val="22"/>
        </w:rPr>
      </w:pPr>
      <w:r w:rsidRPr="009A1C1B">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9A1C1B">
        <w:rPr>
          <w:rFonts w:ascii="Palatino Linotype" w:eastAsia="Palatino Linotype" w:hAnsi="Palatino Linotype" w:cs="Palatino Linotype"/>
          <w:i/>
          <w:sz w:val="22"/>
          <w:szCs w:val="22"/>
        </w:rPr>
        <w:t>.”(</w:t>
      </w:r>
      <w:proofErr w:type="gramEnd"/>
      <w:r w:rsidRPr="009A1C1B">
        <w:rPr>
          <w:rFonts w:ascii="Palatino Linotype" w:eastAsia="Palatino Linotype" w:hAnsi="Palatino Linotype" w:cs="Palatino Linotype"/>
          <w:i/>
          <w:sz w:val="22"/>
          <w:szCs w:val="22"/>
        </w:rPr>
        <w:t>Énfasis añadido)</w:t>
      </w:r>
    </w:p>
    <w:p w14:paraId="44679E9A" w14:textId="77777777" w:rsidR="004E6904" w:rsidRPr="009A1C1B" w:rsidRDefault="00063E7D">
      <w:pPr>
        <w:pBdr>
          <w:top w:val="nil"/>
          <w:left w:val="nil"/>
          <w:bottom w:val="nil"/>
          <w:right w:val="nil"/>
          <w:between w:val="nil"/>
        </w:pBdr>
        <w:spacing w:before="240" w:after="240" w:line="360" w:lineRule="auto"/>
        <w:jc w:val="both"/>
        <w:rPr>
          <w:sz w:val="22"/>
          <w:szCs w:val="22"/>
        </w:rPr>
      </w:pPr>
      <w:r w:rsidRPr="009A1C1B">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w:t>
      </w:r>
      <w:r w:rsidRPr="009A1C1B">
        <w:rPr>
          <w:rFonts w:ascii="Palatino Linotype" w:eastAsia="Palatino Linotype" w:hAnsi="Palatino Linotype" w:cs="Palatino Linotype"/>
          <w:sz w:val="22"/>
          <w:szCs w:val="22"/>
        </w:rPr>
        <w:lastRenderedPageBreak/>
        <w:t>conocimiento y proporcionar la información pública que obren en su poder como así lo establece el artículo 12 de la Ley de Transparencia y Acceso a la Información Pública del Estado de México y Municipios, el cual a la letra dice:</w:t>
      </w:r>
    </w:p>
    <w:p w14:paraId="563C4446" w14:textId="77777777" w:rsidR="004E6904" w:rsidRPr="009A1C1B" w:rsidRDefault="00063E7D">
      <w:pPr>
        <w:pBdr>
          <w:top w:val="nil"/>
          <w:left w:val="nil"/>
          <w:bottom w:val="nil"/>
          <w:right w:val="nil"/>
          <w:between w:val="nil"/>
        </w:pBdr>
        <w:spacing w:before="240" w:after="240"/>
        <w:ind w:left="567" w:right="758"/>
        <w:jc w:val="both"/>
        <w:rPr>
          <w:sz w:val="22"/>
          <w:szCs w:val="22"/>
        </w:rPr>
      </w:pP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rPr>
        <w:t>Artículo 12</w:t>
      </w:r>
      <w:r w:rsidRPr="009A1C1B">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61141276" w14:textId="77777777" w:rsidR="004E6904" w:rsidRPr="009A1C1B" w:rsidRDefault="00063E7D">
      <w:pPr>
        <w:pBdr>
          <w:top w:val="nil"/>
          <w:left w:val="nil"/>
          <w:bottom w:val="nil"/>
          <w:right w:val="nil"/>
          <w:between w:val="nil"/>
        </w:pBdr>
        <w:spacing w:before="240" w:after="240"/>
        <w:ind w:left="567" w:right="758"/>
        <w:jc w:val="both"/>
        <w:rPr>
          <w:sz w:val="22"/>
          <w:szCs w:val="22"/>
        </w:rPr>
      </w:pPr>
      <w:r w:rsidRPr="009A1C1B">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A151B52" w14:textId="77777777" w:rsidR="004E6904" w:rsidRPr="009A1C1B" w:rsidRDefault="00063E7D">
      <w:pPr>
        <w:pBdr>
          <w:top w:val="nil"/>
          <w:left w:val="nil"/>
          <w:bottom w:val="nil"/>
          <w:right w:val="nil"/>
          <w:between w:val="nil"/>
        </w:pBdr>
        <w:spacing w:before="240" w:after="240" w:line="360" w:lineRule="auto"/>
        <w:jc w:val="both"/>
        <w:rPr>
          <w:sz w:val="22"/>
          <w:szCs w:val="22"/>
        </w:rPr>
      </w:pPr>
      <w:r w:rsidRPr="009A1C1B">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9A1C1B">
        <w:rPr>
          <w:rFonts w:ascii="Palatino Linotype" w:eastAsia="Palatino Linotype" w:hAnsi="Palatino Linotype" w:cs="Palatino Linotype"/>
          <w:b/>
          <w:sz w:val="22"/>
          <w:szCs w:val="22"/>
        </w:rPr>
        <w:t xml:space="preserve"> </w:t>
      </w:r>
      <w:r w:rsidRPr="009A1C1B">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9A1C1B">
        <w:rPr>
          <w:rFonts w:ascii="Palatino Linotype" w:eastAsia="Palatino Linotype" w:hAnsi="Palatino Linotype" w:cs="Palatino Linotype"/>
          <w:i/>
          <w:sz w:val="22"/>
          <w:szCs w:val="22"/>
        </w:rPr>
        <w:t>ad hoc</w:t>
      </w:r>
      <w:r w:rsidRPr="009A1C1B">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76C60C8D" w14:textId="77777777" w:rsidR="004E6904" w:rsidRPr="009A1C1B" w:rsidRDefault="00063E7D">
      <w:pPr>
        <w:pBdr>
          <w:top w:val="nil"/>
          <w:left w:val="nil"/>
          <w:bottom w:val="nil"/>
          <w:right w:val="nil"/>
          <w:between w:val="nil"/>
        </w:pBdr>
        <w:spacing w:before="240" w:after="240"/>
        <w:ind w:left="567" w:right="567"/>
        <w:jc w:val="both"/>
        <w:rPr>
          <w:sz w:val="22"/>
          <w:szCs w:val="22"/>
        </w:rPr>
      </w:pPr>
      <w:r w:rsidRPr="009A1C1B">
        <w:rPr>
          <w:rFonts w:ascii="Palatino Linotype" w:eastAsia="Palatino Linotype" w:hAnsi="Palatino Linotype" w:cs="Palatino Linotype"/>
          <w:b/>
          <w:i/>
          <w:sz w:val="22"/>
          <w:szCs w:val="22"/>
        </w:rPr>
        <w:t>03/17</w:t>
      </w:r>
    </w:p>
    <w:p w14:paraId="26DC6F6A" w14:textId="77777777" w:rsidR="004E6904" w:rsidRPr="009A1C1B" w:rsidRDefault="00063E7D">
      <w:pPr>
        <w:pBdr>
          <w:top w:val="nil"/>
          <w:left w:val="nil"/>
          <w:bottom w:val="nil"/>
          <w:right w:val="nil"/>
          <w:between w:val="nil"/>
        </w:pBdr>
        <w:spacing w:before="240" w:after="240"/>
        <w:ind w:left="567" w:right="567"/>
        <w:jc w:val="both"/>
        <w:rPr>
          <w:sz w:val="22"/>
          <w:szCs w:val="22"/>
        </w:rPr>
      </w:pPr>
      <w:r w:rsidRPr="009A1C1B">
        <w:rPr>
          <w:rFonts w:ascii="Palatino Linotype" w:eastAsia="Palatino Linotype" w:hAnsi="Palatino Linotype" w:cs="Palatino Linotype"/>
          <w:b/>
          <w:i/>
          <w:sz w:val="22"/>
          <w:szCs w:val="22"/>
        </w:rPr>
        <w:t>“NO EXISTE OBLIGACIÓN DE ELABORAR DOCUMENTOS AD HOC PARA ATENDER LAS SOLICITUDES DE ACCESO A LA INFORMACIÓN.</w:t>
      </w:r>
    </w:p>
    <w:p w14:paraId="71AB0873" w14:textId="77777777" w:rsidR="004E6904" w:rsidRPr="009A1C1B" w:rsidRDefault="00063E7D">
      <w:pPr>
        <w:pBdr>
          <w:top w:val="nil"/>
          <w:left w:val="nil"/>
          <w:bottom w:val="nil"/>
          <w:right w:val="nil"/>
          <w:between w:val="nil"/>
        </w:pBdr>
        <w:spacing w:before="240" w:after="240"/>
        <w:ind w:left="567" w:right="567"/>
        <w:jc w:val="both"/>
        <w:rPr>
          <w:sz w:val="22"/>
          <w:szCs w:val="22"/>
        </w:rPr>
      </w:pPr>
      <w:r w:rsidRPr="009A1C1B">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97026E7" w14:textId="77777777" w:rsidR="004E6904" w:rsidRPr="009A1C1B" w:rsidRDefault="00063E7D">
      <w:pPr>
        <w:pBdr>
          <w:top w:val="nil"/>
          <w:left w:val="nil"/>
          <w:bottom w:val="nil"/>
          <w:right w:val="nil"/>
          <w:between w:val="nil"/>
        </w:pBdr>
        <w:spacing w:before="240" w:after="240" w:line="360" w:lineRule="auto"/>
        <w:jc w:val="both"/>
        <w:rPr>
          <w:sz w:val="22"/>
          <w:szCs w:val="22"/>
        </w:rPr>
      </w:pPr>
      <w:r w:rsidRPr="009A1C1B">
        <w:rPr>
          <w:rFonts w:ascii="Palatino Linotype" w:eastAsia="Palatino Linotype" w:hAnsi="Palatino Linotype" w:cs="Palatino Linotype"/>
          <w:sz w:val="22"/>
          <w:szCs w:val="22"/>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E9140F6" w14:textId="77777777" w:rsidR="004E6904" w:rsidRPr="009A1C1B" w:rsidRDefault="00063E7D">
      <w:pPr>
        <w:pBdr>
          <w:top w:val="nil"/>
          <w:left w:val="nil"/>
          <w:bottom w:val="nil"/>
          <w:right w:val="nil"/>
          <w:between w:val="nil"/>
        </w:pBdr>
        <w:spacing w:before="240" w:after="240" w:line="360" w:lineRule="auto"/>
        <w:ind w:right="49"/>
        <w:jc w:val="both"/>
        <w:rPr>
          <w:sz w:val="22"/>
          <w:szCs w:val="22"/>
        </w:rPr>
      </w:pPr>
      <w:r w:rsidRPr="009A1C1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575FD6D" w14:textId="77777777" w:rsidR="004E6904" w:rsidRPr="009A1C1B" w:rsidRDefault="00063E7D">
      <w:pPr>
        <w:pBdr>
          <w:top w:val="nil"/>
          <w:left w:val="nil"/>
          <w:bottom w:val="nil"/>
          <w:right w:val="nil"/>
          <w:between w:val="nil"/>
        </w:pBdr>
        <w:spacing w:before="240" w:after="240" w:line="360" w:lineRule="auto"/>
        <w:jc w:val="both"/>
        <w:rPr>
          <w:sz w:val="22"/>
          <w:szCs w:val="22"/>
        </w:rPr>
      </w:pPr>
      <w:r w:rsidRPr="009A1C1B">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A881358" w14:textId="77777777" w:rsidR="004E6904" w:rsidRPr="009A1C1B" w:rsidRDefault="00063E7D">
      <w:pPr>
        <w:pBdr>
          <w:top w:val="nil"/>
          <w:left w:val="nil"/>
          <w:bottom w:val="nil"/>
          <w:right w:val="nil"/>
          <w:between w:val="nil"/>
        </w:pBdr>
        <w:spacing w:before="240" w:after="240"/>
        <w:ind w:left="567" w:right="567"/>
        <w:jc w:val="both"/>
        <w:rPr>
          <w:sz w:val="22"/>
          <w:szCs w:val="22"/>
        </w:rPr>
      </w:pP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rPr>
        <w:t xml:space="preserve">Artículo 3. </w:t>
      </w:r>
      <w:r w:rsidRPr="009A1C1B">
        <w:rPr>
          <w:rFonts w:ascii="Palatino Linotype" w:eastAsia="Palatino Linotype" w:hAnsi="Palatino Linotype" w:cs="Palatino Linotype"/>
          <w:i/>
          <w:sz w:val="22"/>
          <w:szCs w:val="22"/>
        </w:rPr>
        <w:t>Para los efectos de la presente Ley se entenderá por:</w:t>
      </w:r>
    </w:p>
    <w:p w14:paraId="415ADB27" w14:textId="77777777" w:rsidR="004E6904" w:rsidRPr="009A1C1B" w:rsidRDefault="00063E7D">
      <w:pPr>
        <w:pBdr>
          <w:top w:val="nil"/>
          <w:left w:val="nil"/>
          <w:bottom w:val="nil"/>
          <w:right w:val="nil"/>
          <w:between w:val="nil"/>
        </w:pBdr>
        <w:spacing w:before="240" w:after="240"/>
        <w:ind w:left="567" w:right="567"/>
        <w:jc w:val="both"/>
        <w:rPr>
          <w:sz w:val="22"/>
          <w:szCs w:val="22"/>
        </w:rPr>
      </w:pPr>
      <w:r w:rsidRPr="009A1C1B">
        <w:rPr>
          <w:rFonts w:ascii="Palatino Linotype" w:eastAsia="Palatino Linotype" w:hAnsi="Palatino Linotype" w:cs="Palatino Linotype"/>
          <w:i/>
          <w:sz w:val="22"/>
          <w:szCs w:val="22"/>
        </w:rPr>
        <w:t>…</w:t>
      </w:r>
    </w:p>
    <w:p w14:paraId="55964C3F" w14:textId="77777777" w:rsidR="004E6904" w:rsidRPr="009A1C1B" w:rsidRDefault="00063E7D">
      <w:pPr>
        <w:pBdr>
          <w:top w:val="nil"/>
          <w:left w:val="nil"/>
          <w:bottom w:val="nil"/>
          <w:right w:val="nil"/>
          <w:between w:val="nil"/>
        </w:pBdr>
        <w:spacing w:before="240" w:after="240"/>
        <w:ind w:left="567" w:right="567"/>
        <w:jc w:val="both"/>
        <w:rPr>
          <w:sz w:val="22"/>
          <w:szCs w:val="22"/>
        </w:rPr>
      </w:pPr>
      <w:r w:rsidRPr="009A1C1B">
        <w:rPr>
          <w:rFonts w:ascii="Palatino Linotype" w:eastAsia="Palatino Linotype" w:hAnsi="Palatino Linotype" w:cs="Palatino Linotype"/>
          <w:b/>
          <w:i/>
          <w:sz w:val="22"/>
          <w:szCs w:val="22"/>
        </w:rPr>
        <w:t>XI. Documento:</w:t>
      </w:r>
      <w:r w:rsidRPr="009A1C1B">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9A1C1B">
        <w:rPr>
          <w:rFonts w:ascii="Palatino Linotype" w:eastAsia="Palatino Linotype" w:hAnsi="Palatino Linotype" w:cs="Palatino Linotype"/>
          <w:i/>
          <w:sz w:val="22"/>
          <w:szCs w:val="22"/>
        </w:rPr>
        <w:lastRenderedPageBreak/>
        <w:t>elaboración. Los documentos podrán estar en cualquier medio, sea escrito, impreso, sonoro, visual, electrónico, informático u holográfico</w:t>
      </w:r>
      <w:r w:rsidRPr="009A1C1B">
        <w:rPr>
          <w:rFonts w:ascii="Palatino Linotype" w:eastAsia="Palatino Linotype" w:hAnsi="Palatino Linotype" w:cs="Palatino Linotype"/>
          <w:b/>
          <w:i/>
          <w:sz w:val="22"/>
          <w:szCs w:val="22"/>
        </w:rPr>
        <w:t>…</w:t>
      </w:r>
      <w:r w:rsidRPr="009A1C1B">
        <w:rPr>
          <w:rFonts w:ascii="Palatino Linotype" w:eastAsia="Palatino Linotype" w:hAnsi="Palatino Linotype" w:cs="Palatino Linotype"/>
          <w:i/>
          <w:sz w:val="22"/>
          <w:szCs w:val="22"/>
        </w:rPr>
        <w:t xml:space="preserve">” </w:t>
      </w:r>
    </w:p>
    <w:p w14:paraId="01F7E801" w14:textId="77777777" w:rsidR="004E6904" w:rsidRPr="009A1C1B" w:rsidRDefault="00063E7D">
      <w:pPr>
        <w:pBdr>
          <w:top w:val="nil"/>
          <w:left w:val="nil"/>
          <w:bottom w:val="nil"/>
          <w:right w:val="nil"/>
          <w:between w:val="nil"/>
        </w:pBdr>
        <w:spacing w:before="240" w:after="240" w:line="360" w:lineRule="auto"/>
        <w:jc w:val="both"/>
        <w:rPr>
          <w:sz w:val="22"/>
          <w:szCs w:val="22"/>
        </w:rPr>
      </w:pPr>
      <w:r w:rsidRPr="009A1C1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E8C1D0C" w14:textId="77777777" w:rsidR="004E6904" w:rsidRPr="009A1C1B" w:rsidRDefault="00063E7D">
      <w:pPr>
        <w:pBdr>
          <w:top w:val="nil"/>
          <w:left w:val="nil"/>
          <w:bottom w:val="nil"/>
          <w:right w:val="nil"/>
          <w:between w:val="nil"/>
        </w:pBdr>
        <w:spacing w:before="240" w:after="240"/>
        <w:ind w:left="567" w:right="567"/>
        <w:jc w:val="both"/>
        <w:rPr>
          <w:sz w:val="22"/>
          <w:szCs w:val="22"/>
        </w:rPr>
      </w:pPr>
      <w:r w:rsidRPr="009A1C1B">
        <w:rPr>
          <w:rFonts w:ascii="Palatino Linotype" w:eastAsia="Palatino Linotype" w:hAnsi="Palatino Linotype" w:cs="Palatino Linotype"/>
          <w:b/>
          <w:sz w:val="22"/>
          <w:szCs w:val="22"/>
        </w:rPr>
        <w:t>“</w:t>
      </w:r>
      <w:r w:rsidRPr="009A1C1B">
        <w:rPr>
          <w:rFonts w:ascii="Palatino Linotype" w:eastAsia="Palatino Linotype" w:hAnsi="Palatino Linotype" w:cs="Palatino Linotype"/>
          <w:b/>
          <w:i/>
          <w:sz w:val="22"/>
          <w:szCs w:val="22"/>
        </w:rPr>
        <w:t>CRITERIO 0002-11</w:t>
      </w:r>
    </w:p>
    <w:p w14:paraId="00430F10" w14:textId="77777777" w:rsidR="004E6904" w:rsidRPr="009A1C1B" w:rsidRDefault="00063E7D">
      <w:pPr>
        <w:pBdr>
          <w:top w:val="nil"/>
          <w:left w:val="nil"/>
          <w:bottom w:val="nil"/>
          <w:right w:val="nil"/>
          <w:between w:val="nil"/>
        </w:pBdr>
        <w:spacing w:before="240" w:after="240"/>
        <w:ind w:left="567" w:right="567"/>
        <w:jc w:val="both"/>
        <w:rPr>
          <w:sz w:val="22"/>
          <w:szCs w:val="22"/>
        </w:rPr>
      </w:pPr>
      <w:r w:rsidRPr="009A1C1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A1C1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7A577AF" w14:textId="77777777" w:rsidR="004E6904" w:rsidRPr="009A1C1B" w:rsidRDefault="00063E7D">
      <w:pPr>
        <w:pBdr>
          <w:top w:val="nil"/>
          <w:left w:val="nil"/>
          <w:bottom w:val="nil"/>
          <w:right w:val="nil"/>
          <w:between w:val="nil"/>
        </w:pBdr>
        <w:spacing w:before="240" w:after="240"/>
        <w:ind w:left="567" w:right="567"/>
        <w:jc w:val="both"/>
        <w:rPr>
          <w:sz w:val="22"/>
          <w:szCs w:val="22"/>
        </w:rPr>
      </w:pPr>
      <w:r w:rsidRPr="009A1C1B">
        <w:rPr>
          <w:rFonts w:ascii="Palatino Linotype" w:eastAsia="Palatino Linotype" w:hAnsi="Palatino Linotype" w:cs="Palatino Linotype"/>
          <w:i/>
          <w:sz w:val="22"/>
          <w:szCs w:val="22"/>
        </w:rPr>
        <w:t xml:space="preserve">En </w:t>
      </w:r>
      <w:proofErr w:type="gramStart"/>
      <w:r w:rsidRPr="009A1C1B">
        <w:rPr>
          <w:rFonts w:ascii="Palatino Linotype" w:eastAsia="Palatino Linotype" w:hAnsi="Palatino Linotype" w:cs="Palatino Linotype"/>
          <w:i/>
          <w:sz w:val="22"/>
          <w:szCs w:val="22"/>
        </w:rPr>
        <w:t>consecuencia</w:t>
      </w:r>
      <w:proofErr w:type="gramEnd"/>
      <w:r w:rsidRPr="009A1C1B">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1ED4820" w14:textId="77777777" w:rsidR="004E6904" w:rsidRPr="009A1C1B" w:rsidRDefault="00063E7D">
      <w:pPr>
        <w:numPr>
          <w:ilvl w:val="0"/>
          <w:numId w:val="5"/>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Que se trate de información registrada en cualquier soporte documental, </w:t>
      </w:r>
      <w:proofErr w:type="gramStart"/>
      <w:r w:rsidRPr="009A1C1B">
        <w:rPr>
          <w:rFonts w:ascii="Palatino Linotype" w:eastAsia="Palatino Linotype" w:hAnsi="Palatino Linotype" w:cs="Palatino Linotype"/>
          <w:i/>
          <w:sz w:val="22"/>
          <w:szCs w:val="22"/>
        </w:rPr>
        <w:t>que</w:t>
      </w:r>
      <w:proofErr w:type="gramEnd"/>
      <w:r w:rsidRPr="009A1C1B">
        <w:rPr>
          <w:rFonts w:ascii="Palatino Linotype" w:eastAsia="Palatino Linotype" w:hAnsi="Palatino Linotype" w:cs="Palatino Linotype"/>
          <w:i/>
          <w:sz w:val="22"/>
          <w:szCs w:val="22"/>
        </w:rPr>
        <w:t xml:space="preserve"> en ejercicio de las atribuciones conferidas, sea generada por los Sujetos Obligados;</w:t>
      </w:r>
    </w:p>
    <w:p w14:paraId="56F4A36E" w14:textId="77777777" w:rsidR="004E6904" w:rsidRPr="009A1C1B" w:rsidRDefault="00063E7D">
      <w:pPr>
        <w:numPr>
          <w:ilvl w:val="0"/>
          <w:numId w:val="5"/>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Que se trate de información registrada en cualquier soporte documental, </w:t>
      </w:r>
      <w:proofErr w:type="gramStart"/>
      <w:r w:rsidRPr="009A1C1B">
        <w:rPr>
          <w:rFonts w:ascii="Palatino Linotype" w:eastAsia="Palatino Linotype" w:hAnsi="Palatino Linotype" w:cs="Palatino Linotype"/>
          <w:i/>
          <w:sz w:val="22"/>
          <w:szCs w:val="22"/>
        </w:rPr>
        <w:t>que</w:t>
      </w:r>
      <w:proofErr w:type="gramEnd"/>
      <w:r w:rsidRPr="009A1C1B">
        <w:rPr>
          <w:rFonts w:ascii="Palatino Linotype" w:eastAsia="Palatino Linotype" w:hAnsi="Palatino Linotype" w:cs="Palatino Linotype"/>
          <w:i/>
          <w:sz w:val="22"/>
          <w:szCs w:val="22"/>
        </w:rPr>
        <w:t xml:space="preserve"> en ejercicio de las atribuciones conferidas, sea administrada por los Sujetos Obligados, y</w:t>
      </w:r>
    </w:p>
    <w:p w14:paraId="022E8875" w14:textId="77777777" w:rsidR="004E6904" w:rsidRPr="009A1C1B" w:rsidRDefault="00063E7D">
      <w:pPr>
        <w:pBdr>
          <w:top w:val="nil"/>
          <w:left w:val="nil"/>
          <w:bottom w:val="nil"/>
          <w:right w:val="nil"/>
          <w:between w:val="nil"/>
        </w:pBdr>
        <w:spacing w:before="240" w:after="240"/>
        <w:ind w:left="567" w:right="900" w:hanging="141"/>
        <w:jc w:val="both"/>
        <w:rPr>
          <w:sz w:val="22"/>
          <w:szCs w:val="22"/>
        </w:rPr>
      </w:pPr>
      <w:r w:rsidRPr="009A1C1B">
        <w:rPr>
          <w:rFonts w:ascii="Palatino Linotype" w:eastAsia="Palatino Linotype" w:hAnsi="Palatino Linotype" w:cs="Palatino Linotype"/>
          <w:i/>
          <w:sz w:val="22"/>
          <w:szCs w:val="22"/>
        </w:rPr>
        <w:t xml:space="preserve">3. </w:t>
      </w:r>
      <w:r w:rsidRPr="009A1C1B">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9A1C1B">
        <w:rPr>
          <w:rFonts w:ascii="Palatino Linotype" w:eastAsia="Palatino Linotype" w:hAnsi="Palatino Linotype" w:cs="Palatino Linotype"/>
          <w:b/>
          <w:i/>
          <w:sz w:val="22"/>
          <w:szCs w:val="22"/>
        </w:rPr>
        <w:t>que</w:t>
      </w:r>
      <w:proofErr w:type="gramEnd"/>
      <w:r w:rsidRPr="009A1C1B">
        <w:rPr>
          <w:rFonts w:ascii="Palatino Linotype" w:eastAsia="Palatino Linotype" w:hAnsi="Palatino Linotype" w:cs="Palatino Linotype"/>
          <w:b/>
          <w:i/>
          <w:sz w:val="22"/>
          <w:szCs w:val="22"/>
        </w:rPr>
        <w:t xml:space="preserve"> en ejercicio de las atribuciones conferidas, se encuentre en posesión de los Sujetos Obligados.” </w:t>
      </w:r>
      <w:r w:rsidRPr="009A1C1B">
        <w:rPr>
          <w:rFonts w:ascii="Palatino Linotype" w:eastAsia="Palatino Linotype" w:hAnsi="Palatino Linotype" w:cs="Palatino Linotype"/>
          <w:i/>
          <w:sz w:val="22"/>
          <w:szCs w:val="22"/>
        </w:rPr>
        <w:t>(Énfasis añadido)</w:t>
      </w:r>
    </w:p>
    <w:p w14:paraId="4E35ADA5" w14:textId="77777777" w:rsidR="004E6904" w:rsidRPr="009A1C1B" w:rsidRDefault="00063E7D">
      <w:pPr>
        <w:pBdr>
          <w:top w:val="nil"/>
          <w:left w:val="nil"/>
          <w:bottom w:val="nil"/>
          <w:right w:val="nil"/>
          <w:between w:val="nil"/>
        </w:pBdr>
        <w:spacing w:before="240" w:after="240" w:line="360" w:lineRule="auto"/>
        <w:jc w:val="both"/>
        <w:rPr>
          <w:sz w:val="22"/>
          <w:szCs w:val="22"/>
        </w:rPr>
      </w:pPr>
      <w:r w:rsidRPr="009A1C1B">
        <w:rPr>
          <w:rFonts w:ascii="Palatino Linotype" w:eastAsia="Palatino Linotype" w:hAnsi="Palatino Linotype" w:cs="Palatino Linotype"/>
          <w:sz w:val="22"/>
          <w:szCs w:val="22"/>
        </w:rPr>
        <w:t xml:space="preserve">De ahí que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w:t>
      </w:r>
      <w:r w:rsidRPr="009A1C1B">
        <w:rPr>
          <w:rFonts w:ascii="Palatino Linotype" w:eastAsia="Palatino Linotype" w:hAnsi="Palatino Linotype" w:cs="Palatino Linotype"/>
          <w:sz w:val="22"/>
          <w:szCs w:val="22"/>
        </w:rPr>
        <w:lastRenderedPageBreak/>
        <w:t>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C53752C" w14:textId="77777777" w:rsidR="004E6904" w:rsidRPr="009A1C1B" w:rsidRDefault="00063E7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le proporcionara la siguiente información:</w:t>
      </w:r>
    </w:p>
    <w:p w14:paraId="28C30ED9" w14:textId="77777777" w:rsidR="004E6904" w:rsidRPr="009A1C1B" w:rsidRDefault="00063E7D">
      <w:pPr>
        <w:numPr>
          <w:ilvl w:val="0"/>
          <w:numId w:val="1"/>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sz w:val="22"/>
          <w:szCs w:val="22"/>
        </w:rPr>
        <w:t>Monto mensual de gasto por concepto de compra de consumibles durante la administración 2022-2024.</w:t>
      </w:r>
    </w:p>
    <w:p w14:paraId="5E1D6A08" w14:textId="77777777" w:rsidR="004E6904" w:rsidRPr="009A1C1B" w:rsidRDefault="00063E7D">
      <w:pPr>
        <w:numPr>
          <w:ilvl w:val="0"/>
          <w:numId w:val="1"/>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proofErr w:type="spellStart"/>
      <w:r w:rsidRPr="009A1C1B">
        <w:rPr>
          <w:rFonts w:ascii="Palatino Linotype" w:eastAsia="Palatino Linotype" w:hAnsi="Palatino Linotype" w:cs="Palatino Linotype"/>
          <w:b/>
          <w:sz w:val="22"/>
          <w:szCs w:val="22"/>
        </w:rPr>
        <w:t>Cual</w:t>
      </w:r>
      <w:proofErr w:type="spellEnd"/>
      <w:r w:rsidRPr="009A1C1B">
        <w:rPr>
          <w:rFonts w:ascii="Palatino Linotype" w:eastAsia="Palatino Linotype" w:hAnsi="Palatino Linotype" w:cs="Palatino Linotype"/>
          <w:b/>
          <w:sz w:val="22"/>
          <w:szCs w:val="22"/>
        </w:rPr>
        <w:t xml:space="preserve"> ha sido el proveedor o proveedores</w:t>
      </w:r>
    </w:p>
    <w:p w14:paraId="29798E86" w14:textId="77777777" w:rsidR="004E6904" w:rsidRPr="009A1C1B" w:rsidRDefault="00063E7D">
      <w:pPr>
        <w:numPr>
          <w:ilvl w:val="0"/>
          <w:numId w:val="1"/>
        </w:numPr>
        <w:pBdr>
          <w:top w:val="nil"/>
          <w:left w:val="nil"/>
          <w:bottom w:val="nil"/>
          <w:right w:val="nil"/>
          <w:between w:val="nil"/>
        </w:pBdr>
        <w:spacing w:after="240" w:line="360" w:lineRule="auto"/>
        <w:ind w:left="567" w:right="900" w:hanging="283"/>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sz w:val="22"/>
          <w:szCs w:val="22"/>
        </w:rPr>
        <w:t>Pólizas de egresos por este concepto</w:t>
      </w:r>
    </w:p>
    <w:p w14:paraId="375D6773" w14:textId="77777777" w:rsidR="004E6904" w:rsidRPr="009A1C1B" w:rsidRDefault="00063E7D">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sz w:val="22"/>
          <w:szCs w:val="22"/>
        </w:rPr>
        <w:t xml:space="preserve">El </w:t>
      </w:r>
      <w:r w:rsidRPr="009A1C1B">
        <w:rPr>
          <w:rFonts w:ascii="Palatino Linotype" w:eastAsia="Palatino Linotype" w:hAnsi="Palatino Linotype" w:cs="Palatino Linotype"/>
          <w:b/>
          <w:sz w:val="22"/>
          <w:szCs w:val="22"/>
        </w:rPr>
        <w:t xml:space="preserve">Sujeto Obligado </w:t>
      </w:r>
      <w:r w:rsidRPr="009A1C1B">
        <w:rPr>
          <w:rFonts w:ascii="Palatino Linotype" w:eastAsia="Palatino Linotype" w:hAnsi="Palatino Linotype" w:cs="Palatino Linotype"/>
          <w:sz w:val="22"/>
          <w:szCs w:val="22"/>
        </w:rPr>
        <w:t>se pronunció en respuesta por conducto de la Tesorera Municipal, mediante el cual detalla los pasos a seguir para consultar la información solicitada, asimismo adjunta el Acta de la Octagésima Tercera Sesión Ordinaria del Comité de Transparencia del Ayuntamiento de Temamatla por la que se aprueba el cambio de modalidad de entrega de la información de diversas solicitudes, dentro de estas, se encuentra la solicitud que nos ocupa.</w:t>
      </w:r>
    </w:p>
    <w:p w14:paraId="1556662B"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Una vez conocida la respuesta, </w:t>
      </w:r>
      <w:r w:rsidRPr="009A1C1B">
        <w:rPr>
          <w:rFonts w:ascii="Palatino Linotype" w:eastAsia="Palatino Linotype" w:hAnsi="Palatino Linotype" w:cs="Palatino Linotype"/>
          <w:b/>
          <w:sz w:val="22"/>
          <w:szCs w:val="22"/>
        </w:rPr>
        <w:t>la parte Recurrente</w:t>
      </w:r>
      <w:r w:rsidRPr="009A1C1B">
        <w:rPr>
          <w:rFonts w:ascii="Palatino Linotype" w:eastAsia="Palatino Linotype" w:hAnsi="Palatino Linotype" w:cs="Palatino Linotype"/>
          <w:sz w:val="22"/>
          <w:szCs w:val="22"/>
        </w:rPr>
        <w:t xml:space="preserve"> interpuso el recurso de revisión que nos ocupa, inconformándose medularmente porque a su consideración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 xml:space="preserve">refiere en su respuesta una liga para la consulta de la información, sin </w:t>
      </w:r>
      <w:proofErr w:type="gramStart"/>
      <w:r w:rsidRPr="009A1C1B">
        <w:rPr>
          <w:rFonts w:ascii="Palatino Linotype" w:eastAsia="Palatino Linotype" w:hAnsi="Palatino Linotype" w:cs="Palatino Linotype"/>
          <w:b/>
          <w:sz w:val="22"/>
          <w:szCs w:val="22"/>
        </w:rPr>
        <w:t>embargo</w:t>
      </w:r>
      <w:proofErr w:type="gramEnd"/>
      <w:r w:rsidRPr="009A1C1B">
        <w:rPr>
          <w:rFonts w:ascii="Palatino Linotype" w:eastAsia="Palatino Linotype" w:hAnsi="Palatino Linotype" w:cs="Palatino Linotype"/>
          <w:b/>
          <w:sz w:val="22"/>
          <w:szCs w:val="22"/>
        </w:rPr>
        <w:t xml:space="preserve"> en su plataforma no se encuentra la información de manera específica, así como que tampoco le proporcionaron las pólizas</w:t>
      </w:r>
      <w:r w:rsidRPr="009A1C1B">
        <w:rPr>
          <w:rFonts w:ascii="Palatino Linotype" w:eastAsia="Palatino Linotype" w:hAnsi="Palatino Linotype" w:cs="Palatino Linotype"/>
          <w:sz w:val="22"/>
          <w:szCs w:val="22"/>
        </w:rPr>
        <w:t>, ni tampoco se encuentran las pólizas solicitadas.</w:t>
      </w:r>
    </w:p>
    <w:p w14:paraId="2E9A4CB9"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lastRenderedPageBreak/>
        <w:t>Así las cosas, durante la etapa de manifestaciones, se tiene que las partes fueron omisas en pronunciarse en esta etapa procesal, por lo que se tiene por precluido su derecho para tal efecto y se procede a la emisión de la presente resolución.</w:t>
      </w:r>
    </w:p>
    <w:p w14:paraId="707E2B86"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Una vez establecida la Litis del presente asunto, resulta importante delimitar que inicialmente la solicitud fue atendida por la persona titular de la Tesorería Municipal, la cual de conformidad con el artículo 57 del Bando Municipal cuenta con la atribución de encargarse de la recaudación de los ingresos municipales y es responsable de realizar las erogaciones que haga el Ayuntamiento.</w:t>
      </w:r>
    </w:p>
    <w:p w14:paraId="3358971C"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Asimismo, la Ley Orgánica Municipal, señala que cuenta con las siguientes atribuciones:</w:t>
      </w:r>
    </w:p>
    <w:p w14:paraId="68A9E882" w14:textId="77777777" w:rsidR="004E6904" w:rsidRPr="009A1C1B" w:rsidRDefault="00063E7D">
      <w:pPr>
        <w:spacing w:before="240" w:after="240" w:line="276" w:lineRule="auto"/>
        <w:ind w:left="567" w:right="900"/>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i/>
          <w:sz w:val="22"/>
          <w:szCs w:val="22"/>
        </w:rPr>
        <w:t xml:space="preserve">“Artículo 93.- </w:t>
      </w:r>
      <w:r w:rsidRPr="009A1C1B">
        <w:rPr>
          <w:rFonts w:ascii="Palatino Linotype" w:eastAsia="Palatino Linotype" w:hAnsi="Palatino Linotype" w:cs="Palatino Linotype"/>
          <w:b/>
          <w:i/>
          <w:sz w:val="22"/>
          <w:szCs w:val="22"/>
        </w:rPr>
        <w:t>La tesorería municipal es el órgano encargado de</w:t>
      </w:r>
      <w:r w:rsidRPr="009A1C1B">
        <w:rPr>
          <w:rFonts w:ascii="Palatino Linotype" w:eastAsia="Palatino Linotype" w:hAnsi="Palatino Linotype" w:cs="Palatino Linotype"/>
          <w:i/>
          <w:sz w:val="22"/>
          <w:szCs w:val="22"/>
        </w:rPr>
        <w:t xml:space="preserve"> la recaudación de los ingresos municipales y responsable de </w:t>
      </w:r>
      <w:r w:rsidRPr="009A1C1B">
        <w:rPr>
          <w:rFonts w:ascii="Palatino Linotype" w:eastAsia="Palatino Linotype" w:hAnsi="Palatino Linotype" w:cs="Palatino Linotype"/>
          <w:b/>
          <w:i/>
          <w:sz w:val="22"/>
          <w:szCs w:val="22"/>
        </w:rPr>
        <w:t>realizar las erogaciones que haga el ayuntamiento.</w:t>
      </w:r>
    </w:p>
    <w:p w14:paraId="5949AD2D" w14:textId="77777777" w:rsidR="004E6904" w:rsidRPr="009A1C1B" w:rsidRDefault="00063E7D">
      <w:pPr>
        <w:spacing w:before="240" w:after="240" w:line="276" w:lineRule="auto"/>
        <w:ind w:left="567" w:right="90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w:t>
      </w:r>
    </w:p>
    <w:p w14:paraId="7A856B0A" w14:textId="77777777" w:rsidR="004E6904" w:rsidRPr="009A1C1B" w:rsidRDefault="00063E7D">
      <w:pPr>
        <w:spacing w:before="240" w:after="240" w:line="276" w:lineRule="auto"/>
        <w:ind w:left="567" w:right="90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Artículo 95.- Son atribuciones del tesorero municipal:</w:t>
      </w:r>
    </w:p>
    <w:p w14:paraId="6B685AB6" w14:textId="77777777" w:rsidR="004E6904" w:rsidRPr="009A1C1B" w:rsidRDefault="00063E7D">
      <w:pPr>
        <w:spacing w:before="240" w:after="240" w:line="276" w:lineRule="auto"/>
        <w:ind w:left="567" w:right="900"/>
        <w:jc w:val="both"/>
        <w:rPr>
          <w:rFonts w:ascii="Palatino Linotype" w:eastAsia="Palatino Linotype" w:hAnsi="Palatino Linotype" w:cs="Palatino Linotype"/>
          <w:i/>
          <w:sz w:val="22"/>
          <w:szCs w:val="22"/>
        </w:rPr>
      </w:pPr>
      <w:r w:rsidRPr="009A1C1B">
        <w:rPr>
          <w:i/>
        </w:rPr>
        <w:t xml:space="preserve"> </w:t>
      </w:r>
      <w:r w:rsidRPr="009A1C1B">
        <w:rPr>
          <w:rFonts w:ascii="Palatino Linotype" w:eastAsia="Palatino Linotype" w:hAnsi="Palatino Linotype" w:cs="Palatino Linotype"/>
          <w:b/>
          <w:i/>
          <w:sz w:val="22"/>
          <w:szCs w:val="22"/>
        </w:rPr>
        <w:t>I. Administrar la hacienda pública municipal, de conformidad con las disposiciones legales aplicables</w:t>
      </w:r>
      <w:r w:rsidRPr="009A1C1B">
        <w:rPr>
          <w:rFonts w:ascii="Palatino Linotype" w:eastAsia="Palatino Linotype" w:hAnsi="Palatino Linotype" w:cs="Palatino Linotype"/>
          <w:i/>
          <w:sz w:val="22"/>
          <w:szCs w:val="22"/>
        </w:rPr>
        <w:t>;</w:t>
      </w:r>
    </w:p>
    <w:p w14:paraId="1D6CF088" w14:textId="77777777" w:rsidR="004E6904" w:rsidRPr="009A1C1B" w:rsidRDefault="00063E7D">
      <w:pPr>
        <w:spacing w:before="240" w:after="240" w:line="276" w:lineRule="auto"/>
        <w:ind w:left="567" w:right="90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w:t>
      </w:r>
    </w:p>
    <w:p w14:paraId="775440FC" w14:textId="77777777" w:rsidR="004E6904" w:rsidRPr="009A1C1B" w:rsidRDefault="00063E7D">
      <w:pPr>
        <w:spacing w:before="240" w:after="240" w:line="276" w:lineRule="auto"/>
        <w:ind w:left="567" w:right="90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IV. Llevar los registros contables, financieros y administrativos de los ingresos, egresos, e inventarios</w:t>
      </w:r>
      <w:r w:rsidRPr="009A1C1B">
        <w:rPr>
          <w:rFonts w:ascii="Palatino Linotype" w:eastAsia="Palatino Linotype" w:hAnsi="Palatino Linotype" w:cs="Palatino Linotype"/>
          <w:i/>
          <w:sz w:val="22"/>
          <w:szCs w:val="22"/>
        </w:rPr>
        <w:t>;” (Énfasis añadido)</w:t>
      </w:r>
    </w:p>
    <w:p w14:paraId="764DEA7F"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Aunado a lo anterior, resulta importante mencionar que si bien es cierto, se pronunció el área competente de llevar los registros contables del Ayuntamiento, no menos cierto es que no se realizó un turno correcto de la solicitud de información pues, se insiste que compete a los sujetos obligados seguir el procedimiento para la atención a las solicitudes de acceso a la información, establecido en los artículos 151, 160, 162, 163, 164, 165 y 166, de la Ley de </w:t>
      </w:r>
      <w:r w:rsidRPr="009A1C1B">
        <w:rPr>
          <w:rFonts w:ascii="Palatino Linotype" w:eastAsia="Palatino Linotype" w:hAnsi="Palatino Linotype" w:cs="Palatino Linotype"/>
          <w:sz w:val="22"/>
          <w:szCs w:val="22"/>
        </w:rPr>
        <w:lastRenderedPageBreak/>
        <w:t>Transparencia y Acceso a la Información Pública del Estado de México y Municipios, el cual es el siguiente: </w:t>
      </w:r>
    </w:p>
    <w:p w14:paraId="2629FA28"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336E994A" w14:textId="77777777" w:rsidR="004E6904" w:rsidRPr="009A1C1B" w:rsidRDefault="00063E7D">
      <w:pPr>
        <w:spacing w:after="240" w:line="360" w:lineRule="auto"/>
        <w:jc w:val="both"/>
        <w:rPr>
          <w:sz w:val="22"/>
          <w:szCs w:val="22"/>
        </w:rPr>
      </w:pPr>
      <w:r w:rsidRPr="009A1C1B">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4FB6DAC" w14:textId="77777777" w:rsidR="004E6904" w:rsidRPr="009A1C1B" w:rsidRDefault="00063E7D">
      <w:pPr>
        <w:spacing w:after="240" w:line="360" w:lineRule="auto"/>
        <w:jc w:val="both"/>
        <w:rPr>
          <w:sz w:val="22"/>
          <w:szCs w:val="22"/>
        </w:rPr>
      </w:pPr>
      <w:r w:rsidRPr="009A1C1B">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2CAB2565" w14:textId="77777777" w:rsidR="004E6904" w:rsidRPr="009A1C1B" w:rsidRDefault="00063E7D">
      <w:pPr>
        <w:spacing w:after="240" w:line="360" w:lineRule="auto"/>
        <w:jc w:val="both"/>
        <w:rPr>
          <w:sz w:val="22"/>
          <w:szCs w:val="22"/>
        </w:rPr>
      </w:pPr>
      <w:r w:rsidRPr="009A1C1B">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3CC6593A" w14:textId="77777777" w:rsidR="004E6904" w:rsidRPr="009A1C1B" w:rsidRDefault="00063E7D">
      <w:pPr>
        <w:spacing w:after="240" w:line="360" w:lineRule="auto"/>
        <w:jc w:val="both"/>
        <w:rPr>
          <w:sz w:val="22"/>
          <w:szCs w:val="22"/>
        </w:rPr>
      </w:pPr>
      <w:r w:rsidRPr="009A1C1B">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059CF21" w14:textId="77777777" w:rsidR="004E6904" w:rsidRPr="009A1C1B" w:rsidRDefault="00063E7D">
      <w:pPr>
        <w:spacing w:after="240" w:line="360" w:lineRule="auto"/>
        <w:jc w:val="both"/>
        <w:rPr>
          <w:sz w:val="22"/>
          <w:szCs w:val="22"/>
        </w:rPr>
      </w:pPr>
      <w:r w:rsidRPr="009A1C1B">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306BDC49" w14:textId="77777777" w:rsidR="004E6904" w:rsidRPr="009A1C1B" w:rsidRDefault="00063E7D">
      <w:pPr>
        <w:spacing w:after="240" w:line="360" w:lineRule="auto"/>
        <w:jc w:val="both"/>
        <w:rPr>
          <w:sz w:val="22"/>
          <w:szCs w:val="22"/>
        </w:rPr>
      </w:pPr>
      <w:r w:rsidRPr="009A1C1B">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w:t>
      </w:r>
      <w:r w:rsidRPr="009A1C1B">
        <w:rPr>
          <w:rFonts w:ascii="Palatino Linotype" w:eastAsia="Palatino Linotype" w:hAnsi="Palatino Linotype" w:cs="Palatino Linotype"/>
          <w:sz w:val="22"/>
          <w:szCs w:val="22"/>
        </w:rPr>
        <w:lastRenderedPageBreak/>
        <w:t>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34EEB84F" w14:textId="77777777" w:rsidR="004E6904" w:rsidRPr="009A1C1B" w:rsidRDefault="00063E7D">
      <w:pPr>
        <w:spacing w:after="240" w:line="360" w:lineRule="auto"/>
        <w:ind w:right="49"/>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Por lo insertado con anterioridad, se determina que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452175BB"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2FAE6844"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50E2D0AB"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Establecido lo anterior, resulta necesario señalar que si bien el requerimiento de información puede ser atendido por la Tesorería Municipal no menos cierto es que también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deberá turnar el requerimiento de información a la persona titular de la Dirección de Administración para efecto de proporcionar lo relativo al nombre de los proveedores, ello en virtud de que es su facultad el contar con la facultad de planear, organizar, dirigir y controlar la adquisición de bienes, así como la presentación de los servicios requeridos por las áreas administrativas para el cumplimiento de sus funciones y programas institucionales, ello conforme al Manual de Organización de la Dirección de Administración del Ayuntamiento de Temamatla.</w:t>
      </w:r>
    </w:p>
    <w:p w14:paraId="286C1367" w14:textId="77777777" w:rsidR="004E6904" w:rsidRPr="009A1C1B" w:rsidRDefault="00063E7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Acotado lo anterior, se debe recordar que la persona solicitante requirió la información descrita en la solicitud de acceso a la información pública de toda la administración pública municipal 2022-2024, sin embargo, la solicitud se tuvo por presentada el </w:t>
      </w:r>
      <w:r w:rsidRPr="009A1C1B">
        <w:rPr>
          <w:rFonts w:ascii="Palatino Linotype" w:eastAsia="Palatino Linotype" w:hAnsi="Palatino Linotype" w:cs="Palatino Linotype"/>
          <w:b/>
          <w:sz w:val="22"/>
          <w:szCs w:val="22"/>
        </w:rPr>
        <w:t xml:space="preserve">veinticinco de </w:t>
      </w:r>
      <w:r w:rsidRPr="009A1C1B">
        <w:rPr>
          <w:rFonts w:ascii="Palatino Linotype" w:eastAsia="Palatino Linotype" w:hAnsi="Palatino Linotype" w:cs="Palatino Linotype"/>
          <w:b/>
          <w:sz w:val="22"/>
          <w:szCs w:val="22"/>
        </w:rPr>
        <w:lastRenderedPageBreak/>
        <w:t>septiembre de dos mil veinticuatro</w:t>
      </w:r>
      <w:r w:rsidRPr="009A1C1B">
        <w:rPr>
          <w:rFonts w:ascii="Palatino Linotype" w:eastAsia="Palatino Linotype" w:hAnsi="Palatino Linotype" w:cs="Palatino Linotype"/>
          <w:sz w:val="22"/>
          <w:szCs w:val="22"/>
        </w:rPr>
        <w:t>, por lo que es ineludible señalar que la información sobre hechos que aún no se han generado debido a la temporalidad, son hechos futuros e inciertos, los cuales no se pueden determinar ya que están supeditados a la conclusión de los mismos; por consiguiente no es procedente que los Sujetos Obligados proporcionen dicha información.</w:t>
      </w:r>
    </w:p>
    <w:p w14:paraId="553123BE" w14:textId="77777777" w:rsidR="004E6904" w:rsidRPr="009A1C1B" w:rsidRDefault="00063E7D">
      <w:pPr>
        <w:pBdr>
          <w:top w:val="nil"/>
          <w:left w:val="nil"/>
          <w:bottom w:val="nil"/>
          <w:right w:val="nil"/>
          <w:between w:val="nil"/>
        </w:pBdr>
        <w:spacing w:before="240" w:after="240" w:line="360" w:lineRule="auto"/>
        <w:ind w:right="-93"/>
        <w:jc w:val="both"/>
        <w:rPr>
          <w:sz w:val="22"/>
          <w:szCs w:val="22"/>
        </w:rPr>
      </w:pPr>
      <w:r w:rsidRPr="009A1C1B">
        <w:rPr>
          <w:rFonts w:ascii="Palatino Linotype" w:eastAsia="Palatino Linotype" w:hAnsi="Palatino Linotype" w:cs="Palatino Linotype"/>
          <w:sz w:val="22"/>
          <w:szCs w:val="22"/>
        </w:rPr>
        <w:t xml:space="preserve">Lo anterior se robustece con la Tesis Aislada con número de registro 209001, de la Suprema Corte de Justicia de la Nación, emitida por los Tribunales Colegiados de </w:t>
      </w:r>
      <w:proofErr w:type="gramStart"/>
      <w:r w:rsidRPr="009A1C1B">
        <w:rPr>
          <w:rFonts w:ascii="Palatino Linotype" w:eastAsia="Palatino Linotype" w:hAnsi="Palatino Linotype" w:cs="Palatino Linotype"/>
          <w:sz w:val="22"/>
          <w:szCs w:val="22"/>
        </w:rPr>
        <w:t>Circuito,  que</w:t>
      </w:r>
      <w:proofErr w:type="gramEnd"/>
      <w:r w:rsidRPr="009A1C1B">
        <w:rPr>
          <w:rFonts w:ascii="Palatino Linotype" w:eastAsia="Palatino Linotype" w:hAnsi="Palatino Linotype" w:cs="Palatino Linotype"/>
          <w:sz w:val="22"/>
          <w:szCs w:val="22"/>
        </w:rPr>
        <w:t xml:space="preserve"> a la letra señala:</w:t>
      </w:r>
    </w:p>
    <w:p w14:paraId="59351B3F" w14:textId="77777777" w:rsidR="004E6904" w:rsidRPr="009A1C1B" w:rsidRDefault="00063E7D">
      <w:pPr>
        <w:pBdr>
          <w:top w:val="nil"/>
          <w:left w:val="nil"/>
          <w:bottom w:val="nil"/>
          <w:right w:val="nil"/>
          <w:between w:val="nil"/>
        </w:pBdr>
        <w:ind w:left="851" w:right="900"/>
        <w:jc w:val="both"/>
      </w:pPr>
      <w:r w:rsidRPr="009A1C1B">
        <w:rPr>
          <w:rFonts w:ascii="Palatino Linotype" w:eastAsia="Palatino Linotype" w:hAnsi="Palatino Linotype" w:cs="Palatino Linotype"/>
          <w:b/>
          <w:i/>
          <w:sz w:val="22"/>
          <w:szCs w:val="22"/>
        </w:rPr>
        <w:t xml:space="preserve">“ACTOS FUTUROS DE REALIZACION INCIERTA. NO PROCEDE EL JUICIO DE AMPARO CONTRA LOS. </w:t>
      </w:r>
      <w:r w:rsidRPr="009A1C1B">
        <w:rPr>
          <w:rFonts w:ascii="Palatino Linotype" w:eastAsia="Palatino Linotype" w:hAnsi="Palatino Linotype" w:cs="Palatino Linotype"/>
          <w:i/>
          <w:sz w:val="22"/>
          <w:szCs w:val="22"/>
        </w:rPr>
        <w:t>Contra actos futuros de realización incierta no procede el juicio de garantías.”</w:t>
      </w:r>
    </w:p>
    <w:p w14:paraId="656316F4" w14:textId="77777777" w:rsidR="004E6904" w:rsidRPr="009A1C1B" w:rsidRDefault="00063E7D">
      <w:pPr>
        <w:spacing w:before="240" w:after="240" w:line="360" w:lineRule="auto"/>
        <w:jc w:val="both"/>
        <w:rPr>
          <w:rFonts w:ascii="Palatino Linotype" w:eastAsia="Palatino Linotype" w:hAnsi="Palatino Linotype" w:cs="Palatino Linotype"/>
          <w:sz w:val="20"/>
          <w:szCs w:val="20"/>
        </w:rPr>
      </w:pPr>
      <w:r w:rsidRPr="009A1C1B">
        <w:rPr>
          <w:rFonts w:ascii="Palatino Linotype" w:eastAsia="Palatino Linotype" w:hAnsi="Palatino Linotype" w:cs="Palatino Linotype"/>
          <w:sz w:val="22"/>
          <w:szCs w:val="22"/>
        </w:rPr>
        <w:t xml:space="preserve">En ese sentido, no es procedente la exigencia de </w:t>
      </w:r>
      <w:r w:rsidRPr="009A1C1B">
        <w:rPr>
          <w:rFonts w:ascii="Palatino Linotype" w:eastAsia="Palatino Linotype" w:hAnsi="Palatino Linotype" w:cs="Palatino Linotype"/>
          <w:b/>
          <w:sz w:val="22"/>
          <w:szCs w:val="22"/>
        </w:rPr>
        <w:t>la parte</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Recurrente</w:t>
      </w:r>
      <w:r w:rsidRPr="009A1C1B">
        <w:rPr>
          <w:rFonts w:ascii="Palatino Linotype" w:eastAsia="Palatino Linotype" w:hAnsi="Palatino Linotype" w:cs="Palatino Linotype"/>
          <w:sz w:val="22"/>
          <w:szCs w:val="22"/>
        </w:rPr>
        <w:t xml:space="preserve"> de que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atienda su solicitud en los términos solicitados, es decir, al día treinta y uno de diciembre de dos mil veinticuatro, pues dicha autoridad únicamente está constreñida a proporcionar la información pública que genere en uso de sus atribuciones de derecho público con anterioridad a la fecha de la solicitud de información, esto es al </w:t>
      </w:r>
      <w:r w:rsidRPr="009A1C1B">
        <w:rPr>
          <w:rFonts w:ascii="Palatino Linotype" w:eastAsia="Palatino Linotype" w:hAnsi="Palatino Linotype" w:cs="Palatino Linotype"/>
          <w:b/>
          <w:sz w:val="22"/>
          <w:szCs w:val="22"/>
        </w:rPr>
        <w:t>veinticinco de septiembre de dos mil veinticuatro</w:t>
      </w:r>
      <w:r w:rsidRPr="009A1C1B">
        <w:rPr>
          <w:rFonts w:ascii="Palatino Linotype" w:eastAsia="Palatino Linotype" w:hAnsi="Palatino Linotype" w:cs="Palatino Linotype"/>
          <w:sz w:val="22"/>
          <w:szCs w:val="22"/>
        </w:rPr>
        <w:t>.</w:t>
      </w:r>
    </w:p>
    <w:p w14:paraId="25746B07"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Acotado lo anterior,</w:t>
      </w:r>
      <w:r w:rsidRPr="009A1C1B">
        <w:t xml:space="preserve"> </w:t>
      </w:r>
      <w:r w:rsidRPr="009A1C1B">
        <w:rPr>
          <w:rFonts w:ascii="Palatino Linotype" w:eastAsia="Palatino Linotype" w:hAnsi="Palatino Linotype" w:cs="Palatino Linotype"/>
          <w:sz w:val="22"/>
          <w:szCs w:val="22"/>
        </w:rPr>
        <w:t xml:space="preserve">se procede a analizar la respuesta proporcionada por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para ello debemos recordar que en su oficio de respuesta MT/TESORERIAMPAL/OI/411/2024, suscrito por la Tesorera Municipal, detalla los pasos a seguir para consultar la información solicitada, los cuales fueron constatados por este Organismo Garante, obteniendo así lo siguiente:</w:t>
      </w:r>
    </w:p>
    <w:p w14:paraId="7E3AC3F4" w14:textId="77777777" w:rsidR="004E6904" w:rsidRPr="009A1C1B" w:rsidRDefault="004E69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7C74BB"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sz w:val="22"/>
          <w:szCs w:val="22"/>
        </w:rPr>
        <w:t>1.- Buscar en el navegador la página de “Gobierno Municipal de Temamatla Digital”</w:t>
      </w:r>
    </w:p>
    <w:p w14:paraId="549704F8"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noProof/>
          <w:sz w:val="22"/>
          <w:szCs w:val="22"/>
          <w:lang w:val="es-MX"/>
        </w:rPr>
        <w:lastRenderedPageBreak/>
        <w:drawing>
          <wp:inline distT="0" distB="0" distL="0" distR="0" wp14:anchorId="0BB8542F" wp14:editId="39824BFE">
            <wp:extent cx="5308310" cy="2108188"/>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308310" cy="2108188"/>
                    </a:xfrm>
                    <a:prstGeom prst="rect">
                      <a:avLst/>
                    </a:prstGeom>
                    <a:ln/>
                  </pic:spPr>
                </pic:pic>
              </a:graphicData>
            </a:graphic>
          </wp:inline>
        </w:drawing>
      </w:r>
    </w:p>
    <w:p w14:paraId="40A69288"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sz w:val="22"/>
          <w:szCs w:val="22"/>
        </w:rPr>
        <w:t>2.- Ingresar a la página, seleccionar la pestaña de “Transparencia” y seleccionar la opción de CONAC e ingresar al apartado de Ayuntamiento</w:t>
      </w:r>
    </w:p>
    <w:p w14:paraId="51504F96"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noProof/>
          <w:sz w:val="22"/>
          <w:szCs w:val="22"/>
          <w:lang w:val="es-MX"/>
        </w:rPr>
        <w:drawing>
          <wp:inline distT="0" distB="0" distL="0" distR="0" wp14:anchorId="56AA1C99" wp14:editId="571804CE">
            <wp:extent cx="5667661" cy="2263729"/>
            <wp:effectExtent l="0" t="0" r="0" b="0"/>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667661" cy="2263729"/>
                    </a:xfrm>
                    <a:prstGeom prst="rect">
                      <a:avLst/>
                    </a:prstGeom>
                    <a:ln/>
                  </pic:spPr>
                </pic:pic>
              </a:graphicData>
            </a:graphic>
          </wp:inline>
        </w:drawing>
      </w:r>
    </w:p>
    <w:p w14:paraId="110A01B7" w14:textId="77777777" w:rsidR="004E6904" w:rsidRPr="009A1C1B" w:rsidRDefault="00063E7D">
      <w:pPr>
        <w:numPr>
          <w:ilvl w:val="0"/>
          <w:numId w:val="5"/>
        </w:numPr>
        <w:pBdr>
          <w:top w:val="nil"/>
          <w:left w:val="nil"/>
          <w:bottom w:val="nil"/>
          <w:right w:val="nil"/>
          <w:between w:val="nil"/>
        </w:pBdr>
        <w:spacing w:line="360" w:lineRule="auto"/>
        <w:ind w:left="0" w:hanging="284"/>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b/>
          <w:sz w:val="22"/>
          <w:szCs w:val="22"/>
        </w:rPr>
        <w:t xml:space="preserve">Al ingresar al apartado de Ayuntamiento, podrá buscar la información que está solicitando de los años 2022, 2023 y 2024, siendo la liga de acceso directo: </w:t>
      </w:r>
      <w:hyperlink r:id="rId11">
        <w:r w:rsidRPr="009A1C1B">
          <w:rPr>
            <w:rFonts w:ascii="Palatino Linotype" w:eastAsia="Palatino Linotype" w:hAnsi="Palatino Linotype" w:cs="Palatino Linotype"/>
            <w:b/>
            <w:sz w:val="22"/>
            <w:szCs w:val="22"/>
            <w:u w:val="single"/>
          </w:rPr>
          <w:t>https://temamatla-digital.com/conac2024.php</w:t>
        </w:r>
      </w:hyperlink>
      <w:r w:rsidRPr="009A1C1B">
        <w:rPr>
          <w:rFonts w:ascii="Palatino Linotype" w:eastAsia="Palatino Linotype" w:hAnsi="Palatino Linotype" w:cs="Palatino Linotype"/>
          <w:b/>
          <w:sz w:val="22"/>
          <w:szCs w:val="22"/>
        </w:rPr>
        <w:t xml:space="preserve"> </w:t>
      </w:r>
    </w:p>
    <w:p w14:paraId="47F08340"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noProof/>
          <w:sz w:val="22"/>
          <w:szCs w:val="22"/>
          <w:lang w:val="es-MX"/>
        </w:rPr>
        <w:lastRenderedPageBreak/>
        <w:drawing>
          <wp:inline distT="0" distB="0" distL="0" distR="0" wp14:anchorId="4F7D29E7" wp14:editId="0FBD5F4F">
            <wp:extent cx="5739800" cy="3001739"/>
            <wp:effectExtent l="0" t="0" r="0" b="0"/>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739800" cy="3001739"/>
                    </a:xfrm>
                    <a:prstGeom prst="rect">
                      <a:avLst/>
                    </a:prstGeom>
                    <a:ln/>
                  </pic:spPr>
                </pic:pic>
              </a:graphicData>
            </a:graphic>
          </wp:inline>
        </w:drawing>
      </w:r>
    </w:p>
    <w:p w14:paraId="70E809CF" w14:textId="77777777" w:rsidR="004E6904" w:rsidRPr="009A1C1B" w:rsidRDefault="004E69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CD490E" w14:textId="77777777" w:rsidR="004E6904" w:rsidRPr="009A1C1B" w:rsidRDefault="00063E7D">
      <w:pPr>
        <w:pBdr>
          <w:top w:val="nil"/>
          <w:left w:val="nil"/>
          <w:bottom w:val="nil"/>
          <w:right w:val="nil"/>
          <w:between w:val="nil"/>
        </w:pBdr>
        <w:spacing w:line="360" w:lineRule="auto"/>
        <w:jc w:val="both"/>
        <w:rPr>
          <w:sz w:val="22"/>
          <w:szCs w:val="22"/>
        </w:rPr>
      </w:pPr>
      <w:r w:rsidRPr="009A1C1B">
        <w:rPr>
          <w:rFonts w:ascii="Palatino Linotype" w:eastAsia="Palatino Linotype" w:hAnsi="Palatino Linotype" w:cs="Palatino Linotype"/>
          <w:sz w:val="22"/>
          <w:szCs w:val="22"/>
        </w:rPr>
        <w:t xml:space="preserve">De la liga electrónica previamente insertada, se aprecia que a todas luces no se colmó la pretensión de </w:t>
      </w:r>
      <w:r w:rsidRPr="009A1C1B">
        <w:rPr>
          <w:rFonts w:ascii="Palatino Linotype" w:eastAsia="Palatino Linotype" w:hAnsi="Palatino Linotype" w:cs="Palatino Linotype"/>
          <w:b/>
          <w:sz w:val="22"/>
          <w:szCs w:val="22"/>
        </w:rPr>
        <w:t xml:space="preserve">la parte Recurrente </w:t>
      </w:r>
      <w:r w:rsidRPr="009A1C1B">
        <w:rPr>
          <w:rFonts w:ascii="Palatino Linotype" w:eastAsia="Palatino Linotype" w:hAnsi="Palatino Linotype" w:cs="Palatino Linotype"/>
          <w:sz w:val="22"/>
          <w:szCs w:val="22"/>
        </w:rPr>
        <w:t xml:space="preserve">en razón de que la misma no conduce a la información requerida en concreto pues implicaría que el particular realice una búsqueda dentro de todo el cúmulo de información que se encuentra publicada en el portal del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w:t>
      </w:r>
    </w:p>
    <w:p w14:paraId="2E78657E" w14:textId="77777777" w:rsidR="004E6904" w:rsidRPr="009A1C1B" w:rsidRDefault="004E6904">
      <w:pPr>
        <w:spacing w:line="360" w:lineRule="auto"/>
        <w:rPr>
          <w:sz w:val="22"/>
          <w:szCs w:val="22"/>
        </w:rPr>
      </w:pPr>
    </w:p>
    <w:p w14:paraId="5BDA7095" w14:textId="77777777" w:rsidR="004E6904" w:rsidRPr="009A1C1B" w:rsidRDefault="00063E7D">
      <w:pPr>
        <w:pBdr>
          <w:top w:val="nil"/>
          <w:left w:val="nil"/>
          <w:bottom w:val="nil"/>
          <w:right w:val="nil"/>
          <w:between w:val="nil"/>
        </w:pBdr>
        <w:spacing w:line="360" w:lineRule="auto"/>
        <w:jc w:val="both"/>
        <w:rPr>
          <w:sz w:val="22"/>
          <w:szCs w:val="22"/>
        </w:rPr>
      </w:pPr>
      <w:r w:rsidRPr="009A1C1B">
        <w:rPr>
          <w:rFonts w:ascii="Palatino Linotype" w:eastAsia="Palatino Linotype" w:hAnsi="Palatino Linotype" w:cs="Palatino Linotype"/>
          <w:sz w:val="22"/>
          <w:szCs w:val="22"/>
        </w:rPr>
        <w:t>Lo anterior se afirma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661DEDDA" w14:textId="77777777" w:rsidR="004E6904" w:rsidRPr="009A1C1B" w:rsidRDefault="004E6904">
      <w:pPr>
        <w:spacing w:line="360" w:lineRule="auto"/>
        <w:rPr>
          <w:sz w:val="22"/>
          <w:szCs w:val="22"/>
        </w:rPr>
      </w:pPr>
    </w:p>
    <w:p w14:paraId="253AA95A" w14:textId="77777777" w:rsidR="004E6904" w:rsidRPr="009A1C1B" w:rsidRDefault="00063E7D">
      <w:pPr>
        <w:pBdr>
          <w:top w:val="nil"/>
          <w:left w:val="nil"/>
          <w:bottom w:val="nil"/>
          <w:right w:val="nil"/>
          <w:between w:val="nil"/>
        </w:pBdr>
        <w:ind w:left="567" w:right="1276"/>
        <w:jc w:val="both"/>
        <w:rPr>
          <w:sz w:val="22"/>
          <w:szCs w:val="22"/>
        </w:rPr>
      </w:pPr>
      <w:r w:rsidRPr="009A1C1B">
        <w:rPr>
          <w:rFonts w:ascii="Palatino Linotype" w:eastAsia="Palatino Linotype" w:hAnsi="Palatino Linotype" w:cs="Palatino Linotype"/>
          <w:b/>
          <w:i/>
          <w:sz w:val="22"/>
          <w:szCs w:val="22"/>
        </w:rPr>
        <w:t>“Artículo 11.</w:t>
      </w:r>
      <w:r w:rsidRPr="009A1C1B">
        <w:rPr>
          <w:rFonts w:ascii="Palatino Linotype" w:eastAsia="Palatino Linotype" w:hAnsi="Palatino Linotype" w:cs="Palatino Linotype"/>
          <w:i/>
          <w:sz w:val="22"/>
          <w:szCs w:val="22"/>
        </w:rPr>
        <w:t xml:space="preserve"> </w:t>
      </w:r>
      <w:r w:rsidRPr="009A1C1B">
        <w:rPr>
          <w:rFonts w:ascii="Palatino Linotype" w:eastAsia="Palatino Linotype" w:hAnsi="Palatino Linotype" w:cs="Palatino Linotype"/>
          <w:b/>
          <w:i/>
          <w:sz w:val="22"/>
          <w:szCs w:val="22"/>
          <w:u w:val="single"/>
        </w:rPr>
        <w:t>En la generación, publicación y entrega de información se deberá garantizar que ésta sea accesible, actualizada, completa, congruente, confiable, verificable, veraz, integral, oportuna y expedita</w:t>
      </w:r>
      <w:r w:rsidRPr="009A1C1B">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567F9D6A" w14:textId="77777777" w:rsidR="004E6904" w:rsidRPr="009A1C1B" w:rsidRDefault="00063E7D">
      <w:pPr>
        <w:pBdr>
          <w:top w:val="nil"/>
          <w:left w:val="nil"/>
          <w:bottom w:val="nil"/>
          <w:right w:val="nil"/>
          <w:between w:val="nil"/>
        </w:pBdr>
        <w:ind w:left="567" w:right="1276"/>
        <w:jc w:val="both"/>
        <w:rPr>
          <w:sz w:val="22"/>
          <w:szCs w:val="22"/>
        </w:rPr>
      </w:pPr>
      <w:r w:rsidRPr="009A1C1B">
        <w:rPr>
          <w:rFonts w:ascii="Palatino Linotype" w:eastAsia="Palatino Linotype" w:hAnsi="Palatino Linotype" w:cs="Palatino Linotype"/>
          <w:i/>
          <w:sz w:val="22"/>
          <w:szCs w:val="22"/>
        </w:rPr>
        <w:lastRenderedPageBreak/>
        <w:t>[…]</w:t>
      </w:r>
    </w:p>
    <w:p w14:paraId="78C6BC6D" w14:textId="77777777" w:rsidR="004E6904" w:rsidRPr="009A1C1B" w:rsidRDefault="004E6904">
      <w:pPr>
        <w:ind w:right="1276"/>
        <w:rPr>
          <w:sz w:val="22"/>
          <w:szCs w:val="22"/>
        </w:rPr>
      </w:pPr>
    </w:p>
    <w:p w14:paraId="7B37A864" w14:textId="77777777" w:rsidR="004E6904" w:rsidRPr="009A1C1B" w:rsidRDefault="00063E7D">
      <w:pPr>
        <w:pBdr>
          <w:top w:val="nil"/>
          <w:left w:val="nil"/>
          <w:bottom w:val="nil"/>
          <w:right w:val="nil"/>
          <w:between w:val="nil"/>
        </w:pBdr>
        <w:ind w:left="567" w:right="1276"/>
        <w:jc w:val="both"/>
        <w:rPr>
          <w:sz w:val="22"/>
          <w:szCs w:val="22"/>
        </w:rPr>
      </w:pPr>
      <w:r w:rsidRPr="009A1C1B">
        <w:rPr>
          <w:rFonts w:ascii="Palatino Linotype" w:eastAsia="Palatino Linotype" w:hAnsi="Palatino Linotype" w:cs="Palatino Linotype"/>
          <w:b/>
          <w:i/>
          <w:sz w:val="22"/>
          <w:szCs w:val="22"/>
        </w:rPr>
        <w:t>Artículo 161.</w:t>
      </w:r>
      <w:r w:rsidRPr="009A1C1B">
        <w:rPr>
          <w:rFonts w:ascii="Palatino Linotype" w:eastAsia="Palatino Linotype" w:hAnsi="Palatino Linotype" w:cs="Palatino Linotype"/>
          <w:i/>
          <w:sz w:val="22"/>
          <w:szCs w:val="22"/>
        </w:rPr>
        <w:t xml:space="preserve"> </w:t>
      </w:r>
      <w:r w:rsidRPr="009A1C1B">
        <w:rPr>
          <w:rFonts w:ascii="Palatino Linotype" w:eastAsia="Palatino Linotype" w:hAnsi="Palatino Linotype" w:cs="Palatino Linotype"/>
          <w:b/>
          <w:i/>
          <w:sz w:val="22"/>
          <w:szCs w:val="22"/>
          <w:u w:val="single"/>
        </w:rPr>
        <w:t>Cuando la información requerida por el solicitante ya esté disponible al público</w:t>
      </w:r>
      <w:r w:rsidRPr="009A1C1B">
        <w:rPr>
          <w:rFonts w:ascii="Palatino Linotype" w:eastAsia="Palatino Linotype" w:hAnsi="Palatino Linotype" w:cs="Palatino Linotype"/>
          <w:i/>
          <w:sz w:val="22"/>
          <w:szCs w:val="22"/>
        </w:rPr>
        <w:t xml:space="preserve"> en medios impresos, tales como libros, compendios, trípticos, registros públicos, </w:t>
      </w:r>
      <w:r w:rsidRPr="009A1C1B">
        <w:rPr>
          <w:rFonts w:ascii="Palatino Linotype" w:eastAsia="Palatino Linotype" w:hAnsi="Palatino Linotype" w:cs="Palatino Linotype"/>
          <w:b/>
          <w:i/>
          <w:sz w:val="22"/>
          <w:szCs w:val="22"/>
          <w:u w:val="single"/>
        </w:rPr>
        <w:t xml:space="preserve">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sidRPr="009A1C1B">
        <w:rPr>
          <w:rFonts w:ascii="Palatino Linotype" w:eastAsia="Palatino Linotype" w:hAnsi="Palatino Linotype" w:cs="Palatino Linotype"/>
          <w:i/>
          <w:sz w:val="22"/>
          <w:szCs w:val="22"/>
        </w:rPr>
        <w:t>(Énfasis añadido)</w:t>
      </w:r>
    </w:p>
    <w:p w14:paraId="2143FBD7" w14:textId="77777777" w:rsidR="004E6904" w:rsidRPr="009A1C1B" w:rsidRDefault="004E6904">
      <w:pPr>
        <w:rPr>
          <w:sz w:val="22"/>
          <w:szCs w:val="22"/>
        </w:rPr>
      </w:pPr>
    </w:p>
    <w:p w14:paraId="48213628" w14:textId="77777777" w:rsidR="004E6904" w:rsidRPr="009A1C1B" w:rsidRDefault="00063E7D">
      <w:pPr>
        <w:pBdr>
          <w:top w:val="nil"/>
          <w:left w:val="nil"/>
          <w:bottom w:val="nil"/>
          <w:right w:val="nil"/>
          <w:between w:val="nil"/>
        </w:pBdr>
        <w:spacing w:line="360" w:lineRule="auto"/>
        <w:jc w:val="both"/>
        <w:rPr>
          <w:sz w:val="22"/>
          <w:szCs w:val="22"/>
        </w:rPr>
      </w:pPr>
      <w:r w:rsidRPr="009A1C1B">
        <w:rPr>
          <w:rFonts w:ascii="Palatino Linotype" w:eastAsia="Palatino Linotype" w:hAnsi="Palatino Linotype" w:cs="Palatino Linotype"/>
          <w:sz w:val="22"/>
          <w:szCs w:val="22"/>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3D276836" w14:textId="77777777" w:rsidR="004E6904" w:rsidRPr="009A1C1B" w:rsidRDefault="004E6904">
      <w:pPr>
        <w:spacing w:line="360" w:lineRule="auto"/>
        <w:rPr>
          <w:sz w:val="22"/>
          <w:szCs w:val="22"/>
        </w:rPr>
      </w:pPr>
    </w:p>
    <w:p w14:paraId="2BD5A4A1" w14:textId="77777777" w:rsidR="004E6904" w:rsidRPr="009A1C1B" w:rsidRDefault="00063E7D">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La fuente</w:t>
      </w:r>
    </w:p>
    <w:p w14:paraId="3E197321" w14:textId="77777777" w:rsidR="004E6904" w:rsidRPr="009A1C1B" w:rsidRDefault="00063E7D">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El lugar y</w:t>
      </w:r>
    </w:p>
    <w:p w14:paraId="71628D21" w14:textId="77777777" w:rsidR="004E6904" w:rsidRPr="009A1C1B" w:rsidRDefault="00063E7D">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La forma </w:t>
      </w:r>
    </w:p>
    <w:p w14:paraId="6CCD2A84" w14:textId="77777777" w:rsidR="004E6904" w:rsidRPr="009A1C1B" w:rsidRDefault="004E6904">
      <w:pPr>
        <w:rPr>
          <w:sz w:val="22"/>
          <w:szCs w:val="22"/>
        </w:rPr>
      </w:pPr>
    </w:p>
    <w:p w14:paraId="15E4E9CA" w14:textId="77777777" w:rsidR="004E6904" w:rsidRPr="009A1C1B" w:rsidRDefault="00063E7D">
      <w:pPr>
        <w:pBdr>
          <w:top w:val="nil"/>
          <w:left w:val="nil"/>
          <w:bottom w:val="nil"/>
          <w:right w:val="nil"/>
          <w:between w:val="nil"/>
        </w:pBdr>
        <w:jc w:val="both"/>
        <w:rPr>
          <w:sz w:val="22"/>
          <w:szCs w:val="22"/>
        </w:rPr>
      </w:pPr>
      <w:r w:rsidRPr="009A1C1B">
        <w:rPr>
          <w:rFonts w:ascii="Palatino Linotype" w:eastAsia="Palatino Linotype" w:hAnsi="Palatino Linotype" w:cs="Palatino Linotype"/>
          <w:sz w:val="22"/>
          <w:szCs w:val="22"/>
        </w:rPr>
        <w:t>Asimismo, se establece que la fuente de la información deberá ser:</w:t>
      </w:r>
    </w:p>
    <w:p w14:paraId="09E9AA27" w14:textId="77777777" w:rsidR="004E6904" w:rsidRPr="009A1C1B" w:rsidRDefault="004E6904">
      <w:pPr>
        <w:rPr>
          <w:sz w:val="22"/>
          <w:szCs w:val="22"/>
        </w:rPr>
      </w:pPr>
    </w:p>
    <w:p w14:paraId="64313D62" w14:textId="77777777" w:rsidR="004E6904" w:rsidRPr="009A1C1B" w:rsidRDefault="00063E7D">
      <w:pPr>
        <w:numPr>
          <w:ilvl w:val="0"/>
          <w:numId w:val="2"/>
        </w:numPr>
        <w:pBdr>
          <w:top w:val="nil"/>
          <w:left w:val="nil"/>
          <w:bottom w:val="nil"/>
          <w:right w:val="nil"/>
          <w:between w:val="nil"/>
        </w:pBdr>
        <w:ind w:left="426"/>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Precisa</w:t>
      </w:r>
    </w:p>
    <w:p w14:paraId="500CC0AD" w14:textId="77777777" w:rsidR="004E6904" w:rsidRPr="009A1C1B" w:rsidRDefault="00063E7D">
      <w:pPr>
        <w:numPr>
          <w:ilvl w:val="0"/>
          <w:numId w:val="2"/>
        </w:numPr>
        <w:pBdr>
          <w:top w:val="nil"/>
          <w:left w:val="nil"/>
          <w:bottom w:val="nil"/>
          <w:right w:val="nil"/>
          <w:between w:val="nil"/>
        </w:pBdr>
        <w:ind w:left="426"/>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Concreta</w:t>
      </w:r>
    </w:p>
    <w:p w14:paraId="14489227" w14:textId="77777777" w:rsidR="004E6904" w:rsidRPr="009A1C1B" w:rsidRDefault="00063E7D">
      <w:pPr>
        <w:numPr>
          <w:ilvl w:val="0"/>
          <w:numId w:val="2"/>
        </w:numPr>
        <w:pBdr>
          <w:top w:val="nil"/>
          <w:left w:val="nil"/>
          <w:bottom w:val="nil"/>
          <w:right w:val="nil"/>
          <w:between w:val="nil"/>
        </w:pBdr>
        <w:ind w:left="426" w:right="1276"/>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t>Y no debe implicar que el solicitante realice una búsqueda en toda la información que se encuentre disponible</w:t>
      </w:r>
      <w:r w:rsidRPr="009A1C1B">
        <w:rPr>
          <w:rFonts w:ascii="Palatino Linotype" w:eastAsia="Palatino Linotype" w:hAnsi="Palatino Linotype" w:cs="Palatino Linotype"/>
          <w:sz w:val="22"/>
          <w:szCs w:val="22"/>
        </w:rPr>
        <w:t>.</w:t>
      </w:r>
    </w:p>
    <w:p w14:paraId="3F1BABD3" w14:textId="77777777" w:rsidR="004E6904" w:rsidRPr="009A1C1B" w:rsidRDefault="004E6904">
      <w:pPr>
        <w:rPr>
          <w:sz w:val="22"/>
          <w:szCs w:val="22"/>
        </w:rPr>
      </w:pPr>
    </w:p>
    <w:p w14:paraId="239B8656"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Imperativos legales que establecen el procedimiento que debe seguir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para que pueda tomarse como válida su orientación sobre la forma en que puede consultar la información requerida, y que, en el caso en concreto, no acontece; ello porque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se limitó a indicar la dirección electrónica de su página oficial y de su IPOMEX, </w:t>
      </w:r>
      <w:r w:rsidRPr="009A1C1B">
        <w:rPr>
          <w:rFonts w:ascii="Palatino Linotype" w:eastAsia="Palatino Linotype" w:hAnsi="Palatino Linotype" w:cs="Palatino Linotype"/>
          <w:sz w:val="22"/>
          <w:szCs w:val="22"/>
        </w:rPr>
        <w:lastRenderedPageBreak/>
        <w:t>sin que señalara puntualmente el procedimiento que el particular debe seguir para acceder a la información requerida, lo que implica que  la fuente no es precisa;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14:paraId="207D4C10" w14:textId="77777777" w:rsidR="004E6904" w:rsidRPr="009A1C1B" w:rsidRDefault="004E69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1DBCBD9"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Por otra parte, respecto al cambio de modalidad, hecho valer por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es necesario precisar el contenido de los artículos 155, fracción V y 164, de la Ley de Transparencia y Acceso a la Información Pública del Estado de México y Municipios, disponen lo siguiente:</w:t>
      </w:r>
    </w:p>
    <w:p w14:paraId="6827E2A0"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5D2E0711" w14:textId="77777777" w:rsidR="004E6904" w:rsidRPr="009A1C1B" w:rsidRDefault="00063E7D">
      <w:pPr>
        <w:ind w:left="567" w:right="567"/>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rPr>
        <w:t xml:space="preserve">Artículo 155. Para presentar una solicitud por escrito, no se podrán exigir mayores requisitos que los siguientes: </w:t>
      </w:r>
    </w:p>
    <w:p w14:paraId="49D1FA15" w14:textId="77777777" w:rsidR="004E6904" w:rsidRPr="009A1C1B" w:rsidRDefault="00063E7D">
      <w:pPr>
        <w:ind w:left="567" w:right="567"/>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w:t>
      </w:r>
    </w:p>
    <w:p w14:paraId="1773C87B" w14:textId="77777777" w:rsidR="004E6904" w:rsidRPr="009A1C1B" w:rsidRDefault="00063E7D">
      <w:pPr>
        <w:ind w:left="567" w:right="567"/>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b/>
          <w:i/>
          <w:sz w:val="22"/>
          <w:szCs w:val="22"/>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4FDEC9C9" w14:textId="77777777" w:rsidR="004E6904" w:rsidRPr="009A1C1B" w:rsidRDefault="00063E7D">
      <w:pPr>
        <w:ind w:left="567" w:right="567"/>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Artículo 164. El</w:t>
      </w:r>
      <w:r w:rsidRPr="009A1C1B">
        <w:rPr>
          <w:rFonts w:ascii="Palatino Linotype" w:eastAsia="Palatino Linotype" w:hAnsi="Palatino Linotype" w:cs="Palatino Linotype"/>
          <w:i/>
          <w:sz w:val="22"/>
          <w:szCs w:val="22"/>
        </w:rPr>
        <w:t xml:space="preserve"> </w:t>
      </w:r>
      <w:r w:rsidRPr="009A1C1B">
        <w:rPr>
          <w:rFonts w:ascii="Palatino Linotype" w:eastAsia="Palatino Linotype" w:hAnsi="Palatino Linotype" w:cs="Palatino Linotype"/>
          <w:b/>
          <w:i/>
          <w:sz w:val="22"/>
          <w:szCs w:val="22"/>
        </w:rPr>
        <w:t>acceso se dará en la modalidad de entrega</w:t>
      </w:r>
      <w:r w:rsidRPr="009A1C1B">
        <w:rPr>
          <w:rFonts w:ascii="Palatino Linotype" w:eastAsia="Palatino Linotype" w:hAnsi="Palatino Linotype" w:cs="Palatino Linotype"/>
          <w:i/>
          <w:sz w:val="22"/>
          <w:szCs w:val="22"/>
        </w:rPr>
        <w:t xml:space="preserve"> y, en su caso, de envío </w:t>
      </w:r>
      <w:r w:rsidRPr="009A1C1B">
        <w:rPr>
          <w:rFonts w:ascii="Palatino Linotype" w:eastAsia="Palatino Linotype" w:hAnsi="Palatino Linotype" w:cs="Palatino Linotype"/>
          <w:b/>
          <w:i/>
          <w:sz w:val="22"/>
          <w:szCs w:val="22"/>
        </w:rPr>
        <w:t>elegidos por el solicitante</w:t>
      </w:r>
      <w:r w:rsidRPr="009A1C1B">
        <w:rPr>
          <w:rFonts w:ascii="Palatino Linotype" w:eastAsia="Palatino Linotype" w:hAnsi="Palatino Linotype" w:cs="Palatino Linotype"/>
          <w:i/>
          <w:sz w:val="22"/>
          <w:szCs w:val="22"/>
        </w:rPr>
        <w:t xml:space="preserve">. Cuando la información no pueda entregarse o enviarse en la modalidad solicitada, el sujeto obligado deberá ofrecer otra u otras modalidades de entrega. </w:t>
      </w:r>
    </w:p>
    <w:p w14:paraId="30EFF937" w14:textId="77777777" w:rsidR="004E6904" w:rsidRPr="009A1C1B" w:rsidRDefault="00063E7D">
      <w:pPr>
        <w:ind w:left="567" w:right="567"/>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En cualquier caso, se deberá fundar y motivar la necesidad de ofrecer otras modalidades.” </w:t>
      </w:r>
    </w:p>
    <w:p w14:paraId="01387A9E" w14:textId="77777777" w:rsidR="004E6904" w:rsidRPr="009A1C1B" w:rsidRDefault="00063E7D">
      <w:pPr>
        <w:ind w:left="567" w:right="567"/>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(Énfasis añadido)</w:t>
      </w:r>
    </w:p>
    <w:p w14:paraId="6EC4A562" w14:textId="77777777" w:rsidR="004E6904" w:rsidRPr="009A1C1B" w:rsidRDefault="004E6904">
      <w:pPr>
        <w:widowControl w:val="0"/>
        <w:spacing w:line="360" w:lineRule="auto"/>
        <w:jc w:val="both"/>
        <w:rPr>
          <w:rFonts w:ascii="Palatino Linotype" w:eastAsia="Palatino Linotype" w:hAnsi="Palatino Linotype" w:cs="Palatino Linotype"/>
          <w:sz w:val="22"/>
          <w:szCs w:val="22"/>
        </w:rPr>
      </w:pPr>
    </w:p>
    <w:p w14:paraId="0909A455" w14:textId="77777777" w:rsidR="004E6904" w:rsidRPr="009A1C1B" w:rsidRDefault="00063E7D">
      <w:pPr>
        <w:spacing w:line="360" w:lineRule="auto"/>
        <w:ind w:right="-93"/>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En ese sentido, a efecto de dar cumplimiento al derecho de acceso a la Información Pública, los particulares tienen la posibilidad de elegir la modalidad de entrega que prefieran, entre ellas, vía </w:t>
      </w:r>
      <w:r w:rsidRPr="009A1C1B">
        <w:rPr>
          <w:rFonts w:ascii="Palatino Linotype" w:eastAsia="Palatino Linotype" w:hAnsi="Palatino Linotype" w:cs="Palatino Linotype"/>
          <w:b/>
          <w:sz w:val="22"/>
          <w:szCs w:val="22"/>
        </w:rPr>
        <w:t>SAIMEX</w:t>
      </w:r>
      <w:r w:rsidRPr="009A1C1B">
        <w:rPr>
          <w:rFonts w:ascii="Palatino Linotype" w:eastAsia="Palatino Linotype" w:hAnsi="Palatino Linotype" w:cs="Palatino Linotype"/>
          <w:sz w:val="22"/>
          <w:szCs w:val="22"/>
        </w:rPr>
        <w:t>, como lo realizó el particular en las solicitudes materia de estudio.</w:t>
      </w:r>
    </w:p>
    <w:p w14:paraId="51F1F5F8" w14:textId="77777777" w:rsidR="004E6904" w:rsidRPr="009A1C1B" w:rsidRDefault="004E6904">
      <w:pPr>
        <w:widowControl w:val="0"/>
        <w:spacing w:line="360" w:lineRule="auto"/>
        <w:jc w:val="both"/>
        <w:rPr>
          <w:rFonts w:ascii="Palatino Linotype" w:eastAsia="Palatino Linotype" w:hAnsi="Palatino Linotype" w:cs="Palatino Linotype"/>
          <w:sz w:val="22"/>
          <w:szCs w:val="22"/>
        </w:rPr>
      </w:pPr>
    </w:p>
    <w:p w14:paraId="4A760190" w14:textId="77777777" w:rsidR="004E6904" w:rsidRPr="009A1C1B" w:rsidRDefault="00063E7D">
      <w:pPr>
        <w:spacing w:line="360" w:lineRule="auto"/>
        <w:ind w:right="-93"/>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lastRenderedPageBreak/>
        <w:t>Ahora bien, es necesario referir que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que tanto la modalidad de entrega como la forma de envío de la información se hará preferentemente como lo haya señalado el requirente. En los casos en que esto no sea posible, se</w:t>
      </w:r>
      <w:r w:rsidRPr="009A1C1B">
        <w:rPr>
          <w:rFonts w:ascii="Palatino Linotype" w:eastAsia="Palatino Linotype" w:hAnsi="Palatino Linotype" w:cs="Palatino Linotype"/>
          <w:b/>
          <w:sz w:val="22"/>
          <w:szCs w:val="22"/>
        </w:rPr>
        <w:t xml:space="preserve"> </w:t>
      </w:r>
      <w:r w:rsidRPr="009A1C1B">
        <w:rPr>
          <w:rFonts w:ascii="Palatino Linotype" w:eastAsia="Palatino Linotype" w:hAnsi="Palatino Linotype" w:cs="Palatino Linotype"/>
          <w:sz w:val="22"/>
          <w:szCs w:val="22"/>
        </w:rPr>
        <w:t>podrá garantizar la entrega a través de cualquier otro medio, siempre y cuando funde y motive la razón para hacerlo.</w:t>
      </w:r>
    </w:p>
    <w:p w14:paraId="2C26BC51" w14:textId="77777777" w:rsidR="004E6904" w:rsidRPr="009A1C1B" w:rsidRDefault="004E6904">
      <w:pPr>
        <w:spacing w:line="360" w:lineRule="auto"/>
        <w:ind w:right="-93"/>
        <w:jc w:val="both"/>
        <w:rPr>
          <w:rFonts w:ascii="Palatino Linotype" w:eastAsia="Palatino Linotype" w:hAnsi="Palatino Linotype" w:cs="Palatino Linotype"/>
          <w:sz w:val="22"/>
          <w:szCs w:val="22"/>
        </w:rPr>
      </w:pPr>
    </w:p>
    <w:p w14:paraId="65134272" w14:textId="77777777" w:rsidR="004E6904" w:rsidRPr="009A1C1B" w:rsidRDefault="00063E7D">
      <w:pPr>
        <w:spacing w:line="360" w:lineRule="auto"/>
        <w:ind w:right="-93"/>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sz w:val="22"/>
          <w:szCs w:val="22"/>
        </w:rPr>
        <w:t xml:space="preserve">Sin embargo, en los presentes asuntos, la actuación del </w:t>
      </w:r>
      <w:r w:rsidRPr="009A1C1B">
        <w:rPr>
          <w:rFonts w:ascii="Palatino Linotype" w:eastAsia="Palatino Linotype" w:hAnsi="Palatino Linotype" w:cs="Palatino Linotype"/>
          <w:b/>
          <w:sz w:val="22"/>
          <w:szCs w:val="22"/>
        </w:rPr>
        <w:t xml:space="preserve">Sujeto Obligado </w:t>
      </w:r>
      <w:r w:rsidRPr="009A1C1B">
        <w:rPr>
          <w:rFonts w:ascii="Palatino Linotype" w:eastAsia="Palatino Linotype" w:hAnsi="Palatino Linotype" w:cs="Palatino Linotype"/>
          <w:sz w:val="22"/>
          <w:szCs w:val="22"/>
        </w:rPr>
        <w:t xml:space="preserve">constituye una afectación al derecho humano de acceso a la información pública del particular, toda vez que pretendió cambiar la modalidad de entrega de la información, aún y cuando el particular mencionó que la manera de entrega de la información sería a través del </w:t>
      </w:r>
      <w:r w:rsidRPr="009A1C1B">
        <w:rPr>
          <w:rFonts w:ascii="Palatino Linotype" w:eastAsia="Palatino Linotype" w:hAnsi="Palatino Linotype" w:cs="Palatino Linotype"/>
          <w:b/>
          <w:sz w:val="22"/>
          <w:szCs w:val="22"/>
        </w:rPr>
        <w:t>SAIMEX.</w:t>
      </w:r>
    </w:p>
    <w:p w14:paraId="2EE8F325" w14:textId="77777777" w:rsidR="004E6904" w:rsidRPr="009A1C1B" w:rsidRDefault="004E6904">
      <w:pPr>
        <w:spacing w:line="360" w:lineRule="auto"/>
        <w:ind w:right="-93"/>
        <w:jc w:val="both"/>
        <w:rPr>
          <w:rFonts w:ascii="Palatino Linotype" w:eastAsia="Palatino Linotype" w:hAnsi="Palatino Linotype" w:cs="Palatino Linotype"/>
          <w:b/>
          <w:sz w:val="22"/>
          <w:szCs w:val="22"/>
        </w:rPr>
      </w:pPr>
    </w:p>
    <w:p w14:paraId="39C4A337"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Por lo que el cambio de modalidad que pretendió hacer </w:t>
      </w:r>
      <w:r w:rsidRPr="009A1C1B">
        <w:rPr>
          <w:rFonts w:ascii="Palatino Linotype" w:eastAsia="Palatino Linotype" w:hAnsi="Palatino Linotype" w:cs="Palatino Linotype"/>
          <w:b/>
          <w:sz w:val="22"/>
          <w:szCs w:val="22"/>
        </w:rPr>
        <w:t>el Sujeto Obligado</w:t>
      </w:r>
      <w:r w:rsidRPr="009A1C1B">
        <w:rPr>
          <w:rFonts w:ascii="Palatino Linotype" w:eastAsia="Palatino Linotype" w:hAnsi="Palatino Linotype" w:cs="Palatino Linotype"/>
          <w:sz w:val="22"/>
          <w:szCs w:val="22"/>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47B6477A"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36E0ECA3"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Ahora bien, el artículo 158 de la Ley de Transparencia y Acceso a la Información Pública del Estado de México y Municipios, precisa los casos en que de manera excepcional se puede proceder al cambio de modalidad: </w:t>
      </w:r>
    </w:p>
    <w:p w14:paraId="6DE2F078"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363021D5" w14:textId="77777777" w:rsidR="004E6904" w:rsidRPr="009A1C1B" w:rsidRDefault="00063E7D">
      <w:pPr>
        <w:ind w:left="567" w:right="567"/>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rPr>
        <w:t>Artículo 158.</w:t>
      </w:r>
      <w:r w:rsidRPr="009A1C1B">
        <w:rPr>
          <w:rFonts w:ascii="Palatino Linotype" w:eastAsia="Palatino Linotype" w:hAnsi="Palatino Linotype" w:cs="Palatino Linotype"/>
          <w:i/>
          <w:sz w:val="22"/>
          <w:szCs w:val="22"/>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9A1C1B">
        <w:rPr>
          <w:rFonts w:ascii="Palatino Linotype" w:eastAsia="Palatino Linotype" w:hAnsi="Palatino Linotype" w:cs="Palatino Linotype"/>
          <w:b/>
          <w:i/>
          <w:sz w:val="22"/>
          <w:szCs w:val="22"/>
        </w:rPr>
        <w:t>sobrepase las capacidades técnicas administrativas y humanas del sujeto obligado</w:t>
      </w:r>
      <w:r w:rsidRPr="009A1C1B">
        <w:rPr>
          <w:rFonts w:ascii="Palatino Linotype" w:eastAsia="Palatino Linotype" w:hAnsi="Palatino Linotype" w:cs="Palatino Linotype"/>
          <w:i/>
          <w:sz w:val="22"/>
          <w:szCs w:val="22"/>
        </w:rPr>
        <w:t xml:space="preserve"> para cumplir con la solicitud, en los plazos establecidos </w:t>
      </w:r>
      <w:r w:rsidRPr="009A1C1B">
        <w:rPr>
          <w:rFonts w:ascii="Palatino Linotype" w:eastAsia="Palatino Linotype" w:hAnsi="Palatino Linotype" w:cs="Palatino Linotype"/>
          <w:i/>
          <w:sz w:val="22"/>
          <w:szCs w:val="22"/>
        </w:rPr>
        <w:lastRenderedPageBreak/>
        <w:t>para dichos efectos, se podrá poner a disposición del solicitante los documentos en consulta directa, salvo la información clasificada.”.</w:t>
      </w:r>
    </w:p>
    <w:p w14:paraId="6F8EB421" w14:textId="77777777" w:rsidR="004E6904" w:rsidRPr="009A1C1B" w:rsidRDefault="00063E7D">
      <w:pPr>
        <w:ind w:left="567" w:right="567"/>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(Énfasis añadido) </w:t>
      </w:r>
    </w:p>
    <w:p w14:paraId="50A14854" w14:textId="77777777" w:rsidR="004E6904" w:rsidRPr="009A1C1B" w:rsidRDefault="004E6904">
      <w:pPr>
        <w:spacing w:line="360" w:lineRule="auto"/>
        <w:jc w:val="both"/>
        <w:rPr>
          <w:rFonts w:ascii="Palatino Linotype" w:eastAsia="Palatino Linotype" w:hAnsi="Palatino Linotype" w:cs="Palatino Linotype"/>
          <w:i/>
          <w:sz w:val="22"/>
          <w:szCs w:val="22"/>
        </w:rPr>
      </w:pPr>
    </w:p>
    <w:p w14:paraId="56609F8C"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53D5A050" w14:textId="77777777" w:rsidR="004E6904" w:rsidRPr="009A1C1B" w:rsidRDefault="004E6904">
      <w:pPr>
        <w:spacing w:line="360" w:lineRule="auto"/>
        <w:ind w:right="-93"/>
        <w:jc w:val="both"/>
        <w:rPr>
          <w:rFonts w:ascii="Palatino Linotype" w:eastAsia="Palatino Linotype" w:hAnsi="Palatino Linotype" w:cs="Palatino Linotype"/>
          <w:sz w:val="22"/>
          <w:szCs w:val="22"/>
        </w:rPr>
      </w:pPr>
    </w:p>
    <w:p w14:paraId="457410D4"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Es decir, del artículo anterior, se derivan tres hipótesis que en conjunto y de manera fundada y motivada, validan el cambio de modalidad de entrega de la información y las cuales son, que las documentales a proporcionar </w:t>
      </w:r>
      <w:r w:rsidRPr="009A1C1B">
        <w:rPr>
          <w:rFonts w:ascii="Palatino Linotype" w:eastAsia="Palatino Linotype" w:hAnsi="Palatino Linotype" w:cs="Palatino Linotype"/>
          <w:b/>
          <w:sz w:val="22"/>
          <w:szCs w:val="22"/>
        </w:rPr>
        <w:t xml:space="preserve">sobrepasen las capacidades técnicas administrativas y humanas del Sujeto Obligado. </w:t>
      </w:r>
    </w:p>
    <w:p w14:paraId="10B660D9"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3FAE116A"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Derivado de lo anterior, cabe mencionar lo que se tiene por </w:t>
      </w:r>
      <w:r w:rsidRPr="009A1C1B">
        <w:rPr>
          <w:rFonts w:ascii="Palatino Linotype" w:eastAsia="Palatino Linotype" w:hAnsi="Palatino Linotype" w:cs="Palatino Linotype"/>
          <w:b/>
          <w:sz w:val="22"/>
          <w:szCs w:val="22"/>
        </w:rPr>
        <w:t>“capacidad”</w:t>
      </w:r>
      <w:r w:rsidRPr="009A1C1B">
        <w:rPr>
          <w:rFonts w:ascii="Palatino Linotype" w:eastAsia="Palatino Linotype" w:hAnsi="Palatino Linotype" w:cs="Palatino Linotype"/>
          <w:sz w:val="22"/>
          <w:szCs w:val="22"/>
        </w:rPr>
        <w:t>, que de manera general puede ser interpretado como la circunstancia o conjunto de condiciones, cualidades o aptitudes que permiten el desarrollo o el cumplimiento de una función o desempeño de un cargo.</w:t>
      </w:r>
    </w:p>
    <w:p w14:paraId="13DEEC46"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6A1AE7F5"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Ahora bien, respecto a las </w:t>
      </w:r>
      <w:r w:rsidRPr="009A1C1B">
        <w:rPr>
          <w:rFonts w:ascii="Palatino Linotype" w:eastAsia="Palatino Linotype" w:hAnsi="Palatino Linotype" w:cs="Palatino Linotype"/>
          <w:b/>
          <w:sz w:val="22"/>
          <w:szCs w:val="22"/>
        </w:rPr>
        <w:t>capacidades técnicas</w:t>
      </w:r>
      <w:r w:rsidRPr="009A1C1B">
        <w:rPr>
          <w:rFonts w:ascii="Palatino Linotype" w:eastAsia="Palatino Linotype" w:hAnsi="Palatino Linotype" w:cs="Palatino Linotype"/>
          <w:sz w:val="22"/>
          <w:szCs w:val="22"/>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25419A7E"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60D08A3F"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lastRenderedPageBreak/>
        <w:t xml:space="preserve">Derivado de lo anterior, es importante señalar que conforme al numeral Vigésimo Cuarto de los Lineamientos para la operación del Sistema de Acceso a la Información Mexiquense (SAIMEX) y del Sistema de Acceso, Rectificación, Cancelación y Oposición de Datos Personales del Estado de México (SARCOEM), los sistemas electrónicos cuentan con una capacidad máxima de carga dentro del servidor </w:t>
      </w:r>
      <w:r w:rsidRPr="009A1C1B">
        <w:rPr>
          <w:rFonts w:ascii="Palatino Linotype" w:eastAsia="Palatino Linotype" w:hAnsi="Palatino Linotype" w:cs="Palatino Linotype"/>
          <w:b/>
          <w:sz w:val="22"/>
          <w:szCs w:val="22"/>
        </w:rPr>
        <w:t>con un peso total de quinientos megabytes o su equivalente a ocho mil fojas aproximadamente</w:t>
      </w:r>
      <w:r w:rsidRPr="009A1C1B">
        <w:rPr>
          <w:rFonts w:ascii="Palatino Linotype" w:eastAsia="Palatino Linotype" w:hAnsi="Palatino Linotype" w:cs="Palatino Linotype"/>
          <w:sz w:val="22"/>
          <w:szCs w:val="22"/>
        </w:rPr>
        <w:t>.</w:t>
      </w:r>
    </w:p>
    <w:p w14:paraId="3B546EC0"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312989C0"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Por cuanto hace a las </w:t>
      </w:r>
      <w:r w:rsidRPr="009A1C1B">
        <w:rPr>
          <w:rFonts w:ascii="Palatino Linotype" w:eastAsia="Palatino Linotype" w:hAnsi="Palatino Linotype" w:cs="Palatino Linotype"/>
          <w:b/>
          <w:sz w:val="22"/>
          <w:szCs w:val="22"/>
        </w:rPr>
        <w:t>capacidades humanas</w:t>
      </w:r>
      <w:r w:rsidRPr="009A1C1B">
        <w:rPr>
          <w:rFonts w:ascii="Palatino Linotype" w:eastAsia="Palatino Linotype" w:hAnsi="Palatino Linotype" w:cs="Palatino Linotype"/>
          <w:sz w:val="22"/>
          <w:szCs w:val="22"/>
        </w:rPr>
        <w:t>, se entiende que es la cantidad efectiva de personal de una institución pública donde usan sus habilidades, motivaciones, activos organizacionales como patente.</w:t>
      </w:r>
    </w:p>
    <w:p w14:paraId="219667F7"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221F20B6" w14:textId="77777777" w:rsidR="004E6904" w:rsidRPr="009A1C1B" w:rsidRDefault="00063E7D">
      <w:pPr>
        <w:widowControl w:val="0"/>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Teniendo en cuenta lo anteriormente expuesto, abordamos a la conclusión en el presente asunto </w:t>
      </w:r>
      <w:r w:rsidRPr="009A1C1B">
        <w:rPr>
          <w:rFonts w:ascii="Palatino Linotype" w:eastAsia="Palatino Linotype" w:hAnsi="Palatino Linotype" w:cs="Palatino Linotype"/>
          <w:b/>
          <w:sz w:val="22"/>
          <w:szCs w:val="22"/>
        </w:rPr>
        <w:t xml:space="preserve">el Sujeto Obligado </w:t>
      </w:r>
      <w:r w:rsidRPr="009A1C1B">
        <w:rPr>
          <w:rFonts w:ascii="Palatino Linotype" w:eastAsia="Palatino Linotype" w:hAnsi="Palatino Linotype" w:cs="Palatino Linotype"/>
          <w:sz w:val="22"/>
          <w:szCs w:val="22"/>
        </w:rPr>
        <w:t xml:space="preserve">omitió argumentar o presentar los motivos que impiden entregar la información requerida a través de la plataforma </w:t>
      </w:r>
      <w:r w:rsidRPr="009A1C1B">
        <w:rPr>
          <w:rFonts w:ascii="Palatino Linotype" w:eastAsia="Palatino Linotype" w:hAnsi="Palatino Linotype" w:cs="Palatino Linotype"/>
          <w:b/>
          <w:sz w:val="22"/>
          <w:szCs w:val="22"/>
        </w:rPr>
        <w:t xml:space="preserve">SAIMEX, </w:t>
      </w:r>
      <w:r w:rsidRPr="009A1C1B">
        <w:rPr>
          <w:rFonts w:ascii="Palatino Linotype" w:eastAsia="Palatino Linotype" w:hAnsi="Palatino Linotype" w:cs="Palatino Linotype"/>
          <w:sz w:val="22"/>
          <w:szCs w:val="22"/>
        </w:rPr>
        <w:t>pues no basta con manifestar el cambio de modalidad por sí solo, sin fundamentar ni motivar dicha pretensión.</w:t>
      </w:r>
    </w:p>
    <w:p w14:paraId="1F369F84" w14:textId="77777777" w:rsidR="004E6904" w:rsidRPr="009A1C1B" w:rsidRDefault="004E6904">
      <w:pPr>
        <w:widowControl w:val="0"/>
        <w:spacing w:line="360" w:lineRule="auto"/>
        <w:jc w:val="both"/>
        <w:rPr>
          <w:rFonts w:ascii="Palatino Linotype" w:eastAsia="Palatino Linotype" w:hAnsi="Palatino Linotype" w:cs="Palatino Linotype"/>
          <w:sz w:val="22"/>
          <w:szCs w:val="22"/>
        </w:rPr>
      </w:pPr>
    </w:p>
    <w:p w14:paraId="0D9243AD" w14:textId="77777777" w:rsidR="004E6904" w:rsidRPr="009A1C1B" w:rsidRDefault="00063E7D">
      <w:pPr>
        <w:widowControl w:val="0"/>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9A1C1B">
        <w:rPr>
          <w:rFonts w:ascii="Palatino Linotype" w:eastAsia="Palatino Linotype" w:hAnsi="Palatino Linotype" w:cs="Palatino Linotype"/>
          <w:b/>
          <w:sz w:val="22"/>
          <w:szCs w:val="22"/>
        </w:rPr>
        <w:t xml:space="preserve">Sujeto Obligado </w:t>
      </w:r>
      <w:r w:rsidRPr="009A1C1B">
        <w:rPr>
          <w:rFonts w:ascii="Palatino Linotype" w:eastAsia="Palatino Linotype" w:hAnsi="Palatino Linotype" w:cs="Palatino Linotype"/>
          <w:sz w:val="22"/>
          <w:szCs w:val="22"/>
        </w:rPr>
        <w:t xml:space="preserve">toda vez que, dicha autoridad únicamente se limitó a invocar diversas fuentes normativas aplicables al tema en concreto, sin presentar algún argumento de relevancia que impida la entrega de la información a través del </w:t>
      </w:r>
      <w:r w:rsidRPr="009A1C1B">
        <w:rPr>
          <w:rFonts w:ascii="Palatino Linotype" w:eastAsia="Palatino Linotype" w:hAnsi="Palatino Linotype" w:cs="Palatino Linotype"/>
          <w:b/>
          <w:sz w:val="22"/>
          <w:szCs w:val="22"/>
        </w:rPr>
        <w:t>SAIMEX</w:t>
      </w:r>
      <w:r w:rsidRPr="009A1C1B">
        <w:rPr>
          <w:rFonts w:ascii="Palatino Linotype" w:eastAsia="Palatino Linotype" w:hAnsi="Palatino Linotype" w:cs="Palatino Linotype"/>
          <w:sz w:val="22"/>
          <w:szCs w:val="22"/>
        </w:rPr>
        <w:t>.</w:t>
      </w:r>
    </w:p>
    <w:p w14:paraId="3F3B0A95" w14:textId="77777777" w:rsidR="004E6904" w:rsidRPr="009A1C1B" w:rsidRDefault="004E6904">
      <w:pPr>
        <w:widowControl w:val="0"/>
        <w:spacing w:line="360" w:lineRule="auto"/>
        <w:jc w:val="both"/>
        <w:rPr>
          <w:rFonts w:ascii="Palatino Linotype" w:eastAsia="Palatino Linotype" w:hAnsi="Palatino Linotype" w:cs="Palatino Linotype"/>
          <w:sz w:val="22"/>
          <w:szCs w:val="22"/>
        </w:rPr>
      </w:pPr>
    </w:p>
    <w:p w14:paraId="5711BB96" w14:textId="77777777" w:rsidR="004E6904" w:rsidRPr="009A1C1B" w:rsidRDefault="00063E7D">
      <w:pPr>
        <w:widowControl w:val="0"/>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Es de precisar que este Instituto realizó un requerimiento de información adicional al </w:t>
      </w:r>
      <w:r w:rsidRPr="009A1C1B">
        <w:rPr>
          <w:rFonts w:ascii="Palatino Linotype" w:eastAsia="Palatino Linotype" w:hAnsi="Palatino Linotype" w:cs="Palatino Linotype"/>
          <w:b/>
          <w:sz w:val="22"/>
          <w:szCs w:val="22"/>
        </w:rPr>
        <w:t xml:space="preserve">Sujeto Obligado </w:t>
      </w:r>
      <w:r w:rsidRPr="009A1C1B">
        <w:rPr>
          <w:rFonts w:ascii="Palatino Linotype" w:eastAsia="Palatino Linotype" w:hAnsi="Palatino Linotype" w:cs="Palatino Linotype"/>
          <w:sz w:val="22"/>
          <w:szCs w:val="22"/>
        </w:rPr>
        <w:t xml:space="preserve">con el objeto de conocer los impedimentos para cargar la información al SAIMEX, sin embargo, este no fue atendido, consecuentemente, este Organismo Garante no cuenta </w:t>
      </w:r>
      <w:r w:rsidRPr="009A1C1B">
        <w:rPr>
          <w:rFonts w:ascii="Palatino Linotype" w:eastAsia="Palatino Linotype" w:hAnsi="Palatino Linotype" w:cs="Palatino Linotype"/>
          <w:sz w:val="22"/>
          <w:szCs w:val="22"/>
        </w:rPr>
        <w:lastRenderedPageBreak/>
        <w:t>con elementos suficientes para determinar la procedencia del cambio de modalidad alegado.</w:t>
      </w:r>
    </w:p>
    <w:p w14:paraId="5E5651F1" w14:textId="77777777" w:rsidR="004E6904" w:rsidRPr="009A1C1B" w:rsidRDefault="00063E7D">
      <w:pPr>
        <w:widowControl w:val="0"/>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En otro orden de ideas, respecto a la naturaleza de la información, resulta pertinente definir a nuestro requerimiento en cuestión, es decir, a los consumibles, los cuales se definen como aquellas cosas cuya existencia termina con el primer uso, por ejemplo, los alimentos.</w:t>
      </w:r>
    </w:p>
    <w:p w14:paraId="30926C55"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En tal tesitura, resulta pertinente señalar que los Manuales para la Planeación, Programación y Presupuesto de Egresos Municipal, para los Ejercicios Fiscales dos mil veintidós, dos mil veintitrés y dos mil veinticuatro, contienen el Clasificador por Objeto del Gasto, el cual se conforma del subcapítulo 2200 “Alimentos y Utensilios”,</w:t>
      </w:r>
      <w:r w:rsidRPr="009A1C1B">
        <w:rPr>
          <w:rFonts w:ascii="Palatino Linotype" w:eastAsia="Palatino Linotype" w:hAnsi="Palatino Linotype" w:cs="Palatino Linotype"/>
          <w:b/>
          <w:sz w:val="22"/>
          <w:szCs w:val="22"/>
        </w:rPr>
        <w:t xml:space="preserve"> </w:t>
      </w:r>
      <w:r w:rsidRPr="009A1C1B">
        <w:rPr>
          <w:rFonts w:ascii="Palatino Linotype" w:eastAsia="Palatino Linotype" w:hAnsi="Palatino Linotype" w:cs="Palatino Linotype"/>
          <w:sz w:val="22"/>
          <w:szCs w:val="22"/>
        </w:rPr>
        <w:t>que son las Asignaciones destinadas a la adquisición de productos alimenticios y utensilios necesarios para el servicio de alimentación en apoyo de las actividades de los servidores públicos.</w:t>
      </w:r>
    </w:p>
    <w:p w14:paraId="7C52D44A"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10A70BCE"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Este se conforma de diversas partidas genéricas y específicas, entre las cuales se encuentra el número 2210 “Productos alimenticios para personas”, que son asignaciones destinadas a la adquisición de productos alimenticios y bebidas para el personal que realiza labores de campo o supervisión dentro del lugar de adscripción, así como, por la permanencia de servidores públicos en instalaciones del ente público.</w:t>
      </w:r>
    </w:p>
    <w:p w14:paraId="737C871E" w14:textId="77777777" w:rsidR="004E6904" w:rsidRPr="009A1C1B" w:rsidRDefault="00063E7D">
      <w:pPr>
        <w:widowControl w:val="0"/>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Establecido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0B588D54" w14:textId="77777777" w:rsidR="004E6904" w:rsidRPr="009A1C1B" w:rsidRDefault="00063E7D">
      <w:pPr>
        <w:spacing w:before="120" w:after="120" w:line="276" w:lineRule="auto"/>
        <w:ind w:left="567" w:right="85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rPr>
        <w:t>Artículo 342.-</w:t>
      </w:r>
      <w:r w:rsidRPr="009A1C1B">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5F3273B4" w14:textId="77777777" w:rsidR="004E6904" w:rsidRPr="009A1C1B" w:rsidRDefault="00063E7D">
      <w:pPr>
        <w:spacing w:before="120" w:after="120" w:line="276" w:lineRule="auto"/>
        <w:ind w:left="567" w:right="850"/>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b/>
          <w:i/>
          <w:sz w:val="22"/>
          <w:szCs w:val="22"/>
        </w:rPr>
        <w:t>…</w:t>
      </w:r>
    </w:p>
    <w:p w14:paraId="2D8DB654" w14:textId="77777777" w:rsidR="004E6904" w:rsidRPr="009A1C1B" w:rsidRDefault="00063E7D">
      <w:pPr>
        <w:spacing w:before="120" w:after="120" w:line="276" w:lineRule="auto"/>
        <w:ind w:left="567" w:right="85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lastRenderedPageBreak/>
        <w:t>Artículo 343.-</w:t>
      </w:r>
      <w:r w:rsidRPr="009A1C1B">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0988A9C" w14:textId="77777777" w:rsidR="004E6904" w:rsidRPr="009A1C1B" w:rsidRDefault="00063E7D">
      <w:pPr>
        <w:spacing w:before="120" w:after="120" w:line="276" w:lineRule="auto"/>
        <w:ind w:left="567" w:right="85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670A5132" w14:textId="77777777" w:rsidR="004E6904" w:rsidRPr="009A1C1B" w:rsidRDefault="00063E7D">
      <w:pPr>
        <w:spacing w:before="120" w:after="120" w:line="276" w:lineRule="auto"/>
        <w:ind w:left="567" w:right="85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9A1C1B">
        <w:rPr>
          <w:rFonts w:ascii="Palatino Linotype" w:eastAsia="Palatino Linotype" w:hAnsi="Palatino Linotype" w:cs="Palatino Linotype"/>
          <w:i/>
          <w:sz w:val="22"/>
          <w:szCs w:val="22"/>
        </w:rPr>
        <w:t xml:space="preserve">en el caso de los Municipios se hará por la Tesorería. </w:t>
      </w:r>
    </w:p>
    <w:p w14:paraId="11D9D2CB" w14:textId="77777777" w:rsidR="004E6904" w:rsidRPr="009A1C1B" w:rsidRDefault="00063E7D">
      <w:pPr>
        <w:spacing w:before="120" w:after="120" w:line="276" w:lineRule="auto"/>
        <w:ind w:left="567" w:right="5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Derogado. </w:t>
      </w:r>
    </w:p>
    <w:p w14:paraId="6C78713D" w14:textId="77777777" w:rsidR="004E6904" w:rsidRPr="009A1C1B" w:rsidRDefault="00063E7D">
      <w:pPr>
        <w:spacing w:before="120" w:after="120" w:line="276" w:lineRule="auto"/>
        <w:ind w:left="567" w:right="85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9A1C1B">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639D138A" w14:textId="77777777" w:rsidR="004E6904" w:rsidRPr="009A1C1B" w:rsidRDefault="00063E7D">
      <w:pPr>
        <w:spacing w:before="120" w:after="120" w:line="276" w:lineRule="auto"/>
        <w:ind w:left="567" w:right="5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w:t>
      </w:r>
    </w:p>
    <w:p w14:paraId="1C038202" w14:textId="77777777" w:rsidR="004E6904" w:rsidRPr="009A1C1B" w:rsidRDefault="00063E7D">
      <w:pPr>
        <w:spacing w:before="120" w:after="120" w:line="276" w:lineRule="auto"/>
        <w:ind w:left="567" w:right="85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Artículo 345.-</w:t>
      </w:r>
      <w:r w:rsidRPr="009A1C1B">
        <w:rPr>
          <w:rFonts w:ascii="Palatino Linotype" w:eastAsia="Palatino Linotype" w:hAnsi="Palatino Linotype" w:cs="Palatino Linotype"/>
          <w:i/>
          <w:sz w:val="22"/>
          <w:szCs w:val="22"/>
        </w:rPr>
        <w:t xml:space="preserve"> </w:t>
      </w:r>
      <w:r w:rsidRPr="009A1C1B">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9A1C1B">
        <w:rPr>
          <w:rFonts w:ascii="Palatino Linotype" w:eastAsia="Palatino Linotype" w:hAnsi="Palatino Linotype" w:cs="Palatino Linotype"/>
          <w:i/>
          <w:sz w:val="22"/>
          <w:szCs w:val="22"/>
        </w:rPr>
        <w:t xml:space="preserve">, la remitirán en un plazo que no excederá de seis meses al Archivo Contable Gubernamental. </w:t>
      </w:r>
      <w:r w:rsidRPr="009A1C1B">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9A1C1B">
        <w:rPr>
          <w:rFonts w:ascii="Palatino Linotype" w:eastAsia="Palatino Linotype" w:hAnsi="Palatino Linotype" w:cs="Palatino Linotype"/>
          <w:i/>
          <w:sz w:val="22"/>
          <w:szCs w:val="22"/>
        </w:rPr>
        <w:t xml:space="preserve">. </w:t>
      </w:r>
    </w:p>
    <w:p w14:paraId="4D9F3748" w14:textId="77777777" w:rsidR="004E6904" w:rsidRPr="009A1C1B" w:rsidRDefault="00063E7D">
      <w:pPr>
        <w:spacing w:before="120" w:after="120" w:line="276" w:lineRule="auto"/>
        <w:ind w:left="851" w:right="85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El plazo señalado en el párrafo anterior, empezará a contar a partir de la publicación en el Periódico Oficial, del decreto correspondiente. “</w:t>
      </w:r>
    </w:p>
    <w:p w14:paraId="7018939B"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lastRenderedPageBreak/>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 y deberá estar soportado con los documentos comprobatorios originales.</w:t>
      </w:r>
    </w:p>
    <w:p w14:paraId="79E381F7" w14:textId="77777777" w:rsidR="004E6904" w:rsidRPr="009A1C1B" w:rsidRDefault="00063E7D">
      <w:pPr>
        <w:spacing w:before="240" w:after="240" w:line="360" w:lineRule="auto"/>
        <w:ind w:right="-232"/>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En ese sentido, debe decirse que las facturas emitidas en favor de los proveedores, contratistas o prestadores de servicios, la cual se encuentra definida en el Glosario de Términos Hacendarios que emite el Instituto Hacendario del Estado de México, como:</w:t>
      </w:r>
    </w:p>
    <w:p w14:paraId="27FDC6DC" w14:textId="77777777" w:rsidR="004E6904" w:rsidRPr="009A1C1B" w:rsidRDefault="00063E7D">
      <w:pPr>
        <w:spacing w:before="120" w:after="120" w:line="276" w:lineRule="auto"/>
        <w:ind w:left="851" w:right="902"/>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rPr>
        <w:t>FACTURA</w:t>
      </w:r>
    </w:p>
    <w:p w14:paraId="4DC2AF93" w14:textId="77777777" w:rsidR="004E6904" w:rsidRPr="009A1C1B" w:rsidRDefault="00063E7D">
      <w:pPr>
        <w:spacing w:before="120" w:after="120" w:line="276" w:lineRule="auto"/>
        <w:ind w:left="851" w:right="902"/>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Es el documento fiscal que emite la persona física o moral para comprobar la venta o adquisición de un bien y/o servicio.” </w:t>
      </w:r>
    </w:p>
    <w:p w14:paraId="40D68972"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0163BB9A"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w:t>
      </w:r>
      <w:r w:rsidRPr="009A1C1B">
        <w:rPr>
          <w:rFonts w:ascii="Palatino Linotype" w:eastAsia="Palatino Linotype" w:hAnsi="Palatino Linotype" w:cs="Palatino Linotype"/>
          <w:sz w:val="22"/>
          <w:szCs w:val="22"/>
        </w:rPr>
        <w:lastRenderedPageBreak/>
        <w:t xml:space="preserve">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6A20A69C" w14:textId="77777777" w:rsidR="004E6904" w:rsidRPr="009A1C1B" w:rsidRDefault="00063E7D">
      <w:pPr>
        <w:spacing w:before="120" w:after="120" w:line="276" w:lineRule="auto"/>
        <w:ind w:firstLine="708"/>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b/>
          <w:i/>
          <w:sz w:val="22"/>
          <w:szCs w:val="22"/>
        </w:rPr>
        <w:t xml:space="preserve">“REGISTRO CONTABLE </w:t>
      </w:r>
    </w:p>
    <w:p w14:paraId="01A49A33" w14:textId="77777777" w:rsidR="004E6904" w:rsidRPr="009A1C1B" w:rsidRDefault="00063E7D">
      <w:pPr>
        <w:spacing w:before="120" w:after="120" w:line="276" w:lineRule="auto"/>
        <w:ind w:left="851" w:right="89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Asiento que se realiza en los libros de contabilidad de las actividades relacionadas con el ingreso y egresos de un ente económico.” </w:t>
      </w:r>
    </w:p>
    <w:p w14:paraId="22BC4835" w14:textId="77777777" w:rsidR="004E6904" w:rsidRPr="009A1C1B" w:rsidRDefault="00063E7D">
      <w:pPr>
        <w:spacing w:before="120" w:after="120" w:line="276" w:lineRule="auto"/>
        <w:ind w:right="899" w:firstLine="708"/>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b/>
          <w:i/>
          <w:sz w:val="22"/>
          <w:szCs w:val="22"/>
        </w:rPr>
        <w:t>“REGISTRO PRESUPUESTARIO</w:t>
      </w:r>
    </w:p>
    <w:p w14:paraId="2C2ADD24" w14:textId="77777777" w:rsidR="004E6904" w:rsidRPr="009A1C1B" w:rsidRDefault="00063E7D">
      <w:pPr>
        <w:spacing w:before="120" w:after="120" w:line="276" w:lineRule="auto"/>
        <w:ind w:left="708" w:right="89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14:paraId="037282CA"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Por otra parte, se establece que el sistema de contabilidad sobre base acumulativa total se sustentará en los principios de contabilidad gubernamental.</w:t>
      </w:r>
    </w:p>
    <w:p w14:paraId="5B102CE7"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16976DE1"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Correlativo a lo anterior, es preciso referir una definición de </w:t>
      </w:r>
      <w:r w:rsidRPr="009A1C1B">
        <w:rPr>
          <w:rFonts w:ascii="Palatino Linotype" w:eastAsia="Palatino Linotype" w:hAnsi="Palatino Linotype" w:cs="Palatino Linotype"/>
          <w:i/>
          <w:sz w:val="22"/>
          <w:szCs w:val="22"/>
        </w:rPr>
        <w:t>póliza contable</w:t>
      </w:r>
      <w:r w:rsidRPr="009A1C1B">
        <w:rPr>
          <w:rFonts w:ascii="Palatino Linotype" w:eastAsia="Palatino Linotype" w:hAnsi="Palatino Linotype" w:cs="Palatino Linotype"/>
          <w:sz w:val="22"/>
          <w:szCs w:val="22"/>
        </w:rPr>
        <w:t xml:space="preserve">, la cual, primeramente, no está definida en el Código Financiero del Estado de México y Municipios; no obstante, los ya mencionados Glosarios la definen como: </w:t>
      </w:r>
    </w:p>
    <w:p w14:paraId="4A5F0556" w14:textId="77777777" w:rsidR="004E6904" w:rsidRPr="009A1C1B" w:rsidRDefault="00063E7D">
      <w:pPr>
        <w:spacing w:before="120" w:after="120" w:line="276" w:lineRule="auto"/>
        <w:ind w:left="851" w:right="899"/>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rPr>
        <w:t>PÓLIZA CONTABLE</w:t>
      </w:r>
    </w:p>
    <w:p w14:paraId="3A5CA1B7" w14:textId="77777777" w:rsidR="004E6904" w:rsidRPr="009A1C1B" w:rsidRDefault="00063E7D">
      <w:pPr>
        <w:spacing w:before="120" w:after="120" w:line="276" w:lineRule="auto"/>
        <w:ind w:left="851" w:right="89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Documento en el cual se asientan en forma individual todas y cada una de las operaciones desarrolladas por una institución, así como la información necesaria para la identificación de dichas operaciones.” </w:t>
      </w:r>
    </w:p>
    <w:p w14:paraId="0EB4AB6C"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lastRenderedPageBreak/>
        <w:t xml:space="preserve">Así, se advierte que la </w:t>
      </w:r>
      <w:r w:rsidRPr="009A1C1B">
        <w:rPr>
          <w:rFonts w:ascii="Palatino Linotype" w:eastAsia="Palatino Linotype" w:hAnsi="Palatino Linotype" w:cs="Palatino Linotype"/>
          <w:i/>
          <w:sz w:val="22"/>
          <w:szCs w:val="22"/>
        </w:rPr>
        <w:t>póliza contable</w:t>
      </w:r>
      <w:r w:rsidRPr="009A1C1B">
        <w:rPr>
          <w:rFonts w:ascii="Palatino Linotype" w:eastAsia="Palatino Linotype" w:hAnsi="Palatino Linotype" w:cs="Palatino Linotype"/>
          <w:sz w:val="22"/>
          <w:szCs w:val="22"/>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4420FBB7"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En este sentido, existen diversos tipos de pólizas contables de acuerdo a las operaciones realizadas, dentro de las cuales, encontramos las llamadas </w:t>
      </w:r>
      <w:r w:rsidRPr="009A1C1B">
        <w:rPr>
          <w:rFonts w:ascii="Palatino Linotype" w:eastAsia="Palatino Linotype" w:hAnsi="Palatino Linotype" w:cs="Palatino Linotype"/>
          <w:i/>
          <w:sz w:val="22"/>
          <w:szCs w:val="22"/>
        </w:rPr>
        <w:t>pólizas de egresos</w:t>
      </w:r>
      <w:r w:rsidRPr="009A1C1B">
        <w:rPr>
          <w:rFonts w:ascii="Palatino Linotype" w:eastAsia="Palatino Linotype" w:hAnsi="Palatino Linotype" w:cs="Palatino Linotype"/>
          <w:sz w:val="22"/>
          <w:szCs w:val="22"/>
        </w:rPr>
        <w:t xml:space="preserve">, son aquellas en las cuales se anotan diariamente las operaciones que representan gastos, es decir, salidas de dinero para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las que, además, deben encontrarse acompañadas de las documentales que sirven de soporte de dicho movimiento. </w:t>
      </w:r>
    </w:p>
    <w:p w14:paraId="40657F23"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A mayor abundamiento de lo anterior, los Lineamientos para la Integración del Informe Trimestral Municipal Ejercicio Fiscal 2024, contemplan a las pólizas de egresos, las cuales se generan de manera mensual de la siguiente manera:</w:t>
      </w:r>
    </w:p>
    <w:p w14:paraId="10CB2B86" w14:textId="77777777" w:rsidR="004E6904" w:rsidRPr="009A1C1B" w:rsidRDefault="004E69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5163EF"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noProof/>
          <w:sz w:val="22"/>
          <w:szCs w:val="22"/>
          <w:lang w:val="es-MX"/>
        </w:rPr>
        <w:drawing>
          <wp:inline distT="114300" distB="114300" distL="114300" distR="114300" wp14:anchorId="6EFE0BC0" wp14:editId="2315AB7B">
            <wp:extent cx="5612130" cy="965200"/>
            <wp:effectExtent l="0" t="0" r="0" b="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12130" cy="965200"/>
                    </a:xfrm>
                    <a:prstGeom prst="rect">
                      <a:avLst/>
                    </a:prstGeom>
                    <a:ln/>
                  </pic:spPr>
                </pic:pic>
              </a:graphicData>
            </a:graphic>
          </wp:inline>
        </w:drawing>
      </w:r>
    </w:p>
    <w:p w14:paraId="1673A0C4" w14:textId="77777777" w:rsidR="004E6904" w:rsidRPr="009A1C1B" w:rsidRDefault="004E69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CEB49FB"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noProof/>
          <w:sz w:val="22"/>
          <w:szCs w:val="22"/>
          <w:lang w:val="es-MX"/>
        </w:rPr>
        <w:lastRenderedPageBreak/>
        <w:drawing>
          <wp:inline distT="0" distB="0" distL="0" distR="0" wp14:anchorId="1160425D" wp14:editId="34DE9180">
            <wp:extent cx="5608686" cy="5649937"/>
            <wp:effectExtent l="0" t="0" r="0" b="0"/>
            <wp:docPr id="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608686" cy="5649937"/>
                    </a:xfrm>
                    <a:prstGeom prst="rect">
                      <a:avLst/>
                    </a:prstGeom>
                    <a:ln/>
                  </pic:spPr>
                </pic:pic>
              </a:graphicData>
            </a:graphic>
          </wp:inline>
        </w:drawing>
      </w:r>
    </w:p>
    <w:p w14:paraId="198206AA" w14:textId="77777777" w:rsidR="004E6904" w:rsidRPr="009A1C1B" w:rsidRDefault="00063E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Por lo anterior, es </w:t>
      </w:r>
      <w:proofErr w:type="gramStart"/>
      <w:r w:rsidRPr="009A1C1B">
        <w:rPr>
          <w:rFonts w:ascii="Palatino Linotype" w:eastAsia="Palatino Linotype" w:hAnsi="Palatino Linotype" w:cs="Palatino Linotype"/>
          <w:sz w:val="22"/>
          <w:szCs w:val="22"/>
        </w:rPr>
        <w:t>que</w:t>
      </w:r>
      <w:proofErr w:type="gramEnd"/>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a juicio de este organismo garante, se estima que con la entrega de las pólizas de egresos, no sólo el particular tendrá acceso al documento requerido sino que además podrá advertir el monto mensual erogado por la adquisición de consumibles</w:t>
      </w:r>
      <w:r w:rsidRPr="009A1C1B">
        <w:rPr>
          <w:rFonts w:ascii="Palatino Linotype" w:eastAsia="Palatino Linotype" w:hAnsi="Palatino Linotype" w:cs="Palatino Linotype"/>
          <w:sz w:val="22"/>
          <w:szCs w:val="22"/>
        </w:rPr>
        <w:t>.</w:t>
      </w:r>
    </w:p>
    <w:p w14:paraId="2C467190" w14:textId="77777777" w:rsidR="004E6904" w:rsidRPr="009A1C1B" w:rsidRDefault="004E69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57F77EE" w14:textId="77777777" w:rsidR="004E6904" w:rsidRPr="009A1C1B" w:rsidRDefault="00063E7D">
      <w:pPr>
        <w:spacing w:line="360" w:lineRule="auto"/>
        <w:jc w:val="both"/>
        <w:rPr>
          <w:rFonts w:ascii="Palatino Linotype" w:eastAsia="Palatino Linotype" w:hAnsi="Palatino Linotype" w:cs="Palatino Linotype"/>
          <w:sz w:val="22"/>
          <w:szCs w:val="22"/>
        </w:rPr>
      </w:pPr>
      <w:proofErr w:type="gramStart"/>
      <w:r w:rsidRPr="009A1C1B">
        <w:rPr>
          <w:rFonts w:ascii="Palatino Linotype" w:eastAsia="Palatino Linotype" w:hAnsi="Palatino Linotype" w:cs="Palatino Linotype"/>
          <w:sz w:val="22"/>
          <w:szCs w:val="22"/>
        </w:rPr>
        <w:t>Finalmente</w:t>
      </w:r>
      <w:proofErr w:type="gramEnd"/>
      <w:r w:rsidRPr="009A1C1B">
        <w:rPr>
          <w:rFonts w:ascii="Palatino Linotype" w:eastAsia="Palatino Linotype" w:hAnsi="Palatino Linotype" w:cs="Palatino Linotype"/>
          <w:sz w:val="22"/>
          <w:szCs w:val="22"/>
        </w:rPr>
        <w:t xml:space="preserve"> por cuanto hace al nombre de los proveedores, debemos recordar que los artículos 1°, fracción III, y 4°de la Ley de la de Contratación Pública del Estado de México y </w:t>
      </w:r>
      <w:r w:rsidRPr="009A1C1B">
        <w:rPr>
          <w:rFonts w:ascii="Palatino Linotype" w:eastAsia="Palatino Linotype" w:hAnsi="Palatino Linotype" w:cs="Palatino Linotype"/>
          <w:sz w:val="22"/>
          <w:szCs w:val="22"/>
        </w:rPr>
        <w:lastRenderedPageBreak/>
        <w:t xml:space="preserve">Municipios, especifican que los Ayuntamientos serán los encargados de realizar los actos relativos a la planeación, programación, presupuestación, ejecución y control de la adquisición (bienes muebles e inmuebles), arrendamiento (bienes muebles e inmuebles), y la </w:t>
      </w:r>
      <w:r w:rsidRPr="009A1C1B">
        <w:rPr>
          <w:rFonts w:ascii="Palatino Linotype" w:eastAsia="Palatino Linotype" w:hAnsi="Palatino Linotype" w:cs="Palatino Linotype"/>
          <w:b/>
          <w:sz w:val="22"/>
          <w:szCs w:val="22"/>
        </w:rPr>
        <w:t>contratación de servicios</w:t>
      </w:r>
      <w:r w:rsidRPr="009A1C1B">
        <w:rPr>
          <w:rFonts w:ascii="Palatino Linotype" w:eastAsia="Palatino Linotype" w:hAnsi="Palatino Linotype" w:cs="Palatino Linotype"/>
          <w:sz w:val="22"/>
          <w:szCs w:val="22"/>
        </w:rPr>
        <w:t xml:space="preserve"> de cualquier naturaleza. </w:t>
      </w:r>
    </w:p>
    <w:p w14:paraId="2628BE67"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041D4033"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En ese contexto, conforme a los artículos 26 y 27 de dicho ordenamiento jurídico, las adquisiciones, arrendamientos y </w:t>
      </w:r>
      <w:r w:rsidRPr="009A1C1B">
        <w:rPr>
          <w:rFonts w:ascii="Palatino Linotype" w:eastAsia="Palatino Linotype" w:hAnsi="Palatino Linotype" w:cs="Palatino Linotype"/>
          <w:b/>
          <w:sz w:val="22"/>
          <w:szCs w:val="22"/>
        </w:rPr>
        <w:t>servicios</w:t>
      </w:r>
      <w:r w:rsidRPr="009A1C1B">
        <w:rPr>
          <w:rFonts w:ascii="Palatino Linotype" w:eastAsia="Palatino Linotype" w:hAnsi="Palatino Linotype" w:cs="Palatino Linotype"/>
          <w:sz w:val="22"/>
          <w:szCs w:val="22"/>
        </w:rPr>
        <w:t>, se adjudicarán a través de procedimientos de licitación pública, invitación restringida y adjudicación directa.</w:t>
      </w:r>
    </w:p>
    <w:p w14:paraId="7134A2A4"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0B505DAD"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En ese orden de ideas, conforme al artículo 65 de la Ley de Contratación Pública del Estado de México y Municipios, la adjudicación de un procedimiento de adquisición y arrendamiento de bienes y </w:t>
      </w:r>
      <w:r w:rsidRPr="009A1C1B">
        <w:rPr>
          <w:rFonts w:ascii="Palatino Linotype" w:eastAsia="Palatino Linotype" w:hAnsi="Palatino Linotype" w:cs="Palatino Linotype"/>
          <w:b/>
          <w:sz w:val="22"/>
          <w:szCs w:val="22"/>
        </w:rPr>
        <w:t>contratación de servicios</w:t>
      </w:r>
      <w:r w:rsidRPr="009A1C1B">
        <w:rPr>
          <w:rFonts w:ascii="Palatino Linotype" w:eastAsia="Palatino Linotype" w:hAnsi="Palatino Linotype" w:cs="Palatino Linotype"/>
          <w:sz w:val="22"/>
          <w:szCs w:val="22"/>
        </w:rPr>
        <w:t xml:space="preserve"> se realizará mediante la suscripción de un contrato, entre el Ayuntamiento y la persona a la cual haya ganado el procedimiento respectivo, dentro de los diez días hábiles siguientes a la notificación del fallo.</w:t>
      </w:r>
    </w:p>
    <w:p w14:paraId="25265F23"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4C1C7869" w14:textId="77777777" w:rsidR="004E6904" w:rsidRPr="009A1C1B" w:rsidRDefault="00063E7D">
      <w:pPr>
        <w:spacing w:line="360" w:lineRule="auto"/>
        <w:jc w:val="both"/>
        <w:rPr>
          <w:rFonts w:ascii="Palatino Linotype" w:eastAsia="Palatino Linotype" w:hAnsi="Palatino Linotype" w:cs="Palatino Linotype"/>
          <w:b/>
          <w:sz w:val="22"/>
          <w:szCs w:val="22"/>
        </w:rPr>
      </w:pPr>
      <w:r w:rsidRPr="009A1C1B">
        <w:rPr>
          <w:rFonts w:ascii="Palatino Linotype" w:eastAsia="Palatino Linotype" w:hAnsi="Palatino Linotype" w:cs="Palatino Linotype"/>
          <w:sz w:val="22"/>
          <w:szCs w:val="22"/>
        </w:rPr>
        <w:t xml:space="preserve">Ahora bien, conforme al artículo 120 del Reglamento de la Ley de Contratación Pública del Estado de México y Municipios y diverso 104 el Reglamento del Libro Décimo Segundo del Código Administrativo del Estado de México, dichos actos jurídicos se conforman por diversos datos, entre los cuales, se encuentran los datos de identificación de las partes y del contrato, </w:t>
      </w:r>
      <w:r w:rsidRPr="009A1C1B">
        <w:rPr>
          <w:rFonts w:ascii="Palatino Linotype" w:eastAsia="Palatino Linotype" w:hAnsi="Palatino Linotype" w:cs="Palatino Linotype"/>
          <w:b/>
          <w:sz w:val="22"/>
          <w:szCs w:val="22"/>
        </w:rPr>
        <w:t>así como el importe total.</w:t>
      </w:r>
    </w:p>
    <w:p w14:paraId="7B4444E9" w14:textId="77777777" w:rsidR="004E6904" w:rsidRPr="009A1C1B" w:rsidRDefault="004E6904">
      <w:pPr>
        <w:spacing w:line="360" w:lineRule="auto"/>
        <w:jc w:val="both"/>
        <w:rPr>
          <w:rFonts w:ascii="Palatino Linotype" w:eastAsia="Palatino Linotype" w:hAnsi="Palatino Linotype" w:cs="Palatino Linotype"/>
          <w:b/>
          <w:sz w:val="22"/>
          <w:szCs w:val="22"/>
        </w:rPr>
      </w:pPr>
    </w:p>
    <w:p w14:paraId="051486A6"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w:t>
      </w:r>
      <w:r w:rsidRPr="009A1C1B">
        <w:rPr>
          <w:rFonts w:ascii="Palatino Linotype" w:eastAsia="Palatino Linotype" w:hAnsi="Palatino Linotype" w:cs="Palatino Linotype"/>
          <w:sz w:val="22"/>
          <w:szCs w:val="22"/>
        </w:rPr>
        <w:lastRenderedPageBreak/>
        <w:t>la versión pública del expediente respectivo y de los contratos celebrados, por lo tanto, el nombre de los proveedores es susceptible de conocerse.</w:t>
      </w:r>
    </w:p>
    <w:p w14:paraId="7F7E4646"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2A5ADF92"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No obsta mencionar que </w:t>
      </w:r>
      <w:r w:rsidRPr="009A1C1B">
        <w:rPr>
          <w:rFonts w:ascii="Palatino Linotype" w:eastAsia="Palatino Linotype" w:hAnsi="Palatino Linotype" w:cs="Palatino Linotype"/>
          <w:b/>
          <w:sz w:val="22"/>
          <w:szCs w:val="22"/>
        </w:rPr>
        <w:t>para el caso en el que dentro de alguno de los periodos de los que se ordena la entrega de la información, no se realizaron adquisiciones de consumibles</w:t>
      </w:r>
      <w:r w:rsidRPr="009A1C1B">
        <w:rPr>
          <w:rFonts w:ascii="Palatino Linotype" w:eastAsia="Palatino Linotype" w:hAnsi="Palatino Linotype" w:cs="Palatino Linotype"/>
          <w:sz w:val="22"/>
          <w:szCs w:val="22"/>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B3FAC7E"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54C9506A" w14:textId="77777777" w:rsidR="004E6904" w:rsidRPr="009A1C1B" w:rsidRDefault="00063E7D">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“Artículo 19…</w:t>
      </w:r>
    </w:p>
    <w:p w14:paraId="4A1EC90D" w14:textId="77777777" w:rsidR="004E6904" w:rsidRPr="009A1C1B" w:rsidRDefault="00063E7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1A13C9B2" w14:textId="77777777" w:rsidR="004E6904" w:rsidRPr="009A1C1B" w:rsidRDefault="00063E7D">
      <w:pPr>
        <w:spacing w:before="240" w:after="240" w:line="360" w:lineRule="auto"/>
        <w:ind w:right="49"/>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t xml:space="preserve">Quinto. Versión Pública. </w:t>
      </w:r>
      <w:r w:rsidRPr="009A1C1B">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9A1C1B">
        <w:rPr>
          <w:rFonts w:ascii="Palatino Linotype" w:eastAsia="Palatino Linotype" w:hAnsi="Palatino Linotype" w:cs="Palatino Linotype"/>
          <w:b/>
          <w:sz w:val="22"/>
          <w:szCs w:val="22"/>
        </w:rPr>
        <w:t>la parte</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Recurrente</w:t>
      </w:r>
      <w:r w:rsidRPr="009A1C1B">
        <w:rPr>
          <w:rFonts w:ascii="Palatino Linotype" w:eastAsia="Palatino Linotype" w:hAnsi="Palatino Linotype" w:cs="Palatino Linotype"/>
          <w:sz w:val="22"/>
          <w:szCs w:val="22"/>
        </w:rPr>
        <w:t xml:space="preserve"> sin menoscabar el derecho a la protección de los datos personales de terceros.</w:t>
      </w:r>
    </w:p>
    <w:p w14:paraId="042D8091" w14:textId="77777777" w:rsidR="004E6904" w:rsidRPr="009A1C1B" w:rsidRDefault="00063E7D">
      <w:pPr>
        <w:spacing w:before="240" w:after="240" w:line="360" w:lineRule="auto"/>
        <w:ind w:right="49"/>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60A9F86A" w14:textId="77777777" w:rsidR="004E6904" w:rsidRPr="009A1C1B" w:rsidRDefault="00063E7D">
      <w:pPr>
        <w:ind w:left="993" w:right="1041"/>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b/>
          <w:i/>
          <w:sz w:val="22"/>
          <w:szCs w:val="22"/>
        </w:rPr>
        <w:t xml:space="preserve"> “Artículo 3. Para los efectos de la presente Ley se entenderá por:</w:t>
      </w:r>
    </w:p>
    <w:p w14:paraId="73ABEE1F" w14:textId="77777777" w:rsidR="004E6904" w:rsidRPr="009A1C1B" w:rsidRDefault="00063E7D">
      <w:pPr>
        <w:ind w:left="993" w:right="10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lastRenderedPageBreak/>
        <w:t>IX. Datos personales:</w:t>
      </w:r>
      <w:r w:rsidRPr="009A1C1B">
        <w:rPr>
          <w:rFonts w:ascii="Palatino Linotype" w:eastAsia="Palatino Linotype" w:hAnsi="Palatino Linotype" w:cs="Palatino Linotype"/>
          <w:i/>
          <w:sz w:val="22"/>
          <w:szCs w:val="22"/>
        </w:rPr>
        <w:t xml:space="preserve"> </w:t>
      </w:r>
      <w:r w:rsidRPr="009A1C1B">
        <w:rPr>
          <w:rFonts w:ascii="Palatino Linotype" w:eastAsia="Palatino Linotype" w:hAnsi="Palatino Linotype" w:cs="Palatino Linotype"/>
          <w:b/>
          <w:i/>
          <w:sz w:val="22"/>
          <w:szCs w:val="22"/>
        </w:rPr>
        <w:t>La información concerniente a una persona, identificada o identificable</w:t>
      </w:r>
      <w:r w:rsidRPr="009A1C1B">
        <w:rPr>
          <w:rFonts w:ascii="Palatino Linotype" w:eastAsia="Palatino Linotype" w:hAnsi="Palatino Linotype" w:cs="Palatino Linotype"/>
          <w:i/>
          <w:sz w:val="22"/>
          <w:szCs w:val="22"/>
        </w:rPr>
        <w:t xml:space="preserve"> según lo dispuesto por la Ley de Protección de Datos Personales del Estado de México;</w:t>
      </w:r>
    </w:p>
    <w:p w14:paraId="25DAFF85" w14:textId="77777777" w:rsidR="004E6904" w:rsidRPr="009A1C1B" w:rsidRDefault="00063E7D">
      <w:pPr>
        <w:ind w:left="993" w:right="10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XX. Información clasificada:</w:t>
      </w:r>
      <w:r w:rsidRPr="009A1C1B">
        <w:rPr>
          <w:rFonts w:ascii="Palatino Linotype" w:eastAsia="Palatino Linotype" w:hAnsi="Palatino Linotype" w:cs="Palatino Linotype"/>
          <w:i/>
          <w:sz w:val="22"/>
          <w:szCs w:val="22"/>
        </w:rPr>
        <w:t xml:space="preserve"> Aquella considerada por la presente Ley como reservada o confidencial;</w:t>
      </w:r>
    </w:p>
    <w:p w14:paraId="5D89464A" w14:textId="77777777" w:rsidR="004E6904" w:rsidRPr="009A1C1B" w:rsidRDefault="00063E7D">
      <w:pPr>
        <w:ind w:left="993" w:right="10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XXXII. Protección de Datos Personales:</w:t>
      </w:r>
      <w:r w:rsidRPr="009A1C1B">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765A6ED4" w14:textId="77777777" w:rsidR="004E6904" w:rsidRPr="009A1C1B" w:rsidRDefault="00063E7D">
      <w:pPr>
        <w:ind w:left="993" w:right="10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XLV. Versión pública</w:t>
      </w:r>
      <w:r w:rsidRPr="009A1C1B">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65AB514" w14:textId="77777777" w:rsidR="004E6904" w:rsidRPr="009A1C1B" w:rsidRDefault="004E6904">
      <w:pPr>
        <w:ind w:left="993" w:right="1041"/>
        <w:jc w:val="both"/>
        <w:rPr>
          <w:rFonts w:ascii="Palatino Linotype" w:eastAsia="Palatino Linotype" w:hAnsi="Palatino Linotype" w:cs="Palatino Linotype"/>
          <w:i/>
          <w:sz w:val="22"/>
          <w:szCs w:val="22"/>
        </w:rPr>
      </w:pPr>
    </w:p>
    <w:p w14:paraId="60E16FB2" w14:textId="77777777" w:rsidR="004E6904" w:rsidRPr="009A1C1B" w:rsidRDefault="00063E7D">
      <w:pPr>
        <w:ind w:left="993" w:right="10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“Artículo 6.</w:t>
      </w:r>
      <w:r w:rsidRPr="009A1C1B">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386D8AE" w14:textId="77777777" w:rsidR="004E6904" w:rsidRPr="009A1C1B" w:rsidRDefault="004E6904">
      <w:pPr>
        <w:ind w:left="993" w:right="1041"/>
        <w:jc w:val="both"/>
        <w:rPr>
          <w:rFonts w:ascii="Palatino Linotype" w:eastAsia="Palatino Linotype" w:hAnsi="Palatino Linotype" w:cs="Palatino Linotype"/>
          <w:i/>
          <w:sz w:val="22"/>
          <w:szCs w:val="22"/>
        </w:rPr>
      </w:pPr>
    </w:p>
    <w:p w14:paraId="27335CF6" w14:textId="77777777" w:rsidR="004E6904" w:rsidRPr="009A1C1B" w:rsidRDefault="00063E7D">
      <w:pPr>
        <w:ind w:left="993" w:right="1041"/>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b/>
          <w:i/>
          <w:sz w:val="22"/>
          <w:szCs w:val="22"/>
        </w:rPr>
        <w:t>“Artículo 137.</w:t>
      </w:r>
      <w:r w:rsidRPr="009A1C1B">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882035C" w14:textId="77777777" w:rsidR="004E6904" w:rsidRPr="009A1C1B" w:rsidRDefault="004E6904">
      <w:pPr>
        <w:ind w:left="993" w:right="1041"/>
        <w:jc w:val="both"/>
        <w:rPr>
          <w:rFonts w:ascii="Palatino Linotype" w:eastAsia="Palatino Linotype" w:hAnsi="Palatino Linotype" w:cs="Palatino Linotype"/>
          <w:b/>
          <w:i/>
          <w:sz w:val="22"/>
          <w:szCs w:val="22"/>
        </w:rPr>
      </w:pPr>
    </w:p>
    <w:p w14:paraId="2EC7D0E4" w14:textId="77777777" w:rsidR="004E6904" w:rsidRPr="009A1C1B" w:rsidRDefault="00063E7D">
      <w:pPr>
        <w:ind w:left="993" w:right="10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“Artículo 143</w:t>
      </w:r>
      <w:r w:rsidRPr="009A1C1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2A58708" w14:textId="77777777" w:rsidR="004E6904" w:rsidRPr="009A1C1B" w:rsidRDefault="00063E7D">
      <w:pPr>
        <w:ind w:left="993" w:right="10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I.</w:t>
      </w:r>
      <w:r w:rsidRPr="009A1C1B">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33A0D54" w14:textId="77777777" w:rsidR="004E6904" w:rsidRPr="009A1C1B" w:rsidRDefault="00063E7D">
      <w:pPr>
        <w:ind w:left="993" w:right="10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51E3E09" w14:textId="77777777" w:rsidR="004E6904" w:rsidRPr="009A1C1B" w:rsidRDefault="00063E7D">
      <w:pPr>
        <w:ind w:left="993" w:right="10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343EB60A" w14:textId="77777777" w:rsidR="004E6904" w:rsidRPr="009A1C1B" w:rsidRDefault="004E6904">
      <w:pPr>
        <w:ind w:left="993" w:right="1041"/>
        <w:jc w:val="both"/>
        <w:rPr>
          <w:rFonts w:ascii="Palatino Linotype" w:eastAsia="Palatino Linotype" w:hAnsi="Palatino Linotype" w:cs="Palatino Linotype"/>
          <w:i/>
          <w:sz w:val="22"/>
          <w:szCs w:val="22"/>
        </w:rPr>
      </w:pPr>
    </w:p>
    <w:p w14:paraId="64DA5E25" w14:textId="77777777" w:rsidR="004E6904" w:rsidRPr="009A1C1B" w:rsidRDefault="00063E7D">
      <w:pPr>
        <w:spacing w:line="360" w:lineRule="auto"/>
        <w:ind w:right="51"/>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9A1C1B">
        <w:rPr>
          <w:rFonts w:ascii="Palatino Linotype" w:eastAsia="Palatino Linotype" w:hAnsi="Palatino Linotype" w:cs="Palatino Linotype"/>
          <w:b/>
          <w:sz w:val="22"/>
          <w:szCs w:val="22"/>
        </w:rPr>
        <w:t>la parte</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Recurrente</w:t>
      </w:r>
      <w:r w:rsidRPr="009A1C1B">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85A9A58" w14:textId="77777777" w:rsidR="004E6904" w:rsidRPr="009A1C1B" w:rsidRDefault="004E6904">
      <w:pPr>
        <w:spacing w:line="360" w:lineRule="auto"/>
        <w:ind w:right="51"/>
        <w:jc w:val="both"/>
        <w:rPr>
          <w:rFonts w:ascii="Palatino Linotype" w:eastAsia="Palatino Linotype" w:hAnsi="Palatino Linotype" w:cs="Palatino Linotype"/>
          <w:sz w:val="22"/>
          <w:szCs w:val="22"/>
        </w:rPr>
      </w:pPr>
    </w:p>
    <w:p w14:paraId="36DFE0D6" w14:textId="77777777" w:rsidR="004E6904" w:rsidRPr="009A1C1B" w:rsidRDefault="00063E7D">
      <w:pPr>
        <w:spacing w:line="360" w:lineRule="auto"/>
        <w:ind w:right="50"/>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5C1346E" w14:textId="77777777" w:rsidR="004E6904" w:rsidRPr="009A1C1B" w:rsidRDefault="004E6904">
      <w:pPr>
        <w:spacing w:line="360" w:lineRule="auto"/>
        <w:ind w:right="51"/>
        <w:jc w:val="both"/>
        <w:rPr>
          <w:rFonts w:ascii="Palatino Linotype" w:eastAsia="Palatino Linotype" w:hAnsi="Palatino Linotype" w:cs="Palatino Linotype"/>
          <w:sz w:val="22"/>
          <w:szCs w:val="22"/>
        </w:rPr>
      </w:pPr>
    </w:p>
    <w:p w14:paraId="20052CC4" w14:textId="77777777" w:rsidR="004E6904" w:rsidRPr="009A1C1B" w:rsidRDefault="00063E7D">
      <w:pPr>
        <w:spacing w:line="360" w:lineRule="auto"/>
        <w:ind w:right="51"/>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sidRPr="009A1C1B">
        <w:rPr>
          <w:rFonts w:ascii="Palatino Linotype" w:eastAsia="Palatino Linotype" w:hAnsi="Palatino Linotype" w:cs="Palatino Linotype"/>
          <w:sz w:val="22"/>
          <w:szCs w:val="22"/>
        </w:rPr>
        <w:t>Responsable</w:t>
      </w:r>
      <w:proofErr w:type="gramEnd"/>
      <w:r w:rsidRPr="009A1C1B">
        <w:rPr>
          <w:rFonts w:ascii="Palatino Linotype" w:eastAsia="Palatino Linotype" w:hAnsi="Palatino Linotype" w:cs="Palatino Linotype"/>
          <w:sz w:val="22"/>
          <w:szCs w:val="22"/>
        </w:rPr>
        <w:t xml:space="preserve"> de la Unidad de Transparencia del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019315A7" w14:textId="77777777" w:rsidR="004E6904" w:rsidRPr="009A1C1B" w:rsidRDefault="004E6904">
      <w:pPr>
        <w:spacing w:line="360" w:lineRule="auto"/>
        <w:ind w:right="51"/>
        <w:jc w:val="both"/>
        <w:rPr>
          <w:rFonts w:ascii="Palatino Linotype" w:eastAsia="Palatino Linotype" w:hAnsi="Palatino Linotype" w:cs="Palatino Linotype"/>
          <w:sz w:val="22"/>
          <w:szCs w:val="22"/>
        </w:rPr>
      </w:pPr>
    </w:p>
    <w:p w14:paraId="02B24EDC" w14:textId="77777777" w:rsidR="004E6904" w:rsidRPr="009A1C1B" w:rsidRDefault="00063E7D">
      <w:pPr>
        <w:ind w:left="992" w:right="1043"/>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“Artículo 49.</w:t>
      </w:r>
      <w:r w:rsidRPr="009A1C1B">
        <w:rPr>
          <w:rFonts w:ascii="Palatino Linotype" w:eastAsia="Palatino Linotype" w:hAnsi="Palatino Linotype" w:cs="Palatino Linotype"/>
          <w:i/>
          <w:sz w:val="22"/>
          <w:szCs w:val="22"/>
        </w:rPr>
        <w:t xml:space="preserve"> </w:t>
      </w:r>
      <w:r w:rsidRPr="009A1C1B">
        <w:rPr>
          <w:rFonts w:ascii="Palatino Linotype" w:eastAsia="Palatino Linotype" w:hAnsi="Palatino Linotype" w:cs="Palatino Linotype"/>
          <w:b/>
          <w:i/>
          <w:sz w:val="22"/>
          <w:szCs w:val="22"/>
        </w:rPr>
        <w:t>Los Comités de Transparencia</w:t>
      </w:r>
      <w:r w:rsidRPr="009A1C1B">
        <w:rPr>
          <w:rFonts w:ascii="Palatino Linotype" w:eastAsia="Palatino Linotype" w:hAnsi="Palatino Linotype" w:cs="Palatino Linotype"/>
          <w:i/>
          <w:sz w:val="22"/>
          <w:szCs w:val="22"/>
        </w:rPr>
        <w:t xml:space="preserve"> tendrán las siguientes atribuciones:</w:t>
      </w:r>
    </w:p>
    <w:p w14:paraId="0D880154" w14:textId="77777777" w:rsidR="004E6904" w:rsidRPr="009A1C1B" w:rsidRDefault="00063E7D">
      <w:pPr>
        <w:ind w:left="992" w:right="1043"/>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VIII. Aprobar, modificar o revocar la clasificación de la información</w:t>
      </w:r>
      <w:r w:rsidRPr="009A1C1B">
        <w:rPr>
          <w:rFonts w:ascii="Palatino Linotype" w:eastAsia="Palatino Linotype" w:hAnsi="Palatino Linotype" w:cs="Palatino Linotype"/>
          <w:i/>
          <w:sz w:val="22"/>
          <w:szCs w:val="22"/>
        </w:rPr>
        <w:t>…”</w:t>
      </w:r>
    </w:p>
    <w:p w14:paraId="35A7A35B" w14:textId="77777777" w:rsidR="004E6904" w:rsidRPr="009A1C1B" w:rsidRDefault="00063E7D">
      <w:pPr>
        <w:ind w:left="992" w:right="1043"/>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lastRenderedPageBreak/>
        <w:t>“</w:t>
      </w:r>
      <w:r w:rsidRPr="009A1C1B">
        <w:rPr>
          <w:rFonts w:ascii="Palatino Linotype" w:eastAsia="Palatino Linotype" w:hAnsi="Palatino Linotype" w:cs="Palatino Linotype"/>
          <w:b/>
          <w:i/>
          <w:sz w:val="22"/>
          <w:szCs w:val="22"/>
        </w:rPr>
        <w:t>Artículo 53.</w:t>
      </w:r>
      <w:r w:rsidRPr="009A1C1B">
        <w:rPr>
          <w:rFonts w:ascii="Palatino Linotype" w:eastAsia="Palatino Linotype" w:hAnsi="Palatino Linotype" w:cs="Palatino Linotype"/>
          <w:i/>
          <w:sz w:val="22"/>
          <w:szCs w:val="22"/>
        </w:rPr>
        <w:t xml:space="preserve"> Las </w:t>
      </w:r>
      <w:r w:rsidRPr="009A1C1B">
        <w:rPr>
          <w:rFonts w:ascii="Palatino Linotype" w:eastAsia="Palatino Linotype" w:hAnsi="Palatino Linotype" w:cs="Palatino Linotype"/>
          <w:b/>
          <w:i/>
          <w:sz w:val="22"/>
          <w:szCs w:val="22"/>
        </w:rPr>
        <w:t>Unidades de Transparencia</w:t>
      </w:r>
      <w:r w:rsidRPr="009A1C1B">
        <w:rPr>
          <w:rFonts w:ascii="Palatino Linotype" w:eastAsia="Palatino Linotype" w:hAnsi="Palatino Linotype" w:cs="Palatino Linotype"/>
          <w:i/>
          <w:sz w:val="22"/>
          <w:szCs w:val="22"/>
        </w:rPr>
        <w:t xml:space="preserve"> tendrán las siguientes </w:t>
      </w:r>
      <w:r w:rsidRPr="009A1C1B">
        <w:rPr>
          <w:rFonts w:ascii="Palatino Linotype" w:eastAsia="Palatino Linotype" w:hAnsi="Palatino Linotype" w:cs="Palatino Linotype"/>
          <w:b/>
          <w:i/>
          <w:sz w:val="22"/>
          <w:szCs w:val="22"/>
        </w:rPr>
        <w:t>funciones</w:t>
      </w:r>
      <w:r w:rsidRPr="009A1C1B">
        <w:rPr>
          <w:rFonts w:ascii="Palatino Linotype" w:eastAsia="Palatino Linotype" w:hAnsi="Palatino Linotype" w:cs="Palatino Linotype"/>
          <w:i/>
          <w:sz w:val="22"/>
          <w:szCs w:val="22"/>
        </w:rPr>
        <w:t>:</w:t>
      </w:r>
    </w:p>
    <w:p w14:paraId="7B32AF36" w14:textId="77777777" w:rsidR="004E6904" w:rsidRPr="009A1C1B" w:rsidRDefault="00063E7D">
      <w:pPr>
        <w:ind w:left="992" w:right="1043"/>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X. Presentar ante el Comité, el proyecto de clasificación de información</w:t>
      </w:r>
      <w:r w:rsidRPr="009A1C1B">
        <w:rPr>
          <w:rFonts w:ascii="Palatino Linotype" w:eastAsia="Palatino Linotype" w:hAnsi="Palatino Linotype" w:cs="Palatino Linotype"/>
          <w:i/>
          <w:sz w:val="22"/>
          <w:szCs w:val="22"/>
        </w:rPr>
        <w:t xml:space="preserve">…” </w:t>
      </w:r>
    </w:p>
    <w:p w14:paraId="6278A858" w14:textId="77777777" w:rsidR="004E6904" w:rsidRPr="009A1C1B" w:rsidRDefault="00063E7D">
      <w:pPr>
        <w:ind w:left="992" w:right="1043"/>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“Artículo 59.</w:t>
      </w:r>
      <w:r w:rsidRPr="009A1C1B">
        <w:rPr>
          <w:rFonts w:ascii="Palatino Linotype" w:eastAsia="Palatino Linotype" w:hAnsi="Palatino Linotype" w:cs="Palatino Linotype"/>
          <w:i/>
          <w:sz w:val="22"/>
          <w:szCs w:val="22"/>
        </w:rPr>
        <w:t xml:space="preserve"> Los </w:t>
      </w:r>
      <w:r w:rsidRPr="009A1C1B">
        <w:rPr>
          <w:rFonts w:ascii="Palatino Linotype" w:eastAsia="Palatino Linotype" w:hAnsi="Palatino Linotype" w:cs="Palatino Linotype"/>
          <w:b/>
          <w:i/>
          <w:sz w:val="22"/>
          <w:szCs w:val="22"/>
        </w:rPr>
        <w:t>servidores públicos habilitados</w:t>
      </w:r>
      <w:r w:rsidRPr="009A1C1B">
        <w:rPr>
          <w:rFonts w:ascii="Palatino Linotype" w:eastAsia="Palatino Linotype" w:hAnsi="Palatino Linotype" w:cs="Palatino Linotype"/>
          <w:i/>
          <w:sz w:val="22"/>
          <w:szCs w:val="22"/>
        </w:rPr>
        <w:t xml:space="preserve"> tendrán las </w:t>
      </w:r>
      <w:r w:rsidRPr="009A1C1B">
        <w:rPr>
          <w:rFonts w:ascii="Palatino Linotype" w:eastAsia="Palatino Linotype" w:hAnsi="Palatino Linotype" w:cs="Palatino Linotype"/>
          <w:b/>
          <w:i/>
          <w:sz w:val="22"/>
          <w:szCs w:val="22"/>
        </w:rPr>
        <w:t>funciones</w:t>
      </w:r>
      <w:r w:rsidRPr="009A1C1B">
        <w:rPr>
          <w:rFonts w:ascii="Palatino Linotype" w:eastAsia="Palatino Linotype" w:hAnsi="Palatino Linotype" w:cs="Palatino Linotype"/>
          <w:i/>
          <w:sz w:val="22"/>
          <w:szCs w:val="22"/>
        </w:rPr>
        <w:t xml:space="preserve"> siguientes:</w:t>
      </w:r>
    </w:p>
    <w:p w14:paraId="49DF3061" w14:textId="77777777" w:rsidR="004E6904" w:rsidRPr="009A1C1B" w:rsidRDefault="00063E7D">
      <w:pPr>
        <w:ind w:left="992" w:right="1043"/>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A1C1B">
        <w:rPr>
          <w:rFonts w:ascii="Palatino Linotype" w:eastAsia="Palatino Linotype" w:hAnsi="Palatino Linotype" w:cs="Palatino Linotype"/>
          <w:i/>
          <w:sz w:val="22"/>
          <w:szCs w:val="22"/>
        </w:rPr>
        <w:t xml:space="preserve">, la cual tendrá los fundamentos y argumentos en que se basa dicha propuesta…” </w:t>
      </w:r>
    </w:p>
    <w:p w14:paraId="124FCF1C" w14:textId="77777777" w:rsidR="004E6904" w:rsidRPr="009A1C1B" w:rsidRDefault="004E6904">
      <w:pPr>
        <w:ind w:left="992" w:right="1043"/>
        <w:jc w:val="both"/>
        <w:rPr>
          <w:rFonts w:ascii="Palatino Linotype" w:eastAsia="Palatino Linotype" w:hAnsi="Palatino Linotype" w:cs="Palatino Linotype"/>
          <w:i/>
          <w:sz w:val="22"/>
          <w:szCs w:val="22"/>
        </w:rPr>
      </w:pPr>
    </w:p>
    <w:p w14:paraId="1AC91ECB"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0AF1F60"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4953603E"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EA01779" w14:textId="77777777" w:rsidR="004E6904" w:rsidRPr="009A1C1B" w:rsidRDefault="00063E7D">
      <w:pPr>
        <w:spacing w:after="240"/>
        <w:ind w:left="993" w:right="1041"/>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w:t>
      </w:r>
      <w:r w:rsidRPr="009A1C1B">
        <w:rPr>
          <w:rFonts w:ascii="Palatino Linotype" w:eastAsia="Palatino Linotype" w:hAnsi="Palatino Linotype" w:cs="Palatino Linotype"/>
          <w:b/>
          <w:i/>
          <w:sz w:val="22"/>
          <w:szCs w:val="22"/>
        </w:rPr>
        <w:t>Artículo 149.</w:t>
      </w:r>
      <w:r w:rsidRPr="009A1C1B">
        <w:rPr>
          <w:rFonts w:ascii="Palatino Linotype" w:eastAsia="Palatino Linotype" w:hAnsi="Palatino Linotype" w:cs="Palatino Linotype"/>
          <w:i/>
          <w:sz w:val="22"/>
          <w:szCs w:val="22"/>
        </w:rPr>
        <w:t xml:space="preserve"> El </w:t>
      </w:r>
      <w:r w:rsidRPr="009A1C1B">
        <w:rPr>
          <w:rFonts w:ascii="Palatino Linotype" w:eastAsia="Palatino Linotype" w:hAnsi="Palatino Linotype" w:cs="Palatino Linotype"/>
          <w:b/>
          <w:i/>
          <w:sz w:val="22"/>
          <w:szCs w:val="22"/>
        </w:rPr>
        <w:t>acuerdo que clasifique la información como confidencial</w:t>
      </w:r>
      <w:r w:rsidRPr="009A1C1B">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7EB1347A" w14:textId="77777777" w:rsidR="004E6904" w:rsidRPr="009A1C1B" w:rsidRDefault="00063E7D">
      <w:pPr>
        <w:spacing w:line="360" w:lineRule="auto"/>
        <w:ind w:right="51"/>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Es decir,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w:t>
      </w:r>
      <w:r w:rsidRPr="009A1C1B">
        <w:rPr>
          <w:rFonts w:ascii="Palatino Linotype" w:eastAsia="Palatino Linotype" w:hAnsi="Palatino Linotype" w:cs="Palatino Linotype"/>
          <w:sz w:val="22"/>
          <w:szCs w:val="22"/>
        </w:rPr>
        <w:lastRenderedPageBreak/>
        <w:t>de manera puntual las razones de la versión pública de la documentación entregada se estaría violentando el derecho de acceso a la información de la parte solicitante.</w:t>
      </w:r>
    </w:p>
    <w:p w14:paraId="6F371D03"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3060DD20" w14:textId="77777777" w:rsidR="004E6904" w:rsidRPr="009A1C1B" w:rsidRDefault="00063E7D">
      <w:pPr>
        <w:spacing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 xml:space="preserve">Al respecto, se destaca que la versión pública que elabore el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9A1C1B">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9A1C1B">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F0FD0CC" w14:textId="77777777" w:rsidR="004E6904" w:rsidRPr="009A1C1B" w:rsidRDefault="004E6904">
      <w:pPr>
        <w:ind w:left="709" w:right="709"/>
        <w:jc w:val="both"/>
        <w:rPr>
          <w:rFonts w:ascii="Palatino Linotype" w:eastAsia="Palatino Linotype" w:hAnsi="Palatino Linotype" w:cs="Palatino Linotype"/>
          <w:b/>
          <w:i/>
          <w:sz w:val="22"/>
          <w:szCs w:val="22"/>
        </w:rPr>
      </w:pPr>
    </w:p>
    <w:p w14:paraId="6CC9D01D"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1541D69C"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i/>
          <w:sz w:val="22"/>
          <w:szCs w:val="22"/>
        </w:rPr>
        <w:t>“</w:t>
      </w:r>
      <w:proofErr w:type="gramStart"/>
      <w:r w:rsidRPr="009A1C1B">
        <w:rPr>
          <w:rFonts w:ascii="Palatino Linotype" w:eastAsia="Palatino Linotype" w:hAnsi="Palatino Linotype" w:cs="Palatino Linotype"/>
          <w:b/>
          <w:i/>
          <w:sz w:val="22"/>
          <w:szCs w:val="22"/>
        </w:rPr>
        <w:t>Segundo.-</w:t>
      </w:r>
      <w:proofErr w:type="gramEnd"/>
      <w:r w:rsidRPr="009A1C1B">
        <w:rPr>
          <w:rFonts w:ascii="Palatino Linotype" w:eastAsia="Palatino Linotype" w:hAnsi="Palatino Linotype" w:cs="Palatino Linotype"/>
          <w:i/>
          <w:sz w:val="22"/>
          <w:szCs w:val="22"/>
        </w:rPr>
        <w:t xml:space="preserve"> Para efectos de los presentes Lineamientos Generales, se entenderá por:</w:t>
      </w:r>
    </w:p>
    <w:p w14:paraId="19D2CBB5"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t>XVIII.</w:t>
      </w:r>
      <w:r w:rsidRPr="009A1C1B">
        <w:rPr>
          <w:rFonts w:ascii="Palatino Linotype" w:eastAsia="Palatino Linotype" w:hAnsi="Palatino Linotype" w:cs="Palatino Linotype"/>
          <w:i/>
          <w:sz w:val="22"/>
          <w:szCs w:val="22"/>
        </w:rPr>
        <w:t xml:space="preserve"> </w:t>
      </w:r>
      <w:r w:rsidRPr="009A1C1B">
        <w:rPr>
          <w:rFonts w:ascii="Palatino Linotype" w:eastAsia="Palatino Linotype" w:hAnsi="Palatino Linotype" w:cs="Palatino Linotype"/>
          <w:b/>
          <w:i/>
          <w:sz w:val="22"/>
          <w:szCs w:val="22"/>
        </w:rPr>
        <w:t>Versión pública:</w:t>
      </w:r>
      <w:r w:rsidRPr="009A1C1B">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9A1C1B">
        <w:rPr>
          <w:rFonts w:ascii="Palatino Linotype" w:eastAsia="Palatino Linotype" w:hAnsi="Palatino Linotype" w:cs="Palatino Linotype"/>
          <w:b/>
          <w:i/>
          <w:sz w:val="22"/>
          <w:szCs w:val="22"/>
          <w:u w:val="single"/>
        </w:rPr>
        <w:t>fundando y motivando la</w:t>
      </w:r>
      <w:r w:rsidRPr="009A1C1B">
        <w:rPr>
          <w:rFonts w:ascii="Palatino Linotype" w:eastAsia="Palatino Linotype" w:hAnsi="Palatino Linotype" w:cs="Palatino Linotype"/>
          <w:i/>
          <w:sz w:val="22"/>
          <w:szCs w:val="22"/>
        </w:rPr>
        <w:t xml:space="preserve"> reserva o </w:t>
      </w:r>
      <w:r w:rsidRPr="009A1C1B">
        <w:rPr>
          <w:rFonts w:ascii="Palatino Linotype" w:eastAsia="Palatino Linotype" w:hAnsi="Palatino Linotype" w:cs="Palatino Linotype"/>
          <w:b/>
          <w:i/>
          <w:sz w:val="22"/>
          <w:szCs w:val="22"/>
          <w:u w:val="single"/>
        </w:rPr>
        <w:t>confidencialidad</w:t>
      </w:r>
      <w:r w:rsidRPr="009A1C1B">
        <w:rPr>
          <w:rFonts w:ascii="Palatino Linotype" w:eastAsia="Palatino Linotype" w:hAnsi="Palatino Linotype" w:cs="Palatino Linotype"/>
          <w:i/>
          <w:sz w:val="22"/>
          <w:szCs w:val="22"/>
        </w:rPr>
        <w:t>, a través de la resolución que para tal efecto emita el Comité de Transparencia.</w:t>
      </w:r>
    </w:p>
    <w:p w14:paraId="46DD9899"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t>Cuarto.</w:t>
      </w:r>
      <w:r w:rsidRPr="009A1C1B">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E34081D"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D2814E7"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lastRenderedPageBreak/>
        <w:t>Quinto.</w:t>
      </w:r>
      <w:r w:rsidRPr="009A1C1B">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5B6CFFD"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t>…</w:t>
      </w:r>
    </w:p>
    <w:p w14:paraId="4155F04E"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t>Séptimo.</w:t>
      </w:r>
      <w:r w:rsidRPr="009A1C1B">
        <w:rPr>
          <w:rFonts w:ascii="Palatino Linotype" w:eastAsia="Palatino Linotype" w:hAnsi="Palatino Linotype" w:cs="Palatino Linotype"/>
          <w:i/>
          <w:sz w:val="22"/>
          <w:szCs w:val="22"/>
        </w:rPr>
        <w:t xml:space="preserve"> La clasificación de la información se llevará a cabo en el momento en que:</w:t>
      </w:r>
    </w:p>
    <w:p w14:paraId="18F0C08C"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t>I.</w:t>
      </w:r>
      <w:r w:rsidRPr="009A1C1B">
        <w:rPr>
          <w:rFonts w:ascii="Palatino Linotype" w:eastAsia="Palatino Linotype" w:hAnsi="Palatino Linotype" w:cs="Palatino Linotype"/>
          <w:i/>
          <w:sz w:val="22"/>
          <w:szCs w:val="22"/>
        </w:rPr>
        <w:t xml:space="preserve"> Se reciba una solicitud de acceso a la información;</w:t>
      </w:r>
    </w:p>
    <w:p w14:paraId="67177706" w14:textId="77777777" w:rsidR="004E6904" w:rsidRPr="009A1C1B" w:rsidRDefault="00063E7D">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II.</w:t>
      </w:r>
      <w:r w:rsidRPr="009A1C1B">
        <w:rPr>
          <w:rFonts w:ascii="Palatino Linotype" w:eastAsia="Palatino Linotype" w:hAnsi="Palatino Linotype" w:cs="Palatino Linotype"/>
          <w:i/>
          <w:sz w:val="22"/>
          <w:szCs w:val="22"/>
        </w:rPr>
        <w:t xml:space="preserve"> </w:t>
      </w:r>
      <w:proofErr w:type="gramStart"/>
      <w:r w:rsidRPr="009A1C1B">
        <w:rPr>
          <w:rFonts w:ascii="Palatino Linotype" w:eastAsia="Palatino Linotype" w:hAnsi="Palatino Linotype" w:cs="Palatino Linotype"/>
          <w:i/>
          <w:sz w:val="22"/>
          <w:szCs w:val="22"/>
        </w:rPr>
        <w:t>Se  determine</w:t>
      </w:r>
      <w:proofErr w:type="gramEnd"/>
      <w:r w:rsidRPr="009A1C1B">
        <w:rPr>
          <w:rFonts w:ascii="Palatino Linotype" w:eastAsia="Palatino Linotype" w:hAnsi="Palatino Linotype" w:cs="Palatino Linotype"/>
          <w:i/>
          <w:sz w:val="22"/>
          <w:szCs w:val="22"/>
        </w:rPr>
        <w:t xml:space="preserve"> mediante resolución del Comité de Transparencia, el órgano garante </w:t>
      </w:r>
    </w:p>
    <w:p w14:paraId="0A3E1BEA"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i/>
          <w:sz w:val="22"/>
          <w:szCs w:val="22"/>
        </w:rPr>
        <w:t>competente, o en cumplimiento a una sentencia del Poder Judicial; o</w:t>
      </w:r>
    </w:p>
    <w:p w14:paraId="0BC1A7B8"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t>III.</w:t>
      </w:r>
      <w:r w:rsidRPr="009A1C1B">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1F4BEACE"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E7B93B6"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t>Octavo.</w:t>
      </w:r>
      <w:r w:rsidRPr="009A1C1B">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5DE93C5"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6D7C08F" w14:textId="77777777" w:rsidR="004E6904" w:rsidRPr="009A1C1B" w:rsidRDefault="00063E7D">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E031F89"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t>Noveno.</w:t>
      </w:r>
      <w:r w:rsidRPr="009A1C1B">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8DDD90F"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b/>
          <w:i/>
          <w:sz w:val="22"/>
          <w:szCs w:val="22"/>
        </w:rPr>
        <w:t>Décimo.</w:t>
      </w:r>
      <w:r w:rsidRPr="009A1C1B">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1DCEBE4"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i/>
          <w:sz w:val="22"/>
          <w:szCs w:val="22"/>
        </w:rPr>
        <w:lastRenderedPageBreak/>
        <w:t>En ausencia de los titulares de las áreas, la información será clasificada o desclasificada por la persona que lo supla, en términos de la normativa que rija la actuación del sujeto obligado.</w:t>
      </w:r>
    </w:p>
    <w:p w14:paraId="235262B2" w14:textId="77777777" w:rsidR="004E6904" w:rsidRPr="009A1C1B" w:rsidRDefault="00063E7D">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Décimo primero.</w:t>
      </w:r>
      <w:r w:rsidRPr="009A1C1B">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AA10A7A" w14:textId="77777777" w:rsidR="004E6904" w:rsidRPr="009A1C1B" w:rsidRDefault="004E6904">
      <w:pPr>
        <w:pBdr>
          <w:top w:val="nil"/>
          <w:left w:val="nil"/>
          <w:bottom w:val="nil"/>
          <w:right w:val="nil"/>
          <w:between w:val="nil"/>
        </w:pBdr>
        <w:ind w:right="709"/>
        <w:jc w:val="both"/>
        <w:rPr>
          <w:sz w:val="22"/>
          <w:szCs w:val="22"/>
        </w:rPr>
      </w:pPr>
    </w:p>
    <w:p w14:paraId="7F1BAC8E" w14:textId="77777777" w:rsidR="004E6904" w:rsidRPr="009A1C1B" w:rsidRDefault="00063E7D">
      <w:pPr>
        <w:pBdr>
          <w:top w:val="nil"/>
          <w:left w:val="nil"/>
          <w:bottom w:val="nil"/>
          <w:right w:val="nil"/>
          <w:between w:val="nil"/>
        </w:pBdr>
        <w:ind w:left="709" w:right="709"/>
        <w:jc w:val="both"/>
        <w:rPr>
          <w:sz w:val="22"/>
          <w:szCs w:val="22"/>
        </w:rPr>
      </w:pPr>
      <w:r w:rsidRPr="009A1C1B">
        <w:rPr>
          <w:rFonts w:ascii="Palatino Linotype" w:eastAsia="Palatino Linotype" w:hAnsi="Palatino Linotype" w:cs="Palatino Linotype"/>
          <w:i/>
          <w:sz w:val="22"/>
          <w:szCs w:val="22"/>
        </w:rPr>
        <w:t>[…]</w:t>
      </w:r>
    </w:p>
    <w:p w14:paraId="63B7B34D" w14:textId="77777777" w:rsidR="004E6904" w:rsidRPr="009A1C1B" w:rsidRDefault="00063E7D">
      <w:pPr>
        <w:pBdr>
          <w:top w:val="nil"/>
          <w:left w:val="nil"/>
          <w:bottom w:val="nil"/>
          <w:right w:val="nil"/>
          <w:between w:val="nil"/>
        </w:pBdr>
        <w:ind w:left="709" w:right="709"/>
        <w:jc w:val="center"/>
        <w:rPr>
          <w:sz w:val="22"/>
          <w:szCs w:val="22"/>
        </w:rPr>
      </w:pPr>
      <w:r w:rsidRPr="009A1C1B">
        <w:rPr>
          <w:rFonts w:ascii="Palatino Linotype" w:eastAsia="Palatino Linotype" w:hAnsi="Palatino Linotype" w:cs="Palatino Linotype"/>
          <w:b/>
          <w:i/>
          <w:sz w:val="22"/>
          <w:szCs w:val="22"/>
        </w:rPr>
        <w:t>CAPÍTULO VIII</w:t>
      </w:r>
    </w:p>
    <w:p w14:paraId="19668A95" w14:textId="77777777" w:rsidR="004E6904" w:rsidRPr="009A1C1B" w:rsidRDefault="00063E7D">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b/>
          <w:i/>
          <w:sz w:val="22"/>
          <w:szCs w:val="22"/>
        </w:rPr>
        <w:t>DE LOS ELEMENTOS PARA LA CLASIFICACIÓN</w:t>
      </w:r>
    </w:p>
    <w:p w14:paraId="0DDF4867"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Quincuagésimo</w:t>
      </w:r>
      <w:r w:rsidRPr="009A1C1B">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9E95BD4"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Quincuagésimo primero</w:t>
      </w:r>
      <w:r w:rsidRPr="009A1C1B">
        <w:rPr>
          <w:rFonts w:ascii="Palatino Linotype" w:eastAsia="Palatino Linotype" w:hAnsi="Palatino Linotype" w:cs="Palatino Linotype"/>
          <w:i/>
          <w:sz w:val="22"/>
          <w:szCs w:val="22"/>
        </w:rPr>
        <w:t>. Toda acta del Comité de Transparencia deberá contener:</w:t>
      </w:r>
    </w:p>
    <w:p w14:paraId="1874A7A3"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I. El número de sesión y fecha; </w:t>
      </w:r>
    </w:p>
    <w:p w14:paraId="4E4FE6F7"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II. El nombre del área que solicitó la clasificación de información;</w:t>
      </w:r>
    </w:p>
    <w:p w14:paraId="6A5C67E5"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III. La fundamentación legal y motivación correspondiente;</w:t>
      </w:r>
    </w:p>
    <w:p w14:paraId="760AB80B"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IV. La resolución o resoluciones aprobadas; y</w:t>
      </w:r>
    </w:p>
    <w:p w14:paraId="144387DE"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V. La rúbrica o firma digital de cada integrante del Comité de Transparencia. </w:t>
      </w:r>
    </w:p>
    <w:p w14:paraId="7DC00B83"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B86A5D0"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 Los motivos y razonamientos que sustenten la confirmación o modificación de la prueba de daño;</w:t>
      </w:r>
    </w:p>
    <w:p w14:paraId="0793F4E8"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II. Descripción de las partes o secciones reservadas, en caso de clasificación parcial;</w:t>
      </w:r>
    </w:p>
    <w:p w14:paraId="522721AD"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III. El periodo por el que mantendrá su clasificación y fecha de expiración; y</w:t>
      </w:r>
    </w:p>
    <w:p w14:paraId="4243C8EF"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IV. El nombre del titular y área encargada de realizar la versión pública del documento, en su caso.</w:t>
      </w:r>
    </w:p>
    <w:p w14:paraId="3D803F8F"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C131668"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034F7C3C"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b/>
          <w:i/>
          <w:sz w:val="22"/>
          <w:szCs w:val="22"/>
        </w:rPr>
        <w:t>Quincuagésimo segundo</w:t>
      </w:r>
      <w:r w:rsidRPr="009A1C1B">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B5DC55E"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7696A22"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2199A08"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B36EC2A"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III. Señalar las personas o instancias autorizadas a acceder a la información clasificada.</w:t>
      </w:r>
    </w:p>
    <w:p w14:paraId="150ED722" w14:textId="77777777" w:rsidR="004E6904" w:rsidRPr="009A1C1B" w:rsidRDefault="00063E7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55FFEF4" w14:textId="77777777" w:rsidR="004E6904" w:rsidRPr="009A1C1B" w:rsidRDefault="00063E7D">
      <w:pPr>
        <w:pBdr>
          <w:top w:val="nil"/>
          <w:left w:val="nil"/>
          <w:bottom w:val="nil"/>
          <w:right w:val="nil"/>
          <w:between w:val="nil"/>
        </w:pBdr>
        <w:spacing w:after="160"/>
        <w:ind w:left="709" w:right="709"/>
        <w:jc w:val="both"/>
        <w:rPr>
          <w:sz w:val="22"/>
          <w:szCs w:val="22"/>
        </w:rPr>
      </w:pPr>
      <w:r w:rsidRPr="009A1C1B">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9A1C1B">
        <w:rPr>
          <w:rFonts w:ascii="Palatino Linotype" w:eastAsia="Palatino Linotype" w:hAnsi="Palatino Linotype" w:cs="Palatino Linotype"/>
          <w:i/>
          <w:sz w:val="22"/>
          <w:szCs w:val="22"/>
        </w:rPr>
        <w:t>testado</w:t>
      </w:r>
      <w:proofErr w:type="spellEnd"/>
      <w:r w:rsidRPr="009A1C1B">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7EC4BB0B" w14:textId="77777777" w:rsidR="004E6904" w:rsidRPr="009A1C1B" w:rsidRDefault="004E6904">
      <w:pPr>
        <w:rPr>
          <w:sz w:val="22"/>
          <w:szCs w:val="22"/>
        </w:rPr>
      </w:pPr>
    </w:p>
    <w:p w14:paraId="5C487E1E" w14:textId="77777777" w:rsidR="004E6904" w:rsidRPr="009A1C1B" w:rsidRDefault="00063E7D">
      <w:pPr>
        <w:spacing w:line="360" w:lineRule="auto"/>
        <w:jc w:val="both"/>
        <w:rPr>
          <w:rFonts w:ascii="Palatino Linotype" w:eastAsia="Palatino Linotype" w:hAnsi="Palatino Linotype" w:cs="Palatino Linotype"/>
          <w:sz w:val="22"/>
          <w:szCs w:val="22"/>
        </w:rPr>
      </w:pPr>
      <w:bookmarkStart w:id="5" w:name="_heading=h.lnxbz9" w:colFirst="0" w:colLast="0"/>
      <w:bookmarkEnd w:id="5"/>
      <w:r w:rsidRPr="009A1C1B">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641B3F1B" w14:textId="77777777" w:rsidR="004E6904" w:rsidRPr="009A1C1B" w:rsidRDefault="004E6904">
      <w:pPr>
        <w:spacing w:line="360" w:lineRule="auto"/>
        <w:jc w:val="both"/>
        <w:rPr>
          <w:rFonts w:ascii="Palatino Linotype" w:eastAsia="Palatino Linotype" w:hAnsi="Palatino Linotype" w:cs="Palatino Linotype"/>
          <w:sz w:val="22"/>
          <w:szCs w:val="22"/>
        </w:rPr>
      </w:pPr>
    </w:p>
    <w:p w14:paraId="0450D278" w14:textId="77777777" w:rsidR="004E6904" w:rsidRPr="009A1C1B" w:rsidRDefault="00063E7D">
      <w:pPr>
        <w:shd w:val="clear" w:color="auto" w:fill="FFFFFF"/>
        <w:spacing w:line="360" w:lineRule="auto"/>
        <w:ind w:right="51"/>
        <w:jc w:val="both"/>
        <w:rPr>
          <w:rFonts w:ascii="Palatino Linotype" w:eastAsia="Palatino Linotype" w:hAnsi="Palatino Linotype" w:cs="Palatino Linotype"/>
          <w:sz w:val="22"/>
          <w:szCs w:val="22"/>
        </w:rPr>
      </w:pPr>
      <w:bookmarkStart w:id="6" w:name="_heading=h.4d34og8" w:colFirst="0" w:colLast="0"/>
      <w:bookmarkEnd w:id="6"/>
      <w:r w:rsidRPr="009A1C1B">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a testar, </w:t>
      </w:r>
      <w:r w:rsidRPr="009A1C1B">
        <w:rPr>
          <w:rFonts w:ascii="Palatino Linotype" w:eastAsia="Palatino Linotype" w:hAnsi="Palatino Linotype" w:cs="Palatino Linotype"/>
          <w:sz w:val="22"/>
          <w:szCs w:val="22"/>
        </w:rPr>
        <w:lastRenderedPageBreak/>
        <w:t xml:space="preserve">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9A1C1B">
        <w:rPr>
          <w:rFonts w:ascii="Palatino Linotype" w:eastAsia="Palatino Linotype" w:hAnsi="Palatino Linotype" w:cs="Palatino Linotype"/>
          <w:b/>
          <w:sz w:val="22"/>
          <w:szCs w:val="22"/>
        </w:rPr>
        <w:t>la parte</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Recurrente</w:t>
      </w:r>
      <w:r w:rsidRPr="009A1C1B">
        <w:rPr>
          <w:rFonts w:ascii="Palatino Linotype" w:eastAsia="Palatino Linotype" w:hAnsi="Palatino Linotype" w:cs="Palatino Linotype"/>
          <w:sz w:val="22"/>
          <w:szCs w:val="22"/>
        </w:rPr>
        <w:t>.</w:t>
      </w:r>
    </w:p>
    <w:p w14:paraId="2BA6E909"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Por lo anteriormente expuesto y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3D46D4E3" w14:textId="77777777" w:rsidR="004E6904" w:rsidRPr="009A1C1B" w:rsidRDefault="00063E7D">
      <w:pPr>
        <w:spacing w:before="8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sz w:val="22"/>
          <w:szCs w:val="22"/>
        </w:rPr>
        <w:t>Así, con fundamento en lo prescrito en los</w:t>
      </w:r>
      <w:r w:rsidRPr="009A1C1B">
        <w:rPr>
          <w:sz w:val="22"/>
          <w:szCs w:val="22"/>
        </w:rPr>
        <w:t xml:space="preserve"> </w:t>
      </w:r>
      <w:r w:rsidRPr="009A1C1B">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161E167" w14:textId="77777777" w:rsidR="004E6904" w:rsidRPr="009A1C1B" w:rsidRDefault="00063E7D">
      <w:pPr>
        <w:spacing w:line="259" w:lineRule="auto"/>
        <w:ind w:left="-142" w:right="49"/>
        <w:jc w:val="center"/>
        <w:rPr>
          <w:rFonts w:ascii="Palatino Linotype" w:eastAsia="Palatino Linotype" w:hAnsi="Palatino Linotype" w:cs="Palatino Linotype"/>
          <w:b/>
          <w:sz w:val="28"/>
          <w:szCs w:val="28"/>
        </w:rPr>
      </w:pPr>
      <w:r w:rsidRPr="009A1C1B">
        <w:rPr>
          <w:rFonts w:ascii="Palatino Linotype" w:eastAsia="Palatino Linotype" w:hAnsi="Palatino Linotype" w:cs="Palatino Linotype"/>
          <w:b/>
        </w:rPr>
        <w:t>R E S U E L V E:</w:t>
      </w:r>
    </w:p>
    <w:p w14:paraId="03111D90"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bookmarkStart w:id="7" w:name="_heading=h.3dy6vkm" w:colFirst="0" w:colLast="0"/>
      <w:bookmarkEnd w:id="7"/>
      <w:r w:rsidRPr="009A1C1B">
        <w:rPr>
          <w:rFonts w:ascii="Palatino Linotype" w:eastAsia="Palatino Linotype" w:hAnsi="Palatino Linotype" w:cs="Palatino Linotype"/>
          <w:b/>
          <w:sz w:val="22"/>
          <w:szCs w:val="22"/>
        </w:rPr>
        <w:t xml:space="preserve">Primero. </w:t>
      </w:r>
      <w:r w:rsidRPr="009A1C1B">
        <w:rPr>
          <w:rFonts w:ascii="Palatino Linotype" w:eastAsia="Palatino Linotype" w:hAnsi="Palatino Linotype" w:cs="Palatino Linotype"/>
          <w:sz w:val="22"/>
          <w:szCs w:val="22"/>
        </w:rPr>
        <w:t xml:space="preserve">Resultan </w:t>
      </w:r>
      <w:r w:rsidRPr="009A1C1B">
        <w:rPr>
          <w:rFonts w:ascii="Palatino Linotype" w:eastAsia="Palatino Linotype" w:hAnsi="Palatino Linotype" w:cs="Palatino Linotype"/>
          <w:b/>
          <w:sz w:val="22"/>
          <w:szCs w:val="22"/>
        </w:rPr>
        <w:t>fundadas</w:t>
      </w:r>
      <w:r w:rsidRPr="009A1C1B">
        <w:rPr>
          <w:rFonts w:ascii="Palatino Linotype" w:eastAsia="Palatino Linotype" w:hAnsi="Palatino Linotype" w:cs="Palatino Linotype"/>
          <w:sz w:val="22"/>
          <w:szCs w:val="22"/>
        </w:rPr>
        <w:t xml:space="preserve"> las razones o motivos de inconformidad hechos valer por </w:t>
      </w:r>
      <w:r w:rsidRPr="009A1C1B">
        <w:rPr>
          <w:rFonts w:ascii="Palatino Linotype" w:eastAsia="Palatino Linotype" w:hAnsi="Palatino Linotype" w:cs="Palatino Linotype"/>
          <w:b/>
          <w:sz w:val="22"/>
          <w:szCs w:val="22"/>
        </w:rPr>
        <w:t>la parte Recurrente</w:t>
      </w:r>
      <w:r w:rsidRPr="009A1C1B">
        <w:rPr>
          <w:rFonts w:ascii="Palatino Linotype" w:eastAsia="Palatino Linotype" w:hAnsi="Palatino Linotype" w:cs="Palatino Linotype"/>
          <w:sz w:val="22"/>
          <w:szCs w:val="22"/>
        </w:rPr>
        <w:t xml:space="preserve"> en el recurso de revisión </w:t>
      </w:r>
      <w:r w:rsidRPr="009A1C1B">
        <w:rPr>
          <w:rFonts w:ascii="Palatino Linotype" w:eastAsia="Palatino Linotype" w:hAnsi="Palatino Linotype" w:cs="Palatino Linotype"/>
          <w:b/>
          <w:sz w:val="22"/>
          <w:szCs w:val="22"/>
        </w:rPr>
        <w:t>06589/INFOEM/IP/RR/2024</w:t>
      </w:r>
      <w:r w:rsidRPr="009A1C1B">
        <w:rPr>
          <w:rFonts w:ascii="Palatino Linotype" w:eastAsia="Palatino Linotype" w:hAnsi="Palatino Linotype" w:cs="Palatino Linotype"/>
          <w:sz w:val="22"/>
          <w:szCs w:val="22"/>
        </w:rPr>
        <w:t xml:space="preserve">; por lo que, en términos del </w:t>
      </w:r>
      <w:r w:rsidRPr="009A1C1B">
        <w:rPr>
          <w:rFonts w:ascii="Palatino Linotype" w:eastAsia="Palatino Linotype" w:hAnsi="Palatino Linotype" w:cs="Palatino Linotype"/>
          <w:b/>
          <w:sz w:val="22"/>
          <w:szCs w:val="22"/>
        </w:rPr>
        <w:t>Considerando</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 xml:space="preserve">Cuarto </w:t>
      </w:r>
      <w:r w:rsidRPr="009A1C1B">
        <w:rPr>
          <w:rFonts w:ascii="Palatino Linotype" w:eastAsia="Palatino Linotype" w:hAnsi="Palatino Linotype" w:cs="Palatino Linotype"/>
          <w:sz w:val="22"/>
          <w:szCs w:val="22"/>
        </w:rPr>
        <w:t xml:space="preserve">de esta resolución, se </w:t>
      </w:r>
      <w:r w:rsidRPr="009A1C1B">
        <w:rPr>
          <w:rFonts w:ascii="Palatino Linotype" w:eastAsia="Palatino Linotype" w:hAnsi="Palatino Linotype" w:cs="Palatino Linotype"/>
          <w:b/>
          <w:sz w:val="22"/>
          <w:szCs w:val="22"/>
        </w:rPr>
        <w:t xml:space="preserve">MODIFICA </w:t>
      </w:r>
      <w:r w:rsidRPr="009A1C1B">
        <w:rPr>
          <w:rFonts w:ascii="Palatino Linotype" w:eastAsia="Palatino Linotype" w:hAnsi="Palatino Linotype" w:cs="Palatino Linotype"/>
          <w:sz w:val="22"/>
          <w:szCs w:val="22"/>
        </w:rPr>
        <w:t xml:space="preserve">la respuesta emitida por el </w:t>
      </w:r>
      <w:r w:rsidRPr="009A1C1B">
        <w:rPr>
          <w:rFonts w:ascii="Palatino Linotype" w:eastAsia="Palatino Linotype" w:hAnsi="Palatino Linotype" w:cs="Palatino Linotype"/>
          <w:b/>
          <w:sz w:val="22"/>
          <w:szCs w:val="22"/>
        </w:rPr>
        <w:t xml:space="preserve">Sujeto Obligado. </w:t>
      </w:r>
    </w:p>
    <w:p w14:paraId="42A7DB6E" w14:textId="77777777" w:rsidR="00806CD6" w:rsidRDefault="00806CD6">
      <w:pPr>
        <w:spacing w:before="240" w:after="240" w:line="360" w:lineRule="auto"/>
        <w:ind w:right="49"/>
        <w:jc w:val="both"/>
        <w:rPr>
          <w:rFonts w:ascii="Palatino Linotype" w:eastAsia="Palatino Linotype" w:hAnsi="Palatino Linotype" w:cs="Palatino Linotype"/>
          <w:b/>
          <w:sz w:val="22"/>
          <w:szCs w:val="22"/>
        </w:rPr>
      </w:pPr>
      <w:bookmarkStart w:id="8" w:name="_heading=h.17dp8vu" w:colFirst="0" w:colLast="0"/>
      <w:bookmarkEnd w:id="8"/>
    </w:p>
    <w:p w14:paraId="3C99D4B1" w14:textId="77777777" w:rsidR="004E6904" w:rsidRPr="009A1C1B" w:rsidRDefault="00063E7D">
      <w:pPr>
        <w:spacing w:before="240" w:after="240" w:line="360" w:lineRule="auto"/>
        <w:ind w:right="49"/>
        <w:jc w:val="both"/>
        <w:rPr>
          <w:rFonts w:ascii="Palatino Linotype" w:eastAsia="Palatino Linotype" w:hAnsi="Palatino Linotype" w:cs="Palatino Linotype"/>
          <w:b/>
          <w:sz w:val="22"/>
          <w:szCs w:val="22"/>
          <w:u w:val="single"/>
        </w:rPr>
      </w:pPr>
      <w:r w:rsidRPr="009A1C1B">
        <w:rPr>
          <w:rFonts w:ascii="Palatino Linotype" w:eastAsia="Palatino Linotype" w:hAnsi="Palatino Linotype" w:cs="Palatino Linotype"/>
          <w:b/>
          <w:sz w:val="22"/>
          <w:szCs w:val="22"/>
        </w:rPr>
        <w:lastRenderedPageBreak/>
        <w:t xml:space="preserve">Segundo. </w:t>
      </w:r>
      <w:r w:rsidRPr="009A1C1B">
        <w:rPr>
          <w:rFonts w:ascii="Palatino Linotype" w:eastAsia="Palatino Linotype" w:hAnsi="Palatino Linotype" w:cs="Palatino Linotype"/>
          <w:sz w:val="22"/>
          <w:szCs w:val="22"/>
        </w:rPr>
        <w:t xml:space="preserve">Se </w:t>
      </w:r>
      <w:r w:rsidRPr="009A1C1B">
        <w:rPr>
          <w:rFonts w:ascii="Palatino Linotype" w:eastAsia="Palatino Linotype" w:hAnsi="Palatino Linotype" w:cs="Palatino Linotype"/>
          <w:b/>
          <w:sz w:val="22"/>
          <w:szCs w:val="22"/>
        </w:rPr>
        <w:t xml:space="preserve">Ordena </w:t>
      </w:r>
      <w:r w:rsidRPr="009A1C1B">
        <w:rPr>
          <w:rFonts w:ascii="Palatino Linotype" w:eastAsia="Palatino Linotype" w:hAnsi="Palatino Linotype" w:cs="Palatino Linotype"/>
          <w:sz w:val="22"/>
          <w:szCs w:val="22"/>
        </w:rPr>
        <w:t xml:space="preserve">al </w:t>
      </w:r>
      <w:r w:rsidRPr="009A1C1B">
        <w:rPr>
          <w:rFonts w:ascii="Palatino Linotype" w:eastAsia="Palatino Linotype" w:hAnsi="Palatino Linotype" w:cs="Palatino Linotype"/>
          <w:b/>
          <w:sz w:val="22"/>
          <w:szCs w:val="22"/>
        </w:rPr>
        <w:t>Sujeto Obligado</w:t>
      </w:r>
      <w:r w:rsidRPr="009A1C1B">
        <w:rPr>
          <w:rFonts w:ascii="Palatino Linotype" w:eastAsia="Palatino Linotype" w:hAnsi="Palatino Linotype" w:cs="Palatino Linotype"/>
          <w:sz w:val="22"/>
          <w:szCs w:val="22"/>
        </w:rPr>
        <w:t xml:space="preserve"> haga entrega, previa búsqueda exhaustiva y razonable, </w:t>
      </w:r>
      <w:r w:rsidRPr="009A1C1B">
        <w:rPr>
          <w:rFonts w:ascii="Palatino Linotype" w:eastAsia="Palatino Linotype" w:hAnsi="Palatino Linotype" w:cs="Palatino Linotype"/>
          <w:b/>
          <w:sz w:val="22"/>
          <w:szCs w:val="22"/>
        </w:rPr>
        <w:t>en versión pública de ser procedente</w:t>
      </w:r>
      <w:r w:rsidRPr="009A1C1B">
        <w:rPr>
          <w:rFonts w:ascii="Palatino Linotype" w:eastAsia="Palatino Linotype" w:hAnsi="Palatino Linotype" w:cs="Palatino Linotype"/>
          <w:sz w:val="22"/>
          <w:szCs w:val="22"/>
        </w:rPr>
        <w:t>, a</w:t>
      </w:r>
      <w:r w:rsidRPr="009A1C1B">
        <w:rPr>
          <w:rFonts w:ascii="Palatino Linotype" w:eastAsia="Palatino Linotype" w:hAnsi="Palatino Linotype" w:cs="Palatino Linotype"/>
          <w:b/>
          <w:sz w:val="22"/>
          <w:szCs w:val="22"/>
        </w:rPr>
        <w:t xml:space="preserve"> la parte Recurrente,</w:t>
      </w:r>
      <w:r w:rsidRPr="009A1C1B">
        <w:rPr>
          <w:rFonts w:ascii="Palatino Linotype" w:eastAsia="Palatino Linotype" w:hAnsi="Palatino Linotype" w:cs="Palatino Linotype"/>
          <w:sz w:val="22"/>
          <w:szCs w:val="22"/>
        </w:rPr>
        <w:t xml:space="preserve"> vía </w:t>
      </w:r>
      <w:r w:rsidRPr="009A1C1B">
        <w:rPr>
          <w:rFonts w:ascii="Palatino Linotype" w:eastAsia="Palatino Linotype" w:hAnsi="Palatino Linotype" w:cs="Palatino Linotype"/>
          <w:b/>
          <w:sz w:val="22"/>
          <w:szCs w:val="22"/>
        </w:rPr>
        <w:t xml:space="preserve">SAIMEX, </w:t>
      </w:r>
      <w:r w:rsidRPr="009A1C1B">
        <w:rPr>
          <w:rFonts w:ascii="Palatino Linotype" w:eastAsia="Palatino Linotype" w:hAnsi="Palatino Linotype" w:cs="Palatino Linotype"/>
          <w:sz w:val="22"/>
          <w:szCs w:val="22"/>
        </w:rPr>
        <w:t xml:space="preserve">en términos de los </w:t>
      </w:r>
      <w:r w:rsidRPr="009A1C1B">
        <w:rPr>
          <w:rFonts w:ascii="Palatino Linotype" w:eastAsia="Palatino Linotype" w:hAnsi="Palatino Linotype" w:cs="Palatino Linotype"/>
          <w:b/>
          <w:sz w:val="22"/>
          <w:szCs w:val="22"/>
        </w:rPr>
        <w:t>Considerandos</w:t>
      </w:r>
      <w:r w:rsidRPr="009A1C1B">
        <w:rPr>
          <w:rFonts w:ascii="Palatino Linotype" w:eastAsia="Palatino Linotype" w:hAnsi="Palatino Linotype" w:cs="Palatino Linotype"/>
          <w:sz w:val="22"/>
          <w:szCs w:val="22"/>
        </w:rPr>
        <w:t xml:space="preserve"> </w:t>
      </w:r>
      <w:r w:rsidRPr="009A1C1B">
        <w:rPr>
          <w:rFonts w:ascii="Palatino Linotype" w:eastAsia="Palatino Linotype" w:hAnsi="Palatino Linotype" w:cs="Palatino Linotype"/>
          <w:b/>
          <w:sz w:val="22"/>
          <w:szCs w:val="22"/>
        </w:rPr>
        <w:t xml:space="preserve">Cuarto y Quinto de la presente resolución, del primero de enero de dos mil veintidós al veinticinco de septiembre de dos mil veinticuatro, respecto al gasto por concepto de compra de consumibles, los </w:t>
      </w:r>
      <w:r w:rsidRPr="009A1C1B">
        <w:rPr>
          <w:rFonts w:ascii="Palatino Linotype" w:eastAsia="Palatino Linotype" w:hAnsi="Palatino Linotype" w:cs="Palatino Linotype"/>
          <w:b/>
          <w:sz w:val="22"/>
          <w:szCs w:val="22"/>
          <w:u w:val="single"/>
        </w:rPr>
        <w:t xml:space="preserve">documentos donde conste o se advierta </w:t>
      </w:r>
      <w:proofErr w:type="gramStart"/>
      <w:r w:rsidRPr="009A1C1B">
        <w:rPr>
          <w:rFonts w:ascii="Palatino Linotype" w:eastAsia="Palatino Linotype" w:hAnsi="Palatino Linotype" w:cs="Palatino Linotype"/>
          <w:b/>
          <w:sz w:val="22"/>
          <w:szCs w:val="22"/>
          <w:u w:val="single"/>
        </w:rPr>
        <w:t>lo  siguiente</w:t>
      </w:r>
      <w:proofErr w:type="gramEnd"/>
      <w:r w:rsidRPr="009A1C1B">
        <w:rPr>
          <w:rFonts w:ascii="Palatino Linotype" w:eastAsia="Palatino Linotype" w:hAnsi="Palatino Linotype" w:cs="Palatino Linotype"/>
          <w:b/>
          <w:sz w:val="22"/>
          <w:szCs w:val="22"/>
          <w:u w:val="single"/>
        </w:rPr>
        <w:t xml:space="preserve">: </w:t>
      </w:r>
    </w:p>
    <w:p w14:paraId="748170F3" w14:textId="77777777" w:rsidR="004E6904" w:rsidRPr="009A1C1B" w:rsidRDefault="00063E7D">
      <w:pPr>
        <w:numPr>
          <w:ilvl w:val="0"/>
          <w:numId w:val="4"/>
        </w:numPr>
        <w:pBdr>
          <w:top w:val="nil"/>
          <w:left w:val="nil"/>
          <w:bottom w:val="nil"/>
          <w:right w:val="nil"/>
          <w:between w:val="nil"/>
        </w:pBdr>
        <w:spacing w:before="240" w:line="360" w:lineRule="auto"/>
        <w:ind w:left="567" w:right="49" w:hanging="141"/>
        <w:jc w:val="both"/>
        <w:rPr>
          <w:rFonts w:ascii="Palatino Linotype" w:eastAsia="Palatino Linotype" w:hAnsi="Palatino Linotype" w:cs="Palatino Linotype"/>
          <w:b/>
          <w:i/>
          <w:sz w:val="22"/>
          <w:szCs w:val="22"/>
        </w:rPr>
      </w:pPr>
      <w:r w:rsidRPr="009A1C1B">
        <w:rPr>
          <w:rFonts w:ascii="Palatino Linotype" w:eastAsia="Palatino Linotype" w:hAnsi="Palatino Linotype" w:cs="Palatino Linotype"/>
          <w:b/>
          <w:i/>
          <w:sz w:val="22"/>
          <w:szCs w:val="22"/>
        </w:rPr>
        <w:t>Nombre de los proveedores.</w:t>
      </w:r>
    </w:p>
    <w:p w14:paraId="24D714A3" w14:textId="77777777" w:rsidR="004E6904" w:rsidRPr="009A1C1B" w:rsidRDefault="00063E7D">
      <w:pPr>
        <w:numPr>
          <w:ilvl w:val="0"/>
          <w:numId w:val="4"/>
        </w:numPr>
        <w:pBdr>
          <w:top w:val="nil"/>
          <w:left w:val="nil"/>
          <w:bottom w:val="nil"/>
          <w:right w:val="nil"/>
          <w:between w:val="nil"/>
        </w:pBdr>
        <w:spacing w:line="360" w:lineRule="auto"/>
        <w:ind w:left="567" w:right="49" w:hanging="141"/>
        <w:jc w:val="both"/>
        <w:rPr>
          <w:rFonts w:ascii="Palatino Linotype" w:eastAsia="Palatino Linotype" w:hAnsi="Palatino Linotype" w:cs="Palatino Linotype"/>
          <w:b/>
          <w:i/>
          <w:sz w:val="22"/>
          <w:szCs w:val="22"/>
        </w:rPr>
      </w:pPr>
      <w:bookmarkStart w:id="9" w:name="_heading=h.2et92p0" w:colFirst="0" w:colLast="0"/>
      <w:bookmarkEnd w:id="9"/>
      <w:r w:rsidRPr="009A1C1B">
        <w:rPr>
          <w:rFonts w:ascii="Palatino Linotype" w:eastAsia="Palatino Linotype" w:hAnsi="Palatino Linotype" w:cs="Palatino Linotype"/>
          <w:b/>
          <w:i/>
          <w:sz w:val="22"/>
          <w:szCs w:val="22"/>
        </w:rPr>
        <w:t>Pólizas de egresos.</w:t>
      </w:r>
    </w:p>
    <w:p w14:paraId="6A3F7C84" w14:textId="77777777" w:rsidR="004E6904" w:rsidRPr="009A1C1B" w:rsidRDefault="00063E7D">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9A1C1B">
        <w:rPr>
          <w:rFonts w:ascii="Palatino Linotype" w:eastAsia="Palatino Linotype" w:hAnsi="Palatino Linotype" w:cs="Palatino Linotype"/>
          <w:b/>
          <w:i/>
          <w:sz w:val="22"/>
          <w:szCs w:val="22"/>
        </w:rPr>
        <w:t>la parte Recurrente</w:t>
      </w:r>
      <w:r w:rsidRPr="009A1C1B">
        <w:rPr>
          <w:rFonts w:ascii="Palatino Linotype" w:eastAsia="Palatino Linotype" w:hAnsi="Palatino Linotype" w:cs="Palatino Linotype"/>
          <w:i/>
          <w:sz w:val="22"/>
          <w:szCs w:val="22"/>
        </w:rPr>
        <w:t>.</w:t>
      </w:r>
    </w:p>
    <w:p w14:paraId="2098C2D9" w14:textId="77777777" w:rsidR="004E6904" w:rsidRPr="009A1C1B" w:rsidRDefault="00063E7D">
      <w:pPr>
        <w:pBdr>
          <w:top w:val="nil"/>
          <w:left w:val="nil"/>
          <w:bottom w:val="nil"/>
          <w:right w:val="nil"/>
          <w:between w:val="nil"/>
        </w:pBdr>
        <w:spacing w:before="240" w:line="276" w:lineRule="auto"/>
        <w:ind w:left="567" w:right="758"/>
        <w:jc w:val="both"/>
        <w:rPr>
          <w:rFonts w:ascii="Palatino Linotype" w:eastAsia="Palatino Linotype" w:hAnsi="Palatino Linotype" w:cs="Palatino Linotype"/>
          <w:i/>
          <w:sz w:val="22"/>
          <w:szCs w:val="22"/>
        </w:rPr>
      </w:pPr>
      <w:r w:rsidRPr="009A1C1B">
        <w:rPr>
          <w:rFonts w:ascii="Palatino Linotype" w:eastAsia="Palatino Linotype" w:hAnsi="Palatino Linotype" w:cs="Palatino Linotype"/>
          <w:i/>
          <w:sz w:val="22"/>
          <w:szCs w:val="22"/>
        </w:rPr>
        <w:t xml:space="preserve">En el supuesto en el que </w:t>
      </w:r>
      <w:r w:rsidRPr="009A1C1B">
        <w:rPr>
          <w:rFonts w:ascii="Palatino Linotype" w:eastAsia="Palatino Linotype" w:hAnsi="Palatino Linotype" w:cs="Palatino Linotype"/>
          <w:b/>
          <w:i/>
          <w:sz w:val="22"/>
          <w:szCs w:val="22"/>
          <w:u w:val="single"/>
        </w:rPr>
        <w:t>en alguno de los meses en los que se ordena la información, no haya erogado recursos para la adquisición de consumibles</w:t>
      </w:r>
      <w:r w:rsidRPr="009A1C1B">
        <w:rPr>
          <w:rFonts w:ascii="Palatino Linotype" w:eastAsia="Palatino Linotype" w:hAnsi="Palatino Linotype" w:cs="Palatino Linotype"/>
          <w:i/>
          <w:sz w:val="22"/>
          <w:szCs w:val="22"/>
        </w:rPr>
        <w:t xml:space="preserve">, bastará con que así lo haga del conocimiento de </w:t>
      </w:r>
      <w:r w:rsidRPr="009A1C1B">
        <w:rPr>
          <w:rFonts w:ascii="Palatino Linotype" w:eastAsia="Palatino Linotype" w:hAnsi="Palatino Linotype" w:cs="Palatino Linotype"/>
          <w:b/>
          <w:i/>
          <w:sz w:val="22"/>
          <w:szCs w:val="22"/>
        </w:rPr>
        <w:t>la parte Recurrente</w:t>
      </w:r>
      <w:r w:rsidRPr="009A1C1B">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w:t>
      </w:r>
    </w:p>
    <w:p w14:paraId="1F77D214"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t xml:space="preserve">Tercero.  Notifíquese vía SAIMEX, </w:t>
      </w:r>
      <w:r w:rsidRPr="009A1C1B">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C31B89" w14:textId="77777777" w:rsidR="004E6904" w:rsidRPr="009A1C1B" w:rsidRDefault="00063E7D">
      <w:pPr>
        <w:spacing w:before="240" w:after="240" w:line="360" w:lineRule="auto"/>
        <w:jc w:val="both"/>
        <w:rPr>
          <w:rFonts w:ascii="Palatino Linotype" w:eastAsia="Palatino Linotype" w:hAnsi="Palatino Linotype" w:cs="Palatino Linotype"/>
          <w:sz w:val="22"/>
          <w:szCs w:val="22"/>
        </w:rPr>
      </w:pPr>
      <w:r w:rsidRPr="009A1C1B">
        <w:rPr>
          <w:rFonts w:ascii="Palatino Linotype" w:eastAsia="Palatino Linotype" w:hAnsi="Palatino Linotype" w:cs="Palatino Linotype"/>
          <w:b/>
          <w:sz w:val="22"/>
          <w:szCs w:val="22"/>
        </w:rPr>
        <w:lastRenderedPageBreak/>
        <w:t xml:space="preserve">Cuarto. </w:t>
      </w:r>
      <w:r w:rsidRPr="009A1C1B">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204418B" w14:textId="77777777" w:rsidR="004E6904" w:rsidRPr="009A1C1B" w:rsidRDefault="00063E7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bookmarkStart w:id="10" w:name="_heading=h.1fob9te" w:colFirst="0" w:colLast="0"/>
      <w:bookmarkEnd w:id="10"/>
      <w:r w:rsidRPr="009A1C1B">
        <w:rPr>
          <w:rFonts w:ascii="Palatino Linotype" w:eastAsia="Palatino Linotype" w:hAnsi="Palatino Linotype" w:cs="Palatino Linotype"/>
          <w:b/>
          <w:sz w:val="22"/>
          <w:szCs w:val="22"/>
        </w:rPr>
        <w:t xml:space="preserve">Quinto. Notifíquese vía SAIMEX, </w:t>
      </w:r>
      <w:r w:rsidRPr="009A1C1B">
        <w:rPr>
          <w:rFonts w:ascii="Palatino Linotype" w:eastAsia="Palatino Linotype" w:hAnsi="Palatino Linotype" w:cs="Palatino Linotype"/>
          <w:sz w:val="22"/>
          <w:szCs w:val="22"/>
        </w:rPr>
        <w:t>a</w:t>
      </w:r>
      <w:r w:rsidRPr="009A1C1B">
        <w:rPr>
          <w:rFonts w:ascii="Palatino Linotype" w:eastAsia="Palatino Linotype" w:hAnsi="Palatino Linotype" w:cs="Palatino Linotype"/>
          <w:b/>
          <w:sz w:val="22"/>
          <w:szCs w:val="22"/>
        </w:rPr>
        <w:t xml:space="preserve"> la parte Recurrente</w:t>
      </w:r>
      <w:r w:rsidRPr="009A1C1B">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w:t>
      </w:r>
    </w:p>
    <w:p w14:paraId="1853451E" w14:textId="77777777" w:rsidR="004E6904" w:rsidRPr="009A1C1B" w:rsidRDefault="00063E7D">
      <w:pPr>
        <w:spacing w:before="240" w:after="240" w:line="360" w:lineRule="auto"/>
        <w:jc w:val="both"/>
        <w:rPr>
          <w:rFonts w:ascii="Palatino Linotype" w:eastAsia="Palatino Linotype" w:hAnsi="Palatino Linotype" w:cs="Palatino Linotype"/>
        </w:rPr>
      </w:pPr>
      <w:r w:rsidRPr="009A1C1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14:paraId="4D8F5EA6" w14:textId="77777777" w:rsidR="004E6904" w:rsidRPr="009A1C1B" w:rsidRDefault="004E6904">
      <w:pPr>
        <w:spacing w:before="240" w:after="240" w:line="360" w:lineRule="auto"/>
        <w:jc w:val="both"/>
        <w:rPr>
          <w:rFonts w:ascii="Palatino Linotype" w:eastAsia="Palatino Linotype" w:hAnsi="Palatino Linotype" w:cs="Palatino Linotype"/>
        </w:rPr>
      </w:pPr>
    </w:p>
    <w:p w14:paraId="102EDC7A" w14:textId="77777777" w:rsidR="004E6904" w:rsidRPr="009A1C1B" w:rsidRDefault="004E6904">
      <w:pPr>
        <w:spacing w:before="240" w:after="240" w:line="360" w:lineRule="auto"/>
        <w:jc w:val="both"/>
        <w:rPr>
          <w:rFonts w:ascii="Palatino Linotype" w:eastAsia="Palatino Linotype" w:hAnsi="Palatino Linotype" w:cs="Palatino Linotype"/>
        </w:rPr>
      </w:pPr>
    </w:p>
    <w:p w14:paraId="70CCE373" w14:textId="77777777" w:rsidR="004E6904" w:rsidRPr="009A1C1B" w:rsidRDefault="004E6904">
      <w:pPr>
        <w:spacing w:before="240" w:after="240" w:line="360" w:lineRule="auto"/>
        <w:jc w:val="both"/>
        <w:rPr>
          <w:rFonts w:ascii="Palatino Linotype" w:eastAsia="Palatino Linotype" w:hAnsi="Palatino Linotype" w:cs="Palatino Linotype"/>
        </w:rPr>
      </w:pPr>
    </w:p>
    <w:p w14:paraId="7F3E9647" w14:textId="77777777" w:rsidR="004E6904" w:rsidRPr="009A1C1B" w:rsidRDefault="004E6904">
      <w:pPr>
        <w:spacing w:before="240" w:after="240" w:line="360" w:lineRule="auto"/>
        <w:jc w:val="both"/>
        <w:rPr>
          <w:rFonts w:ascii="Palatino Linotype" w:eastAsia="Palatino Linotype" w:hAnsi="Palatino Linotype" w:cs="Palatino Linotype"/>
        </w:rPr>
      </w:pPr>
    </w:p>
    <w:p w14:paraId="1F182A64" w14:textId="77777777" w:rsidR="004E6904" w:rsidRPr="009A1C1B" w:rsidRDefault="004E6904">
      <w:pPr>
        <w:spacing w:before="240" w:after="240" w:line="360" w:lineRule="auto"/>
        <w:jc w:val="both"/>
        <w:rPr>
          <w:rFonts w:ascii="Palatino Linotype" w:eastAsia="Palatino Linotype" w:hAnsi="Palatino Linotype" w:cs="Palatino Linotype"/>
        </w:rPr>
      </w:pPr>
    </w:p>
    <w:p w14:paraId="7D1EF6E5" w14:textId="77777777" w:rsidR="004E6904" w:rsidRPr="009A1C1B" w:rsidRDefault="004E6904">
      <w:pPr>
        <w:spacing w:before="240" w:after="240" w:line="360" w:lineRule="auto"/>
        <w:jc w:val="both"/>
        <w:rPr>
          <w:rFonts w:ascii="Palatino Linotype" w:eastAsia="Palatino Linotype" w:hAnsi="Palatino Linotype" w:cs="Palatino Linotype"/>
        </w:rPr>
      </w:pPr>
    </w:p>
    <w:p w14:paraId="27F2B4B7" w14:textId="77777777" w:rsidR="004E6904" w:rsidRPr="009A1C1B" w:rsidRDefault="004E6904">
      <w:pPr>
        <w:spacing w:before="240" w:after="240" w:line="360" w:lineRule="auto"/>
        <w:jc w:val="both"/>
        <w:rPr>
          <w:rFonts w:ascii="Palatino Linotype" w:eastAsia="Palatino Linotype" w:hAnsi="Palatino Linotype" w:cs="Palatino Linotype"/>
        </w:rPr>
      </w:pPr>
    </w:p>
    <w:p w14:paraId="250B9E55" w14:textId="77777777" w:rsidR="004E6904" w:rsidRPr="009A1C1B" w:rsidRDefault="004E6904">
      <w:pPr>
        <w:spacing w:before="240" w:after="240" w:line="360" w:lineRule="auto"/>
        <w:jc w:val="both"/>
        <w:rPr>
          <w:rFonts w:ascii="Palatino Linotype" w:eastAsia="Palatino Linotype" w:hAnsi="Palatino Linotype" w:cs="Palatino Linotype"/>
        </w:rPr>
      </w:pPr>
    </w:p>
    <w:p w14:paraId="49C5F227" w14:textId="77777777" w:rsidR="004E6904" w:rsidRPr="009A1C1B" w:rsidRDefault="004E6904">
      <w:pPr>
        <w:spacing w:before="240" w:after="240" w:line="360" w:lineRule="auto"/>
        <w:jc w:val="both"/>
        <w:rPr>
          <w:rFonts w:ascii="Palatino Linotype" w:eastAsia="Palatino Linotype" w:hAnsi="Palatino Linotype" w:cs="Palatino Linotype"/>
        </w:rPr>
      </w:pPr>
    </w:p>
    <w:p w14:paraId="49E7A2C0" w14:textId="77777777" w:rsidR="004E6904" w:rsidRPr="009A1C1B" w:rsidRDefault="004E6904">
      <w:pPr>
        <w:spacing w:before="240" w:after="240" w:line="360" w:lineRule="auto"/>
        <w:jc w:val="both"/>
        <w:rPr>
          <w:rFonts w:ascii="Palatino Linotype" w:eastAsia="Palatino Linotype" w:hAnsi="Palatino Linotype" w:cs="Palatino Linotype"/>
        </w:rPr>
      </w:pPr>
    </w:p>
    <w:p w14:paraId="565B7EC2" w14:textId="77777777" w:rsidR="004E6904" w:rsidRPr="009A1C1B" w:rsidRDefault="004E6904">
      <w:pPr>
        <w:spacing w:before="240" w:after="240" w:line="360" w:lineRule="auto"/>
        <w:jc w:val="both"/>
        <w:rPr>
          <w:rFonts w:ascii="Palatino Linotype" w:eastAsia="Palatino Linotype" w:hAnsi="Palatino Linotype" w:cs="Palatino Linotype"/>
        </w:rPr>
      </w:pPr>
    </w:p>
    <w:p w14:paraId="0F1ABE9B" w14:textId="77777777" w:rsidR="004E6904" w:rsidRPr="009A1C1B" w:rsidRDefault="004E6904">
      <w:pPr>
        <w:spacing w:before="240" w:after="240" w:line="360" w:lineRule="auto"/>
        <w:jc w:val="both"/>
        <w:rPr>
          <w:rFonts w:ascii="Palatino Linotype" w:eastAsia="Palatino Linotype" w:hAnsi="Palatino Linotype" w:cs="Palatino Linotype"/>
        </w:rPr>
      </w:pPr>
    </w:p>
    <w:p w14:paraId="100F09E4" w14:textId="77777777" w:rsidR="004E6904" w:rsidRPr="009A1C1B" w:rsidRDefault="004E6904">
      <w:pPr>
        <w:spacing w:before="240" w:after="240" w:line="360" w:lineRule="auto"/>
        <w:jc w:val="both"/>
        <w:rPr>
          <w:rFonts w:ascii="Palatino Linotype" w:eastAsia="Palatino Linotype" w:hAnsi="Palatino Linotype" w:cs="Palatino Linotype"/>
        </w:rPr>
      </w:pPr>
    </w:p>
    <w:p w14:paraId="2BFB318B" w14:textId="77777777" w:rsidR="004E6904" w:rsidRPr="009A1C1B" w:rsidRDefault="004E6904">
      <w:pPr>
        <w:spacing w:before="240" w:after="240" w:line="360" w:lineRule="auto"/>
        <w:jc w:val="both"/>
        <w:rPr>
          <w:rFonts w:ascii="Palatino Linotype" w:eastAsia="Palatino Linotype" w:hAnsi="Palatino Linotype" w:cs="Palatino Linotype"/>
        </w:rPr>
      </w:pPr>
    </w:p>
    <w:p w14:paraId="5EA8606F" w14:textId="77777777" w:rsidR="004E6904" w:rsidRPr="009A1C1B" w:rsidRDefault="004E6904">
      <w:pPr>
        <w:spacing w:before="240" w:after="240" w:line="360" w:lineRule="auto"/>
        <w:jc w:val="both"/>
        <w:rPr>
          <w:rFonts w:ascii="Palatino Linotype" w:eastAsia="Palatino Linotype" w:hAnsi="Palatino Linotype" w:cs="Palatino Linotype"/>
        </w:rPr>
      </w:pPr>
    </w:p>
    <w:p w14:paraId="7C887257" w14:textId="77777777" w:rsidR="004E6904" w:rsidRPr="009A1C1B" w:rsidRDefault="004E6904">
      <w:pPr>
        <w:spacing w:before="240" w:after="240" w:line="360" w:lineRule="auto"/>
        <w:jc w:val="both"/>
        <w:rPr>
          <w:rFonts w:ascii="Palatino Linotype" w:eastAsia="Palatino Linotype" w:hAnsi="Palatino Linotype" w:cs="Palatino Linotype"/>
        </w:rPr>
      </w:pPr>
    </w:p>
    <w:sectPr w:rsidR="004E6904" w:rsidRPr="009A1C1B">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B7B8" w14:textId="77777777" w:rsidR="002C7B62" w:rsidRDefault="002C7B62">
      <w:r>
        <w:separator/>
      </w:r>
    </w:p>
  </w:endnote>
  <w:endnote w:type="continuationSeparator" w:id="0">
    <w:p w14:paraId="369DB3FA" w14:textId="77777777" w:rsidR="002C7B62" w:rsidRDefault="002C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9115" w14:textId="77777777" w:rsidR="004E6904" w:rsidRDefault="00063E7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06CD6">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06CD6">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3C999338" w14:textId="77777777" w:rsidR="004E6904" w:rsidRDefault="004E690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5BAF" w14:textId="77777777" w:rsidR="004E6904" w:rsidRDefault="00063E7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06CD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06CD6">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3679F036" w14:textId="77777777" w:rsidR="004E6904" w:rsidRDefault="004E690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9951" w14:textId="77777777" w:rsidR="002C7B62" w:rsidRDefault="002C7B62">
      <w:r>
        <w:separator/>
      </w:r>
    </w:p>
  </w:footnote>
  <w:footnote w:type="continuationSeparator" w:id="0">
    <w:p w14:paraId="05CE7614" w14:textId="77777777" w:rsidR="002C7B62" w:rsidRDefault="002C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7FC0" w14:textId="77777777" w:rsidR="004E6904" w:rsidRDefault="00063E7D">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516CFE5" wp14:editId="573243E1">
          <wp:simplePos x="0" y="0"/>
          <wp:positionH relativeFrom="column">
            <wp:posOffset>-1127117</wp:posOffset>
          </wp:positionH>
          <wp:positionV relativeFrom="paragraph">
            <wp:posOffset>-344797</wp:posOffset>
          </wp:positionV>
          <wp:extent cx="7809865" cy="10165715"/>
          <wp:effectExtent l="0" t="0" r="0" b="0"/>
          <wp:wrapNone/>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6945" w:type="dxa"/>
      <w:tblInd w:w="3261" w:type="dxa"/>
      <w:tblLayout w:type="fixed"/>
      <w:tblLook w:val="0400" w:firstRow="0" w:lastRow="0" w:firstColumn="0" w:lastColumn="0" w:noHBand="0" w:noVBand="1"/>
    </w:tblPr>
    <w:tblGrid>
      <w:gridCol w:w="2489"/>
      <w:gridCol w:w="4456"/>
    </w:tblGrid>
    <w:tr w:rsidR="004E6904" w14:paraId="0600C145" w14:textId="77777777">
      <w:tc>
        <w:tcPr>
          <w:tcW w:w="2489" w:type="dxa"/>
          <w:shd w:val="clear" w:color="auto" w:fill="auto"/>
        </w:tcPr>
        <w:p w14:paraId="1582CE5B" w14:textId="77777777" w:rsidR="004E6904" w:rsidRDefault="00063E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56333839" w14:textId="77777777" w:rsidR="004E6904" w:rsidRDefault="00063E7D">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06589/INFOEM/IP/RR/2024</w:t>
          </w:r>
        </w:p>
      </w:tc>
    </w:tr>
    <w:tr w:rsidR="004E6904" w14:paraId="4EAA071C" w14:textId="77777777">
      <w:trPr>
        <w:trHeight w:val="228"/>
      </w:trPr>
      <w:tc>
        <w:tcPr>
          <w:tcW w:w="2489" w:type="dxa"/>
          <w:shd w:val="clear" w:color="auto" w:fill="auto"/>
          <w:vAlign w:val="center"/>
        </w:tcPr>
        <w:p w14:paraId="66033062" w14:textId="77777777" w:rsidR="004E6904" w:rsidRDefault="00063E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236401E9" w14:textId="77777777" w:rsidR="004E6904" w:rsidRDefault="00063E7D">
          <w:pPr>
            <w:ind w:left="-45" w:right="73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4E6904" w14:paraId="29EE7BBA" w14:textId="77777777">
      <w:tc>
        <w:tcPr>
          <w:tcW w:w="2489" w:type="dxa"/>
          <w:shd w:val="clear" w:color="auto" w:fill="auto"/>
          <w:vAlign w:val="center"/>
        </w:tcPr>
        <w:p w14:paraId="6BDF913D" w14:textId="77777777" w:rsidR="004E6904" w:rsidRDefault="00063E7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7AD3C9B7" w14:textId="77777777" w:rsidR="004E6904" w:rsidRDefault="00063E7D">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D0D46FE" w14:textId="77777777" w:rsidR="004E6904" w:rsidRDefault="00063E7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3853" w14:textId="77777777" w:rsidR="004E6904" w:rsidRDefault="00063E7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3E62F7B7" wp14:editId="75C5ED50">
          <wp:simplePos x="0" y="0"/>
          <wp:positionH relativeFrom="column">
            <wp:posOffset>-1080129</wp:posOffset>
          </wp:positionH>
          <wp:positionV relativeFrom="paragraph">
            <wp:posOffset>-212084</wp:posOffset>
          </wp:positionV>
          <wp:extent cx="7809865" cy="10165715"/>
          <wp:effectExtent l="0" t="0" r="0" b="0"/>
          <wp:wrapNone/>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6520" w:type="dxa"/>
      <w:tblInd w:w="3261" w:type="dxa"/>
      <w:tblLayout w:type="fixed"/>
      <w:tblLook w:val="0400" w:firstRow="0" w:lastRow="0" w:firstColumn="0" w:lastColumn="0" w:noHBand="0" w:noVBand="1"/>
    </w:tblPr>
    <w:tblGrid>
      <w:gridCol w:w="2551"/>
      <w:gridCol w:w="3969"/>
    </w:tblGrid>
    <w:tr w:rsidR="004E6904" w14:paraId="2E76D38F" w14:textId="77777777">
      <w:tc>
        <w:tcPr>
          <w:tcW w:w="2551" w:type="dxa"/>
          <w:shd w:val="clear" w:color="auto" w:fill="auto"/>
          <w:vAlign w:val="center"/>
        </w:tcPr>
        <w:p w14:paraId="0585ACC9" w14:textId="77777777" w:rsidR="004E6904" w:rsidRDefault="00063E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74424C52" w14:textId="77777777" w:rsidR="004E6904" w:rsidRDefault="00063E7D">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06589/INFOEM/IP/RR/2024</w:t>
          </w:r>
        </w:p>
      </w:tc>
    </w:tr>
    <w:tr w:rsidR="004E6904" w14:paraId="5D798192" w14:textId="77777777">
      <w:trPr>
        <w:trHeight w:val="130"/>
      </w:trPr>
      <w:tc>
        <w:tcPr>
          <w:tcW w:w="2551" w:type="dxa"/>
          <w:shd w:val="clear" w:color="auto" w:fill="auto"/>
          <w:vAlign w:val="center"/>
        </w:tcPr>
        <w:p w14:paraId="1F9EF2D6" w14:textId="77777777" w:rsidR="004E6904" w:rsidRDefault="00063E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2FD6C613" w14:textId="77777777" w:rsidR="004E6904" w:rsidRDefault="004E6904">
          <w:pPr>
            <w:ind w:left="-115" w:right="176"/>
            <w:jc w:val="both"/>
            <w:rPr>
              <w:rFonts w:ascii="Palatino Linotype" w:eastAsia="Palatino Linotype" w:hAnsi="Palatino Linotype" w:cs="Palatino Linotype"/>
              <w:b/>
              <w:sz w:val="22"/>
              <w:szCs w:val="22"/>
            </w:rPr>
          </w:pPr>
        </w:p>
      </w:tc>
    </w:tr>
    <w:tr w:rsidR="004E6904" w14:paraId="37B97AF6" w14:textId="77777777">
      <w:trPr>
        <w:trHeight w:val="228"/>
      </w:trPr>
      <w:tc>
        <w:tcPr>
          <w:tcW w:w="2551" w:type="dxa"/>
          <w:shd w:val="clear" w:color="auto" w:fill="auto"/>
          <w:vAlign w:val="center"/>
        </w:tcPr>
        <w:p w14:paraId="196CA07F" w14:textId="77777777" w:rsidR="004E6904" w:rsidRDefault="00063E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755F589" w14:textId="77777777" w:rsidR="004E6904" w:rsidRDefault="00063E7D">
          <w:pPr>
            <w:ind w:left="-115"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4E6904" w14:paraId="084BDA8D" w14:textId="77777777">
      <w:tc>
        <w:tcPr>
          <w:tcW w:w="2551" w:type="dxa"/>
          <w:shd w:val="clear" w:color="auto" w:fill="auto"/>
          <w:vAlign w:val="center"/>
        </w:tcPr>
        <w:p w14:paraId="61AF0250" w14:textId="77777777" w:rsidR="004E6904" w:rsidRDefault="00063E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11F893D4" w14:textId="77777777" w:rsidR="004E6904" w:rsidRDefault="00063E7D">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10BFEFB" w14:textId="77777777" w:rsidR="004E6904" w:rsidRDefault="004E6904">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16F4"/>
    <w:multiLevelType w:val="multilevel"/>
    <w:tmpl w:val="8280F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921B13"/>
    <w:multiLevelType w:val="multilevel"/>
    <w:tmpl w:val="C512E2D0"/>
    <w:lvl w:ilvl="0">
      <w:numFmt w:val="lowerLetter"/>
      <w:pStyle w:val="Listaconvietas3"/>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6075B76"/>
    <w:multiLevelType w:val="multilevel"/>
    <w:tmpl w:val="21260FE2"/>
    <w:lvl w:ilvl="0">
      <w:start w:val="1"/>
      <w:numFmt w:val="decimal"/>
      <w:lvlText w:val="%1."/>
      <w:lvlJc w:val="left"/>
      <w:pPr>
        <w:ind w:left="720" w:hanging="360"/>
      </w:pPr>
    </w:lvl>
    <w:lvl w:ilvl="1">
      <w:start w:val="1"/>
      <w:numFmt w:val="decimal"/>
      <w:lvlText w:val="%2."/>
      <w:lvlJc w:val="left"/>
      <w:pPr>
        <w:ind w:left="36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79D3B2B"/>
    <w:multiLevelType w:val="multilevel"/>
    <w:tmpl w:val="51384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070739"/>
    <w:multiLevelType w:val="multilevel"/>
    <w:tmpl w:val="A66CF79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04"/>
    <w:rsid w:val="00063E7D"/>
    <w:rsid w:val="00221B77"/>
    <w:rsid w:val="002C7B62"/>
    <w:rsid w:val="004E6904"/>
    <w:rsid w:val="00806CD6"/>
    <w:rsid w:val="00861F05"/>
    <w:rsid w:val="008F28EF"/>
    <w:rsid w:val="009A1C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AF87"/>
  <w15:docId w15:val="{BEE75AB3-2590-4235-9FCB-E2A9AC55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Tablaconcuadrcula11">
    <w:name w:val="Tabla con cuadrícula11"/>
    <w:basedOn w:val="Tablanormal"/>
    <w:next w:val="Tablaconcuadrcula"/>
    <w:uiPriority w:val="59"/>
    <w:rsid w:val="00F00C81"/>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6">
    <w:basedOn w:val="TableNormal4"/>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3"/>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3"/>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mamatla-digital.com/conac2024.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CJGzLQ4XuAojm3q0ZI125+Qow==">CgMxLjAyCWguM3pueXNoNzIIaC5namRneHMyCWguMzBqMHpsbDIJaC4yczhleW8xMghoLnR5amN3dDIIaC5sbnhiejkyCWguNGQzNG9nODIJaC4zZHk2dmttMgloLjE3ZHA4dnUyCWguMmV0OTJwMDIJaC4xZm9iOXRlOAByITEyMUFnejlNcVpCNGFVa25jUnRPenEwOGl4QTRhZFpjZA==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11867</Words>
  <Characters>65270</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2024-11-29T18:25:00Z</cp:lastPrinted>
  <dcterms:created xsi:type="dcterms:W3CDTF">2024-12-06T18:34:00Z</dcterms:created>
  <dcterms:modified xsi:type="dcterms:W3CDTF">2024-12-06T18:34:00Z</dcterms:modified>
</cp:coreProperties>
</file>