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693" w:rsidRPr="002C3EC8" w:rsidRDefault="00E66693" w:rsidP="00E66693">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Pr>
          <w:rFonts w:ascii="Palatino Linotype" w:eastAsia="Times New Roman" w:hAnsi="Palatino Linotype" w:cs="Arial"/>
          <w:color w:val="000000"/>
          <w:sz w:val="24"/>
          <w:szCs w:val="24"/>
          <w:lang w:eastAsia="es-MX"/>
        </w:rPr>
        <w:t xml:space="preserve">en Metepec, Estado de México, a </w:t>
      </w:r>
      <w:r w:rsidR="0048270D">
        <w:rPr>
          <w:rFonts w:ascii="Palatino Linotype" w:eastAsia="Times New Roman" w:hAnsi="Palatino Linotype" w:cs="Arial"/>
          <w:color w:val="000000"/>
          <w:sz w:val="24"/>
          <w:szCs w:val="24"/>
          <w:lang w:eastAsia="es-MX"/>
        </w:rPr>
        <w:t>trece</w:t>
      </w:r>
      <w:r>
        <w:rPr>
          <w:rFonts w:ascii="Palatino Linotype" w:eastAsia="Times New Roman" w:hAnsi="Palatino Linotype" w:cs="Arial"/>
          <w:color w:val="000000"/>
          <w:sz w:val="24"/>
          <w:szCs w:val="24"/>
          <w:lang w:eastAsia="es-MX"/>
        </w:rPr>
        <w:t xml:space="preserve"> de noviembre de dos mil veinticuatro</w:t>
      </w:r>
      <w:r w:rsidRPr="002C3EC8">
        <w:rPr>
          <w:rFonts w:ascii="Palatino Linotype" w:eastAsia="Times New Roman" w:hAnsi="Palatino Linotype" w:cs="Arial"/>
          <w:color w:val="000000"/>
          <w:sz w:val="24"/>
          <w:szCs w:val="24"/>
          <w:lang w:eastAsia="es-MX"/>
        </w:rPr>
        <w:t>.</w:t>
      </w:r>
    </w:p>
    <w:p w:rsidR="00E66693" w:rsidRPr="002C3EC8" w:rsidRDefault="00E66693" w:rsidP="00E66693">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2C3EC8">
        <w:rPr>
          <w:rFonts w:ascii="Palatino Linotype" w:hAnsi="Palatino Linotype" w:cs="Arial"/>
          <w:sz w:val="24"/>
        </w:rPr>
        <w:t xml:space="preserve"> expediente</w:t>
      </w:r>
      <w:r>
        <w:rPr>
          <w:rFonts w:ascii="Palatino Linotype" w:hAnsi="Palatino Linotype" w:cs="Arial"/>
          <w:sz w:val="24"/>
        </w:rPr>
        <w:t>s electrónicos formados</w:t>
      </w:r>
      <w:r w:rsidRPr="002C3EC8">
        <w:rPr>
          <w:rFonts w:ascii="Palatino Linotype" w:hAnsi="Palatino Linotype" w:cs="Arial"/>
          <w:sz w:val="24"/>
        </w:rPr>
        <w:t xml:space="preserve"> con motivo</w:t>
      </w:r>
      <w:r>
        <w:rPr>
          <w:rFonts w:ascii="Palatino Linotype" w:hAnsi="Palatino Linotype" w:cs="Arial"/>
          <w:sz w:val="24"/>
        </w:rPr>
        <w:t xml:space="preserve"> de los recursos de revisión números</w:t>
      </w:r>
      <w:r w:rsidRPr="002C3EC8">
        <w:rPr>
          <w:rFonts w:ascii="Palatino Linotype" w:hAnsi="Palatino Linotype" w:cs="Arial"/>
          <w:b/>
          <w:sz w:val="24"/>
        </w:rPr>
        <w:t xml:space="preserve"> </w:t>
      </w:r>
      <w:bookmarkStart w:id="0" w:name="_GoBack"/>
      <w:r w:rsidR="00EC5764">
        <w:rPr>
          <w:rFonts w:ascii="Palatino Linotype" w:hAnsi="Palatino Linotype" w:cs="Arial"/>
          <w:b/>
          <w:sz w:val="24"/>
        </w:rPr>
        <w:t>0</w:t>
      </w:r>
      <w:r>
        <w:rPr>
          <w:rFonts w:ascii="Palatino Linotype" w:hAnsi="Palatino Linotype" w:cs="Arial"/>
          <w:b/>
          <w:bCs/>
          <w:sz w:val="24"/>
          <w:lang w:eastAsia="es-MX"/>
        </w:rPr>
        <w:t>6015/INFOEM/IP/RR/2024</w:t>
      </w:r>
      <w:bookmarkEnd w:id="0"/>
      <w:r>
        <w:rPr>
          <w:rFonts w:ascii="Palatino Linotype" w:hAnsi="Palatino Linotype" w:cs="Arial"/>
          <w:b/>
          <w:bCs/>
          <w:sz w:val="24"/>
          <w:lang w:eastAsia="es-MX"/>
        </w:rPr>
        <w:t xml:space="preserve"> y </w:t>
      </w:r>
      <w:r w:rsidR="00EC5764">
        <w:rPr>
          <w:rFonts w:ascii="Palatino Linotype" w:hAnsi="Palatino Linotype" w:cs="Arial"/>
          <w:b/>
          <w:bCs/>
          <w:sz w:val="24"/>
          <w:lang w:eastAsia="es-MX"/>
        </w:rPr>
        <w:t>0</w:t>
      </w:r>
      <w:r>
        <w:rPr>
          <w:rFonts w:ascii="Palatino Linotype" w:hAnsi="Palatino Linotype" w:cs="Arial"/>
          <w:b/>
          <w:bCs/>
          <w:sz w:val="24"/>
          <w:lang w:eastAsia="es-MX"/>
        </w:rPr>
        <w:t>6016/INFOEM/IP/RR/2024</w:t>
      </w:r>
      <w:r w:rsidRPr="002C3EC8">
        <w:rPr>
          <w:rFonts w:ascii="Palatino Linotype" w:hAnsi="Palatino Linotype" w:cs="Arial"/>
          <w:b/>
          <w:bCs/>
          <w:sz w:val="24"/>
          <w:lang w:eastAsia="es-MX"/>
        </w:rPr>
        <w:t xml:space="preserve">, </w:t>
      </w:r>
      <w:r>
        <w:rPr>
          <w:rFonts w:ascii="Palatino Linotype" w:hAnsi="Palatino Linotype"/>
          <w:sz w:val="24"/>
        </w:rPr>
        <w:t>interpuestos</w:t>
      </w:r>
      <w:r w:rsidRPr="002C3EC8">
        <w:rPr>
          <w:rFonts w:ascii="Palatino Linotype" w:hAnsi="Palatino Linotype"/>
          <w:sz w:val="24"/>
        </w:rPr>
        <w:t xml:space="preserve"> </w:t>
      </w:r>
      <w:r>
        <w:rPr>
          <w:rFonts w:ascii="Palatino Linotype" w:hAnsi="Palatino Linotype"/>
          <w:sz w:val="24"/>
        </w:rPr>
        <w:t>por un particular que no proporcionó nombre o seudónimo</w:t>
      </w:r>
      <w:r w:rsidRPr="002C3EC8">
        <w:rPr>
          <w:rFonts w:ascii="Palatino Linotype" w:hAnsi="Palatino Linotype"/>
          <w:sz w:val="24"/>
        </w:rPr>
        <w:t>,</w:t>
      </w:r>
      <w:r>
        <w:rPr>
          <w:rFonts w:ascii="Palatino Linotype" w:hAnsi="Palatino Linotype"/>
          <w:sz w:val="24"/>
        </w:rPr>
        <w:t xml:space="preserve"> en lo sucesivo la parte </w:t>
      </w:r>
      <w:r w:rsidRPr="002C3EC8">
        <w:rPr>
          <w:rFonts w:ascii="Palatino Linotype" w:hAnsi="Palatino Linotype"/>
          <w:b/>
          <w:sz w:val="24"/>
        </w:rPr>
        <w:t>Recurrente</w:t>
      </w:r>
      <w:r>
        <w:rPr>
          <w:rFonts w:ascii="Palatino Linotype" w:hAnsi="Palatino Linotype"/>
          <w:sz w:val="24"/>
        </w:rPr>
        <w:t>, en contra de las respuestas</w:t>
      </w:r>
      <w:r w:rsidRPr="002C3EC8">
        <w:rPr>
          <w:rFonts w:ascii="Palatino Linotype" w:hAnsi="Palatino Linotype"/>
          <w:sz w:val="24"/>
        </w:rPr>
        <w:t xml:space="preserve"> del </w:t>
      </w:r>
      <w:r w:rsidRPr="00E66693">
        <w:rPr>
          <w:rFonts w:ascii="Palatino Linotype" w:hAnsi="Palatino Linotype"/>
          <w:b/>
          <w:sz w:val="24"/>
        </w:rPr>
        <w:t>Secretaría de la Contraloría</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r>
        <w:rPr>
          <w:rFonts w:ascii="Palatino Linotype" w:hAnsi="Palatino Linotype"/>
          <w:sz w:val="24"/>
        </w:rPr>
        <w:t xml:space="preserve"> </w:t>
      </w:r>
    </w:p>
    <w:p w:rsidR="00E66693" w:rsidRPr="002C3EC8" w:rsidRDefault="00E66693" w:rsidP="00E66693">
      <w:pPr>
        <w:tabs>
          <w:tab w:val="left" w:pos="1701"/>
        </w:tabs>
        <w:spacing w:before="240" w:line="360" w:lineRule="auto"/>
        <w:jc w:val="both"/>
        <w:rPr>
          <w:rFonts w:ascii="Palatino Linotype" w:hAnsi="Palatino Linotype" w:cs="Arial"/>
          <w:b/>
          <w:sz w:val="24"/>
        </w:rPr>
      </w:pPr>
    </w:p>
    <w:p w:rsidR="00E66693" w:rsidRPr="002C3EC8" w:rsidRDefault="00E66693" w:rsidP="00E66693">
      <w:pPr>
        <w:pStyle w:val="infoemcitas"/>
        <w:jc w:val="center"/>
        <w:rPr>
          <w:b/>
          <w:bCs/>
          <w:i w:val="0"/>
          <w:iCs/>
          <w:sz w:val="28"/>
          <w:szCs w:val="28"/>
        </w:rPr>
      </w:pPr>
      <w:r w:rsidRPr="002C3EC8">
        <w:rPr>
          <w:b/>
          <w:bCs/>
          <w:i w:val="0"/>
          <w:iCs/>
          <w:sz w:val="28"/>
          <w:szCs w:val="28"/>
        </w:rPr>
        <w:t>A N T E C E D E N T E S   D E L   A S U N T O</w:t>
      </w:r>
    </w:p>
    <w:p w:rsidR="00E66693" w:rsidRPr="002C3EC8" w:rsidRDefault="00E66693" w:rsidP="00E66693">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las </w:t>
      </w:r>
      <w:r w:rsidRPr="002C3EC8">
        <w:rPr>
          <w:rFonts w:ascii="Palatino Linotype" w:hAnsi="Palatino Linotype"/>
          <w:b/>
          <w:sz w:val="28"/>
          <w:szCs w:val="28"/>
        </w:rPr>
        <w:t>Solicitud</w:t>
      </w:r>
      <w:r>
        <w:rPr>
          <w:rFonts w:ascii="Palatino Linotype" w:hAnsi="Palatino Linotype"/>
          <w:b/>
          <w:sz w:val="28"/>
          <w:szCs w:val="28"/>
        </w:rPr>
        <w:t>es</w:t>
      </w:r>
      <w:r w:rsidRPr="002C3EC8">
        <w:rPr>
          <w:rFonts w:ascii="Palatino Linotype" w:hAnsi="Palatino Linotype"/>
          <w:b/>
          <w:sz w:val="28"/>
          <w:szCs w:val="28"/>
        </w:rPr>
        <w:t xml:space="preserve"> de Información.</w:t>
      </w:r>
    </w:p>
    <w:p w:rsidR="00E66693" w:rsidRDefault="00E66693" w:rsidP="00E66693">
      <w:pPr>
        <w:spacing w:before="240" w:line="360" w:lineRule="auto"/>
        <w:jc w:val="both"/>
        <w:rPr>
          <w:rFonts w:ascii="Palatino Linotype" w:hAnsi="Palatino Linotype" w:cs="Arial"/>
          <w:sz w:val="24"/>
        </w:rPr>
      </w:pPr>
      <w:r w:rsidRPr="00D705FF">
        <w:rPr>
          <w:rFonts w:ascii="Palatino Linotype" w:hAnsi="Palatino Linotype" w:cs="Arial"/>
          <w:sz w:val="24"/>
        </w:rPr>
        <w:t xml:space="preserve">Con fecha </w:t>
      </w:r>
      <w:r>
        <w:rPr>
          <w:rFonts w:ascii="Palatino Linotype" w:hAnsi="Palatino Linotype" w:cs="Arial"/>
          <w:b/>
          <w:sz w:val="24"/>
        </w:rPr>
        <w:t>treinta de agosto y veintitrés de septiembre</w:t>
      </w:r>
      <w:r>
        <w:rPr>
          <w:rFonts w:ascii="Palatino Linotype" w:hAnsi="Palatino Linotype" w:cs="Arial"/>
          <w:sz w:val="24"/>
        </w:rPr>
        <w:t xml:space="preserve"> de dos mil veinticuatro</w:t>
      </w:r>
      <w:r w:rsidRPr="00D705FF">
        <w:rPr>
          <w:rFonts w:ascii="Palatino Linotype" w:hAnsi="Palatino Linotype" w:cs="Arial"/>
          <w:sz w:val="24"/>
        </w:rPr>
        <w:t xml:space="preserve">, </w:t>
      </w:r>
      <w:r>
        <w:rPr>
          <w:rFonts w:ascii="Palatino Linotype" w:hAnsi="Palatino Linotype"/>
          <w:sz w:val="24"/>
        </w:rPr>
        <w:t xml:space="preserve">la parte </w:t>
      </w:r>
      <w:r w:rsidRPr="00D705FF">
        <w:rPr>
          <w:rFonts w:ascii="Palatino Linotype" w:hAnsi="Palatino Linotype" w:cs="Arial"/>
          <w:b/>
          <w:sz w:val="24"/>
        </w:rPr>
        <w:t xml:space="preserve">Recurrente </w:t>
      </w:r>
      <w:r w:rsidRPr="00D705FF">
        <w:rPr>
          <w:rFonts w:ascii="Palatino Linotype" w:hAnsi="Palatino Linotype" w:cs="Arial"/>
          <w:sz w:val="24"/>
        </w:rPr>
        <w:t xml:space="preserve">presentó a través </w:t>
      </w:r>
      <w:r>
        <w:rPr>
          <w:rFonts w:ascii="Palatino Linotype" w:hAnsi="Palatino Linotype" w:cs="Arial"/>
          <w:sz w:val="24"/>
        </w:rPr>
        <w:t xml:space="preserve">del </w:t>
      </w:r>
      <w:r w:rsidRPr="00D705FF">
        <w:rPr>
          <w:rFonts w:ascii="Palatino Linotype" w:hAnsi="Palatino Linotype" w:cs="Arial"/>
          <w:sz w:val="24"/>
        </w:rPr>
        <w:t>Sistema de Acceso a la Información Mexiquense (</w:t>
      </w:r>
      <w:r w:rsidRPr="00D705FF">
        <w:rPr>
          <w:rFonts w:ascii="Palatino Linotype" w:hAnsi="Palatino Linotype" w:cs="Arial"/>
          <w:b/>
          <w:sz w:val="24"/>
        </w:rPr>
        <w:t>SAIMEX)</w:t>
      </w:r>
      <w:r w:rsidRPr="00D705FF">
        <w:rPr>
          <w:rFonts w:ascii="Palatino Linotype" w:hAnsi="Palatino Linotype" w:cs="Arial"/>
          <w:sz w:val="24"/>
        </w:rPr>
        <w:t xml:space="preserve"> ante </w:t>
      </w:r>
      <w:r w:rsidRPr="00D705FF">
        <w:rPr>
          <w:rFonts w:ascii="Palatino Linotype" w:hAnsi="Palatino Linotype" w:cs="Arial"/>
          <w:b/>
          <w:sz w:val="24"/>
        </w:rPr>
        <w:t>El Sujeto Obligado</w:t>
      </w:r>
      <w:r w:rsidRPr="00D705FF">
        <w:rPr>
          <w:rFonts w:ascii="Palatino Linotype" w:hAnsi="Palatino Linotype" w:cs="Arial"/>
          <w:sz w:val="24"/>
        </w:rPr>
        <w:t>, solicitud de acceso a la información pública, mediante la cual solicitó información en el tenor siguiente:</w:t>
      </w:r>
    </w:p>
    <w:p w:rsidR="00E66693" w:rsidRPr="008F3CD6" w:rsidRDefault="00E66693" w:rsidP="00E66693">
      <w:pPr>
        <w:pStyle w:val="Prrafodelista"/>
        <w:numPr>
          <w:ilvl w:val="0"/>
          <w:numId w:val="8"/>
        </w:numPr>
        <w:spacing w:before="240" w:line="360" w:lineRule="auto"/>
        <w:jc w:val="both"/>
        <w:rPr>
          <w:rFonts w:ascii="Palatino Linotype" w:hAnsi="Palatino Linotype" w:cs="Arial"/>
        </w:rPr>
      </w:pPr>
      <w:r>
        <w:rPr>
          <w:rFonts w:ascii="Palatino Linotype" w:hAnsi="Palatino Linotype" w:cs="Arial"/>
          <w:b/>
        </w:rPr>
        <w:t>00350/SECOGEM/IP/2024:</w:t>
      </w:r>
    </w:p>
    <w:p w:rsidR="00E66693" w:rsidRPr="008F3CD6" w:rsidRDefault="00E66693" w:rsidP="00E66693">
      <w:pPr>
        <w:pStyle w:val="INFOEM"/>
        <w:rPr>
          <w:rFonts w:cs="Arial"/>
        </w:rPr>
      </w:pPr>
      <w:r w:rsidRPr="00D705FF">
        <w:rPr>
          <w:lang w:val="es-ES_tradnl"/>
        </w:rPr>
        <w:t>“</w:t>
      </w:r>
      <w:r w:rsidRPr="00E66693">
        <w:rPr>
          <w:lang w:val="es-ES_tradnl"/>
        </w:rPr>
        <w:t>Solicito información sobre el número de denuncias recibidas en el Sistema de Atención Mexiquense en 2023 y 2024, tipo de denuncia, dependencia proveniente, medidas implementadas</w:t>
      </w:r>
      <w:r w:rsidRPr="00D705FF">
        <w:rPr>
          <w:lang w:val="es-ES_tradnl"/>
        </w:rPr>
        <w:t>” (sic)</w:t>
      </w:r>
    </w:p>
    <w:p w:rsidR="00E66693" w:rsidRPr="008F3CD6" w:rsidRDefault="00E66693" w:rsidP="00E66693">
      <w:pPr>
        <w:pStyle w:val="Prrafodelista"/>
        <w:numPr>
          <w:ilvl w:val="0"/>
          <w:numId w:val="8"/>
        </w:numPr>
        <w:spacing w:before="240" w:line="360" w:lineRule="auto"/>
        <w:jc w:val="both"/>
        <w:rPr>
          <w:rFonts w:ascii="Palatino Linotype" w:hAnsi="Palatino Linotype" w:cs="Arial"/>
        </w:rPr>
      </w:pPr>
      <w:r>
        <w:rPr>
          <w:rFonts w:ascii="Palatino Linotype" w:hAnsi="Palatino Linotype" w:cs="Arial"/>
          <w:b/>
        </w:rPr>
        <w:lastRenderedPageBreak/>
        <w:t>00323/SECOGEM/IP/2024:</w:t>
      </w:r>
    </w:p>
    <w:p w:rsidR="00E66693" w:rsidRPr="001C7F6F" w:rsidRDefault="00E66693" w:rsidP="00E66693">
      <w:pPr>
        <w:pStyle w:val="INFOEM"/>
        <w:rPr>
          <w:lang w:val="es-ES_tradnl" w:eastAsia="es-ES"/>
        </w:rPr>
      </w:pPr>
      <w:r w:rsidRPr="00D705FF">
        <w:rPr>
          <w:lang w:val="es-ES_tradnl" w:eastAsia="es-ES"/>
        </w:rPr>
        <w:t>“</w:t>
      </w:r>
      <w:r w:rsidRPr="00E66693">
        <w:rPr>
          <w:lang w:val="es-ES_tradnl" w:eastAsia="es-ES"/>
        </w:rPr>
        <w:t>Solicito la versión pública del paquete de denuncias presentado por la Contraloría a la Fiscalía General de Justicia estatal (FGJEM) en contra de exfuncionarios mexiquenses.</w:t>
      </w:r>
      <w:r w:rsidRPr="00D705FF">
        <w:rPr>
          <w:lang w:val="es-ES_tradnl" w:eastAsia="es-ES"/>
        </w:rPr>
        <w:t>” (</w:t>
      </w:r>
      <w:proofErr w:type="gramStart"/>
      <w:r w:rsidRPr="00D705FF">
        <w:rPr>
          <w:lang w:val="es-ES_tradnl" w:eastAsia="es-ES"/>
        </w:rPr>
        <w:t>sic</w:t>
      </w:r>
      <w:proofErr w:type="gramEnd"/>
      <w:r w:rsidRPr="00D705FF">
        <w:rPr>
          <w:lang w:val="es-ES_tradnl" w:eastAsia="es-ES"/>
        </w:rPr>
        <w:t>)</w:t>
      </w:r>
    </w:p>
    <w:p w:rsidR="00E66693" w:rsidRPr="002C3EC8" w:rsidRDefault="00E66693" w:rsidP="00E66693">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Pr>
          <w:rFonts w:ascii="Palatino Linotype" w:eastAsia="Times New Roman" w:hAnsi="Palatino Linotype" w:cs="Times New Roman"/>
          <w:sz w:val="24"/>
          <w:szCs w:val="24"/>
          <w:lang w:val="es-ES_tradnl" w:eastAsia="es-ES"/>
        </w:rPr>
        <w:t xml:space="preserve"> A través del SAIMEX.</w:t>
      </w:r>
    </w:p>
    <w:p w:rsidR="00E66693" w:rsidRDefault="00E66693" w:rsidP="00E66693">
      <w:pPr>
        <w:spacing w:before="240" w:line="360" w:lineRule="auto"/>
        <w:jc w:val="both"/>
        <w:rPr>
          <w:rFonts w:ascii="Palatino Linotype" w:hAnsi="Palatino Linotype" w:cs="Arial"/>
          <w:b/>
          <w:sz w:val="28"/>
        </w:rPr>
      </w:pPr>
    </w:p>
    <w:p w:rsidR="00E66693" w:rsidRDefault="00E66693" w:rsidP="00E66693">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las respuestas a las solicitudes o entrega de información</w:t>
      </w:r>
      <w:r w:rsidRPr="00165D6E">
        <w:rPr>
          <w:rFonts w:ascii="Palatino Linotype" w:hAnsi="Palatino Linotype" w:cs="Arial"/>
          <w:b/>
          <w:sz w:val="28"/>
          <w:szCs w:val="20"/>
        </w:rPr>
        <w:t>.</w:t>
      </w:r>
    </w:p>
    <w:p w:rsidR="00E66693" w:rsidRDefault="00E66693" w:rsidP="00E66693">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Pr>
          <w:rFonts w:ascii="Palatino Linotype" w:hAnsi="Palatino Linotype" w:cs="Arial"/>
          <w:b/>
        </w:rPr>
        <w:t>veintidós y veintiocho de mayo de dos mil veinticuatro</w:t>
      </w:r>
      <w:r>
        <w:rPr>
          <w:rFonts w:ascii="Palatino Linotype" w:hAnsi="Palatino Linotype" w:cs="Arial"/>
        </w:rPr>
        <w:t xml:space="preserve">,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rsidR="00E66693" w:rsidRDefault="00E66693" w:rsidP="00E66693">
      <w:pPr>
        <w:pStyle w:val="Sinespaciado"/>
        <w:spacing w:line="360" w:lineRule="auto"/>
        <w:jc w:val="both"/>
        <w:rPr>
          <w:rFonts w:ascii="Palatino Linotype" w:hAnsi="Palatino Linotype" w:cs="Arial"/>
        </w:rPr>
      </w:pPr>
    </w:p>
    <w:p w:rsidR="00E66693" w:rsidRPr="008F3CD6" w:rsidRDefault="00E66693" w:rsidP="00E66693">
      <w:pPr>
        <w:pStyle w:val="Prrafodelista"/>
        <w:numPr>
          <w:ilvl w:val="0"/>
          <w:numId w:val="8"/>
        </w:numPr>
        <w:spacing w:line="360" w:lineRule="auto"/>
        <w:jc w:val="both"/>
        <w:rPr>
          <w:rFonts w:ascii="Palatino Linotype" w:hAnsi="Palatino Linotype" w:cs="Arial"/>
        </w:rPr>
      </w:pPr>
      <w:r>
        <w:rPr>
          <w:rFonts w:ascii="Palatino Linotype" w:hAnsi="Palatino Linotype" w:cs="Arial"/>
          <w:b/>
        </w:rPr>
        <w:t>00350/SECOGEM/IP/2024</w:t>
      </w:r>
      <w:r w:rsidRPr="008F3CD6">
        <w:rPr>
          <w:rFonts w:ascii="Palatino Linotype" w:hAnsi="Palatino Linotype" w:cs="Arial"/>
          <w:b/>
        </w:rPr>
        <w:t>:</w:t>
      </w:r>
    </w:p>
    <w:p w:rsidR="00E66693" w:rsidRDefault="00E66693" w:rsidP="00E66693">
      <w:pPr>
        <w:spacing w:after="0" w:line="360" w:lineRule="auto"/>
        <w:ind w:left="567" w:right="567"/>
        <w:jc w:val="both"/>
        <w:rPr>
          <w:rFonts w:ascii="Palatino Linotype" w:hAnsi="Palatino Linotype" w:cs="Arial"/>
          <w:i/>
        </w:rPr>
      </w:pPr>
      <w:r>
        <w:rPr>
          <w:rFonts w:ascii="Palatino Linotype" w:hAnsi="Palatino Linotype" w:cs="Arial"/>
          <w:i/>
        </w:rPr>
        <w:t>“</w:t>
      </w:r>
      <w:r w:rsidRPr="00E66693">
        <w:rPr>
          <w:rFonts w:ascii="Palatino Linotype" w:hAnsi="Palatino Linotype" w:cs="Arial"/>
          <w:i/>
        </w:rPr>
        <w:t>Estimado solicitante. Espero se encuentre de maravilla, le informo que en archivos adjuntos encontrará el oficio firmado por el servidor público habilitado que atiende su solicitud y el oficio de respuesta firmado por el Encargado de Despacho de la Unidad de Prevención de la Corrupción; y, Responsable de la Unidad de Transparencia de la Secretaría de la Contraloría. ¡Que tenga un excelente día!</w:t>
      </w:r>
      <w:r w:rsidRPr="008F3CD6">
        <w:rPr>
          <w:rFonts w:ascii="Palatino Linotype" w:hAnsi="Palatino Linotype" w:cs="Arial"/>
          <w:i/>
        </w:rPr>
        <w:t xml:space="preserve"> </w:t>
      </w:r>
      <w:r w:rsidRPr="00667998">
        <w:rPr>
          <w:rFonts w:ascii="Palatino Linotype" w:hAnsi="Palatino Linotype" w:cs="Arial"/>
          <w:i/>
        </w:rPr>
        <w:t>“(Sic).</w:t>
      </w:r>
    </w:p>
    <w:p w:rsidR="00E66693" w:rsidRPr="008F3CD6" w:rsidRDefault="00E66693" w:rsidP="00E66693">
      <w:pPr>
        <w:pStyle w:val="Prrafodelista"/>
        <w:numPr>
          <w:ilvl w:val="0"/>
          <w:numId w:val="8"/>
        </w:numPr>
        <w:spacing w:before="240" w:line="360" w:lineRule="auto"/>
        <w:jc w:val="both"/>
        <w:rPr>
          <w:rFonts w:ascii="Palatino Linotype" w:hAnsi="Palatino Linotype" w:cs="Arial"/>
        </w:rPr>
      </w:pPr>
      <w:r>
        <w:rPr>
          <w:rFonts w:ascii="Palatino Linotype" w:hAnsi="Palatino Linotype" w:cs="Arial"/>
          <w:b/>
        </w:rPr>
        <w:t>00323/SECOGEM/IP/2024:</w:t>
      </w:r>
    </w:p>
    <w:p w:rsidR="00E66693" w:rsidRPr="001C7F6F" w:rsidRDefault="00E66693" w:rsidP="00E66693">
      <w:pPr>
        <w:pStyle w:val="INFOEM"/>
        <w:ind w:left="567"/>
        <w:rPr>
          <w:lang w:val="es-ES_tradnl" w:eastAsia="es-ES"/>
        </w:rPr>
      </w:pPr>
      <w:r w:rsidRPr="00D705FF">
        <w:rPr>
          <w:lang w:val="es-ES_tradnl" w:eastAsia="es-ES"/>
        </w:rPr>
        <w:lastRenderedPageBreak/>
        <w:t>“</w:t>
      </w:r>
      <w:r w:rsidRPr="00E66693">
        <w:rPr>
          <w:lang w:val="es-ES_tradnl" w:eastAsia="es-ES"/>
        </w:rPr>
        <w:t>Estimado solicitante. Espero se encuentre de maravilla, le informo que en archivos adjuntos encontrará los oficios de respuesta firmados por los servidores públicos habilitados que atienden su solicitud y el oficio de respuesta firmado por el Encargado de Despacho de la Unidad de Prevención de la Corrupción; y, Responsable de la Unidad de Transparencia de la Secretaría de la Contraloría. ¡Que tenga una excelente tarde!</w:t>
      </w:r>
      <w:r w:rsidRPr="00D705FF">
        <w:rPr>
          <w:lang w:val="es-ES_tradnl" w:eastAsia="es-ES"/>
        </w:rPr>
        <w:t>” (</w:t>
      </w:r>
      <w:proofErr w:type="gramStart"/>
      <w:r w:rsidRPr="00D705FF">
        <w:rPr>
          <w:lang w:val="es-ES_tradnl" w:eastAsia="es-ES"/>
        </w:rPr>
        <w:t>sic</w:t>
      </w:r>
      <w:proofErr w:type="gramEnd"/>
      <w:r w:rsidRPr="00D705FF">
        <w:rPr>
          <w:lang w:val="es-ES_tradnl" w:eastAsia="es-ES"/>
        </w:rPr>
        <w:t>)</w:t>
      </w:r>
    </w:p>
    <w:p w:rsidR="00E66693" w:rsidRDefault="00E66693" w:rsidP="00E66693">
      <w:pPr>
        <w:spacing w:after="0" w:line="240" w:lineRule="auto"/>
        <w:ind w:left="567" w:right="567"/>
        <w:jc w:val="both"/>
        <w:rPr>
          <w:rFonts w:ascii="Palatino Linotype" w:hAnsi="Palatino Linotype" w:cs="Arial"/>
          <w:i/>
        </w:rPr>
      </w:pPr>
    </w:p>
    <w:p w:rsidR="00E66693" w:rsidRDefault="00E66693" w:rsidP="00E66693">
      <w:pPr>
        <w:spacing w:after="0" w:line="360" w:lineRule="auto"/>
        <w:ind w:right="567"/>
        <w:jc w:val="both"/>
        <w:rPr>
          <w:rFonts w:ascii="Palatino Linotype" w:hAnsi="Palatino Linotype" w:cs="Arial"/>
          <w:sz w:val="24"/>
        </w:rPr>
      </w:pPr>
    </w:p>
    <w:p w:rsidR="00E66693" w:rsidRPr="003750D2" w:rsidRDefault="00E66693" w:rsidP="00E66693">
      <w:pPr>
        <w:spacing w:after="0" w:line="360" w:lineRule="auto"/>
        <w:jc w:val="both"/>
        <w:rPr>
          <w:rFonts w:ascii="Palatino Linotype" w:hAnsi="Palatino Linotype" w:cs="Arial"/>
          <w:sz w:val="24"/>
        </w:rPr>
      </w:pPr>
      <w:r>
        <w:rPr>
          <w:rFonts w:ascii="Palatino Linotype" w:hAnsi="Palatino Linotype" w:cs="Arial"/>
          <w:sz w:val="24"/>
        </w:rPr>
        <w:t xml:space="preserve">Adicionalmente, el Sujeto Obligado adjuntó los archivos electrónicos denominados </w:t>
      </w:r>
      <w:r w:rsidRPr="00886322">
        <w:rPr>
          <w:rFonts w:ascii="Palatino Linotype" w:hAnsi="Palatino Linotype" w:cs="Arial"/>
          <w:b/>
          <w:i/>
          <w:sz w:val="24"/>
        </w:rPr>
        <w:t>“</w:t>
      </w:r>
      <w:r w:rsidRPr="00E66693">
        <w:rPr>
          <w:rFonts w:ascii="Palatino Linotype" w:hAnsi="Palatino Linotype" w:cs="Arial"/>
          <w:b/>
          <w:i/>
          <w:sz w:val="24"/>
        </w:rPr>
        <w:t>OFICIO SOLICITANTE.pdf</w:t>
      </w:r>
      <w:r>
        <w:rPr>
          <w:rFonts w:ascii="Palatino Linotype" w:hAnsi="Palatino Linotype" w:cs="Arial"/>
          <w:b/>
          <w:i/>
          <w:sz w:val="24"/>
        </w:rPr>
        <w:t>”, “</w:t>
      </w:r>
      <w:r w:rsidRPr="00E66693">
        <w:rPr>
          <w:rFonts w:ascii="Palatino Linotype" w:hAnsi="Palatino Linotype" w:cs="Arial"/>
          <w:b/>
          <w:i/>
          <w:sz w:val="24"/>
        </w:rPr>
        <w:t>OFICIO RESPUESTA SPH.pdf</w:t>
      </w:r>
      <w:r w:rsidRPr="00886322">
        <w:rPr>
          <w:rFonts w:ascii="Palatino Linotype" w:hAnsi="Palatino Linotype" w:cs="Arial"/>
          <w:b/>
          <w:i/>
          <w:sz w:val="24"/>
        </w:rPr>
        <w:t>”</w:t>
      </w:r>
      <w:r>
        <w:rPr>
          <w:rFonts w:ascii="Palatino Linotype" w:hAnsi="Palatino Linotype" w:cs="Arial"/>
          <w:b/>
          <w:i/>
          <w:sz w:val="24"/>
        </w:rPr>
        <w:t>, “</w:t>
      </w:r>
      <w:r w:rsidRPr="00E66693">
        <w:rPr>
          <w:rFonts w:ascii="Palatino Linotype" w:hAnsi="Palatino Linotype" w:cs="Arial"/>
          <w:b/>
          <w:i/>
          <w:sz w:val="24"/>
        </w:rPr>
        <w:t>RESPUESTA SPH OIC.pdf</w:t>
      </w:r>
      <w:r>
        <w:rPr>
          <w:rFonts w:ascii="Palatino Linotype" w:hAnsi="Palatino Linotype" w:cs="Arial"/>
          <w:b/>
          <w:i/>
          <w:sz w:val="24"/>
        </w:rPr>
        <w:t>”, “</w:t>
      </w:r>
      <w:r w:rsidRPr="00E66693">
        <w:rPr>
          <w:rFonts w:ascii="Palatino Linotype" w:hAnsi="Palatino Linotype" w:cs="Arial"/>
          <w:b/>
          <w:i/>
          <w:sz w:val="24"/>
        </w:rPr>
        <w:t>RESPUESTA SPH CJIG.pdf</w:t>
      </w:r>
      <w:r>
        <w:rPr>
          <w:rFonts w:ascii="Palatino Linotype" w:hAnsi="Palatino Linotype" w:cs="Arial"/>
          <w:b/>
          <w:i/>
          <w:sz w:val="24"/>
        </w:rPr>
        <w:t>”, “</w:t>
      </w:r>
      <w:r w:rsidRPr="00E66693">
        <w:rPr>
          <w:rFonts w:ascii="Palatino Linotype" w:hAnsi="Palatino Linotype" w:cs="Arial"/>
          <w:b/>
          <w:i/>
          <w:sz w:val="24"/>
        </w:rPr>
        <w:t>RESPUESTA SRADM.pdf</w:t>
      </w:r>
      <w:r>
        <w:rPr>
          <w:rFonts w:ascii="Palatino Linotype" w:hAnsi="Palatino Linotype" w:cs="Arial"/>
          <w:b/>
          <w:i/>
          <w:sz w:val="24"/>
        </w:rPr>
        <w:t>”</w:t>
      </w:r>
      <w:r>
        <w:rPr>
          <w:rFonts w:ascii="Palatino Linotype" w:hAnsi="Palatino Linotype" w:cs="Arial"/>
          <w:sz w:val="24"/>
        </w:rPr>
        <w:t xml:space="preserve"> y “</w:t>
      </w:r>
      <w:r w:rsidRPr="00E66693">
        <w:rPr>
          <w:rFonts w:ascii="Palatino Linotype" w:hAnsi="Palatino Linotype" w:cs="Arial"/>
          <w:b/>
          <w:i/>
          <w:sz w:val="24"/>
        </w:rPr>
        <w:t>OFICIO SOLICITANTE UT.pdf</w:t>
      </w:r>
      <w:r>
        <w:rPr>
          <w:rFonts w:ascii="Palatino Linotype" w:hAnsi="Palatino Linotype" w:cs="Arial"/>
          <w:b/>
          <w:i/>
          <w:sz w:val="24"/>
        </w:rPr>
        <w:t xml:space="preserve">”, </w:t>
      </w:r>
      <w:r>
        <w:rPr>
          <w:rFonts w:ascii="Palatino Linotype" w:hAnsi="Palatino Linotype" w:cs="Arial"/>
          <w:sz w:val="24"/>
        </w:rPr>
        <w:t xml:space="preserve">mismos que no se reproducen por ser del conocimiento de las partes, sin embargo, serán materia de estudio en el considerando respectivo. </w:t>
      </w:r>
    </w:p>
    <w:p w:rsidR="00E66693" w:rsidRDefault="00E66693" w:rsidP="00E66693">
      <w:pPr>
        <w:spacing w:before="240" w:line="360" w:lineRule="auto"/>
        <w:jc w:val="both"/>
        <w:rPr>
          <w:rFonts w:ascii="Palatino Linotype" w:hAnsi="Palatino Linotype" w:cs="Arial"/>
          <w:b/>
          <w:sz w:val="28"/>
        </w:rPr>
      </w:pPr>
    </w:p>
    <w:p w:rsidR="00E66693" w:rsidRPr="002C3EC8" w:rsidRDefault="00E66693" w:rsidP="00E66693">
      <w:pPr>
        <w:spacing w:before="24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w:t>
      </w:r>
      <w:r>
        <w:rPr>
          <w:rFonts w:ascii="Palatino Linotype" w:hAnsi="Palatino Linotype"/>
          <w:b/>
          <w:sz w:val="28"/>
        </w:rPr>
        <w:t xml:space="preserve"> </w:t>
      </w:r>
      <w:r w:rsidRPr="002C3EC8">
        <w:rPr>
          <w:rFonts w:ascii="Palatino Linotype" w:hAnsi="Palatino Linotype"/>
          <w:b/>
          <w:sz w:val="28"/>
        </w:rPr>
        <w:t>l</w:t>
      </w:r>
      <w:r>
        <w:rPr>
          <w:rFonts w:ascii="Palatino Linotype" w:hAnsi="Palatino Linotype"/>
          <w:b/>
          <w:sz w:val="28"/>
        </w:rPr>
        <w:t>os</w:t>
      </w:r>
      <w:r w:rsidRPr="002C3EC8">
        <w:rPr>
          <w:rFonts w:ascii="Palatino Linotype" w:hAnsi="Palatino Linotype"/>
          <w:b/>
          <w:sz w:val="28"/>
        </w:rPr>
        <w:t xml:space="preserve"> recurso</w:t>
      </w:r>
      <w:r>
        <w:rPr>
          <w:rFonts w:ascii="Palatino Linotype" w:hAnsi="Palatino Linotype"/>
          <w:b/>
          <w:sz w:val="28"/>
        </w:rPr>
        <w:t>s</w:t>
      </w:r>
      <w:r w:rsidRPr="002C3EC8">
        <w:rPr>
          <w:rFonts w:ascii="Palatino Linotype" w:hAnsi="Palatino Linotype"/>
          <w:b/>
          <w:sz w:val="28"/>
        </w:rPr>
        <w:t xml:space="preserve"> de revisión.</w:t>
      </w:r>
    </w:p>
    <w:p w:rsidR="00E66693" w:rsidRDefault="00E66693" w:rsidP="00E66693">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Pr>
          <w:rFonts w:ascii="Palatino Linotype" w:hAnsi="Palatino Linotype"/>
          <w:sz w:val="24"/>
        </w:rPr>
        <w:t xml:space="preserve">la parte </w:t>
      </w:r>
      <w:r w:rsidRPr="002C3EC8">
        <w:rPr>
          <w:rFonts w:ascii="Palatino Linotype" w:hAnsi="Palatino Linotype" w:cs="Arial"/>
          <w:b/>
          <w:sz w:val="24"/>
          <w:szCs w:val="24"/>
        </w:rPr>
        <w:t xml:space="preserve">Recurrente </w:t>
      </w:r>
      <w:r w:rsidRPr="002C3EC8">
        <w:rPr>
          <w:rFonts w:ascii="Palatino Linotype" w:hAnsi="Palatino Linotype" w:cs="Arial"/>
          <w:sz w:val="24"/>
          <w:szCs w:val="24"/>
        </w:rPr>
        <w:t xml:space="preserve">interpuso recurso de revisión, en fecha </w:t>
      </w:r>
      <w:r>
        <w:rPr>
          <w:rFonts w:ascii="Palatino Linotype" w:hAnsi="Palatino Linotype" w:cs="Arial"/>
          <w:b/>
          <w:sz w:val="24"/>
        </w:rPr>
        <w:t>once y dieciocho de junio</w:t>
      </w:r>
      <w:r w:rsidRPr="000D6209">
        <w:rPr>
          <w:rFonts w:ascii="Palatino Linotype" w:hAnsi="Palatino Linotype" w:cs="Arial"/>
          <w:b/>
          <w:sz w:val="24"/>
        </w:rPr>
        <w:t xml:space="preserve"> de dos mil veinticuatro</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sidR="00EC5764">
        <w:rPr>
          <w:rFonts w:ascii="Palatino Linotype" w:hAnsi="Palatino Linotype" w:cs="Arial"/>
          <w:b/>
          <w:sz w:val="24"/>
          <w:szCs w:val="24"/>
        </w:rPr>
        <w:t>0</w:t>
      </w:r>
      <w:r>
        <w:rPr>
          <w:rFonts w:ascii="Palatino Linotype" w:hAnsi="Palatino Linotype" w:cs="Arial"/>
          <w:b/>
          <w:sz w:val="24"/>
          <w:szCs w:val="24"/>
        </w:rPr>
        <w:t xml:space="preserve">6015/INFOEM/IP/RR/2024 y </w:t>
      </w:r>
      <w:r w:rsidR="00EC5764">
        <w:rPr>
          <w:rFonts w:ascii="Palatino Linotype" w:hAnsi="Palatino Linotype" w:cs="Arial"/>
          <w:b/>
          <w:sz w:val="24"/>
          <w:szCs w:val="24"/>
        </w:rPr>
        <w:t>0</w:t>
      </w:r>
      <w:r>
        <w:rPr>
          <w:rFonts w:ascii="Palatino Linotype" w:hAnsi="Palatino Linotype" w:cs="Arial"/>
          <w:b/>
          <w:sz w:val="24"/>
          <w:szCs w:val="24"/>
        </w:rPr>
        <w:t>6016/INFOEM/IP/RR/2024</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866"/>
      </w:tblGrid>
      <w:tr w:rsidR="00E66693" w:rsidTr="00E66693">
        <w:tc>
          <w:tcPr>
            <w:tcW w:w="3104" w:type="dxa"/>
            <w:shd w:val="clear" w:color="auto" w:fill="E7E6E6" w:themeFill="background2"/>
          </w:tcPr>
          <w:p w:rsidR="00E66693" w:rsidRPr="00886322" w:rsidRDefault="00E66693" w:rsidP="00E66693">
            <w:pPr>
              <w:spacing w:before="240" w:line="360" w:lineRule="auto"/>
              <w:jc w:val="center"/>
              <w:rPr>
                <w:rFonts w:ascii="Palatino Linotype" w:hAnsi="Palatino Linotype" w:cs="Arial"/>
                <w:b/>
                <w:i/>
                <w:sz w:val="24"/>
                <w:szCs w:val="24"/>
              </w:rPr>
            </w:pPr>
            <w:r w:rsidRPr="00886322">
              <w:rPr>
                <w:rFonts w:ascii="Palatino Linotype" w:hAnsi="Palatino Linotype" w:cs="Arial"/>
                <w:b/>
                <w:i/>
                <w:sz w:val="24"/>
                <w:szCs w:val="24"/>
              </w:rPr>
              <w:lastRenderedPageBreak/>
              <w:t>No. Recurso de Revisión</w:t>
            </w:r>
          </w:p>
        </w:tc>
        <w:tc>
          <w:tcPr>
            <w:tcW w:w="5938" w:type="dxa"/>
            <w:shd w:val="clear" w:color="auto" w:fill="E7E6E6" w:themeFill="background2"/>
          </w:tcPr>
          <w:p w:rsidR="00E66693" w:rsidRPr="00886322" w:rsidRDefault="00E66693" w:rsidP="00E66693">
            <w:pPr>
              <w:spacing w:before="240" w:line="360" w:lineRule="auto"/>
              <w:jc w:val="center"/>
              <w:rPr>
                <w:rFonts w:ascii="Palatino Linotype" w:hAnsi="Palatino Linotype" w:cs="Arial"/>
                <w:b/>
                <w:i/>
                <w:sz w:val="24"/>
                <w:szCs w:val="24"/>
              </w:rPr>
            </w:pPr>
            <w:r>
              <w:rPr>
                <w:rFonts w:ascii="Palatino Linotype" w:hAnsi="Palatino Linotype" w:cs="Arial"/>
                <w:b/>
                <w:i/>
                <w:sz w:val="24"/>
                <w:szCs w:val="24"/>
              </w:rPr>
              <w:t>Acto impugnado y razones o motivos de inconformidad</w:t>
            </w:r>
          </w:p>
        </w:tc>
      </w:tr>
      <w:tr w:rsidR="00E66693" w:rsidTr="00E66693">
        <w:tc>
          <w:tcPr>
            <w:tcW w:w="3104" w:type="dxa"/>
          </w:tcPr>
          <w:p w:rsidR="00E66693" w:rsidRDefault="00EC5764" w:rsidP="00E66693">
            <w:pPr>
              <w:spacing w:before="240" w:line="360" w:lineRule="auto"/>
              <w:jc w:val="both"/>
              <w:rPr>
                <w:rFonts w:ascii="Palatino Linotype" w:hAnsi="Palatino Linotype" w:cs="Arial"/>
                <w:sz w:val="24"/>
                <w:szCs w:val="24"/>
              </w:rPr>
            </w:pPr>
            <w:r>
              <w:rPr>
                <w:rFonts w:ascii="Palatino Linotype" w:hAnsi="Palatino Linotype" w:cs="Arial"/>
                <w:b/>
                <w:sz w:val="24"/>
                <w:szCs w:val="24"/>
              </w:rPr>
              <w:t>0</w:t>
            </w:r>
            <w:r w:rsidR="00E66693">
              <w:rPr>
                <w:rFonts w:ascii="Palatino Linotype" w:hAnsi="Palatino Linotype" w:cs="Arial"/>
                <w:b/>
                <w:sz w:val="24"/>
                <w:szCs w:val="24"/>
              </w:rPr>
              <w:t>6015/INFOEM/IP/RR/2024</w:t>
            </w:r>
          </w:p>
        </w:tc>
        <w:tc>
          <w:tcPr>
            <w:tcW w:w="5938" w:type="dxa"/>
          </w:tcPr>
          <w:p w:rsidR="00E66693" w:rsidRDefault="00E66693" w:rsidP="00E66693">
            <w:pPr>
              <w:pStyle w:val="Prrafodelista"/>
              <w:spacing w:before="240" w:line="360" w:lineRule="auto"/>
              <w:ind w:left="142"/>
              <w:jc w:val="both"/>
              <w:rPr>
                <w:rFonts w:ascii="Palatino Linotype" w:hAnsi="Palatino Linotype" w:cs="Arial"/>
                <w:b/>
                <w:i/>
              </w:rPr>
            </w:pPr>
            <w:r>
              <w:rPr>
                <w:rFonts w:ascii="Palatino Linotype" w:hAnsi="Palatino Linotype" w:cs="Arial"/>
                <w:b/>
                <w:i/>
              </w:rPr>
              <w:t xml:space="preserve">Acto impugnado </w:t>
            </w:r>
          </w:p>
          <w:p w:rsidR="00E66693" w:rsidRPr="007E4713" w:rsidRDefault="00E66693" w:rsidP="00E66693">
            <w:pPr>
              <w:pStyle w:val="Prrafodelista"/>
              <w:spacing w:before="240"/>
              <w:ind w:left="317"/>
              <w:jc w:val="both"/>
              <w:rPr>
                <w:rFonts w:ascii="Palatino Linotype" w:hAnsi="Palatino Linotype" w:cs="Arial"/>
                <w:i/>
              </w:rPr>
            </w:pPr>
            <w:r w:rsidRPr="007E4713">
              <w:rPr>
                <w:rFonts w:ascii="Palatino Linotype" w:hAnsi="Palatino Linotype" w:cs="Arial"/>
                <w:i/>
              </w:rPr>
              <w:t>“</w:t>
            </w:r>
            <w:r w:rsidRPr="00E66693">
              <w:rPr>
                <w:rFonts w:ascii="Palatino Linotype" w:hAnsi="Palatino Linotype" w:cs="Arial"/>
                <w:i/>
              </w:rPr>
              <w:t>No dio la información completa</w:t>
            </w:r>
            <w:r>
              <w:rPr>
                <w:rFonts w:ascii="Palatino Linotype" w:hAnsi="Palatino Linotype" w:cs="Arial"/>
                <w:i/>
              </w:rPr>
              <w:t>” (sic)</w:t>
            </w:r>
          </w:p>
          <w:p w:rsidR="00E66693" w:rsidRPr="0033050B" w:rsidRDefault="00E66693" w:rsidP="00E66693">
            <w:pPr>
              <w:pStyle w:val="Prrafodelista"/>
              <w:spacing w:before="240" w:line="360" w:lineRule="auto"/>
              <w:ind w:left="142"/>
              <w:jc w:val="both"/>
              <w:rPr>
                <w:rFonts w:ascii="Palatino Linotype" w:hAnsi="Palatino Linotype" w:cs="Arial"/>
                <w:b/>
                <w:i/>
              </w:rPr>
            </w:pPr>
            <w:r w:rsidRPr="0033050B">
              <w:rPr>
                <w:rFonts w:ascii="Palatino Linotype" w:hAnsi="Palatino Linotype" w:cs="Arial"/>
                <w:b/>
                <w:i/>
              </w:rPr>
              <w:t>Razones o motivos de inconformidad</w:t>
            </w:r>
          </w:p>
          <w:p w:rsidR="00E66693" w:rsidRPr="00E66693" w:rsidRDefault="00E66693" w:rsidP="00E66693">
            <w:pPr>
              <w:pStyle w:val="INFOEM"/>
              <w:ind w:left="317" w:right="160"/>
            </w:pPr>
            <w:r>
              <w:t>“</w:t>
            </w:r>
            <w:r w:rsidRPr="00E66693">
              <w:t>Si bien la dependencia no está obligada a generar documentos ad hoc, si está obligada de proporcionar la documentación donde se puede corroborar la información que se genere dentro de sus atribuciones, por lo que negarla bajo el pretexto de no querer procesar la información solicitada es un pretexto infundado para no transparentar datos que deben ser de acceso público.</w:t>
            </w:r>
            <w:r>
              <w:rPr>
                <w:rFonts w:cs="Arial"/>
              </w:rPr>
              <w:t>” (sic)</w:t>
            </w:r>
          </w:p>
        </w:tc>
      </w:tr>
      <w:tr w:rsidR="00E66693" w:rsidTr="00E66693">
        <w:tc>
          <w:tcPr>
            <w:tcW w:w="3104" w:type="dxa"/>
          </w:tcPr>
          <w:p w:rsidR="00E66693" w:rsidRDefault="00EC5764" w:rsidP="00E66693">
            <w:pPr>
              <w:spacing w:before="240" w:line="360" w:lineRule="auto"/>
              <w:jc w:val="both"/>
              <w:rPr>
                <w:rFonts w:ascii="Palatino Linotype" w:hAnsi="Palatino Linotype" w:cs="Arial"/>
                <w:sz w:val="24"/>
                <w:szCs w:val="24"/>
              </w:rPr>
            </w:pPr>
            <w:r>
              <w:rPr>
                <w:rFonts w:ascii="Palatino Linotype" w:hAnsi="Palatino Linotype" w:cs="Arial"/>
                <w:b/>
                <w:sz w:val="24"/>
                <w:szCs w:val="24"/>
              </w:rPr>
              <w:t>0</w:t>
            </w:r>
            <w:r w:rsidR="00E66693">
              <w:rPr>
                <w:rFonts w:ascii="Palatino Linotype" w:hAnsi="Palatino Linotype" w:cs="Arial"/>
                <w:b/>
                <w:sz w:val="24"/>
                <w:szCs w:val="24"/>
              </w:rPr>
              <w:t>6016/INFOEM/IP/RR/2024</w:t>
            </w:r>
          </w:p>
        </w:tc>
        <w:tc>
          <w:tcPr>
            <w:tcW w:w="5938" w:type="dxa"/>
          </w:tcPr>
          <w:p w:rsidR="00E66693" w:rsidRDefault="00E66693" w:rsidP="00E66693">
            <w:pPr>
              <w:pStyle w:val="Prrafodelista"/>
              <w:spacing w:before="240" w:line="360" w:lineRule="auto"/>
              <w:ind w:left="142"/>
              <w:jc w:val="both"/>
              <w:rPr>
                <w:rFonts w:ascii="Palatino Linotype" w:hAnsi="Palatino Linotype" w:cs="Arial"/>
                <w:b/>
                <w:i/>
              </w:rPr>
            </w:pPr>
            <w:r>
              <w:rPr>
                <w:rFonts w:ascii="Palatino Linotype" w:hAnsi="Palatino Linotype" w:cs="Arial"/>
                <w:b/>
                <w:i/>
              </w:rPr>
              <w:t xml:space="preserve">Acto impugnado </w:t>
            </w:r>
          </w:p>
          <w:p w:rsidR="00E66693" w:rsidRPr="007E4713" w:rsidRDefault="00E66693" w:rsidP="00E66693">
            <w:pPr>
              <w:pStyle w:val="Prrafodelista"/>
              <w:spacing w:before="240"/>
              <w:ind w:left="317"/>
              <w:jc w:val="both"/>
              <w:rPr>
                <w:rFonts w:ascii="Palatino Linotype" w:hAnsi="Palatino Linotype" w:cs="Arial"/>
                <w:i/>
              </w:rPr>
            </w:pPr>
            <w:r w:rsidRPr="007E4713">
              <w:rPr>
                <w:rFonts w:ascii="Palatino Linotype" w:hAnsi="Palatino Linotype" w:cs="Arial"/>
                <w:i/>
              </w:rPr>
              <w:t>“</w:t>
            </w:r>
            <w:r w:rsidRPr="00E66693">
              <w:rPr>
                <w:rFonts w:ascii="Palatino Linotype" w:hAnsi="Palatino Linotype" w:cs="Arial"/>
                <w:i/>
              </w:rPr>
              <w:t>Negó la información</w:t>
            </w:r>
            <w:r>
              <w:rPr>
                <w:rFonts w:ascii="Palatino Linotype" w:hAnsi="Palatino Linotype" w:cs="Arial"/>
                <w:i/>
              </w:rPr>
              <w:t>” (sic)</w:t>
            </w:r>
          </w:p>
          <w:p w:rsidR="00E66693" w:rsidRPr="0033050B" w:rsidRDefault="00E66693" w:rsidP="00E66693">
            <w:pPr>
              <w:pStyle w:val="Prrafodelista"/>
              <w:spacing w:before="240" w:line="360" w:lineRule="auto"/>
              <w:ind w:left="142"/>
              <w:jc w:val="both"/>
              <w:rPr>
                <w:rFonts w:ascii="Palatino Linotype" w:hAnsi="Palatino Linotype" w:cs="Arial"/>
                <w:b/>
                <w:i/>
              </w:rPr>
            </w:pPr>
            <w:r w:rsidRPr="0033050B">
              <w:rPr>
                <w:rFonts w:ascii="Palatino Linotype" w:hAnsi="Palatino Linotype" w:cs="Arial"/>
                <w:b/>
                <w:i/>
              </w:rPr>
              <w:t>Razones o motivos de inconformidad</w:t>
            </w:r>
          </w:p>
          <w:p w:rsidR="00E66693" w:rsidRPr="00E66693" w:rsidRDefault="00E66693" w:rsidP="00E66693">
            <w:pPr>
              <w:pStyle w:val="INFOEM"/>
              <w:ind w:left="317" w:right="160"/>
            </w:pPr>
            <w:r>
              <w:t>“</w:t>
            </w:r>
            <w:r w:rsidRPr="00E66693">
              <w:t>La dependencia afirma que no cuenta con dicha información; sin embargo, ellos mismos lo anunciaron de forma pública como se muestra en el siguiente link: https://smmp.edomex.gob.mx/noticia/edomex-alista-</w:t>
            </w:r>
            <w:r w:rsidRPr="00E66693">
              <w:lastRenderedPageBreak/>
              <w:t>denuncias-penales-exfuncionarios-eruviel-mazo-por-dano-hacienda</w:t>
            </w:r>
            <w:r>
              <w:rPr>
                <w:rFonts w:cs="Arial"/>
              </w:rPr>
              <w:t>” (sic)</w:t>
            </w:r>
          </w:p>
        </w:tc>
      </w:tr>
    </w:tbl>
    <w:p w:rsidR="00E66693" w:rsidRDefault="00E66693" w:rsidP="00E66693">
      <w:pPr>
        <w:spacing w:before="240" w:line="360" w:lineRule="auto"/>
        <w:jc w:val="both"/>
        <w:rPr>
          <w:rFonts w:ascii="Palatino Linotype" w:hAnsi="Palatino Linotype" w:cs="Arial"/>
          <w:sz w:val="24"/>
          <w:szCs w:val="24"/>
        </w:rPr>
      </w:pPr>
    </w:p>
    <w:p w:rsidR="00E66693" w:rsidRPr="002C3EC8" w:rsidRDefault="00E66693" w:rsidP="00E66693">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2C3EC8">
        <w:rPr>
          <w:rFonts w:ascii="Palatino Linotype" w:hAnsi="Palatino Linotype" w:cs="Arial"/>
          <w:b/>
          <w:sz w:val="24"/>
          <w:szCs w:val="24"/>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w:t>
      </w:r>
      <w:r>
        <w:rPr>
          <w:rFonts w:ascii="Palatino Linotype" w:hAnsi="Palatino Linotype" w:cs="Arial"/>
          <w:b/>
          <w:sz w:val="28"/>
          <w:szCs w:val="28"/>
        </w:rPr>
        <w:t xml:space="preserve"> </w:t>
      </w:r>
      <w:r w:rsidRPr="002C3EC8">
        <w:rPr>
          <w:rFonts w:ascii="Palatino Linotype" w:hAnsi="Palatino Linotype" w:cs="Arial"/>
          <w:b/>
          <w:sz w:val="28"/>
          <w:szCs w:val="28"/>
        </w:rPr>
        <w:t>l</w:t>
      </w:r>
      <w:r>
        <w:rPr>
          <w:rFonts w:ascii="Palatino Linotype" w:hAnsi="Palatino Linotype" w:cs="Arial"/>
          <w:b/>
          <w:sz w:val="28"/>
          <w:szCs w:val="28"/>
        </w:rPr>
        <w:t>os</w:t>
      </w:r>
      <w:r w:rsidRPr="002C3EC8">
        <w:rPr>
          <w:rFonts w:ascii="Palatino Linotype" w:hAnsi="Palatino Linotype" w:cs="Arial"/>
          <w:b/>
          <w:sz w:val="28"/>
          <w:szCs w:val="28"/>
        </w:rPr>
        <w:t xml:space="preserve"> recurso</w:t>
      </w:r>
      <w:r>
        <w:rPr>
          <w:rFonts w:ascii="Palatino Linotype" w:hAnsi="Palatino Linotype" w:cs="Arial"/>
          <w:b/>
          <w:sz w:val="28"/>
          <w:szCs w:val="28"/>
        </w:rPr>
        <w:t>s</w:t>
      </w:r>
      <w:r w:rsidRPr="002C3EC8">
        <w:rPr>
          <w:rFonts w:ascii="Palatino Linotype" w:hAnsi="Palatino Linotype" w:cs="Arial"/>
          <w:b/>
          <w:sz w:val="28"/>
          <w:szCs w:val="28"/>
        </w:rPr>
        <w:t xml:space="preserve"> de revisión.</w:t>
      </w:r>
    </w:p>
    <w:p w:rsidR="00E66693" w:rsidRPr="002C3EC8" w:rsidRDefault="00E66693" w:rsidP="00E66693">
      <w:pPr>
        <w:spacing w:before="240" w:line="360" w:lineRule="auto"/>
        <w:jc w:val="both"/>
        <w:rPr>
          <w:rFonts w:ascii="Palatino Linotype" w:hAnsi="Palatino Linotype" w:cs="Arial"/>
          <w:sz w:val="28"/>
          <w:szCs w:val="24"/>
        </w:rPr>
      </w:pPr>
      <w:r>
        <w:rPr>
          <w:rFonts w:ascii="Palatino Linotype" w:hAnsi="Palatino Linotype"/>
          <w:sz w:val="24"/>
        </w:rPr>
        <w:t>El medio de impugnación fue turnado al Comisionado Presidente</w:t>
      </w:r>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Pr>
          <w:rFonts w:ascii="Palatino Linotype" w:hAnsi="Palatino Linotype"/>
          <w:sz w:val="24"/>
        </w:rPr>
        <w:t xml:space="preserve"> en fecha </w:t>
      </w:r>
      <w:r w:rsidR="00A70605">
        <w:rPr>
          <w:rFonts w:ascii="Palatino Linotype" w:hAnsi="Palatino Linotype"/>
          <w:b/>
          <w:sz w:val="24"/>
        </w:rPr>
        <w:t>ocho y diez de octubre</w:t>
      </w:r>
      <w:r>
        <w:rPr>
          <w:rFonts w:ascii="Palatino Linotype" w:hAnsi="Palatino Linotype"/>
          <w:b/>
          <w:sz w:val="24"/>
        </w:rPr>
        <w:t xml:space="preserve"> de dos mil veinticuatro</w:t>
      </w:r>
      <w:r w:rsidRPr="002C3EC8">
        <w:rPr>
          <w:rFonts w:ascii="Palatino Linotype" w:hAnsi="Palatino Linotype"/>
          <w:sz w:val="24"/>
        </w:rPr>
        <w:t>, determinándose en ellos, un plazo de siete días para que las partes manifestaran lo que a su derecho corresponda en términos del numeral ya citado.</w:t>
      </w:r>
    </w:p>
    <w:p w:rsidR="00E66693" w:rsidRPr="002C3EC8" w:rsidRDefault="00E66693" w:rsidP="00E66693">
      <w:pPr>
        <w:spacing w:before="240" w:line="360" w:lineRule="auto"/>
        <w:jc w:val="both"/>
        <w:rPr>
          <w:rFonts w:ascii="Palatino Linotype" w:hAnsi="Palatino Linotype" w:cs="Arial"/>
          <w:sz w:val="24"/>
          <w:szCs w:val="24"/>
        </w:rPr>
      </w:pPr>
    </w:p>
    <w:p w:rsidR="00E66693" w:rsidRPr="00E52C83" w:rsidRDefault="00E66693" w:rsidP="00E66693">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rsidR="00A70605" w:rsidRPr="00A70605" w:rsidRDefault="00A70605" w:rsidP="00A70605">
      <w:pPr>
        <w:spacing w:line="360" w:lineRule="auto"/>
        <w:jc w:val="both"/>
        <w:rPr>
          <w:rFonts w:ascii="Palatino Linotype" w:hAnsi="Palatino Linotype"/>
          <w:sz w:val="24"/>
        </w:rPr>
      </w:pPr>
      <w:r w:rsidRPr="00A70605">
        <w:rPr>
          <w:rFonts w:ascii="Palatino Linotype" w:hAnsi="Palatino Linotype" w:cs="Arial"/>
          <w:sz w:val="24"/>
        </w:rPr>
        <w:t xml:space="preserve">De las constancias que obran en el expediente electrónico del SAIMEX, se advierte que el </w:t>
      </w:r>
      <w:r w:rsidRPr="00A70605">
        <w:rPr>
          <w:rFonts w:ascii="Palatino Linotype" w:hAnsi="Palatino Linotype" w:cs="Arial"/>
          <w:b/>
          <w:sz w:val="24"/>
        </w:rPr>
        <w:t>Sujeto Obligado</w:t>
      </w:r>
      <w:r w:rsidRPr="00A70605">
        <w:rPr>
          <w:rFonts w:ascii="Palatino Linotype" w:hAnsi="Palatino Linotype" w:cs="Arial"/>
          <w:sz w:val="24"/>
        </w:rPr>
        <w:t xml:space="preserve"> rindió su informe justificado en fecha diecisiete y veintiuno de octubre de dos mil veinticuatro, por</w:t>
      </w:r>
      <w:r>
        <w:rPr>
          <w:rFonts w:ascii="Palatino Linotype" w:hAnsi="Palatino Linotype" w:cs="Arial"/>
          <w:sz w:val="24"/>
        </w:rPr>
        <w:t xml:space="preserve"> medio del archivo electrónico </w:t>
      </w:r>
      <w:r w:rsidRPr="00A70605">
        <w:rPr>
          <w:rFonts w:ascii="Palatino Linotype" w:hAnsi="Palatino Linotype" w:cs="Arial"/>
          <w:b/>
          <w:i/>
          <w:sz w:val="24"/>
        </w:rPr>
        <w:t>“</w:t>
      </w:r>
      <w:r>
        <w:rPr>
          <w:rFonts w:ascii="Palatino Linotype" w:hAnsi="Palatino Linotype" w:cs="Arial"/>
          <w:b/>
          <w:i/>
          <w:sz w:val="24"/>
        </w:rPr>
        <w:t>Informe justificado 06015.pdf” e</w:t>
      </w:r>
      <w:r w:rsidRPr="00A70605">
        <w:rPr>
          <w:rFonts w:ascii="Palatino Linotype" w:hAnsi="Palatino Linotype" w:cs="Arial"/>
          <w:b/>
          <w:i/>
          <w:sz w:val="24"/>
        </w:rPr>
        <w:t xml:space="preserve"> “Informe Justificado 323.pdf”</w:t>
      </w:r>
      <w:r w:rsidRPr="00A70605">
        <w:rPr>
          <w:rFonts w:ascii="Palatino Linotype" w:hAnsi="Palatino Linotype" w:cs="Arial"/>
          <w:sz w:val="24"/>
        </w:rPr>
        <w:t xml:space="preserve">, el cual fue puesto a la vista en fecha </w:t>
      </w:r>
      <w:r>
        <w:rPr>
          <w:rFonts w:ascii="Palatino Linotype" w:hAnsi="Palatino Linotype" w:cs="Arial"/>
          <w:sz w:val="24"/>
        </w:rPr>
        <w:t>veintitrés de octubre</w:t>
      </w:r>
      <w:r w:rsidRPr="00A70605">
        <w:rPr>
          <w:rFonts w:ascii="Palatino Linotype" w:hAnsi="Palatino Linotype" w:cs="Arial"/>
          <w:sz w:val="24"/>
        </w:rPr>
        <w:t xml:space="preserve"> del mismo año</w:t>
      </w:r>
      <w:r w:rsidRPr="00A70605">
        <w:rPr>
          <w:rFonts w:ascii="Palatino Linotype" w:hAnsi="Palatino Linotype" w:cs="Arial"/>
          <w:b/>
          <w:i/>
          <w:sz w:val="24"/>
        </w:rPr>
        <w:t>.</w:t>
      </w:r>
    </w:p>
    <w:p w:rsidR="00A70605" w:rsidRPr="00A70605" w:rsidRDefault="00A70605" w:rsidP="00A70605">
      <w:pPr>
        <w:spacing w:line="360" w:lineRule="auto"/>
        <w:jc w:val="both"/>
        <w:rPr>
          <w:rFonts w:ascii="Palatino Linotype" w:hAnsi="Palatino Linotype"/>
          <w:sz w:val="24"/>
        </w:rPr>
      </w:pPr>
    </w:p>
    <w:p w:rsidR="00A70605" w:rsidRPr="00A70605" w:rsidRDefault="00A70605" w:rsidP="00A70605">
      <w:pPr>
        <w:spacing w:line="360" w:lineRule="auto"/>
        <w:jc w:val="both"/>
        <w:rPr>
          <w:rFonts w:ascii="Palatino Linotype" w:hAnsi="Palatino Linotype" w:cs="Arial"/>
          <w:sz w:val="24"/>
        </w:rPr>
      </w:pPr>
      <w:r w:rsidRPr="00A70605">
        <w:rPr>
          <w:rFonts w:ascii="Palatino Linotype" w:hAnsi="Palatino Linotype" w:cs="Arial"/>
          <w:sz w:val="24"/>
        </w:rPr>
        <w:lastRenderedPageBreak/>
        <w:t xml:space="preserve">Así mismo, se aprecia que no se llevaron a cabo audiencias durante la sustanciación del recurso de revisión, ni se ofrecieron pruebas por parte del </w:t>
      </w:r>
      <w:r w:rsidRPr="00A70605">
        <w:rPr>
          <w:rFonts w:ascii="Palatino Linotype" w:hAnsi="Palatino Linotype" w:cs="Arial"/>
          <w:b/>
          <w:sz w:val="24"/>
        </w:rPr>
        <w:t>Recurrente</w:t>
      </w:r>
      <w:r w:rsidRPr="00A70605">
        <w:rPr>
          <w:rFonts w:ascii="Palatino Linotype" w:hAnsi="Palatino Linotype" w:cs="Arial"/>
          <w:sz w:val="24"/>
        </w:rPr>
        <w:t>; todo lo anterior en términos de los artículos 185 fracciones II y IV, y 195 de la Ley de Transparencia y Acceso a la Información Pública del Estado de México y Municipios.</w:t>
      </w:r>
    </w:p>
    <w:p w:rsidR="00E66693" w:rsidRDefault="00E66693" w:rsidP="00E66693">
      <w:pPr>
        <w:spacing w:after="0" w:line="360" w:lineRule="auto"/>
        <w:jc w:val="both"/>
        <w:rPr>
          <w:rFonts w:ascii="Palatino Linotype" w:hAnsi="Palatino Linotype" w:cs="Arial"/>
          <w:b/>
          <w:sz w:val="28"/>
          <w:szCs w:val="28"/>
        </w:rPr>
      </w:pPr>
    </w:p>
    <w:p w:rsidR="00E66693" w:rsidRDefault="00E66693" w:rsidP="00E66693">
      <w:pPr>
        <w:spacing w:line="360" w:lineRule="auto"/>
        <w:jc w:val="both"/>
        <w:rPr>
          <w:rFonts w:ascii="Palatino Linotype" w:eastAsia="Calibri" w:hAnsi="Palatino Linotype" w:cs="Arial"/>
          <w:b/>
          <w:sz w:val="28"/>
          <w:szCs w:val="28"/>
        </w:rPr>
      </w:pPr>
      <w:r>
        <w:rPr>
          <w:rFonts w:ascii="Palatino Linotype" w:hAnsi="Palatino Linotype" w:cs="Arial"/>
          <w:b/>
          <w:sz w:val="28"/>
          <w:szCs w:val="28"/>
        </w:rPr>
        <w:t>SEXTO.</w:t>
      </w:r>
      <w:r w:rsidRPr="0036587B">
        <w:rPr>
          <w:rFonts w:ascii="Palatino Linotype" w:hAnsi="Palatino Linotype" w:cs="Arial"/>
          <w:b/>
          <w:sz w:val="28"/>
        </w:rPr>
        <w:t xml:space="preserve"> </w:t>
      </w:r>
      <w:r>
        <w:rPr>
          <w:rFonts w:ascii="Palatino Linotype" w:eastAsia="Calibri" w:hAnsi="Palatino Linotype" w:cs="Arial"/>
          <w:b/>
          <w:sz w:val="28"/>
          <w:szCs w:val="28"/>
        </w:rPr>
        <w:t>De la Acumulación</w:t>
      </w:r>
    </w:p>
    <w:p w:rsidR="00E66693" w:rsidRDefault="00E66693" w:rsidP="00E66693">
      <w:pPr>
        <w:pStyle w:val="Prrafodelista"/>
        <w:spacing w:line="360" w:lineRule="auto"/>
        <w:ind w:left="0"/>
        <w:jc w:val="both"/>
        <w:rPr>
          <w:rFonts w:ascii="Palatino Linotype" w:hAnsi="Palatino Linotype"/>
        </w:rPr>
      </w:pPr>
      <w:r w:rsidRPr="002C3EC8">
        <w:rPr>
          <w:rFonts w:ascii="Palatino Linotype" w:hAnsi="Palatino Linotype"/>
        </w:rPr>
        <w:t xml:space="preserve">Posteriormente por acuerdo del Pleno del Instituto, en la </w:t>
      </w:r>
      <w:r w:rsidR="00A70605" w:rsidRPr="00A70605">
        <w:rPr>
          <w:rFonts w:ascii="Palatino Linotype" w:hAnsi="Palatino Linotype"/>
          <w:b/>
        </w:rPr>
        <w:t xml:space="preserve">Trigésima  Séptima </w:t>
      </w:r>
      <w:r w:rsidRPr="004F5D83">
        <w:rPr>
          <w:rFonts w:ascii="Palatino Linotype" w:hAnsi="Palatino Linotype"/>
          <w:b/>
        </w:rPr>
        <w:t>Sesión</w:t>
      </w:r>
      <w:r>
        <w:rPr>
          <w:rFonts w:ascii="Palatino Linotype" w:hAnsi="Palatino Linotype"/>
        </w:rPr>
        <w:t xml:space="preserve"> </w:t>
      </w:r>
      <w:r w:rsidRPr="002C3EC8">
        <w:rPr>
          <w:rFonts w:ascii="Palatino Linotype" w:hAnsi="Palatino Linotype"/>
        </w:rPr>
        <w:t xml:space="preserve">Ordinaria de Pleno, de fecha </w:t>
      </w:r>
      <w:r w:rsidR="00A70605">
        <w:rPr>
          <w:rFonts w:ascii="Palatino Linotype" w:hAnsi="Palatino Linotype"/>
          <w:b/>
        </w:rPr>
        <w:t>dieciséis de octubre</w:t>
      </w:r>
      <w:r>
        <w:rPr>
          <w:rFonts w:ascii="Palatino Linotype" w:hAnsi="Palatino Linotype"/>
          <w:b/>
        </w:rPr>
        <w:t xml:space="preserve"> de dos mil veinticuatro</w:t>
      </w:r>
      <w:r w:rsidRPr="002C3EC8">
        <w:rPr>
          <w:rFonts w:ascii="Palatino Linotype" w:hAnsi="Palatino Linotype"/>
        </w:rPr>
        <w:t>, se determinó acumular los recursos de revisión en estudio, ya que existe identidad del solicitante, del Sujeto Obligado y similitud de causas y objeto de solicitud. 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A70605" w:rsidRDefault="00A70605" w:rsidP="00A70605">
      <w:pPr>
        <w:pStyle w:val="INFOEM"/>
      </w:pPr>
      <w:r>
        <w:t xml:space="preserve">“Artículo 195. En la tramitación del recurso de revisión se aplicarán supletoriamente las disposiciones contenidas en el Código de Procedimientos Administrativos del Estado de México.” </w:t>
      </w:r>
    </w:p>
    <w:p w:rsidR="00E66693" w:rsidRPr="00A70605" w:rsidRDefault="00A70605" w:rsidP="00A70605">
      <w:pPr>
        <w:pStyle w:val="INFOEM"/>
      </w:pPr>
      <w:r>
        <w:t xml:space="preserve">“Artículo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w:t>
      </w:r>
      <w:r>
        <w:lastRenderedPageBreak/>
        <w:t>asuntos, para evitar la emisión de resoluciones contradictorias. La misma regla se aplicará, en lo conducente, para la separación de los expedientes.”</w:t>
      </w:r>
    </w:p>
    <w:p w:rsidR="00E66693" w:rsidRDefault="00E66693" w:rsidP="00E66693">
      <w:pPr>
        <w:spacing w:after="0" w:line="360" w:lineRule="auto"/>
        <w:jc w:val="both"/>
        <w:rPr>
          <w:rFonts w:ascii="Palatino Linotype" w:hAnsi="Palatino Linotype" w:cs="Arial"/>
          <w:b/>
          <w:sz w:val="28"/>
        </w:rPr>
      </w:pPr>
    </w:p>
    <w:p w:rsidR="00E66693" w:rsidRPr="002C3EC8" w:rsidRDefault="00E66693" w:rsidP="00E66693">
      <w:pPr>
        <w:spacing w:after="0" w:line="360" w:lineRule="auto"/>
        <w:jc w:val="both"/>
        <w:rPr>
          <w:rFonts w:ascii="Palatino Linotype" w:hAnsi="Palatino Linotype" w:cs="Arial"/>
          <w:b/>
          <w:sz w:val="28"/>
          <w:szCs w:val="28"/>
        </w:rPr>
      </w:pPr>
      <w:r>
        <w:rPr>
          <w:rFonts w:ascii="Palatino Linotype" w:hAnsi="Palatino Linotype" w:cs="Arial"/>
          <w:b/>
          <w:sz w:val="28"/>
        </w:rPr>
        <w:t>SÉPTIM</w:t>
      </w:r>
      <w:r w:rsidRPr="0036587B">
        <w:rPr>
          <w:rFonts w:ascii="Palatino Linotype" w:hAnsi="Palatino Linotype" w:cs="Arial"/>
          <w:b/>
          <w:sz w:val="28"/>
        </w:rPr>
        <w:t>O</w:t>
      </w:r>
      <w:r>
        <w:rPr>
          <w:rFonts w:ascii="Palatino Linotype" w:hAnsi="Palatino Linotype" w:cs="Arial"/>
          <w:b/>
          <w:sz w:val="28"/>
        </w:rPr>
        <w:t xml:space="preserve">. </w:t>
      </w:r>
      <w:r w:rsidRPr="002C3EC8">
        <w:rPr>
          <w:rFonts w:ascii="Palatino Linotype" w:hAnsi="Palatino Linotype" w:cs="Arial"/>
          <w:b/>
          <w:sz w:val="28"/>
          <w:szCs w:val="28"/>
        </w:rPr>
        <w:t>Del Cierre de Instrucción.</w:t>
      </w:r>
    </w:p>
    <w:p w:rsidR="00E66693" w:rsidRDefault="00E66693" w:rsidP="00E66693">
      <w:pPr>
        <w:spacing w:after="0" w:line="360" w:lineRule="auto"/>
        <w:jc w:val="both"/>
        <w:rPr>
          <w:rFonts w:ascii="Palatino Linotype" w:hAnsi="Palatino Linotype" w:cs="Arial"/>
          <w:sz w:val="24"/>
          <w:szCs w:val="24"/>
        </w:rPr>
      </w:pPr>
      <w:r w:rsidRPr="002C3EC8">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sz w:val="24"/>
          <w:szCs w:val="24"/>
        </w:rPr>
        <w:t xml:space="preserve"> cierre de instrucción en fecha </w:t>
      </w:r>
      <w:r w:rsidR="00A70605">
        <w:rPr>
          <w:rFonts w:ascii="Palatino Linotype" w:hAnsi="Palatino Linotype" w:cs="Arial"/>
          <w:b/>
          <w:sz w:val="24"/>
          <w:szCs w:val="24"/>
        </w:rPr>
        <w:t>veintinueve de octubre</w:t>
      </w:r>
      <w:r>
        <w:rPr>
          <w:rFonts w:ascii="Palatino Linotype" w:hAnsi="Palatino Linotype" w:cs="Arial"/>
          <w:b/>
          <w:sz w:val="24"/>
          <w:szCs w:val="24"/>
        </w:rPr>
        <w:t xml:space="preserve"> de dos mil veinticuatro</w:t>
      </w:r>
      <w:r w:rsidRPr="002C3EC8">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rsidR="00E66693" w:rsidRDefault="00E66693" w:rsidP="00E66693">
      <w:pPr>
        <w:spacing w:before="240" w:line="360" w:lineRule="auto"/>
        <w:rPr>
          <w:rFonts w:ascii="Palatino Linotype" w:hAnsi="Palatino Linotype" w:cs="Arial"/>
          <w:b/>
          <w:sz w:val="28"/>
        </w:rPr>
      </w:pPr>
    </w:p>
    <w:p w:rsidR="00E66693" w:rsidRPr="002C3EC8" w:rsidRDefault="00E66693" w:rsidP="00E66693">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rsidR="00E66693" w:rsidRPr="002C3EC8" w:rsidRDefault="00E66693" w:rsidP="00E66693">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rsidR="00E66693" w:rsidRPr="00165D42" w:rsidRDefault="00E66693" w:rsidP="00E66693">
      <w:pPr>
        <w:spacing w:after="0" w:line="360" w:lineRule="auto"/>
        <w:jc w:val="both"/>
        <w:rPr>
          <w:rFonts w:ascii="Palatino Linotype" w:hAnsi="Palatino Linotype" w:cs="Arial"/>
          <w:sz w:val="24"/>
          <w:szCs w:val="24"/>
        </w:rPr>
      </w:pPr>
      <w:r w:rsidRPr="00165D4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165D42">
        <w:rPr>
          <w:rFonts w:ascii="Palatino Linotype" w:hAnsi="Palatino Linotype" w:cs="Arial"/>
          <w:b/>
          <w:sz w:val="24"/>
          <w:szCs w:val="24"/>
        </w:rPr>
        <w:t>Recurrente</w:t>
      </w:r>
      <w:r w:rsidRPr="00165D42">
        <w:rPr>
          <w:rFonts w:ascii="Palatino Linotype" w:hAnsi="Palatino Linotype" w:cs="Arial"/>
          <w:sz w:val="24"/>
          <w:szCs w:val="24"/>
        </w:rPr>
        <w:t>, conforme a lo dispuesto en los artículos 6, apartado A, fracción IV de la Constitución Política de los Estados Unidos Mexicanos; 5 párrafos trigésimo tercero</w:t>
      </w:r>
      <w:r>
        <w:rPr>
          <w:rFonts w:ascii="Palatino Linotype" w:hAnsi="Palatino Linotype" w:cs="Arial"/>
          <w:sz w:val="24"/>
          <w:szCs w:val="24"/>
        </w:rPr>
        <w:t xml:space="preserve"> y </w:t>
      </w:r>
      <w:r w:rsidRPr="00165D42">
        <w:rPr>
          <w:rFonts w:ascii="Palatino Linotype" w:hAnsi="Palatino Linotype" w:cs="Arial"/>
          <w:sz w:val="24"/>
          <w:szCs w:val="24"/>
        </w:rPr>
        <w:t>trigésimo</w:t>
      </w:r>
      <w:r>
        <w:rPr>
          <w:rFonts w:ascii="Palatino Linotype" w:hAnsi="Palatino Linotype" w:cs="Arial"/>
          <w:sz w:val="24"/>
          <w:szCs w:val="24"/>
        </w:rPr>
        <w:t xml:space="preserve"> cuarto</w:t>
      </w:r>
      <w:r w:rsidRPr="00165D42">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w:t>
      </w:r>
      <w:r w:rsidRPr="00165D42">
        <w:rPr>
          <w:rFonts w:ascii="Palatino Linotype" w:hAnsi="Palatino Linotype" w:cs="Arial"/>
          <w:sz w:val="24"/>
          <w:szCs w:val="24"/>
        </w:rPr>
        <w:lastRenderedPageBreak/>
        <w:t xml:space="preserve">de Transparencia y Acceso a la Información Pública del Estado de México y Municipios; y </w:t>
      </w:r>
      <w:r w:rsidRPr="00165D42">
        <w:rPr>
          <w:rFonts w:ascii="Palatino Linotype" w:hAnsi="Palatino Linotype"/>
          <w:sz w:val="24"/>
        </w:rPr>
        <w:t>6, 9 fracciones I y XXIII</w:t>
      </w:r>
      <w:r w:rsidRPr="00165D42">
        <w:rPr>
          <w:rFonts w:ascii="Palatino Linotype" w:hAnsi="Palatino Linotype" w:cs="Arial"/>
          <w:sz w:val="24"/>
          <w:szCs w:val="24"/>
        </w:rPr>
        <w:t>, y 11 del Reglamento Interior del Instituto de Transparencia, Acceso a la Información Pública y Protección de Datos Personales del Estado de México y Municipios.</w:t>
      </w:r>
    </w:p>
    <w:p w:rsidR="00E66693" w:rsidRPr="002C3EC8" w:rsidRDefault="00E66693" w:rsidP="00E66693">
      <w:pPr>
        <w:spacing w:before="240" w:line="360" w:lineRule="auto"/>
        <w:jc w:val="both"/>
        <w:rPr>
          <w:rFonts w:ascii="Palatino Linotype" w:eastAsia="Calibri" w:hAnsi="Palatino Linotype"/>
          <w:b/>
          <w:color w:val="000000" w:themeColor="text1"/>
          <w:sz w:val="24"/>
          <w:szCs w:val="24"/>
        </w:rPr>
      </w:pPr>
    </w:p>
    <w:p w:rsidR="00E66693" w:rsidRPr="002C3EC8" w:rsidRDefault="00E66693" w:rsidP="00E66693">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rsidR="00E66693" w:rsidRPr="002C3EC8" w:rsidRDefault="00E66693" w:rsidP="00E66693">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Arial"/>
          <w:sz w:val="24"/>
          <w:szCs w:val="24"/>
          <w:lang w:eastAsia="es-ES"/>
        </w:rPr>
      </w:pPr>
      <w:r w:rsidRPr="00821CCD">
        <w:rPr>
          <w:rFonts w:ascii="Palatino Linotype" w:eastAsia="Times New Roman" w:hAnsi="Palatino Linotype" w:cs="Arial"/>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rsidR="00E66693" w:rsidRPr="00821CCD" w:rsidRDefault="00E66693" w:rsidP="00E66693">
      <w:pPr>
        <w:autoSpaceDE w:val="0"/>
        <w:autoSpaceDN w:val="0"/>
        <w:adjustRightInd w:val="0"/>
        <w:spacing w:before="240" w:line="360" w:lineRule="auto"/>
        <w:ind w:left="1134"/>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 xml:space="preserve">“Artículo 180. El recurso de revisión contendrá: </w:t>
      </w:r>
    </w:p>
    <w:p w:rsidR="00E66693" w:rsidRPr="00821CCD" w:rsidRDefault="00E66693" w:rsidP="00E66693">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I. El sujeto obligado ante la cual se presentó la solicitud; </w:t>
      </w:r>
    </w:p>
    <w:p w:rsidR="00E66693" w:rsidRPr="00821CCD" w:rsidRDefault="00E66693" w:rsidP="00E66693">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b/>
          <w:i/>
          <w:sz w:val="24"/>
          <w:szCs w:val="24"/>
          <w:lang w:val="es-ES_tradnl" w:eastAsia="es-ES"/>
        </w:rPr>
        <w:t>II. El nombre del solicitante que recurre</w:t>
      </w:r>
      <w:r w:rsidRPr="00821CCD">
        <w:rPr>
          <w:rFonts w:ascii="Palatino Linotype" w:eastAsia="Times New Roman" w:hAnsi="Palatino Linotype" w:cs="Arial"/>
          <w:i/>
          <w:sz w:val="24"/>
          <w:szCs w:val="24"/>
          <w:lang w:val="es-ES_tradnl" w:eastAsia="es-ES"/>
        </w:rPr>
        <w:t xml:space="preserve"> o de su representante y, en su caso, del tercero interesado, así como la dirección o medio que señale para recibir notificaciones;</w:t>
      </w:r>
    </w:p>
    <w:p w:rsidR="00E66693" w:rsidRPr="00821CCD" w:rsidRDefault="00E66693" w:rsidP="00E66693">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lastRenderedPageBreak/>
        <w:t>III. El número de folio de respuesta de la solicitud de acceso;</w:t>
      </w:r>
    </w:p>
    <w:p w:rsidR="00E66693" w:rsidRPr="00821CCD" w:rsidRDefault="00E66693" w:rsidP="00E66693">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IV. La fecha en que fue notificada la respuesta al solicitante o tuvo conocimiento del acto reclamado, o de presentación de la solicitud, en caso de falta de respuesta;</w:t>
      </w:r>
    </w:p>
    <w:p w:rsidR="00E66693" w:rsidRPr="00821CCD" w:rsidRDefault="00E66693" w:rsidP="00E66693">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 El acto que se recurre;</w:t>
      </w:r>
    </w:p>
    <w:p w:rsidR="00E66693" w:rsidRPr="00821CCD" w:rsidRDefault="00E66693" w:rsidP="00E66693">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VI. Las razones o motivos de inconformidad;</w:t>
      </w:r>
    </w:p>
    <w:p w:rsidR="00E66693" w:rsidRPr="00821CCD" w:rsidRDefault="00E66693" w:rsidP="00E66693">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 La copia de la respuesta que se impugna y, en su caso, de la notificación correspondiente, en el caso de respuesta de la solicitud; y </w:t>
      </w:r>
    </w:p>
    <w:p w:rsidR="00E66693" w:rsidRPr="00821CCD" w:rsidRDefault="00E66693" w:rsidP="00E66693">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VIII. Firma del recurrente, en su caso, cuando se presente por escrito, requisito sin el cual se dará trámite al recurso. </w:t>
      </w:r>
    </w:p>
    <w:p w:rsidR="00E66693" w:rsidRPr="00821CCD" w:rsidRDefault="00E66693" w:rsidP="00E66693">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Adicionalmente, se podrán anexar las pruebas y demás elementos que considere procedentes someter a juicio del Instituto. </w:t>
      </w:r>
    </w:p>
    <w:p w:rsidR="00E66693" w:rsidRPr="00821CCD" w:rsidRDefault="00E66693" w:rsidP="00E66693">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En ningún caso será necesario que el particular ratifique el recurso de revisión interpuesto. </w:t>
      </w:r>
    </w:p>
    <w:p w:rsidR="00E66693" w:rsidRPr="00821CCD" w:rsidRDefault="00E66693" w:rsidP="00E66693">
      <w:pPr>
        <w:autoSpaceDE w:val="0"/>
        <w:autoSpaceDN w:val="0"/>
        <w:adjustRightInd w:val="0"/>
        <w:spacing w:before="240" w:line="360" w:lineRule="auto"/>
        <w:ind w:left="1134" w:right="567"/>
        <w:jc w:val="both"/>
        <w:rPr>
          <w:rFonts w:ascii="Palatino Linotype" w:eastAsia="Times New Roman" w:hAnsi="Palatino Linotype" w:cs="Arial"/>
          <w:sz w:val="24"/>
          <w:szCs w:val="24"/>
          <w:lang w:eastAsia="es-ES"/>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E66693" w:rsidRPr="00821CCD" w:rsidTr="00E66693">
        <w:trPr>
          <w:trHeight w:val="1360"/>
        </w:trPr>
        <w:tc>
          <w:tcPr>
            <w:tcW w:w="7982" w:type="dxa"/>
          </w:tcPr>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821CCD">
              <w:rPr>
                <w:rFonts w:ascii="Palatino Linotype" w:eastAsia="Times New Roman" w:hAnsi="Palatino Linotype" w:cs="Times New Roman"/>
                <w:i/>
                <w:szCs w:val="24"/>
                <w:lang w:val="es-ES" w:eastAsia="es-ES"/>
              </w:rPr>
              <w:lastRenderedPageBreak/>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E66693" w:rsidRPr="00821CCD" w:rsidTr="00E66693">
        <w:trPr>
          <w:jc w:val="center"/>
        </w:trPr>
        <w:tc>
          <w:tcPr>
            <w:tcW w:w="8075" w:type="dxa"/>
          </w:tcPr>
          <w:p w:rsidR="00E66693" w:rsidRPr="00821CCD" w:rsidRDefault="00E66693" w:rsidP="00E66693">
            <w:pPr>
              <w:autoSpaceDE w:val="0"/>
              <w:autoSpaceDN w:val="0"/>
              <w:adjustRightInd w:val="0"/>
              <w:spacing w:before="240" w:line="360" w:lineRule="auto"/>
              <w:jc w:val="center"/>
              <w:rPr>
                <w:rFonts w:ascii="Palatino Linotype" w:eastAsia="Times New Roman" w:hAnsi="Palatino Linotype" w:cs="Times New Roman"/>
                <w:b/>
                <w:i/>
                <w:sz w:val="24"/>
                <w:szCs w:val="24"/>
                <w:lang w:val="es-ES" w:eastAsia="es-ES"/>
              </w:rPr>
            </w:pPr>
            <w:r w:rsidRPr="00821CCD">
              <w:rPr>
                <w:rFonts w:ascii="Palatino Linotype" w:eastAsia="Times New Roman" w:hAnsi="Palatino Linotype" w:cs="Times New Roman"/>
                <w:b/>
                <w:i/>
                <w:sz w:val="24"/>
                <w:szCs w:val="24"/>
                <w:lang w:val="es-ES" w:eastAsia="es-ES"/>
              </w:rPr>
              <w:t xml:space="preserve">Constitución Política de los Estados Unidos Mexicanos </w:t>
            </w: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w:t>
            </w: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 </w:t>
            </w: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lastRenderedPageBreak/>
              <w:t>III. Toda persona, sin necesidad de acreditar interés alguno o justificar su utilización, tendrá acceso gratuito a la información pública, a sus datos personales o a la rectificación de éstos.</w:t>
            </w: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IV. Se establecerán mecanismos de acceso a la información y procedimientos de revisión expeditos que se sustanciarán ante los organismos autónomos especializados e imparciales que establece esta Constitución.”</w:t>
            </w: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Arial"/>
                <w:b/>
                <w:i/>
                <w:szCs w:val="24"/>
                <w:lang w:eastAsia="es-ES"/>
              </w:rPr>
            </w:pPr>
            <w:r w:rsidRPr="00821CCD">
              <w:rPr>
                <w:rFonts w:ascii="Palatino Linotype" w:eastAsia="Times New Roman" w:hAnsi="Palatino Linotype" w:cs="Arial"/>
                <w:b/>
                <w:i/>
                <w:szCs w:val="24"/>
                <w:lang w:eastAsia="es-ES"/>
              </w:rPr>
              <w:t>Constitución Política del Estado Libre y Soberano de México</w:t>
            </w:r>
          </w:p>
          <w:p w:rsidR="00E66693" w:rsidRPr="00821CCD" w:rsidRDefault="00E66693" w:rsidP="00E66693">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rsidR="00E66693" w:rsidRPr="00821CCD" w:rsidRDefault="00E66693" w:rsidP="00E66693">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w:t>
            </w:r>
          </w:p>
          <w:p w:rsidR="00E66693" w:rsidRPr="00821CCD" w:rsidRDefault="00E66693" w:rsidP="00E66693">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Toda persona en el Estado de México, tiene derecho al libre acceso a la información plural y oportuna, así como a buscar recibir y difundir información e ideas de toda índole por cualquier medio de expresión.</w:t>
            </w:r>
          </w:p>
          <w:p w:rsidR="00E66693" w:rsidRPr="00821CCD" w:rsidRDefault="00E66693" w:rsidP="00E66693">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w:t>
            </w:r>
          </w:p>
          <w:p w:rsidR="00E66693" w:rsidRPr="00821CCD" w:rsidRDefault="00E66693" w:rsidP="00E66693">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lastRenderedPageBreak/>
              <w:t>El derecho a la información será garantizado por el Estado. La ley establecerá las previsiones que permitan asegurar la protección, el respeto y la difusión de este derecho.</w:t>
            </w:r>
          </w:p>
          <w:p w:rsidR="00E66693" w:rsidRPr="00821CCD" w:rsidRDefault="00E66693" w:rsidP="00E66693">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66693" w:rsidRPr="00821CCD" w:rsidRDefault="00E66693" w:rsidP="00E66693">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III. Toda persona, sin necesidad de acreditar interés alguno o justificar su utilización, tendrá acceso gratuito a la información pública, a sus datos personales o a la rectificación de éstos;</w:t>
            </w:r>
          </w:p>
          <w:p w:rsidR="00E66693" w:rsidRPr="00821CCD" w:rsidRDefault="00E66693" w:rsidP="00E66693">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IV. Se establecerán mecanismos de acceso a la información y procedimientos de revisión expeditos que se sustanciarán ante el organismo autónomo especializado e imparcial que establece esta Constitución.</w:t>
            </w: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w:t>
            </w: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rsidR="00E66693" w:rsidRDefault="00E66693" w:rsidP="00E66693">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eastAsia="Times New Roman" w:hAnsi="Palatino Linotype" w:cs="Times New Roman"/>
          <w:b/>
          <w:sz w:val="24"/>
          <w:szCs w:val="24"/>
          <w:u w:val="single"/>
          <w:lang w:eastAsia="es-ES"/>
        </w:rPr>
        <w:t>incluso, la solicitud de acceso a la información pueda ser anónima o no contener un nombre que identifique al solicitante o que permita tener certeza sobre su identidad</w:t>
      </w:r>
      <w:r w:rsidRPr="00821CCD">
        <w:rPr>
          <w:rFonts w:ascii="Palatino Linotype" w:eastAsia="Times New Roman" w:hAnsi="Palatino Linotype" w:cs="Times New Roman"/>
          <w:sz w:val="24"/>
          <w:szCs w:val="24"/>
          <w:lang w:eastAsia="es-ES"/>
        </w:rPr>
        <w:t xml:space="preserve">. </w:t>
      </w:r>
    </w:p>
    <w:p w:rsidR="00E66693" w:rsidRPr="00821CCD" w:rsidRDefault="00E66693" w:rsidP="00E66693">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t xml:space="preserve">En conclusión, se cubrieron los requisitos de procedencia y </w:t>
      </w:r>
      <w:proofErr w:type="spellStart"/>
      <w:r w:rsidRPr="00821CCD">
        <w:rPr>
          <w:rFonts w:ascii="Palatino Linotype" w:eastAsia="Times New Roman" w:hAnsi="Palatino Linotype" w:cs="Times New Roman"/>
          <w:sz w:val="24"/>
          <w:szCs w:val="24"/>
          <w:lang w:eastAsia="es-ES"/>
        </w:rPr>
        <w:t>procedibilidad</w:t>
      </w:r>
      <w:proofErr w:type="spellEnd"/>
      <w:r w:rsidRPr="00821CCD">
        <w:rPr>
          <w:rFonts w:ascii="Palatino Linotype" w:eastAsia="Times New Roman" w:hAnsi="Palatino Linotype" w:cs="Times New Roman"/>
          <w:sz w:val="24"/>
          <w:szCs w:val="24"/>
          <w:lang w:eastAsia="es-ES"/>
        </w:rPr>
        <w:t xml:space="preserve"> y conforme a las constancias que obran en el expediente.</w:t>
      </w:r>
    </w:p>
    <w:p w:rsidR="00E66693" w:rsidRDefault="00E66693" w:rsidP="00E66693">
      <w:pPr>
        <w:pStyle w:val="Prrafodelista"/>
        <w:autoSpaceDE w:val="0"/>
        <w:autoSpaceDN w:val="0"/>
        <w:adjustRightInd w:val="0"/>
        <w:spacing w:before="240" w:after="160" w:line="360" w:lineRule="auto"/>
        <w:ind w:left="0"/>
        <w:jc w:val="both"/>
        <w:rPr>
          <w:rFonts w:ascii="Palatino Linotype" w:hAnsi="Palatino Linotype" w:cs="Arial"/>
          <w:b/>
          <w:sz w:val="28"/>
        </w:rPr>
      </w:pPr>
    </w:p>
    <w:p w:rsidR="00E66693" w:rsidRPr="002C3EC8" w:rsidRDefault="00E66693" w:rsidP="00E66693">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rsidR="00E66693" w:rsidRPr="002C3EC8" w:rsidRDefault="00E66693" w:rsidP="00E66693">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En el procedimiento de acceso a la información y de los medios de impugnación de la materia, se advierten diversos supuestos de </w:t>
      </w:r>
      <w:proofErr w:type="spellStart"/>
      <w:r w:rsidRPr="002C3EC8">
        <w:rPr>
          <w:rFonts w:ascii="Palatino Linotype" w:hAnsi="Palatino Linotype" w:cs="Arial"/>
        </w:rPr>
        <w:t>procedibilidad</w:t>
      </w:r>
      <w:proofErr w:type="spellEnd"/>
      <w:r w:rsidRPr="002C3EC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E66693" w:rsidRPr="002C3EC8" w:rsidRDefault="00E66693" w:rsidP="00E66693">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lastRenderedPageBreak/>
        <w:t xml:space="preserve">Siendo facultad de este Órgano entrar al estudio de las causas de improcedencia que hagan valer las partes o que se adviertan de oficio por este </w:t>
      </w:r>
      <w:proofErr w:type="spellStart"/>
      <w:r w:rsidRPr="002C3EC8">
        <w:rPr>
          <w:rFonts w:ascii="Palatino Linotype" w:hAnsi="Palatino Linotype" w:cs="Arial"/>
        </w:rPr>
        <w:t>Resolutor</w:t>
      </w:r>
      <w:proofErr w:type="spellEnd"/>
      <w:r w:rsidRPr="002C3EC8">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E66693" w:rsidRDefault="00E66693" w:rsidP="00E66693">
      <w:pPr>
        <w:tabs>
          <w:tab w:val="left" w:pos="709"/>
        </w:tabs>
        <w:spacing w:before="240" w:line="360" w:lineRule="auto"/>
        <w:ind w:right="51"/>
        <w:jc w:val="both"/>
        <w:rPr>
          <w:rFonts w:ascii="Palatino Linotype" w:hAnsi="Palatino Linotype"/>
          <w:b/>
          <w:sz w:val="28"/>
          <w:szCs w:val="28"/>
        </w:rPr>
      </w:pPr>
    </w:p>
    <w:p w:rsidR="00E66693" w:rsidRPr="002C3EC8" w:rsidRDefault="00E66693" w:rsidP="00E66693">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lastRenderedPageBreak/>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rsidR="00E66693" w:rsidRPr="007379EE" w:rsidRDefault="00E66693" w:rsidP="00E6669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E66693" w:rsidRDefault="00E66693" w:rsidP="00E66693">
      <w:pPr>
        <w:autoSpaceDE w:val="0"/>
        <w:autoSpaceDN w:val="0"/>
        <w:adjustRightInd w:val="0"/>
        <w:ind w:right="567"/>
        <w:rPr>
          <w:rFonts w:ascii="Palatino Linotype" w:eastAsia="Calibri" w:hAnsi="Palatino Linotype" w:cs="Arial"/>
        </w:rPr>
      </w:pPr>
    </w:p>
    <w:p w:rsidR="00E66693" w:rsidRPr="00A779C7" w:rsidRDefault="00E66693" w:rsidP="00E66693">
      <w:pPr>
        <w:spacing w:line="360" w:lineRule="auto"/>
        <w:jc w:val="both"/>
        <w:rPr>
          <w:rFonts w:ascii="Palatino Linotype" w:hAnsi="Palatino Linotype" w:cs="Arial"/>
          <w:sz w:val="24"/>
        </w:rPr>
      </w:pPr>
      <w:r w:rsidRPr="00A779C7">
        <w:rPr>
          <w:rFonts w:ascii="Palatino Linotype" w:hAnsi="Palatino Linotype" w:cs="Tahoma"/>
          <w:bCs/>
          <w:sz w:val="24"/>
        </w:rPr>
        <w:t xml:space="preserve">Bajo estas líneas argumentativas, al retomar y delimitar los requerimientos del ahora </w:t>
      </w:r>
      <w:r w:rsidRPr="00A779C7">
        <w:rPr>
          <w:rFonts w:ascii="Palatino Linotype" w:hAnsi="Palatino Linotype" w:cs="Tahoma"/>
          <w:b/>
          <w:bCs/>
          <w:sz w:val="24"/>
        </w:rPr>
        <w:t>Recurrente</w:t>
      </w:r>
      <w:r w:rsidRPr="00A779C7">
        <w:rPr>
          <w:rFonts w:ascii="Palatino Linotype" w:hAnsi="Palatino Linotype" w:cs="Tahoma"/>
          <w:bCs/>
          <w:sz w:val="24"/>
        </w:rPr>
        <w:t>, de manera objetiva se precisa que requiere la siguiente información:</w:t>
      </w:r>
    </w:p>
    <w:p w:rsidR="00E66693" w:rsidRDefault="00F438C9" w:rsidP="00F438C9">
      <w:pPr>
        <w:pStyle w:val="Prrafodelista"/>
        <w:numPr>
          <w:ilvl w:val="0"/>
          <w:numId w:val="4"/>
        </w:numPr>
        <w:tabs>
          <w:tab w:val="left" w:pos="1828"/>
        </w:tabs>
        <w:spacing w:before="240" w:line="360" w:lineRule="auto"/>
        <w:jc w:val="both"/>
        <w:rPr>
          <w:rFonts w:ascii="Palatino Linotype" w:hAnsi="Palatino Linotype" w:cs="Tahoma"/>
          <w:bCs/>
        </w:rPr>
      </w:pPr>
      <w:r>
        <w:rPr>
          <w:rFonts w:ascii="Palatino Linotype" w:hAnsi="Palatino Linotype" w:cs="Tahoma"/>
          <w:bCs/>
        </w:rPr>
        <w:t>N</w:t>
      </w:r>
      <w:r w:rsidRPr="00F438C9">
        <w:rPr>
          <w:rFonts w:ascii="Palatino Linotype" w:hAnsi="Palatino Linotype" w:cs="Tahoma"/>
          <w:bCs/>
        </w:rPr>
        <w:t>úmero de denuncias recibidas en el Sistema de Atención Mexiquense en 2023 y 2024, tipo de de</w:t>
      </w:r>
      <w:r w:rsidR="00CD7ACA">
        <w:rPr>
          <w:rFonts w:ascii="Palatino Linotype" w:hAnsi="Palatino Linotype" w:cs="Tahoma"/>
          <w:bCs/>
        </w:rPr>
        <w:t>nuncia, dependencia proveniente y</w:t>
      </w:r>
      <w:r w:rsidRPr="00F438C9">
        <w:rPr>
          <w:rFonts w:ascii="Palatino Linotype" w:hAnsi="Palatino Linotype" w:cs="Tahoma"/>
          <w:bCs/>
        </w:rPr>
        <w:t xml:space="preserve"> medidas implementadas</w:t>
      </w:r>
      <w:r w:rsidR="00E66693">
        <w:rPr>
          <w:rFonts w:ascii="Palatino Linotype" w:hAnsi="Palatino Linotype" w:cs="Tahoma"/>
          <w:bCs/>
        </w:rPr>
        <w:t>.</w:t>
      </w:r>
    </w:p>
    <w:p w:rsidR="00E66693" w:rsidRPr="00595D52" w:rsidRDefault="00F438C9" w:rsidP="00F438C9">
      <w:pPr>
        <w:pStyle w:val="Prrafodelista"/>
        <w:numPr>
          <w:ilvl w:val="0"/>
          <w:numId w:val="4"/>
        </w:numPr>
        <w:tabs>
          <w:tab w:val="left" w:pos="1828"/>
        </w:tabs>
        <w:spacing w:before="240" w:line="360" w:lineRule="auto"/>
        <w:jc w:val="both"/>
        <w:rPr>
          <w:rFonts w:ascii="Palatino Linotype" w:hAnsi="Palatino Linotype" w:cs="Tahoma"/>
          <w:bCs/>
        </w:rPr>
      </w:pPr>
      <w:r>
        <w:rPr>
          <w:rFonts w:ascii="Palatino Linotype" w:hAnsi="Palatino Linotype" w:cs="Tahoma"/>
          <w:bCs/>
        </w:rPr>
        <w:t>P</w:t>
      </w:r>
      <w:r w:rsidRPr="00F438C9">
        <w:rPr>
          <w:rFonts w:ascii="Palatino Linotype" w:hAnsi="Palatino Linotype" w:cs="Tahoma"/>
          <w:bCs/>
        </w:rPr>
        <w:t>aquete de denuncias presentado por la Contraloría a la Fiscalía General de Justicia estatal (FGJEM) en contra de exfuncionarios mexiquenses</w:t>
      </w:r>
      <w:r>
        <w:rPr>
          <w:rFonts w:ascii="Palatino Linotype" w:hAnsi="Palatino Linotype" w:cs="Tahoma"/>
          <w:bCs/>
        </w:rPr>
        <w:t>.</w:t>
      </w:r>
    </w:p>
    <w:p w:rsidR="00E66693" w:rsidRDefault="00E66693" w:rsidP="00E66693">
      <w:pPr>
        <w:tabs>
          <w:tab w:val="left" w:pos="1828"/>
        </w:tabs>
        <w:spacing w:before="240" w:line="360" w:lineRule="auto"/>
        <w:jc w:val="both"/>
        <w:rPr>
          <w:rFonts w:ascii="Palatino Linotype" w:eastAsia="Palatino Linotype" w:hAnsi="Palatino Linotype" w:cs="Palatino Linotype"/>
          <w:color w:val="000000"/>
          <w:sz w:val="24"/>
        </w:rPr>
      </w:pPr>
      <w:r>
        <w:rPr>
          <w:rFonts w:ascii="Palatino Linotype" w:hAnsi="Palatino Linotype" w:cs="Arial"/>
          <w:sz w:val="24"/>
        </w:rPr>
        <w:t>D</w:t>
      </w:r>
      <w:r w:rsidRPr="00806096">
        <w:rPr>
          <w:rFonts w:ascii="Palatino Linotype" w:hAnsi="Palatino Linotype" w:cs="Arial"/>
          <w:sz w:val="24"/>
        </w:rPr>
        <w:t xml:space="preserve">e conformidad con las constancias que obran en el expediente electrónico, se observa que el </w:t>
      </w:r>
      <w:r w:rsidRPr="00806096">
        <w:rPr>
          <w:rFonts w:ascii="Palatino Linotype" w:hAnsi="Palatino Linotype" w:cs="Arial"/>
          <w:b/>
          <w:sz w:val="24"/>
        </w:rPr>
        <w:t>Sujeto Obligado</w:t>
      </w:r>
      <w:r w:rsidRPr="00806096">
        <w:rPr>
          <w:rFonts w:ascii="Palatino Linotype" w:hAnsi="Palatino Linotype" w:cs="Arial"/>
          <w:sz w:val="24"/>
        </w:rPr>
        <w:t xml:space="preserve"> dio respuesta por medio del sistema SAIMEX, a la</w:t>
      </w:r>
      <w:r>
        <w:rPr>
          <w:rFonts w:ascii="Palatino Linotype" w:hAnsi="Palatino Linotype" w:cs="Arial"/>
          <w:sz w:val="24"/>
        </w:rPr>
        <w:t>s</w:t>
      </w:r>
      <w:r w:rsidRPr="00806096">
        <w:rPr>
          <w:rFonts w:ascii="Palatino Linotype" w:hAnsi="Palatino Linotype" w:cs="Arial"/>
          <w:sz w:val="24"/>
        </w:rPr>
        <w:t xml:space="preserve"> solicitud</w:t>
      </w:r>
      <w:r>
        <w:rPr>
          <w:rFonts w:ascii="Palatino Linotype" w:hAnsi="Palatino Linotype" w:cs="Arial"/>
          <w:sz w:val="24"/>
        </w:rPr>
        <w:t>es</w:t>
      </w:r>
      <w:r w:rsidRPr="00806096">
        <w:rPr>
          <w:rFonts w:ascii="Palatino Linotype" w:hAnsi="Palatino Linotype" w:cs="Arial"/>
          <w:sz w:val="24"/>
        </w:rPr>
        <w:t xml:space="preserve"> de información</w:t>
      </w:r>
      <w:r>
        <w:rPr>
          <w:rFonts w:ascii="Palatino Linotype" w:eastAsia="Palatino Linotype" w:hAnsi="Palatino Linotype" w:cs="Palatino Linotype"/>
          <w:b/>
          <w:color w:val="000000"/>
          <w:sz w:val="24"/>
        </w:rPr>
        <w:t xml:space="preserve"> </w:t>
      </w:r>
      <w:r>
        <w:rPr>
          <w:rFonts w:ascii="Palatino Linotype" w:hAnsi="Palatino Linotype" w:cs="Arial"/>
          <w:sz w:val="24"/>
        </w:rPr>
        <w:t>por medio de los</w:t>
      </w:r>
      <w:r>
        <w:rPr>
          <w:rFonts w:ascii="Palatino Linotype" w:eastAsia="Palatino Linotype" w:hAnsi="Palatino Linotype" w:cs="Palatino Linotype"/>
          <w:color w:val="000000"/>
          <w:sz w:val="24"/>
        </w:rPr>
        <w:t xml:space="preserve"> archivos electrónicos denominados:</w:t>
      </w:r>
    </w:p>
    <w:p w:rsidR="00E66693" w:rsidRPr="00F438C9" w:rsidRDefault="00E66693" w:rsidP="00F438C9">
      <w:pPr>
        <w:pStyle w:val="Prrafodelista"/>
        <w:numPr>
          <w:ilvl w:val="0"/>
          <w:numId w:val="22"/>
        </w:numPr>
        <w:spacing w:line="360" w:lineRule="auto"/>
        <w:jc w:val="both"/>
        <w:rPr>
          <w:rFonts w:ascii="Palatino Linotype" w:hAnsi="Palatino Linotype" w:cs="Arial"/>
        </w:rPr>
      </w:pPr>
      <w:r w:rsidRPr="00F438C9">
        <w:rPr>
          <w:rFonts w:ascii="Palatino Linotype" w:hAnsi="Palatino Linotype" w:cs="Arial"/>
          <w:b/>
        </w:rPr>
        <w:t>00350/SECOGEM/IP/2024:</w:t>
      </w:r>
    </w:p>
    <w:p w:rsidR="00F438C9" w:rsidRPr="0087603F" w:rsidRDefault="00F438C9" w:rsidP="00F438C9">
      <w:pPr>
        <w:pStyle w:val="Prrafodelista"/>
        <w:numPr>
          <w:ilvl w:val="0"/>
          <w:numId w:val="9"/>
        </w:numPr>
        <w:tabs>
          <w:tab w:val="left" w:pos="1828"/>
        </w:tabs>
        <w:spacing w:before="240" w:line="360" w:lineRule="auto"/>
        <w:ind w:left="567"/>
        <w:jc w:val="both"/>
        <w:rPr>
          <w:rFonts w:ascii="Palatino Linotype" w:eastAsia="Palatino Linotype" w:hAnsi="Palatino Linotype" w:cs="Palatino Linotype"/>
          <w:color w:val="000000"/>
        </w:rPr>
      </w:pPr>
      <w:r w:rsidRPr="00F438C9">
        <w:rPr>
          <w:rFonts w:ascii="Palatino Linotype" w:hAnsi="Palatino Linotype" w:cs="Arial"/>
          <w:b/>
          <w:i/>
        </w:rPr>
        <w:lastRenderedPageBreak/>
        <w:t>OFICIO SOLICITANTE.pdf</w:t>
      </w:r>
      <w:r w:rsidR="00E66693">
        <w:rPr>
          <w:rFonts w:ascii="Palatino Linotype" w:hAnsi="Palatino Linotype" w:cs="Arial"/>
          <w:b/>
          <w:i/>
        </w:rPr>
        <w:t xml:space="preserve">: </w:t>
      </w:r>
      <w:r>
        <w:rPr>
          <w:rFonts w:ascii="Palatino Linotype" w:hAnsi="Palatino Linotype" w:cs="Arial"/>
        </w:rPr>
        <w:t xml:space="preserve">constante de una foja, en formato </w:t>
      </w:r>
      <w:proofErr w:type="spellStart"/>
      <w:r>
        <w:rPr>
          <w:rFonts w:ascii="Palatino Linotype" w:hAnsi="Palatino Linotype" w:cs="Arial"/>
        </w:rPr>
        <w:t>pdf</w:t>
      </w:r>
      <w:proofErr w:type="spellEnd"/>
      <w:r>
        <w:rPr>
          <w:rFonts w:ascii="Palatino Linotype" w:hAnsi="Palatino Linotype" w:cs="Arial"/>
        </w:rPr>
        <w:t xml:space="preserve">, </w:t>
      </w:r>
      <w:r w:rsidR="00691C84">
        <w:rPr>
          <w:rFonts w:ascii="Palatino Linotype" w:hAnsi="Palatino Linotype" w:cs="Arial"/>
        </w:rPr>
        <w:t>con</w:t>
      </w:r>
      <w:r>
        <w:rPr>
          <w:rFonts w:ascii="Palatino Linotype" w:hAnsi="Palatino Linotype" w:cs="Arial"/>
        </w:rPr>
        <w:t xml:space="preserve"> fecha </w:t>
      </w:r>
      <w:r w:rsidR="00691C84">
        <w:rPr>
          <w:rFonts w:ascii="Palatino Linotype" w:hAnsi="Palatino Linotype" w:cs="Arial"/>
        </w:rPr>
        <w:t>dos de octubre</w:t>
      </w:r>
      <w:r>
        <w:rPr>
          <w:rFonts w:ascii="Palatino Linotype" w:hAnsi="Palatino Linotype" w:cs="Arial"/>
        </w:rPr>
        <w:t xml:space="preserve"> de dos mil veinticuatro, firmado por el </w:t>
      </w:r>
      <w:r w:rsidR="00691C84">
        <w:rPr>
          <w:rFonts w:ascii="Palatino Linotype" w:hAnsi="Palatino Linotype" w:cs="Arial"/>
        </w:rPr>
        <w:t>Encargado de Despacho de la Unidad de Prevención de la Corrupción y Responsable de la Unidad de Transparencia</w:t>
      </w:r>
      <w:r>
        <w:rPr>
          <w:rFonts w:ascii="Palatino Linotype" w:hAnsi="Palatino Linotype" w:cs="Arial"/>
        </w:rPr>
        <w:t>,</w:t>
      </w:r>
      <w:r w:rsidR="00691C84">
        <w:rPr>
          <w:rFonts w:ascii="Palatino Linotype" w:hAnsi="Palatino Linotype" w:cs="Arial"/>
        </w:rPr>
        <w:t xml:space="preserve"> en el que sustancialmente remite respuesta a través del archivo siguiente. </w:t>
      </w:r>
    </w:p>
    <w:p w:rsidR="00C22641" w:rsidRPr="00C22641" w:rsidRDefault="00F438C9" w:rsidP="00F438C9">
      <w:pPr>
        <w:pStyle w:val="Prrafodelista"/>
        <w:numPr>
          <w:ilvl w:val="0"/>
          <w:numId w:val="9"/>
        </w:numPr>
        <w:tabs>
          <w:tab w:val="left" w:pos="1828"/>
        </w:tabs>
        <w:spacing w:before="240" w:line="360" w:lineRule="auto"/>
        <w:ind w:left="567"/>
        <w:jc w:val="both"/>
        <w:rPr>
          <w:rFonts w:ascii="Palatino Linotype" w:eastAsia="Palatino Linotype" w:hAnsi="Palatino Linotype" w:cs="Palatino Linotype"/>
          <w:color w:val="000000"/>
        </w:rPr>
      </w:pPr>
      <w:r w:rsidRPr="00E66693">
        <w:rPr>
          <w:rFonts w:ascii="Palatino Linotype" w:hAnsi="Palatino Linotype" w:cs="Arial"/>
          <w:b/>
          <w:i/>
        </w:rPr>
        <w:t>OFICIO RESPUESTA SPH.pdf</w:t>
      </w:r>
      <w:r>
        <w:rPr>
          <w:rFonts w:ascii="Palatino Linotype" w:hAnsi="Palatino Linotype" w:cs="Arial"/>
        </w:rPr>
        <w:t>:</w:t>
      </w:r>
      <w:r w:rsidRPr="00F438C9">
        <w:rPr>
          <w:rFonts w:ascii="Palatino Linotype" w:hAnsi="Palatino Linotype" w:cs="Arial"/>
        </w:rPr>
        <w:t xml:space="preserve"> </w:t>
      </w:r>
      <w:r w:rsidR="00691C84">
        <w:rPr>
          <w:rFonts w:ascii="Palatino Linotype" w:hAnsi="Palatino Linotype" w:cs="Arial"/>
        </w:rPr>
        <w:t xml:space="preserve">constante de seis fojas, en formato </w:t>
      </w:r>
      <w:proofErr w:type="spellStart"/>
      <w:r w:rsidR="00691C84">
        <w:rPr>
          <w:rFonts w:ascii="Palatino Linotype" w:hAnsi="Palatino Linotype" w:cs="Arial"/>
        </w:rPr>
        <w:t>pdf</w:t>
      </w:r>
      <w:proofErr w:type="spellEnd"/>
      <w:r w:rsidR="00691C84">
        <w:rPr>
          <w:rFonts w:ascii="Palatino Linotype" w:hAnsi="Palatino Linotype" w:cs="Arial"/>
        </w:rPr>
        <w:t xml:space="preserve">, </w:t>
      </w:r>
      <w:r w:rsidR="00C22641">
        <w:rPr>
          <w:rFonts w:ascii="Palatino Linotype" w:hAnsi="Palatino Linotype" w:cs="Arial"/>
        </w:rPr>
        <w:t>contiene los siguientes oficios:</w:t>
      </w:r>
    </w:p>
    <w:p w:rsidR="00F438C9" w:rsidRPr="00C22641" w:rsidRDefault="00C22641" w:rsidP="00AA5126">
      <w:pPr>
        <w:pStyle w:val="Prrafodelista"/>
        <w:numPr>
          <w:ilvl w:val="0"/>
          <w:numId w:val="23"/>
        </w:numPr>
        <w:tabs>
          <w:tab w:val="left" w:pos="1828"/>
        </w:tabs>
        <w:spacing w:before="240" w:line="360" w:lineRule="auto"/>
        <w:ind w:left="851"/>
        <w:jc w:val="both"/>
        <w:rPr>
          <w:rFonts w:ascii="Palatino Linotype" w:eastAsia="Palatino Linotype" w:hAnsi="Palatino Linotype" w:cs="Palatino Linotype"/>
          <w:color w:val="000000"/>
        </w:rPr>
      </w:pPr>
      <w:r>
        <w:rPr>
          <w:rFonts w:ascii="Palatino Linotype" w:hAnsi="Palatino Linotype" w:cs="Arial"/>
        </w:rPr>
        <w:t xml:space="preserve">21800002A-1160/2024, </w:t>
      </w:r>
      <w:r w:rsidR="00691C84">
        <w:rPr>
          <w:rFonts w:ascii="Palatino Linotype" w:hAnsi="Palatino Linotype" w:cs="Arial"/>
        </w:rPr>
        <w:t>de fecha veintisiete de septiembre de dos mil veinticuatro</w:t>
      </w:r>
      <w:r w:rsidR="00F438C9">
        <w:rPr>
          <w:rFonts w:ascii="Palatino Linotype" w:hAnsi="Palatino Linotype" w:cs="Arial"/>
        </w:rPr>
        <w:t xml:space="preserve">, firmado por </w:t>
      </w:r>
      <w:r>
        <w:rPr>
          <w:rFonts w:ascii="Palatino Linotype" w:hAnsi="Palatino Linotype" w:cs="Arial"/>
        </w:rPr>
        <w:t>el Encargado de Despacho de la Subsecretaría de Responsabilidades Administrativas</w:t>
      </w:r>
      <w:r w:rsidR="00F438C9">
        <w:rPr>
          <w:rFonts w:ascii="Palatino Linotype" w:hAnsi="Palatino Linotype" w:cs="Arial"/>
        </w:rPr>
        <w:t xml:space="preserve">, en el que refiere </w:t>
      </w:r>
      <w:r>
        <w:rPr>
          <w:rFonts w:ascii="Palatino Linotype" w:hAnsi="Palatino Linotype" w:cs="Arial"/>
        </w:rPr>
        <w:t>entregar en sobre cerrado el oficio número 21800001A000000/1719/2024.</w:t>
      </w:r>
    </w:p>
    <w:p w:rsidR="00C22641" w:rsidRPr="00AA5126" w:rsidRDefault="00C22641" w:rsidP="00AA5126">
      <w:pPr>
        <w:pStyle w:val="Prrafodelista"/>
        <w:numPr>
          <w:ilvl w:val="0"/>
          <w:numId w:val="23"/>
        </w:numPr>
        <w:tabs>
          <w:tab w:val="left" w:pos="1828"/>
        </w:tabs>
        <w:spacing w:before="240" w:line="360" w:lineRule="auto"/>
        <w:ind w:left="851"/>
        <w:jc w:val="both"/>
        <w:rPr>
          <w:rFonts w:ascii="Palatino Linotype" w:eastAsia="Palatino Linotype" w:hAnsi="Palatino Linotype" w:cs="Palatino Linotype"/>
          <w:color w:val="000000"/>
        </w:rPr>
      </w:pPr>
      <w:r w:rsidRPr="00AA5126">
        <w:rPr>
          <w:rFonts w:ascii="Palatino Linotype" w:hAnsi="Palatino Linotype" w:cs="Arial"/>
        </w:rPr>
        <w:t xml:space="preserve">21800001A000000/1719/2024, de fecha veintiséis de septiembre de dos mil veinticuatro, firmado por el Encargado del Despacho de la </w:t>
      </w:r>
      <w:r w:rsidR="00AA5126" w:rsidRPr="00AA5126">
        <w:rPr>
          <w:rFonts w:ascii="Palatino Linotype" w:hAnsi="Palatino Linotype" w:cs="Arial"/>
        </w:rPr>
        <w:t>Dirección de Investigación</w:t>
      </w:r>
      <w:r w:rsidRPr="00AA5126">
        <w:rPr>
          <w:rFonts w:ascii="Palatino Linotype" w:hAnsi="Palatino Linotype" w:cs="Arial"/>
        </w:rPr>
        <w:t xml:space="preserve">, en el que refiere </w:t>
      </w:r>
      <w:r w:rsidR="00AA5126" w:rsidRPr="00AA5126">
        <w:rPr>
          <w:rFonts w:ascii="Palatino Linotype" w:hAnsi="Palatino Linotype" w:cs="Arial"/>
        </w:rPr>
        <w:t xml:space="preserve">entregar en sobre cerrado la respuesta que consiste en </w:t>
      </w:r>
      <w:r w:rsidRPr="00AA5126">
        <w:rPr>
          <w:rFonts w:ascii="Palatino Linotype" w:hAnsi="Palatino Linotype" w:cs="Arial"/>
        </w:rPr>
        <w:t>lo siguiente</w:t>
      </w:r>
    </w:p>
    <w:p w:rsidR="00F438C9" w:rsidRDefault="00F438C9" w:rsidP="00F438C9">
      <w:pPr>
        <w:pStyle w:val="INFOEM"/>
      </w:pPr>
      <w:r>
        <w:t>“(…)</w:t>
      </w:r>
    </w:p>
    <w:p w:rsidR="00F438C9" w:rsidRDefault="00AA5126" w:rsidP="00F438C9">
      <w:pPr>
        <w:pStyle w:val="INFOEM"/>
      </w:pPr>
      <w:r>
        <w:t xml:space="preserve">Sobre el particular, por lo que respecta a “solicito información sobre el número de denuncias recibidas en el Sistema de Atención Mexiquense en 2023 y 2024…”(sic) (subrayado añadido) se informa que en los datos que obran registrados en el Sistema de Atención Mexiquense (SAM), </w:t>
      </w:r>
      <w:r w:rsidRPr="00AA5126">
        <w:rPr>
          <w:b/>
        </w:rPr>
        <w:t xml:space="preserve">por el periodo comprendido del uno de enero de dos mil veintitrés al treinta y uno de agosto de dos mil veinticuatro, se </w:t>
      </w:r>
      <w:r w:rsidRPr="00AA5126">
        <w:rPr>
          <w:b/>
        </w:rPr>
        <w:lastRenderedPageBreak/>
        <w:t xml:space="preserve">recibieron en el sistema de referencia un total de </w:t>
      </w:r>
      <w:r w:rsidRPr="00AA5126">
        <w:rPr>
          <w:b/>
          <w:u w:val="single"/>
        </w:rPr>
        <w:t>37,411</w:t>
      </w:r>
      <w:r>
        <w:t xml:space="preserve"> (treinta y siete mil cuatrocientas once) denuncias.</w:t>
      </w:r>
    </w:p>
    <w:p w:rsidR="00AA5126" w:rsidRDefault="00AA5126" w:rsidP="00F438C9">
      <w:pPr>
        <w:pStyle w:val="INFOEM"/>
      </w:pPr>
      <w:r>
        <w:t xml:space="preserve">Asimismo, por lo que respecta a “… tipo de denuncia, dependencia proveniente, medidas implementadas” (Sic), se comunica que esta autoridad se encuentra impedida para proveer la información que requiere el solicitante, ya que </w:t>
      </w:r>
      <w:r w:rsidR="009B042F">
        <w:t xml:space="preserve">la misma tendría que ser procesada, lo que implica un discernimiento; y en todo caso se estaría contraviniendo el </w:t>
      </w:r>
      <w:proofErr w:type="spellStart"/>
      <w:r w:rsidR="009B042F">
        <w:t>articulo</w:t>
      </w:r>
      <w:proofErr w:type="spellEnd"/>
      <w:r w:rsidR="009B042F">
        <w:t xml:space="preserve"> 12 párrafo segundo de la Ley de Transparencia y Acceso a la Información Pública del Estado de México y Municipios, en el cal se refiere que la obligación de proporcionar la información no comprende el procesamiento de la misma, ni presentarla conforme al interés del solicitante, por lo que no están obligados a generarla, resumirla efectuar cálculos o practicar investigaciones. </w:t>
      </w:r>
    </w:p>
    <w:p w:rsidR="00E66693" w:rsidRPr="00F438C9" w:rsidRDefault="00F438C9" w:rsidP="00F438C9">
      <w:pPr>
        <w:pStyle w:val="INFOEM"/>
      </w:pPr>
      <w:r>
        <w:t>(…)” (Sic)</w:t>
      </w:r>
    </w:p>
    <w:p w:rsidR="00E66693" w:rsidRPr="00F438C9" w:rsidRDefault="00E66693" w:rsidP="00F438C9">
      <w:pPr>
        <w:pStyle w:val="Prrafodelista"/>
        <w:numPr>
          <w:ilvl w:val="0"/>
          <w:numId w:val="22"/>
        </w:numPr>
        <w:spacing w:before="240" w:line="360" w:lineRule="auto"/>
        <w:jc w:val="both"/>
        <w:rPr>
          <w:rFonts w:ascii="Palatino Linotype" w:hAnsi="Palatino Linotype" w:cs="Arial"/>
        </w:rPr>
      </w:pPr>
      <w:r w:rsidRPr="00F438C9">
        <w:rPr>
          <w:rFonts w:ascii="Palatino Linotype" w:hAnsi="Palatino Linotype" w:cs="Arial"/>
          <w:b/>
        </w:rPr>
        <w:t>00323/SECOGEM/IP/2024:</w:t>
      </w:r>
      <w:r w:rsidR="00F438C9">
        <w:rPr>
          <w:rFonts w:ascii="Palatino Linotype" w:hAnsi="Palatino Linotype" w:cs="Arial"/>
          <w:b/>
        </w:rPr>
        <w:t xml:space="preserve"> </w:t>
      </w:r>
    </w:p>
    <w:p w:rsidR="00F438C9" w:rsidRPr="0087603F" w:rsidRDefault="00F438C9" w:rsidP="00F438C9">
      <w:pPr>
        <w:pStyle w:val="Prrafodelista"/>
        <w:numPr>
          <w:ilvl w:val="0"/>
          <w:numId w:val="9"/>
        </w:numPr>
        <w:tabs>
          <w:tab w:val="left" w:pos="1828"/>
        </w:tabs>
        <w:spacing w:before="240" w:line="360" w:lineRule="auto"/>
        <w:ind w:left="567"/>
        <w:jc w:val="both"/>
        <w:rPr>
          <w:rFonts w:ascii="Palatino Linotype" w:eastAsia="Palatino Linotype" w:hAnsi="Palatino Linotype" w:cs="Palatino Linotype"/>
          <w:color w:val="000000"/>
        </w:rPr>
      </w:pPr>
      <w:r w:rsidRPr="00E66693">
        <w:rPr>
          <w:rFonts w:ascii="Palatino Linotype" w:hAnsi="Palatino Linotype" w:cs="Arial"/>
          <w:b/>
          <w:i/>
        </w:rPr>
        <w:t>RESPUESTA SPH OIC.pdf</w:t>
      </w:r>
      <w:r>
        <w:rPr>
          <w:rFonts w:ascii="Palatino Linotype" w:hAnsi="Palatino Linotype" w:cs="Arial"/>
          <w:b/>
          <w:i/>
        </w:rPr>
        <w:t xml:space="preserve">: </w:t>
      </w:r>
      <w:r>
        <w:rPr>
          <w:rFonts w:ascii="Palatino Linotype" w:hAnsi="Palatino Linotype" w:cs="Arial"/>
        </w:rPr>
        <w:t xml:space="preserve">constante de </w:t>
      </w:r>
      <w:r w:rsidR="009B042F">
        <w:rPr>
          <w:rFonts w:ascii="Palatino Linotype" w:hAnsi="Palatino Linotype" w:cs="Arial"/>
        </w:rPr>
        <w:t>dos</w:t>
      </w:r>
      <w:r>
        <w:rPr>
          <w:rFonts w:ascii="Palatino Linotype" w:hAnsi="Palatino Linotype" w:cs="Arial"/>
        </w:rPr>
        <w:t xml:space="preserve"> foja</w:t>
      </w:r>
      <w:r w:rsidR="009B042F">
        <w:rPr>
          <w:rFonts w:ascii="Palatino Linotype" w:hAnsi="Palatino Linotype" w:cs="Arial"/>
        </w:rPr>
        <w:t>s</w:t>
      </w:r>
      <w:r>
        <w:rPr>
          <w:rFonts w:ascii="Palatino Linotype" w:hAnsi="Palatino Linotype" w:cs="Arial"/>
        </w:rPr>
        <w:t xml:space="preserve">, en formato </w:t>
      </w:r>
      <w:proofErr w:type="spellStart"/>
      <w:r>
        <w:rPr>
          <w:rFonts w:ascii="Palatino Linotype" w:hAnsi="Palatino Linotype" w:cs="Arial"/>
        </w:rPr>
        <w:t>pdf</w:t>
      </w:r>
      <w:proofErr w:type="spellEnd"/>
      <w:r>
        <w:rPr>
          <w:rFonts w:ascii="Palatino Linotype" w:hAnsi="Palatino Linotype" w:cs="Arial"/>
        </w:rPr>
        <w:t xml:space="preserve">, contiene el oficio número </w:t>
      </w:r>
      <w:r w:rsidR="009B042F">
        <w:rPr>
          <w:rFonts w:ascii="Palatino Linotype" w:hAnsi="Palatino Linotype" w:cs="Arial"/>
        </w:rPr>
        <w:t>221800004000000S/353</w:t>
      </w:r>
      <w:r>
        <w:rPr>
          <w:rFonts w:ascii="Palatino Linotype" w:hAnsi="Palatino Linotype" w:cs="Arial"/>
        </w:rPr>
        <w:t xml:space="preserve">/2024, de fecha </w:t>
      </w:r>
      <w:r w:rsidR="000B74C5">
        <w:rPr>
          <w:rFonts w:ascii="Palatino Linotype" w:hAnsi="Palatino Linotype" w:cs="Arial"/>
        </w:rPr>
        <w:t>seis de septiembre</w:t>
      </w:r>
      <w:r>
        <w:rPr>
          <w:rFonts w:ascii="Palatino Linotype" w:hAnsi="Palatino Linotype" w:cs="Arial"/>
        </w:rPr>
        <w:t xml:space="preserve"> de dos mil veinticuatro, firmado por </w:t>
      </w:r>
      <w:r w:rsidR="000B74C5">
        <w:rPr>
          <w:rFonts w:ascii="Palatino Linotype" w:hAnsi="Palatino Linotype" w:cs="Arial"/>
        </w:rPr>
        <w:t>el Titular del Órgano Interno de Control</w:t>
      </w:r>
      <w:r>
        <w:rPr>
          <w:rFonts w:ascii="Palatino Linotype" w:hAnsi="Palatino Linotype" w:cs="Arial"/>
        </w:rPr>
        <w:t>, en el que refiere lo siguiente:</w:t>
      </w:r>
    </w:p>
    <w:p w:rsidR="00F438C9" w:rsidRDefault="00F438C9" w:rsidP="00F438C9">
      <w:pPr>
        <w:pStyle w:val="INFOEM"/>
      </w:pPr>
      <w:r>
        <w:t>“(…)</w:t>
      </w:r>
    </w:p>
    <w:p w:rsidR="00F438C9" w:rsidRDefault="000B74C5" w:rsidP="00F438C9">
      <w:pPr>
        <w:pStyle w:val="INFOEM"/>
      </w:pPr>
      <w:r>
        <w:t xml:space="preserve">Sobre el particular le informó que, esta autoridad no se encuentra en posibilidades de atender la Solicitud de Acceso a la Información Pública que nos ocupa, toda vez que en la misma no se establece el periodo respecto del cual se solicita la información, no obstante, le informe que </w:t>
      </w:r>
      <w:r w:rsidRPr="000B74C5">
        <w:rPr>
          <w:b/>
        </w:rPr>
        <w:t xml:space="preserve">durante el ejercicio fiscal 2023 y lo que va del 2024, </w:t>
      </w:r>
      <w:r w:rsidRPr="000B74C5">
        <w:rPr>
          <w:b/>
        </w:rPr>
        <w:lastRenderedPageBreak/>
        <w:t xml:space="preserve">este Órgano Interno de Control no ha presentado denuncia ante la Fiscalía General de Justicia del Estado de México. </w:t>
      </w:r>
    </w:p>
    <w:p w:rsidR="00F438C9" w:rsidRPr="00A26212" w:rsidRDefault="00F438C9" w:rsidP="00F438C9">
      <w:pPr>
        <w:pStyle w:val="INFOEM"/>
      </w:pPr>
      <w:r>
        <w:t>(…)” (Sic)</w:t>
      </w:r>
    </w:p>
    <w:p w:rsidR="00F438C9" w:rsidRPr="0087603F" w:rsidRDefault="00F438C9" w:rsidP="00F438C9">
      <w:pPr>
        <w:pStyle w:val="Prrafodelista"/>
        <w:numPr>
          <w:ilvl w:val="0"/>
          <w:numId w:val="9"/>
        </w:numPr>
        <w:tabs>
          <w:tab w:val="left" w:pos="1828"/>
        </w:tabs>
        <w:spacing w:before="240" w:line="360" w:lineRule="auto"/>
        <w:ind w:left="567"/>
        <w:jc w:val="both"/>
        <w:rPr>
          <w:rFonts w:ascii="Palatino Linotype" w:eastAsia="Palatino Linotype" w:hAnsi="Palatino Linotype" w:cs="Palatino Linotype"/>
          <w:color w:val="000000"/>
        </w:rPr>
      </w:pPr>
      <w:r w:rsidRPr="00E66693">
        <w:rPr>
          <w:rFonts w:ascii="Palatino Linotype" w:hAnsi="Palatino Linotype" w:cs="Arial"/>
          <w:b/>
          <w:i/>
        </w:rPr>
        <w:t>RESPUESTA SPH CJIG.pdf</w:t>
      </w:r>
      <w:r>
        <w:rPr>
          <w:rFonts w:ascii="Palatino Linotype" w:hAnsi="Palatino Linotype" w:cs="Arial"/>
          <w:b/>
          <w:i/>
        </w:rPr>
        <w:t>:</w:t>
      </w:r>
      <w:r w:rsidRPr="00F438C9">
        <w:rPr>
          <w:rFonts w:ascii="Palatino Linotype" w:hAnsi="Palatino Linotype" w:cs="Arial"/>
        </w:rPr>
        <w:t xml:space="preserve"> </w:t>
      </w:r>
      <w:r>
        <w:rPr>
          <w:rFonts w:ascii="Palatino Linotype" w:hAnsi="Palatino Linotype" w:cs="Arial"/>
        </w:rPr>
        <w:t xml:space="preserve">constante de </w:t>
      </w:r>
      <w:r w:rsidR="000B74C5">
        <w:rPr>
          <w:rFonts w:ascii="Palatino Linotype" w:hAnsi="Palatino Linotype" w:cs="Arial"/>
        </w:rPr>
        <w:t>dos</w:t>
      </w:r>
      <w:r>
        <w:rPr>
          <w:rFonts w:ascii="Palatino Linotype" w:hAnsi="Palatino Linotype" w:cs="Arial"/>
        </w:rPr>
        <w:t xml:space="preserve"> fo</w:t>
      </w:r>
      <w:r w:rsidR="000B74C5">
        <w:rPr>
          <w:rFonts w:ascii="Palatino Linotype" w:hAnsi="Palatino Linotype" w:cs="Arial"/>
        </w:rPr>
        <w:t xml:space="preserve">ja, en formato </w:t>
      </w:r>
      <w:proofErr w:type="spellStart"/>
      <w:r w:rsidR="000B74C5">
        <w:rPr>
          <w:rFonts w:ascii="Palatino Linotype" w:hAnsi="Palatino Linotype" w:cs="Arial"/>
        </w:rPr>
        <w:t>pdf</w:t>
      </w:r>
      <w:proofErr w:type="spellEnd"/>
      <w:r w:rsidR="000B74C5">
        <w:rPr>
          <w:rFonts w:ascii="Palatino Linotype" w:hAnsi="Palatino Linotype" w:cs="Arial"/>
        </w:rPr>
        <w:t xml:space="preserve">, de </w:t>
      </w:r>
      <w:r>
        <w:rPr>
          <w:rFonts w:ascii="Palatino Linotype" w:hAnsi="Palatino Linotype" w:cs="Arial"/>
        </w:rPr>
        <w:t xml:space="preserve">fecha </w:t>
      </w:r>
      <w:r w:rsidR="000B74C5">
        <w:rPr>
          <w:rFonts w:ascii="Palatino Linotype" w:hAnsi="Palatino Linotype" w:cs="Arial"/>
        </w:rPr>
        <w:t>diez de septiembre</w:t>
      </w:r>
      <w:r>
        <w:rPr>
          <w:rFonts w:ascii="Palatino Linotype" w:hAnsi="Palatino Linotype" w:cs="Arial"/>
        </w:rPr>
        <w:t xml:space="preserve"> de dos mil veinticuatro, firmado por el </w:t>
      </w:r>
      <w:r w:rsidR="000B74C5">
        <w:rPr>
          <w:rFonts w:ascii="Palatino Linotype" w:hAnsi="Palatino Linotype" w:cs="Arial"/>
        </w:rPr>
        <w:t>Encargado de Despacho de la Coordinación Jurídica, de Igualdad de Género y Erradicación de la Violencia</w:t>
      </w:r>
      <w:r>
        <w:rPr>
          <w:rFonts w:ascii="Palatino Linotype" w:hAnsi="Palatino Linotype" w:cs="Arial"/>
        </w:rPr>
        <w:t>, en el que refiere lo siguiente:</w:t>
      </w:r>
    </w:p>
    <w:p w:rsidR="00F438C9" w:rsidRDefault="00F438C9" w:rsidP="00F438C9">
      <w:pPr>
        <w:pStyle w:val="INFOEM"/>
      </w:pPr>
      <w:r>
        <w:t>“(…)</w:t>
      </w:r>
    </w:p>
    <w:p w:rsidR="00F438C9" w:rsidRDefault="000B74C5" w:rsidP="00F438C9">
      <w:pPr>
        <w:pStyle w:val="INFOEM"/>
      </w:pPr>
      <w:r>
        <w:t>Sobre el particular, le comento que de acuerdo con las atribuciones propias de esta Coordinación Jurídica, Igualdad de Género y Erradicación de la Violencia, establecidas en el numeral 30 del Reglamento Interior de la Secretaría de la Contraloría, esta unidad administrativa se encuentra imposibilitada por razón de competencia para atender la referida solicitud de acceso a la información pública, ya que de la fracción VIII del mencionado artículo dispone lo siguiente:</w:t>
      </w:r>
    </w:p>
    <w:p w:rsidR="000B74C5" w:rsidRDefault="000B74C5" w:rsidP="00F438C9">
      <w:pPr>
        <w:pStyle w:val="INFOEM"/>
      </w:pPr>
      <w:r>
        <w:rPr>
          <w:noProof/>
          <w:lang w:eastAsia="es-MX"/>
        </w:rPr>
        <w:drawing>
          <wp:inline distT="0" distB="0" distL="0" distR="0">
            <wp:extent cx="4714875" cy="680256"/>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90D8FC.tmp"/>
                    <pic:cNvPicPr/>
                  </pic:nvPicPr>
                  <pic:blipFill>
                    <a:blip r:embed="rId7">
                      <a:extLst>
                        <a:ext uri="{28A0092B-C50C-407E-A947-70E740481C1C}">
                          <a14:useLocalDpi xmlns:a14="http://schemas.microsoft.com/office/drawing/2010/main" val="0"/>
                        </a:ext>
                      </a:extLst>
                    </a:blip>
                    <a:stretch>
                      <a:fillRect/>
                    </a:stretch>
                  </pic:blipFill>
                  <pic:spPr>
                    <a:xfrm>
                      <a:off x="0" y="0"/>
                      <a:ext cx="4811261" cy="694162"/>
                    </a:xfrm>
                    <a:prstGeom prst="rect">
                      <a:avLst/>
                    </a:prstGeom>
                  </pic:spPr>
                </pic:pic>
              </a:graphicData>
            </a:graphic>
          </wp:inline>
        </w:drawing>
      </w:r>
    </w:p>
    <w:p w:rsidR="000B74C5" w:rsidRDefault="000B74C5" w:rsidP="00F438C9">
      <w:pPr>
        <w:pStyle w:val="INFOEM"/>
      </w:pPr>
      <w:r>
        <w:t xml:space="preserve">En este sentido, se desprende que la Coordinación Jurídica carece de atribuciones para conocer y en su caso, presentar denuncias penales por actos que por su naturaleza deriven de presuntas irregularidades administrativas cometidas por personas servidoras públicas, es decir, que provengan de actos de fiscalización de la investigación o substanciación del procedimiento de responsabilidad administrativa. </w:t>
      </w:r>
    </w:p>
    <w:p w:rsidR="000B74C5" w:rsidRDefault="000B74C5" w:rsidP="00F438C9">
      <w:pPr>
        <w:pStyle w:val="INFOEM"/>
      </w:pPr>
      <w:r>
        <w:lastRenderedPageBreak/>
        <w:t xml:space="preserve">Por su parte, en términos del </w:t>
      </w:r>
      <w:r w:rsidR="00C05F15">
        <w:t>artículo</w:t>
      </w:r>
      <w:r>
        <w:t xml:space="preserve"> 130 de la Constitución </w:t>
      </w:r>
      <w:r w:rsidR="00C05F15">
        <w:t>Política</w:t>
      </w:r>
      <w:r>
        <w:t xml:space="preserve"> del Estado Libre y Soberano de México, 11 fracción III y 43 de la Ley de Responsabilidades Administrativas del Estado de México y Municipios, los encargados </w:t>
      </w:r>
      <w:r w:rsidR="00C05F15">
        <w:t>formular denuncias ante el Ministerio Público correspondiente, por presuntas irregularidades administrativas cometidas por personas servidoras públicas, son los Órganos Internos de Control en las Dependencias y Organismos Auxiliares del Ejecutivo Estatal, así como aquellas unidades administrativas básicas de la Secretaría de la Contraloría, en términos de lo establecido en los artículo 20, 21, 22, 24 y 36 de su Reglamento Interior cada uno dentro del ámbito de su respectiva competencia.</w:t>
      </w:r>
    </w:p>
    <w:p w:rsidR="00C05F15" w:rsidRDefault="00C05F15" w:rsidP="00F438C9">
      <w:pPr>
        <w:pStyle w:val="INFOEM"/>
      </w:pPr>
      <w:r>
        <w:t>Finalmente, a efecto de no afectar el derecho Constitucional del ciudadano, se sugiere realice el re. Direccionamiento de la Solicitud de Acceso a la Información Pública número 00323/SECOGEM/IP/2024 a la Subsecretaría de Responsabilidades Administrativas, a efecto de poder dar cumplimiento en los términos de las disposiciones aplicables en materia de Transparencia y Acceso a la Información Pública.</w:t>
      </w:r>
    </w:p>
    <w:p w:rsidR="00F438C9" w:rsidRPr="00A26212" w:rsidRDefault="00F438C9" w:rsidP="00F438C9">
      <w:pPr>
        <w:pStyle w:val="INFOEM"/>
      </w:pPr>
      <w:r>
        <w:t>(…)” (Sic)</w:t>
      </w:r>
    </w:p>
    <w:p w:rsidR="00A377F0" w:rsidRPr="00A377F0" w:rsidRDefault="00F438C9" w:rsidP="00F438C9">
      <w:pPr>
        <w:pStyle w:val="Prrafodelista"/>
        <w:numPr>
          <w:ilvl w:val="0"/>
          <w:numId w:val="9"/>
        </w:numPr>
        <w:tabs>
          <w:tab w:val="left" w:pos="1828"/>
        </w:tabs>
        <w:spacing w:before="240" w:line="360" w:lineRule="auto"/>
        <w:ind w:left="567"/>
        <w:jc w:val="both"/>
        <w:rPr>
          <w:rFonts w:ascii="Palatino Linotype" w:eastAsia="Palatino Linotype" w:hAnsi="Palatino Linotype" w:cs="Palatino Linotype"/>
          <w:color w:val="000000"/>
        </w:rPr>
      </w:pPr>
      <w:r w:rsidRPr="00E66693">
        <w:rPr>
          <w:rFonts w:ascii="Palatino Linotype" w:hAnsi="Palatino Linotype" w:cs="Arial"/>
          <w:b/>
          <w:i/>
        </w:rPr>
        <w:t>RESPUESTA SRADM.pdf</w:t>
      </w:r>
      <w:r>
        <w:rPr>
          <w:rFonts w:ascii="Palatino Linotype" w:hAnsi="Palatino Linotype" w:cs="Arial"/>
          <w:b/>
          <w:i/>
        </w:rPr>
        <w:t xml:space="preserve">: </w:t>
      </w:r>
      <w:r>
        <w:rPr>
          <w:rFonts w:ascii="Palatino Linotype" w:hAnsi="Palatino Linotype" w:cs="Arial"/>
        </w:rPr>
        <w:t xml:space="preserve">constante de </w:t>
      </w:r>
      <w:r w:rsidR="00A377F0">
        <w:rPr>
          <w:rFonts w:ascii="Palatino Linotype" w:hAnsi="Palatino Linotype" w:cs="Arial"/>
        </w:rPr>
        <w:t>seis</w:t>
      </w:r>
      <w:r>
        <w:rPr>
          <w:rFonts w:ascii="Palatino Linotype" w:hAnsi="Palatino Linotype" w:cs="Arial"/>
        </w:rPr>
        <w:t xml:space="preserve"> foja</w:t>
      </w:r>
      <w:r w:rsidR="00A377F0">
        <w:rPr>
          <w:rFonts w:ascii="Palatino Linotype" w:hAnsi="Palatino Linotype" w:cs="Arial"/>
        </w:rPr>
        <w:t>s</w:t>
      </w:r>
      <w:r>
        <w:rPr>
          <w:rFonts w:ascii="Palatino Linotype" w:hAnsi="Palatino Linotype" w:cs="Arial"/>
        </w:rPr>
        <w:t xml:space="preserve">, en formato </w:t>
      </w:r>
      <w:proofErr w:type="spellStart"/>
      <w:r>
        <w:rPr>
          <w:rFonts w:ascii="Palatino Linotype" w:hAnsi="Palatino Linotype" w:cs="Arial"/>
        </w:rPr>
        <w:t>pdf</w:t>
      </w:r>
      <w:proofErr w:type="spellEnd"/>
      <w:r>
        <w:rPr>
          <w:rFonts w:ascii="Palatino Linotype" w:hAnsi="Palatino Linotype" w:cs="Arial"/>
        </w:rPr>
        <w:t xml:space="preserve">, contiene </w:t>
      </w:r>
      <w:r w:rsidR="00A377F0">
        <w:rPr>
          <w:rFonts w:ascii="Palatino Linotype" w:hAnsi="Palatino Linotype" w:cs="Arial"/>
        </w:rPr>
        <w:t>los</w:t>
      </w:r>
      <w:r>
        <w:rPr>
          <w:rFonts w:ascii="Palatino Linotype" w:hAnsi="Palatino Linotype" w:cs="Arial"/>
        </w:rPr>
        <w:t xml:space="preserve"> oficio</w:t>
      </w:r>
      <w:r w:rsidR="00A377F0">
        <w:rPr>
          <w:rFonts w:ascii="Palatino Linotype" w:hAnsi="Palatino Linotype" w:cs="Arial"/>
        </w:rPr>
        <w:t>s</w:t>
      </w:r>
      <w:r>
        <w:rPr>
          <w:rFonts w:ascii="Palatino Linotype" w:hAnsi="Palatino Linotype" w:cs="Arial"/>
        </w:rPr>
        <w:t xml:space="preserve"> número</w:t>
      </w:r>
      <w:r w:rsidR="00A377F0">
        <w:rPr>
          <w:rFonts w:ascii="Palatino Linotype" w:hAnsi="Palatino Linotype" w:cs="Arial"/>
        </w:rPr>
        <w:t>s:</w:t>
      </w:r>
    </w:p>
    <w:p w:rsidR="00A377F0" w:rsidRPr="00A377F0" w:rsidRDefault="00F438C9" w:rsidP="00A377F0">
      <w:pPr>
        <w:pStyle w:val="Prrafodelista"/>
        <w:numPr>
          <w:ilvl w:val="0"/>
          <w:numId w:val="24"/>
        </w:numPr>
        <w:tabs>
          <w:tab w:val="left" w:pos="1828"/>
        </w:tabs>
        <w:spacing w:before="240" w:line="360" w:lineRule="auto"/>
        <w:jc w:val="both"/>
        <w:rPr>
          <w:rFonts w:ascii="Palatino Linotype" w:eastAsia="Palatino Linotype" w:hAnsi="Palatino Linotype" w:cs="Palatino Linotype"/>
          <w:color w:val="000000"/>
        </w:rPr>
      </w:pPr>
      <w:r>
        <w:rPr>
          <w:rFonts w:ascii="Palatino Linotype" w:hAnsi="Palatino Linotype" w:cs="Arial"/>
        </w:rPr>
        <w:t xml:space="preserve"> </w:t>
      </w:r>
      <w:r w:rsidR="00A377F0">
        <w:rPr>
          <w:rFonts w:ascii="Palatino Linotype" w:hAnsi="Palatino Linotype" w:cs="Arial"/>
        </w:rPr>
        <w:t>21800002A-1129</w:t>
      </w:r>
      <w:r>
        <w:rPr>
          <w:rFonts w:ascii="Palatino Linotype" w:hAnsi="Palatino Linotype" w:cs="Arial"/>
        </w:rPr>
        <w:t xml:space="preserve">/2024, de fecha </w:t>
      </w:r>
      <w:r w:rsidR="00A377F0">
        <w:rPr>
          <w:rFonts w:ascii="Palatino Linotype" w:hAnsi="Palatino Linotype" w:cs="Arial"/>
        </w:rPr>
        <w:t>nueve de septiembre</w:t>
      </w:r>
      <w:r>
        <w:rPr>
          <w:rFonts w:ascii="Palatino Linotype" w:hAnsi="Palatino Linotype" w:cs="Arial"/>
        </w:rPr>
        <w:t xml:space="preserve"> de dos mil veinticuatro, firmado por el </w:t>
      </w:r>
      <w:r w:rsidR="007E7B31" w:rsidRPr="00F5625C">
        <w:rPr>
          <w:rFonts w:ascii="Palatino Linotype" w:hAnsi="Palatino Linotype" w:cs="Arial"/>
        </w:rPr>
        <w:t>Encargado de Despacho de la Subsecretaría de Responsabilidades Administrativas</w:t>
      </w:r>
      <w:r w:rsidRPr="00F5625C">
        <w:rPr>
          <w:rFonts w:ascii="Palatino Linotype" w:hAnsi="Palatino Linotype" w:cs="Arial"/>
        </w:rPr>
        <w:t>, en</w:t>
      </w:r>
      <w:r>
        <w:rPr>
          <w:rFonts w:ascii="Palatino Linotype" w:hAnsi="Palatino Linotype" w:cs="Arial"/>
        </w:rPr>
        <w:t xml:space="preserve"> el que refiere </w:t>
      </w:r>
      <w:r w:rsidR="00A377F0">
        <w:rPr>
          <w:rFonts w:ascii="Palatino Linotype" w:hAnsi="Palatino Linotype" w:cs="Arial"/>
        </w:rPr>
        <w:t>entregar en sobre cerrado los oficios</w:t>
      </w:r>
      <w:r>
        <w:rPr>
          <w:rFonts w:ascii="Palatino Linotype" w:hAnsi="Palatino Linotype" w:cs="Arial"/>
        </w:rPr>
        <w:t>:</w:t>
      </w:r>
      <w:r w:rsidR="00A377F0" w:rsidRPr="00A377F0">
        <w:rPr>
          <w:noProof/>
          <w:lang w:eastAsia="es-MX"/>
        </w:rPr>
        <w:t xml:space="preserve"> </w:t>
      </w:r>
    </w:p>
    <w:p w:rsidR="00F438C9" w:rsidRPr="00A377F0" w:rsidRDefault="00A377F0" w:rsidP="00A377F0">
      <w:pPr>
        <w:pStyle w:val="Prrafodelista"/>
        <w:tabs>
          <w:tab w:val="left" w:pos="1828"/>
        </w:tabs>
        <w:spacing w:before="240" w:line="360" w:lineRule="auto"/>
        <w:ind w:left="927"/>
        <w:jc w:val="both"/>
        <w:rPr>
          <w:rFonts w:ascii="Palatino Linotype" w:eastAsia="Palatino Linotype" w:hAnsi="Palatino Linotype" w:cs="Palatino Linotype"/>
          <w:color w:val="000000"/>
        </w:rPr>
      </w:pPr>
      <w:r>
        <w:rPr>
          <w:noProof/>
          <w:lang w:val="es-MX" w:eastAsia="es-MX"/>
        </w:rPr>
        <w:lastRenderedPageBreak/>
        <w:drawing>
          <wp:inline distT="0" distB="0" distL="0" distR="0" wp14:anchorId="4D95AE80" wp14:editId="02543713">
            <wp:extent cx="5029200" cy="92967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90F3C6.tmp"/>
                    <pic:cNvPicPr/>
                  </pic:nvPicPr>
                  <pic:blipFill>
                    <a:blip r:embed="rId8">
                      <a:extLst>
                        <a:ext uri="{28A0092B-C50C-407E-A947-70E740481C1C}">
                          <a14:useLocalDpi xmlns:a14="http://schemas.microsoft.com/office/drawing/2010/main" val="0"/>
                        </a:ext>
                      </a:extLst>
                    </a:blip>
                    <a:stretch>
                      <a:fillRect/>
                    </a:stretch>
                  </pic:blipFill>
                  <pic:spPr>
                    <a:xfrm>
                      <a:off x="0" y="0"/>
                      <a:ext cx="5079831" cy="939029"/>
                    </a:xfrm>
                    <a:prstGeom prst="rect">
                      <a:avLst/>
                    </a:prstGeom>
                  </pic:spPr>
                </pic:pic>
              </a:graphicData>
            </a:graphic>
          </wp:inline>
        </w:drawing>
      </w:r>
    </w:p>
    <w:p w:rsidR="00A377F0" w:rsidRDefault="00A377F0" w:rsidP="00A377F0">
      <w:pPr>
        <w:pStyle w:val="Prrafodelista"/>
        <w:numPr>
          <w:ilvl w:val="0"/>
          <w:numId w:val="24"/>
        </w:numPr>
        <w:tabs>
          <w:tab w:val="left" w:pos="1828"/>
        </w:tabs>
        <w:spacing w:before="240" w:line="360" w:lineRule="auto"/>
        <w:jc w:val="both"/>
        <w:rPr>
          <w:rFonts w:ascii="Palatino Linotype" w:eastAsia="Palatino Linotype" w:hAnsi="Palatino Linotype" w:cs="Palatino Linotype"/>
          <w:color w:val="000000"/>
        </w:rPr>
      </w:pPr>
      <w:r w:rsidRPr="00A377F0">
        <w:rPr>
          <w:rFonts w:ascii="Palatino Linotype" w:eastAsia="Palatino Linotype" w:hAnsi="Palatino Linotype" w:cs="Palatino Linotype"/>
          <w:color w:val="000000"/>
        </w:rPr>
        <w:t>21800002010000L-2325/2024, de fecha</w:t>
      </w:r>
      <w:r>
        <w:rPr>
          <w:rFonts w:ascii="Palatino Linotype" w:eastAsia="Palatino Linotype" w:hAnsi="Palatino Linotype" w:cs="Palatino Linotype"/>
          <w:color w:val="000000"/>
        </w:rPr>
        <w:t xml:space="preserve"> nueve de septiembre de dos mil veinticuatro, firmado por el Encargado de Despacho de la Dirección de Responsabilidades Administrativas, en el que refiere lo siguiente:</w:t>
      </w:r>
    </w:p>
    <w:p w:rsidR="00A377F0" w:rsidRDefault="00A377F0" w:rsidP="00A377F0">
      <w:pPr>
        <w:pStyle w:val="INFOEM"/>
      </w:pPr>
      <w:r>
        <w:t>“…</w:t>
      </w:r>
    </w:p>
    <w:p w:rsidR="00A377F0" w:rsidRDefault="00A377F0" w:rsidP="00A377F0">
      <w:pPr>
        <w:pStyle w:val="INFOEM"/>
      </w:pPr>
      <w:r>
        <w:t xml:space="preserve">Al respecto, me permito </w:t>
      </w:r>
      <w:r w:rsidR="00280EB3">
        <w:t>infórmale</w:t>
      </w:r>
      <w:r>
        <w:t xml:space="preserve"> que una vez realizada una búsqueda exhaustiva en los archivos, registros y sistemas que generan la Dirección de Responsabilidades Administrativas, no se encontró la información relativa a lo </w:t>
      </w:r>
      <w:r w:rsidR="00280EB3">
        <w:t>solicitado</w:t>
      </w:r>
      <w:r>
        <w:t xml:space="preserve">. </w:t>
      </w:r>
    </w:p>
    <w:p w:rsidR="00A377F0" w:rsidRDefault="00280EB3" w:rsidP="00A377F0">
      <w:pPr>
        <w:pStyle w:val="INFOEM"/>
      </w:pPr>
      <w:r>
        <w:t>…</w:t>
      </w:r>
      <w:r w:rsidR="00A377F0">
        <w:t>“(Sic)</w:t>
      </w:r>
    </w:p>
    <w:p w:rsidR="00A377F0" w:rsidRDefault="00A377F0" w:rsidP="00A377F0">
      <w:pPr>
        <w:pStyle w:val="Prrafodelista"/>
        <w:numPr>
          <w:ilvl w:val="0"/>
          <w:numId w:val="24"/>
        </w:numPr>
        <w:tabs>
          <w:tab w:val="left" w:pos="1828"/>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2180002040000L-0556/2024</w:t>
      </w:r>
      <w:r w:rsidR="00280EB3">
        <w:rPr>
          <w:rFonts w:ascii="Palatino Linotype" w:eastAsia="Palatino Linotype" w:hAnsi="Palatino Linotype" w:cs="Palatino Linotype"/>
          <w:color w:val="000000"/>
        </w:rPr>
        <w:t>, de fecha nueve de septiembre de dos mil veinticuatro, firmado por la Encargada de Despacho de la Dirección de lo Contencioso e Inconformidades, en el que refiere entregar en sobre cerrado la siguiente:</w:t>
      </w:r>
    </w:p>
    <w:p w:rsidR="00280EB3" w:rsidRDefault="00280EB3" w:rsidP="00280EB3">
      <w:pPr>
        <w:pStyle w:val="INFOEM"/>
      </w:pPr>
      <w:r>
        <w:t>“…</w:t>
      </w:r>
    </w:p>
    <w:p w:rsidR="00280EB3" w:rsidRDefault="00280EB3" w:rsidP="00280EB3">
      <w:pPr>
        <w:pStyle w:val="INFOEM"/>
        <w:rPr>
          <w:b/>
        </w:rPr>
      </w:pPr>
      <w:r>
        <w:rPr>
          <w:b/>
        </w:rPr>
        <w:t>Respuesta:</w:t>
      </w:r>
    </w:p>
    <w:p w:rsidR="00280EB3" w:rsidRDefault="00280EB3" w:rsidP="00280EB3">
      <w:pPr>
        <w:pStyle w:val="INFOEM"/>
        <w:rPr>
          <w:b/>
        </w:rPr>
      </w:pPr>
      <w:r>
        <w:rPr>
          <w:b/>
        </w:rPr>
        <w:t>…</w:t>
      </w:r>
    </w:p>
    <w:p w:rsidR="00280EB3" w:rsidRPr="00280EB3" w:rsidRDefault="00280EB3" w:rsidP="00280EB3">
      <w:pPr>
        <w:pStyle w:val="INFOEM"/>
        <w:rPr>
          <w:b/>
        </w:rPr>
      </w:pPr>
      <w:r>
        <w:lastRenderedPageBreak/>
        <w:t xml:space="preserve">Se hace de su conocimiento que en el último año inmediato anterior a la fecha de la solicitud de acceso a la información pública, ello en armonía con lo plasmado en el criterio de interpretación SO/003/2019 emitido por el INAI, y de acuerdo con lo que obra en los archivos de esta Dirección a mi cargo, </w:t>
      </w:r>
      <w:r>
        <w:rPr>
          <w:b/>
        </w:rPr>
        <w:t xml:space="preserve">no existen denunciadas formuladas ante la Fiscalía General de Justicia del Estado de México, por parte de la Secretaría de la Contraloría. </w:t>
      </w:r>
    </w:p>
    <w:p w:rsidR="00280EB3" w:rsidRDefault="00280EB3" w:rsidP="00280EB3">
      <w:pPr>
        <w:pStyle w:val="INFOEM"/>
      </w:pPr>
      <w:r>
        <w:t>…“(Sic)</w:t>
      </w:r>
    </w:p>
    <w:p w:rsidR="00280EB3" w:rsidRDefault="00280EB3" w:rsidP="00A377F0">
      <w:pPr>
        <w:pStyle w:val="Prrafodelista"/>
        <w:numPr>
          <w:ilvl w:val="0"/>
          <w:numId w:val="24"/>
        </w:numPr>
        <w:tabs>
          <w:tab w:val="left" w:pos="1828"/>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218000001A000000/1570/2024, de fecha cinco de septiembre de dos mil veinticuatro, firmado por el Encargado del Despacho de la Dirección de Investigación, en el que refiere entregar en sobre cerrado la información siguiente:</w:t>
      </w:r>
    </w:p>
    <w:p w:rsidR="00280EB3" w:rsidRDefault="00280EB3" w:rsidP="00280EB3">
      <w:pPr>
        <w:pStyle w:val="INFOEM"/>
      </w:pPr>
      <w:r>
        <w:t>“…</w:t>
      </w:r>
    </w:p>
    <w:p w:rsidR="00280EB3" w:rsidRDefault="00280EB3" w:rsidP="00280EB3">
      <w:pPr>
        <w:pStyle w:val="INFOEM"/>
      </w:pPr>
      <w:r>
        <w:t xml:space="preserve">Al respecto, previa búsqueda exhaustiva en los archivos de la Dirección Investigación se informa que, </w:t>
      </w:r>
      <w:r w:rsidRPr="008D3AC0">
        <w:rPr>
          <w:b/>
        </w:rPr>
        <w:t xml:space="preserve">desde el 30 de agosto de 2023 a la fecha de la presente </w:t>
      </w:r>
      <w:r w:rsidR="00B04FAB" w:rsidRPr="008D3AC0">
        <w:rPr>
          <w:b/>
        </w:rPr>
        <w:t>solicitud</w:t>
      </w:r>
      <w:r w:rsidR="00B04FAB">
        <w:t xml:space="preserve">, esta autoridad con motivo de la atribución que tiene conferida en el </w:t>
      </w:r>
      <w:r w:rsidR="008D3AC0">
        <w:t>artículo</w:t>
      </w:r>
      <w:r w:rsidR="00B04FAB">
        <w:t xml:space="preserve"> 21 fracción XVII del Reglamento Interior de la Secretaría de la Contraloría, publicado en el </w:t>
      </w:r>
      <w:r w:rsidR="008D3AC0">
        <w:t>Periódico</w:t>
      </w:r>
      <w:r w:rsidR="00B04FAB">
        <w:t xml:space="preserve"> Oficial “Gaceta del Gobierno”, el 20 de diciembre de 2023, </w:t>
      </w:r>
      <w:r w:rsidR="00B04FAB" w:rsidRPr="008D3AC0">
        <w:rPr>
          <w:b/>
        </w:rPr>
        <w:t>no ha presentado denuncias ante la Fiscalía General de Justicia del Estado de México (FGJEM), en los términos que señala el solicitante</w:t>
      </w:r>
      <w:r w:rsidR="00B04FAB">
        <w:t xml:space="preserve">, motivo por el cual esta Dirección de Investigación </w:t>
      </w:r>
      <w:r w:rsidR="008D3AC0">
        <w:t xml:space="preserve">se encuentra imposibilitada para otorgar dicha información. </w:t>
      </w:r>
    </w:p>
    <w:p w:rsidR="00280EB3" w:rsidRPr="0087603F" w:rsidRDefault="00280EB3" w:rsidP="00280EB3">
      <w:pPr>
        <w:pStyle w:val="Prrafodelista"/>
        <w:tabs>
          <w:tab w:val="left" w:pos="1828"/>
        </w:tabs>
        <w:spacing w:before="240" w:line="360" w:lineRule="auto"/>
        <w:ind w:left="927"/>
        <w:jc w:val="both"/>
        <w:rPr>
          <w:rFonts w:ascii="Palatino Linotype" w:eastAsia="Palatino Linotype" w:hAnsi="Palatino Linotype" w:cs="Palatino Linotype"/>
          <w:color w:val="000000"/>
        </w:rPr>
      </w:pPr>
    </w:p>
    <w:p w:rsidR="00A377F0" w:rsidRPr="00C05F15" w:rsidRDefault="00A377F0" w:rsidP="00A377F0">
      <w:pPr>
        <w:pStyle w:val="Prrafodelista"/>
        <w:numPr>
          <w:ilvl w:val="0"/>
          <w:numId w:val="9"/>
        </w:numPr>
        <w:tabs>
          <w:tab w:val="left" w:pos="1828"/>
        </w:tabs>
        <w:spacing w:before="240" w:line="360" w:lineRule="auto"/>
        <w:ind w:left="567"/>
        <w:jc w:val="both"/>
        <w:rPr>
          <w:rFonts w:ascii="Palatino Linotype" w:eastAsia="Palatino Linotype" w:hAnsi="Palatino Linotype" w:cs="Palatino Linotype"/>
          <w:color w:val="000000"/>
        </w:rPr>
      </w:pPr>
      <w:r w:rsidRPr="00E66693">
        <w:rPr>
          <w:rFonts w:ascii="Palatino Linotype" w:hAnsi="Palatino Linotype" w:cs="Arial"/>
          <w:b/>
          <w:i/>
        </w:rPr>
        <w:lastRenderedPageBreak/>
        <w:t>OFICIO SOLICITANTE UT.pdf</w:t>
      </w:r>
      <w:r>
        <w:rPr>
          <w:rFonts w:ascii="Palatino Linotype" w:hAnsi="Palatino Linotype" w:cs="Arial"/>
          <w:b/>
          <w:i/>
        </w:rPr>
        <w:t xml:space="preserve">: </w:t>
      </w:r>
      <w:r>
        <w:rPr>
          <w:rFonts w:ascii="Palatino Linotype" w:hAnsi="Palatino Linotype" w:cs="Arial"/>
        </w:rPr>
        <w:t xml:space="preserve">constante de una foja, en formato </w:t>
      </w:r>
      <w:proofErr w:type="spellStart"/>
      <w:r>
        <w:rPr>
          <w:rFonts w:ascii="Palatino Linotype" w:hAnsi="Palatino Linotype" w:cs="Arial"/>
        </w:rPr>
        <w:t>pdf</w:t>
      </w:r>
      <w:proofErr w:type="spellEnd"/>
      <w:r>
        <w:rPr>
          <w:rFonts w:ascii="Palatino Linotype" w:hAnsi="Palatino Linotype" w:cs="Arial"/>
        </w:rPr>
        <w:t>, con fecha dieciocho de octubre de dos mil veinticuatro, firmado por el Encargado de Despacho de la Unidad de Prevención de la Corrupción y Responsable de la Unidad de Transparencia, en el que sustancialmente remite respuesta al Recurrente por medio de los oficios antes descritos.</w:t>
      </w:r>
    </w:p>
    <w:p w:rsidR="00E66693" w:rsidRPr="001D602A" w:rsidRDefault="00E66693" w:rsidP="00E66693">
      <w:pPr>
        <w:pBdr>
          <w:top w:val="nil"/>
          <w:left w:val="nil"/>
          <w:bottom w:val="nil"/>
          <w:right w:val="nil"/>
          <w:between w:val="nil"/>
        </w:pBdr>
        <w:spacing w:line="360" w:lineRule="auto"/>
        <w:ind w:left="360"/>
        <w:contextualSpacing/>
        <w:jc w:val="both"/>
        <w:rPr>
          <w:rFonts w:ascii="Palatino Linotype" w:eastAsia="Palatino Linotype" w:hAnsi="Palatino Linotype" w:cs="Palatino Linotype"/>
          <w:b/>
          <w:color w:val="000000"/>
        </w:rPr>
      </w:pPr>
    </w:p>
    <w:p w:rsidR="00B4434F" w:rsidRPr="00B4434F" w:rsidRDefault="00B4434F" w:rsidP="00B4434F">
      <w:pPr>
        <w:spacing w:line="360" w:lineRule="auto"/>
        <w:jc w:val="both"/>
        <w:rPr>
          <w:rFonts w:ascii="Palatino Linotype" w:hAnsi="Palatino Linotype"/>
          <w:sz w:val="24"/>
          <w:szCs w:val="24"/>
        </w:rPr>
      </w:pPr>
      <w:r w:rsidRPr="00B4434F">
        <w:rPr>
          <w:rFonts w:ascii="Palatino Linotype" w:hAnsi="Palatino Linotype"/>
          <w:sz w:val="24"/>
          <w:szCs w:val="24"/>
          <w:lang w:val="es-ES_tradnl"/>
        </w:rPr>
        <w:t xml:space="preserve">Asimismo, en la etapa de manifestaciones </w:t>
      </w:r>
      <w:r w:rsidRPr="00B4434F">
        <w:rPr>
          <w:rFonts w:ascii="Palatino Linotype" w:hAnsi="Palatino Linotype"/>
          <w:sz w:val="24"/>
          <w:szCs w:val="24"/>
        </w:rPr>
        <w:t xml:space="preserve">se advierte que el </w:t>
      </w:r>
      <w:r w:rsidRPr="00B4434F">
        <w:rPr>
          <w:rFonts w:ascii="Palatino Linotype" w:hAnsi="Palatino Linotype"/>
          <w:b/>
          <w:sz w:val="24"/>
          <w:szCs w:val="24"/>
        </w:rPr>
        <w:t>Sujeto Obligado</w:t>
      </w:r>
      <w:r w:rsidRPr="00B4434F">
        <w:rPr>
          <w:rFonts w:ascii="Palatino Linotype" w:hAnsi="Palatino Linotype"/>
          <w:sz w:val="24"/>
          <w:szCs w:val="24"/>
        </w:rPr>
        <w:t xml:space="preserve"> rindió su informe justificado mediante el archivo electrónico denominado </w:t>
      </w:r>
      <w:r w:rsidRPr="00B4434F">
        <w:rPr>
          <w:rFonts w:ascii="Palatino Linotype" w:hAnsi="Palatino Linotype" w:cs="Arial"/>
          <w:b/>
          <w:i/>
          <w:sz w:val="24"/>
          <w:szCs w:val="24"/>
        </w:rPr>
        <w:t>“Informe justificado 06015.pdf” e “Informe Justificado 323.pdf”,</w:t>
      </w:r>
      <w:r w:rsidRPr="00B4434F">
        <w:rPr>
          <w:rFonts w:ascii="Palatino Linotype" w:hAnsi="Palatino Linotype"/>
          <w:sz w:val="24"/>
          <w:szCs w:val="24"/>
        </w:rPr>
        <w:t xml:space="preserve"> en el que sustancialmente ratifica su</w:t>
      </w:r>
      <w:r>
        <w:rPr>
          <w:rFonts w:ascii="Palatino Linotype" w:hAnsi="Palatino Linotype"/>
          <w:sz w:val="24"/>
          <w:szCs w:val="24"/>
        </w:rPr>
        <w:t>s</w:t>
      </w:r>
      <w:r w:rsidRPr="00B4434F">
        <w:rPr>
          <w:rFonts w:ascii="Palatino Linotype" w:hAnsi="Palatino Linotype"/>
          <w:sz w:val="24"/>
          <w:szCs w:val="24"/>
        </w:rPr>
        <w:t xml:space="preserve"> respuesta</w:t>
      </w:r>
      <w:r>
        <w:rPr>
          <w:rFonts w:ascii="Palatino Linotype" w:hAnsi="Palatino Linotype"/>
          <w:sz w:val="24"/>
          <w:szCs w:val="24"/>
        </w:rPr>
        <w:t>s</w:t>
      </w:r>
      <w:r w:rsidRPr="00B4434F">
        <w:rPr>
          <w:rFonts w:ascii="Palatino Linotype" w:hAnsi="Palatino Linotype"/>
          <w:sz w:val="24"/>
          <w:szCs w:val="24"/>
        </w:rPr>
        <w:t xml:space="preserve">. </w:t>
      </w:r>
    </w:p>
    <w:p w:rsidR="00B4434F" w:rsidRDefault="00B4434F" w:rsidP="00E66693">
      <w:pPr>
        <w:pStyle w:val="Sinespaciado"/>
        <w:spacing w:line="360" w:lineRule="auto"/>
        <w:jc w:val="both"/>
        <w:rPr>
          <w:rFonts w:ascii="Palatino Linotype" w:eastAsiaTheme="minorHAnsi" w:hAnsi="Palatino Linotype" w:cstheme="minorBidi"/>
          <w:szCs w:val="22"/>
          <w:lang w:val="es-ES_tradnl" w:eastAsia="en-US"/>
        </w:rPr>
      </w:pPr>
    </w:p>
    <w:p w:rsidR="00E66693" w:rsidRDefault="00E66693" w:rsidP="00E66693">
      <w:pPr>
        <w:pStyle w:val="Sinespaciado"/>
        <w:spacing w:line="360" w:lineRule="auto"/>
        <w:jc w:val="both"/>
        <w:rPr>
          <w:rFonts w:ascii="Palatino Linotype" w:eastAsiaTheme="minorHAnsi" w:hAnsi="Palatino Linotype" w:cstheme="minorBidi"/>
          <w:szCs w:val="22"/>
          <w:lang w:val="es-ES_tradnl" w:eastAsia="en-US"/>
        </w:rPr>
      </w:pPr>
    </w:p>
    <w:p w:rsidR="00E66693" w:rsidRDefault="00E66693" w:rsidP="00E66693">
      <w:pPr>
        <w:pStyle w:val="Sinespaciado"/>
        <w:spacing w:line="360" w:lineRule="auto"/>
        <w:jc w:val="center"/>
        <w:rPr>
          <w:rFonts w:ascii="Palatino Linotype" w:hAnsi="Palatino Linotype" w:cs="Arial"/>
          <w:bCs/>
          <w:lang w:eastAsia="es-MX"/>
        </w:rPr>
      </w:pPr>
      <w:r>
        <w:rPr>
          <w:rFonts w:ascii="Palatino Linotype" w:eastAsia="Palatino Linotype" w:hAnsi="Palatino Linotype" w:cs="Palatino Linotype"/>
          <w:color w:val="000000"/>
          <w:lang w:val="es-ES_tradnl" w:eastAsia="es-MX"/>
        </w:rPr>
        <w:t xml:space="preserve">RECURSO DE REVISIÓN </w:t>
      </w:r>
      <w:r>
        <w:rPr>
          <w:rFonts w:ascii="Palatino Linotype" w:hAnsi="Palatino Linotype" w:cs="Arial"/>
          <w:b/>
          <w:bCs/>
          <w:lang w:eastAsia="es-MX"/>
        </w:rPr>
        <w:t>6015</w:t>
      </w:r>
      <w:r w:rsidRPr="00ED24D5">
        <w:rPr>
          <w:rFonts w:ascii="Palatino Linotype" w:hAnsi="Palatino Linotype" w:cs="Arial"/>
          <w:b/>
          <w:bCs/>
          <w:lang w:eastAsia="es-MX"/>
        </w:rPr>
        <w:t>/INFOEM/IP/RR/2024</w:t>
      </w:r>
    </w:p>
    <w:p w:rsidR="00E66693" w:rsidRDefault="00E66693" w:rsidP="00E66693">
      <w:pPr>
        <w:pStyle w:val="Sinespaciado"/>
        <w:spacing w:line="360" w:lineRule="auto"/>
        <w:jc w:val="center"/>
        <w:rPr>
          <w:rFonts w:ascii="Palatino Linotype" w:eastAsia="Palatino Linotype" w:hAnsi="Palatino Linotype" w:cs="Palatino Linotype"/>
          <w:color w:val="000000"/>
          <w:lang w:val="es-ES_tradnl" w:eastAsia="es-MX"/>
        </w:rPr>
      </w:pPr>
    </w:p>
    <w:p w:rsidR="00CD7ACA" w:rsidRPr="00177253" w:rsidRDefault="00E66693" w:rsidP="00E66693">
      <w:pPr>
        <w:pStyle w:val="Sinespaciado"/>
        <w:spacing w:line="360" w:lineRule="auto"/>
        <w:jc w:val="both"/>
        <w:rPr>
          <w:rFonts w:ascii="Palatino Linotype" w:eastAsia="Palatino Linotype" w:hAnsi="Palatino Linotype" w:cs="Palatino Linotype"/>
          <w:color w:val="000000"/>
          <w:lang w:val="es-ES_tradnl" w:eastAsia="es-MX"/>
        </w:rPr>
      </w:pPr>
      <w:r w:rsidRPr="00085507">
        <w:rPr>
          <w:rFonts w:ascii="Palatino Linotype" w:eastAsia="Palatino Linotype" w:hAnsi="Palatino Linotype" w:cs="Palatino Linotype"/>
          <w:color w:val="000000"/>
          <w:lang w:val="es-ES_tradnl" w:eastAsia="es-MX"/>
        </w:rPr>
        <w:t xml:space="preserve">Ahora bien, quedando establecido lo anterior, este Órgano Garante considera viable realizar el estudio en aras de establecer si la respuesta del Sujeto Obligado colma la pretensión del Recurrente, así como calificar los motivos </w:t>
      </w:r>
      <w:r w:rsidR="00CD7ACA">
        <w:rPr>
          <w:rFonts w:ascii="Palatino Linotype" w:eastAsia="Palatino Linotype" w:hAnsi="Palatino Linotype" w:cs="Palatino Linotype"/>
          <w:color w:val="000000"/>
          <w:lang w:val="es-ES_tradnl" w:eastAsia="es-MX"/>
        </w:rPr>
        <w:t>de inconformidad del particular:</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92"/>
        <w:gridCol w:w="3055"/>
        <w:gridCol w:w="3097"/>
        <w:gridCol w:w="998"/>
      </w:tblGrid>
      <w:tr w:rsidR="00EC1D9F" w:rsidRPr="007D2D6C" w:rsidTr="00397A19">
        <w:trPr>
          <w:trHeight w:val="828"/>
        </w:trPr>
        <w:tc>
          <w:tcPr>
            <w:tcW w:w="1892" w:type="dxa"/>
            <w:shd w:val="clear" w:color="auto" w:fill="E7E6E6" w:themeFill="background2"/>
          </w:tcPr>
          <w:p w:rsidR="00EC1D9F" w:rsidRPr="007D2D6C" w:rsidRDefault="00EC1D9F" w:rsidP="00CD7ACA">
            <w:pPr>
              <w:rPr>
                <w:rFonts w:ascii="Palatino Linotype" w:hAnsi="Palatino Linotype"/>
                <w:b/>
                <w:i/>
                <w:color w:val="000000"/>
                <w:sz w:val="24"/>
                <w:szCs w:val="24"/>
              </w:rPr>
            </w:pPr>
            <w:r w:rsidRPr="007D2D6C">
              <w:rPr>
                <w:rFonts w:ascii="Palatino Linotype" w:hAnsi="Palatino Linotype"/>
                <w:b/>
                <w:i/>
                <w:color w:val="000000"/>
                <w:sz w:val="24"/>
                <w:szCs w:val="24"/>
              </w:rPr>
              <w:t>Requerimientos</w:t>
            </w:r>
          </w:p>
        </w:tc>
        <w:tc>
          <w:tcPr>
            <w:tcW w:w="3055" w:type="dxa"/>
            <w:shd w:val="clear" w:color="auto" w:fill="E7E6E6" w:themeFill="background2"/>
          </w:tcPr>
          <w:p w:rsidR="00EC1D9F" w:rsidRPr="007D2D6C" w:rsidRDefault="00EC1D9F" w:rsidP="00397A19">
            <w:pPr>
              <w:jc w:val="center"/>
              <w:rPr>
                <w:rFonts w:ascii="Palatino Linotype" w:hAnsi="Palatino Linotype"/>
                <w:b/>
                <w:i/>
                <w:color w:val="000000"/>
                <w:sz w:val="24"/>
                <w:szCs w:val="24"/>
              </w:rPr>
            </w:pPr>
            <w:r w:rsidRPr="007D2D6C">
              <w:rPr>
                <w:rFonts w:ascii="Palatino Linotype" w:hAnsi="Palatino Linotype"/>
                <w:b/>
                <w:i/>
                <w:color w:val="000000"/>
                <w:sz w:val="24"/>
                <w:szCs w:val="24"/>
              </w:rPr>
              <w:t>Respuesta</w:t>
            </w:r>
          </w:p>
        </w:tc>
        <w:tc>
          <w:tcPr>
            <w:tcW w:w="3097" w:type="dxa"/>
            <w:shd w:val="clear" w:color="auto" w:fill="E7E6E6" w:themeFill="background2"/>
          </w:tcPr>
          <w:p w:rsidR="00EC1D9F" w:rsidRPr="007D2D6C" w:rsidRDefault="00EC1D9F" w:rsidP="00397A19">
            <w:pPr>
              <w:jc w:val="center"/>
              <w:rPr>
                <w:rFonts w:ascii="Palatino Linotype" w:hAnsi="Palatino Linotype"/>
                <w:b/>
                <w:i/>
                <w:color w:val="000000"/>
                <w:sz w:val="24"/>
                <w:szCs w:val="24"/>
              </w:rPr>
            </w:pPr>
            <w:r>
              <w:rPr>
                <w:rFonts w:ascii="Palatino Linotype" w:hAnsi="Palatino Linotype" w:cs="Arial"/>
                <w:b/>
                <w:i/>
                <w:sz w:val="24"/>
                <w:szCs w:val="24"/>
              </w:rPr>
              <w:t>R</w:t>
            </w:r>
            <w:r w:rsidRPr="007D2D6C">
              <w:rPr>
                <w:rFonts w:ascii="Palatino Linotype" w:hAnsi="Palatino Linotype" w:cs="Arial"/>
                <w:b/>
                <w:i/>
                <w:sz w:val="24"/>
                <w:szCs w:val="24"/>
              </w:rPr>
              <w:t>azones o motivos de inconformidad</w:t>
            </w:r>
          </w:p>
        </w:tc>
        <w:tc>
          <w:tcPr>
            <w:tcW w:w="998" w:type="dxa"/>
            <w:shd w:val="clear" w:color="auto" w:fill="E7E6E6" w:themeFill="background2"/>
          </w:tcPr>
          <w:p w:rsidR="00EC1D9F" w:rsidRPr="007D2D6C" w:rsidRDefault="00EC1D9F" w:rsidP="00397A19">
            <w:pPr>
              <w:jc w:val="center"/>
              <w:rPr>
                <w:rFonts w:ascii="Palatino Linotype" w:hAnsi="Palatino Linotype"/>
                <w:b/>
                <w:i/>
                <w:color w:val="000000"/>
                <w:sz w:val="24"/>
                <w:szCs w:val="24"/>
              </w:rPr>
            </w:pPr>
            <w:r w:rsidRPr="007D2D6C">
              <w:rPr>
                <w:rFonts w:ascii="Palatino Linotype" w:hAnsi="Palatino Linotype"/>
                <w:b/>
                <w:i/>
                <w:color w:val="000000"/>
                <w:sz w:val="24"/>
                <w:szCs w:val="24"/>
              </w:rPr>
              <w:t>Colma</w:t>
            </w:r>
          </w:p>
        </w:tc>
      </w:tr>
      <w:tr w:rsidR="00EC1D9F" w:rsidRPr="00713834" w:rsidTr="00397A19">
        <w:trPr>
          <w:trHeight w:val="1943"/>
        </w:trPr>
        <w:tc>
          <w:tcPr>
            <w:tcW w:w="1892" w:type="dxa"/>
          </w:tcPr>
          <w:p w:rsidR="00EC1D9F" w:rsidRPr="007D2D6C" w:rsidRDefault="00CD7ACA" w:rsidP="00397A19">
            <w:pPr>
              <w:jc w:val="both"/>
              <w:rPr>
                <w:rFonts w:ascii="Palatino Linotype" w:hAnsi="Palatino Linotype"/>
                <w:b/>
                <w:i/>
                <w:color w:val="000000"/>
              </w:rPr>
            </w:pPr>
            <w:r>
              <w:rPr>
                <w:rFonts w:ascii="Palatino Linotype" w:hAnsi="Palatino Linotype" w:cs="Tahoma"/>
                <w:bCs/>
              </w:rPr>
              <w:lastRenderedPageBreak/>
              <w:t>N</w:t>
            </w:r>
            <w:r w:rsidRPr="00F438C9">
              <w:rPr>
                <w:rFonts w:ascii="Palatino Linotype" w:hAnsi="Palatino Linotype" w:cs="Tahoma"/>
                <w:bCs/>
              </w:rPr>
              <w:t>úmero de denuncias recibidas en el Sistema de Atención Mexiquense en 2023 y 2024, tipo de denuncia, dependencia proveniente, medidas implementadas</w:t>
            </w:r>
          </w:p>
        </w:tc>
        <w:tc>
          <w:tcPr>
            <w:tcW w:w="3055" w:type="dxa"/>
          </w:tcPr>
          <w:p w:rsidR="00EC1D9F" w:rsidRDefault="00CD7ACA" w:rsidP="00397A19">
            <w:pPr>
              <w:spacing w:line="276" w:lineRule="auto"/>
              <w:jc w:val="both"/>
              <w:rPr>
                <w:rFonts w:ascii="Palatino Linotype" w:hAnsi="Palatino Linotype" w:cs="Arial"/>
              </w:rPr>
            </w:pPr>
            <w:r w:rsidRPr="00AA5126">
              <w:rPr>
                <w:rFonts w:ascii="Palatino Linotype" w:hAnsi="Palatino Linotype" w:cs="Arial"/>
              </w:rPr>
              <w:t>El Encargado del Despacho de la Dirección de Investigación</w:t>
            </w:r>
            <w:r>
              <w:rPr>
                <w:rFonts w:ascii="Palatino Linotype" w:hAnsi="Palatino Linotype" w:cs="Arial"/>
              </w:rPr>
              <w:t xml:space="preserve">, informo que recibieron 37,411 denuncias. </w:t>
            </w:r>
          </w:p>
          <w:p w:rsidR="00CD7ACA" w:rsidRPr="007D2D6C" w:rsidRDefault="00CD7ACA" w:rsidP="00397A19">
            <w:pPr>
              <w:spacing w:line="276" w:lineRule="auto"/>
              <w:jc w:val="both"/>
              <w:rPr>
                <w:rFonts w:ascii="Palatino Linotype" w:hAnsi="Palatino Linotype"/>
                <w:i/>
                <w:color w:val="000000"/>
                <w:sz w:val="24"/>
                <w:szCs w:val="24"/>
              </w:rPr>
            </w:pPr>
            <w:r>
              <w:rPr>
                <w:rFonts w:ascii="Palatino Linotype" w:hAnsi="Palatino Linotype" w:cs="Arial"/>
              </w:rPr>
              <w:t xml:space="preserve">Respecto al tipo de denuncia, dependencia proveniente y </w:t>
            </w:r>
            <w:proofErr w:type="gramStart"/>
            <w:r>
              <w:rPr>
                <w:rFonts w:ascii="Palatino Linotype" w:hAnsi="Palatino Linotype" w:cs="Arial"/>
              </w:rPr>
              <w:t>medidas implementadas</w:t>
            </w:r>
            <w:proofErr w:type="gramEnd"/>
            <w:r>
              <w:rPr>
                <w:rFonts w:ascii="Palatino Linotype" w:hAnsi="Palatino Linotype" w:cs="Arial"/>
              </w:rPr>
              <w:t xml:space="preserve"> refirió que no están obligados a generar documentos ad hoc.</w:t>
            </w:r>
          </w:p>
        </w:tc>
        <w:tc>
          <w:tcPr>
            <w:tcW w:w="3097" w:type="dxa"/>
          </w:tcPr>
          <w:p w:rsidR="00EC1D9F" w:rsidRPr="007D2D6C" w:rsidRDefault="00EC1D9F" w:rsidP="00CD7ACA">
            <w:pPr>
              <w:pStyle w:val="INFOEM"/>
              <w:spacing w:before="0" w:line="240" w:lineRule="auto"/>
              <w:ind w:left="0" w:right="110"/>
            </w:pPr>
            <w:r w:rsidRPr="00EC1D9F">
              <w:t>“Si bien la dependencia no está obligada a generar documentos ad hoc, si está obligada de proporcionar la documentación donde se puede corroborar la información que se genere dentro de sus atribuciones, por lo que negarla bajo el pretexto de no querer procesar la información solicitada es un pretexto infundado para no transparentar datos que deben ser de acceso público.” (sic)</w:t>
            </w:r>
          </w:p>
        </w:tc>
        <w:tc>
          <w:tcPr>
            <w:tcW w:w="998" w:type="dxa"/>
          </w:tcPr>
          <w:p w:rsidR="00EC1D9F" w:rsidRPr="001D2117" w:rsidRDefault="001D2117" w:rsidP="00397A19">
            <w:pPr>
              <w:jc w:val="center"/>
              <w:rPr>
                <w:rFonts w:ascii="Palatino Linotype" w:hAnsi="Palatino Linotype"/>
                <w:b/>
                <w:i/>
              </w:rPr>
            </w:pPr>
            <w:r w:rsidRPr="001D2117">
              <w:rPr>
                <w:rFonts w:ascii="Palatino Linotype" w:hAnsi="Palatino Linotype"/>
                <w:b/>
                <w:i/>
              </w:rPr>
              <w:t>Sí</w:t>
            </w:r>
          </w:p>
          <w:p w:rsidR="00CD7ACA" w:rsidRPr="007D2D6C" w:rsidRDefault="00CD7ACA" w:rsidP="00397A19">
            <w:pPr>
              <w:jc w:val="center"/>
              <w:rPr>
                <w:rFonts w:ascii="Palatino Linotype" w:hAnsi="Palatino Linotype"/>
                <w:i/>
              </w:rPr>
            </w:pPr>
          </w:p>
        </w:tc>
      </w:tr>
    </w:tbl>
    <w:p w:rsidR="00E66693" w:rsidRDefault="00E66693" w:rsidP="00E66693">
      <w:pPr>
        <w:spacing w:after="0" w:line="360" w:lineRule="auto"/>
        <w:jc w:val="both"/>
        <w:rPr>
          <w:rFonts w:ascii="Palatino Linotype" w:hAnsi="Palatino Linotype"/>
          <w:color w:val="000000"/>
          <w:sz w:val="24"/>
          <w:szCs w:val="24"/>
        </w:rPr>
      </w:pPr>
    </w:p>
    <w:p w:rsidR="00CD7ACA" w:rsidRPr="004F49F2" w:rsidRDefault="00CD7ACA" w:rsidP="00CD7ACA">
      <w:pPr>
        <w:tabs>
          <w:tab w:val="left" w:pos="8789"/>
        </w:tabs>
        <w:spacing w:line="360" w:lineRule="auto"/>
        <w:ind w:right="49"/>
        <w:jc w:val="both"/>
        <w:rPr>
          <w:rFonts w:ascii="Palatino Linotype" w:hAnsi="Palatino Linotype"/>
          <w:i/>
          <w:sz w:val="24"/>
        </w:rPr>
      </w:pPr>
      <w:r w:rsidRPr="006765FC">
        <w:rPr>
          <w:rFonts w:ascii="Palatino Linotype" w:eastAsia="Palatino Linotype" w:hAnsi="Palatino Linotype" w:cs="Palatino Linotype"/>
          <w:sz w:val="24"/>
        </w:rPr>
        <w:t>En primer lugar, es de señalar que de los motivos de inconformidad en cita se aprecia que el particular</w:t>
      </w:r>
      <w:r>
        <w:rPr>
          <w:rFonts w:ascii="Palatino Linotype" w:eastAsia="Palatino Linotype" w:hAnsi="Palatino Linotype" w:cs="Palatino Linotype"/>
          <w:sz w:val="24"/>
        </w:rPr>
        <w:t xml:space="preserve"> únicamente se inconforma sobre que no están obligados a generar la información conforme al interés del particular,</w:t>
      </w:r>
      <w:r w:rsidRPr="006765FC">
        <w:rPr>
          <w:rFonts w:ascii="Palatino Linotype" w:eastAsia="Palatino Linotype" w:hAnsi="Palatino Linotype" w:cs="Palatino Linotype"/>
          <w:sz w:val="24"/>
        </w:rPr>
        <w:t xml:space="preserve"> sin que se aprecie</w:t>
      </w:r>
      <w:r>
        <w:rPr>
          <w:rFonts w:ascii="Palatino Linotype" w:eastAsia="Palatino Linotype" w:hAnsi="Palatino Linotype" w:cs="Palatino Linotype"/>
          <w:sz w:val="24"/>
        </w:rPr>
        <w:t xml:space="preserve"> inconformidad alguna respecto del número de denuncias presentadas en 2023 y 2024</w:t>
      </w:r>
      <w:r w:rsidRPr="004F49F2">
        <w:rPr>
          <w:rFonts w:ascii="Palatino Linotype" w:hAnsi="Palatino Linotype" w:cs="Tahoma"/>
          <w:bCs/>
          <w:sz w:val="24"/>
        </w:rPr>
        <w:t>.</w:t>
      </w:r>
    </w:p>
    <w:p w:rsidR="00CD7ACA" w:rsidRPr="006765FC" w:rsidRDefault="00CD7ACA" w:rsidP="00CD7ACA">
      <w:pPr>
        <w:tabs>
          <w:tab w:val="left" w:pos="8789"/>
        </w:tabs>
        <w:spacing w:line="360" w:lineRule="auto"/>
        <w:ind w:right="49"/>
        <w:jc w:val="both"/>
        <w:rPr>
          <w:rFonts w:ascii="Palatino Linotype" w:hAnsi="Palatino Linotype"/>
          <w:i/>
        </w:rPr>
      </w:pPr>
      <w:r w:rsidRPr="006765FC">
        <w:rPr>
          <w:rFonts w:ascii="Palatino Linotype" w:eastAsia="Palatino Linotype" w:hAnsi="Palatino Linotype" w:cs="Palatino Linotype"/>
          <w:sz w:val="24"/>
        </w:rPr>
        <w:t>Sirve de sustento, la tesis jurisprudencial número VI.3o.C. J/60, publicada en el Semanario Judicial de la Federación y su Gaceta bajo el número de registro 176,608 que a la letra dice:</w:t>
      </w:r>
    </w:p>
    <w:p w:rsidR="00CD7ACA" w:rsidRPr="006765FC" w:rsidRDefault="00CD7ACA" w:rsidP="00CD7ACA">
      <w:pPr>
        <w:tabs>
          <w:tab w:val="left" w:pos="851"/>
        </w:tabs>
        <w:ind w:left="851" w:right="616"/>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“ACTOS CONSENTIDOS. SON LOS QUE NO SE IMPUGNAN MEDIANTE EL RECURSO IDÓNEO. </w:t>
      </w:r>
      <w:r w:rsidRPr="006765FC">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D7ACA" w:rsidRDefault="00CD7ACA" w:rsidP="00CD7ACA">
      <w:pPr>
        <w:spacing w:before="280" w:after="280" w:line="360" w:lineRule="auto"/>
        <w:jc w:val="both"/>
        <w:rPr>
          <w:rFonts w:ascii="Palatino Linotype" w:eastAsia="Palatino Linotype" w:hAnsi="Palatino Linotype" w:cs="Palatino Linotype"/>
          <w:sz w:val="24"/>
        </w:rPr>
      </w:pPr>
    </w:p>
    <w:p w:rsidR="00CD7ACA" w:rsidRPr="006765FC" w:rsidRDefault="00CD7ACA" w:rsidP="00CD7ACA">
      <w:pPr>
        <w:spacing w:before="280" w:after="280" w:line="360" w:lineRule="auto"/>
        <w:jc w:val="both"/>
        <w:rPr>
          <w:rFonts w:ascii="Palatino Linotype" w:eastAsia="Palatino Linotype" w:hAnsi="Palatino Linotype" w:cs="Palatino Linotype"/>
          <w:sz w:val="24"/>
        </w:rPr>
      </w:pPr>
      <w:r w:rsidRPr="006765FC">
        <w:rPr>
          <w:rFonts w:ascii="Palatino Linotype" w:eastAsia="Palatino Linotype" w:hAnsi="Palatino Linotype" w:cs="Palatino Linotype"/>
          <w:sz w:val="24"/>
        </w:rPr>
        <w:lastRenderedPageBreak/>
        <w:t xml:space="preserve">De la interpretación del criterio antes citado, se advierte que cuando el particular impugnó la respuesta del </w:t>
      </w:r>
      <w:r w:rsidRPr="006765FC">
        <w:rPr>
          <w:rFonts w:ascii="Palatino Linotype" w:eastAsia="Palatino Linotype" w:hAnsi="Palatino Linotype" w:cs="Palatino Linotype"/>
          <w:b/>
          <w:sz w:val="24"/>
        </w:rPr>
        <w:t>SUJETO OBLIGADO</w:t>
      </w:r>
      <w:r w:rsidRPr="006765FC">
        <w:rPr>
          <w:rFonts w:ascii="Palatino Linotype" w:eastAsia="Palatino Linotype" w:hAnsi="Palatino Linotype" w:cs="Palatino Linotype"/>
          <w:sz w:val="24"/>
        </w:rPr>
        <w:t>, no expresó razón o motivo de inconformidad en contra de todos los rubros solicitados, por tanto, estos deben declararse atendidos</w:t>
      </w:r>
      <w:r>
        <w:rPr>
          <w:rFonts w:ascii="Palatino Linotype" w:eastAsia="Palatino Linotype" w:hAnsi="Palatino Linotype" w:cs="Palatino Linotype"/>
          <w:sz w:val="24"/>
        </w:rPr>
        <w:t>.</w:t>
      </w:r>
    </w:p>
    <w:p w:rsidR="00CD7ACA" w:rsidRPr="006765FC" w:rsidRDefault="00CD7ACA" w:rsidP="00CD7ACA">
      <w:pPr>
        <w:spacing w:before="280" w:after="280" w:line="360" w:lineRule="auto"/>
        <w:jc w:val="both"/>
        <w:rPr>
          <w:rFonts w:ascii="Palatino Linotype" w:eastAsia="Palatino Linotype" w:hAnsi="Palatino Linotype" w:cs="Palatino Linotype"/>
          <w:sz w:val="24"/>
        </w:rPr>
      </w:pPr>
      <w:r w:rsidRPr="006765FC">
        <w:rPr>
          <w:rFonts w:ascii="Palatino Linotype" w:eastAsia="Palatino Linotype" w:hAnsi="Palatino Linotype" w:cs="Palatino Linotype"/>
          <w:sz w:val="24"/>
        </w:rPr>
        <w:t>Atento a ello, es importante traer a contexto la Tesis Jurisprudencial Número 3ª./J.7/91, Publicada en el Semanario Judicial de la Federación y su Gaceta bajo el número de registro 174,177, que establece lo siguiente:</w:t>
      </w:r>
    </w:p>
    <w:p w:rsidR="00CD7ACA" w:rsidRPr="006765FC" w:rsidRDefault="00CD7ACA" w:rsidP="00CD7ACA">
      <w:pPr>
        <w:tabs>
          <w:tab w:val="left" w:pos="7937"/>
          <w:tab w:val="left" w:pos="8222"/>
        </w:tabs>
        <w:ind w:left="851" w:right="901"/>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“REVISIÓN EN AMPARO. LOS RESOLUTIVOS NO COMBATIDOS DEBEN DECLARARSE FIRMES. </w:t>
      </w:r>
      <w:r w:rsidRPr="006765FC">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D7ACA" w:rsidRPr="00566986" w:rsidRDefault="00CD7ACA" w:rsidP="00CD7ACA">
      <w:pPr>
        <w:widowControl w:val="0"/>
        <w:tabs>
          <w:tab w:val="left" w:pos="1701"/>
          <w:tab w:val="left" w:pos="1843"/>
        </w:tabs>
        <w:spacing w:before="360" w:after="240" w:line="360" w:lineRule="auto"/>
        <w:jc w:val="both"/>
        <w:rPr>
          <w:rFonts w:ascii="Palatino Linotype" w:eastAsia="Palatino Linotype" w:hAnsi="Palatino Linotype" w:cs="Palatino Linotype"/>
          <w:sz w:val="24"/>
        </w:rPr>
      </w:pPr>
      <w:r w:rsidRPr="00566986">
        <w:rPr>
          <w:rFonts w:ascii="Palatino Linotype" w:eastAsia="Palatino Linotype" w:hAnsi="Palatino Linotype" w:cs="Palatino Linotype"/>
          <w:sz w:val="24"/>
        </w:rPr>
        <w:t xml:space="preserve">Para mayor abundamiento, también resulta aplicable el criterio 01/20 emitido por el Instituto Nacional de Transparencia, Acceso a la Información Pública y Protección de Datos Personales, que a la letra estipula lo siguiente: </w:t>
      </w:r>
    </w:p>
    <w:p w:rsidR="00CD7ACA" w:rsidRDefault="00CD7ACA" w:rsidP="00CD7ACA">
      <w:pPr>
        <w:pStyle w:val="INFOEM"/>
        <w:spacing w:line="240" w:lineRule="auto"/>
      </w:pPr>
      <w:r w:rsidRPr="00566986">
        <w:rPr>
          <w:b/>
        </w:rPr>
        <w:t>Actos consentidos tácitamente. Improcedencia de su análisis</w:t>
      </w:r>
      <w:r w:rsidRPr="00566986">
        <w:t>.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E66693" w:rsidRPr="003A139E" w:rsidRDefault="00CD7ACA" w:rsidP="003A139E">
      <w:pPr>
        <w:widowControl w:val="0"/>
        <w:tabs>
          <w:tab w:val="left" w:pos="1701"/>
          <w:tab w:val="left" w:pos="1843"/>
        </w:tabs>
        <w:spacing w:before="360" w:after="240" w:line="360" w:lineRule="auto"/>
        <w:jc w:val="both"/>
        <w:rPr>
          <w:rFonts w:ascii="Palatino Linotype" w:eastAsia="Palatino Linotype" w:hAnsi="Palatino Linotype" w:cs="Palatino Linotype"/>
          <w:sz w:val="24"/>
        </w:rPr>
      </w:pPr>
      <w:r w:rsidRPr="006765FC">
        <w:rPr>
          <w:rFonts w:ascii="Palatino Linotype" w:eastAsia="Palatino Linotype" w:hAnsi="Palatino Linotype" w:cs="Palatino Linotype"/>
          <w:sz w:val="24"/>
        </w:rPr>
        <w:t xml:space="preserve">Por lo que, al no haberse inconformado </w:t>
      </w:r>
      <w:r>
        <w:rPr>
          <w:rFonts w:ascii="Palatino Linotype" w:eastAsia="Palatino Linotype" w:hAnsi="Palatino Linotype" w:cs="Palatino Linotype"/>
          <w:sz w:val="24"/>
        </w:rPr>
        <w:t xml:space="preserve">sobre todos los rubros solicitados, </w:t>
      </w:r>
      <w:r w:rsidRPr="006765FC">
        <w:rPr>
          <w:rFonts w:ascii="Palatino Linotype" w:eastAsia="Palatino Linotype" w:hAnsi="Palatino Linotype" w:cs="Palatino Linotype"/>
          <w:sz w:val="24"/>
        </w:rPr>
        <w:t>se consideran actos consentidos y, por tanto, se tiene</w:t>
      </w:r>
      <w:r>
        <w:rPr>
          <w:rFonts w:ascii="Palatino Linotype" w:eastAsia="Palatino Linotype" w:hAnsi="Palatino Linotype" w:cs="Palatino Linotype"/>
          <w:sz w:val="24"/>
        </w:rPr>
        <w:t>n</w:t>
      </w:r>
      <w:r w:rsidRPr="006765FC">
        <w:rPr>
          <w:rFonts w:ascii="Palatino Linotype" w:eastAsia="Palatino Linotype" w:hAnsi="Palatino Linotype" w:cs="Palatino Linotype"/>
          <w:sz w:val="24"/>
        </w:rPr>
        <w:t xml:space="preserve"> por colmado</w:t>
      </w:r>
      <w:r>
        <w:rPr>
          <w:rFonts w:ascii="Palatino Linotype" w:eastAsia="Palatino Linotype" w:hAnsi="Palatino Linotype" w:cs="Palatino Linotype"/>
          <w:sz w:val="24"/>
        </w:rPr>
        <w:t>s</w:t>
      </w:r>
      <w:r w:rsidRPr="006765FC">
        <w:rPr>
          <w:rFonts w:ascii="Palatino Linotype" w:eastAsia="Palatino Linotype" w:hAnsi="Palatino Linotype" w:cs="Palatino Linotype"/>
          <w:sz w:val="24"/>
        </w:rPr>
        <w:t xml:space="preserve"> dicho</w:t>
      </w:r>
      <w:r>
        <w:rPr>
          <w:rFonts w:ascii="Palatino Linotype" w:eastAsia="Palatino Linotype" w:hAnsi="Palatino Linotype" w:cs="Palatino Linotype"/>
          <w:sz w:val="24"/>
        </w:rPr>
        <w:t>s</w:t>
      </w:r>
      <w:r w:rsidRPr="006765FC">
        <w:rPr>
          <w:rFonts w:ascii="Palatino Linotype" w:eastAsia="Palatino Linotype" w:hAnsi="Palatino Linotype" w:cs="Palatino Linotype"/>
          <w:sz w:val="24"/>
        </w:rPr>
        <w:t xml:space="preserve"> rubro</w:t>
      </w:r>
      <w:r>
        <w:rPr>
          <w:rFonts w:ascii="Palatino Linotype" w:eastAsia="Palatino Linotype" w:hAnsi="Palatino Linotype" w:cs="Palatino Linotype"/>
          <w:sz w:val="24"/>
        </w:rPr>
        <w:t>s</w:t>
      </w:r>
      <w:r w:rsidRPr="006765FC">
        <w:rPr>
          <w:rFonts w:ascii="Palatino Linotype" w:eastAsia="Palatino Linotype" w:hAnsi="Palatino Linotype" w:cs="Palatino Linotype"/>
          <w:sz w:val="24"/>
        </w:rPr>
        <w:t xml:space="preserve"> de la </w:t>
      </w:r>
      <w:r w:rsidRPr="006765FC">
        <w:rPr>
          <w:rFonts w:ascii="Palatino Linotype" w:eastAsia="Palatino Linotype" w:hAnsi="Palatino Linotype" w:cs="Palatino Linotype"/>
          <w:sz w:val="24"/>
        </w:rPr>
        <w:lastRenderedPageBreak/>
        <w:t>solicitud.</w:t>
      </w:r>
      <w:r>
        <w:rPr>
          <w:rFonts w:ascii="Palatino Linotype" w:eastAsia="Palatino Linotype" w:hAnsi="Palatino Linotype" w:cs="Palatino Linotype"/>
          <w:sz w:val="24"/>
        </w:rPr>
        <w:t xml:space="preserve"> </w:t>
      </w:r>
    </w:p>
    <w:p w:rsidR="00CD7ACA" w:rsidRDefault="00CD7ACA" w:rsidP="00E66693">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Para establecer si el Sujeto Obligado está obligado o no a tener la información relativa al </w:t>
      </w:r>
      <w:r w:rsidRPr="00CD7ACA">
        <w:rPr>
          <w:rFonts w:ascii="Palatino Linotype" w:hAnsi="Palatino Linotype" w:cs="Tahoma"/>
          <w:bCs/>
          <w:sz w:val="24"/>
        </w:rPr>
        <w:t xml:space="preserve">tipo de denuncia, dependencia proveniente y </w:t>
      </w:r>
      <w:proofErr w:type="gramStart"/>
      <w:r w:rsidRPr="00CD7ACA">
        <w:rPr>
          <w:rFonts w:ascii="Palatino Linotype" w:hAnsi="Palatino Linotype" w:cs="Tahoma"/>
          <w:bCs/>
          <w:sz w:val="24"/>
        </w:rPr>
        <w:t>medida</w:t>
      </w:r>
      <w:r>
        <w:rPr>
          <w:rFonts w:ascii="Palatino Linotype" w:hAnsi="Palatino Linotype" w:cs="Tahoma"/>
          <w:bCs/>
          <w:sz w:val="24"/>
        </w:rPr>
        <w:t>s</w:t>
      </w:r>
      <w:r w:rsidRPr="00CD7ACA">
        <w:rPr>
          <w:rFonts w:ascii="Palatino Linotype" w:hAnsi="Palatino Linotype" w:cs="Tahoma"/>
          <w:bCs/>
          <w:sz w:val="24"/>
        </w:rPr>
        <w:t xml:space="preserve"> implementada</w:t>
      </w:r>
      <w:r>
        <w:rPr>
          <w:rFonts w:ascii="Palatino Linotype" w:hAnsi="Palatino Linotype" w:cs="Tahoma"/>
          <w:bCs/>
          <w:sz w:val="24"/>
        </w:rPr>
        <w:t>s</w:t>
      </w:r>
      <w:proofErr w:type="gramEnd"/>
      <w:r>
        <w:rPr>
          <w:rFonts w:ascii="Palatino Linotype" w:hAnsi="Palatino Linotype" w:cs="Tahoma"/>
          <w:bCs/>
          <w:sz w:val="24"/>
        </w:rPr>
        <w:t xml:space="preserve">, es necesario traer a colación el Reglamento Interior de la Secretaría de la Contraloría, mismo que establece lo siguiente: </w:t>
      </w:r>
    </w:p>
    <w:p w:rsidR="002503A1" w:rsidRDefault="002503A1" w:rsidP="002503A1">
      <w:pPr>
        <w:pStyle w:val="INFOEM"/>
      </w:pPr>
      <w:r w:rsidRPr="002503A1">
        <w:t xml:space="preserve">Artículo 19. Quedan adscritas a la </w:t>
      </w:r>
      <w:r w:rsidRPr="002503A1">
        <w:rPr>
          <w:b/>
        </w:rPr>
        <w:t>Subsecretaría de Responsabilidades Administrativas,</w:t>
      </w:r>
      <w:r w:rsidRPr="002503A1">
        <w:t xml:space="preserve"> las unidades administrativas siguientes:  </w:t>
      </w:r>
    </w:p>
    <w:p w:rsidR="002503A1" w:rsidRDefault="002503A1" w:rsidP="002503A1">
      <w:pPr>
        <w:pStyle w:val="INFOEM"/>
        <w:numPr>
          <w:ilvl w:val="0"/>
          <w:numId w:val="25"/>
        </w:numPr>
        <w:spacing w:before="0" w:line="240" w:lineRule="auto"/>
      </w:pPr>
      <w:r w:rsidRPr="002503A1">
        <w:t xml:space="preserve"> </w:t>
      </w:r>
      <w:r w:rsidRPr="002503A1">
        <w:rPr>
          <w:b/>
        </w:rPr>
        <w:t>Dirección de Investigación</w:t>
      </w:r>
      <w:r w:rsidRPr="002503A1">
        <w:t xml:space="preserve">; </w:t>
      </w:r>
    </w:p>
    <w:p w:rsidR="002503A1" w:rsidRDefault="002503A1" w:rsidP="002503A1">
      <w:pPr>
        <w:pStyle w:val="INFOEM"/>
        <w:numPr>
          <w:ilvl w:val="0"/>
          <w:numId w:val="25"/>
        </w:numPr>
        <w:spacing w:before="0" w:line="240" w:lineRule="auto"/>
      </w:pPr>
      <w:r w:rsidRPr="002503A1">
        <w:t xml:space="preserve">Dirección de Responsabilidades Administrativas; </w:t>
      </w:r>
    </w:p>
    <w:p w:rsidR="002503A1" w:rsidRDefault="002503A1" w:rsidP="002503A1">
      <w:pPr>
        <w:pStyle w:val="INFOEM"/>
        <w:numPr>
          <w:ilvl w:val="0"/>
          <w:numId w:val="25"/>
        </w:numPr>
        <w:spacing w:before="0" w:line="240" w:lineRule="auto"/>
      </w:pPr>
      <w:r w:rsidRPr="002503A1">
        <w:t xml:space="preserve">Dirección de Registro de Declaraciones y de Sanciones, y  </w:t>
      </w:r>
    </w:p>
    <w:p w:rsidR="00E66693" w:rsidRDefault="002503A1" w:rsidP="002503A1">
      <w:pPr>
        <w:pStyle w:val="INFOEM"/>
        <w:numPr>
          <w:ilvl w:val="0"/>
          <w:numId w:val="25"/>
        </w:numPr>
        <w:spacing w:before="0" w:line="240" w:lineRule="auto"/>
      </w:pPr>
      <w:r w:rsidRPr="002503A1">
        <w:t>Dirección de lo Contencioso e Inconformidades.</w:t>
      </w:r>
    </w:p>
    <w:p w:rsidR="002503A1" w:rsidRDefault="002503A1" w:rsidP="002503A1">
      <w:pPr>
        <w:pStyle w:val="INFOEM"/>
        <w:spacing w:before="0" w:line="240" w:lineRule="auto"/>
      </w:pPr>
    </w:p>
    <w:p w:rsidR="002503A1" w:rsidRDefault="002503A1" w:rsidP="002503A1">
      <w:pPr>
        <w:pStyle w:val="INFOEM"/>
        <w:spacing w:before="0" w:line="240" w:lineRule="auto"/>
      </w:pPr>
      <w:r w:rsidRPr="002503A1">
        <w:t>Artículo 21. Corresponden a la Dirección de Investigación las atribuciones siguientes:</w:t>
      </w:r>
    </w:p>
    <w:p w:rsidR="002503A1" w:rsidRDefault="002503A1" w:rsidP="002503A1">
      <w:pPr>
        <w:pStyle w:val="INFOEM"/>
        <w:numPr>
          <w:ilvl w:val="0"/>
          <w:numId w:val="26"/>
        </w:numPr>
        <w:spacing w:before="0" w:line="240" w:lineRule="auto"/>
      </w:pPr>
      <w:r w:rsidRPr="002503A1">
        <w:rPr>
          <w:b/>
          <w:u w:val="single"/>
        </w:rPr>
        <w:t xml:space="preserve">Recibir y analizar las denuncias </w:t>
      </w:r>
      <w:r w:rsidRPr="002503A1">
        <w:t xml:space="preserve">y los resultados de auditorías que se presenten, así como llevar acabo los actos de oficio por presuntas infracciones o faltas administrativas derivadas de actos u omisiones cometidas </w:t>
      </w:r>
      <w:r w:rsidRPr="002503A1">
        <w:rPr>
          <w:b/>
        </w:rPr>
        <w:t>por personas servidoras públicas de las dependencias y organismos auxiliares del Poder Ejecutivo</w:t>
      </w:r>
      <w:r w:rsidRPr="002503A1">
        <w:t xml:space="preserve">, y de particulares vinculados con faltas administrativas graves, en términos de la Ley de Responsabilidades, así como instruir su remisión, a través del sistema correspondiente a los órganos internos de control, en su caso, conforme a las disposiciones jurídicas aplicables;  </w:t>
      </w:r>
    </w:p>
    <w:p w:rsidR="002503A1" w:rsidRDefault="002503A1" w:rsidP="002503A1">
      <w:pPr>
        <w:pStyle w:val="INFOEM"/>
        <w:numPr>
          <w:ilvl w:val="0"/>
          <w:numId w:val="26"/>
        </w:numPr>
        <w:spacing w:before="0" w:line="240" w:lineRule="auto"/>
      </w:pPr>
      <w:r w:rsidRPr="002503A1">
        <w:t xml:space="preserve">Iniciar las acciones para iniciar de oficio, por denuncia o derivado de auditorías realizadas por las autoridades competentes, las investigaciones por presuntas faltas administrativas o infracciones cometidas por las personas servidoras públicas o de los particulares vinculados con faltas administrativas graves, en términos de la Ley de Responsabilidades; así </w:t>
      </w:r>
      <w:r w:rsidRPr="002503A1">
        <w:lastRenderedPageBreak/>
        <w:t xml:space="preserve">como instruir la remisión de las investigaciones iniciadas, al Órgano Interno de Control competente, cuando así se estime procedente; </w:t>
      </w:r>
    </w:p>
    <w:p w:rsidR="002503A1" w:rsidRDefault="002503A1" w:rsidP="002503A1">
      <w:pPr>
        <w:pStyle w:val="INFOEM"/>
        <w:numPr>
          <w:ilvl w:val="0"/>
          <w:numId w:val="26"/>
        </w:numPr>
        <w:spacing w:before="0" w:line="240" w:lineRule="auto"/>
      </w:pPr>
      <w:r w:rsidRPr="002503A1">
        <w:t xml:space="preserve">Atraer las investigaciones que hubieren sido iniciadas por los órganos internos de control; y de considerarlo procedente, dirigir directamente aquellas que se hayan presentado en la Secretaría; previo acuerdo con la persona titular de la Subsecretaría de Responsabilidades Administrativas; </w:t>
      </w:r>
    </w:p>
    <w:p w:rsidR="002503A1" w:rsidRDefault="002503A1" w:rsidP="002503A1">
      <w:pPr>
        <w:pStyle w:val="INFOEM"/>
        <w:numPr>
          <w:ilvl w:val="0"/>
          <w:numId w:val="26"/>
        </w:numPr>
        <w:spacing w:before="0" w:line="240" w:lineRule="auto"/>
      </w:pPr>
      <w:r w:rsidRPr="002503A1">
        <w:t xml:space="preserve">Suscribir los informes, demandas, contestaciones y desahogos de vista en los juicios y procedimientos en los que sea parte, así como intervenir en el cumplimiento y defensa de las resoluciones respectivas, rendir los informes, cumplimentar los requerimientos y solicitudes de información formulados por las autoridades del orden penal, judicial, administrativa y en materia de defensa de derechos humanos, relacionados con los asuntos de su competencia;  </w:t>
      </w:r>
    </w:p>
    <w:p w:rsidR="002503A1" w:rsidRDefault="002503A1" w:rsidP="002503A1">
      <w:pPr>
        <w:pStyle w:val="INFOEM"/>
        <w:numPr>
          <w:ilvl w:val="0"/>
          <w:numId w:val="26"/>
        </w:numPr>
        <w:spacing w:before="0" w:line="240" w:lineRule="auto"/>
      </w:pPr>
      <w:r w:rsidRPr="002503A1">
        <w:t xml:space="preserve">Establecer, previo acuerdo con la persona titular de la Subsecretaría de Responsabilidades Administrativas, los principios, lineamientos, bases, guías, manuales o protocolos en materia de investigación, derivadas de auditorías practicadas por autoridades competentes, por actuación de oficio o por presentación de denuncias que deban observar los órganos internos de control, previa consideración de la persona titular de la Secretaría; </w:t>
      </w:r>
    </w:p>
    <w:p w:rsidR="002503A1" w:rsidRDefault="002503A1" w:rsidP="002503A1">
      <w:pPr>
        <w:pStyle w:val="INFOEM"/>
        <w:numPr>
          <w:ilvl w:val="0"/>
          <w:numId w:val="26"/>
        </w:numPr>
        <w:spacing w:before="0" w:line="240" w:lineRule="auto"/>
      </w:pPr>
      <w:r w:rsidRPr="002503A1">
        <w:t xml:space="preserve">Integrar y verificar la información del sistema de evolución patrimonial, de las personas servidoras públicas, derivado de las verificaciones aleatorias que realice la Dirección de Registro de Declaraciones y Sanciones; </w:t>
      </w:r>
    </w:p>
    <w:p w:rsidR="002503A1" w:rsidRDefault="002503A1" w:rsidP="002503A1">
      <w:pPr>
        <w:pStyle w:val="INFOEM"/>
        <w:numPr>
          <w:ilvl w:val="0"/>
          <w:numId w:val="26"/>
        </w:numPr>
        <w:spacing w:before="0" w:line="240" w:lineRule="auto"/>
      </w:pPr>
      <w:r w:rsidRPr="002503A1">
        <w:t xml:space="preserve">Desarrollar las investigaciones correspondientes y verificar la evolución del patrimonio de las personas servidoras públicas, e integrar el expediente respectivo, de conformidad con el procedimiento de investigación previsto en la Ley de Responsabilidades; </w:t>
      </w:r>
    </w:p>
    <w:p w:rsidR="002503A1" w:rsidRDefault="002503A1" w:rsidP="002503A1">
      <w:pPr>
        <w:pStyle w:val="INFOEM"/>
        <w:numPr>
          <w:ilvl w:val="0"/>
          <w:numId w:val="26"/>
        </w:numPr>
        <w:spacing w:before="0" w:line="240" w:lineRule="auto"/>
      </w:pPr>
      <w:r w:rsidRPr="002503A1">
        <w:t xml:space="preserve">Requerir, cuando lo estime necesario, la presentación del denunciante, para la ratificación de la denuncia presentada por actos u omisiones posiblemente constitutivos de faltas administrativas cometidas por personas servidoras públicas de las dependencias y organismos auxiliares del Poder Ejecutivo y particulares vinculados con faltas administrativas graves, en términos de la Ley de Responsabilidades, o incluso a personas servidoras públicas que puedan tener conocimiento de los hechos, a fin de constatar la veracidad de los mismos;  </w:t>
      </w:r>
    </w:p>
    <w:p w:rsidR="002503A1" w:rsidRDefault="002503A1" w:rsidP="002503A1">
      <w:pPr>
        <w:pStyle w:val="INFOEM"/>
        <w:numPr>
          <w:ilvl w:val="0"/>
          <w:numId w:val="26"/>
        </w:numPr>
        <w:spacing w:before="0" w:line="240" w:lineRule="auto"/>
      </w:pPr>
      <w:r w:rsidRPr="002503A1">
        <w:lastRenderedPageBreak/>
        <w:t xml:space="preserve">Requerir la información o documentación necesaria para el esclarecimiento de los hechos materia de la investigación en términos de la Ley de Responsabilidades, a las dependencias y organismos auxiliares, incluyendo aquélla que las disposiciones jurídicas en la materia, consideren con carácter de reservada o confidencial, siempre que esté relacionada con la comisión de faltas administrativas a que se refiere la Ley de Responsabilidades, con la obligación de mantener la misma con reserva o secrecía, conforme a dichas disposiciones;  </w:t>
      </w:r>
    </w:p>
    <w:p w:rsidR="002503A1" w:rsidRDefault="002503A1" w:rsidP="002503A1">
      <w:pPr>
        <w:pStyle w:val="INFOEM"/>
        <w:numPr>
          <w:ilvl w:val="0"/>
          <w:numId w:val="26"/>
        </w:numPr>
        <w:spacing w:before="0" w:line="240" w:lineRule="auto"/>
      </w:pPr>
      <w:r w:rsidRPr="002503A1">
        <w:t xml:space="preserve">Solicitar información o documentación a las autoridades, relacionada con la materia fiscal, bursátil, fiduciaria o la relacionada con operaciones de depósito, ahorro, administración o inversión de recursos monetarios, en términos de la Ley de Responsabilidades; y para cualquier persona física o jurídica colectiva, con el objeto de esclarecer los hechos relacionados con la comisión de presuntas faltas administrativas graves; </w:t>
      </w:r>
    </w:p>
    <w:p w:rsidR="002503A1" w:rsidRDefault="002503A1" w:rsidP="002503A1">
      <w:pPr>
        <w:pStyle w:val="INFOEM"/>
        <w:numPr>
          <w:ilvl w:val="0"/>
          <w:numId w:val="26"/>
        </w:numPr>
        <w:spacing w:before="0" w:line="240" w:lineRule="auto"/>
      </w:pPr>
      <w:r w:rsidRPr="002503A1">
        <w:t xml:space="preserve">Instrumentar las acciones correspondientes y definir las medidas necesarias en los casos de denuncias presentadas de manera anónima, con el propósito de garantizar, proteger y mantener la confidencialidad de la identidad de los denunciantes. En este contexto, la autoridad investigadora solicitará las medidas cautelares requeridas según la naturaleza de cada caso, pudiendo otorgarlas de oficio o a solicitud del denunciante; </w:t>
      </w:r>
    </w:p>
    <w:p w:rsidR="002503A1" w:rsidRDefault="002503A1" w:rsidP="002503A1">
      <w:pPr>
        <w:pStyle w:val="INFOEM"/>
        <w:numPr>
          <w:ilvl w:val="0"/>
          <w:numId w:val="26"/>
        </w:numPr>
        <w:spacing w:before="0" w:line="240" w:lineRule="auto"/>
      </w:pPr>
      <w:r w:rsidRPr="002503A1">
        <w:t xml:space="preserve">Participar como parte interesada, en los procedimientos de responsabilidad administrativa, de acuerdo con lo establecido en la Ley de Responsabilidades; </w:t>
      </w:r>
    </w:p>
    <w:p w:rsidR="002503A1" w:rsidRDefault="002503A1" w:rsidP="002503A1">
      <w:pPr>
        <w:pStyle w:val="INFOEM"/>
        <w:numPr>
          <w:ilvl w:val="0"/>
          <w:numId w:val="26"/>
        </w:numPr>
        <w:spacing w:before="0" w:line="240" w:lineRule="auto"/>
      </w:pPr>
      <w:r w:rsidRPr="002503A1">
        <w:t xml:space="preserve">Proponer y supervisar la práctica de visitas de verificación, las cuales se sujetarán a lo previsto en el Código de Procedimientos Administrativos del Estado de México, incluyendo acciones encubiertas y usuario simulado con apego a la legalidad de la Ley de Responsabilidades; </w:t>
      </w:r>
    </w:p>
    <w:p w:rsidR="002503A1" w:rsidRDefault="002503A1" w:rsidP="002503A1">
      <w:pPr>
        <w:pStyle w:val="INFOEM"/>
        <w:numPr>
          <w:ilvl w:val="0"/>
          <w:numId w:val="26"/>
        </w:numPr>
        <w:spacing w:before="0" w:line="240" w:lineRule="auto"/>
      </w:pPr>
      <w:r w:rsidRPr="002503A1">
        <w:t>Requerir, cuando lo estime necesario la colaboración de la Fiscalía General de Justicia del Estado de México o de cualquier otra institución pública o educativa, que permita el acceso a los instrumentos tecnológicos que se requieran para la realización de la investigación; así como la intervención de un perito en la ciencia, arte, técnica, industria, oficio o profesión adscritos a tales instituciones para determinar la autenticidad de cualquier documento o elemento relacionado con los hechos motivo del procedimiento de investigación;</w:t>
      </w:r>
    </w:p>
    <w:p w:rsidR="002503A1" w:rsidRDefault="002503A1" w:rsidP="002503A1">
      <w:pPr>
        <w:pStyle w:val="INFOEM"/>
        <w:numPr>
          <w:ilvl w:val="0"/>
          <w:numId w:val="26"/>
        </w:numPr>
        <w:spacing w:before="0" w:line="240" w:lineRule="auto"/>
      </w:pPr>
      <w:r w:rsidRPr="002503A1">
        <w:lastRenderedPageBreak/>
        <w:t xml:space="preserve">Integrar y emitir el Informe de Presunta Responsabilidad Administrativa con los requisitos que establece la Ley de Responsabilidades y presentarlo a la autoridad substanciadora, a efecto de iniciar el procedimiento de responsabilidad administrativa; </w:t>
      </w:r>
    </w:p>
    <w:p w:rsidR="002503A1" w:rsidRDefault="002503A1" w:rsidP="002503A1">
      <w:pPr>
        <w:pStyle w:val="INFOEM"/>
        <w:numPr>
          <w:ilvl w:val="0"/>
          <w:numId w:val="26"/>
        </w:numPr>
        <w:spacing w:before="0" w:line="240" w:lineRule="auto"/>
      </w:pPr>
      <w:r w:rsidRPr="002503A1">
        <w:t xml:space="preserve">Requerir a las unidades substanciadoras y </w:t>
      </w:r>
      <w:proofErr w:type="spellStart"/>
      <w:r w:rsidRPr="002503A1">
        <w:t>resolutoras</w:t>
      </w:r>
      <w:proofErr w:type="spellEnd"/>
      <w:r w:rsidRPr="002503A1">
        <w:t xml:space="preserve">, la imposición de las medidas cautelares en términos en la Ley de Responsabilidades del Estado de México y Municipios, y normatividad aplicable; </w:t>
      </w:r>
    </w:p>
    <w:p w:rsidR="00D4265B" w:rsidRDefault="002503A1" w:rsidP="002503A1">
      <w:pPr>
        <w:pStyle w:val="INFOEM"/>
        <w:numPr>
          <w:ilvl w:val="0"/>
          <w:numId w:val="26"/>
        </w:numPr>
        <w:spacing w:before="0" w:line="240" w:lineRule="auto"/>
      </w:pPr>
      <w:r w:rsidRPr="002503A1">
        <w:t xml:space="preserve">Proponer y presentar, las denuncias o querellas que procedan por la probable responsabilidad de orden penal que se detecte en la sustanciación del procedimiento de investigación, ante la Fiscalía General de Justicia del Estado de México o en su caso ante el homólogo en el ámbito federal; </w:t>
      </w:r>
    </w:p>
    <w:p w:rsidR="00D4265B" w:rsidRDefault="002503A1" w:rsidP="002503A1">
      <w:pPr>
        <w:pStyle w:val="INFOEM"/>
        <w:numPr>
          <w:ilvl w:val="0"/>
          <w:numId w:val="26"/>
        </w:numPr>
        <w:spacing w:before="0" w:line="240" w:lineRule="auto"/>
      </w:pPr>
      <w:r w:rsidRPr="002503A1">
        <w:t xml:space="preserve">Dictar las medidas de apremio para hacer cumplir sus determinaciones y requerimientos, de conformidad con las disposiciones jurídicas y administrativas aplicables; </w:t>
      </w:r>
    </w:p>
    <w:p w:rsidR="00D4265B" w:rsidRDefault="002503A1" w:rsidP="002503A1">
      <w:pPr>
        <w:pStyle w:val="INFOEM"/>
        <w:numPr>
          <w:ilvl w:val="0"/>
          <w:numId w:val="26"/>
        </w:numPr>
        <w:spacing w:before="0" w:line="240" w:lineRule="auto"/>
      </w:pPr>
      <w:r w:rsidRPr="002503A1">
        <w:t xml:space="preserve">Emitir el Acuerdo de Conclusión y Archivo del expediente de conformidad con las disposiciones jurídicas y administrativas en materia de responsabilidades administrativas, cuando así proceda. </w:t>
      </w:r>
    </w:p>
    <w:p w:rsidR="00D4265B" w:rsidRDefault="002503A1" w:rsidP="002503A1">
      <w:pPr>
        <w:pStyle w:val="INFOEM"/>
        <w:numPr>
          <w:ilvl w:val="0"/>
          <w:numId w:val="26"/>
        </w:numPr>
        <w:spacing w:before="0" w:line="240" w:lineRule="auto"/>
      </w:pPr>
      <w:r w:rsidRPr="002503A1">
        <w:t xml:space="preserve">Revisar y analizar la documentación que integre las investigaciones a su cargo, para determinar la existencia o inexistencia de actos u omisiones que la ley señale como falta administrativa y, en su caso, calificarla como grave o no grave; </w:t>
      </w:r>
    </w:p>
    <w:p w:rsidR="00D4265B" w:rsidRDefault="002503A1" w:rsidP="002503A1">
      <w:pPr>
        <w:pStyle w:val="INFOEM"/>
        <w:numPr>
          <w:ilvl w:val="0"/>
          <w:numId w:val="26"/>
        </w:numPr>
        <w:spacing w:before="0" w:line="240" w:lineRule="auto"/>
      </w:pPr>
      <w:r w:rsidRPr="002503A1">
        <w:t xml:space="preserve">Atender la prevención realizada por la autoridad substanciadora cuando esta le advierta que el Informe de Presunta Responsabilidad Administrativa, contiene omisiones, requiere aclaraciones en los hechos narrados o carece de alguno de los requisitos señalados en la Ley de Responsabilidades, para subsanarlos; </w:t>
      </w:r>
    </w:p>
    <w:p w:rsidR="00D4265B" w:rsidRDefault="002503A1" w:rsidP="002503A1">
      <w:pPr>
        <w:pStyle w:val="INFOEM"/>
        <w:numPr>
          <w:ilvl w:val="0"/>
          <w:numId w:val="26"/>
        </w:numPr>
        <w:spacing w:before="0" w:line="240" w:lineRule="auto"/>
      </w:pPr>
      <w:r w:rsidRPr="002503A1">
        <w:t xml:space="preserve">Determinar y comunicar, los criterios de interpretación de disposiciones jurídicas en las materias de su competencia, previa consideración de la persona Titular de la Subsecretaría de Responsabilidades Administrativas; </w:t>
      </w:r>
    </w:p>
    <w:p w:rsidR="00D4265B" w:rsidRDefault="002503A1" w:rsidP="002503A1">
      <w:pPr>
        <w:pStyle w:val="INFOEM"/>
        <w:numPr>
          <w:ilvl w:val="0"/>
          <w:numId w:val="26"/>
        </w:numPr>
        <w:spacing w:before="0" w:line="240" w:lineRule="auto"/>
      </w:pPr>
      <w:r w:rsidRPr="002503A1">
        <w:t xml:space="preserve">Impugnar la determinación de las autoridades substanciadoras o </w:t>
      </w:r>
      <w:proofErr w:type="spellStart"/>
      <w:r w:rsidRPr="002503A1">
        <w:t>resolutoras</w:t>
      </w:r>
      <w:proofErr w:type="spellEnd"/>
      <w:r w:rsidRPr="002503A1">
        <w:t xml:space="preserve"> de abstenerse de iniciar el procedimiento de responsabilidad administrativa o de imponer sanciones administrativas en los términos de las disposiciones jurídicas y administrativas aplicables; </w:t>
      </w:r>
    </w:p>
    <w:p w:rsidR="00D4265B" w:rsidRDefault="002503A1" w:rsidP="002503A1">
      <w:pPr>
        <w:pStyle w:val="INFOEM"/>
        <w:numPr>
          <w:ilvl w:val="0"/>
          <w:numId w:val="26"/>
        </w:numPr>
        <w:spacing w:before="0" w:line="240" w:lineRule="auto"/>
      </w:pPr>
      <w:r w:rsidRPr="002503A1">
        <w:lastRenderedPageBreak/>
        <w:t xml:space="preserve">Interponer, en tiempo y forma, los recursos administrativos que le correspondan, de acuerdo con las disposiciones aplicables en el ámbito de competencia; </w:t>
      </w:r>
    </w:p>
    <w:p w:rsidR="00D4265B" w:rsidRDefault="002503A1" w:rsidP="002503A1">
      <w:pPr>
        <w:pStyle w:val="INFOEM"/>
        <w:numPr>
          <w:ilvl w:val="0"/>
          <w:numId w:val="26"/>
        </w:numPr>
        <w:spacing w:before="0" w:line="240" w:lineRule="auto"/>
      </w:pPr>
      <w:r w:rsidRPr="002503A1">
        <w:t xml:space="preserve">Requerir la colaboración de las autoridades competentes, para las notificaciones personales que deban llevar a cabo respecto de aquellas personas que se encuentren fuera de la jurisdicción, mediante exhorto o carta rogatoria; </w:t>
      </w:r>
    </w:p>
    <w:p w:rsidR="00D4265B" w:rsidRDefault="002503A1" w:rsidP="002503A1">
      <w:pPr>
        <w:pStyle w:val="INFOEM"/>
        <w:numPr>
          <w:ilvl w:val="0"/>
          <w:numId w:val="26"/>
        </w:numPr>
        <w:spacing w:before="0" w:line="240" w:lineRule="auto"/>
      </w:pPr>
      <w:r w:rsidRPr="002503A1">
        <w:t xml:space="preserve">Administrar, supervisar y vigilar la actualización de los sistemas electrónicos relativos a procedimientos de investigación que lleve respecto de faltas administrativas en términos de la Ley de Responsabilidades, de atención de denuncias; dirigir y coordinar el Registro Estatal de Inspectores, conforme a las disposiciones correspondientes; </w:t>
      </w:r>
    </w:p>
    <w:p w:rsidR="00D4265B" w:rsidRDefault="002503A1" w:rsidP="002503A1">
      <w:pPr>
        <w:pStyle w:val="INFOEM"/>
        <w:numPr>
          <w:ilvl w:val="0"/>
          <w:numId w:val="26"/>
        </w:numPr>
        <w:spacing w:before="0" w:line="240" w:lineRule="auto"/>
      </w:pPr>
      <w:r w:rsidRPr="002503A1">
        <w:t xml:space="preserve">Brindar las asesorías a los órganos internos de control, cuando así se requiera, en materia de los procedimientos de investigación de conductas que puedan constituir faltas administrativas, conforme a la Ley de Responsabilidades y demás disposiciones aplicables; </w:t>
      </w:r>
    </w:p>
    <w:p w:rsidR="00D4265B" w:rsidRDefault="002503A1" w:rsidP="002503A1">
      <w:pPr>
        <w:pStyle w:val="INFOEM"/>
        <w:numPr>
          <w:ilvl w:val="0"/>
          <w:numId w:val="26"/>
        </w:numPr>
        <w:spacing w:before="0" w:line="240" w:lineRule="auto"/>
      </w:pPr>
      <w:r w:rsidRPr="002503A1">
        <w:t xml:space="preserve">Proponer a la persona Titular de la Subsecretaría de Responsabilidades Administrativas, los criterios y directrices para operar los sistemas electrónicos para el desahogo de los procedimientos de investigación, de atención de denuncias y del Registro Estatal de Inspectores, así como brindar el servicio de consulta pública correspondiente en términos de la normatividad aplicable; </w:t>
      </w:r>
    </w:p>
    <w:p w:rsidR="00D4265B" w:rsidRDefault="002503A1" w:rsidP="002503A1">
      <w:pPr>
        <w:pStyle w:val="INFOEM"/>
        <w:numPr>
          <w:ilvl w:val="0"/>
          <w:numId w:val="26"/>
        </w:numPr>
        <w:spacing w:before="0" w:line="240" w:lineRule="auto"/>
      </w:pPr>
      <w:r w:rsidRPr="002503A1">
        <w:t xml:space="preserve">Supervisar y verificar que el programa anual de trabajo de los órganos internos de control en dependencias y organismos auxiliares del Poder Ejecutivo en materia de investigación se ejecute conforme a las políticas, normas, lineamientos, procedimientos y demás disposiciones jurídicas aplicables; </w:t>
      </w:r>
    </w:p>
    <w:p w:rsidR="00D4265B" w:rsidRDefault="002503A1" w:rsidP="002503A1">
      <w:pPr>
        <w:pStyle w:val="INFOEM"/>
        <w:numPr>
          <w:ilvl w:val="0"/>
          <w:numId w:val="26"/>
        </w:numPr>
        <w:spacing w:before="0" w:line="240" w:lineRule="auto"/>
      </w:pPr>
      <w:r w:rsidRPr="002503A1">
        <w:t xml:space="preserve">Supervisar el seguimiento de la información para la integración de los indicadores de la Dirección y el plan anual de trabajo de sus unidades administrativas;  </w:t>
      </w:r>
    </w:p>
    <w:p w:rsidR="00D4265B" w:rsidRDefault="002503A1" w:rsidP="002503A1">
      <w:pPr>
        <w:pStyle w:val="INFOEM"/>
        <w:numPr>
          <w:ilvl w:val="0"/>
          <w:numId w:val="26"/>
        </w:numPr>
        <w:spacing w:before="0" w:line="240" w:lineRule="auto"/>
      </w:pPr>
      <w:r w:rsidRPr="002503A1">
        <w:t xml:space="preserve">Revisar, analizar y, en su caso, tramitar las peticiones que presenten los particulares con motivo del incumplimiento de los acuerdos, convenios o contratos que hubieren celebrado con las dependencias u organismos auxiliares del Poder Ejecutivo, y </w:t>
      </w:r>
    </w:p>
    <w:p w:rsidR="002503A1" w:rsidRDefault="002503A1" w:rsidP="002503A1">
      <w:pPr>
        <w:pStyle w:val="INFOEM"/>
        <w:numPr>
          <w:ilvl w:val="0"/>
          <w:numId w:val="26"/>
        </w:numPr>
        <w:spacing w:before="0" w:line="240" w:lineRule="auto"/>
      </w:pPr>
      <w:r w:rsidRPr="002503A1">
        <w:lastRenderedPageBreak/>
        <w:t>Las demás que le confieran otros ordenamientos legales y aquellas que le encomiende la persona titular de la Secretaría o la persona que sea su superior jerárquico.</w:t>
      </w:r>
    </w:p>
    <w:p w:rsidR="00397A19" w:rsidRDefault="00397A19" w:rsidP="00E66693">
      <w:pPr>
        <w:spacing w:after="0" w:line="360" w:lineRule="auto"/>
        <w:jc w:val="both"/>
        <w:rPr>
          <w:rFonts w:ascii="Palatino Linotype" w:hAnsi="Palatino Linotype"/>
          <w:color w:val="000000"/>
          <w:sz w:val="24"/>
          <w:szCs w:val="24"/>
        </w:rPr>
      </w:pPr>
    </w:p>
    <w:p w:rsidR="00D4265B" w:rsidRDefault="00D4265B" w:rsidP="00E66693">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De lo anterior se tiene que, le </w:t>
      </w:r>
      <w:r w:rsidR="001D2117">
        <w:rPr>
          <w:rFonts w:ascii="Palatino Linotype" w:hAnsi="Palatino Linotype"/>
          <w:color w:val="000000"/>
          <w:sz w:val="24"/>
          <w:szCs w:val="24"/>
        </w:rPr>
        <w:t>c</w:t>
      </w:r>
      <w:r>
        <w:rPr>
          <w:rFonts w:ascii="Palatino Linotype" w:hAnsi="Palatino Linotype"/>
          <w:color w:val="000000"/>
          <w:sz w:val="24"/>
          <w:szCs w:val="24"/>
        </w:rPr>
        <w:t xml:space="preserve">orresponde a la Dirección de Investigación </w:t>
      </w:r>
      <w:r w:rsidR="001D2117">
        <w:rPr>
          <w:rFonts w:ascii="Palatino Linotype" w:hAnsi="Palatino Linotype"/>
          <w:color w:val="000000"/>
          <w:sz w:val="24"/>
          <w:szCs w:val="24"/>
        </w:rPr>
        <w:t xml:space="preserve">recibir y analizar las denuncias presentadas por los ciudadanos, sin embargo, de sus facultades no se desprende que deban tener información </w:t>
      </w:r>
      <w:r w:rsidR="003A139E">
        <w:rPr>
          <w:rFonts w:ascii="Palatino Linotype" w:hAnsi="Palatino Linotype"/>
          <w:color w:val="000000"/>
          <w:sz w:val="24"/>
          <w:szCs w:val="24"/>
        </w:rPr>
        <w:t>derivada de las denuncias presentada como e</w:t>
      </w:r>
      <w:r w:rsidR="001D2117">
        <w:rPr>
          <w:rFonts w:ascii="Palatino Linotype" w:hAnsi="Palatino Linotype"/>
          <w:color w:val="000000"/>
          <w:sz w:val="24"/>
          <w:szCs w:val="24"/>
        </w:rPr>
        <w:t>l tipo de denuncia, la dependencia de donde proviene la denuncia así como las medidas implementadas.</w:t>
      </w:r>
    </w:p>
    <w:p w:rsidR="001D2117" w:rsidRDefault="001D2117" w:rsidP="00E66693">
      <w:pPr>
        <w:spacing w:after="0" w:line="360" w:lineRule="auto"/>
        <w:jc w:val="both"/>
        <w:rPr>
          <w:rFonts w:ascii="Palatino Linotype" w:hAnsi="Palatino Linotype"/>
          <w:color w:val="000000"/>
          <w:sz w:val="24"/>
          <w:szCs w:val="24"/>
        </w:rPr>
      </w:pPr>
    </w:p>
    <w:p w:rsidR="00397A19" w:rsidRDefault="00397A19" w:rsidP="00E66693">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Por otro lado, en la página de la Secretaría de la Cont</w:t>
      </w:r>
      <w:r w:rsidR="002503A1">
        <w:rPr>
          <w:rFonts w:ascii="Palatino Linotype" w:hAnsi="Palatino Linotype"/>
          <w:color w:val="000000"/>
          <w:sz w:val="24"/>
          <w:szCs w:val="24"/>
        </w:rPr>
        <w:t>ralorías se advierte que publicó</w:t>
      </w:r>
      <w:r>
        <w:rPr>
          <w:rFonts w:ascii="Palatino Linotype" w:hAnsi="Palatino Linotype"/>
          <w:color w:val="000000"/>
          <w:sz w:val="24"/>
          <w:szCs w:val="24"/>
        </w:rPr>
        <w:t xml:space="preserve"> estadística</w:t>
      </w:r>
      <w:r w:rsidR="002503A1">
        <w:rPr>
          <w:rFonts w:ascii="Palatino Linotype" w:hAnsi="Palatino Linotype"/>
          <w:color w:val="000000"/>
          <w:sz w:val="24"/>
          <w:szCs w:val="24"/>
        </w:rPr>
        <w:t>s</w:t>
      </w:r>
      <w:r>
        <w:rPr>
          <w:rFonts w:ascii="Palatino Linotype" w:hAnsi="Palatino Linotype"/>
          <w:color w:val="000000"/>
          <w:sz w:val="24"/>
          <w:szCs w:val="24"/>
        </w:rPr>
        <w:t xml:space="preserve"> sobre la modalidad de presentación de las denuncias, pero no sobre el tipo de denuncia, dependencia proveniente y medidas implementadas, tal como se ilustra:</w:t>
      </w:r>
    </w:p>
    <w:p w:rsidR="00D4265B" w:rsidRDefault="00D4265B" w:rsidP="00E66693">
      <w:pPr>
        <w:spacing w:after="0" w:line="360" w:lineRule="auto"/>
        <w:jc w:val="both"/>
        <w:rPr>
          <w:rFonts w:ascii="Palatino Linotype" w:hAnsi="Palatino Linotype"/>
          <w:color w:val="000000"/>
          <w:sz w:val="24"/>
          <w:szCs w:val="24"/>
        </w:rPr>
      </w:pPr>
    </w:p>
    <w:p w:rsidR="00397A19" w:rsidRDefault="00397A19" w:rsidP="00E66693">
      <w:pPr>
        <w:spacing w:after="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w:drawing>
          <wp:inline distT="0" distB="0" distL="0" distR="0">
            <wp:extent cx="4876800" cy="2361528"/>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908196.tmp"/>
                    <pic:cNvPicPr/>
                  </pic:nvPicPr>
                  <pic:blipFill>
                    <a:blip r:embed="rId9">
                      <a:extLst>
                        <a:ext uri="{28A0092B-C50C-407E-A947-70E740481C1C}">
                          <a14:useLocalDpi xmlns:a14="http://schemas.microsoft.com/office/drawing/2010/main" val="0"/>
                        </a:ext>
                      </a:extLst>
                    </a:blip>
                    <a:stretch>
                      <a:fillRect/>
                    </a:stretch>
                  </pic:blipFill>
                  <pic:spPr>
                    <a:xfrm>
                      <a:off x="0" y="0"/>
                      <a:ext cx="4895380" cy="2370525"/>
                    </a:xfrm>
                    <a:prstGeom prst="rect">
                      <a:avLst/>
                    </a:prstGeom>
                  </pic:spPr>
                </pic:pic>
              </a:graphicData>
            </a:graphic>
          </wp:inline>
        </w:drawing>
      </w:r>
    </w:p>
    <w:p w:rsidR="00397A19" w:rsidRDefault="00397A19" w:rsidP="00E66693">
      <w:pPr>
        <w:spacing w:after="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w:lastRenderedPageBreak/>
        <w:drawing>
          <wp:inline distT="0" distB="0" distL="0" distR="0">
            <wp:extent cx="5572125" cy="2907676"/>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904E7C.tmp"/>
                    <pic:cNvPicPr/>
                  </pic:nvPicPr>
                  <pic:blipFill>
                    <a:blip r:embed="rId10">
                      <a:extLst>
                        <a:ext uri="{28A0092B-C50C-407E-A947-70E740481C1C}">
                          <a14:useLocalDpi xmlns:a14="http://schemas.microsoft.com/office/drawing/2010/main" val="0"/>
                        </a:ext>
                      </a:extLst>
                    </a:blip>
                    <a:stretch>
                      <a:fillRect/>
                    </a:stretch>
                  </pic:blipFill>
                  <pic:spPr>
                    <a:xfrm>
                      <a:off x="0" y="0"/>
                      <a:ext cx="5581609" cy="2912625"/>
                    </a:xfrm>
                    <a:prstGeom prst="rect">
                      <a:avLst/>
                    </a:prstGeom>
                  </pic:spPr>
                </pic:pic>
              </a:graphicData>
            </a:graphic>
          </wp:inline>
        </w:drawing>
      </w:r>
    </w:p>
    <w:p w:rsidR="0071638C" w:rsidRDefault="0071638C" w:rsidP="00E66693">
      <w:pPr>
        <w:spacing w:after="0" w:line="360" w:lineRule="auto"/>
        <w:jc w:val="both"/>
        <w:rPr>
          <w:rFonts w:ascii="Palatino Linotype" w:hAnsi="Palatino Linotype"/>
          <w:color w:val="000000"/>
          <w:sz w:val="24"/>
          <w:szCs w:val="24"/>
        </w:rPr>
      </w:pPr>
    </w:p>
    <w:p w:rsidR="00397A19" w:rsidRDefault="0071638C" w:rsidP="00E66693">
      <w:pPr>
        <w:spacing w:after="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w:drawing>
          <wp:inline distT="0" distB="0" distL="0" distR="0">
            <wp:extent cx="5760720" cy="14020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90396A.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1402080"/>
                    </a:xfrm>
                    <a:prstGeom prst="rect">
                      <a:avLst/>
                    </a:prstGeom>
                  </pic:spPr>
                </pic:pic>
              </a:graphicData>
            </a:graphic>
          </wp:inline>
        </w:drawing>
      </w:r>
    </w:p>
    <w:p w:rsidR="00397A19" w:rsidRDefault="00397A19" w:rsidP="00E66693">
      <w:pPr>
        <w:spacing w:after="0" w:line="360" w:lineRule="auto"/>
        <w:jc w:val="both"/>
        <w:rPr>
          <w:rFonts w:ascii="Palatino Linotype" w:hAnsi="Palatino Linotype"/>
          <w:color w:val="000000"/>
          <w:sz w:val="24"/>
          <w:szCs w:val="24"/>
        </w:rPr>
      </w:pPr>
    </w:p>
    <w:p w:rsidR="001D2117" w:rsidRPr="001D2117" w:rsidRDefault="001D2117" w:rsidP="001D2117">
      <w:pPr>
        <w:spacing w:line="360" w:lineRule="auto"/>
        <w:jc w:val="both"/>
        <w:rPr>
          <w:rFonts w:ascii="Palatino Linotype" w:hAnsi="Palatino Linotype"/>
          <w:color w:val="000000"/>
          <w:sz w:val="24"/>
        </w:rPr>
      </w:pPr>
      <w:r w:rsidRPr="001D2117">
        <w:rPr>
          <w:rFonts w:ascii="Palatino Linotype" w:hAnsi="Palatino Linotype"/>
          <w:color w:val="000000"/>
          <w:sz w:val="24"/>
        </w:rPr>
        <w:t xml:space="preserve">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w:t>
      </w:r>
      <w:r w:rsidRPr="001D2117">
        <w:rPr>
          <w:rFonts w:ascii="Palatino Linotype" w:hAnsi="Palatino Linotype"/>
          <w:color w:val="000000"/>
          <w:sz w:val="24"/>
        </w:rPr>
        <w:lastRenderedPageBreak/>
        <w:t>apartado A, numeral I de la Constitución Política de los Estados Unidos Mexicanos que a la letra establece:</w:t>
      </w:r>
    </w:p>
    <w:p w:rsidR="001D2117" w:rsidRPr="001D2117" w:rsidRDefault="001D2117" w:rsidP="001D2117">
      <w:pPr>
        <w:spacing w:line="360" w:lineRule="auto"/>
        <w:jc w:val="both"/>
        <w:rPr>
          <w:rFonts w:ascii="Palatino Linotype" w:hAnsi="Palatino Linotype"/>
          <w:color w:val="000000"/>
        </w:rPr>
      </w:pPr>
    </w:p>
    <w:p w:rsidR="001D2117" w:rsidRPr="001D2117" w:rsidRDefault="001D2117" w:rsidP="001D2117">
      <w:pPr>
        <w:ind w:left="567" w:right="567"/>
        <w:jc w:val="both"/>
        <w:rPr>
          <w:rFonts w:ascii="Palatino Linotype" w:hAnsi="Palatino Linotype"/>
          <w:b/>
          <w:i/>
        </w:rPr>
      </w:pPr>
      <w:r w:rsidRPr="001D2117">
        <w:rPr>
          <w:rFonts w:ascii="Palatino Linotype" w:hAnsi="Palatino Linotype"/>
          <w:b/>
          <w:i/>
        </w:rPr>
        <w:t>Artículo 6</w:t>
      </w:r>
    </w:p>
    <w:p w:rsidR="001D2117" w:rsidRPr="001D2117" w:rsidRDefault="001D2117" w:rsidP="001D2117">
      <w:pPr>
        <w:ind w:left="567" w:right="567"/>
        <w:jc w:val="both"/>
        <w:rPr>
          <w:rFonts w:ascii="Palatino Linotype" w:hAnsi="Palatino Linotype"/>
          <w:i/>
        </w:rPr>
      </w:pPr>
      <w:r w:rsidRPr="001D2117">
        <w:rPr>
          <w:rFonts w:ascii="Palatino Linotype" w:hAnsi="Palatino Linotype"/>
          <w:i/>
        </w:rPr>
        <w:t>…</w:t>
      </w:r>
    </w:p>
    <w:p w:rsidR="001D2117" w:rsidRPr="001D2117" w:rsidRDefault="001D2117" w:rsidP="001D2117">
      <w:pPr>
        <w:ind w:left="567" w:right="567"/>
        <w:jc w:val="both"/>
        <w:rPr>
          <w:rFonts w:ascii="Palatino Linotype" w:hAnsi="Palatino Linotype"/>
          <w:i/>
        </w:rPr>
      </w:pPr>
      <w:r w:rsidRPr="001D2117">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1D2117" w:rsidRPr="001D2117" w:rsidRDefault="001D2117" w:rsidP="001D2117">
      <w:pPr>
        <w:ind w:left="567" w:right="567"/>
        <w:jc w:val="both"/>
        <w:rPr>
          <w:rFonts w:ascii="Palatino Linotype" w:hAnsi="Palatino Linotype"/>
          <w:i/>
        </w:rPr>
      </w:pPr>
    </w:p>
    <w:p w:rsidR="001D2117" w:rsidRPr="001D2117" w:rsidRDefault="001D2117" w:rsidP="001D2117">
      <w:pPr>
        <w:numPr>
          <w:ilvl w:val="0"/>
          <w:numId w:val="21"/>
        </w:numPr>
        <w:spacing w:after="0" w:line="240" w:lineRule="auto"/>
        <w:ind w:left="993" w:right="567"/>
        <w:jc w:val="both"/>
        <w:rPr>
          <w:rFonts w:ascii="Palatino Linotype" w:hAnsi="Palatino Linotype"/>
          <w:i/>
        </w:rPr>
      </w:pPr>
      <w:r w:rsidRPr="001D2117">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D2117" w:rsidRPr="001D2117" w:rsidRDefault="001D2117" w:rsidP="001D2117">
      <w:pPr>
        <w:spacing w:line="360" w:lineRule="auto"/>
        <w:jc w:val="both"/>
        <w:rPr>
          <w:rFonts w:ascii="Palatino Linotype" w:hAnsi="Palatino Linotype"/>
        </w:rPr>
      </w:pPr>
    </w:p>
    <w:p w:rsidR="001D2117" w:rsidRPr="001D2117" w:rsidRDefault="001D2117" w:rsidP="001D2117">
      <w:pPr>
        <w:spacing w:line="360" w:lineRule="auto"/>
        <w:jc w:val="both"/>
        <w:rPr>
          <w:rFonts w:ascii="Palatino Linotype" w:hAnsi="Palatino Linotype" w:cs="Arial"/>
          <w:sz w:val="24"/>
        </w:rPr>
      </w:pPr>
      <w:r w:rsidRPr="001D2117">
        <w:rPr>
          <w:rFonts w:ascii="Palatino Linotype" w:hAnsi="Palatino Linotype" w:cs="Arial"/>
          <w:sz w:val="24"/>
        </w:rPr>
        <w:t xml:space="preserve">Ahora bien, en atención a lo dispuesto por los artículos 3, fracción XI y 12 </w:t>
      </w:r>
      <w:r w:rsidRPr="001D2117">
        <w:rPr>
          <w:rFonts w:ascii="Palatino Linotype" w:hAnsi="Palatino Linotype" w:cs="Arial"/>
          <w:bCs/>
          <w:sz w:val="24"/>
        </w:rPr>
        <w:t>de la Ley de Transparencia y Acceso a la Información Pública del Estado de México y Municipios</w:t>
      </w:r>
      <w:r w:rsidRPr="001D2117">
        <w:rPr>
          <w:rFonts w:ascii="Palatino Linotype" w:hAnsi="Palatino Linotype" w:cs="Arial"/>
          <w:sz w:val="24"/>
        </w:rPr>
        <w:t>, los cuales son del tenor literal siguiente:</w:t>
      </w:r>
    </w:p>
    <w:p w:rsidR="001D2117" w:rsidRPr="001D2117" w:rsidRDefault="001D2117" w:rsidP="001D2117">
      <w:pPr>
        <w:ind w:left="567" w:right="567"/>
        <w:jc w:val="both"/>
        <w:rPr>
          <w:rFonts w:ascii="Palatino Linotype" w:hAnsi="Palatino Linotype"/>
        </w:rPr>
      </w:pPr>
    </w:p>
    <w:p w:rsidR="001D2117" w:rsidRPr="001D2117" w:rsidRDefault="001D2117" w:rsidP="001D2117">
      <w:pPr>
        <w:ind w:left="851" w:right="851"/>
        <w:jc w:val="both"/>
        <w:rPr>
          <w:rFonts w:ascii="Palatino Linotype" w:hAnsi="Palatino Linotype"/>
          <w:i/>
        </w:rPr>
      </w:pPr>
      <w:r w:rsidRPr="001D2117">
        <w:rPr>
          <w:rFonts w:ascii="Palatino Linotype" w:hAnsi="Palatino Linotype"/>
          <w:b/>
          <w:bCs/>
          <w:i/>
        </w:rPr>
        <w:t xml:space="preserve">Artículo 3.- </w:t>
      </w:r>
      <w:r w:rsidRPr="001D2117">
        <w:rPr>
          <w:rFonts w:ascii="Palatino Linotype" w:hAnsi="Palatino Linotype"/>
          <w:i/>
        </w:rPr>
        <w:t>Para los efectos de la presente Ley se entenderá por:</w:t>
      </w:r>
    </w:p>
    <w:p w:rsidR="001D2117" w:rsidRPr="001D2117" w:rsidRDefault="001D2117" w:rsidP="001D2117">
      <w:pPr>
        <w:ind w:left="851" w:right="851"/>
        <w:jc w:val="both"/>
        <w:rPr>
          <w:rFonts w:ascii="Palatino Linotype" w:hAnsi="Palatino Linotype"/>
          <w:i/>
        </w:rPr>
      </w:pPr>
      <w:r w:rsidRPr="001D2117">
        <w:rPr>
          <w:rFonts w:ascii="Palatino Linotype" w:hAnsi="Palatino Linotype"/>
          <w:i/>
        </w:rPr>
        <w:t>…</w:t>
      </w:r>
    </w:p>
    <w:p w:rsidR="001D2117" w:rsidRPr="001D2117" w:rsidRDefault="001D2117" w:rsidP="001D2117">
      <w:pPr>
        <w:ind w:left="851" w:right="851"/>
        <w:jc w:val="both"/>
        <w:rPr>
          <w:rFonts w:ascii="Palatino Linotype" w:hAnsi="Palatino Linotype"/>
          <w:i/>
        </w:rPr>
      </w:pPr>
      <w:r w:rsidRPr="001D2117">
        <w:rPr>
          <w:rFonts w:ascii="Palatino Linotype" w:hAnsi="Palatino Linotype"/>
          <w:b/>
          <w:i/>
        </w:rPr>
        <w:lastRenderedPageBreak/>
        <w:t>XI.</w:t>
      </w:r>
      <w:r w:rsidRPr="001D2117">
        <w:rPr>
          <w:rFonts w:ascii="Palatino Linotype" w:hAnsi="Palatino Linotype"/>
          <w:i/>
        </w:rPr>
        <w:t xml:space="preserve"> </w:t>
      </w:r>
      <w:r w:rsidRPr="001D2117">
        <w:rPr>
          <w:rFonts w:ascii="Palatino Linotype" w:hAnsi="Palatino Linotype"/>
          <w:b/>
          <w:i/>
        </w:rPr>
        <w:t>Documento:</w:t>
      </w:r>
      <w:r w:rsidRPr="001D2117">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1D2117">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1D2117">
        <w:rPr>
          <w:rFonts w:ascii="Palatino Linotype" w:hAnsi="Palatino Linotype"/>
          <w:i/>
        </w:rPr>
        <w:t xml:space="preserve"> Los documentos podrán estar en cualquier medio, sea escrito, impreso, sonoro, visual, electrónico, informático u holográfico;</w:t>
      </w:r>
    </w:p>
    <w:p w:rsidR="001D2117" w:rsidRPr="001D2117" w:rsidRDefault="001D2117" w:rsidP="001D2117">
      <w:pPr>
        <w:ind w:left="851" w:right="851"/>
        <w:jc w:val="both"/>
        <w:rPr>
          <w:rFonts w:ascii="Palatino Linotype" w:hAnsi="Palatino Linotype"/>
          <w:i/>
        </w:rPr>
      </w:pPr>
    </w:p>
    <w:p w:rsidR="001D2117" w:rsidRPr="001D2117" w:rsidRDefault="001D2117" w:rsidP="001D2117">
      <w:pPr>
        <w:ind w:left="851" w:right="851"/>
        <w:jc w:val="both"/>
        <w:rPr>
          <w:rFonts w:ascii="Palatino Linotype" w:hAnsi="Palatino Linotype"/>
          <w:bCs/>
          <w:i/>
        </w:rPr>
      </w:pPr>
      <w:r w:rsidRPr="001D2117">
        <w:rPr>
          <w:rFonts w:ascii="Palatino Linotype" w:hAnsi="Palatino Linotype"/>
          <w:b/>
          <w:bCs/>
          <w:i/>
        </w:rPr>
        <w:t>Artículo 4.</w:t>
      </w:r>
      <w:r w:rsidRPr="001D2117">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D2117" w:rsidRPr="001D2117" w:rsidRDefault="001D2117" w:rsidP="001D2117">
      <w:pPr>
        <w:ind w:left="851" w:right="851"/>
        <w:jc w:val="both"/>
        <w:rPr>
          <w:rFonts w:ascii="Palatino Linotype" w:hAnsi="Palatino Linotype"/>
          <w:bCs/>
          <w:i/>
        </w:rPr>
      </w:pPr>
    </w:p>
    <w:p w:rsidR="001D2117" w:rsidRPr="001D2117" w:rsidRDefault="001D2117" w:rsidP="001D2117">
      <w:pPr>
        <w:ind w:left="851" w:right="851"/>
        <w:jc w:val="both"/>
        <w:rPr>
          <w:rFonts w:ascii="Palatino Linotype" w:hAnsi="Palatino Linotype"/>
          <w:bCs/>
          <w:i/>
        </w:rPr>
      </w:pPr>
      <w:r w:rsidRPr="001D2117">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1D2117">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D2117" w:rsidRPr="001D2117" w:rsidRDefault="001D2117" w:rsidP="001D2117">
      <w:pPr>
        <w:ind w:left="851" w:right="851"/>
        <w:jc w:val="both"/>
        <w:rPr>
          <w:rFonts w:ascii="Palatino Linotype" w:hAnsi="Palatino Linotype"/>
          <w:bCs/>
          <w:i/>
        </w:rPr>
      </w:pPr>
    </w:p>
    <w:p w:rsidR="001D2117" w:rsidRPr="001D2117" w:rsidRDefault="001D2117" w:rsidP="001D2117">
      <w:pPr>
        <w:ind w:left="851" w:right="851"/>
        <w:jc w:val="both"/>
        <w:rPr>
          <w:rFonts w:ascii="Palatino Linotype" w:hAnsi="Palatino Linotype"/>
          <w:bCs/>
          <w:i/>
        </w:rPr>
      </w:pPr>
      <w:r w:rsidRPr="001D2117">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1D2117" w:rsidRPr="001D2117" w:rsidRDefault="001D2117" w:rsidP="001D2117">
      <w:pPr>
        <w:ind w:left="851" w:right="851"/>
        <w:jc w:val="both"/>
        <w:rPr>
          <w:rFonts w:ascii="Palatino Linotype" w:hAnsi="Palatino Linotype"/>
          <w:i/>
        </w:rPr>
      </w:pPr>
    </w:p>
    <w:p w:rsidR="001D2117" w:rsidRPr="001D2117" w:rsidRDefault="001D2117" w:rsidP="001D2117">
      <w:pPr>
        <w:ind w:left="851" w:right="851"/>
        <w:jc w:val="both"/>
        <w:rPr>
          <w:rFonts w:ascii="Palatino Linotype" w:hAnsi="Palatino Linotype"/>
          <w:i/>
        </w:rPr>
      </w:pPr>
      <w:r w:rsidRPr="001D2117">
        <w:rPr>
          <w:rFonts w:ascii="Palatino Linotype" w:hAnsi="Palatino Linotype"/>
          <w:b/>
          <w:i/>
        </w:rPr>
        <w:t>Artículo 12.</w:t>
      </w:r>
      <w:r w:rsidRPr="001D2117">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1D2117" w:rsidRPr="001D2117" w:rsidRDefault="001D2117" w:rsidP="001D2117">
      <w:pPr>
        <w:ind w:left="851" w:right="851"/>
        <w:jc w:val="both"/>
        <w:rPr>
          <w:rFonts w:ascii="Palatino Linotype" w:hAnsi="Palatino Linotype"/>
          <w:i/>
        </w:rPr>
      </w:pPr>
    </w:p>
    <w:p w:rsidR="001D2117" w:rsidRPr="001D2117" w:rsidRDefault="001D2117" w:rsidP="001D2117">
      <w:pPr>
        <w:ind w:left="851" w:right="851"/>
        <w:jc w:val="both"/>
        <w:rPr>
          <w:rFonts w:ascii="Palatino Linotype" w:hAnsi="Palatino Linotype"/>
          <w:i/>
          <w:u w:val="single"/>
        </w:rPr>
      </w:pPr>
      <w:r w:rsidRPr="001D2117">
        <w:rPr>
          <w:rFonts w:ascii="Palatino Linotype" w:hAnsi="Palatino Linotype"/>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D2117">
        <w:rPr>
          <w:rFonts w:ascii="Palatino Linotype" w:hAnsi="Palatino Linotype"/>
          <w:i/>
        </w:rPr>
        <w:t>.</w:t>
      </w:r>
    </w:p>
    <w:p w:rsidR="001D2117" w:rsidRPr="001D2117" w:rsidRDefault="001D2117" w:rsidP="001D2117">
      <w:pPr>
        <w:spacing w:line="360" w:lineRule="auto"/>
        <w:jc w:val="both"/>
        <w:rPr>
          <w:rFonts w:ascii="Palatino Linotype" w:hAnsi="Palatino Linotype"/>
        </w:rPr>
      </w:pPr>
    </w:p>
    <w:p w:rsidR="001D2117" w:rsidRPr="001D2117" w:rsidRDefault="001D2117" w:rsidP="001D2117">
      <w:pPr>
        <w:spacing w:line="360" w:lineRule="auto"/>
        <w:jc w:val="both"/>
        <w:rPr>
          <w:rFonts w:ascii="Palatino Linotype" w:hAnsi="Palatino Linotype"/>
          <w:sz w:val="24"/>
        </w:rPr>
      </w:pPr>
      <w:r w:rsidRPr="001D2117">
        <w:rPr>
          <w:rFonts w:ascii="Palatino Linotype" w:hAnsi="Palatino Linotype" w:cs="Arial"/>
          <w:sz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1D2117" w:rsidRPr="001D2117" w:rsidRDefault="001D2117" w:rsidP="001D2117">
      <w:pPr>
        <w:spacing w:line="360" w:lineRule="auto"/>
        <w:jc w:val="both"/>
        <w:rPr>
          <w:rFonts w:ascii="Palatino Linotype" w:hAnsi="Palatino Linotype"/>
          <w:sz w:val="24"/>
        </w:rPr>
      </w:pPr>
    </w:p>
    <w:p w:rsidR="001D2117" w:rsidRPr="001D2117" w:rsidRDefault="001D2117" w:rsidP="001D2117">
      <w:pPr>
        <w:spacing w:line="360" w:lineRule="auto"/>
        <w:jc w:val="both"/>
        <w:rPr>
          <w:rFonts w:ascii="Palatino Linotype" w:hAnsi="Palatino Linotype"/>
          <w:sz w:val="24"/>
        </w:rPr>
      </w:pPr>
      <w:r w:rsidRPr="001D2117">
        <w:rPr>
          <w:rFonts w:ascii="Palatino Linotype" w:hAnsi="Palatino Linotype"/>
          <w:sz w:val="24"/>
        </w:rPr>
        <w:t xml:space="preserve">Señalado lo anterior, resulta importante hacer mención que los motivos de inconformidad del Recurrente van encaminados a la información incompleta, por ello se infiere que la </w:t>
      </w:r>
      <w:proofErr w:type="spellStart"/>
      <w:r w:rsidRPr="001D2117">
        <w:rPr>
          <w:rFonts w:ascii="Palatino Linotype" w:hAnsi="Palatino Linotype"/>
          <w:i/>
          <w:sz w:val="24"/>
        </w:rPr>
        <w:t>litis</w:t>
      </w:r>
      <w:proofErr w:type="spellEnd"/>
      <w:r w:rsidRPr="001D2117">
        <w:rPr>
          <w:rFonts w:ascii="Palatino Linotype" w:hAnsi="Palatino Linotype"/>
          <w:i/>
          <w:sz w:val="24"/>
        </w:rPr>
        <w:t xml:space="preserve"> </w:t>
      </w:r>
      <w:r w:rsidRPr="001D2117">
        <w:rPr>
          <w:rFonts w:ascii="Palatino Linotype" w:hAnsi="Palatino Linotype"/>
          <w:sz w:val="24"/>
        </w:rPr>
        <w:t xml:space="preserve">radica en establecer si el Sujeto Obligado entregó la información requerida por el particular que en derecho corresponde. </w:t>
      </w:r>
    </w:p>
    <w:p w:rsidR="001D2117" w:rsidRPr="001D2117" w:rsidRDefault="001D2117" w:rsidP="001D2117">
      <w:pPr>
        <w:spacing w:line="360" w:lineRule="auto"/>
        <w:jc w:val="both"/>
        <w:rPr>
          <w:rFonts w:ascii="Palatino Linotype" w:hAnsi="Palatino Linotype"/>
          <w:sz w:val="24"/>
        </w:rPr>
      </w:pPr>
    </w:p>
    <w:p w:rsidR="001D2117" w:rsidRPr="001D2117" w:rsidRDefault="001D2117" w:rsidP="001D2117">
      <w:pPr>
        <w:tabs>
          <w:tab w:val="left" w:pos="709"/>
        </w:tabs>
        <w:spacing w:line="360" w:lineRule="auto"/>
        <w:jc w:val="both"/>
        <w:rPr>
          <w:rFonts w:ascii="Palatino Linotype" w:hAnsi="Palatino Linotype"/>
          <w:sz w:val="24"/>
        </w:rPr>
      </w:pPr>
      <w:r w:rsidRPr="001D2117">
        <w:rPr>
          <w:rFonts w:ascii="Palatino Linotype" w:hAnsi="Palatino Linotype" w:cs="Arial"/>
          <w:sz w:val="24"/>
        </w:rPr>
        <w:t xml:space="preserve">En tal tesitura, este Órgano Garante estima que las razones o motivos de inconformidad hechos valer por </w:t>
      </w:r>
      <w:r w:rsidRPr="001D2117">
        <w:rPr>
          <w:rFonts w:ascii="Palatino Linotype" w:hAnsi="Palatino Linotype"/>
          <w:sz w:val="24"/>
        </w:rPr>
        <w:t xml:space="preserve">la parte </w:t>
      </w:r>
      <w:r w:rsidRPr="001D2117">
        <w:rPr>
          <w:rFonts w:ascii="Palatino Linotype" w:hAnsi="Palatino Linotype" w:cs="Arial"/>
          <w:sz w:val="24"/>
        </w:rPr>
        <w:t>Recurrente son infundados, en virtud de que,</w:t>
      </w:r>
      <w:r w:rsidRPr="001D2117">
        <w:rPr>
          <w:rFonts w:ascii="Palatino Linotype" w:hAnsi="Palatino Linotype"/>
          <w:sz w:val="24"/>
        </w:rPr>
        <w:t xml:space="preserve"> la respuesta se emitió por el servidor público habilitado</w:t>
      </w:r>
      <w:r w:rsidRPr="001D2117">
        <w:rPr>
          <w:rFonts w:ascii="Palatino Linotype" w:hAnsi="Palatino Linotype" w:cs="Arial"/>
          <w:sz w:val="24"/>
        </w:rPr>
        <w:t>, tal como ya quedo precisado en párrafos anteriores, por lo que</w:t>
      </w:r>
      <w:r w:rsidRPr="001D2117">
        <w:rPr>
          <w:rFonts w:ascii="Palatino Linotype" w:hAnsi="Palatino Linotype"/>
          <w:sz w:val="24"/>
        </w:rPr>
        <w:t>, se tiene que la autoridad que emitió la respuesta y el documento remitido satisface la pretensión del particular.</w:t>
      </w:r>
    </w:p>
    <w:p w:rsidR="001D2117" w:rsidRPr="001D2117" w:rsidRDefault="001D2117" w:rsidP="001D2117">
      <w:pPr>
        <w:spacing w:line="360" w:lineRule="auto"/>
        <w:jc w:val="both"/>
        <w:rPr>
          <w:rFonts w:ascii="Palatino Linotype" w:eastAsia="Calibri" w:hAnsi="Palatino Linotype" w:cs="Arial"/>
          <w:color w:val="000000"/>
          <w:sz w:val="24"/>
          <w:lang w:val="es-ES_tradnl" w:eastAsia="es-MX"/>
        </w:rPr>
      </w:pPr>
    </w:p>
    <w:p w:rsidR="001D2117" w:rsidRPr="001D2117" w:rsidRDefault="001D2117" w:rsidP="001D2117">
      <w:pPr>
        <w:spacing w:line="360" w:lineRule="auto"/>
        <w:jc w:val="both"/>
        <w:rPr>
          <w:rFonts w:ascii="Palatino Linotype" w:eastAsia="Calibri" w:hAnsi="Palatino Linotype" w:cs="Arial"/>
          <w:color w:val="000000"/>
          <w:sz w:val="24"/>
          <w:lang w:val="es-ES_tradnl" w:eastAsia="es-MX"/>
        </w:rPr>
      </w:pPr>
      <w:r w:rsidRPr="001D2117">
        <w:rPr>
          <w:rFonts w:ascii="Palatino Linotype" w:eastAsia="Calibri" w:hAnsi="Palatino Linotype" w:cs="Arial"/>
          <w:color w:val="000000"/>
          <w:sz w:val="24"/>
          <w:lang w:val="es-ES_tradnl" w:eastAsia="es-MX"/>
        </w:rPr>
        <w:t>En síntesis, el derecho de acceso a la información pública se satisface en aquellos casos en que se entregue el soporte documental en que conste la información pública, toda vez que, los Sujetos Obligados</w:t>
      </w:r>
      <w:r w:rsidRPr="001D2117">
        <w:rPr>
          <w:rFonts w:ascii="Palatino Linotype" w:eastAsia="Calibri" w:hAnsi="Palatino Linotype" w:cs="Arial"/>
          <w:b/>
          <w:color w:val="000000"/>
          <w:sz w:val="24"/>
          <w:lang w:val="es-ES_tradnl" w:eastAsia="es-MX"/>
        </w:rPr>
        <w:t xml:space="preserve"> </w:t>
      </w:r>
      <w:r w:rsidRPr="001D2117">
        <w:rPr>
          <w:rFonts w:ascii="Palatino Linotype" w:eastAsia="Calibri" w:hAnsi="Palatino Linotype" w:cs="Arial"/>
          <w:color w:val="000000"/>
          <w:sz w:val="24"/>
          <w:lang w:val="es-ES_tradnl" w:eastAsia="es-MX"/>
        </w:rPr>
        <w:t xml:space="preserve">no tienen el deber de generar, poseer o administrar la información pública con el grado de detalle solicitado; esto es, que no tienen el deber de generar </w:t>
      </w:r>
      <w:r w:rsidRPr="001D2117">
        <w:rPr>
          <w:rFonts w:ascii="Palatino Linotype" w:eastAsia="Calibri" w:hAnsi="Palatino Linotype" w:cs="Arial"/>
          <w:b/>
          <w:color w:val="000000"/>
          <w:sz w:val="24"/>
          <w:lang w:val="es-ES_tradnl" w:eastAsia="es-MX"/>
        </w:rPr>
        <w:t xml:space="preserve">un documento </w:t>
      </w:r>
      <w:r w:rsidRPr="001D2117">
        <w:rPr>
          <w:rFonts w:ascii="Palatino Linotype" w:eastAsia="Calibri" w:hAnsi="Palatino Linotype" w:cs="Arial"/>
          <w:b/>
          <w:i/>
          <w:color w:val="000000"/>
          <w:sz w:val="24"/>
          <w:lang w:val="es-ES_tradnl" w:eastAsia="es-MX"/>
        </w:rPr>
        <w:t>ad hoc</w:t>
      </w:r>
      <w:r w:rsidRPr="001D2117">
        <w:rPr>
          <w:rFonts w:ascii="Palatino Linotype" w:eastAsia="Calibri" w:hAnsi="Palatino Linotype" w:cs="Arial"/>
          <w:color w:val="000000"/>
          <w:sz w:val="24"/>
          <w:lang w:val="es-ES_tradnl" w:eastAsia="es-MX"/>
        </w:rPr>
        <w:t xml:space="preserve">, para satisfacer el derecho de </w:t>
      </w:r>
      <w:r w:rsidR="003A139E">
        <w:rPr>
          <w:rFonts w:ascii="Palatino Linotype" w:eastAsia="Calibri" w:hAnsi="Palatino Linotype" w:cs="Arial"/>
          <w:color w:val="000000"/>
          <w:sz w:val="24"/>
          <w:lang w:val="es-ES_tradnl" w:eastAsia="es-MX"/>
        </w:rPr>
        <w:t>acceso a la información pública.</w:t>
      </w:r>
    </w:p>
    <w:p w:rsidR="001D2117" w:rsidRPr="001D2117" w:rsidRDefault="001D2117" w:rsidP="001D2117">
      <w:pPr>
        <w:spacing w:line="360" w:lineRule="auto"/>
        <w:jc w:val="both"/>
        <w:rPr>
          <w:rFonts w:ascii="Palatino Linotype" w:eastAsia="Calibri" w:hAnsi="Palatino Linotype" w:cs="Arial"/>
          <w:color w:val="000000"/>
          <w:sz w:val="24"/>
          <w:lang w:val="es-ES_tradnl" w:eastAsia="es-MX"/>
        </w:rPr>
      </w:pPr>
    </w:p>
    <w:p w:rsidR="001D2117" w:rsidRPr="003A139E" w:rsidRDefault="001D2117" w:rsidP="001D2117">
      <w:pPr>
        <w:spacing w:line="360" w:lineRule="auto"/>
        <w:jc w:val="both"/>
        <w:rPr>
          <w:rFonts w:ascii="Palatino Linotype" w:eastAsia="Calibri" w:hAnsi="Palatino Linotype" w:cs="Calibri"/>
          <w:b/>
          <w:bCs/>
          <w:color w:val="000000"/>
          <w:sz w:val="24"/>
          <w:lang w:val="es-ES_tradnl" w:eastAsia="es-MX"/>
        </w:rPr>
      </w:pPr>
      <w:r w:rsidRPr="001D2117">
        <w:rPr>
          <w:rFonts w:ascii="Palatino Linotype" w:eastAsia="Calibri" w:hAnsi="Palatino Linotype" w:cs="Arial"/>
          <w:color w:val="000000"/>
          <w:sz w:val="24"/>
          <w:lang w:val="es-ES_tradnl" w:eastAsia="es-MX"/>
        </w:rPr>
        <w:t xml:space="preserve">Como apoyo a lo anterior, es aplicable el Criterio 03-17, emitido por </w:t>
      </w:r>
      <w:r w:rsidRPr="001D2117">
        <w:rPr>
          <w:rFonts w:ascii="Palatino Linotype" w:eastAsia="Arial Unicode MS" w:hAnsi="Palatino Linotype" w:cs="Arial"/>
          <w:color w:val="000000"/>
          <w:sz w:val="24"/>
          <w:lang w:val="es-ES_tradnl" w:eastAsia="es-MX"/>
        </w:rPr>
        <w:t>el Instituto Nacional de Transparencia, Acceso a la Información y Protección de Datos Personales,</w:t>
      </w:r>
      <w:r w:rsidRPr="001D2117">
        <w:rPr>
          <w:rFonts w:ascii="Palatino Linotype" w:eastAsia="Calibri" w:hAnsi="Palatino Linotype" w:cs="Calibri"/>
          <w:bCs/>
          <w:color w:val="000000"/>
          <w:sz w:val="24"/>
          <w:lang w:val="es-ES_tradnl" w:eastAsia="es-MX"/>
        </w:rPr>
        <w:t xml:space="preserve"> que dice:</w:t>
      </w:r>
      <w:r w:rsidRPr="001D2117">
        <w:rPr>
          <w:rFonts w:ascii="Palatino Linotype" w:eastAsia="Calibri" w:hAnsi="Palatino Linotype" w:cs="Calibri"/>
          <w:b/>
          <w:bCs/>
          <w:color w:val="000000"/>
          <w:sz w:val="24"/>
          <w:lang w:val="es-ES_tradnl" w:eastAsia="es-MX"/>
        </w:rPr>
        <w:t xml:space="preserve"> </w:t>
      </w:r>
    </w:p>
    <w:p w:rsidR="001D2117" w:rsidRPr="001D2117" w:rsidRDefault="001D2117" w:rsidP="001D2117">
      <w:pPr>
        <w:spacing w:line="360" w:lineRule="auto"/>
        <w:ind w:left="851" w:right="850"/>
        <w:jc w:val="both"/>
        <w:rPr>
          <w:rFonts w:ascii="Palatino Linotype" w:eastAsia="Calibri" w:hAnsi="Palatino Linotype" w:cs="Arial"/>
          <w:color w:val="000000"/>
          <w:sz w:val="2"/>
          <w:lang w:val="es-ES_tradnl" w:eastAsia="es-MX"/>
        </w:rPr>
      </w:pPr>
    </w:p>
    <w:p w:rsidR="001D2117" w:rsidRPr="001D2117" w:rsidRDefault="001D2117" w:rsidP="001D2117">
      <w:pPr>
        <w:ind w:left="567" w:right="567"/>
        <w:jc w:val="both"/>
        <w:rPr>
          <w:rFonts w:ascii="Palatino Linotype" w:eastAsia="Calibri" w:hAnsi="Palatino Linotype" w:cs="Arial"/>
          <w:i/>
          <w:color w:val="000000"/>
          <w:lang w:val="es-ES_tradnl" w:eastAsia="es-MX"/>
        </w:rPr>
      </w:pPr>
      <w:r w:rsidRPr="001D2117">
        <w:rPr>
          <w:rFonts w:ascii="Palatino Linotype" w:eastAsia="Calibri" w:hAnsi="Palatino Linotype" w:cs="Arial"/>
          <w:b/>
          <w:i/>
          <w:color w:val="000000"/>
          <w:lang w:val="es-ES_tradnl" w:eastAsia="es-MX"/>
        </w:rPr>
        <w:t>No existe obligación de elaborar documentos ad hoc para atender las solicitudes de acceso a la información.</w:t>
      </w:r>
      <w:r w:rsidRPr="001D2117">
        <w:rPr>
          <w:rFonts w:ascii="Palatino Linotype" w:eastAsia="Calibri" w:hAnsi="Palatino Linotype" w:cs="Arial"/>
          <w:i/>
          <w:color w:val="000000"/>
          <w:lang w:val="es-ES_tradnl"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D2117" w:rsidRPr="001D2117" w:rsidRDefault="001D2117" w:rsidP="001D2117">
      <w:pPr>
        <w:spacing w:line="360" w:lineRule="auto"/>
        <w:jc w:val="both"/>
        <w:rPr>
          <w:rFonts w:ascii="Palatino Linotype" w:eastAsia="Calibri" w:hAnsi="Palatino Linotype" w:cs="Arial"/>
          <w:color w:val="000000"/>
          <w:lang w:val="es-ES_tradnl" w:eastAsia="es-MX"/>
        </w:rPr>
      </w:pPr>
    </w:p>
    <w:p w:rsidR="001D2117" w:rsidRPr="001D2117" w:rsidRDefault="001D2117" w:rsidP="001D2117">
      <w:pPr>
        <w:spacing w:line="360" w:lineRule="auto"/>
        <w:jc w:val="both"/>
        <w:rPr>
          <w:rFonts w:ascii="Palatino Linotype" w:hAnsi="Palatino Linotype" w:cs="Arial"/>
          <w:sz w:val="24"/>
        </w:rPr>
      </w:pPr>
      <w:r w:rsidRPr="001D2117">
        <w:rPr>
          <w:rFonts w:ascii="Palatino Linotype" w:hAnsi="Palatino Linotype" w:cs="Arial"/>
          <w:noProof/>
          <w:color w:val="000000"/>
          <w:sz w:val="24"/>
          <w:lang w:eastAsia="es-MX"/>
        </w:rPr>
        <w:t xml:space="preserve">En virtud de lo anterior, este Órgano Garante arriba a la conclusión de que la respuesta primigenia del </w:t>
      </w:r>
      <w:r w:rsidRPr="001D2117">
        <w:rPr>
          <w:rFonts w:ascii="Palatino Linotype" w:hAnsi="Palatino Linotype" w:cs="Arial"/>
          <w:b/>
          <w:noProof/>
          <w:color w:val="000000"/>
          <w:sz w:val="24"/>
          <w:lang w:eastAsia="es-MX"/>
        </w:rPr>
        <w:t xml:space="preserve">Sujeto Obligado </w:t>
      </w:r>
      <w:r w:rsidRPr="001D2117">
        <w:rPr>
          <w:rFonts w:ascii="Palatino Linotype" w:hAnsi="Palatino Linotype" w:cs="Arial"/>
          <w:noProof/>
          <w:color w:val="000000"/>
          <w:sz w:val="24"/>
          <w:lang w:eastAsia="es-MX"/>
        </w:rPr>
        <w:t xml:space="preserve">se encuentra dotada de los principios de </w:t>
      </w:r>
      <w:r w:rsidRPr="001D2117">
        <w:rPr>
          <w:rFonts w:ascii="Palatino Linotype" w:hAnsi="Palatino Linotype" w:cs="Arial"/>
          <w:sz w:val="24"/>
        </w:rPr>
        <w:t xml:space="preserve">congruencia y exhaustividad, los cuales a toda luz garantizan el derecho de acceso a la información </w:t>
      </w:r>
      <w:r w:rsidRPr="001D2117">
        <w:rPr>
          <w:rFonts w:ascii="Palatino Linotype" w:hAnsi="Palatino Linotype" w:cs="Arial"/>
          <w:sz w:val="24"/>
        </w:rPr>
        <w:lastRenderedPageBreak/>
        <w:t xml:space="preserve">pública. Robustece lo anterior el criterio </w:t>
      </w:r>
      <w:r w:rsidRPr="001D2117">
        <w:rPr>
          <w:rFonts w:ascii="Palatino Linotype" w:hAnsi="Palatino Linotype" w:cs="Arial"/>
          <w:b/>
          <w:sz w:val="24"/>
        </w:rPr>
        <w:t xml:space="preserve">02/17 </w:t>
      </w:r>
      <w:r w:rsidRPr="001D2117">
        <w:rPr>
          <w:rFonts w:ascii="Palatino Linotype" w:hAnsi="Palatino Linotype" w:cs="Arial"/>
          <w:sz w:val="24"/>
        </w:rPr>
        <w:t xml:space="preserve">del Instituto Nacional de Transparencia, Acceso a la Información y Protección de Datos Personales que dispone a la literalidad lo siguiente: </w:t>
      </w:r>
    </w:p>
    <w:p w:rsidR="001D2117" w:rsidRPr="001D2117" w:rsidRDefault="001D2117" w:rsidP="001D2117">
      <w:pPr>
        <w:spacing w:before="240" w:line="360" w:lineRule="auto"/>
        <w:ind w:left="851" w:right="851"/>
        <w:jc w:val="both"/>
        <w:rPr>
          <w:rFonts w:ascii="Palatino Linotype" w:hAnsi="Palatino Linotype" w:cs="Arial"/>
          <w:b/>
          <w:i/>
        </w:rPr>
      </w:pPr>
      <w:r w:rsidRPr="001D2117">
        <w:rPr>
          <w:rFonts w:ascii="Palatino Linotype" w:hAnsi="Palatino Linotype" w:cs="Arial"/>
          <w:b/>
          <w:i/>
        </w:rPr>
        <w:t xml:space="preserve">“CONGRUENCIA Y EXHAUSTIVIDAD. SUS ALCANCES PARA GARANTIZAR EL DERECHO DE ACCESO A LA INFORMACIÓN. </w:t>
      </w:r>
    </w:p>
    <w:p w:rsidR="001D2117" w:rsidRPr="001D2117" w:rsidRDefault="001D2117" w:rsidP="001D2117">
      <w:pPr>
        <w:spacing w:before="240" w:line="360" w:lineRule="auto"/>
        <w:ind w:left="851" w:right="851"/>
        <w:jc w:val="both"/>
        <w:rPr>
          <w:rFonts w:ascii="Palatino Linotype" w:hAnsi="Palatino Linotype" w:cs="Arial"/>
          <w:i/>
        </w:rPr>
      </w:pPr>
      <w:r w:rsidRPr="001D2117">
        <w:rPr>
          <w:rFonts w:ascii="Palatino Linotype" w:hAnsi="Palatino Linotype" w:cs="Arial"/>
          <w:i/>
        </w:rPr>
        <w:t xml:space="preserve">De conformidad con el artículo </w:t>
      </w:r>
      <w:r w:rsidRPr="001D2117">
        <w:rPr>
          <w:rFonts w:ascii="Palatino Linotype" w:hAnsi="Palatino Linotype"/>
          <w:i/>
          <w:lang w:val="es-ES_tradnl"/>
        </w:rPr>
        <w:t>3 de la Ley Federal de Procedimiento Administrativo</w:t>
      </w:r>
      <w:r w:rsidRPr="001D2117">
        <w:rPr>
          <w:rFonts w:ascii="Palatino Linotype" w:hAnsi="Palatino Linotype" w:cs="Arial"/>
          <w:i/>
        </w:rPr>
        <w:t>, de aplicación supletoria a la Ley Federal de Transparencia y Acceso a la Información Pública, en términos de su artículo 7</w:t>
      </w:r>
      <w:r w:rsidRPr="001D2117">
        <w:rPr>
          <w:rFonts w:ascii="Palatino Linotype" w:hAnsi="Palatino Linotype" w:cs="Arial"/>
          <w:b/>
          <w:i/>
          <w:u w:val="single"/>
        </w:rPr>
        <w:t>; todo acto administrativo debe cumplir con los principios de congruencia y exhaustividad.</w:t>
      </w:r>
      <w:r w:rsidRPr="001D2117">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1D2117" w:rsidRPr="001D2117" w:rsidRDefault="001D2117" w:rsidP="001D2117">
      <w:pPr>
        <w:numPr>
          <w:ilvl w:val="0"/>
          <w:numId w:val="20"/>
        </w:numPr>
        <w:spacing w:before="240" w:after="0" w:line="360" w:lineRule="auto"/>
        <w:ind w:right="851"/>
        <w:jc w:val="both"/>
        <w:rPr>
          <w:rFonts w:ascii="Palatino Linotype" w:hAnsi="Palatino Linotype" w:cs="Arial"/>
          <w:i/>
        </w:rPr>
      </w:pPr>
      <w:r w:rsidRPr="001D2117">
        <w:rPr>
          <w:rFonts w:ascii="Palatino Linotype" w:hAnsi="Palatino Linotype" w:cs="Arial"/>
          <w:i/>
        </w:rPr>
        <w:t xml:space="preserve">RRA 0003/16 Comisión Nacional de las Zonas Áridas. 29 de junio de 2016. Por unanimidad. Comisionado Ponente Oscar Mauricio Guerra Ford. </w:t>
      </w:r>
    </w:p>
    <w:p w:rsidR="001D2117" w:rsidRPr="001D2117" w:rsidRDefault="001D2117" w:rsidP="001D2117">
      <w:pPr>
        <w:numPr>
          <w:ilvl w:val="0"/>
          <w:numId w:val="20"/>
        </w:numPr>
        <w:spacing w:before="240" w:after="0" w:line="360" w:lineRule="auto"/>
        <w:ind w:right="851"/>
        <w:jc w:val="both"/>
        <w:rPr>
          <w:rFonts w:ascii="Palatino Linotype" w:hAnsi="Palatino Linotype" w:cs="Arial"/>
          <w:i/>
        </w:rPr>
      </w:pPr>
      <w:r w:rsidRPr="001D2117">
        <w:rPr>
          <w:rFonts w:ascii="Palatino Linotype" w:hAnsi="Palatino Linotype" w:cs="Arial"/>
          <w:i/>
        </w:rPr>
        <w:t xml:space="preserve">RRA 0100/16. Sindicato Nacional de Trabajadores de la Educación. 13 de julio de 2016. Por unanimidad. Comisionada Ponente Areli Cano Guadiana. </w:t>
      </w:r>
    </w:p>
    <w:p w:rsidR="001D2117" w:rsidRPr="001D2117" w:rsidRDefault="001D2117" w:rsidP="001D2117">
      <w:pPr>
        <w:numPr>
          <w:ilvl w:val="0"/>
          <w:numId w:val="20"/>
        </w:numPr>
        <w:spacing w:before="240" w:after="0" w:line="360" w:lineRule="auto"/>
        <w:ind w:right="851"/>
        <w:jc w:val="both"/>
        <w:rPr>
          <w:rFonts w:ascii="Palatino Linotype" w:hAnsi="Palatino Linotype"/>
          <w:b/>
          <w:lang w:val="es-ES_tradnl"/>
        </w:rPr>
      </w:pPr>
      <w:r w:rsidRPr="001D2117">
        <w:rPr>
          <w:rFonts w:ascii="Palatino Linotype" w:hAnsi="Palatino Linotype" w:cs="Arial"/>
          <w:i/>
        </w:rPr>
        <w:t xml:space="preserve">RRA 1419/16 Secretaría de Educación Pública. 14 de septiembre de 2016. Por unanimidad. Comisionado Ponente </w:t>
      </w:r>
      <w:proofErr w:type="spellStart"/>
      <w:r w:rsidRPr="001D2117">
        <w:rPr>
          <w:rFonts w:ascii="Palatino Linotype" w:hAnsi="Palatino Linotype" w:cs="Arial"/>
          <w:i/>
        </w:rPr>
        <w:t>Rosendoevgueni</w:t>
      </w:r>
      <w:proofErr w:type="spellEnd"/>
      <w:r w:rsidRPr="001D2117">
        <w:rPr>
          <w:rFonts w:ascii="Palatino Linotype" w:hAnsi="Palatino Linotype" w:cs="Arial"/>
          <w:i/>
        </w:rPr>
        <w:t xml:space="preserve"> Monterrey </w:t>
      </w:r>
      <w:proofErr w:type="spellStart"/>
      <w:r w:rsidRPr="001D2117">
        <w:rPr>
          <w:rFonts w:ascii="Palatino Linotype" w:hAnsi="Palatino Linotype" w:cs="Arial"/>
          <w:i/>
        </w:rPr>
        <w:t>Chepov</w:t>
      </w:r>
      <w:proofErr w:type="spellEnd"/>
      <w:r w:rsidRPr="001D2117">
        <w:rPr>
          <w:rFonts w:ascii="Palatino Linotype" w:hAnsi="Palatino Linotype" w:cs="Arial"/>
          <w:i/>
        </w:rPr>
        <w:t xml:space="preserve">.” </w:t>
      </w:r>
      <w:r w:rsidRPr="001D2117">
        <w:rPr>
          <w:rFonts w:ascii="Palatino Linotype" w:hAnsi="Palatino Linotype"/>
          <w:b/>
          <w:i/>
          <w:lang w:val="es-ES_tradnl"/>
        </w:rPr>
        <w:t>(Sic)</w:t>
      </w:r>
    </w:p>
    <w:p w:rsidR="001D2117" w:rsidRPr="001D2117" w:rsidRDefault="001D2117" w:rsidP="001D2117">
      <w:pPr>
        <w:spacing w:line="360" w:lineRule="auto"/>
        <w:jc w:val="both"/>
        <w:rPr>
          <w:rFonts w:ascii="Palatino Linotype" w:hAnsi="Palatino Linotype" w:cs="Arial"/>
          <w:noProof/>
          <w:color w:val="000000"/>
          <w:lang w:eastAsia="es-MX"/>
        </w:rPr>
      </w:pPr>
    </w:p>
    <w:p w:rsidR="001D2117" w:rsidRPr="00713834" w:rsidRDefault="001D2117" w:rsidP="001D2117">
      <w:pPr>
        <w:spacing w:line="360" w:lineRule="auto"/>
        <w:jc w:val="both"/>
        <w:rPr>
          <w:rFonts w:ascii="Palatino Linotype" w:hAnsi="Palatino Linotype" w:cs="Arial"/>
          <w:noProof/>
          <w:color w:val="000000"/>
          <w:sz w:val="24"/>
          <w:lang w:eastAsia="es-MX"/>
        </w:rPr>
      </w:pPr>
      <w:r w:rsidRPr="001D2117">
        <w:rPr>
          <w:rFonts w:ascii="Palatino Linotype" w:hAnsi="Palatino Linotype" w:cs="Arial"/>
          <w:noProof/>
          <w:color w:val="000000"/>
          <w:sz w:val="24"/>
          <w:lang w:eastAsia="es-MX"/>
        </w:rPr>
        <w:t xml:space="preserve">Con base en lo anteriormente expuesto, se arriba a la conclusión de que la respuesta del </w:t>
      </w:r>
      <w:r w:rsidRPr="001D2117">
        <w:rPr>
          <w:rFonts w:ascii="Palatino Linotype" w:hAnsi="Palatino Linotype" w:cs="Arial"/>
          <w:b/>
          <w:noProof/>
          <w:color w:val="000000"/>
          <w:sz w:val="24"/>
          <w:lang w:eastAsia="es-MX"/>
        </w:rPr>
        <w:t xml:space="preserve">Sujeto Obligado </w:t>
      </w:r>
      <w:r w:rsidRPr="001D2117">
        <w:rPr>
          <w:rFonts w:ascii="Palatino Linotype" w:hAnsi="Palatino Linotype" w:cs="Arial"/>
          <w:noProof/>
          <w:color w:val="000000"/>
          <w:sz w:val="24"/>
          <w:lang w:eastAsia="es-MX"/>
        </w:rPr>
        <w:t>colmó el derecho de acceso a la información ejercido por el particular.</w:t>
      </w:r>
      <w:r w:rsidRPr="00713834">
        <w:rPr>
          <w:rFonts w:ascii="Palatino Linotype" w:hAnsi="Palatino Linotype" w:cs="Arial"/>
          <w:noProof/>
          <w:color w:val="000000"/>
          <w:sz w:val="24"/>
          <w:lang w:eastAsia="es-MX"/>
        </w:rPr>
        <w:t xml:space="preserve"> </w:t>
      </w:r>
    </w:p>
    <w:p w:rsidR="00E66693" w:rsidRPr="003A139E" w:rsidRDefault="00E66693" w:rsidP="00E66693">
      <w:pPr>
        <w:spacing w:before="240" w:line="360" w:lineRule="auto"/>
        <w:jc w:val="center"/>
        <w:rPr>
          <w:rFonts w:ascii="Palatino Linotype" w:hAnsi="Palatino Linotype"/>
          <w:sz w:val="24"/>
          <w:u w:val="single"/>
        </w:rPr>
      </w:pPr>
      <w:r w:rsidRPr="003A139E">
        <w:rPr>
          <w:rFonts w:ascii="Palatino Linotype" w:hAnsi="Palatino Linotype"/>
          <w:sz w:val="24"/>
          <w:u w:val="single"/>
        </w:rPr>
        <w:t xml:space="preserve">Recurso de Revisión </w:t>
      </w:r>
      <w:r w:rsidRPr="003A139E">
        <w:rPr>
          <w:rFonts w:ascii="Palatino Linotype" w:hAnsi="Palatino Linotype"/>
          <w:b/>
          <w:sz w:val="24"/>
          <w:u w:val="single"/>
        </w:rPr>
        <w:t>06016/INFOEM/IP/RR/2024</w:t>
      </w:r>
      <w:r w:rsidRPr="003A139E">
        <w:rPr>
          <w:rFonts w:ascii="Palatino Linotype" w:hAnsi="Palatino Linotype"/>
          <w:sz w:val="24"/>
          <w:u w:val="single"/>
        </w:rPr>
        <w:t>.</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70"/>
        <w:gridCol w:w="3118"/>
        <w:gridCol w:w="2956"/>
        <w:gridCol w:w="998"/>
      </w:tblGrid>
      <w:tr w:rsidR="00E66693" w:rsidRPr="007D2D6C" w:rsidTr="003A139E">
        <w:trPr>
          <w:trHeight w:val="828"/>
        </w:trPr>
        <w:tc>
          <w:tcPr>
            <w:tcW w:w="1970" w:type="dxa"/>
            <w:shd w:val="clear" w:color="auto" w:fill="E7E6E6" w:themeFill="background2"/>
          </w:tcPr>
          <w:p w:rsidR="00E66693" w:rsidRPr="007D2D6C" w:rsidRDefault="00E66693" w:rsidP="00EC1D9F">
            <w:pPr>
              <w:jc w:val="center"/>
              <w:rPr>
                <w:rFonts w:ascii="Palatino Linotype" w:hAnsi="Palatino Linotype"/>
                <w:b/>
                <w:i/>
                <w:color w:val="000000"/>
                <w:sz w:val="24"/>
                <w:szCs w:val="24"/>
              </w:rPr>
            </w:pPr>
            <w:r w:rsidRPr="007D2D6C">
              <w:rPr>
                <w:rFonts w:ascii="Palatino Linotype" w:hAnsi="Palatino Linotype"/>
                <w:b/>
                <w:i/>
                <w:color w:val="000000"/>
                <w:sz w:val="24"/>
                <w:szCs w:val="24"/>
              </w:rPr>
              <w:t>Requerimientos</w:t>
            </w:r>
          </w:p>
        </w:tc>
        <w:tc>
          <w:tcPr>
            <w:tcW w:w="3118" w:type="dxa"/>
            <w:shd w:val="clear" w:color="auto" w:fill="E7E6E6" w:themeFill="background2"/>
          </w:tcPr>
          <w:p w:rsidR="00E66693" w:rsidRPr="007D2D6C" w:rsidRDefault="00E66693" w:rsidP="00EC1D9F">
            <w:pPr>
              <w:jc w:val="center"/>
              <w:rPr>
                <w:rFonts w:ascii="Palatino Linotype" w:hAnsi="Palatino Linotype"/>
                <w:b/>
                <w:i/>
                <w:color w:val="000000"/>
                <w:sz w:val="24"/>
                <w:szCs w:val="24"/>
              </w:rPr>
            </w:pPr>
            <w:r w:rsidRPr="007D2D6C">
              <w:rPr>
                <w:rFonts w:ascii="Palatino Linotype" w:hAnsi="Palatino Linotype"/>
                <w:b/>
                <w:i/>
                <w:color w:val="000000"/>
                <w:sz w:val="24"/>
                <w:szCs w:val="24"/>
              </w:rPr>
              <w:t>Respuesta</w:t>
            </w:r>
          </w:p>
        </w:tc>
        <w:tc>
          <w:tcPr>
            <w:tcW w:w="2956" w:type="dxa"/>
            <w:shd w:val="clear" w:color="auto" w:fill="E7E6E6" w:themeFill="background2"/>
          </w:tcPr>
          <w:p w:rsidR="00E66693" w:rsidRPr="007D2D6C" w:rsidRDefault="007D2D6C" w:rsidP="00EC1D9F">
            <w:pPr>
              <w:jc w:val="center"/>
              <w:rPr>
                <w:rFonts w:ascii="Palatino Linotype" w:hAnsi="Palatino Linotype"/>
                <w:b/>
                <w:i/>
                <w:color w:val="000000"/>
                <w:sz w:val="24"/>
                <w:szCs w:val="24"/>
              </w:rPr>
            </w:pPr>
            <w:r>
              <w:rPr>
                <w:rFonts w:ascii="Palatino Linotype" w:hAnsi="Palatino Linotype" w:cs="Arial"/>
                <w:b/>
                <w:i/>
                <w:sz w:val="24"/>
                <w:szCs w:val="24"/>
              </w:rPr>
              <w:t>R</w:t>
            </w:r>
            <w:r w:rsidR="00E66693" w:rsidRPr="007D2D6C">
              <w:rPr>
                <w:rFonts w:ascii="Palatino Linotype" w:hAnsi="Palatino Linotype" w:cs="Arial"/>
                <w:b/>
                <w:i/>
                <w:sz w:val="24"/>
                <w:szCs w:val="24"/>
              </w:rPr>
              <w:t>azones o motivos de inconformidad</w:t>
            </w:r>
          </w:p>
        </w:tc>
        <w:tc>
          <w:tcPr>
            <w:tcW w:w="998" w:type="dxa"/>
            <w:shd w:val="clear" w:color="auto" w:fill="E7E6E6" w:themeFill="background2"/>
          </w:tcPr>
          <w:p w:rsidR="00E66693" w:rsidRPr="007D2D6C" w:rsidRDefault="00E66693" w:rsidP="00EC1D9F">
            <w:pPr>
              <w:jc w:val="center"/>
              <w:rPr>
                <w:rFonts w:ascii="Palatino Linotype" w:hAnsi="Palatino Linotype"/>
                <w:b/>
                <w:i/>
                <w:color w:val="000000"/>
                <w:sz w:val="24"/>
                <w:szCs w:val="24"/>
              </w:rPr>
            </w:pPr>
            <w:r w:rsidRPr="007D2D6C">
              <w:rPr>
                <w:rFonts w:ascii="Palatino Linotype" w:hAnsi="Palatino Linotype"/>
                <w:b/>
                <w:i/>
                <w:color w:val="000000"/>
                <w:sz w:val="24"/>
                <w:szCs w:val="24"/>
              </w:rPr>
              <w:t>Colma</w:t>
            </w:r>
          </w:p>
        </w:tc>
      </w:tr>
      <w:tr w:rsidR="00E66693" w:rsidRPr="00713834" w:rsidTr="003A139E">
        <w:trPr>
          <w:trHeight w:val="1943"/>
        </w:trPr>
        <w:tc>
          <w:tcPr>
            <w:tcW w:w="1970" w:type="dxa"/>
          </w:tcPr>
          <w:p w:rsidR="00E66693" w:rsidRPr="007D2D6C" w:rsidRDefault="003A139E" w:rsidP="00E66693">
            <w:pPr>
              <w:jc w:val="both"/>
              <w:rPr>
                <w:rFonts w:ascii="Palatino Linotype" w:hAnsi="Palatino Linotype"/>
                <w:b/>
                <w:i/>
                <w:color w:val="000000"/>
              </w:rPr>
            </w:pPr>
            <w:r>
              <w:rPr>
                <w:rFonts w:ascii="Palatino Linotype" w:hAnsi="Palatino Linotype" w:cs="Tahoma"/>
                <w:bCs/>
              </w:rPr>
              <w:t>P</w:t>
            </w:r>
            <w:r w:rsidRPr="00F438C9">
              <w:rPr>
                <w:rFonts w:ascii="Palatino Linotype" w:hAnsi="Palatino Linotype" w:cs="Tahoma"/>
                <w:bCs/>
              </w:rPr>
              <w:t>aquete de denuncias presentado por la Contraloría a la Fiscalía General de Justicia estatal (FGJEM) en contra de exfuncionarios mexiquenses</w:t>
            </w:r>
          </w:p>
        </w:tc>
        <w:tc>
          <w:tcPr>
            <w:tcW w:w="3118" w:type="dxa"/>
          </w:tcPr>
          <w:p w:rsidR="00E66693" w:rsidRPr="003A139E" w:rsidRDefault="003A139E" w:rsidP="003A139E">
            <w:pPr>
              <w:jc w:val="both"/>
              <w:rPr>
                <w:rFonts w:ascii="Palatino Linotype" w:hAnsi="Palatino Linotype"/>
              </w:rPr>
            </w:pPr>
            <w:r w:rsidRPr="003A139E">
              <w:rPr>
                <w:rFonts w:ascii="Palatino Linotype" w:hAnsi="Palatino Linotype"/>
              </w:rPr>
              <w:t>Durante el ejercicio fiscal 2023 y lo que va del 2024, el Órgano Interno de Control no ha presentado denuncia ante la Fiscalía General de Justicia del Estado de México.</w:t>
            </w:r>
          </w:p>
          <w:p w:rsidR="003A139E" w:rsidRPr="003A139E" w:rsidRDefault="003A139E" w:rsidP="003A139E">
            <w:pPr>
              <w:jc w:val="both"/>
              <w:rPr>
                <w:rFonts w:ascii="Palatino Linotype" w:hAnsi="Palatino Linotype"/>
              </w:rPr>
            </w:pPr>
            <w:r w:rsidRPr="003A139E">
              <w:rPr>
                <w:rFonts w:ascii="Palatino Linotype" w:hAnsi="Palatino Linotype"/>
              </w:rPr>
              <w:t xml:space="preserve">La Dirección de Responsabilidades Administrativas informó que  </w:t>
            </w:r>
            <w:r w:rsidR="000E79ED">
              <w:rPr>
                <w:rFonts w:ascii="Palatino Linotype" w:hAnsi="Palatino Linotype"/>
              </w:rPr>
              <w:t xml:space="preserve">no </w:t>
            </w:r>
            <w:r w:rsidRPr="003A139E">
              <w:rPr>
                <w:rFonts w:ascii="Palatino Linotype" w:hAnsi="Palatino Linotype"/>
              </w:rPr>
              <w:t xml:space="preserve">encontró información al respecto. </w:t>
            </w:r>
          </w:p>
          <w:p w:rsidR="003A139E" w:rsidRPr="003A139E" w:rsidRDefault="003A139E" w:rsidP="003A139E">
            <w:pPr>
              <w:jc w:val="both"/>
              <w:rPr>
                <w:rFonts w:ascii="Palatino Linotype" w:hAnsi="Palatino Linotype"/>
                <w:i/>
                <w:color w:val="000000"/>
                <w:sz w:val="24"/>
                <w:szCs w:val="24"/>
              </w:rPr>
            </w:pPr>
            <w:r w:rsidRPr="003A139E">
              <w:rPr>
                <w:rFonts w:ascii="Palatino Linotype" w:hAnsi="Palatino Linotype" w:cs="Arial"/>
              </w:rPr>
              <w:t>La Coordinación Jurídica, de Igualdad de Género y Erradicación de la Violencia refirió que presentar denuncias, no forma parte de sus atribuciones.</w:t>
            </w:r>
            <w:r>
              <w:rPr>
                <w:rFonts w:ascii="Palatino Linotype" w:hAnsi="Palatino Linotype" w:cs="Arial"/>
              </w:rPr>
              <w:t xml:space="preserve"> </w:t>
            </w:r>
          </w:p>
        </w:tc>
        <w:tc>
          <w:tcPr>
            <w:tcW w:w="2956" w:type="dxa"/>
          </w:tcPr>
          <w:p w:rsidR="00E66693" w:rsidRPr="007D2D6C" w:rsidRDefault="007D2D6C" w:rsidP="007D2D6C">
            <w:pPr>
              <w:pStyle w:val="INFOEM"/>
              <w:spacing w:line="240" w:lineRule="auto"/>
              <w:ind w:left="113" w:right="110" w:hanging="71"/>
            </w:pPr>
            <w:r>
              <w:t xml:space="preserve"> “</w:t>
            </w:r>
            <w:r w:rsidRPr="00E66693">
              <w:t>La dependencia afirma que no cuenta con dicha información; sin embargo, ellos mismos lo anunciaron de forma pública como se muestra en el siguiente link: https://smmp.edomex.gob.mx/noticia/edomex-alista-denuncias-penales-exfuncionarios-eruviel-mazo-por-dano-hacienda</w:t>
            </w:r>
            <w:r>
              <w:rPr>
                <w:rFonts w:cs="Arial"/>
              </w:rPr>
              <w:t>” (sic)</w:t>
            </w:r>
          </w:p>
        </w:tc>
        <w:tc>
          <w:tcPr>
            <w:tcW w:w="998" w:type="dxa"/>
          </w:tcPr>
          <w:p w:rsidR="00E66693" w:rsidRPr="007D2D6C" w:rsidRDefault="007D2D6C" w:rsidP="00E66693">
            <w:pPr>
              <w:jc w:val="center"/>
              <w:rPr>
                <w:rFonts w:ascii="Palatino Linotype" w:hAnsi="Palatino Linotype"/>
                <w:i/>
              </w:rPr>
            </w:pPr>
            <w:r>
              <w:rPr>
                <w:rFonts w:ascii="Palatino Linotype" w:hAnsi="Palatino Linotype"/>
                <w:i/>
              </w:rPr>
              <w:t>No</w:t>
            </w:r>
          </w:p>
        </w:tc>
      </w:tr>
    </w:tbl>
    <w:p w:rsidR="00E66693" w:rsidRDefault="00E66693" w:rsidP="00E66693">
      <w:pPr>
        <w:spacing w:line="360" w:lineRule="auto"/>
        <w:jc w:val="both"/>
        <w:rPr>
          <w:rFonts w:ascii="Palatino Linotype" w:hAnsi="Palatino Linotype"/>
          <w:color w:val="000000"/>
          <w:highlight w:val="yellow"/>
        </w:rPr>
      </w:pPr>
    </w:p>
    <w:p w:rsidR="007D2D6C" w:rsidRDefault="003A139E" w:rsidP="007D2D6C">
      <w:pPr>
        <w:pStyle w:val="Sinespaciado"/>
        <w:spacing w:line="360" w:lineRule="auto"/>
        <w:jc w:val="both"/>
        <w:rPr>
          <w:rFonts w:ascii="Palatino Linotype" w:eastAsiaTheme="minorHAnsi" w:hAnsi="Palatino Linotype" w:cstheme="minorBidi"/>
          <w:szCs w:val="22"/>
          <w:lang w:val="es-ES_tradnl" w:eastAsia="en-US"/>
        </w:rPr>
      </w:pPr>
      <w:r>
        <w:rPr>
          <w:rFonts w:ascii="Palatino Linotype" w:eastAsiaTheme="minorHAnsi" w:hAnsi="Palatino Linotype" w:cstheme="minorBidi"/>
          <w:szCs w:val="22"/>
          <w:lang w:val="es-ES_tradnl" w:eastAsia="en-US"/>
        </w:rPr>
        <w:t>En primer término, de</w:t>
      </w:r>
      <w:r w:rsidR="007D2D6C">
        <w:rPr>
          <w:rFonts w:ascii="Palatino Linotype" w:eastAsiaTheme="minorHAnsi" w:hAnsi="Palatino Linotype" w:cstheme="minorBidi"/>
          <w:szCs w:val="22"/>
          <w:lang w:val="es-ES_tradnl" w:eastAsia="en-US"/>
        </w:rPr>
        <w:t xml:space="preserve"> las manifestaciones vertidas por la parte Recurrente, se tiene que el Sistema Mexiquense de Medios Públicos, a través de su portal de internet publicó lo siguiente:</w:t>
      </w:r>
    </w:p>
    <w:p w:rsidR="007D2D6C" w:rsidRDefault="007D2D6C" w:rsidP="007D2D6C">
      <w:pPr>
        <w:pStyle w:val="Sinespaciado"/>
        <w:spacing w:line="360" w:lineRule="auto"/>
        <w:jc w:val="center"/>
        <w:rPr>
          <w:rFonts w:ascii="Palatino Linotype" w:eastAsiaTheme="minorHAnsi" w:hAnsi="Palatino Linotype" w:cstheme="minorBidi"/>
          <w:szCs w:val="22"/>
          <w:lang w:val="es-ES_tradnl" w:eastAsia="en-US"/>
        </w:rPr>
      </w:pPr>
      <w:r>
        <w:rPr>
          <w:rFonts w:ascii="Palatino Linotype" w:eastAsiaTheme="minorHAnsi" w:hAnsi="Palatino Linotype" w:cstheme="minorBidi"/>
          <w:noProof/>
          <w:szCs w:val="22"/>
          <w:lang w:eastAsia="es-MX"/>
        </w:rPr>
        <w:lastRenderedPageBreak/>
        <w:drawing>
          <wp:inline distT="0" distB="0" distL="0" distR="0" wp14:anchorId="0E09EEC1" wp14:editId="2E191537">
            <wp:extent cx="3714333" cy="30289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905E07.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5408" cy="3046136"/>
                    </a:xfrm>
                    <a:prstGeom prst="rect">
                      <a:avLst/>
                    </a:prstGeom>
                  </pic:spPr>
                </pic:pic>
              </a:graphicData>
            </a:graphic>
          </wp:inline>
        </w:drawing>
      </w:r>
    </w:p>
    <w:p w:rsidR="007D2D6C" w:rsidRDefault="007D2D6C" w:rsidP="007D2D6C">
      <w:pPr>
        <w:pStyle w:val="Sinespaciado"/>
        <w:spacing w:line="360" w:lineRule="auto"/>
        <w:jc w:val="center"/>
        <w:rPr>
          <w:rFonts w:ascii="Palatino Linotype" w:eastAsiaTheme="minorHAnsi" w:hAnsi="Palatino Linotype" w:cstheme="minorBidi"/>
          <w:szCs w:val="22"/>
          <w:lang w:val="es-ES_tradnl" w:eastAsia="en-US"/>
        </w:rPr>
      </w:pPr>
      <w:r>
        <w:rPr>
          <w:rFonts w:ascii="Palatino Linotype" w:eastAsiaTheme="minorHAnsi" w:hAnsi="Palatino Linotype" w:cstheme="minorBidi"/>
          <w:noProof/>
          <w:szCs w:val="22"/>
          <w:lang w:eastAsia="es-MX"/>
        </w:rPr>
        <w:drawing>
          <wp:inline distT="0" distB="0" distL="0" distR="0" wp14:anchorId="134FB42D" wp14:editId="73BFE9FA">
            <wp:extent cx="3429000" cy="3618744"/>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90E20D.tmp"/>
                    <pic:cNvPicPr/>
                  </pic:nvPicPr>
                  <pic:blipFill>
                    <a:blip r:embed="rId13">
                      <a:extLst>
                        <a:ext uri="{28A0092B-C50C-407E-A947-70E740481C1C}">
                          <a14:useLocalDpi xmlns:a14="http://schemas.microsoft.com/office/drawing/2010/main" val="0"/>
                        </a:ext>
                      </a:extLst>
                    </a:blip>
                    <a:stretch>
                      <a:fillRect/>
                    </a:stretch>
                  </pic:blipFill>
                  <pic:spPr>
                    <a:xfrm>
                      <a:off x="0" y="0"/>
                      <a:ext cx="3448424" cy="3639243"/>
                    </a:xfrm>
                    <a:prstGeom prst="rect">
                      <a:avLst/>
                    </a:prstGeom>
                  </pic:spPr>
                </pic:pic>
              </a:graphicData>
            </a:graphic>
          </wp:inline>
        </w:drawing>
      </w:r>
    </w:p>
    <w:p w:rsidR="007D2D6C" w:rsidRDefault="009E2FC9" w:rsidP="007D2D6C">
      <w:pPr>
        <w:pStyle w:val="Sinespaciado"/>
        <w:spacing w:line="360" w:lineRule="auto"/>
        <w:jc w:val="both"/>
        <w:rPr>
          <w:rFonts w:ascii="Palatino Linotype" w:eastAsiaTheme="minorHAnsi" w:hAnsi="Palatino Linotype" w:cstheme="minorBidi"/>
          <w:szCs w:val="22"/>
          <w:lang w:val="es-ES_tradnl" w:eastAsia="en-US"/>
        </w:rPr>
      </w:pPr>
      <w:r>
        <w:rPr>
          <w:rFonts w:ascii="Palatino Linotype" w:eastAsiaTheme="minorHAnsi" w:hAnsi="Palatino Linotype" w:cstheme="minorBidi"/>
          <w:szCs w:val="22"/>
          <w:lang w:val="es-ES_tradnl" w:eastAsia="en-US"/>
        </w:rPr>
        <w:lastRenderedPageBreak/>
        <w:t>A mayor abundamiento, es importante establecer quién es el Sistema Mexiquense de Medios Públicos, para ello el Decreto del Ejecutivo del Estado de México por el que se modifica el diverso por el que se crea el Organismo Público Descentralizado de Carácter Estatal denominado Sistema Mexiquense de Medios Públicos, en su artículo 1, el cual establece:</w:t>
      </w:r>
    </w:p>
    <w:p w:rsidR="009E2FC9" w:rsidRDefault="009E2FC9" w:rsidP="009E2FC9">
      <w:pPr>
        <w:pStyle w:val="INFOEM"/>
        <w:rPr>
          <w:lang w:val="es-ES_tradnl"/>
        </w:rPr>
      </w:pPr>
      <w:r w:rsidRPr="009E2FC9">
        <w:rPr>
          <w:lang w:val="es-ES_tradnl"/>
        </w:rPr>
        <w:t>Artículo 1. Se crea el Organismo Público Descentralizado de carácter estatal, denominado Sistema Mexiquense de Medios Públicos, con personalidad jurídica y patrimonio propios, sectorizado a la Secretaría General de Gobierno</w:t>
      </w:r>
      <w:r>
        <w:rPr>
          <w:lang w:val="es-ES_tradnl"/>
        </w:rPr>
        <w:t>.</w:t>
      </w:r>
    </w:p>
    <w:p w:rsidR="009E2FC9" w:rsidRDefault="009E2FC9" w:rsidP="007D2D6C">
      <w:pPr>
        <w:pStyle w:val="Sinespaciado"/>
        <w:spacing w:line="360" w:lineRule="auto"/>
        <w:jc w:val="both"/>
        <w:rPr>
          <w:rFonts w:ascii="Palatino Linotype" w:eastAsiaTheme="minorHAnsi" w:hAnsi="Palatino Linotype" w:cstheme="minorBidi"/>
          <w:szCs w:val="22"/>
          <w:lang w:val="es-ES_tradnl" w:eastAsia="en-US"/>
        </w:rPr>
      </w:pPr>
    </w:p>
    <w:p w:rsidR="007D2D6C" w:rsidRPr="004F782D" w:rsidRDefault="007D2D6C" w:rsidP="007D2D6C">
      <w:pPr>
        <w:spacing w:line="360" w:lineRule="auto"/>
        <w:jc w:val="both"/>
        <w:rPr>
          <w:rFonts w:ascii="Palatino Linotype" w:eastAsia="Palatino Linotype" w:hAnsi="Palatino Linotype" w:cs="Palatino Linotype"/>
          <w:color w:val="000000"/>
          <w:sz w:val="24"/>
        </w:rPr>
      </w:pPr>
      <w:r w:rsidRPr="004F782D">
        <w:rPr>
          <w:rFonts w:ascii="Palatino Linotype" w:eastAsia="Palatino Linotype" w:hAnsi="Palatino Linotype" w:cs="Palatino Linotype"/>
          <w:sz w:val="24"/>
        </w:rPr>
        <w:t xml:space="preserve">Con base a lo anterior, sirve de sustento a lo anterior </w:t>
      </w:r>
      <w:r w:rsidRPr="004F782D">
        <w:rPr>
          <w:rFonts w:ascii="Palatino Linotype" w:eastAsia="Palatino Linotype" w:hAnsi="Palatino Linotype" w:cs="Palatino Linotype"/>
          <w:color w:val="000000"/>
          <w:sz w:val="24"/>
        </w:rPr>
        <w:t>las siguientes tesis jurisprudenciales</w:t>
      </w:r>
      <w:r w:rsidRPr="004F782D">
        <w:rPr>
          <w:rFonts w:ascii="Palatino Linotype" w:eastAsia="Palatino Linotype" w:hAnsi="Palatino Linotype" w:cs="Palatino Linotype"/>
          <w:sz w:val="24"/>
        </w:rPr>
        <w:t>:</w:t>
      </w:r>
    </w:p>
    <w:p w:rsidR="007D2D6C" w:rsidRPr="00F12C09" w:rsidRDefault="007D2D6C" w:rsidP="007D2D6C">
      <w:pPr>
        <w:pStyle w:val="INFOEM"/>
        <w:jc w:val="center"/>
        <w:rPr>
          <w:b/>
        </w:rPr>
      </w:pPr>
      <w:r w:rsidRPr="00F12C09">
        <w:rPr>
          <w:b/>
        </w:rPr>
        <w:t>HECHOS NOTORIOS. CONCEPTOS GENERAL Y JURÍDICO</w:t>
      </w:r>
    </w:p>
    <w:p w:rsidR="007D2D6C" w:rsidRPr="00F12C09" w:rsidRDefault="007D2D6C" w:rsidP="007D2D6C">
      <w:pPr>
        <w:pStyle w:val="INFOEM"/>
      </w:pPr>
      <w:r w:rsidRPr="00F12C09">
        <w:t xml:space="preserve">Conforme al artículo </w:t>
      </w:r>
      <w:hyperlink r:id="rId14">
        <w:r w:rsidRPr="00F12C09">
          <w:t>88 del Código Federal de Procedimientos Civiles</w:t>
        </w:r>
      </w:hyperlink>
      <w:r w:rsidRPr="00F12C09">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w:t>
      </w:r>
      <w:r w:rsidRPr="00F12C09">
        <w:lastRenderedPageBreak/>
        <w:t>notorio la ley exime de su prueba, por ser del conocimiento público en el medio social donde ocurrió o donde se tramita el procedimiento.</w:t>
      </w:r>
    </w:p>
    <w:p w:rsidR="007D2D6C" w:rsidRPr="00F12C09" w:rsidRDefault="007D2D6C" w:rsidP="007D2D6C">
      <w:pPr>
        <w:pStyle w:val="INFOEM"/>
      </w:pPr>
      <w:r w:rsidRPr="00F12C09">
        <w:t>Controversia constitucional 24/2005. Cámara de Diputados del Congreso de la Unión. 9 de marzo de 2006. Once votos. Ponente: José Ramón Cossío Díaz. Secretarios: Raúl Manuel Mejía Garza y Laura Patricia Rojas Zamudio.</w:t>
      </w:r>
    </w:p>
    <w:p w:rsidR="007D2D6C" w:rsidRPr="00F12C09" w:rsidRDefault="007D2D6C" w:rsidP="007D2D6C">
      <w:pPr>
        <w:pStyle w:val="INFOEM"/>
      </w:pPr>
      <w:r w:rsidRPr="00F12C09">
        <w:t>El Tribunal Pleno, el dieciséis de mayo en curso, aprobó, con el número 74/2006, la tesis jurisprudencial que antecede. México, Distrito Federal, a dieciséis de mayo de dos mil seis.</w:t>
      </w:r>
    </w:p>
    <w:p w:rsidR="007D2D6C" w:rsidRPr="00F12C09" w:rsidRDefault="007D2D6C" w:rsidP="007D2D6C">
      <w:pPr>
        <w:pStyle w:val="INFOEM"/>
      </w:pPr>
      <w:r w:rsidRPr="00F12C09">
        <w:t>Nota: Esta tesis fue objeto de la denuncia relativa a la contradicción de tesis 91/2014, desechada por notoriamente improcedente, mediante acuerdo de 24 de marzo de 2014.”</w:t>
      </w:r>
    </w:p>
    <w:p w:rsidR="007D2D6C" w:rsidRPr="00B865BB" w:rsidRDefault="007D2D6C" w:rsidP="007D2D6C">
      <w:pPr>
        <w:pStyle w:val="INFOEM"/>
        <w:rPr>
          <w:sz w:val="24"/>
          <w:szCs w:val="24"/>
        </w:rPr>
      </w:pPr>
      <w:r w:rsidRPr="00F12C09">
        <w:rPr>
          <w:b/>
          <w:sz w:val="24"/>
          <w:szCs w:val="24"/>
        </w:rPr>
        <w:t>PÁGINAS WEB O ELECTRÓNICAS. SU CONTENIDO ES UN HECHO NOTORIO Y SUSCEPTIBLE DE SER VALORADO EN UNA DECISIÓN JUDICIAL.</w:t>
      </w:r>
      <w:r w:rsidRPr="00F12C09">
        <w:rPr>
          <w:rFonts w:ascii="Times New Roman" w:eastAsia="Times New Roman" w:hAnsi="Times New Roman" w:cs="Times New Roman"/>
          <w:b/>
          <w:sz w:val="24"/>
          <w:szCs w:val="24"/>
        </w:rPr>
        <w:t xml:space="preserve"> </w:t>
      </w:r>
      <w:r w:rsidRPr="00F12C09">
        <w:rPr>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w:t>
      </w:r>
      <w:r w:rsidRPr="00F12C09">
        <w:rPr>
          <w:sz w:val="24"/>
          <w:szCs w:val="24"/>
        </w:rPr>
        <w:lastRenderedPageBreak/>
        <w:t xml:space="preserve">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w:t>
      </w:r>
      <w:r w:rsidRPr="00B865BB">
        <w:rPr>
          <w:sz w:val="24"/>
          <w:szCs w:val="24"/>
        </w:rPr>
        <w:t xml:space="preserve">en sus términos. </w:t>
      </w:r>
    </w:p>
    <w:p w:rsidR="007D2D6C" w:rsidRDefault="007D2D6C" w:rsidP="007D2D6C">
      <w:pPr>
        <w:pStyle w:val="INFOEM"/>
        <w:rPr>
          <w:sz w:val="24"/>
          <w:szCs w:val="24"/>
        </w:rPr>
      </w:pPr>
      <w:r w:rsidRPr="00B865BB">
        <w:rPr>
          <w:sz w:val="24"/>
          <w:szCs w:val="24"/>
        </w:rPr>
        <w:t xml:space="preserve">TERCER TRIBUNAL COLEGIADO EN MATERIA CIVIL DEL PRIMER CIRCUITO. Amparo en revisión 365/2012. </w:t>
      </w:r>
      <w:proofErr w:type="spellStart"/>
      <w:r w:rsidRPr="00B865BB">
        <w:rPr>
          <w:sz w:val="24"/>
          <w:szCs w:val="24"/>
        </w:rPr>
        <w:t>Mardygras</w:t>
      </w:r>
      <w:proofErr w:type="spellEnd"/>
      <w:r w:rsidRPr="00B865BB">
        <w:rPr>
          <w:sz w:val="24"/>
          <w:szCs w:val="24"/>
        </w:rPr>
        <w:t>, S.A. de C.V. 7 de diciembre de 2012. Unanimidad de votos. Ponente: Neófito López Ramos. Secretaria: Ana Lilia Osorno Arroyo.</w:t>
      </w:r>
      <w:r w:rsidRPr="00F12C09">
        <w:rPr>
          <w:sz w:val="24"/>
          <w:szCs w:val="24"/>
        </w:rPr>
        <w:t xml:space="preserve"> </w:t>
      </w:r>
    </w:p>
    <w:p w:rsidR="007D2D6C" w:rsidRPr="00713834" w:rsidRDefault="007D2D6C" w:rsidP="00E66693">
      <w:pPr>
        <w:spacing w:line="360" w:lineRule="auto"/>
        <w:jc w:val="both"/>
        <w:rPr>
          <w:rFonts w:ascii="Palatino Linotype" w:hAnsi="Palatino Linotype"/>
          <w:color w:val="000000"/>
          <w:highlight w:val="yellow"/>
        </w:rPr>
      </w:pPr>
    </w:p>
    <w:p w:rsidR="00E66693" w:rsidRDefault="00B865BB" w:rsidP="00E66693">
      <w:pPr>
        <w:spacing w:line="360" w:lineRule="auto"/>
        <w:jc w:val="both"/>
        <w:rPr>
          <w:rFonts w:ascii="Palatino Linotype" w:hAnsi="Palatino Linotype"/>
          <w:bCs/>
          <w:color w:val="000000"/>
          <w:sz w:val="24"/>
        </w:rPr>
      </w:pPr>
      <w:r w:rsidRPr="00B865BB">
        <w:rPr>
          <w:rFonts w:ascii="Palatino Linotype" w:hAnsi="Palatino Linotype"/>
          <w:color w:val="000000"/>
          <w:sz w:val="24"/>
        </w:rPr>
        <w:t xml:space="preserve">Ahora bien, de la publicación referida se tiene que quien anunció el envío del segundo paquete de denuncias ante la Fiscalía </w:t>
      </w:r>
      <w:r>
        <w:rPr>
          <w:rFonts w:ascii="Palatino Linotype" w:hAnsi="Palatino Linotype"/>
          <w:color w:val="000000"/>
          <w:sz w:val="24"/>
        </w:rPr>
        <w:t xml:space="preserve">General de Justicia Estatal por delitos de fraude, robo, </w:t>
      </w:r>
      <w:r w:rsidRPr="00B865BB">
        <w:rPr>
          <w:rFonts w:ascii="Palatino Linotype" w:hAnsi="Palatino Linotype"/>
          <w:bCs/>
          <w:color w:val="000000"/>
          <w:sz w:val="24"/>
        </w:rPr>
        <w:t>enriquecimiento ilícito, abuso de autoridad y delitos contra</w:t>
      </w:r>
      <w:r w:rsidR="004207E2">
        <w:rPr>
          <w:rFonts w:ascii="Palatino Linotype" w:hAnsi="Palatino Linotype"/>
          <w:bCs/>
          <w:color w:val="000000"/>
          <w:sz w:val="24"/>
        </w:rPr>
        <w:t xml:space="preserve"> la h</w:t>
      </w:r>
      <w:r w:rsidRPr="00B865BB">
        <w:rPr>
          <w:rFonts w:ascii="Palatino Linotype" w:hAnsi="Palatino Linotype"/>
          <w:bCs/>
          <w:color w:val="000000"/>
          <w:sz w:val="24"/>
        </w:rPr>
        <w:t>acienda pública</w:t>
      </w:r>
      <w:r>
        <w:rPr>
          <w:rFonts w:ascii="Palatino Linotype" w:hAnsi="Palatino Linotype"/>
          <w:bCs/>
          <w:color w:val="000000"/>
          <w:sz w:val="24"/>
        </w:rPr>
        <w:t xml:space="preserve"> fue el Subsecretario de Control y Auditoría. </w:t>
      </w:r>
    </w:p>
    <w:p w:rsidR="00B865BB" w:rsidRDefault="00B865BB" w:rsidP="00E66693">
      <w:pPr>
        <w:spacing w:line="360" w:lineRule="auto"/>
        <w:jc w:val="both"/>
        <w:rPr>
          <w:rFonts w:ascii="Palatino Linotype" w:hAnsi="Palatino Linotype"/>
          <w:bCs/>
          <w:color w:val="000000"/>
          <w:sz w:val="24"/>
        </w:rPr>
      </w:pPr>
      <w:r>
        <w:rPr>
          <w:rFonts w:ascii="Palatino Linotype" w:hAnsi="Palatino Linotype"/>
          <w:bCs/>
          <w:color w:val="000000"/>
          <w:sz w:val="24"/>
        </w:rPr>
        <w:lastRenderedPageBreak/>
        <w:t>Del portal de internet de la Secretaría de la Contraloría, específicamente en el directorio, se advierte que el Servidor Público Luis David Fernández Araya, es el Subsecretario de Control y</w:t>
      </w:r>
      <w:r w:rsidR="004207E2">
        <w:rPr>
          <w:rFonts w:ascii="Palatino Linotype" w:hAnsi="Palatino Linotype"/>
          <w:bCs/>
          <w:color w:val="000000"/>
          <w:sz w:val="24"/>
        </w:rPr>
        <w:t xml:space="preserve"> Auditorí</w:t>
      </w:r>
      <w:r>
        <w:rPr>
          <w:rFonts w:ascii="Palatino Linotype" w:hAnsi="Palatino Linotype"/>
          <w:bCs/>
          <w:color w:val="000000"/>
          <w:sz w:val="24"/>
        </w:rPr>
        <w:t>a, tal como se ilustra:</w:t>
      </w:r>
    </w:p>
    <w:p w:rsidR="00B865BB" w:rsidRDefault="00B865BB" w:rsidP="00E66693">
      <w:pPr>
        <w:spacing w:line="360" w:lineRule="auto"/>
        <w:jc w:val="both"/>
        <w:rPr>
          <w:rFonts w:ascii="Palatino Linotype" w:hAnsi="Palatino Linotype"/>
          <w:color w:val="000000"/>
          <w:highlight w:val="yellow"/>
        </w:rPr>
      </w:pPr>
      <w:r>
        <w:rPr>
          <w:rFonts w:ascii="Palatino Linotype" w:hAnsi="Palatino Linotype"/>
          <w:noProof/>
          <w:color w:val="000000"/>
          <w:lang w:eastAsia="es-MX"/>
        </w:rPr>
        <w:drawing>
          <wp:inline distT="0" distB="0" distL="0" distR="0">
            <wp:extent cx="5760720" cy="6178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46DF3.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617855"/>
                    </a:xfrm>
                    <a:prstGeom prst="rect">
                      <a:avLst/>
                    </a:prstGeom>
                  </pic:spPr>
                </pic:pic>
              </a:graphicData>
            </a:graphic>
          </wp:inline>
        </w:drawing>
      </w:r>
    </w:p>
    <w:p w:rsidR="00B865BB" w:rsidRPr="000E2F06" w:rsidRDefault="00B865BB" w:rsidP="00E66693">
      <w:pPr>
        <w:spacing w:line="360" w:lineRule="auto"/>
        <w:jc w:val="both"/>
        <w:rPr>
          <w:rFonts w:ascii="Palatino Linotype" w:hAnsi="Palatino Linotype"/>
          <w:color w:val="000000"/>
          <w:sz w:val="24"/>
        </w:rPr>
      </w:pPr>
    </w:p>
    <w:p w:rsidR="000E2F06" w:rsidRDefault="000E2F06" w:rsidP="00E66693">
      <w:pPr>
        <w:spacing w:line="360" w:lineRule="auto"/>
        <w:jc w:val="both"/>
        <w:rPr>
          <w:rFonts w:ascii="Palatino Linotype" w:hAnsi="Palatino Linotype"/>
          <w:color w:val="000000"/>
          <w:sz w:val="24"/>
        </w:rPr>
      </w:pPr>
      <w:r w:rsidRPr="000E2F06">
        <w:rPr>
          <w:rFonts w:ascii="Palatino Linotype" w:hAnsi="Palatino Linotype"/>
          <w:color w:val="000000"/>
          <w:sz w:val="24"/>
        </w:rPr>
        <w:t>Quedando establecido lo anterior, es necesario traer a colación el Reglamento Interno de la Secretaría de la Contraloría, mismo que establece lo siguiente:</w:t>
      </w:r>
    </w:p>
    <w:p w:rsidR="004207E2" w:rsidRDefault="004207E2" w:rsidP="00AA260E">
      <w:pPr>
        <w:pStyle w:val="INFOEM"/>
        <w:spacing w:line="240" w:lineRule="auto"/>
      </w:pPr>
      <w:r w:rsidRPr="004207E2">
        <w:t xml:space="preserve">Artículo 4. Para el estudio, planeación y atención de los asuntos de su competencia, al frente de Secretaría estará una persona titular, quien se auxiliará de las unidades administrativas básicas siguientes: </w:t>
      </w:r>
    </w:p>
    <w:p w:rsidR="004207E2" w:rsidRPr="00876D2F" w:rsidRDefault="004207E2" w:rsidP="00AA260E">
      <w:pPr>
        <w:pStyle w:val="INFOEM"/>
        <w:numPr>
          <w:ilvl w:val="0"/>
          <w:numId w:val="27"/>
        </w:numPr>
        <w:spacing w:line="240" w:lineRule="auto"/>
        <w:rPr>
          <w:b/>
        </w:rPr>
      </w:pPr>
      <w:r w:rsidRPr="00876D2F">
        <w:rPr>
          <w:b/>
        </w:rPr>
        <w:t>Subsecretaría de Control y Auditoría;</w:t>
      </w:r>
    </w:p>
    <w:p w:rsidR="004207E2" w:rsidRDefault="004207E2" w:rsidP="00AA260E">
      <w:pPr>
        <w:pStyle w:val="INFOEM"/>
        <w:spacing w:line="240" w:lineRule="auto"/>
      </w:pPr>
      <w:r>
        <w:t>…</w:t>
      </w:r>
    </w:p>
    <w:p w:rsidR="004207E2" w:rsidRPr="00876D2F" w:rsidRDefault="004207E2" w:rsidP="00AA260E">
      <w:pPr>
        <w:pStyle w:val="INFOEM"/>
        <w:spacing w:line="240" w:lineRule="auto"/>
        <w:rPr>
          <w:b/>
        </w:rPr>
      </w:pPr>
      <w:r w:rsidRPr="00876D2F">
        <w:rPr>
          <w:b/>
        </w:rPr>
        <w:t>XI. Dirección de Responsabilidades Administrativas;</w:t>
      </w:r>
    </w:p>
    <w:p w:rsidR="00876D2F" w:rsidRDefault="00876D2F" w:rsidP="00AA260E">
      <w:pPr>
        <w:pStyle w:val="INFOEM"/>
        <w:spacing w:line="240" w:lineRule="auto"/>
      </w:pPr>
      <w:r>
        <w:t xml:space="preserve">Artículo 12. Quedan adscritas a la Subsecretaría de Control y Auditoría, las unidades administrativas siguientes: </w:t>
      </w:r>
    </w:p>
    <w:p w:rsidR="00876D2F" w:rsidRDefault="00AD6A24" w:rsidP="00AA260E">
      <w:pPr>
        <w:pStyle w:val="INFOEM"/>
        <w:numPr>
          <w:ilvl w:val="0"/>
          <w:numId w:val="28"/>
        </w:numPr>
        <w:spacing w:line="240" w:lineRule="auto"/>
      </w:pPr>
      <w:r>
        <w:t xml:space="preserve">Dirección </w:t>
      </w:r>
      <w:r w:rsidR="00876D2F">
        <w:t xml:space="preserve">de Auditoría y Control a Obra Pública; </w:t>
      </w:r>
    </w:p>
    <w:p w:rsidR="00876D2F" w:rsidRDefault="00876D2F" w:rsidP="00AA260E">
      <w:pPr>
        <w:pStyle w:val="INFOEM"/>
        <w:numPr>
          <w:ilvl w:val="0"/>
          <w:numId w:val="28"/>
        </w:numPr>
        <w:spacing w:line="240" w:lineRule="auto"/>
      </w:pPr>
      <w:r>
        <w:t xml:space="preserve">Dirección de Auditoría y Control de Programas; </w:t>
      </w:r>
    </w:p>
    <w:p w:rsidR="00876D2F" w:rsidRDefault="00876D2F" w:rsidP="00AA260E">
      <w:pPr>
        <w:pStyle w:val="INFOEM"/>
        <w:numPr>
          <w:ilvl w:val="0"/>
          <w:numId w:val="28"/>
        </w:numPr>
        <w:spacing w:line="240" w:lineRule="auto"/>
      </w:pPr>
      <w:r>
        <w:t xml:space="preserve">Dirección de Auditorías Especiales y Externas; </w:t>
      </w:r>
    </w:p>
    <w:p w:rsidR="00876D2F" w:rsidRDefault="00876D2F" w:rsidP="00AA260E">
      <w:pPr>
        <w:pStyle w:val="INFOEM"/>
        <w:numPr>
          <w:ilvl w:val="0"/>
          <w:numId w:val="28"/>
        </w:numPr>
        <w:spacing w:line="240" w:lineRule="auto"/>
      </w:pPr>
      <w:r>
        <w:t xml:space="preserve">Dirección de Coordinación y Enlace del Órganos Interno de Control, y </w:t>
      </w:r>
    </w:p>
    <w:p w:rsidR="00876D2F" w:rsidRDefault="00876D2F" w:rsidP="00AA260E">
      <w:pPr>
        <w:pStyle w:val="INFOEM"/>
        <w:numPr>
          <w:ilvl w:val="0"/>
          <w:numId w:val="28"/>
        </w:numPr>
        <w:spacing w:line="240" w:lineRule="auto"/>
      </w:pPr>
      <w:r>
        <w:t>Dirección de Seguimiento y Apoyo Técnico</w:t>
      </w:r>
    </w:p>
    <w:p w:rsidR="00876D2F" w:rsidRDefault="00876D2F" w:rsidP="00AA260E">
      <w:pPr>
        <w:pStyle w:val="INFOEM"/>
        <w:spacing w:line="240" w:lineRule="auto"/>
      </w:pPr>
      <w:r>
        <w:lastRenderedPageBreak/>
        <w:t>Artículo 13. Corresponden a la Subsecretaría de Control y Auditoría las atribuciones siguientes:</w:t>
      </w:r>
    </w:p>
    <w:p w:rsidR="00AA260E" w:rsidRDefault="00AA260E" w:rsidP="00AA260E">
      <w:pPr>
        <w:pStyle w:val="INFOEM"/>
        <w:numPr>
          <w:ilvl w:val="0"/>
          <w:numId w:val="29"/>
        </w:numPr>
        <w:spacing w:line="240" w:lineRule="auto"/>
      </w:pPr>
      <w:r w:rsidRPr="00AA260E">
        <w:t xml:space="preserve">Planear, programar, organizar, dirigir, controlar y evaluar las actividades de las unidades administrativas que tenga adscritas, conforme a las instrucciones de la persona titular de la Secretaría, en coordinación con la Unidad de Planeación, Seguimiento y Evaluación; </w:t>
      </w:r>
    </w:p>
    <w:p w:rsidR="00AA260E" w:rsidRDefault="00AA260E" w:rsidP="00AA260E">
      <w:pPr>
        <w:pStyle w:val="INFOEM"/>
        <w:numPr>
          <w:ilvl w:val="0"/>
          <w:numId w:val="29"/>
        </w:numPr>
        <w:spacing w:line="240" w:lineRule="auto"/>
      </w:pPr>
      <w:r w:rsidRPr="00AA260E">
        <w:t xml:space="preserve">Verificar el cumplimiento de las disposiciones jurídicas aplicables en el despacho de los asuntos de su competencia; </w:t>
      </w:r>
    </w:p>
    <w:p w:rsidR="00AA260E" w:rsidRDefault="00AA260E" w:rsidP="00AA260E">
      <w:pPr>
        <w:pStyle w:val="INFOEM"/>
        <w:numPr>
          <w:ilvl w:val="0"/>
          <w:numId w:val="29"/>
        </w:numPr>
        <w:spacing w:line="240" w:lineRule="auto"/>
      </w:pPr>
      <w:r w:rsidRPr="00AA260E">
        <w:t xml:space="preserve"> Establecer en la Administración Pública Estatal, acciones que propicien el fortalecimiento del sistema de control interno y la evaluación de la gestión gubernamental, a efecto de prevenir, detectar y disuadir actos de corrupción e incorporar las mejores prácticas en la gestión gubernamental considerando, en su caso, las políticas que emita el Comité Coordinador en estas materias, e impulsar y proponer dichas acciones en el marco del Sistema Estatal de Fiscalización, mediante la formalización de los respectivos instrumentos jurídicos, previa consideración de la persona titular de la Secretaría; </w:t>
      </w:r>
    </w:p>
    <w:p w:rsidR="00876D2F" w:rsidRDefault="00AA260E" w:rsidP="00AA260E">
      <w:pPr>
        <w:pStyle w:val="INFOEM"/>
        <w:numPr>
          <w:ilvl w:val="0"/>
          <w:numId w:val="29"/>
        </w:numPr>
        <w:spacing w:line="240" w:lineRule="auto"/>
      </w:pPr>
      <w:r w:rsidRPr="00AA260E">
        <w:t>Representar a la Secretaría en las funciones y comisiones que la persona titular de la Secretaría le delegue o encomiende, y comunicar los avances e informes sobre su cumplimiento;</w:t>
      </w:r>
    </w:p>
    <w:p w:rsidR="000E2F06" w:rsidRDefault="009B55F1" w:rsidP="00AA260E">
      <w:pPr>
        <w:pStyle w:val="INFOEM"/>
        <w:spacing w:line="240" w:lineRule="auto"/>
      </w:pPr>
      <w:r w:rsidRPr="009B55F1">
        <w:t>Artículo 21. Corresponden a la Dirección de Investigac</w:t>
      </w:r>
      <w:r>
        <w:t>ión las atribuciones siguientes</w:t>
      </w:r>
      <w:r w:rsidR="000E2F06" w:rsidRPr="000E2F06">
        <w:t xml:space="preserve">:  </w:t>
      </w:r>
    </w:p>
    <w:p w:rsidR="000E2F06" w:rsidRDefault="000E2F06" w:rsidP="00AA260E">
      <w:pPr>
        <w:pStyle w:val="INFOEM"/>
        <w:spacing w:line="240" w:lineRule="auto"/>
      </w:pPr>
      <w:r>
        <w:t>…</w:t>
      </w:r>
    </w:p>
    <w:p w:rsidR="000E2F06" w:rsidRDefault="00AA260E" w:rsidP="00AA260E">
      <w:pPr>
        <w:pStyle w:val="INFOEM"/>
        <w:spacing w:line="240" w:lineRule="auto"/>
      </w:pPr>
      <w:r>
        <w:t>XVII. Proponer y presentar, las denuncias o querellas que procedan por la probable responsabilidad de orden penal que se detecte en la sustanciación del procedimiento de investigación, ante la Fiscalía General de Justicia del Estado de México o en su caso ante el homólogo en el ámbito federal;</w:t>
      </w:r>
    </w:p>
    <w:p w:rsidR="000E2F06" w:rsidRDefault="009B55F1" w:rsidP="000E2F06">
      <w:pPr>
        <w:pStyle w:val="INFOEM"/>
      </w:pPr>
      <w:r w:rsidRPr="009B55F1">
        <w:t>Artículo 36. Corresponden al Órgano Interno de Control de la Secretaría, las atribuciones siguientes:</w:t>
      </w:r>
    </w:p>
    <w:p w:rsidR="00A13FB5" w:rsidRPr="000E2F06" w:rsidRDefault="00A13FB5" w:rsidP="000E2F06">
      <w:pPr>
        <w:pStyle w:val="INFOEM"/>
      </w:pPr>
      <w:r w:rsidRPr="00A13FB5">
        <w:lastRenderedPageBreak/>
        <w:t>XX. Presentar las denuncias por hechos que las leyes señalen como delitos ante la Fiscalía General de Justicia del Estado de México o en su caso ante el homólogo en el ámbito federal;</w:t>
      </w:r>
    </w:p>
    <w:p w:rsidR="007364A6" w:rsidRDefault="007364A6" w:rsidP="007364A6">
      <w:pPr>
        <w:spacing w:after="0" w:line="360" w:lineRule="auto"/>
        <w:jc w:val="both"/>
        <w:rPr>
          <w:rFonts w:ascii="Palatino Linotype" w:eastAsia="MS Mincho" w:hAnsi="Palatino Linotype" w:cs="Arial"/>
          <w:sz w:val="24"/>
          <w:szCs w:val="24"/>
          <w:lang w:val="es-ES"/>
        </w:rPr>
      </w:pPr>
    </w:p>
    <w:p w:rsidR="007364A6" w:rsidRPr="00165D42" w:rsidRDefault="007364A6" w:rsidP="007364A6">
      <w:pPr>
        <w:spacing w:after="0" w:line="360" w:lineRule="auto"/>
        <w:jc w:val="both"/>
        <w:rPr>
          <w:rFonts w:ascii="Palatino Linotype" w:eastAsia="MS Mincho" w:hAnsi="Palatino Linotype" w:cs="Arial"/>
          <w:sz w:val="24"/>
          <w:szCs w:val="24"/>
          <w:lang w:val="es-ES"/>
        </w:rPr>
      </w:pPr>
      <w:r w:rsidRPr="00165D42">
        <w:rPr>
          <w:rFonts w:ascii="Palatino Linotype" w:eastAsia="MS Mincho" w:hAnsi="Palatino Linotype" w:cs="Arial"/>
          <w:sz w:val="24"/>
          <w:szCs w:val="24"/>
          <w:lang w:val="es-ES"/>
        </w:rPr>
        <w:t xml:space="preserve">De conformidad con el artículo 10 de la Ley de Responsabilidades de la Entidad, la investigación, substanciación y calificación de las faltas administrativas es competencia de la </w:t>
      </w:r>
      <w:r w:rsidRPr="00165D42">
        <w:rPr>
          <w:rFonts w:ascii="Palatino Linotype" w:eastAsia="MS Mincho" w:hAnsi="Palatino Linotype" w:cs="Arial"/>
          <w:b/>
          <w:sz w:val="24"/>
          <w:szCs w:val="24"/>
          <w:lang w:val="es-ES"/>
        </w:rPr>
        <w:t>Secretaría de la Contraloría y los Órganos Internos de Control</w:t>
      </w:r>
      <w:r w:rsidRPr="00165D42">
        <w:rPr>
          <w:rFonts w:ascii="Palatino Linotype" w:eastAsia="MS Mincho" w:hAnsi="Palatino Linotype" w:cs="Arial"/>
          <w:sz w:val="24"/>
          <w:szCs w:val="24"/>
          <w:lang w:val="es-ES"/>
        </w:rPr>
        <w:t>, siendo que, para el caso de la existencia de faltas administrativas no graves, estos podrán substanciar y resolver los procedimientos de responsabilidad correspondientes, tal como se advierte a continuación:</w:t>
      </w:r>
    </w:p>
    <w:p w:rsidR="007364A6" w:rsidRPr="00165D42" w:rsidRDefault="007364A6" w:rsidP="007364A6">
      <w:pPr>
        <w:spacing w:after="0" w:line="360" w:lineRule="auto"/>
        <w:jc w:val="both"/>
        <w:rPr>
          <w:rFonts w:ascii="Palatino Linotype" w:eastAsia="MS Mincho" w:hAnsi="Palatino Linotype" w:cs="Arial"/>
          <w:sz w:val="24"/>
          <w:szCs w:val="24"/>
          <w:lang w:val="es-ES"/>
        </w:rPr>
      </w:pPr>
    </w:p>
    <w:p w:rsidR="007364A6" w:rsidRPr="00165D42" w:rsidRDefault="007364A6" w:rsidP="007364A6">
      <w:pPr>
        <w:spacing w:after="0" w:line="240" w:lineRule="auto"/>
        <w:ind w:left="567" w:right="567"/>
        <w:jc w:val="both"/>
        <w:rPr>
          <w:rFonts w:ascii="Palatino Linotype" w:eastAsia="MS Mincho" w:hAnsi="Palatino Linotype" w:cs="Arial"/>
          <w:i/>
          <w:szCs w:val="24"/>
          <w:lang w:val="es-ES"/>
        </w:rPr>
      </w:pPr>
      <w:r w:rsidRPr="00165D42">
        <w:rPr>
          <w:rFonts w:ascii="Palatino Linotype" w:eastAsia="MS Mincho" w:hAnsi="Palatino Linotype" w:cs="Arial"/>
          <w:b/>
          <w:i/>
          <w:szCs w:val="24"/>
          <w:lang w:val="es-ES"/>
        </w:rPr>
        <w:t>“Artículo 10.</w:t>
      </w:r>
      <w:r w:rsidRPr="00165D42">
        <w:rPr>
          <w:rFonts w:ascii="Palatino Linotype" w:eastAsia="MS Mincho" w:hAnsi="Palatino Linotype" w:cs="Arial"/>
          <w:i/>
          <w:szCs w:val="24"/>
          <w:lang w:val="es-ES"/>
        </w:rPr>
        <w:t xml:space="preserve"> La </w:t>
      </w:r>
      <w:r w:rsidRPr="00165D42">
        <w:rPr>
          <w:rFonts w:ascii="Palatino Linotype" w:eastAsia="MS Mincho" w:hAnsi="Palatino Linotype" w:cs="Arial"/>
          <w:b/>
          <w:i/>
          <w:szCs w:val="24"/>
          <w:lang w:val="es-ES"/>
        </w:rPr>
        <w:t>Secretaría de la Contraloría y los órganos internos de control</w:t>
      </w:r>
      <w:r w:rsidRPr="00165D42">
        <w:rPr>
          <w:rFonts w:ascii="Palatino Linotype" w:eastAsia="MS Mincho" w:hAnsi="Palatino Linotype" w:cs="Arial"/>
          <w:i/>
          <w:szCs w:val="24"/>
          <w:lang w:val="es-ES"/>
        </w:rPr>
        <w:t xml:space="preserve"> tendrán a su cargo, en el ámbito de su competencia, la investigación, substanciación y calificación de las faltas administrativas.</w:t>
      </w:r>
    </w:p>
    <w:p w:rsidR="007364A6" w:rsidRPr="00165D42" w:rsidRDefault="007364A6" w:rsidP="007364A6">
      <w:pPr>
        <w:spacing w:after="0" w:line="240" w:lineRule="auto"/>
        <w:ind w:left="567" w:right="567"/>
        <w:jc w:val="both"/>
        <w:rPr>
          <w:rFonts w:ascii="Palatino Linotype" w:eastAsia="MS Mincho" w:hAnsi="Palatino Linotype" w:cs="Arial"/>
          <w:i/>
          <w:szCs w:val="24"/>
          <w:lang w:val="es-ES"/>
        </w:rPr>
      </w:pPr>
      <w:r w:rsidRPr="00165D42">
        <w:rPr>
          <w:rFonts w:ascii="Palatino Linotype" w:eastAsia="MS Mincho" w:hAnsi="Palatino Linotype" w:cs="Arial"/>
          <w:i/>
          <w:szCs w:val="24"/>
          <w:lang w:val="es-ES"/>
        </w:rPr>
        <w:t>En el caso de la Contraloría del Poder Legislativo, será competente respecto de los servidores públicos de elección popular municipal y de los mismos servidores públicos del Poder Legislativo.</w:t>
      </w:r>
    </w:p>
    <w:p w:rsidR="007364A6" w:rsidRPr="00165D42" w:rsidRDefault="007364A6" w:rsidP="007364A6">
      <w:pPr>
        <w:spacing w:after="0" w:line="240" w:lineRule="auto"/>
        <w:ind w:left="567" w:right="567"/>
        <w:jc w:val="both"/>
        <w:rPr>
          <w:rFonts w:ascii="Palatino Linotype" w:eastAsia="MS Mincho" w:hAnsi="Palatino Linotype" w:cs="Arial"/>
          <w:i/>
          <w:szCs w:val="24"/>
          <w:lang w:val="es-ES"/>
        </w:rPr>
      </w:pPr>
      <w:r w:rsidRPr="00165D42">
        <w:rPr>
          <w:rFonts w:ascii="Palatino Linotype" w:eastAsia="MS Mincho" w:hAnsi="Palatino Linotype" w:cs="Arial"/>
          <w:i/>
          <w:szCs w:val="24"/>
          <w:lang w:val="es-ES"/>
        </w:rPr>
        <w:t>Tratándose de actos u omisiones que hayan sido calificados como faltas administrativas no graves, la Secretaría de la Contraloría y los órganos internos de control, serán competentes para iniciar, substanciar y resolver los procedimientos de responsabilidad administrativa en los términos previstos en esta Ley.</w:t>
      </w:r>
    </w:p>
    <w:p w:rsidR="007364A6" w:rsidRPr="00165D42" w:rsidRDefault="007364A6" w:rsidP="007364A6">
      <w:pPr>
        <w:spacing w:after="0" w:line="240" w:lineRule="auto"/>
        <w:ind w:left="567" w:right="567"/>
        <w:jc w:val="both"/>
        <w:rPr>
          <w:rFonts w:ascii="Palatino Linotype" w:eastAsia="MS Mincho" w:hAnsi="Palatino Linotype" w:cs="Arial"/>
          <w:i/>
          <w:szCs w:val="24"/>
          <w:lang w:val="es-ES"/>
        </w:rPr>
      </w:pPr>
      <w:r w:rsidRPr="00165D42">
        <w:rPr>
          <w:rFonts w:ascii="Palatino Linotype" w:eastAsia="MS Mincho" w:hAnsi="Palatino Linotype" w:cs="Arial"/>
          <w:i/>
          <w:szCs w:val="24"/>
          <w:lang w:val="es-ES"/>
        </w:rPr>
        <w:t>En el supuesto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esta Ley.</w:t>
      </w:r>
    </w:p>
    <w:p w:rsidR="007364A6" w:rsidRPr="00165D42" w:rsidRDefault="007364A6" w:rsidP="007364A6">
      <w:pPr>
        <w:spacing w:after="0" w:line="360" w:lineRule="auto"/>
        <w:jc w:val="both"/>
        <w:rPr>
          <w:rFonts w:ascii="Palatino Linotype" w:eastAsia="MS Mincho" w:hAnsi="Palatino Linotype" w:cs="Arial"/>
          <w:sz w:val="24"/>
          <w:szCs w:val="24"/>
          <w:lang w:val="es-ES"/>
        </w:rPr>
      </w:pPr>
    </w:p>
    <w:p w:rsidR="007364A6" w:rsidRPr="00165D42" w:rsidRDefault="007364A6" w:rsidP="007364A6">
      <w:pPr>
        <w:spacing w:after="0" w:line="360" w:lineRule="auto"/>
        <w:jc w:val="both"/>
        <w:rPr>
          <w:rFonts w:ascii="Palatino Linotype" w:eastAsia="MS Mincho" w:hAnsi="Palatino Linotype" w:cs="Arial"/>
          <w:sz w:val="24"/>
          <w:szCs w:val="24"/>
          <w:lang w:val="es-ES"/>
        </w:rPr>
      </w:pPr>
    </w:p>
    <w:p w:rsidR="007364A6" w:rsidRPr="00165D42" w:rsidRDefault="007364A6" w:rsidP="007364A6">
      <w:pPr>
        <w:spacing w:after="0" w:line="360" w:lineRule="auto"/>
        <w:jc w:val="both"/>
        <w:rPr>
          <w:rFonts w:ascii="Palatino Linotype" w:hAnsi="Palatino Linotype" w:cs="Arial"/>
          <w:sz w:val="24"/>
          <w:szCs w:val="24"/>
        </w:rPr>
      </w:pPr>
      <w:r w:rsidRPr="00165D42">
        <w:rPr>
          <w:rFonts w:ascii="Palatino Linotype" w:hAnsi="Palatino Linotype" w:cs="Arial"/>
          <w:sz w:val="24"/>
          <w:szCs w:val="24"/>
        </w:rPr>
        <w:t xml:space="preserve">Por lo anterior, este Instituto resalta que, si bien, por regla general, toda la información generada, obtenida, adquirida, transformada, administrada o en posesión de los </w:t>
      </w:r>
      <w:r w:rsidRPr="00165D42">
        <w:rPr>
          <w:rFonts w:ascii="Palatino Linotype" w:hAnsi="Palatino Linotype" w:cs="Arial"/>
          <w:sz w:val="24"/>
          <w:szCs w:val="24"/>
        </w:rPr>
        <w:lastRenderedPageBreak/>
        <w:t>sujetos obligados es pública, debemos considerar que también hay excepciones, es decir, que se trate de información clasificada (confidencial o reservada), en cuyo caso, se restringirá, excepcionalmente, el acceso conforme a lo señalado en la ley en la materia.</w:t>
      </w:r>
    </w:p>
    <w:p w:rsidR="007364A6" w:rsidRDefault="007364A6" w:rsidP="007364A6">
      <w:pPr>
        <w:tabs>
          <w:tab w:val="left" w:pos="709"/>
        </w:tabs>
        <w:spacing w:after="0" w:line="360" w:lineRule="auto"/>
        <w:jc w:val="both"/>
        <w:rPr>
          <w:rFonts w:ascii="Palatino Linotype" w:hAnsi="Palatino Linotype"/>
          <w:sz w:val="24"/>
          <w:szCs w:val="24"/>
        </w:rPr>
      </w:pPr>
    </w:p>
    <w:p w:rsidR="007364A6" w:rsidRPr="00165D42" w:rsidRDefault="007364A6" w:rsidP="007364A6">
      <w:pPr>
        <w:spacing w:after="0" w:line="360" w:lineRule="auto"/>
        <w:jc w:val="both"/>
        <w:rPr>
          <w:rFonts w:ascii="Palatino Linotype" w:eastAsia="Calibri" w:hAnsi="Palatino Linotype"/>
          <w:sz w:val="24"/>
          <w:szCs w:val="24"/>
        </w:rPr>
      </w:pPr>
      <w:r w:rsidRPr="00165D42">
        <w:rPr>
          <w:rFonts w:ascii="Palatino Linotype" w:hAnsi="Palatino Linotype"/>
          <w:sz w:val="24"/>
          <w:szCs w:val="24"/>
          <w:lang w:val="es-ES" w:eastAsia="es-ES"/>
        </w:rPr>
        <w:t xml:space="preserve">En el presente asunto no es la excepción, </w:t>
      </w:r>
      <w:r w:rsidRPr="00165D42">
        <w:rPr>
          <w:rFonts w:ascii="Palatino Linotype" w:hAnsi="Palatino Linotype"/>
          <w:bCs/>
          <w:sz w:val="24"/>
          <w:szCs w:val="24"/>
          <w:lang w:val="es-ES"/>
        </w:rPr>
        <w:t xml:space="preserve">pues la reserva de la información implica una clasificación, la cual debe entenderse como el proceso mediante el cual </w:t>
      </w:r>
      <w:r w:rsidRPr="00165D42">
        <w:rPr>
          <w:rFonts w:ascii="Palatino Linotype" w:hAnsi="Palatino Linotype"/>
          <w:b/>
          <w:bCs/>
          <w:sz w:val="24"/>
          <w:szCs w:val="24"/>
          <w:lang w:val="es-ES"/>
        </w:rPr>
        <w:t>El Sujeto Obligado</w:t>
      </w:r>
      <w:r w:rsidRPr="00165D42">
        <w:rPr>
          <w:rFonts w:ascii="Palatino Linotype" w:hAnsi="Palatino Linotype"/>
          <w:bCs/>
          <w:sz w:val="24"/>
          <w:szCs w:val="24"/>
          <w:lang w:val="es-ES"/>
        </w:rPr>
        <w:t xml:space="preserve"> determina que la información en su poder actualizar alguno de los supuestos de reserva o confidencialidad</w:t>
      </w:r>
      <w:r w:rsidR="00FE2F4A">
        <w:rPr>
          <w:rFonts w:ascii="Palatino Linotype" w:eastAsia="Calibri" w:hAnsi="Palatino Linotype"/>
          <w:sz w:val="24"/>
          <w:szCs w:val="24"/>
        </w:rPr>
        <w:t>.</w:t>
      </w:r>
    </w:p>
    <w:p w:rsidR="00FE2F4A" w:rsidRPr="00FE2F4A" w:rsidRDefault="00FE2F4A" w:rsidP="00FE2F4A">
      <w:pPr>
        <w:pStyle w:val="Sinespaciado"/>
        <w:spacing w:before="240" w:line="360" w:lineRule="auto"/>
        <w:jc w:val="both"/>
        <w:rPr>
          <w:rFonts w:ascii="Palatino Linotype" w:hAnsi="Palatino Linotype"/>
          <w:bCs/>
          <w:lang w:val="es-ES"/>
        </w:rPr>
      </w:pPr>
      <w:r w:rsidRPr="00FE2F4A">
        <w:rPr>
          <w:rFonts w:ascii="Palatino Linotype" w:hAnsi="Palatino Linotype"/>
          <w:bCs/>
        </w:rPr>
        <w:t xml:space="preserve">De lo anterior, </w:t>
      </w:r>
      <w:r w:rsidRPr="00FE2F4A">
        <w:rPr>
          <w:rFonts w:ascii="Palatino Linotype" w:hAnsi="Palatino Linotype"/>
          <w:bCs/>
          <w:lang w:val="es-ES"/>
        </w:rPr>
        <w:t xml:space="preserve">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 </w:t>
      </w:r>
    </w:p>
    <w:p w:rsidR="00FE2F4A" w:rsidRPr="00FE2F4A" w:rsidRDefault="00FE2F4A" w:rsidP="00FE2F4A">
      <w:pPr>
        <w:pStyle w:val="Sinespaciado"/>
        <w:numPr>
          <w:ilvl w:val="0"/>
          <w:numId w:val="32"/>
        </w:numPr>
        <w:spacing w:before="240" w:line="360" w:lineRule="auto"/>
        <w:jc w:val="both"/>
        <w:rPr>
          <w:rFonts w:ascii="Palatino Linotype" w:hAnsi="Palatino Linotype"/>
          <w:b/>
          <w:bCs/>
          <w:lang w:val="es-ES"/>
        </w:rPr>
      </w:pPr>
      <w:r w:rsidRPr="00FE2F4A">
        <w:rPr>
          <w:rFonts w:ascii="Palatino Linotype" w:hAnsi="Palatino Linotype"/>
          <w:b/>
          <w:bCs/>
          <w:lang w:val="es-ES"/>
        </w:rPr>
        <w:t>Información confidencial:</w:t>
      </w:r>
      <w:r w:rsidRPr="00FE2F4A">
        <w:rPr>
          <w:rFonts w:ascii="Palatino Linotype" w:hAnsi="Palatino Linotype"/>
          <w:bCs/>
          <w:lang w:val="es-ES"/>
        </w:rPr>
        <w:t xml:space="preserve"> Se considera como información confidencial los </w:t>
      </w:r>
      <w:r w:rsidRPr="00FE2F4A">
        <w:rPr>
          <w:rFonts w:ascii="Palatino Linotype" w:hAnsi="Palatino Linotype"/>
          <w:b/>
          <w:bCs/>
          <w:lang w:val="es-ES"/>
        </w:rPr>
        <w:t xml:space="preserve">secretos bancario, fiduciario, industrial, comercial, fiscal, bursátil y postal, cuya titularidad corresponda a particulares, sujetos de derecho internacional o a sujetos obligados cuando no involucren el ejercicio de recursos públicos. </w:t>
      </w:r>
    </w:p>
    <w:p w:rsidR="00FE2F4A" w:rsidRPr="00FE2F4A" w:rsidRDefault="00FE2F4A" w:rsidP="00FE2F4A">
      <w:pPr>
        <w:pStyle w:val="Sinespaciado"/>
        <w:numPr>
          <w:ilvl w:val="0"/>
          <w:numId w:val="32"/>
        </w:numPr>
        <w:spacing w:before="240" w:line="360" w:lineRule="auto"/>
        <w:jc w:val="both"/>
        <w:rPr>
          <w:rFonts w:ascii="Palatino Linotype" w:hAnsi="Palatino Linotype"/>
          <w:bCs/>
          <w:lang w:val="es-ES"/>
        </w:rPr>
      </w:pPr>
      <w:r w:rsidRPr="00FE2F4A">
        <w:rPr>
          <w:rFonts w:ascii="Palatino Linotype" w:hAnsi="Palatino Linotype"/>
          <w:b/>
          <w:bCs/>
          <w:lang w:val="es-ES"/>
        </w:rPr>
        <w:lastRenderedPageBreak/>
        <w:t>Información privada:</w:t>
      </w:r>
      <w:r w:rsidRPr="00FE2F4A">
        <w:rPr>
          <w:rFonts w:ascii="Palatino Linotype" w:hAnsi="Palatino Linotype"/>
          <w:bCs/>
          <w:lang w:val="es-ES"/>
        </w:rPr>
        <w:t xml:space="preserve"> La contenida en documentos públicos o privados que refiera a la vida privada y/o los datos personales, que no son de acceso público. </w:t>
      </w:r>
    </w:p>
    <w:p w:rsidR="00FE2F4A" w:rsidRPr="00FE2F4A" w:rsidRDefault="00FE2F4A" w:rsidP="00FE2F4A">
      <w:pPr>
        <w:pStyle w:val="Sinespaciado"/>
        <w:numPr>
          <w:ilvl w:val="0"/>
          <w:numId w:val="32"/>
        </w:numPr>
        <w:spacing w:before="240" w:line="360" w:lineRule="auto"/>
        <w:jc w:val="both"/>
        <w:rPr>
          <w:rFonts w:ascii="Palatino Linotype" w:hAnsi="Palatino Linotype"/>
          <w:bCs/>
          <w:lang w:val="es-ES"/>
        </w:rPr>
      </w:pPr>
      <w:r w:rsidRPr="00FE2F4A">
        <w:rPr>
          <w:rFonts w:ascii="Palatino Linotype" w:hAnsi="Palatino Linotype"/>
          <w:b/>
          <w:bCs/>
          <w:lang w:val="es-ES"/>
        </w:rPr>
        <w:t>Información reservada:</w:t>
      </w:r>
      <w:r w:rsidRPr="00FE2F4A">
        <w:rPr>
          <w:rFonts w:ascii="Palatino Linotype" w:hAnsi="Palatino Linotype"/>
          <w:bCs/>
          <w:lang w:val="es-ES"/>
        </w:rPr>
        <w:t xml:space="preserve"> La clasificada con este carácter de manera temporal por las disposiciones de esta Ley, cuya divulgación puede causar daño en términos de lo establecido por esta Ley. </w:t>
      </w:r>
    </w:p>
    <w:p w:rsidR="00FE2F4A" w:rsidRPr="00FE2F4A" w:rsidRDefault="00FE2F4A" w:rsidP="00FE2F4A">
      <w:pPr>
        <w:pStyle w:val="Sinespaciado"/>
        <w:spacing w:before="240" w:line="360" w:lineRule="auto"/>
        <w:jc w:val="both"/>
        <w:rPr>
          <w:rFonts w:ascii="Palatino Linotype" w:hAnsi="Palatino Linotype"/>
          <w:bCs/>
          <w:lang w:val="es-ES"/>
        </w:rPr>
      </w:pPr>
    </w:p>
    <w:p w:rsidR="00FE2F4A" w:rsidRPr="00FE2F4A" w:rsidRDefault="00FE2F4A" w:rsidP="00FE2F4A">
      <w:pPr>
        <w:pStyle w:val="Sinespaciado"/>
        <w:spacing w:before="240" w:line="360" w:lineRule="auto"/>
        <w:jc w:val="both"/>
        <w:rPr>
          <w:rFonts w:ascii="Palatino Linotype" w:hAnsi="Palatino Linotype"/>
          <w:b/>
          <w:bCs/>
          <w:highlight w:val="yellow"/>
          <w:u w:val="single"/>
          <w:lang w:val="es-ES"/>
        </w:rPr>
      </w:pPr>
      <w:r w:rsidRPr="00FE2F4A">
        <w:rPr>
          <w:rFonts w:ascii="Palatino Linotype" w:hAnsi="Palatino Linotype"/>
          <w:bCs/>
          <w:lang w:val="es-ES"/>
        </w:rPr>
        <w:t xml:space="preserve">En resumen, se determina que, excepcionalmente, la información pública, podrá ser </w:t>
      </w:r>
      <w:r w:rsidRPr="00FE2F4A">
        <w:rPr>
          <w:rFonts w:ascii="Palatino Linotype" w:hAnsi="Palatino Linotype"/>
          <w:b/>
          <w:bCs/>
          <w:u w:val="single"/>
          <w:lang w:val="es-ES"/>
        </w:rPr>
        <w:t>clasificada como reservada temporalmente por razones de interés público, en los términos de las causas legítimas y estrictamente necesarias previstas por la Ley de Transparencia</w:t>
      </w:r>
      <w:r w:rsidRPr="00FE2F4A">
        <w:rPr>
          <w:rFonts w:ascii="Palatino Linotype" w:hAnsi="Palatino Linotype"/>
          <w:bCs/>
          <w:lang w:val="es-ES"/>
        </w:rPr>
        <w:t>; así como confidencial, tratándose principalmente de aquella que refiera a la información privada y datos personales concernientes a una persona física.</w:t>
      </w:r>
    </w:p>
    <w:p w:rsidR="007364A6" w:rsidRPr="00165D42" w:rsidRDefault="007364A6" w:rsidP="007364A6">
      <w:pPr>
        <w:tabs>
          <w:tab w:val="left" w:pos="709"/>
        </w:tabs>
        <w:spacing w:after="0" w:line="360" w:lineRule="auto"/>
        <w:jc w:val="both"/>
        <w:rPr>
          <w:rFonts w:ascii="Palatino Linotype" w:hAnsi="Palatino Linotype"/>
          <w:b/>
          <w:sz w:val="24"/>
          <w:szCs w:val="24"/>
        </w:rPr>
      </w:pPr>
    </w:p>
    <w:p w:rsidR="007364A6" w:rsidRDefault="007364A6" w:rsidP="007364A6">
      <w:pPr>
        <w:tabs>
          <w:tab w:val="left" w:pos="709"/>
        </w:tabs>
        <w:spacing w:after="0" w:line="360" w:lineRule="auto"/>
        <w:jc w:val="both"/>
        <w:rPr>
          <w:rFonts w:ascii="Palatino Linotype" w:hAnsi="Palatino Linotype"/>
          <w:sz w:val="24"/>
        </w:rPr>
      </w:pPr>
      <w:r w:rsidRPr="00165D42">
        <w:rPr>
          <w:rFonts w:ascii="Palatino Linotype" w:hAnsi="Palatino Linotype"/>
          <w:sz w:val="24"/>
        </w:rPr>
        <w:t>En virtud de lo anterior, el derecho de acceso a la información pública se traduce en la prerrogativa constitucional de acceder a soportes documentales generados</w:t>
      </w:r>
      <w:r w:rsidRPr="00165D42">
        <w:rPr>
          <w:rFonts w:ascii="Palatino Linotype" w:hAnsi="Palatino Linotype"/>
          <w:b/>
          <w:bCs/>
          <w:sz w:val="24"/>
          <w:u w:val="single"/>
        </w:rPr>
        <w:t>, poseídos o administrados</w:t>
      </w:r>
      <w:r w:rsidRPr="00165D42">
        <w:rPr>
          <w:rFonts w:ascii="Palatino Linotype" w:hAnsi="Palatino Linotype"/>
          <w:sz w:val="24"/>
        </w:rPr>
        <w:t xml:space="preserve"> por los sujetos obligados. </w:t>
      </w:r>
    </w:p>
    <w:p w:rsidR="007364A6" w:rsidRDefault="007364A6" w:rsidP="007364A6">
      <w:pPr>
        <w:tabs>
          <w:tab w:val="left" w:pos="709"/>
        </w:tabs>
        <w:spacing w:after="0" w:line="360" w:lineRule="auto"/>
        <w:jc w:val="both"/>
        <w:rPr>
          <w:rFonts w:ascii="Palatino Linotype" w:hAnsi="Palatino Linotype"/>
          <w:sz w:val="24"/>
        </w:rPr>
      </w:pPr>
    </w:p>
    <w:p w:rsidR="007364A6" w:rsidRDefault="007364A6" w:rsidP="007364A6">
      <w:pPr>
        <w:tabs>
          <w:tab w:val="left" w:pos="709"/>
        </w:tabs>
        <w:spacing w:after="0" w:line="360" w:lineRule="auto"/>
        <w:jc w:val="both"/>
        <w:rPr>
          <w:rFonts w:ascii="Palatino Linotype" w:hAnsi="Palatino Linotype"/>
          <w:sz w:val="24"/>
        </w:rPr>
      </w:pPr>
    </w:p>
    <w:p w:rsidR="007364A6" w:rsidRPr="00165D42" w:rsidRDefault="007364A6" w:rsidP="007364A6">
      <w:pPr>
        <w:tabs>
          <w:tab w:val="left" w:pos="709"/>
        </w:tabs>
        <w:spacing w:after="0" w:line="360" w:lineRule="auto"/>
        <w:jc w:val="both"/>
        <w:rPr>
          <w:rFonts w:ascii="Palatino Linotype" w:hAnsi="Palatino Linotype"/>
          <w:sz w:val="24"/>
        </w:rPr>
      </w:pPr>
      <w:r w:rsidRPr="00165D42">
        <w:rPr>
          <w:rFonts w:ascii="Palatino Linotype" w:hAnsi="Palatino Linotype"/>
          <w:sz w:val="24"/>
        </w:rPr>
        <w:t>De manera complementaria, no se omite señalar que tratándose de responsabilidades administrativas y otros tópicos, no podrá invocarse con el carácter de reservada, aquella información que se encuentre relacionada con posibles violaciones a derechos humanos delitos de lesa humanidad</w:t>
      </w:r>
      <w:r w:rsidRPr="00165D42">
        <w:rPr>
          <w:sz w:val="24"/>
        </w:rPr>
        <w:t xml:space="preserve"> </w:t>
      </w:r>
      <w:r w:rsidRPr="00165D42">
        <w:rPr>
          <w:rFonts w:ascii="Palatino Linotype" w:hAnsi="Palatino Linotype"/>
          <w:sz w:val="24"/>
        </w:rPr>
        <w:t>o actos de corrupción, preceptos legales que establecen lo siguiente:</w:t>
      </w:r>
    </w:p>
    <w:p w:rsidR="007364A6" w:rsidRPr="00165D42" w:rsidRDefault="007364A6" w:rsidP="007364A6">
      <w:pPr>
        <w:pStyle w:val="Citas"/>
        <w:rPr>
          <w:b/>
          <w:bCs/>
        </w:rPr>
      </w:pPr>
      <w:r w:rsidRPr="00165D42">
        <w:rPr>
          <w:b/>
          <w:bCs/>
        </w:rPr>
        <w:lastRenderedPageBreak/>
        <w:t>LEY GENERAL DE TRANSPARENCIA Y ACCESO A LA INFORMACIÓN PÚBLICA</w:t>
      </w:r>
    </w:p>
    <w:p w:rsidR="007364A6" w:rsidRPr="003B3C21" w:rsidRDefault="007364A6" w:rsidP="007364A6">
      <w:pPr>
        <w:pStyle w:val="Citas"/>
        <w:rPr>
          <w:b/>
          <w:u w:val="single"/>
        </w:rPr>
      </w:pPr>
      <w:r w:rsidRPr="003B3C21">
        <w:rPr>
          <w:b/>
          <w:u w:val="single"/>
        </w:rPr>
        <w:t>Artículo 115. No podrá invocarse el carácter de reservado cuando:</w:t>
      </w:r>
    </w:p>
    <w:p w:rsidR="007364A6" w:rsidRPr="00165D42" w:rsidRDefault="007364A6" w:rsidP="007364A6">
      <w:pPr>
        <w:pStyle w:val="Citas"/>
      </w:pPr>
      <w:r w:rsidRPr="00165D42">
        <w:t>I. Se trate de violaciones graves de derechos humanos o delitos de lesa humanidad, o</w:t>
      </w:r>
    </w:p>
    <w:p w:rsidR="007364A6" w:rsidRPr="00165D42" w:rsidRDefault="007364A6" w:rsidP="007364A6">
      <w:pPr>
        <w:pStyle w:val="Citas"/>
      </w:pPr>
      <w:r w:rsidRPr="00165D42">
        <w:t>II. Se trate de información relacionada con actos de corrupción de acuerdo con las leyes aplicables.</w:t>
      </w:r>
    </w:p>
    <w:p w:rsidR="007364A6" w:rsidRPr="00165D42" w:rsidRDefault="007364A6" w:rsidP="007364A6">
      <w:pPr>
        <w:pStyle w:val="Citas"/>
      </w:pPr>
    </w:p>
    <w:p w:rsidR="007364A6" w:rsidRPr="00165D42" w:rsidRDefault="007364A6" w:rsidP="007364A6">
      <w:pPr>
        <w:pStyle w:val="Citas"/>
        <w:rPr>
          <w:b/>
          <w:bCs/>
        </w:rPr>
      </w:pPr>
      <w:r w:rsidRPr="00165D42">
        <w:rPr>
          <w:b/>
          <w:bCs/>
        </w:rPr>
        <w:t>LEY DE TRANSPARENCIA Y ACCESO A LA INFORMACIÓN PÚBLICA DEL ESTADO DE MÉXICO Y MUNICIPIOS</w:t>
      </w:r>
    </w:p>
    <w:p w:rsidR="007364A6" w:rsidRPr="003B3C21" w:rsidRDefault="007364A6" w:rsidP="007364A6">
      <w:pPr>
        <w:pStyle w:val="Citas"/>
        <w:rPr>
          <w:b/>
          <w:u w:val="single"/>
        </w:rPr>
      </w:pPr>
      <w:r w:rsidRPr="003B3C21">
        <w:rPr>
          <w:b/>
          <w:u w:val="single"/>
        </w:rPr>
        <w:t>Artículo 142. Bajo ninguna circunstancia podrá invocarse el carácter de reservado cuando:</w:t>
      </w:r>
    </w:p>
    <w:p w:rsidR="007364A6" w:rsidRPr="00165D42" w:rsidRDefault="007364A6" w:rsidP="007364A6">
      <w:pPr>
        <w:pStyle w:val="Citas"/>
      </w:pPr>
      <w:r w:rsidRPr="00165D42">
        <w:t>I. Se trate de violaciones graves de derechos humanos, calificada así por autoridad competente;</w:t>
      </w:r>
    </w:p>
    <w:p w:rsidR="007364A6" w:rsidRPr="00165D42" w:rsidRDefault="007364A6" w:rsidP="007364A6">
      <w:pPr>
        <w:pStyle w:val="Citas"/>
      </w:pPr>
      <w:r w:rsidRPr="00165D42">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7364A6" w:rsidRPr="00165D42" w:rsidRDefault="007364A6" w:rsidP="007364A6">
      <w:pPr>
        <w:pStyle w:val="Citas"/>
      </w:pPr>
      <w:r w:rsidRPr="00165D42">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7364A6" w:rsidRPr="00165D42" w:rsidRDefault="007364A6" w:rsidP="007364A6">
      <w:pPr>
        <w:pStyle w:val="Citas"/>
      </w:pPr>
      <w:r w:rsidRPr="00165D42">
        <w:lastRenderedPageBreak/>
        <w:t>IV. Se trate de información relacionada con actos de corrupción de conformidad con las disposiciones jurídicas aplicables.</w:t>
      </w:r>
    </w:p>
    <w:p w:rsidR="007364A6" w:rsidRPr="00165D42" w:rsidRDefault="007364A6" w:rsidP="007364A6">
      <w:pPr>
        <w:pStyle w:val="Citas"/>
        <w:rPr>
          <w:b/>
          <w:bCs/>
        </w:rPr>
      </w:pPr>
      <w:r w:rsidRPr="00165D42">
        <w:rPr>
          <w:b/>
          <w:bCs/>
          <w:color w:val="2F2F2F"/>
          <w:shd w:val="clear" w:color="auto" w:fill="FFFFFF"/>
        </w:rPr>
        <w:t>LINEAMIENTOS GENERALES EN MATERIA DE CLASIFICACIÓN Y DESCLASIFICACIÓN DE LA INFORMACIÓN, ASÍ COMO PARA LA ELABORACIÓN DE VERSIONES PÚBLICAS.</w:t>
      </w:r>
    </w:p>
    <w:p w:rsidR="007364A6" w:rsidRPr="00165D42" w:rsidRDefault="007364A6" w:rsidP="007364A6">
      <w:pPr>
        <w:pStyle w:val="Citas"/>
      </w:pPr>
      <w:r w:rsidRPr="00165D42">
        <w:t>Trigésimo séptimo. No podrá invocarse el carácter de reservado de la información cuando:</w:t>
      </w:r>
    </w:p>
    <w:p w:rsidR="007364A6" w:rsidRPr="00165D42" w:rsidRDefault="007364A6" w:rsidP="007364A6">
      <w:pPr>
        <w:pStyle w:val="Citas"/>
      </w:pPr>
      <w:r w:rsidRPr="00165D42">
        <w:t>I.        Se trate de violaciones graves de derechos humanos;</w:t>
      </w:r>
    </w:p>
    <w:p w:rsidR="007364A6" w:rsidRPr="00165D42" w:rsidRDefault="007364A6" w:rsidP="007364A6">
      <w:pPr>
        <w:pStyle w:val="Citas"/>
      </w:pPr>
      <w:r w:rsidRPr="00165D42">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rsidR="007364A6" w:rsidRPr="00165D42" w:rsidRDefault="007364A6" w:rsidP="007364A6">
      <w:pPr>
        <w:pStyle w:val="Citas"/>
      </w:pPr>
      <w:r w:rsidRPr="00165D42">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rsidR="007364A6" w:rsidRPr="00165D42" w:rsidRDefault="007364A6" w:rsidP="007364A6">
      <w:pPr>
        <w:pStyle w:val="Citas"/>
      </w:pPr>
      <w:r w:rsidRPr="00165D42">
        <w:t xml:space="preserve">IV.      Cuando se trate de información relativa a la asignación y ejercicio de los gastos de campañas, precampañas y gastos en general de partidos políticos con cuenta al presupuesto público, ni las aportaciones de cualquier tipo o especie que realicen los </w:t>
      </w:r>
      <w:r w:rsidRPr="00165D42">
        <w:lastRenderedPageBreak/>
        <w:t>particulares sin importar el destino de los recursos aportados; lo anterior de conformidad con lo establecido en la Ley General de Partidos Políticos.</w:t>
      </w:r>
    </w:p>
    <w:p w:rsidR="007364A6" w:rsidRPr="00165D42" w:rsidRDefault="007364A6" w:rsidP="007364A6">
      <w:pPr>
        <w:tabs>
          <w:tab w:val="left" w:pos="709"/>
        </w:tabs>
        <w:spacing w:after="0" w:line="360" w:lineRule="auto"/>
        <w:jc w:val="both"/>
        <w:rPr>
          <w:rFonts w:ascii="Palatino Linotype" w:hAnsi="Palatino Linotype"/>
          <w:sz w:val="24"/>
          <w:szCs w:val="24"/>
        </w:rPr>
      </w:pPr>
    </w:p>
    <w:p w:rsidR="007364A6" w:rsidRPr="00165D42" w:rsidRDefault="007364A6" w:rsidP="007364A6">
      <w:pPr>
        <w:tabs>
          <w:tab w:val="left" w:pos="709"/>
        </w:tabs>
        <w:spacing w:after="0" w:line="360" w:lineRule="auto"/>
        <w:jc w:val="both"/>
        <w:rPr>
          <w:rFonts w:ascii="Palatino Linotype" w:hAnsi="Palatino Linotype"/>
          <w:sz w:val="24"/>
          <w:szCs w:val="24"/>
        </w:rPr>
      </w:pPr>
      <w:r w:rsidRPr="00165D42">
        <w:rPr>
          <w:rFonts w:ascii="Palatino Linotype" w:hAnsi="Palatino Linotype"/>
          <w:sz w:val="24"/>
          <w:szCs w:val="24"/>
        </w:rPr>
        <w:t>En ese sentido, se puede hacer notar el derecho de todo individuo a no ser conocido por otros en ciertos aspectos de su vida y, por ende, el poder de decisión sobre la publicidad o información de datos relativos a su persona (derecho a la intimidad), aunado al derecho a la propia imagen es el derecho de decidir, de forma libre, sobre la manera en que elige mostrarse frente a los demás.</w:t>
      </w:r>
    </w:p>
    <w:p w:rsidR="00590A3D" w:rsidRPr="00590A3D" w:rsidRDefault="00590A3D" w:rsidP="00590A3D">
      <w:pPr>
        <w:pStyle w:val="Sinespaciado"/>
        <w:ind w:left="567" w:right="567"/>
        <w:jc w:val="both"/>
        <w:rPr>
          <w:rFonts w:ascii="Palatino Linotype" w:hAnsi="Palatino Linotype"/>
          <w:i/>
          <w:highlight w:val="yellow"/>
        </w:rPr>
      </w:pPr>
    </w:p>
    <w:p w:rsidR="00590A3D" w:rsidRPr="00590A3D" w:rsidRDefault="00590A3D" w:rsidP="00590A3D">
      <w:pPr>
        <w:pStyle w:val="Sinespaciado"/>
        <w:ind w:left="567" w:right="567"/>
        <w:jc w:val="both"/>
        <w:rPr>
          <w:rFonts w:ascii="Palatino Linotype" w:hAnsi="Palatino Linotype"/>
          <w:i/>
          <w:sz w:val="2"/>
          <w:highlight w:val="yellow"/>
        </w:rPr>
      </w:pPr>
    </w:p>
    <w:p w:rsidR="00590A3D" w:rsidRPr="00590A3D" w:rsidRDefault="00590A3D" w:rsidP="00590A3D">
      <w:pPr>
        <w:spacing w:line="360" w:lineRule="auto"/>
        <w:jc w:val="both"/>
        <w:rPr>
          <w:rFonts w:ascii="Palatino Linotype" w:hAnsi="Palatino Linotype"/>
          <w:highlight w:val="yellow"/>
        </w:rPr>
      </w:pPr>
    </w:p>
    <w:p w:rsidR="00590A3D" w:rsidRPr="00590A3D" w:rsidRDefault="00590A3D" w:rsidP="00590A3D">
      <w:pPr>
        <w:autoSpaceDE w:val="0"/>
        <w:autoSpaceDN w:val="0"/>
        <w:adjustRightInd w:val="0"/>
        <w:spacing w:line="360" w:lineRule="auto"/>
        <w:jc w:val="both"/>
        <w:rPr>
          <w:rFonts w:ascii="Palatino Linotype" w:hAnsi="Palatino Linotype" w:cs="Arial"/>
          <w:sz w:val="24"/>
        </w:rPr>
      </w:pPr>
      <w:r w:rsidRPr="00590A3D">
        <w:rPr>
          <w:rFonts w:ascii="Palatino Linotype" w:hAnsi="Palatino Linotype" w:cs="Arial"/>
          <w:sz w:val="24"/>
        </w:rPr>
        <w:t>Es por ello que se advierte que la información solicitada debe ser clasificada como reservada de conformidad con lo establecido en el artículo 113,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w:t>
      </w:r>
      <w:r w:rsidRPr="00F5625C">
        <w:rPr>
          <w:rFonts w:ascii="Palatino Linotype" w:hAnsi="Palatino Linotype" w:cs="Arial"/>
          <w:sz w:val="24"/>
        </w:rPr>
        <w:t xml:space="preserve">, </w:t>
      </w:r>
      <w:r w:rsidR="007E7B31" w:rsidRPr="00F5625C">
        <w:rPr>
          <w:rFonts w:ascii="Palatino Linotype" w:hAnsi="Palatino Linotype" w:cs="Arial"/>
          <w:sz w:val="24"/>
        </w:rPr>
        <w:t>140, fracciones</w:t>
      </w:r>
      <w:r w:rsidRPr="00F5625C">
        <w:rPr>
          <w:rFonts w:ascii="Palatino Linotype" w:hAnsi="Palatino Linotype" w:cs="Arial"/>
          <w:sz w:val="24"/>
        </w:rPr>
        <w:t xml:space="preserve"> V</w:t>
      </w:r>
      <w:r w:rsidR="007E7B31" w:rsidRPr="00F5625C">
        <w:rPr>
          <w:rFonts w:ascii="Palatino Linotype" w:hAnsi="Palatino Linotype" w:cs="Arial"/>
          <w:sz w:val="24"/>
        </w:rPr>
        <w:t>I y</w:t>
      </w:r>
      <w:r w:rsidR="007E7B31">
        <w:rPr>
          <w:rFonts w:ascii="Palatino Linotype" w:hAnsi="Palatino Linotype" w:cs="Arial"/>
          <w:sz w:val="24"/>
        </w:rPr>
        <w:t xml:space="preserve"> XI </w:t>
      </w:r>
      <w:r w:rsidRPr="00590A3D">
        <w:rPr>
          <w:rFonts w:ascii="Palatino Linotype" w:hAnsi="Palatino Linotype" w:cs="Arial"/>
          <w:sz w:val="24"/>
        </w:rPr>
        <w:t xml:space="preserve">y 141, de la Ley de Transparencia y Acceso a la Información Pública del Estado de México y Municipios, preceptos legales que a la letra establecen: </w:t>
      </w:r>
    </w:p>
    <w:p w:rsidR="00590A3D" w:rsidRPr="00590A3D" w:rsidRDefault="00590A3D" w:rsidP="00590A3D">
      <w:pPr>
        <w:spacing w:line="360" w:lineRule="auto"/>
        <w:ind w:left="426" w:right="141"/>
        <w:jc w:val="center"/>
        <w:rPr>
          <w:rFonts w:ascii="Palatino Linotype" w:hAnsi="Palatino Linotype" w:cs="Arial"/>
          <w:b/>
          <w:i/>
        </w:rPr>
      </w:pPr>
      <w:r w:rsidRPr="00590A3D">
        <w:rPr>
          <w:rFonts w:ascii="Palatino Linotype" w:hAnsi="Palatino Linotype" w:cs="Arial"/>
          <w:b/>
          <w:i/>
        </w:rPr>
        <w:t>Ley General de Transparencia y Acceso a la Información Pública</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Artículo 113.</w:t>
      </w:r>
      <w:r w:rsidRPr="00590A3D">
        <w:rPr>
          <w:rFonts w:ascii="Palatino Linotype" w:hAnsi="Palatino Linotype" w:cs="Arial"/>
          <w:i/>
        </w:rPr>
        <w:t xml:space="preserve"> Como información reservada podrá clasificarse aquella cuya publicación:</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I.</w:t>
      </w:r>
      <w:r w:rsidRPr="00590A3D">
        <w:rPr>
          <w:rFonts w:ascii="Palatino Linotype" w:hAnsi="Palatino Linotype" w:cs="Arial"/>
          <w:i/>
        </w:rPr>
        <w:t xml:space="preserve"> Comprometa la seguridad nacional, la seguridad pública o la defensa nacional y cuente con un propósito genuino y un efecto demostrable;</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lastRenderedPageBreak/>
        <w:t>II.</w:t>
      </w:r>
      <w:r w:rsidRPr="00590A3D">
        <w:rPr>
          <w:rFonts w:ascii="Palatino Linotype" w:hAnsi="Palatino Linotype" w:cs="Arial"/>
          <w:i/>
        </w:rPr>
        <w:t xml:space="preserve"> Pueda menoscabar la conducción de las negociaciones y relaciones internacionales;</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III.</w:t>
      </w:r>
      <w:r w:rsidRPr="00590A3D">
        <w:rPr>
          <w:rFonts w:ascii="Palatino Linotype" w:hAnsi="Palatino Linotype" w:cs="Arial"/>
          <w:i/>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IV.</w:t>
      </w:r>
      <w:r w:rsidRPr="00590A3D">
        <w:rPr>
          <w:rFonts w:ascii="Palatino Linotype" w:hAnsi="Palatino Linotype" w:cs="Arial"/>
          <w:i/>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V.</w:t>
      </w:r>
      <w:r w:rsidRPr="00590A3D">
        <w:rPr>
          <w:rFonts w:ascii="Palatino Linotype" w:hAnsi="Palatino Linotype" w:cs="Arial"/>
          <w:i/>
        </w:rPr>
        <w:t xml:space="preserve"> Pueda poner en riesgo la vida, seguridad o salud de una persona física;</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VI.</w:t>
      </w:r>
      <w:r w:rsidRPr="00590A3D">
        <w:rPr>
          <w:rFonts w:ascii="Palatino Linotype" w:hAnsi="Palatino Linotype" w:cs="Arial"/>
          <w:i/>
        </w:rPr>
        <w:t xml:space="preserve"> Obstruya las actividades de verificación, inspección y auditoría relativas al cumplimiento de las leyes o afecte la recaudación de contribuciones;</w:t>
      </w:r>
    </w:p>
    <w:p w:rsidR="00590A3D" w:rsidRPr="00590A3D" w:rsidRDefault="00590A3D" w:rsidP="00590A3D">
      <w:pPr>
        <w:spacing w:line="360" w:lineRule="auto"/>
        <w:ind w:left="426" w:right="141"/>
        <w:jc w:val="both"/>
        <w:rPr>
          <w:rFonts w:ascii="Palatino Linotype" w:hAnsi="Palatino Linotype" w:cs="Arial"/>
          <w:b/>
          <w:i/>
        </w:rPr>
      </w:pPr>
      <w:r w:rsidRPr="00590A3D">
        <w:rPr>
          <w:rFonts w:ascii="Palatino Linotype" w:hAnsi="Palatino Linotype" w:cs="Arial"/>
          <w:b/>
          <w:i/>
        </w:rPr>
        <w:t>VII. Obstruya la prevención o persecución de los delitos;</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VIII.</w:t>
      </w:r>
      <w:r w:rsidRPr="00590A3D">
        <w:rPr>
          <w:rFonts w:ascii="Palatino Linotype" w:hAnsi="Palatino Linotype" w:cs="Arial"/>
          <w:i/>
        </w:rPr>
        <w:t xml:space="preserve"> La que contenga las opiniones, recomendaciones o puntos de vista que formen parte del proceso deliberativo de los servidores públicos, hasta en tanto no sea adoptada la decisión definitiva, la cual deberá estar documentada;</w:t>
      </w:r>
      <w:r w:rsidRPr="00590A3D">
        <w:rPr>
          <w:rFonts w:ascii="Palatino Linotype" w:hAnsi="Palatino Linotype" w:cs="Arial"/>
          <w:i/>
        </w:rPr>
        <w:cr/>
      </w:r>
      <w:r w:rsidRPr="00590A3D">
        <w:rPr>
          <w:rFonts w:ascii="Palatino Linotype" w:hAnsi="Palatino Linotype" w:cs="Arial"/>
          <w:b/>
          <w:i/>
        </w:rPr>
        <w:t>IX.</w:t>
      </w:r>
      <w:r w:rsidRPr="00590A3D">
        <w:rPr>
          <w:rFonts w:ascii="Palatino Linotype" w:hAnsi="Palatino Linotype" w:cs="Arial"/>
          <w:i/>
        </w:rPr>
        <w:t xml:space="preserve"> Obstruya los procedimientos para fincar responsabilidad a los Servidores Públicos, en tanto no se haya dictado la resolución administrativa;</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X.</w:t>
      </w:r>
      <w:r w:rsidRPr="00590A3D">
        <w:rPr>
          <w:rFonts w:ascii="Palatino Linotype" w:hAnsi="Palatino Linotype" w:cs="Arial"/>
          <w:i/>
        </w:rPr>
        <w:t xml:space="preserve"> Afecte los derechos del debido proceso;</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XI.</w:t>
      </w:r>
      <w:r w:rsidRPr="00590A3D">
        <w:rPr>
          <w:rFonts w:ascii="Palatino Linotype" w:hAnsi="Palatino Linotype" w:cs="Arial"/>
          <w:i/>
        </w:rPr>
        <w:t xml:space="preserve"> Vulnere la conducción de los Expedientes judiciales o de los procedimientos administrativos seguidos en forma de juicio, en tanto no hayan causado estado;</w:t>
      </w:r>
    </w:p>
    <w:p w:rsidR="00590A3D" w:rsidRPr="00590A3D" w:rsidRDefault="00590A3D" w:rsidP="00590A3D">
      <w:pPr>
        <w:spacing w:line="360" w:lineRule="auto"/>
        <w:ind w:left="426" w:right="141"/>
        <w:jc w:val="both"/>
        <w:rPr>
          <w:rFonts w:ascii="Palatino Linotype" w:hAnsi="Palatino Linotype" w:cs="Arial"/>
          <w:b/>
          <w:i/>
        </w:rPr>
      </w:pPr>
      <w:r w:rsidRPr="00590A3D">
        <w:rPr>
          <w:rFonts w:ascii="Palatino Linotype" w:hAnsi="Palatino Linotype" w:cs="Arial"/>
          <w:b/>
          <w:i/>
        </w:rPr>
        <w:lastRenderedPageBreak/>
        <w:t>XII. Se encuentre contenida dentro de las investigaciones de hechos que la ley señale como delitos y se tramiten ante el Ministerio Público, y</w:t>
      </w:r>
    </w:p>
    <w:p w:rsidR="00590A3D" w:rsidRPr="00590A3D" w:rsidRDefault="00590A3D" w:rsidP="00590A3D">
      <w:pPr>
        <w:spacing w:line="360" w:lineRule="auto"/>
        <w:ind w:left="426" w:right="141"/>
      </w:pPr>
      <w:r w:rsidRPr="00590A3D">
        <w:rPr>
          <w:rFonts w:ascii="Palatino Linotype" w:hAnsi="Palatino Linotype" w:cs="Arial"/>
          <w:b/>
          <w:i/>
        </w:rPr>
        <w:t>XIII.</w:t>
      </w:r>
      <w:r w:rsidRPr="00590A3D">
        <w:rPr>
          <w:rFonts w:ascii="Palatino Linotype" w:hAnsi="Palatino Linotype" w:cs="Arial"/>
          <w:i/>
        </w:rPr>
        <w:t xml:space="preserve"> Las que por disposición expresa de una ley tengan tal carácter, siempre que sean acordes con las bases, principios y disposiciones establecidos en esta Ley y no la contravengan; así como las previstas en tratados internacionales.</w:t>
      </w:r>
      <w:r w:rsidRPr="00590A3D">
        <w:rPr>
          <w:rFonts w:ascii="Palatino Linotype" w:hAnsi="Palatino Linotype" w:cs="Arial"/>
          <w:i/>
        </w:rPr>
        <w:cr/>
      </w:r>
      <w:r w:rsidRPr="00590A3D">
        <w:t xml:space="preserve"> </w:t>
      </w:r>
    </w:p>
    <w:p w:rsidR="00590A3D" w:rsidRPr="00590A3D" w:rsidRDefault="00590A3D" w:rsidP="00590A3D">
      <w:pPr>
        <w:spacing w:line="360" w:lineRule="auto"/>
        <w:ind w:left="426" w:right="141"/>
        <w:jc w:val="center"/>
        <w:rPr>
          <w:rFonts w:ascii="Palatino Linotype" w:hAnsi="Palatino Linotype" w:cs="Arial"/>
          <w:i/>
        </w:rPr>
      </w:pPr>
      <w:r w:rsidRPr="00590A3D">
        <w:rPr>
          <w:rFonts w:ascii="Palatino Linotype" w:hAnsi="Palatino Linotype" w:cs="Arial"/>
          <w:b/>
          <w:i/>
        </w:rPr>
        <w:t>Lineamientos Generales en Materia de Clasificación y Desclasificación de la Información</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Vigésimo cuarto.</w:t>
      </w:r>
      <w:r w:rsidRPr="00590A3D">
        <w:rPr>
          <w:rFonts w:ascii="Palatino Linotype" w:hAnsi="Palatino Linotype" w:cs="Arial"/>
          <w:i/>
        </w:rPr>
        <w:t xml:space="preserve">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I.</w:t>
      </w:r>
      <w:r w:rsidRPr="00590A3D">
        <w:rPr>
          <w:rFonts w:ascii="Palatino Linotype" w:hAnsi="Palatino Linotype" w:cs="Arial"/>
          <w:i/>
        </w:rPr>
        <w:t xml:space="preserve"> La existencia de un procedimiento de verificación del cumplimiento de las leyes;</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II.</w:t>
      </w:r>
      <w:r w:rsidRPr="00590A3D">
        <w:rPr>
          <w:rFonts w:ascii="Palatino Linotype" w:hAnsi="Palatino Linotype" w:cs="Arial"/>
          <w:i/>
        </w:rPr>
        <w:t xml:space="preserve"> Que el procedimiento se encuentre en trámite;</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III.</w:t>
      </w:r>
      <w:r w:rsidRPr="00590A3D">
        <w:rPr>
          <w:rFonts w:ascii="Palatino Linotype" w:hAnsi="Palatino Linotype" w:cs="Arial"/>
          <w:i/>
        </w:rPr>
        <w:t xml:space="preserve"> La vinculación directa con las actividades que realiza la autoridad en el procedimiento de verificación del cumplimiento de las leyes, y</w:t>
      </w:r>
    </w:p>
    <w:p w:rsidR="00590A3D" w:rsidRDefault="00590A3D" w:rsidP="00590A3D">
      <w:pPr>
        <w:spacing w:line="360" w:lineRule="auto"/>
        <w:ind w:left="426" w:right="141"/>
        <w:jc w:val="both"/>
      </w:pPr>
      <w:r w:rsidRPr="00590A3D">
        <w:rPr>
          <w:rFonts w:ascii="Palatino Linotype" w:hAnsi="Palatino Linotype" w:cs="Arial"/>
          <w:b/>
          <w:i/>
        </w:rPr>
        <w:t>IV.</w:t>
      </w:r>
      <w:r w:rsidRPr="00590A3D">
        <w:rPr>
          <w:rFonts w:ascii="Palatino Linotype" w:hAnsi="Palatino Linotype" w:cs="Arial"/>
          <w:i/>
        </w:rPr>
        <w:t xml:space="preserve"> Que la difusión de la información impida u obstaculice las actividades de inspección, supervisión o vigilancia que realicen las autoridades en el procedimiento de verificación del cumplimiento de las leyes.</w:t>
      </w:r>
      <w:r w:rsidRPr="00590A3D">
        <w:rPr>
          <w:rFonts w:ascii="Palatino Linotype" w:hAnsi="Palatino Linotype" w:cs="Arial"/>
          <w:i/>
        </w:rPr>
        <w:cr/>
      </w:r>
      <w:r w:rsidRPr="00590A3D">
        <w:t xml:space="preserve"> </w:t>
      </w:r>
    </w:p>
    <w:p w:rsidR="00F5625C" w:rsidRPr="00590A3D" w:rsidRDefault="00F5625C" w:rsidP="00590A3D">
      <w:pPr>
        <w:spacing w:line="360" w:lineRule="auto"/>
        <w:ind w:left="426" w:right="141"/>
        <w:jc w:val="both"/>
      </w:pPr>
    </w:p>
    <w:p w:rsidR="00F5625C" w:rsidRDefault="00F5625C" w:rsidP="00590A3D">
      <w:pPr>
        <w:spacing w:line="360" w:lineRule="auto"/>
        <w:ind w:left="426" w:right="141"/>
        <w:jc w:val="center"/>
        <w:rPr>
          <w:rFonts w:ascii="Palatino Linotype" w:hAnsi="Palatino Linotype" w:cs="Arial"/>
          <w:b/>
          <w:i/>
        </w:rPr>
      </w:pPr>
    </w:p>
    <w:p w:rsidR="00590A3D" w:rsidRPr="00590A3D" w:rsidRDefault="00590A3D" w:rsidP="00590A3D">
      <w:pPr>
        <w:spacing w:line="360" w:lineRule="auto"/>
        <w:ind w:left="426" w:right="141"/>
        <w:jc w:val="center"/>
        <w:rPr>
          <w:rFonts w:ascii="Palatino Linotype" w:hAnsi="Palatino Linotype" w:cs="Arial"/>
          <w:b/>
          <w:i/>
        </w:rPr>
      </w:pPr>
      <w:r w:rsidRPr="00590A3D">
        <w:rPr>
          <w:rFonts w:ascii="Palatino Linotype" w:hAnsi="Palatino Linotype" w:cs="Arial"/>
          <w:b/>
          <w:i/>
        </w:rPr>
        <w:lastRenderedPageBreak/>
        <w:t>Ley de Transparencia y Acceso a la Información Pública del Estado de México y Municipios.</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Artículo 91.</w:t>
      </w:r>
      <w:r w:rsidRPr="00590A3D">
        <w:rPr>
          <w:rFonts w:ascii="Palatino Linotype" w:hAnsi="Palatino Linotype" w:cs="Arial"/>
          <w:i/>
        </w:rPr>
        <w:t xml:space="preserve"> El acceso a la información pública será restringido excepcionalmente, cuando ésta sea clasificada como reservada o confidencial.</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Artículo 128.</w:t>
      </w:r>
      <w:r w:rsidRPr="00590A3D">
        <w:rPr>
          <w:rFonts w:ascii="Palatino Linotype" w:hAnsi="Palatino Linotype" w:cs="Arial"/>
          <w:i/>
        </w:rPr>
        <w:t xml:space="preserve"> En los casos en que se niegue el acceso a la información, por actualizarse alguno de los supuestos de clasificación, el Comité de Transparencia deberá confirmar, modificar o revocar la decisión.</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i/>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i/>
        </w:rPr>
        <w:t xml:space="preserve">Tratándose de aquélla información que actualice los supuestos de clasificación, deberá señalarse el plazo al que estará sujeto la reserva. </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Artículo 129.</w:t>
      </w:r>
      <w:r w:rsidRPr="00590A3D">
        <w:rPr>
          <w:rFonts w:ascii="Palatino Linotype" w:hAnsi="Palatino Linotype" w:cs="Arial"/>
          <w:i/>
        </w:rPr>
        <w:t xml:space="preserve"> En la aplicación de la prueba de daño, el sujeto obligado deberá precisar las razones objetivas por las que la apertura de la información generaría una afectación, justificando que:</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I.</w:t>
      </w:r>
      <w:r w:rsidRPr="00590A3D">
        <w:rPr>
          <w:rFonts w:ascii="Palatino Linotype" w:hAnsi="Palatino Linotype" w:cs="Arial"/>
          <w:i/>
        </w:rPr>
        <w:t xml:space="preserve"> La divulgación de la información representa un riesgo real, demostrable e identificable del perjuicio significativo al interés público o a la seguridad pública;</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II.</w:t>
      </w:r>
      <w:r w:rsidRPr="00590A3D">
        <w:rPr>
          <w:rFonts w:ascii="Palatino Linotype" w:hAnsi="Palatino Linotype" w:cs="Arial"/>
          <w:i/>
        </w:rPr>
        <w:t xml:space="preserve"> El riesgo de perjuicio que supondría la divulgación supera el interés público general de que se difunda; y</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 xml:space="preserve">III. </w:t>
      </w:r>
      <w:r w:rsidRPr="00590A3D">
        <w:rPr>
          <w:rFonts w:ascii="Palatino Linotype" w:hAnsi="Palatino Linotype" w:cs="Arial"/>
          <w:i/>
        </w:rPr>
        <w:t>La limitación se adecua al principio de proporcionalidad y representa el medio menos restrictivo disponible representa el medio menos restrictivo disponible para evitar el perjuicio.</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lastRenderedPageBreak/>
        <w:t>Artículo 140.</w:t>
      </w:r>
      <w:r w:rsidRPr="00590A3D">
        <w:rPr>
          <w:rFonts w:ascii="Palatino Linotype" w:hAnsi="Palatino Linotype" w:cs="Arial"/>
          <w:i/>
        </w:rPr>
        <w:t xml:space="preserve"> El acceso a la información pública será restringido excepcionalmente, cuando por razones de interés público, ésta sea clasificada como reservada, conforme a los criterios siguientes:</w:t>
      </w:r>
    </w:p>
    <w:p w:rsidR="00590A3D" w:rsidRPr="007E7B31" w:rsidRDefault="00590A3D" w:rsidP="00590A3D">
      <w:pPr>
        <w:spacing w:line="360" w:lineRule="auto"/>
        <w:ind w:left="426" w:right="141"/>
        <w:jc w:val="both"/>
        <w:rPr>
          <w:rFonts w:ascii="Palatino Linotype" w:hAnsi="Palatino Linotype" w:cs="Arial"/>
          <w:i/>
        </w:rPr>
      </w:pPr>
      <w:r w:rsidRPr="007E7B31">
        <w:rPr>
          <w:rFonts w:ascii="Palatino Linotype" w:hAnsi="Palatino Linotype" w:cs="Arial"/>
          <w:i/>
        </w:rPr>
        <w:t>I. Comprometa la seguridad pública y cuente con un propósito genuino y un efecto demostrable;</w:t>
      </w:r>
    </w:p>
    <w:p w:rsidR="00590A3D" w:rsidRPr="00590A3D" w:rsidRDefault="00590A3D" w:rsidP="00590A3D">
      <w:pPr>
        <w:spacing w:line="360" w:lineRule="auto"/>
        <w:ind w:left="426" w:right="141"/>
        <w:jc w:val="both"/>
        <w:rPr>
          <w:rFonts w:ascii="Palatino Linotype" w:hAnsi="Palatino Linotype" w:cs="Arial"/>
          <w:i/>
        </w:rPr>
      </w:pPr>
      <w:r w:rsidRPr="007E7B31">
        <w:rPr>
          <w:rFonts w:ascii="Palatino Linotype" w:hAnsi="Palatino Linotype" w:cs="Arial"/>
          <w:i/>
        </w:rPr>
        <w:t>II.</w:t>
      </w:r>
      <w:r w:rsidRPr="00590A3D">
        <w:rPr>
          <w:rFonts w:ascii="Palatino Linotype" w:hAnsi="Palatino Linotype" w:cs="Arial"/>
          <w:i/>
        </w:rPr>
        <w:t xml:space="preserve"> Pueda menoscabar la conducción de las negociaciones y relaciones internacionales;</w:t>
      </w:r>
    </w:p>
    <w:p w:rsidR="00590A3D" w:rsidRPr="00590A3D" w:rsidRDefault="00590A3D" w:rsidP="00590A3D">
      <w:pPr>
        <w:spacing w:line="360" w:lineRule="auto"/>
        <w:ind w:left="426" w:right="141"/>
        <w:jc w:val="both"/>
        <w:rPr>
          <w:rFonts w:ascii="Palatino Linotype" w:hAnsi="Palatino Linotype" w:cs="Arial"/>
          <w:i/>
        </w:rPr>
      </w:pPr>
      <w:r w:rsidRPr="007E7B31">
        <w:rPr>
          <w:rFonts w:ascii="Palatino Linotype" w:hAnsi="Palatino Linotype" w:cs="Arial"/>
          <w:i/>
        </w:rPr>
        <w:t>III.</w:t>
      </w:r>
      <w:r w:rsidRPr="00590A3D">
        <w:rPr>
          <w:rFonts w:ascii="Palatino Linotype" w:hAnsi="Palatino Linotype" w:cs="Arial"/>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i/>
        </w:rPr>
        <w:t>IV. Ponga en riesgo la vida, la seguridad o la salud de una persona física;</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V.</w:t>
      </w:r>
      <w:r w:rsidRPr="00590A3D">
        <w:rPr>
          <w:rFonts w:ascii="Palatino Linotype" w:hAnsi="Palatino Linotype" w:cs="Arial"/>
          <w:i/>
        </w:rPr>
        <w:t xml:space="preserve"> Aquella cuya divulgación obstruya o pueda causar un serio perjuicio a:</w:t>
      </w:r>
    </w:p>
    <w:p w:rsidR="00590A3D" w:rsidRPr="00590A3D" w:rsidRDefault="007E7B31" w:rsidP="00590A3D">
      <w:pPr>
        <w:spacing w:line="360" w:lineRule="auto"/>
        <w:ind w:left="851" w:right="283"/>
        <w:jc w:val="both"/>
        <w:rPr>
          <w:rFonts w:ascii="Palatino Linotype" w:hAnsi="Palatino Linotype" w:cs="Arial"/>
          <w:i/>
        </w:rPr>
      </w:pPr>
      <w:r>
        <w:rPr>
          <w:rFonts w:ascii="Palatino Linotype" w:hAnsi="Palatino Linotype" w:cs="Arial"/>
          <w:b/>
          <w:i/>
        </w:rPr>
        <w:t>…</w:t>
      </w:r>
    </w:p>
    <w:p w:rsidR="00590A3D" w:rsidRPr="007E7B31" w:rsidRDefault="00590A3D" w:rsidP="00590A3D">
      <w:pPr>
        <w:spacing w:line="360" w:lineRule="auto"/>
        <w:ind w:left="426" w:right="141"/>
        <w:jc w:val="both"/>
        <w:rPr>
          <w:rFonts w:ascii="Palatino Linotype" w:hAnsi="Palatino Linotype" w:cs="Arial"/>
          <w:b/>
          <w:bCs/>
          <w:i/>
          <w:u w:val="single"/>
        </w:rPr>
      </w:pPr>
      <w:r w:rsidRPr="00F5625C">
        <w:rPr>
          <w:rFonts w:ascii="Palatino Linotype" w:hAnsi="Palatino Linotype" w:cs="Arial"/>
          <w:b/>
          <w:bCs/>
          <w:i/>
          <w:u w:val="single"/>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VII.</w:t>
      </w:r>
      <w:r w:rsidRPr="00590A3D">
        <w:rPr>
          <w:rFonts w:ascii="Palatino Linotype" w:hAnsi="Palatino Linotype" w:cs="Arial"/>
          <w:i/>
        </w:rPr>
        <w:t xml:space="preserve"> La que contengan las opiniones, recomendaciones o puntos de vista que formen parte del proceso deliberativo de los servidores públicos, hasta en tanto sea adoptada la decisión definitiva, la cual deberá estar documentada;</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VIII.</w:t>
      </w:r>
      <w:r w:rsidRPr="00590A3D">
        <w:rPr>
          <w:rFonts w:ascii="Palatino Linotype" w:hAnsi="Palatino Linotype" w:cs="Arial"/>
          <w:i/>
        </w:rPr>
        <w:t xml:space="preserve"> Vulnere la conducción de los expedientes judiciales o de los procedimientos administrativos seguidos en forma de juicio, en tanto no hayan quedado firmes;</w:t>
      </w:r>
    </w:p>
    <w:p w:rsidR="00590A3D" w:rsidRPr="007E7B31" w:rsidRDefault="00590A3D" w:rsidP="00590A3D">
      <w:pPr>
        <w:spacing w:line="360" w:lineRule="auto"/>
        <w:ind w:left="426" w:right="141"/>
        <w:jc w:val="both"/>
        <w:rPr>
          <w:rFonts w:ascii="Palatino Linotype" w:hAnsi="Palatino Linotype" w:cs="Arial"/>
          <w:b/>
          <w:i/>
        </w:rPr>
      </w:pPr>
      <w:r w:rsidRPr="007E7B31">
        <w:rPr>
          <w:rFonts w:ascii="Palatino Linotype" w:hAnsi="Palatino Linotype" w:cs="Arial"/>
          <w:b/>
          <w:i/>
        </w:rPr>
        <w:lastRenderedPageBreak/>
        <w:t>IX. Se encuentre contenida dentro de las investigaciones de hechos que la Ley señale como delitos y se tramiten ante el Ministerio Público;</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X.</w:t>
      </w:r>
      <w:r w:rsidRPr="00590A3D">
        <w:rPr>
          <w:rFonts w:ascii="Palatino Linotype" w:hAnsi="Palatino Linotype" w:cs="Arial"/>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XI.</w:t>
      </w:r>
      <w:r w:rsidRPr="00590A3D">
        <w:rPr>
          <w:rFonts w:ascii="Palatino Linotype" w:hAnsi="Palatino Linotype" w:cs="Arial"/>
          <w:i/>
        </w:rPr>
        <w:t xml:space="preserve"> Las que por disposición expresa de una ley tengan tal carácter, siempre que sean acordes con las bases, principios y disposiciones establecidos en esta Ley y no la contravengan; así como las previstas en tratados internacionales.</w:t>
      </w:r>
    </w:p>
    <w:p w:rsidR="00590A3D" w:rsidRPr="00590A3D" w:rsidRDefault="00590A3D" w:rsidP="00590A3D">
      <w:pPr>
        <w:spacing w:line="360" w:lineRule="auto"/>
        <w:ind w:left="426" w:right="141"/>
        <w:jc w:val="both"/>
        <w:rPr>
          <w:rFonts w:ascii="Palatino Linotype" w:hAnsi="Palatino Linotype" w:cs="Arial"/>
          <w:i/>
        </w:rPr>
      </w:pPr>
      <w:r w:rsidRPr="00590A3D">
        <w:rPr>
          <w:rFonts w:ascii="Palatino Linotype" w:hAnsi="Palatino Linotype" w:cs="Arial"/>
          <w:b/>
          <w:i/>
        </w:rPr>
        <w:t>Artículo 141.</w:t>
      </w:r>
      <w:r w:rsidRPr="00590A3D">
        <w:rPr>
          <w:rFonts w:ascii="Palatino Linotype" w:hAnsi="Palatino Linotype" w:cs="Arial"/>
          <w:i/>
        </w:rPr>
        <w:t xml:space="preserve"> Las causales de reserva previstas en este Capítulo se deberán fundar y motivar, a través de la aplicación de la prueba de daño a la que se hace referencia en el presente Título.</w:t>
      </w:r>
    </w:p>
    <w:p w:rsidR="00590A3D" w:rsidRPr="00590A3D" w:rsidRDefault="00590A3D" w:rsidP="00590A3D">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yellow"/>
          <w:lang w:eastAsia="es-MX"/>
        </w:rPr>
      </w:pPr>
    </w:p>
    <w:p w:rsidR="00590A3D" w:rsidRPr="00590A3D" w:rsidRDefault="00590A3D" w:rsidP="00590A3D">
      <w:pPr>
        <w:pStyle w:val="Citas"/>
        <w:ind w:left="0" w:right="0"/>
        <w:rPr>
          <w:i w:val="0"/>
          <w:iCs/>
          <w:sz w:val="24"/>
          <w:szCs w:val="24"/>
        </w:rPr>
      </w:pPr>
      <w:r w:rsidRPr="00590A3D">
        <w:rPr>
          <w:i w:val="0"/>
          <w:iCs/>
          <w:sz w:val="24"/>
        </w:rPr>
        <w:t xml:space="preserve">Cabe precisar que </w:t>
      </w:r>
      <w:r w:rsidRPr="00590A3D">
        <w:rPr>
          <w:bCs/>
          <w:i w:val="0"/>
          <w:iCs/>
          <w:sz w:val="24"/>
          <w:szCs w:val="24"/>
        </w:rPr>
        <w:t xml:space="preserve">la clasificación es un acto </w:t>
      </w:r>
      <w:r w:rsidRPr="00590A3D">
        <w:rPr>
          <w:i w:val="0"/>
          <w:iCs/>
          <w:sz w:val="24"/>
          <w:szCs w:val="24"/>
        </w:rPr>
        <w:t xml:space="preserve">administrativo mediante el cual se restringe el derecho de acceso a la información, mediante el cual los </w:t>
      </w:r>
      <w:r w:rsidRPr="00590A3D">
        <w:rPr>
          <w:b/>
          <w:i w:val="0"/>
          <w:iCs/>
          <w:sz w:val="24"/>
          <w:szCs w:val="24"/>
        </w:rPr>
        <w:t xml:space="preserve">Sujetos Obligados </w:t>
      </w:r>
      <w:r w:rsidRPr="00590A3D">
        <w:rPr>
          <w:i w:val="0"/>
          <w:iCs/>
          <w:sz w:val="24"/>
          <w:szCs w:val="24"/>
        </w:rPr>
        <w:t xml:space="preserve">determinan que la información requerida actualiza alguno de los supuestos de confidencialidad </w:t>
      </w:r>
      <w:r w:rsidRPr="00590A3D">
        <w:rPr>
          <w:b/>
          <w:i w:val="0"/>
          <w:iCs/>
          <w:sz w:val="24"/>
          <w:szCs w:val="24"/>
        </w:rPr>
        <w:t xml:space="preserve">o </w:t>
      </w:r>
      <w:r w:rsidRPr="00590A3D">
        <w:rPr>
          <w:b/>
          <w:i w:val="0"/>
          <w:iCs/>
          <w:sz w:val="24"/>
          <w:szCs w:val="24"/>
          <w:u w:val="single"/>
        </w:rPr>
        <w:t>reserva,</w:t>
      </w:r>
      <w:r w:rsidRPr="00590A3D">
        <w:rPr>
          <w:b/>
          <w:i w:val="0"/>
          <w:iCs/>
          <w:sz w:val="24"/>
          <w:szCs w:val="24"/>
        </w:rPr>
        <w:t xml:space="preserve"> </w:t>
      </w:r>
      <w:r w:rsidRPr="00590A3D">
        <w:rPr>
          <w:i w:val="0"/>
          <w:iCs/>
          <w:sz w:val="24"/>
          <w:szCs w:val="24"/>
        </w:rPr>
        <w:t xml:space="preserve">de acuerdo con las bases y los principios inmersos en la normatividad aplicable. </w:t>
      </w:r>
    </w:p>
    <w:p w:rsidR="00590A3D" w:rsidRPr="00590A3D" w:rsidRDefault="00590A3D" w:rsidP="00590A3D">
      <w:pPr>
        <w:spacing w:before="240" w:line="360" w:lineRule="auto"/>
        <w:jc w:val="both"/>
        <w:rPr>
          <w:rFonts w:ascii="Palatino Linotype" w:hAnsi="Palatino Linotype"/>
          <w:sz w:val="24"/>
        </w:rPr>
      </w:pPr>
      <w:r w:rsidRPr="00590A3D">
        <w:rPr>
          <w:rFonts w:ascii="Palatino Linotype" w:hAnsi="Palatino Linotype"/>
          <w:sz w:val="24"/>
        </w:rPr>
        <w:t xml:space="preserve">Por lo que para realizar la reserva de la información no basta con exponer alguna de las causales previstas en la Ley de Transparencia local, en sentido contrario dicha </w:t>
      </w:r>
      <w:r w:rsidRPr="00590A3D">
        <w:rPr>
          <w:rFonts w:ascii="Palatino Linotype" w:hAnsi="Palatino Linotype"/>
          <w:sz w:val="24"/>
        </w:rPr>
        <w:lastRenderedPageBreak/>
        <w:t xml:space="preserve">valoración debe de realizarse a través de la </w:t>
      </w:r>
      <w:r w:rsidRPr="00590A3D">
        <w:rPr>
          <w:rFonts w:ascii="Palatino Linotype" w:hAnsi="Palatino Linotype"/>
          <w:b/>
          <w:i/>
          <w:sz w:val="24"/>
        </w:rPr>
        <w:t xml:space="preserve">“prueba de daño” </w:t>
      </w:r>
      <w:r w:rsidRPr="00590A3D">
        <w:rPr>
          <w:rFonts w:ascii="Palatino Linotype" w:hAnsi="Palatino Linotype"/>
          <w:sz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rsidR="00590A3D" w:rsidRPr="00590A3D" w:rsidRDefault="00590A3D" w:rsidP="00590A3D">
      <w:pPr>
        <w:spacing w:line="360" w:lineRule="auto"/>
        <w:jc w:val="both"/>
        <w:rPr>
          <w:rFonts w:ascii="Palatino Linotype" w:hAnsi="Palatino Linotype"/>
          <w:sz w:val="24"/>
          <w:lang w:eastAsia="es-MX"/>
        </w:rPr>
      </w:pPr>
      <w:r w:rsidRPr="00590A3D">
        <w:rPr>
          <w:rFonts w:ascii="Palatino Linotype" w:hAnsi="Palatino Linotype" w:cs="Arial"/>
          <w:sz w:val="24"/>
        </w:rPr>
        <w:t xml:space="preserve">En consecuencia, el </w:t>
      </w:r>
      <w:r w:rsidRPr="00590A3D">
        <w:rPr>
          <w:rFonts w:ascii="Palatino Linotype" w:hAnsi="Palatino Linotype" w:cs="Arial"/>
          <w:b/>
          <w:sz w:val="24"/>
        </w:rPr>
        <w:t>Sujeto Obligado</w:t>
      </w:r>
      <w:r w:rsidRPr="00590A3D">
        <w:rPr>
          <w:rFonts w:ascii="Palatino Linotype" w:hAnsi="Palatino Linotype" w:cs="Arial"/>
          <w:sz w:val="24"/>
        </w:rPr>
        <w:t>, deberá realizar la prueba de daño y precisar las razones por las cuales la apertura de la información generaría una afectación, para ello referir que su divulgación representa un riesgo real, demostrable e identificable, además establecer que el perjuicio supera de momento el interés público general que pudiera existir sobre la información requerida; pues, podría comprometer las tareas de seguridad pública e incluso poner en</w:t>
      </w:r>
      <w:r w:rsidRPr="00590A3D">
        <w:rPr>
          <w:rFonts w:ascii="Palatino Linotype" w:hAnsi="Palatino Linotype"/>
          <w:sz w:val="24"/>
          <w:lang w:eastAsia="es-MX"/>
        </w:rPr>
        <w:t>, riesgo la vida, la seguridad o la salud de una persona física.</w:t>
      </w:r>
    </w:p>
    <w:p w:rsidR="00590A3D" w:rsidRPr="00590A3D" w:rsidRDefault="00590A3D" w:rsidP="00590A3D">
      <w:pPr>
        <w:pBdr>
          <w:top w:val="nil"/>
          <w:left w:val="nil"/>
          <w:bottom w:val="nil"/>
          <w:right w:val="nil"/>
          <w:between w:val="nil"/>
        </w:pBdr>
        <w:spacing w:line="360" w:lineRule="auto"/>
        <w:jc w:val="both"/>
        <w:rPr>
          <w:rFonts w:ascii="Palatino Linotype" w:eastAsia="Palatino Linotype" w:hAnsi="Palatino Linotype" w:cs="Palatino Linotype"/>
          <w:color w:val="000000"/>
          <w:sz w:val="24"/>
          <w:lang w:eastAsia="es-MX"/>
        </w:rPr>
      </w:pPr>
      <w:r w:rsidRPr="00590A3D">
        <w:rPr>
          <w:rFonts w:ascii="Palatino Linotype" w:eastAsia="Palatino Linotype" w:hAnsi="Palatino Linotype" w:cs="Palatino Linotype"/>
          <w:color w:val="000000"/>
          <w:sz w:val="24"/>
          <w:lang w:eastAsia="es-MX"/>
        </w:rPr>
        <w:t xml:space="preserve">En este punto es importante resaltar que los sujetos obligados son los que cuentan con la atribución exclusiva de analizar y ponderar si la información que poseen actualiza alguna de las hipótesis previstas en las fracciones citadas, mediante la aplicación, caso por caso de la </w:t>
      </w:r>
      <w:r w:rsidRPr="00590A3D">
        <w:rPr>
          <w:rFonts w:ascii="Palatino Linotype" w:eastAsia="Palatino Linotype" w:hAnsi="Palatino Linotype" w:cs="Palatino Linotype"/>
          <w:b/>
          <w:bCs/>
          <w:color w:val="000000"/>
          <w:sz w:val="24"/>
          <w:lang w:eastAsia="es-MX"/>
        </w:rPr>
        <w:t>prueba de daño</w:t>
      </w:r>
      <w:r w:rsidRPr="00590A3D">
        <w:rPr>
          <w:rFonts w:ascii="Palatino Linotype" w:eastAsia="Palatino Linotype" w:hAnsi="Palatino Linotype" w:cs="Palatino Linotype"/>
          <w:color w:val="000000"/>
          <w:sz w:val="24"/>
          <w:lang w:eastAsia="es-MX"/>
        </w:rPr>
        <w:t>. Esto en apego a lo dispuesto en los artículos 3 fracción XXXIII, 128, 129, 130 y 131 de la Ley de Transparencia local, como se observa a continuación:</w:t>
      </w:r>
    </w:p>
    <w:p w:rsidR="00590A3D" w:rsidRPr="00590A3D" w:rsidRDefault="00590A3D" w:rsidP="00590A3D">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lang w:eastAsia="es-MX"/>
        </w:rPr>
      </w:pPr>
      <w:r w:rsidRPr="00590A3D">
        <w:rPr>
          <w:rFonts w:ascii="Palatino Linotype" w:eastAsia="Palatino Linotype" w:hAnsi="Palatino Linotype" w:cs="Palatino Linotype"/>
          <w:b/>
          <w:i/>
          <w:iCs/>
          <w:color w:val="000000"/>
          <w:lang w:eastAsia="es-MX"/>
        </w:rPr>
        <w:t xml:space="preserve">Artículo 3. </w:t>
      </w:r>
      <w:r w:rsidRPr="00590A3D">
        <w:rPr>
          <w:rFonts w:ascii="Palatino Linotype" w:eastAsia="Palatino Linotype" w:hAnsi="Palatino Linotype" w:cs="Palatino Linotype"/>
          <w:i/>
          <w:iCs/>
          <w:color w:val="000000"/>
          <w:lang w:eastAsia="es-MX"/>
        </w:rPr>
        <w:t>Para los efectos de la presente Ley se entenderá por:</w:t>
      </w: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lang w:eastAsia="es-MX"/>
        </w:rPr>
      </w:pPr>
      <w:r w:rsidRPr="00590A3D">
        <w:rPr>
          <w:rFonts w:ascii="Palatino Linotype" w:eastAsia="Palatino Linotype" w:hAnsi="Palatino Linotype" w:cs="Palatino Linotype"/>
          <w:i/>
          <w:iCs/>
          <w:color w:val="000000"/>
          <w:lang w:eastAsia="es-MX"/>
        </w:rPr>
        <w:t>(…)</w:t>
      </w: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lang w:eastAsia="es-MX"/>
        </w:rPr>
      </w:pPr>
      <w:r w:rsidRPr="00590A3D">
        <w:rPr>
          <w:rFonts w:ascii="Palatino Linotype" w:eastAsia="Palatino Linotype" w:hAnsi="Palatino Linotype" w:cs="Palatino Linotype"/>
          <w:b/>
          <w:bCs/>
          <w:i/>
          <w:iCs/>
          <w:color w:val="000000"/>
          <w:lang w:eastAsia="es-MX"/>
        </w:rPr>
        <w:t>XXXIII.</w:t>
      </w:r>
      <w:r w:rsidRPr="00590A3D">
        <w:rPr>
          <w:rFonts w:ascii="Palatino Linotype" w:eastAsia="Palatino Linotype" w:hAnsi="Palatino Linotype" w:cs="Palatino Linotype"/>
          <w:i/>
          <w:iCs/>
          <w:color w:val="000000"/>
          <w:lang w:eastAsia="es-MX"/>
        </w:rPr>
        <w:t xml:space="preserve"> </w:t>
      </w:r>
      <w:r w:rsidRPr="00590A3D">
        <w:rPr>
          <w:rFonts w:ascii="Palatino Linotype" w:eastAsia="Palatino Linotype" w:hAnsi="Palatino Linotype" w:cs="Palatino Linotype"/>
          <w:b/>
          <w:bCs/>
          <w:i/>
          <w:iCs/>
          <w:color w:val="000000"/>
          <w:lang w:eastAsia="es-MX"/>
        </w:rPr>
        <w:t>Prueba de Daño:</w:t>
      </w:r>
      <w:r w:rsidRPr="00590A3D">
        <w:rPr>
          <w:rFonts w:ascii="Palatino Linotype" w:eastAsia="Palatino Linotype" w:hAnsi="Palatino Linotype" w:cs="Palatino Linotype"/>
          <w:i/>
          <w:iCs/>
          <w:color w:val="000000"/>
          <w:lang w:eastAsia="es-MX"/>
        </w:rPr>
        <w:t xml:space="preserve"> </w:t>
      </w:r>
      <w:r w:rsidRPr="00590A3D">
        <w:rPr>
          <w:rFonts w:ascii="Palatino Linotype" w:eastAsia="Palatino Linotype" w:hAnsi="Palatino Linotype" w:cs="Palatino Linotype"/>
          <w:b/>
          <w:bCs/>
          <w:i/>
          <w:iCs/>
          <w:color w:val="000000"/>
          <w:u w:val="single"/>
          <w:lang w:eastAsia="es-MX"/>
        </w:rPr>
        <w:t xml:space="preserve">Responsabilidad de los sujetos obligados de demostrar de manera fundada y motivada que la divulgación de información lesiona el </w:t>
      </w:r>
      <w:r w:rsidRPr="00590A3D">
        <w:rPr>
          <w:rFonts w:ascii="Palatino Linotype" w:eastAsia="Palatino Linotype" w:hAnsi="Palatino Linotype" w:cs="Palatino Linotype"/>
          <w:b/>
          <w:bCs/>
          <w:i/>
          <w:iCs/>
          <w:color w:val="000000"/>
          <w:u w:val="single"/>
          <w:lang w:eastAsia="es-MX"/>
        </w:rPr>
        <w:lastRenderedPageBreak/>
        <w:t>interés jurídicamente protegido por la Ley</w:t>
      </w:r>
      <w:r w:rsidRPr="00590A3D">
        <w:rPr>
          <w:rFonts w:ascii="Palatino Linotype" w:eastAsia="Palatino Linotype" w:hAnsi="Palatino Linotype" w:cs="Palatino Linotype"/>
          <w:i/>
          <w:iCs/>
          <w:color w:val="000000"/>
          <w:lang w:eastAsia="es-MX"/>
        </w:rPr>
        <w:t>, y que el menoscabo o daño que puede producirse con la publicidad de la información es mayor que el interés de conocerla y por consiguiente debe clasificarse como reservada;</w:t>
      </w: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lang w:eastAsia="es-MX"/>
        </w:rPr>
      </w:pPr>
      <w:r w:rsidRPr="00590A3D">
        <w:rPr>
          <w:rFonts w:ascii="Palatino Linotype" w:eastAsia="Palatino Linotype" w:hAnsi="Palatino Linotype" w:cs="Palatino Linotype"/>
          <w:b/>
          <w:bCs/>
          <w:i/>
          <w:iCs/>
          <w:color w:val="000000"/>
          <w:lang w:eastAsia="es-MX"/>
        </w:rPr>
        <w:t>Artículo 128.</w:t>
      </w:r>
      <w:r w:rsidRPr="00590A3D">
        <w:rPr>
          <w:rFonts w:ascii="Palatino Linotype" w:eastAsia="Palatino Linotype" w:hAnsi="Palatino Linotype" w:cs="Palatino Linotype"/>
          <w:i/>
          <w:iCs/>
          <w:color w:val="000000"/>
          <w:lang w:eastAsia="es-MX"/>
        </w:rPr>
        <w:t xml:space="preserve"> En los casos en que se niegue el acceso a la información, por actualizarse alguno de los supuestos de clasificación, el Comité de Transparencia deberá confirmar, modificar o revocar la decisión.</w:t>
      </w: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lang w:eastAsia="es-MX"/>
        </w:rPr>
      </w:pPr>
      <w:r w:rsidRPr="00590A3D">
        <w:rPr>
          <w:rFonts w:ascii="Palatino Linotype" w:eastAsia="Palatino Linotype" w:hAnsi="Palatino Linotype" w:cs="Palatino Linotype"/>
          <w:i/>
          <w:iCs/>
          <w:color w:val="000000"/>
          <w:lang w:eastAsia="es-MX"/>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w:t>
      </w:r>
      <w:r w:rsidRPr="00590A3D">
        <w:rPr>
          <w:rFonts w:ascii="Palatino Linotype" w:eastAsia="Palatino Linotype" w:hAnsi="Palatino Linotype" w:cs="Palatino Linotype"/>
          <w:b/>
          <w:bCs/>
          <w:i/>
          <w:iCs/>
          <w:color w:val="000000"/>
          <w:u w:val="single"/>
          <w:lang w:eastAsia="es-MX"/>
        </w:rPr>
        <w:t>el sujeto obligado deberá, en todo momento, aplicar una prueba de daño</w:t>
      </w:r>
      <w:r w:rsidRPr="00590A3D">
        <w:rPr>
          <w:rFonts w:ascii="Palatino Linotype" w:eastAsia="Palatino Linotype" w:hAnsi="Palatino Linotype" w:cs="Palatino Linotype"/>
          <w:i/>
          <w:iCs/>
          <w:color w:val="000000"/>
          <w:lang w:eastAsia="es-MX"/>
        </w:rPr>
        <w:t>.</w:t>
      </w: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lang w:eastAsia="es-MX"/>
        </w:rPr>
      </w:pPr>
      <w:r w:rsidRPr="00590A3D">
        <w:rPr>
          <w:rFonts w:ascii="Palatino Linotype" w:eastAsia="Palatino Linotype" w:hAnsi="Palatino Linotype" w:cs="Palatino Linotype"/>
          <w:i/>
          <w:iCs/>
          <w:color w:val="000000"/>
          <w:lang w:eastAsia="es-MX"/>
        </w:rPr>
        <w:t>Tratándose de aquélla información que actualice los supuestos de clasificación, deberá señalarse el plazo al que estará sujeto la reserva.</w:t>
      </w: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lang w:eastAsia="es-MX"/>
        </w:rPr>
      </w:pPr>
      <w:r w:rsidRPr="00590A3D">
        <w:rPr>
          <w:rFonts w:ascii="Palatino Linotype" w:eastAsia="Palatino Linotype" w:hAnsi="Palatino Linotype" w:cs="Palatino Linotype"/>
          <w:b/>
          <w:bCs/>
          <w:i/>
          <w:iCs/>
          <w:color w:val="000000"/>
          <w:lang w:eastAsia="es-MX"/>
        </w:rPr>
        <w:t>Artículo 129</w:t>
      </w:r>
      <w:r w:rsidRPr="00590A3D">
        <w:rPr>
          <w:rFonts w:ascii="Palatino Linotype" w:eastAsia="Palatino Linotype" w:hAnsi="Palatino Linotype" w:cs="Palatino Linotype"/>
          <w:i/>
          <w:iCs/>
          <w:color w:val="000000"/>
          <w:lang w:eastAsia="es-MX"/>
        </w:rPr>
        <w:t xml:space="preserve">. </w:t>
      </w:r>
      <w:r w:rsidRPr="00590A3D">
        <w:rPr>
          <w:rFonts w:ascii="Palatino Linotype" w:eastAsia="Palatino Linotype" w:hAnsi="Palatino Linotype" w:cs="Palatino Linotype"/>
          <w:b/>
          <w:bCs/>
          <w:i/>
          <w:iCs/>
          <w:color w:val="000000"/>
          <w:u w:val="single"/>
          <w:lang w:eastAsia="es-MX"/>
        </w:rPr>
        <w:t>En la aplicación de la prueba de daño, el sujeto obligado deberá precisar las razones objetivas por las que la apertura de la información generaría una afectación</w:t>
      </w:r>
      <w:r w:rsidRPr="00590A3D">
        <w:rPr>
          <w:rFonts w:ascii="Palatino Linotype" w:eastAsia="Palatino Linotype" w:hAnsi="Palatino Linotype" w:cs="Palatino Linotype"/>
          <w:i/>
          <w:iCs/>
          <w:color w:val="000000"/>
          <w:lang w:eastAsia="es-MX"/>
        </w:rPr>
        <w:t>, justificando que:</w:t>
      </w:r>
    </w:p>
    <w:p w:rsidR="00590A3D" w:rsidRPr="00590A3D" w:rsidRDefault="00590A3D" w:rsidP="00590A3D">
      <w:pPr>
        <w:numPr>
          <w:ilvl w:val="0"/>
          <w:numId w:val="36"/>
        </w:numPr>
        <w:pBdr>
          <w:top w:val="nil"/>
          <w:left w:val="nil"/>
          <w:bottom w:val="nil"/>
          <w:right w:val="nil"/>
          <w:between w:val="nil"/>
        </w:pBdr>
        <w:spacing w:after="0" w:line="360" w:lineRule="auto"/>
        <w:ind w:left="1134" w:right="616" w:hanging="567"/>
        <w:jc w:val="both"/>
        <w:rPr>
          <w:rFonts w:ascii="Palatino Linotype" w:eastAsia="Palatino Linotype" w:hAnsi="Palatino Linotype" w:cs="Palatino Linotype"/>
          <w:i/>
          <w:iCs/>
          <w:color w:val="000000"/>
        </w:rPr>
      </w:pPr>
      <w:r w:rsidRPr="00590A3D">
        <w:rPr>
          <w:rFonts w:ascii="Palatino Linotype" w:eastAsia="Palatino Linotype" w:hAnsi="Palatino Linotype" w:cs="Palatino Linotype"/>
          <w:i/>
          <w:iCs/>
          <w:color w:val="000000"/>
        </w:rPr>
        <w:t>La divulgación de la información representa un riesgo real, demostrable e identificable del perjuicio significativo al interés público o a la seguridad pública;</w:t>
      </w:r>
    </w:p>
    <w:p w:rsidR="00590A3D" w:rsidRPr="00590A3D" w:rsidRDefault="00590A3D" w:rsidP="00590A3D">
      <w:pPr>
        <w:numPr>
          <w:ilvl w:val="0"/>
          <w:numId w:val="36"/>
        </w:numPr>
        <w:pBdr>
          <w:top w:val="nil"/>
          <w:left w:val="nil"/>
          <w:bottom w:val="nil"/>
          <w:right w:val="nil"/>
          <w:between w:val="nil"/>
        </w:pBdr>
        <w:spacing w:after="0" w:line="360" w:lineRule="auto"/>
        <w:ind w:left="1134" w:right="616" w:hanging="567"/>
        <w:jc w:val="both"/>
        <w:rPr>
          <w:rFonts w:ascii="Palatino Linotype" w:eastAsia="Palatino Linotype" w:hAnsi="Palatino Linotype" w:cs="Palatino Linotype"/>
          <w:i/>
          <w:iCs/>
          <w:color w:val="000000"/>
        </w:rPr>
      </w:pPr>
      <w:r w:rsidRPr="00590A3D">
        <w:rPr>
          <w:rFonts w:ascii="Palatino Linotype" w:eastAsia="Palatino Linotype" w:hAnsi="Palatino Linotype" w:cs="Palatino Linotype"/>
          <w:i/>
          <w:iCs/>
          <w:color w:val="000000"/>
        </w:rPr>
        <w:t>El riesgo de perjuicio que supondría la divulgación supera el interés público general de que se difunda; y</w:t>
      </w:r>
    </w:p>
    <w:p w:rsidR="00590A3D" w:rsidRPr="00590A3D" w:rsidRDefault="00590A3D" w:rsidP="00590A3D">
      <w:pPr>
        <w:numPr>
          <w:ilvl w:val="0"/>
          <w:numId w:val="36"/>
        </w:numPr>
        <w:pBdr>
          <w:top w:val="nil"/>
          <w:left w:val="nil"/>
          <w:bottom w:val="nil"/>
          <w:right w:val="nil"/>
          <w:between w:val="nil"/>
        </w:pBdr>
        <w:spacing w:after="0" w:line="360" w:lineRule="auto"/>
        <w:ind w:left="1134" w:right="616" w:hanging="567"/>
        <w:jc w:val="both"/>
        <w:rPr>
          <w:rFonts w:ascii="Palatino Linotype" w:eastAsia="Palatino Linotype" w:hAnsi="Palatino Linotype" w:cs="Palatino Linotype"/>
          <w:i/>
          <w:iCs/>
          <w:color w:val="000000"/>
        </w:rPr>
      </w:pPr>
      <w:r w:rsidRPr="00590A3D">
        <w:rPr>
          <w:rFonts w:ascii="Palatino Linotype" w:eastAsia="Palatino Linotype" w:hAnsi="Palatino Linotype" w:cs="Palatino Linotype"/>
          <w:i/>
          <w:iCs/>
          <w:color w:val="000000"/>
        </w:rPr>
        <w:t>La limitación se adecua al principio de proporcionalidad y representa el medio menos restrictivo disponible representa el medio menos restrictivo disponible para evitar el perjuicio.</w:t>
      </w: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r w:rsidRPr="00590A3D">
        <w:rPr>
          <w:rFonts w:ascii="Palatino Linotype" w:eastAsia="Palatino Linotype" w:hAnsi="Palatino Linotype" w:cs="Palatino Linotype"/>
          <w:b/>
          <w:i/>
          <w:iCs/>
          <w:color w:val="000000"/>
        </w:rPr>
        <w:lastRenderedPageBreak/>
        <w:t xml:space="preserve">Artículo 130. </w:t>
      </w:r>
      <w:r w:rsidRPr="00590A3D">
        <w:rPr>
          <w:rFonts w:ascii="Palatino Linotype" w:eastAsia="Palatino Linotype" w:hAnsi="Palatino Linotype" w:cs="Palatino Linotype"/>
          <w:b/>
          <w:i/>
          <w:iCs/>
          <w:color w:val="000000"/>
          <w:u w:val="single"/>
        </w:rPr>
        <w:t>Los sujetos obligados deberán aplicar, de manera restrictiva y limitada, las excepciones al derecho de acceso a la información y sólo podrán invocarlas cuando acrediten su procedencia</w:t>
      </w:r>
      <w:r w:rsidRPr="00590A3D">
        <w:rPr>
          <w:rFonts w:ascii="Palatino Linotype" w:eastAsia="Palatino Linotype" w:hAnsi="Palatino Linotype" w:cs="Palatino Linotype"/>
          <w:i/>
          <w:iCs/>
          <w:color w:val="000000"/>
        </w:rPr>
        <w:t>, sin ampliar las excepciones o supuestos de reserva o confidencialidad previstos en la Ley General y la presente Ley, aduciendo analogía o mayoría de razón.</w:t>
      </w: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r w:rsidRPr="00590A3D">
        <w:rPr>
          <w:rFonts w:ascii="Palatino Linotype" w:eastAsia="Palatino Linotype" w:hAnsi="Palatino Linotype" w:cs="Palatino Linotype"/>
          <w:b/>
          <w:i/>
          <w:iCs/>
          <w:color w:val="000000"/>
        </w:rPr>
        <w:t xml:space="preserve">Artículo 131. </w:t>
      </w:r>
      <w:r w:rsidRPr="00590A3D">
        <w:rPr>
          <w:rFonts w:ascii="Palatino Linotype" w:eastAsia="Palatino Linotype" w:hAnsi="Palatino Linotype" w:cs="Palatino Linotype"/>
          <w:b/>
          <w:i/>
          <w:iCs/>
          <w:color w:val="000000"/>
          <w:u w:val="single"/>
        </w:rPr>
        <w:t>La carga de la prueba para justificar toda negativa de acceso a la información, por actualizarse cualquiera de los supuestos de clasificación previstos en esta Ley corresponderá a los sujetos obligados</w:t>
      </w:r>
      <w:r w:rsidRPr="00590A3D">
        <w:rPr>
          <w:rFonts w:ascii="Palatino Linotype" w:eastAsia="Palatino Linotype" w:hAnsi="Palatino Linotype" w:cs="Palatino Linotype"/>
          <w:i/>
          <w:iCs/>
          <w:color w:val="000000"/>
        </w:rPr>
        <w:t>; en tal caso deberá fundar y motivar debidamente la clasificación de la información, de conformidad con lo previsto en la presente Ley.</w:t>
      </w:r>
    </w:p>
    <w:p w:rsidR="00590A3D" w:rsidRPr="00590A3D" w:rsidRDefault="00590A3D" w:rsidP="00590A3D">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p>
    <w:p w:rsidR="00590A3D" w:rsidRPr="00590A3D" w:rsidRDefault="00590A3D" w:rsidP="00590A3D">
      <w:pPr>
        <w:pBdr>
          <w:top w:val="nil"/>
          <w:left w:val="nil"/>
          <w:bottom w:val="nil"/>
          <w:right w:val="nil"/>
          <w:between w:val="nil"/>
        </w:pBdr>
        <w:spacing w:line="360" w:lineRule="auto"/>
        <w:jc w:val="both"/>
        <w:rPr>
          <w:rFonts w:ascii="Palatino Linotype" w:eastAsia="Palatino Linotype" w:hAnsi="Palatino Linotype" w:cs="Palatino Linotype"/>
          <w:color w:val="000000"/>
          <w:sz w:val="24"/>
          <w:lang w:eastAsia="es-MX"/>
        </w:rPr>
      </w:pPr>
      <w:r w:rsidRPr="00590A3D">
        <w:rPr>
          <w:rFonts w:ascii="Palatino Linotype" w:eastAsia="Palatino Linotype" w:hAnsi="Palatino Linotype" w:cs="Palatino Linotype"/>
          <w:color w:val="000000"/>
          <w:sz w:val="24"/>
          <w:lang w:eastAsia="es-MX"/>
        </w:rPr>
        <w:t>Del mismo modo, los Lineamientos Generales en Materia de Clasificación y Desclasificación de la Información, así como para la Elaboración de Versiones Públicas establecen con relación al a prueba de daño lo siguiente:</w:t>
      </w:r>
    </w:p>
    <w:p w:rsidR="00590A3D" w:rsidRPr="00590A3D" w:rsidRDefault="00590A3D" w:rsidP="00590A3D">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lang w:eastAsia="es-MX"/>
        </w:rPr>
      </w:pPr>
      <w:r w:rsidRPr="00590A3D">
        <w:rPr>
          <w:rFonts w:ascii="Palatino Linotype" w:hAnsi="Palatino Linotype"/>
          <w:b/>
          <w:i/>
        </w:rPr>
        <w:t>Prueba de daño:</w:t>
      </w:r>
      <w:r w:rsidRPr="00590A3D">
        <w:rPr>
          <w:rFonts w:ascii="Palatino Linotype" w:hAnsi="Palatino Linotype"/>
          <w:i/>
        </w:rPr>
        <w:t xml:space="preserve"> </w:t>
      </w:r>
      <w:r w:rsidRPr="00590A3D">
        <w:rPr>
          <w:rFonts w:ascii="Palatino Linotype" w:hAnsi="Palatino Linotype"/>
          <w:b/>
          <w:i/>
          <w:u w:val="single"/>
        </w:rPr>
        <w:t>La argumentación fundada y motivada que deben realizar los sujetos obligados tendiente a acreditar que la divulgación de información lesiona el interés jurídicamente protegido por la normativa aplicable</w:t>
      </w:r>
      <w:r w:rsidRPr="00590A3D">
        <w:rPr>
          <w:rFonts w:ascii="Palatino Linotype" w:hAnsi="Palatino Linotype"/>
          <w:i/>
        </w:rPr>
        <w:t xml:space="preserve"> y que el daño que puede producirse con la publicidad de la información es mayor que el interés de conocerla; (…)</w:t>
      </w:r>
    </w:p>
    <w:p w:rsidR="00590A3D" w:rsidRPr="00590A3D" w:rsidRDefault="00590A3D" w:rsidP="00590A3D">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p>
    <w:p w:rsidR="00590A3D" w:rsidRPr="00590A3D" w:rsidRDefault="00590A3D" w:rsidP="00590A3D">
      <w:pPr>
        <w:pBdr>
          <w:top w:val="nil"/>
          <w:left w:val="nil"/>
          <w:bottom w:val="nil"/>
          <w:right w:val="nil"/>
          <w:between w:val="nil"/>
        </w:pBdr>
        <w:spacing w:line="360" w:lineRule="auto"/>
        <w:jc w:val="both"/>
        <w:rPr>
          <w:rFonts w:ascii="Palatino Linotype" w:eastAsia="Palatino Linotype" w:hAnsi="Palatino Linotype" w:cs="Palatino Linotype"/>
          <w:color w:val="000000"/>
          <w:sz w:val="24"/>
          <w:lang w:eastAsia="es-MX"/>
        </w:rPr>
      </w:pPr>
      <w:r w:rsidRPr="00590A3D">
        <w:rPr>
          <w:rFonts w:ascii="Palatino Linotype" w:eastAsia="Palatino Linotype" w:hAnsi="Palatino Linotype" w:cs="Palatino Linotype"/>
          <w:color w:val="000000"/>
          <w:sz w:val="24"/>
          <w:lang w:eastAsia="es-MX"/>
        </w:rPr>
        <w:lastRenderedPageBreak/>
        <w:t>Asimismo, el Poder Judicial de la Federación emitió las tesis con número de registro 2011541</w:t>
      </w:r>
      <w:r w:rsidRPr="00590A3D">
        <w:rPr>
          <w:rFonts w:ascii="Palatino Linotype" w:eastAsia="Palatino Linotype" w:hAnsi="Palatino Linotype" w:cs="Palatino Linotype"/>
          <w:color w:val="000000"/>
          <w:sz w:val="24"/>
          <w:vertAlign w:val="superscript"/>
          <w:lang w:eastAsia="es-MX"/>
        </w:rPr>
        <w:footnoteReference w:id="2"/>
      </w:r>
      <w:r w:rsidRPr="00590A3D">
        <w:rPr>
          <w:rFonts w:ascii="Palatino Linotype" w:eastAsia="Palatino Linotype" w:hAnsi="Palatino Linotype" w:cs="Palatino Linotype"/>
          <w:color w:val="000000"/>
          <w:sz w:val="24"/>
          <w:lang w:eastAsia="es-MX"/>
        </w:rPr>
        <w:t xml:space="preserve"> y 2018460</w:t>
      </w:r>
      <w:r w:rsidRPr="00590A3D">
        <w:rPr>
          <w:rFonts w:ascii="Palatino Linotype" w:eastAsia="Palatino Linotype" w:hAnsi="Palatino Linotype" w:cs="Palatino Linotype"/>
          <w:color w:val="000000"/>
          <w:sz w:val="24"/>
          <w:vertAlign w:val="superscript"/>
          <w:lang w:eastAsia="es-MX"/>
        </w:rPr>
        <w:footnoteReference w:id="3"/>
      </w:r>
      <w:r w:rsidRPr="00590A3D">
        <w:rPr>
          <w:rFonts w:ascii="Palatino Linotype" w:eastAsia="Palatino Linotype" w:hAnsi="Palatino Linotype" w:cs="Palatino Linotype"/>
          <w:color w:val="000000"/>
          <w:sz w:val="24"/>
          <w:lang w:eastAsia="es-MX"/>
        </w:rPr>
        <w:t xml:space="preserve"> en las que, respectivamente, se dispone lo siguiente:</w:t>
      </w: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b/>
          <w:bCs/>
          <w:i/>
          <w:iCs/>
          <w:color w:val="000000"/>
          <w:lang w:eastAsia="es-MX"/>
        </w:rPr>
      </w:pPr>
      <w:r w:rsidRPr="00590A3D">
        <w:rPr>
          <w:rFonts w:ascii="Palatino Linotype" w:eastAsia="Palatino Linotype" w:hAnsi="Palatino Linotype" w:cs="Palatino Linotype"/>
          <w:b/>
          <w:bCs/>
          <w:i/>
          <w:iCs/>
          <w:color w:val="000000"/>
          <w:lang w:eastAsia="es-MX"/>
        </w:rPr>
        <w:t>ACCESO A LA INFORMACIÓN. EJERCICIO DEL DERECHO RELATIVO TRATÁNDOSE DE LA CLASIFICADA COMO CONFIDENCIAL, MEDIANTE LA PRUEBA DE DAÑO O DEL INTERÉS PÚBLICO Y ROL DEL JUEZ DE AMPARO PARA FACILITAR LA DEFENSA DE LAS PARTES.</w:t>
      </w: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lang w:eastAsia="es-MX"/>
        </w:rPr>
      </w:pPr>
      <w:r w:rsidRPr="00590A3D">
        <w:rPr>
          <w:rFonts w:ascii="Palatino Linotype" w:eastAsia="Palatino Linotype" w:hAnsi="Palatino Linotype" w:cs="Palatino Linotype"/>
          <w:i/>
          <w:iCs/>
          <w:color w:val="000000"/>
          <w:lang w:eastAsia="es-MX"/>
        </w:rPr>
        <w:t>Para el ejercicio del derecho de acceso a la información, previsto en el artículo 6o. de la Constitución Política de los Estados Unidos Mexicanos, la Ley General de Transparencia y Acceso a la Información Pública establece la existencia de los mecanismos correspondientes y de procedimientos de revisión expeditos, y dispone que ese derecho humano comprende solicitar, investigar, difundir, buscar y recibir información. Asimismo, que toda la generada, obtenida, adquirida, transformada o en posesión de los sujetos obligados es pública y accesible a cualquier persona. Además señala, como regla general, el acceso a dicha información y, por excepción, la clasificación. Es así que para clasificar la información como reservada, debe hacerse un análisis, caso por caso, mediante la aplicación de la "prueba de daño". Sin perjuicio de lo anterior</w:t>
      </w:r>
      <w:r w:rsidRPr="00590A3D">
        <w:rPr>
          <w:rFonts w:ascii="Palatino Linotype" w:eastAsia="Palatino Linotype" w:hAnsi="Palatino Linotype" w:cs="Palatino Linotype"/>
          <w:b/>
          <w:bCs/>
          <w:i/>
          <w:iCs/>
          <w:color w:val="000000"/>
          <w:u w:val="single"/>
          <w:lang w:eastAsia="es-MX"/>
        </w:rPr>
        <w:t>, cuando un documento contenga partes o secciones reservadas o confidenciales, los sujetos obligados deberán elaborar una versión pública, en la que testen única y exclusivamente aquéllas, con indicación de su contenido de forma genérica, así como la fundamentación y motivación que sustente dicha clasificación</w:t>
      </w:r>
      <w:r w:rsidRPr="00590A3D">
        <w:rPr>
          <w:rFonts w:ascii="Palatino Linotype" w:eastAsia="Palatino Linotype" w:hAnsi="Palatino Linotype" w:cs="Palatino Linotype"/>
          <w:i/>
          <w:iCs/>
          <w:color w:val="000000"/>
          <w:lang w:eastAsia="es-MX"/>
        </w:rPr>
        <w:t xml:space="preserve">. Por otra parte, si alguien intenta revertir determinada clasificación de información que estima no es confidencial, debe plantearlo ante la autoridad que realizó la clasificación, dando audiencia a los beneficiados con la </w:t>
      </w:r>
      <w:r w:rsidRPr="00590A3D">
        <w:rPr>
          <w:rFonts w:ascii="Palatino Linotype" w:eastAsia="Palatino Linotype" w:hAnsi="Palatino Linotype" w:cs="Palatino Linotype"/>
          <w:i/>
          <w:iCs/>
          <w:color w:val="000000"/>
          <w:lang w:eastAsia="es-MX"/>
        </w:rPr>
        <w:lastRenderedPageBreak/>
        <w:t xml:space="preserve">decretada y a los probables afectados, para el evento de que se reclasifique, a través de la "prueba del interés público". De lo anterior </w:t>
      </w:r>
      <w:r w:rsidRPr="00590A3D">
        <w:rPr>
          <w:rFonts w:ascii="Palatino Linotype" w:eastAsia="Palatino Linotype" w:hAnsi="Palatino Linotype" w:cs="Palatino Linotype"/>
          <w:b/>
          <w:bCs/>
          <w:i/>
          <w:iCs/>
          <w:color w:val="000000"/>
          <w:u w:val="single"/>
          <w:lang w:eastAsia="es-MX"/>
        </w:rPr>
        <w:t>se advierte que corresponde a los sujetos obligados realizar la clasificación de la información que obre en su poder</w:t>
      </w:r>
      <w:r w:rsidRPr="00590A3D">
        <w:rPr>
          <w:rFonts w:ascii="Palatino Linotype" w:eastAsia="Palatino Linotype" w:hAnsi="Palatino Linotype" w:cs="Palatino Linotype"/>
          <w:i/>
          <w:iCs/>
          <w:color w:val="000000"/>
          <w:lang w:eastAsia="es-MX"/>
        </w:rPr>
        <w:t xml:space="preserve"> y, contra la decisión que adopten, procede interponer el recurso de revisión ante el organismo garante que corresponda. En consecuencia, </w:t>
      </w:r>
      <w:r w:rsidRPr="00590A3D">
        <w:rPr>
          <w:rFonts w:ascii="Palatino Linotype" w:eastAsia="Palatino Linotype" w:hAnsi="Palatino Linotype" w:cs="Palatino Linotype"/>
          <w:b/>
          <w:bCs/>
          <w:i/>
          <w:iCs/>
          <w:color w:val="000000"/>
          <w:u w:val="single"/>
          <w:lang w:eastAsia="es-MX"/>
        </w:rPr>
        <w:t>la obligación de clasificar la información corresponde única y directamente a los sujetos obligado</w:t>
      </w:r>
      <w:r w:rsidRPr="00590A3D">
        <w:rPr>
          <w:rFonts w:ascii="Palatino Linotype" w:eastAsia="Palatino Linotype" w:hAnsi="Palatino Linotype" w:cs="Palatino Linotype"/>
          <w:i/>
          <w:iCs/>
          <w:color w:val="000000"/>
          <w:lang w:eastAsia="es-MX"/>
        </w:rPr>
        <w:t>s, en tanto que al Juez de amparo sólo compete facilitar, bajo su más estricta responsabilidad, el acceso a la que sea "indispensable para la adecuada defensa de las partes".</w:t>
      </w: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lang w:eastAsia="es-MX"/>
        </w:rPr>
      </w:pP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b/>
          <w:bCs/>
          <w:i/>
          <w:iCs/>
          <w:color w:val="000000"/>
          <w:lang w:eastAsia="es-MX"/>
        </w:rPr>
      </w:pPr>
      <w:r w:rsidRPr="00590A3D">
        <w:rPr>
          <w:rFonts w:ascii="Palatino Linotype" w:eastAsia="Palatino Linotype" w:hAnsi="Palatino Linotype" w:cs="Palatino Linotype"/>
          <w:b/>
          <w:bCs/>
          <w:i/>
          <w:iCs/>
          <w:color w:val="000000"/>
          <w:lang w:eastAsia="es-MX"/>
        </w:rPr>
        <w:t>PRUEBA DE DAÑO EN LA CLASIFICACIÓN DE LA INFORMACIÓN PÚBLICA. SU VALIDEZ NO DEPENDE DE LOS MEDIOS DE PRUEBA QUE EL SUJETO OBLIGADO APORTE.</w:t>
      </w:r>
    </w:p>
    <w:p w:rsidR="00590A3D" w:rsidRPr="00590A3D" w:rsidRDefault="00590A3D" w:rsidP="00590A3D">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lang w:eastAsia="es-MX"/>
        </w:rPr>
      </w:pPr>
      <w:r w:rsidRPr="00590A3D">
        <w:rPr>
          <w:rFonts w:ascii="Palatino Linotype" w:eastAsia="Palatino Linotype" w:hAnsi="Palatino Linotype" w:cs="Palatino Linotype"/>
          <w:i/>
          <w:iCs/>
          <w:color w:val="000000"/>
          <w:lang w:eastAsia="es-MX"/>
        </w:rPr>
        <w:t xml:space="preserve">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w:t>
      </w:r>
      <w:r w:rsidRPr="00590A3D">
        <w:rPr>
          <w:rFonts w:ascii="Palatino Linotype" w:eastAsia="Palatino Linotype" w:hAnsi="Palatino Linotype" w:cs="Palatino Linotype"/>
          <w:b/>
          <w:bCs/>
          <w:i/>
          <w:iCs/>
          <w:color w:val="000000"/>
          <w:u w:val="single"/>
          <w:lang w:eastAsia="es-MX"/>
        </w:rPr>
        <w:t>la prueba de daño es la argumentación fundada y motivada que deben realizar los sujetos obligados para acreditar que la divulgación de la información lesiona un interés jurídicamente protegido y que el daño que puede producir es mayor que el interés de conocer ésta</w:t>
      </w:r>
      <w:r w:rsidRPr="00590A3D">
        <w:rPr>
          <w:rFonts w:ascii="Palatino Linotype" w:eastAsia="Palatino Linotype" w:hAnsi="Palatino Linotype" w:cs="Palatino Linotype"/>
          <w:i/>
          <w:iCs/>
          <w:color w:val="000000"/>
          <w:lang w:eastAsia="es-MX"/>
        </w:rPr>
        <w:t xml:space="preserve">. Para tal efecto, disponen que en la clasificación de la información pública (como reservada o confidencial), debe justificarse que su divulgación representa un riesgo real, demostrable e identificable de perjuicio significativo al interés público o a la </w:t>
      </w:r>
      <w:r w:rsidRPr="00590A3D">
        <w:rPr>
          <w:rFonts w:ascii="Palatino Linotype" w:eastAsia="Palatino Linotype" w:hAnsi="Palatino Linotype" w:cs="Palatino Linotype"/>
          <w:i/>
          <w:iCs/>
          <w:color w:val="000000"/>
          <w:lang w:eastAsia="es-MX"/>
        </w:rPr>
        <w:lastRenderedPageBreak/>
        <w:t xml:space="preserve">seguridad nacional; que ese riesgo supera el interés público general de que se difunda; y, que la limitación se adecua al principio de proporcionalidad y representa el medio menos restrictivo disponible para evitar el perjuicio. Así, </w:t>
      </w:r>
      <w:r w:rsidRPr="00590A3D">
        <w:rPr>
          <w:rFonts w:ascii="Palatino Linotype" w:eastAsia="Palatino Linotype" w:hAnsi="Palatino Linotype" w:cs="Palatino Linotype"/>
          <w:b/>
          <w:bCs/>
          <w:i/>
          <w:iCs/>
          <w:color w:val="000000"/>
          <w:u w:val="single"/>
          <w:lang w:eastAsia="es-MX"/>
        </w:rPr>
        <w:t>la prueba de daño establece líneas argumentativas mínimas que deben cursarse, a fin de constatar que la publicidad de la información solicitada no ocasionaría un daño a un interés jurídicamente protegido, ya sea de índole estatal o particular.</w:t>
      </w:r>
      <w:r w:rsidRPr="00590A3D">
        <w:rPr>
          <w:rFonts w:ascii="Palatino Linotype" w:eastAsia="Palatino Linotype" w:hAnsi="Palatino Linotype" w:cs="Palatino Linotype"/>
          <w:i/>
          <w:iCs/>
          <w:color w:val="000000"/>
          <w:lang w:eastAsia="es-MX"/>
        </w:rPr>
        <w:t xml:space="preserve"> Por tanto, al tratarse de un aspecto constreñido al ámbito argumentativo, la validez de la prueba de daño no depende de los medios de prueba que el sujeto obligado aporte, sino de la solidez del juicio de ponderación que se efectúe en los términos señalados.</w:t>
      </w:r>
    </w:p>
    <w:p w:rsidR="00590A3D" w:rsidRPr="00590A3D" w:rsidRDefault="00590A3D" w:rsidP="00590A3D">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p>
    <w:p w:rsidR="00590A3D" w:rsidRPr="00590A3D" w:rsidRDefault="00590A3D" w:rsidP="00590A3D">
      <w:pPr>
        <w:pBdr>
          <w:top w:val="nil"/>
          <w:left w:val="nil"/>
          <w:bottom w:val="nil"/>
          <w:right w:val="nil"/>
          <w:between w:val="nil"/>
        </w:pBdr>
        <w:spacing w:line="360" w:lineRule="auto"/>
        <w:jc w:val="both"/>
        <w:rPr>
          <w:rFonts w:ascii="Palatino Linotype" w:eastAsia="Palatino Linotype" w:hAnsi="Palatino Linotype" w:cs="Palatino Linotype"/>
          <w:color w:val="000000"/>
          <w:sz w:val="24"/>
          <w:lang w:eastAsia="es-MX"/>
        </w:rPr>
      </w:pPr>
      <w:r w:rsidRPr="00590A3D">
        <w:rPr>
          <w:rFonts w:ascii="Palatino Linotype" w:eastAsia="Palatino Linotype" w:hAnsi="Palatino Linotype" w:cs="Palatino Linotype"/>
          <w:color w:val="000000"/>
          <w:sz w:val="24"/>
          <w:lang w:eastAsia="es-MX"/>
        </w:rPr>
        <w:t xml:space="preserve">Por lo tanto, con base en el estudio a lo dispuesto en la Ley General de Transparencia y Acceso a la Información Pública, Ley de Transparencia y Acceso a la Información Pública del Estado de México y Municipios y a los Lineamientos Generales en Materia de Clasificación y Desclasificación de la Información, así como para la Elaboración de Versiones Públicas emitidos por el Sistema Nacional de Transparencia, Acceso a la Información Pública y Protección de Datos Personales que corresponde a los sujetos obligados realizar la clasificación de la información que obre en su poder y </w:t>
      </w:r>
      <w:r w:rsidRPr="00590A3D">
        <w:rPr>
          <w:rFonts w:ascii="Palatino Linotype" w:eastAsia="Palatino Linotype" w:hAnsi="Palatino Linotype" w:cs="Palatino Linotype"/>
          <w:b/>
          <w:color w:val="000000"/>
          <w:sz w:val="24"/>
          <w:lang w:eastAsia="es-MX"/>
        </w:rPr>
        <w:t>que la obligación de clasificar la información corresponde única y directamente a los sujetos obligados, mediante la formación de la prueba de daño</w:t>
      </w:r>
      <w:r w:rsidRPr="00590A3D">
        <w:rPr>
          <w:rFonts w:ascii="Palatino Linotype" w:eastAsia="Palatino Linotype" w:hAnsi="Palatino Linotype" w:cs="Palatino Linotype"/>
          <w:color w:val="000000"/>
          <w:sz w:val="24"/>
          <w:lang w:eastAsia="es-MX"/>
        </w:rPr>
        <w:t>.</w:t>
      </w:r>
    </w:p>
    <w:p w:rsidR="00590A3D" w:rsidRPr="00590A3D" w:rsidRDefault="00590A3D" w:rsidP="00590A3D">
      <w:pPr>
        <w:pBdr>
          <w:top w:val="nil"/>
          <w:left w:val="nil"/>
          <w:bottom w:val="nil"/>
          <w:right w:val="nil"/>
          <w:between w:val="nil"/>
        </w:pBdr>
        <w:spacing w:line="360" w:lineRule="auto"/>
        <w:jc w:val="both"/>
        <w:rPr>
          <w:rFonts w:ascii="Palatino Linotype" w:eastAsia="Palatino Linotype" w:hAnsi="Palatino Linotype" w:cs="Palatino Linotype"/>
          <w:color w:val="000000"/>
          <w:sz w:val="24"/>
          <w:lang w:eastAsia="es-MX"/>
        </w:rPr>
      </w:pPr>
    </w:p>
    <w:p w:rsidR="00590A3D" w:rsidRPr="00590A3D" w:rsidRDefault="00590A3D" w:rsidP="00590A3D">
      <w:pPr>
        <w:spacing w:line="360" w:lineRule="auto"/>
        <w:jc w:val="both"/>
        <w:rPr>
          <w:rFonts w:ascii="Palatino Linotype" w:hAnsi="Palatino Linotype" w:cs="Arial"/>
          <w:sz w:val="32"/>
        </w:rPr>
      </w:pPr>
      <w:r w:rsidRPr="00590A3D">
        <w:rPr>
          <w:rFonts w:ascii="Palatino Linotype" w:eastAsia="Palatino Linotype" w:hAnsi="Palatino Linotype" w:cs="Palatino Linotype"/>
          <w:color w:val="000000"/>
          <w:sz w:val="24"/>
          <w:lang w:eastAsia="es-MX"/>
        </w:rPr>
        <w:t xml:space="preserve">De lo argumentado anteriormente se desprende que los sujetos obligados al ser quienes generan, poseen o administran la información en uso de sus atribuciones de derecho público, son a quienes corresponde exclusivamente realizar la aplicación de </w:t>
      </w:r>
      <w:r w:rsidRPr="00590A3D">
        <w:rPr>
          <w:rFonts w:ascii="Palatino Linotype" w:eastAsia="Palatino Linotype" w:hAnsi="Palatino Linotype" w:cs="Palatino Linotype"/>
          <w:color w:val="000000"/>
          <w:sz w:val="24"/>
          <w:lang w:eastAsia="es-MX"/>
        </w:rPr>
        <w:lastRenderedPageBreak/>
        <w:t>la prueba de daño a la información que obra en sus archivos, y, mediante su realización, aportar los argumentos necesarios para demostrar fehacientemente que la divulgación de la información provoca un daño a un interés jurídicamente protegido.</w:t>
      </w:r>
    </w:p>
    <w:p w:rsidR="00590A3D" w:rsidRPr="00590A3D" w:rsidRDefault="00590A3D" w:rsidP="00590A3D">
      <w:pPr>
        <w:spacing w:line="360" w:lineRule="auto"/>
        <w:jc w:val="both"/>
        <w:rPr>
          <w:rFonts w:ascii="Palatino Linotype" w:hAnsi="Palatino Linotype" w:cs="Arial"/>
          <w:sz w:val="24"/>
        </w:rPr>
      </w:pPr>
    </w:p>
    <w:p w:rsidR="00590A3D" w:rsidRPr="00590A3D" w:rsidRDefault="00590A3D" w:rsidP="00590A3D">
      <w:pPr>
        <w:spacing w:line="360" w:lineRule="auto"/>
        <w:jc w:val="both"/>
        <w:rPr>
          <w:rFonts w:ascii="Palatino Linotype" w:hAnsi="Palatino Linotype"/>
          <w:sz w:val="24"/>
          <w:lang w:eastAsia="es-MX"/>
        </w:rPr>
      </w:pPr>
      <w:r w:rsidRPr="00590A3D">
        <w:rPr>
          <w:rFonts w:ascii="Palatino Linotype" w:hAnsi="Palatino Linotype" w:cs="Arial"/>
          <w:sz w:val="24"/>
        </w:rPr>
        <w:t xml:space="preserve">Atento a lo anterior, el </w:t>
      </w:r>
      <w:r w:rsidRPr="00590A3D">
        <w:rPr>
          <w:rFonts w:ascii="Palatino Linotype" w:hAnsi="Palatino Linotype" w:cs="Arial"/>
          <w:b/>
          <w:sz w:val="24"/>
        </w:rPr>
        <w:t>Sujeto Obligado</w:t>
      </w:r>
      <w:r w:rsidRPr="00590A3D">
        <w:rPr>
          <w:rFonts w:ascii="Palatino Linotype" w:hAnsi="Palatino Linotype" w:cs="Arial"/>
          <w:sz w:val="24"/>
        </w:rPr>
        <w:t xml:space="preserve">, deberá realizar la prueba de daño y precisar las razones por las cuales la apertura de la información generaría una afectación, para ello referir que su divulgación representa un riesgo real, demostrable e identificable, además establecer que el perjuicio supera de momento el interés público general que pudiera existir sobre la información requerida; pues, podría obstruir las actividades de investigación desempeñadas por la </w:t>
      </w:r>
      <w:r w:rsidRPr="00590A3D">
        <w:rPr>
          <w:rFonts w:ascii="Palatino Linotype" w:hAnsi="Palatino Linotype"/>
          <w:sz w:val="24"/>
          <w:lang w:eastAsia="es-MX"/>
        </w:rPr>
        <w:t xml:space="preserve">Dirección General de Seguridad y Protección, riesgo la vida, la seguridad o la salud de una persona física, así como causar daño u obstruya la prevención o persecución de los delitos, altere el proceso de investigación de las carpetas de investigación, afecte o vulnere la conducción o los derechos del debido proceso en los procedimientos judiciales. </w:t>
      </w:r>
    </w:p>
    <w:p w:rsidR="00590A3D" w:rsidRPr="00590A3D" w:rsidRDefault="00590A3D" w:rsidP="00590A3D">
      <w:pPr>
        <w:spacing w:before="240" w:line="360" w:lineRule="auto"/>
        <w:jc w:val="both"/>
        <w:rPr>
          <w:rFonts w:ascii="Palatino Linotype" w:hAnsi="Palatino Linotype"/>
          <w:sz w:val="24"/>
        </w:rPr>
      </w:pPr>
      <w:r w:rsidRPr="00590A3D">
        <w:rPr>
          <w:rFonts w:ascii="Palatino Linotype" w:hAnsi="Palatino Linotype"/>
          <w:sz w:val="24"/>
          <w:lang w:eastAsia="es-MX"/>
        </w:rPr>
        <w:t xml:space="preserve">Ahora bien, </w:t>
      </w:r>
      <w:r w:rsidRPr="00590A3D">
        <w:rPr>
          <w:rFonts w:ascii="Palatino Linotype" w:hAnsi="Palatino Linotype"/>
          <w:sz w:val="24"/>
        </w:rPr>
        <w:t xml:space="preserve">para aplicar la prueba de daño, se deberán de precisar las razones objetivas por las que la apertura genera una afectación, acreditando que: </w:t>
      </w:r>
    </w:p>
    <w:p w:rsidR="00590A3D" w:rsidRPr="00590A3D" w:rsidRDefault="00590A3D" w:rsidP="00590A3D">
      <w:pPr>
        <w:pStyle w:val="Prrafodelista"/>
        <w:widowControl w:val="0"/>
        <w:numPr>
          <w:ilvl w:val="0"/>
          <w:numId w:val="34"/>
        </w:numPr>
        <w:autoSpaceDE w:val="0"/>
        <w:autoSpaceDN w:val="0"/>
        <w:adjustRightInd w:val="0"/>
        <w:spacing w:before="240" w:after="240" w:line="360" w:lineRule="auto"/>
        <w:ind w:right="333"/>
        <w:jc w:val="both"/>
        <w:rPr>
          <w:rFonts w:ascii="Palatino Linotype" w:hAnsi="Palatino Linotype" w:cs="Times"/>
          <w:color w:val="000000" w:themeColor="text1"/>
          <w:lang w:val="es-ES_tradnl"/>
        </w:rPr>
      </w:pPr>
      <w:r w:rsidRPr="00590A3D">
        <w:rPr>
          <w:rFonts w:ascii="Palatino Linotype" w:hAnsi="Palatino Linotype"/>
        </w:rPr>
        <w:t xml:space="preserve">La divulgación </w:t>
      </w:r>
      <w:r w:rsidRPr="00590A3D">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rsidR="00590A3D" w:rsidRPr="00590A3D" w:rsidRDefault="00590A3D" w:rsidP="00590A3D">
      <w:pPr>
        <w:pStyle w:val="Prrafodelista"/>
        <w:widowControl w:val="0"/>
        <w:numPr>
          <w:ilvl w:val="0"/>
          <w:numId w:val="34"/>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590A3D">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rsidR="00590A3D" w:rsidRPr="00590A3D" w:rsidRDefault="00590A3D" w:rsidP="00590A3D">
      <w:pPr>
        <w:pStyle w:val="Prrafodelista"/>
        <w:widowControl w:val="0"/>
        <w:numPr>
          <w:ilvl w:val="0"/>
          <w:numId w:val="34"/>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590A3D">
        <w:rPr>
          <w:rFonts w:ascii="Palatino Linotype" w:hAnsi="Palatino Linotype" w:cs="Bookman Old Style"/>
          <w:color w:val="000000" w:themeColor="text1"/>
          <w:lang w:val="es-ES_tradnl"/>
        </w:rPr>
        <w:lastRenderedPageBreak/>
        <w:t xml:space="preserve">La limitación se adecua al principio de proporcionalidad y representa el medio menos restrictivo disponible para evitar el perjuicio. </w:t>
      </w:r>
    </w:p>
    <w:p w:rsidR="00590A3D" w:rsidRPr="00590A3D" w:rsidRDefault="00590A3D" w:rsidP="00590A3D">
      <w:pPr>
        <w:pStyle w:val="j"/>
        <w:shd w:val="clear" w:color="auto" w:fill="FFFFFF"/>
        <w:suppressAutoHyphens/>
        <w:spacing w:line="360" w:lineRule="auto"/>
        <w:jc w:val="both"/>
        <w:textAlignment w:val="baseline"/>
        <w:rPr>
          <w:rFonts w:ascii="Palatino Linotype" w:hAnsi="Palatino Linotype"/>
          <w:color w:val="000000" w:themeColor="text1"/>
        </w:rPr>
      </w:pPr>
      <w:r w:rsidRPr="00590A3D">
        <w:rPr>
          <w:rFonts w:ascii="Palatino Linotype" w:hAnsi="Palatino Linotype"/>
          <w:color w:val="000000" w:themeColor="text1"/>
        </w:rPr>
        <w:t>Sobre el primer supuesto consideremos que según el diccionario del español jurídico, por riesgo podemos entender “la contingencia o proximidad de un daño”,</w:t>
      </w:r>
      <w:r w:rsidRPr="00590A3D">
        <w:rPr>
          <w:rStyle w:val="Refdenotaalpie"/>
          <w:rFonts w:ascii="Palatino Linotype" w:hAnsi="Palatino Linotype"/>
          <w:color w:val="000000" w:themeColor="text1"/>
        </w:rPr>
        <w:footnoteReference w:id="4"/>
      </w:r>
      <w:r w:rsidRPr="00590A3D">
        <w:rPr>
          <w:rFonts w:ascii="Palatino Linotype" w:hAnsi="Palatino Linotype"/>
          <w:color w:val="000000" w:themeColor="text1"/>
        </w:rPr>
        <w:t xml:space="preserve"> mientras que el daño es considerado como un “perjuicio o lesión”</w:t>
      </w:r>
      <w:r w:rsidRPr="00590A3D">
        <w:rPr>
          <w:rStyle w:val="Refdenotaalpie"/>
          <w:rFonts w:ascii="Palatino Linotype" w:hAnsi="Palatino Linotype"/>
          <w:color w:val="000000" w:themeColor="text1"/>
        </w:rPr>
        <w:footnoteReference w:id="5"/>
      </w:r>
      <w:r w:rsidRPr="00590A3D">
        <w:rPr>
          <w:rFonts w:ascii="Palatino Linotype" w:hAnsi="Palatino Linotype"/>
          <w:color w:val="000000" w:themeColor="text1"/>
        </w:rPr>
        <w:t>, mientras que según el Diccionario de la Lengua Española, lo real es</w:t>
      </w:r>
      <w:r w:rsidRPr="00590A3D">
        <w:rPr>
          <w:rFonts w:ascii="Palatino Linotype" w:eastAsia="Arial Unicode MS" w:hAnsi="Palatino Linotype" w:cs="Arial Unicode MS"/>
          <w:color w:val="000000" w:themeColor="text1"/>
          <w:spacing w:val="4"/>
          <w:shd w:val="clear" w:color="auto" w:fill="FFFFFF"/>
        </w:rPr>
        <w:t> lo “</w:t>
      </w:r>
      <w:r w:rsidRPr="00590A3D">
        <w:rPr>
          <w:rFonts w:ascii="Palatino Linotype" w:hAnsi="Palatino Linotype"/>
          <w:color w:val="000000" w:themeColor="text1"/>
        </w:rPr>
        <w:t>(q</w:t>
      </w:r>
      <w:proofErr w:type="gramStart"/>
      <w:r w:rsidRPr="00590A3D">
        <w:rPr>
          <w:rFonts w:ascii="Palatino Linotype" w:hAnsi="Palatino Linotype"/>
          <w:color w:val="000000" w:themeColor="text1"/>
        </w:rPr>
        <w:t>)</w:t>
      </w:r>
      <w:proofErr w:type="spellStart"/>
      <w:r w:rsidRPr="00590A3D">
        <w:rPr>
          <w:rFonts w:ascii="Palatino Linotype" w:hAnsi="Palatino Linotype"/>
          <w:color w:val="000000" w:themeColor="text1"/>
        </w:rPr>
        <w:t>ue</w:t>
      </w:r>
      <w:proofErr w:type="spellEnd"/>
      <w:proofErr w:type="gramEnd"/>
      <w:r w:rsidRPr="00590A3D">
        <w:rPr>
          <w:rFonts w:ascii="Palatino Linotype" w:eastAsia="Arial Unicode MS" w:hAnsi="Palatino Linotype" w:cs="Arial Unicode MS"/>
          <w:color w:val="000000" w:themeColor="text1"/>
          <w:spacing w:val="4"/>
          <w:shd w:val="clear" w:color="auto" w:fill="FFFFFF"/>
        </w:rPr>
        <w:t> </w:t>
      </w:r>
      <w:r w:rsidRPr="00590A3D">
        <w:rPr>
          <w:rFonts w:ascii="Palatino Linotype" w:hAnsi="Palatino Linotype"/>
          <w:color w:val="000000" w:themeColor="text1"/>
        </w:rPr>
        <w:t>tiene</w:t>
      </w:r>
      <w:r w:rsidRPr="00590A3D">
        <w:rPr>
          <w:rFonts w:ascii="Palatino Linotype" w:eastAsia="Arial Unicode MS" w:hAnsi="Palatino Linotype" w:cs="Arial Unicode MS"/>
          <w:color w:val="000000" w:themeColor="text1"/>
          <w:spacing w:val="4"/>
          <w:shd w:val="clear" w:color="auto" w:fill="FFFFFF"/>
        </w:rPr>
        <w:t> </w:t>
      </w:r>
      <w:r w:rsidRPr="00590A3D">
        <w:rPr>
          <w:rFonts w:ascii="Palatino Linotype" w:hAnsi="Palatino Linotype"/>
          <w:color w:val="000000" w:themeColor="text1"/>
        </w:rPr>
        <w:t>existencia</w:t>
      </w:r>
      <w:r w:rsidRPr="00590A3D">
        <w:rPr>
          <w:rFonts w:ascii="Palatino Linotype" w:eastAsia="Arial Unicode MS" w:hAnsi="Palatino Linotype" w:cs="Arial Unicode MS"/>
          <w:color w:val="000000" w:themeColor="text1"/>
          <w:spacing w:val="4"/>
          <w:shd w:val="clear" w:color="auto" w:fill="FFFFFF"/>
        </w:rPr>
        <w:t> </w:t>
      </w:r>
      <w:r w:rsidRPr="00590A3D">
        <w:rPr>
          <w:rFonts w:ascii="Palatino Linotype" w:hAnsi="Palatino Linotype"/>
          <w:color w:val="000000" w:themeColor="text1"/>
        </w:rPr>
        <w:t>objetiva”,</w:t>
      </w:r>
      <w:r w:rsidRPr="00590A3D">
        <w:rPr>
          <w:rStyle w:val="Refdenotaalpie"/>
          <w:rFonts w:ascii="Palatino Linotype" w:hAnsi="Palatino Linotype"/>
          <w:color w:val="000000" w:themeColor="text1"/>
        </w:rPr>
        <w:footnoteReference w:id="6"/>
      </w:r>
      <w:r w:rsidRPr="00590A3D">
        <w:rPr>
          <w:rFonts w:ascii="Palatino Linotype" w:hAnsi="Palatino Linotype"/>
          <w:color w:val="000000" w:themeColor="text1"/>
        </w:rPr>
        <w:t xml:space="preserve"> </w:t>
      </w:r>
      <w:r w:rsidRPr="00590A3D">
        <w:rPr>
          <w:rFonts w:ascii="Palatino Linotype" w:eastAsia="Arial Unicode MS" w:hAnsi="Palatino Linotype" w:cs="Arial Unicode MS"/>
          <w:color w:val="000000" w:themeColor="text1"/>
          <w:spacing w:val="4"/>
          <w:shd w:val="clear" w:color="auto" w:fill="FFFFFF"/>
        </w:rPr>
        <w:t>mientras que lo demostrables es, según la misma fuente, aquello que se puede demostrar,</w:t>
      </w:r>
      <w:r w:rsidRPr="00590A3D">
        <w:rPr>
          <w:rStyle w:val="Refdenotaalpie"/>
          <w:rFonts w:ascii="Palatino Linotype" w:eastAsia="Arial Unicode MS" w:hAnsi="Palatino Linotype" w:cs="Arial Unicode MS"/>
          <w:color w:val="000000" w:themeColor="text1"/>
          <w:spacing w:val="4"/>
          <w:shd w:val="clear" w:color="auto" w:fill="FFFFFF"/>
        </w:rPr>
        <w:footnoteReference w:id="7"/>
      </w:r>
      <w:r w:rsidRPr="00590A3D">
        <w:rPr>
          <w:rFonts w:ascii="Palatino Linotype" w:eastAsia="Arial Unicode MS" w:hAnsi="Palatino Linotype" w:cs="Arial Unicode MS"/>
          <w:color w:val="000000" w:themeColor="text1"/>
          <w:spacing w:val="4"/>
          <w:shd w:val="clear" w:color="auto" w:fill="FFFFFF"/>
        </w:rPr>
        <w:t xml:space="preserve">es decir, </w:t>
      </w:r>
      <w:r w:rsidRPr="00590A3D">
        <w:rPr>
          <w:rFonts w:ascii="Palatino Linotype" w:hAnsi="Palatino Linotype" w:cstheme="minorBidi"/>
          <w:color w:val="000000" w:themeColor="text1"/>
          <w:lang w:eastAsia="en-US"/>
        </w:rPr>
        <w:t>m)anifestar, declarar. Probar, sirviéndose de cualquier género de demostración, </w:t>
      </w:r>
      <w:hyperlink r:id="rId16" w:anchor="6nAyKjE" w:history="1">
        <w:r w:rsidRPr="00590A3D">
          <w:rPr>
            <w:rFonts w:ascii="Palatino Linotype" w:hAnsi="Palatino Linotype" w:cstheme="minorBidi"/>
            <w:color w:val="000000" w:themeColor="text1"/>
            <w:lang w:eastAsia="en-US"/>
          </w:rPr>
          <w:t>enseñar</w:t>
        </w:r>
      </w:hyperlink>
      <w:r w:rsidRPr="00590A3D">
        <w:rPr>
          <w:rFonts w:ascii="Palatino Linotype" w:hAnsi="Palatino Linotype" w:cstheme="minorBidi"/>
          <w:color w:val="000000" w:themeColor="text1"/>
          <w:lang w:eastAsia="en-US"/>
        </w:rPr>
        <w:t> mostrar o exponer algo)”.</w:t>
      </w:r>
      <w:r w:rsidRPr="00590A3D">
        <w:rPr>
          <w:rStyle w:val="Refdenotaalpie"/>
          <w:rFonts w:ascii="Palatino Linotype" w:hAnsi="Palatino Linotype" w:cstheme="minorBidi"/>
          <w:color w:val="000000" w:themeColor="text1"/>
          <w:lang w:eastAsia="en-US"/>
        </w:rPr>
        <w:footnoteReference w:id="8"/>
      </w:r>
      <w:r w:rsidRPr="00590A3D">
        <w:rPr>
          <w:rFonts w:ascii="Palatino Linotype" w:hAnsi="Palatino Linotype" w:cstheme="minorBidi"/>
          <w:color w:val="000000" w:themeColor="text1"/>
          <w:lang w:eastAsia="en-US"/>
        </w:rPr>
        <w:t xml:space="preserve"> Mientras que lo identificable es lo que puede ser identificado,</w:t>
      </w:r>
      <w:r w:rsidRPr="00590A3D">
        <w:rPr>
          <w:rStyle w:val="Refdenotaalpie"/>
          <w:rFonts w:ascii="Palatino Linotype" w:hAnsi="Palatino Linotype" w:cstheme="minorBidi"/>
          <w:color w:val="000000" w:themeColor="text1"/>
          <w:lang w:eastAsia="en-US"/>
        </w:rPr>
        <w:footnoteReference w:id="9"/>
      </w:r>
      <w:r w:rsidRPr="00590A3D">
        <w:rPr>
          <w:rFonts w:ascii="Palatino Linotype" w:hAnsi="Palatino Linotype" w:cstheme="minorBidi"/>
          <w:color w:val="000000" w:themeColor="text1"/>
          <w:lang w:eastAsia="en-US"/>
        </w:rPr>
        <w:t xml:space="preserve"> esto es,</w:t>
      </w:r>
      <w:r w:rsidRPr="00590A3D">
        <w:rPr>
          <w:rFonts w:ascii="Palatino Linotype" w:hAnsi="Palatino Linotype" w:cstheme="minorBidi"/>
          <w:color w:val="000000" w:themeColor="text1"/>
        </w:rPr>
        <w:t>  “(d</w:t>
      </w:r>
      <w:proofErr w:type="gramStart"/>
      <w:r w:rsidRPr="00590A3D">
        <w:rPr>
          <w:rFonts w:ascii="Palatino Linotype" w:hAnsi="Palatino Linotype" w:cstheme="minorBidi"/>
          <w:color w:val="000000" w:themeColor="text1"/>
        </w:rPr>
        <w:t>)</w:t>
      </w:r>
      <w:proofErr w:type="spellStart"/>
      <w:r w:rsidRPr="00590A3D">
        <w:rPr>
          <w:rFonts w:ascii="Palatino Linotype" w:hAnsi="Palatino Linotype" w:cstheme="minorBidi"/>
          <w:color w:val="000000" w:themeColor="text1"/>
        </w:rPr>
        <w:t>ar</w:t>
      </w:r>
      <w:proofErr w:type="spellEnd"/>
      <w:proofErr w:type="gramEnd"/>
      <w:r w:rsidRPr="00590A3D">
        <w:rPr>
          <w:rFonts w:ascii="Palatino Linotype" w:hAnsi="Palatino Linotype" w:cstheme="minorBidi"/>
          <w:color w:val="000000" w:themeColor="text1"/>
        </w:rPr>
        <w:t> los datos necesarios para ser reconocido”.</w:t>
      </w:r>
      <w:r w:rsidRPr="00590A3D">
        <w:rPr>
          <w:rStyle w:val="Refdenotaalpie"/>
          <w:rFonts w:ascii="Palatino Linotype" w:hAnsi="Palatino Linotype" w:cstheme="minorBidi"/>
          <w:color w:val="000000" w:themeColor="text1"/>
        </w:rPr>
        <w:footnoteReference w:id="10"/>
      </w:r>
    </w:p>
    <w:p w:rsidR="00590A3D" w:rsidRPr="00590A3D" w:rsidRDefault="00590A3D" w:rsidP="00590A3D">
      <w:pPr>
        <w:spacing w:line="360" w:lineRule="auto"/>
        <w:jc w:val="both"/>
        <w:rPr>
          <w:rFonts w:ascii="Palatino Linotype" w:hAnsi="Palatino Linotype"/>
          <w:color w:val="000000" w:themeColor="text1"/>
          <w:sz w:val="24"/>
        </w:rPr>
      </w:pPr>
      <w:r w:rsidRPr="00590A3D">
        <w:rPr>
          <w:rFonts w:ascii="Palatino Linotype" w:hAnsi="Palatino Linotype"/>
          <w:color w:val="000000" w:themeColor="text1"/>
          <w:sz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590A3D" w:rsidRPr="00590A3D" w:rsidRDefault="00590A3D" w:rsidP="00590A3D">
      <w:pPr>
        <w:spacing w:line="360" w:lineRule="auto"/>
        <w:jc w:val="both"/>
        <w:rPr>
          <w:rFonts w:ascii="Palatino Linotype" w:hAnsi="Palatino Linotype"/>
          <w:color w:val="000000" w:themeColor="text1"/>
          <w:sz w:val="24"/>
        </w:rPr>
      </w:pPr>
      <w:r w:rsidRPr="00590A3D">
        <w:rPr>
          <w:rFonts w:ascii="Palatino Linotype" w:hAnsi="Palatino Linotype"/>
          <w:color w:val="000000" w:themeColor="text1"/>
          <w:sz w:val="24"/>
        </w:rPr>
        <w:lastRenderedPageBreak/>
        <w:t xml:space="preserve">Identificado ese riesgo, se debe demostrar que el mismo supera el interés público general porque se difunda dicha información. </w:t>
      </w:r>
    </w:p>
    <w:p w:rsidR="00590A3D" w:rsidRPr="00590A3D" w:rsidRDefault="00590A3D" w:rsidP="00590A3D">
      <w:pPr>
        <w:spacing w:line="360" w:lineRule="auto"/>
        <w:jc w:val="both"/>
        <w:rPr>
          <w:rFonts w:ascii="Palatino Linotype" w:hAnsi="Palatino Linotype"/>
          <w:color w:val="000000" w:themeColor="text1"/>
          <w:sz w:val="24"/>
        </w:rPr>
      </w:pPr>
      <w:r w:rsidRPr="00590A3D">
        <w:rPr>
          <w:rFonts w:ascii="Palatino Linotype" w:hAnsi="Palatino Linotype"/>
          <w:color w:val="000000" w:themeColor="text1"/>
          <w:sz w:val="24"/>
        </w:rPr>
        <w:t>Y, por último,  que la limitación es acorde con el principio de proporcionalidad, para ello, se sugiere emplear los tres juicios propuestos por la Corte Constitucional Colombiana</w:t>
      </w:r>
      <w:r w:rsidRPr="00590A3D">
        <w:rPr>
          <w:rStyle w:val="Refdenotaalpie"/>
          <w:rFonts w:ascii="Palatino Linotype" w:hAnsi="Palatino Linotype"/>
          <w:color w:val="000000" w:themeColor="text1"/>
          <w:sz w:val="24"/>
        </w:rPr>
        <w:footnoteReference w:id="11"/>
      </w:r>
      <w:r w:rsidRPr="00590A3D">
        <w:rPr>
          <w:rFonts w:ascii="Palatino Linotype" w:hAnsi="Palatino Linotype"/>
          <w:color w:val="000000" w:themeColor="text1"/>
          <w:sz w:val="24"/>
        </w:rPr>
        <w:t>, siguiendo el principio de ponderación propuesto por el Tribunal Constitucional Alemán,</w:t>
      </w:r>
      <w:r w:rsidRPr="00590A3D">
        <w:rPr>
          <w:rStyle w:val="Refdenotaalpie"/>
          <w:rFonts w:ascii="Palatino Linotype" w:hAnsi="Palatino Linotype"/>
          <w:color w:val="000000" w:themeColor="text1"/>
          <w:sz w:val="24"/>
        </w:rPr>
        <w:footnoteReference w:id="12"/>
      </w:r>
      <w:r w:rsidRPr="00590A3D">
        <w:rPr>
          <w:rFonts w:ascii="Palatino Linotype" w:hAnsi="Palatino Linotype"/>
          <w:color w:val="000000" w:themeColor="text1"/>
          <w:sz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590A3D" w:rsidRPr="00590A3D" w:rsidRDefault="00590A3D" w:rsidP="00590A3D">
      <w:pPr>
        <w:spacing w:line="360" w:lineRule="auto"/>
        <w:jc w:val="both"/>
        <w:rPr>
          <w:rFonts w:ascii="Palatino Linotype" w:hAnsi="Palatino Linotype"/>
          <w:color w:val="000000" w:themeColor="text1"/>
          <w:sz w:val="24"/>
        </w:rPr>
      </w:pPr>
      <w:r w:rsidRPr="00590A3D">
        <w:rPr>
          <w:rFonts w:ascii="Palatino Linotype" w:hAnsi="Palatino Linotype"/>
          <w:color w:val="000000" w:themeColor="text1"/>
          <w:sz w:val="24"/>
        </w:rPr>
        <w:lastRenderedPageBreak/>
        <w:t xml:space="preserve">Es así como, al configurarse tales requisitos, se otorga certidumbre jurídica y se protege la esfera más íntima del derecho humano constitucional y convencionalmente reconocido. </w:t>
      </w:r>
    </w:p>
    <w:p w:rsidR="00590A3D" w:rsidRPr="00590A3D" w:rsidRDefault="00590A3D" w:rsidP="00590A3D">
      <w:pPr>
        <w:spacing w:before="240" w:line="360" w:lineRule="auto"/>
        <w:jc w:val="both"/>
        <w:rPr>
          <w:rFonts w:ascii="Palatino Linotype" w:hAnsi="Palatino Linotype"/>
          <w:sz w:val="24"/>
        </w:rPr>
      </w:pPr>
      <w:r w:rsidRPr="00590A3D">
        <w:rPr>
          <w:rFonts w:ascii="Palatino Linotype" w:hAnsi="Palatino Linotype"/>
          <w:sz w:val="24"/>
        </w:rPr>
        <w:t xml:space="preserve">Los acuerdos de reserva deberán de cumplir con los siguientes parámetros de forma y fondo: </w:t>
      </w:r>
    </w:p>
    <w:p w:rsidR="00590A3D" w:rsidRPr="00590A3D" w:rsidRDefault="00590A3D" w:rsidP="00590A3D">
      <w:pPr>
        <w:pStyle w:val="Prrafodelista"/>
        <w:numPr>
          <w:ilvl w:val="0"/>
          <w:numId w:val="33"/>
        </w:numPr>
        <w:spacing w:before="240" w:line="360" w:lineRule="auto"/>
        <w:jc w:val="both"/>
        <w:rPr>
          <w:rFonts w:ascii="Palatino Linotype" w:hAnsi="Palatino Linotype"/>
        </w:rPr>
      </w:pPr>
      <w:r w:rsidRPr="00590A3D">
        <w:rPr>
          <w:rFonts w:ascii="Palatino Linotype" w:hAnsi="Palatino Linotype"/>
        </w:rPr>
        <w:t>Número de folio de la solicitud</w:t>
      </w:r>
    </w:p>
    <w:p w:rsidR="00590A3D" w:rsidRPr="00590A3D" w:rsidRDefault="00590A3D" w:rsidP="00590A3D">
      <w:pPr>
        <w:pStyle w:val="Prrafodelista"/>
        <w:numPr>
          <w:ilvl w:val="0"/>
          <w:numId w:val="33"/>
        </w:numPr>
        <w:spacing w:before="240" w:line="360" w:lineRule="auto"/>
        <w:jc w:val="both"/>
        <w:rPr>
          <w:rFonts w:ascii="Palatino Linotype" w:hAnsi="Palatino Linotype"/>
        </w:rPr>
      </w:pPr>
      <w:r w:rsidRPr="00590A3D">
        <w:rPr>
          <w:rFonts w:ascii="Palatino Linotype" w:hAnsi="Palatino Linotype"/>
        </w:rPr>
        <w:t>Referencia de la información solicitada</w:t>
      </w:r>
    </w:p>
    <w:p w:rsidR="00590A3D" w:rsidRPr="00590A3D" w:rsidRDefault="00590A3D" w:rsidP="00590A3D">
      <w:pPr>
        <w:pStyle w:val="Prrafodelista"/>
        <w:numPr>
          <w:ilvl w:val="0"/>
          <w:numId w:val="33"/>
        </w:numPr>
        <w:spacing w:before="240" w:line="360" w:lineRule="auto"/>
        <w:jc w:val="both"/>
        <w:rPr>
          <w:rFonts w:ascii="Palatino Linotype" w:hAnsi="Palatino Linotype"/>
        </w:rPr>
      </w:pPr>
      <w:r w:rsidRPr="00590A3D">
        <w:rPr>
          <w:rFonts w:ascii="Palatino Linotype" w:hAnsi="Palatino Linotype"/>
        </w:rPr>
        <w:t xml:space="preserve">Causal aplicable del artículo 113 de la Ley General, vinculándola con el Lineamiento específico del presente ordenamiento y, cuando corresponda, el supuesto normativo que expresamente le otorga el carácter de información reservada. </w:t>
      </w:r>
    </w:p>
    <w:p w:rsidR="00590A3D" w:rsidRPr="00590A3D" w:rsidRDefault="00590A3D" w:rsidP="00590A3D">
      <w:pPr>
        <w:pStyle w:val="Prrafodelista"/>
        <w:numPr>
          <w:ilvl w:val="0"/>
          <w:numId w:val="33"/>
        </w:numPr>
        <w:spacing w:before="240" w:line="360" w:lineRule="auto"/>
        <w:jc w:val="both"/>
        <w:rPr>
          <w:rFonts w:ascii="Palatino Linotype" w:hAnsi="Palatino Linotype"/>
        </w:rPr>
      </w:pPr>
      <w:r w:rsidRPr="00590A3D">
        <w:rPr>
          <w:rFonts w:ascii="Palatino Linotype" w:hAnsi="Palatino Linotype"/>
        </w:rPr>
        <w:t xml:space="preserve">Fundamento y Motivación Legal. </w:t>
      </w:r>
    </w:p>
    <w:p w:rsidR="00590A3D" w:rsidRPr="00590A3D" w:rsidRDefault="00590A3D" w:rsidP="00590A3D">
      <w:pPr>
        <w:pStyle w:val="Prrafodelista"/>
        <w:numPr>
          <w:ilvl w:val="0"/>
          <w:numId w:val="33"/>
        </w:numPr>
        <w:spacing w:before="240" w:line="360" w:lineRule="auto"/>
        <w:jc w:val="both"/>
        <w:rPr>
          <w:rFonts w:ascii="Palatino Linotype" w:hAnsi="Palatino Linotype"/>
        </w:rPr>
      </w:pPr>
      <w:r w:rsidRPr="00590A3D">
        <w:rPr>
          <w:rFonts w:ascii="Palatino Linotype" w:hAnsi="Palatino Linotype"/>
        </w:rPr>
        <w:t xml:space="preserve">Conexión entre los fundamentos y motivos que dieron origen a la Reserva de la información. </w:t>
      </w:r>
    </w:p>
    <w:p w:rsidR="00590A3D" w:rsidRPr="00590A3D" w:rsidRDefault="00590A3D" w:rsidP="00590A3D">
      <w:pPr>
        <w:spacing w:before="240" w:line="360" w:lineRule="auto"/>
        <w:ind w:left="360"/>
        <w:jc w:val="both"/>
        <w:rPr>
          <w:rFonts w:ascii="Palatino Linotype" w:hAnsi="Palatino Linotype"/>
          <w:b/>
        </w:rPr>
      </w:pPr>
      <w:r w:rsidRPr="00590A3D">
        <w:rPr>
          <w:rFonts w:ascii="Palatino Linotype" w:hAnsi="Palatino Linotype"/>
          <w:b/>
        </w:rPr>
        <w:t>Prueba de Daño</w:t>
      </w:r>
    </w:p>
    <w:p w:rsidR="00590A3D" w:rsidRPr="00590A3D" w:rsidRDefault="00590A3D" w:rsidP="00590A3D">
      <w:pPr>
        <w:pStyle w:val="Prrafodelista"/>
        <w:numPr>
          <w:ilvl w:val="0"/>
          <w:numId w:val="33"/>
        </w:numPr>
        <w:spacing w:before="240" w:line="360" w:lineRule="auto"/>
        <w:jc w:val="both"/>
        <w:rPr>
          <w:rFonts w:ascii="Palatino Linotype" w:hAnsi="Palatino Linotype"/>
        </w:rPr>
      </w:pPr>
      <w:r w:rsidRPr="00590A3D">
        <w:rPr>
          <w:rFonts w:ascii="Palatino Linotype" w:hAnsi="Palatino Linotype"/>
        </w:rPr>
        <w:t>Riesgo real, demostrable e identificable (Modo, Tiempo y lugar)</w:t>
      </w:r>
    </w:p>
    <w:p w:rsidR="00590A3D" w:rsidRPr="00590A3D" w:rsidRDefault="00590A3D" w:rsidP="00590A3D">
      <w:pPr>
        <w:pStyle w:val="Prrafodelista"/>
        <w:numPr>
          <w:ilvl w:val="0"/>
          <w:numId w:val="33"/>
        </w:numPr>
        <w:spacing w:before="240" w:line="360" w:lineRule="auto"/>
        <w:jc w:val="both"/>
        <w:rPr>
          <w:rFonts w:ascii="Palatino Linotype" w:hAnsi="Palatino Linotype"/>
        </w:rPr>
      </w:pPr>
      <w:r w:rsidRPr="00590A3D">
        <w:rPr>
          <w:rFonts w:ascii="Palatino Linotype" w:hAnsi="Palatino Linotype"/>
        </w:rPr>
        <w:t>Temporalidad de la Reserva de la Información</w:t>
      </w:r>
    </w:p>
    <w:p w:rsidR="00590A3D" w:rsidRPr="00590A3D" w:rsidRDefault="00590A3D" w:rsidP="00590A3D">
      <w:pPr>
        <w:pStyle w:val="Prrafodelista"/>
        <w:numPr>
          <w:ilvl w:val="0"/>
          <w:numId w:val="33"/>
        </w:numPr>
        <w:spacing w:before="240" w:line="360" w:lineRule="auto"/>
        <w:jc w:val="both"/>
        <w:rPr>
          <w:rFonts w:ascii="Palatino Linotype" w:hAnsi="Palatino Linotype"/>
        </w:rPr>
      </w:pPr>
      <w:r w:rsidRPr="00590A3D">
        <w:rPr>
          <w:rFonts w:ascii="Palatino Linotype" w:hAnsi="Palatino Linotype"/>
        </w:rPr>
        <w:t xml:space="preserve">Autoridades competentes. </w:t>
      </w:r>
    </w:p>
    <w:p w:rsidR="00590A3D" w:rsidRPr="00590A3D" w:rsidRDefault="00590A3D" w:rsidP="00590A3D">
      <w:pPr>
        <w:spacing w:line="360" w:lineRule="auto"/>
        <w:jc w:val="both"/>
        <w:rPr>
          <w:rFonts w:ascii="Palatino Linotype" w:hAnsi="Palatino Linotype" w:cs="Arial"/>
          <w:noProof/>
          <w:color w:val="000000"/>
          <w:lang w:eastAsia="es-MX"/>
        </w:rPr>
      </w:pPr>
    </w:p>
    <w:p w:rsidR="00590A3D" w:rsidRPr="00590A3D" w:rsidRDefault="00590A3D" w:rsidP="00590A3D">
      <w:pPr>
        <w:spacing w:before="240" w:line="360" w:lineRule="auto"/>
        <w:jc w:val="both"/>
        <w:rPr>
          <w:rFonts w:ascii="Palatino Linotype" w:hAnsi="Palatino Linotype" w:cs="Arial"/>
          <w:noProof/>
          <w:color w:val="000000"/>
          <w:sz w:val="24"/>
          <w:lang w:eastAsia="es-MX"/>
        </w:rPr>
      </w:pPr>
      <w:r w:rsidRPr="00590A3D">
        <w:rPr>
          <w:rFonts w:ascii="Palatino Linotype" w:hAnsi="Palatino Linotype" w:cs="Arial"/>
          <w:noProof/>
          <w:color w:val="000000"/>
          <w:sz w:val="24"/>
          <w:lang w:eastAsia="es-MX"/>
        </w:rPr>
        <w:lastRenderedPageBreak/>
        <w:t xml:space="preserve">Bajo este contexto, se arriba a la premisa de que la normatividad aplicable reconoce y enlista de manera restrictiva diversos supuestos encauzados a clasificar la información como reservada, englobando la relativa a procedimientos administrativos o judiciales. </w:t>
      </w:r>
    </w:p>
    <w:p w:rsidR="00590A3D" w:rsidRPr="00590A3D" w:rsidRDefault="00590A3D" w:rsidP="00590A3D">
      <w:pPr>
        <w:spacing w:before="240" w:line="360" w:lineRule="auto"/>
        <w:jc w:val="both"/>
        <w:rPr>
          <w:rFonts w:ascii="Palatino Linotype" w:hAnsi="Palatino Linotype"/>
          <w:iCs/>
          <w:sz w:val="24"/>
        </w:rPr>
      </w:pPr>
      <w:r w:rsidRPr="00590A3D">
        <w:rPr>
          <w:rFonts w:ascii="Palatino Linotype" w:hAnsi="Palatino Linotype"/>
          <w:iCs/>
          <w:sz w:val="24"/>
        </w:rPr>
        <w:t>Debido a lo anterior, se arriba a la premisa de que, frente a la colisión de derechos fundamentales, se debe de recurrir al criterio de proporcionalidad, ponderando los elementos o principios siguientes:</w:t>
      </w:r>
    </w:p>
    <w:p w:rsidR="00590A3D" w:rsidRPr="00590A3D" w:rsidRDefault="00590A3D" w:rsidP="00590A3D">
      <w:pPr>
        <w:pStyle w:val="Prrafodelista"/>
        <w:numPr>
          <w:ilvl w:val="0"/>
          <w:numId w:val="35"/>
        </w:numPr>
        <w:spacing w:before="240" w:line="360" w:lineRule="auto"/>
        <w:jc w:val="both"/>
        <w:rPr>
          <w:rFonts w:ascii="Palatino Linotype" w:hAnsi="Palatino Linotype"/>
          <w:iCs/>
        </w:rPr>
      </w:pPr>
      <w:r w:rsidRPr="00590A3D">
        <w:rPr>
          <w:rFonts w:ascii="Palatino Linotype" w:hAnsi="Palatino Linotype"/>
          <w:b/>
          <w:bCs/>
          <w:iCs/>
        </w:rPr>
        <w:t>Idoneidad:</w:t>
      </w:r>
      <w:r w:rsidRPr="00590A3D">
        <w:rPr>
          <w:rFonts w:ascii="Palatino Linotype" w:hAnsi="Palatino Linotype"/>
          <w:iCs/>
        </w:rPr>
        <w:t xml:space="preserve"> Existe un inminente interés público y colectivo de conocer la documentación que contiene el conflicto por límites territoriales entre los municipios de Tepotzotlán y Teoloyucan, lo anterior al tomar en consideración que propicia a la transparencia, rendición de cuentas e incluso a la gestión pública.</w:t>
      </w:r>
    </w:p>
    <w:p w:rsidR="00590A3D" w:rsidRPr="00590A3D" w:rsidRDefault="00590A3D" w:rsidP="00590A3D">
      <w:pPr>
        <w:pStyle w:val="Prrafodelista"/>
        <w:numPr>
          <w:ilvl w:val="0"/>
          <w:numId w:val="35"/>
        </w:numPr>
        <w:spacing w:before="240" w:line="360" w:lineRule="auto"/>
        <w:jc w:val="both"/>
        <w:rPr>
          <w:rFonts w:ascii="Palatino Linotype" w:hAnsi="Palatino Linotype"/>
          <w:iCs/>
        </w:rPr>
      </w:pPr>
      <w:r w:rsidRPr="00590A3D">
        <w:rPr>
          <w:rFonts w:ascii="Palatino Linotype" w:hAnsi="Palatino Linotype"/>
          <w:b/>
          <w:bCs/>
          <w:iCs/>
        </w:rPr>
        <w:t>Necesidad:</w:t>
      </w:r>
      <w:r w:rsidRPr="00590A3D">
        <w:rPr>
          <w:rFonts w:ascii="Palatino Linotype" w:hAnsi="Palatino Linotype"/>
          <w:iCs/>
        </w:rPr>
        <w:t xml:space="preserve"> No existe un medio menos oneroso para lograr el fin constitucionalmente valido, el derecho de acceso a la información es la única vía para que cualquier ciudadano pueda acceder a expedientes o anexos de conflictos territoriales. </w:t>
      </w:r>
    </w:p>
    <w:p w:rsidR="00590A3D" w:rsidRPr="00590A3D" w:rsidRDefault="00590A3D" w:rsidP="00590A3D">
      <w:pPr>
        <w:pStyle w:val="Prrafodelista"/>
        <w:numPr>
          <w:ilvl w:val="0"/>
          <w:numId w:val="35"/>
        </w:numPr>
        <w:spacing w:before="240" w:line="360" w:lineRule="auto"/>
        <w:jc w:val="both"/>
        <w:rPr>
          <w:rFonts w:ascii="Palatino Linotype" w:hAnsi="Palatino Linotype"/>
          <w:iCs/>
        </w:rPr>
      </w:pPr>
      <w:r w:rsidRPr="00590A3D">
        <w:rPr>
          <w:rFonts w:ascii="Palatino Linotype" w:hAnsi="Palatino Linotype"/>
          <w:b/>
          <w:bCs/>
          <w:iCs/>
        </w:rPr>
        <w:t>Proporcionalidad:</w:t>
      </w:r>
      <w:r w:rsidRPr="00590A3D">
        <w:rPr>
          <w:rFonts w:ascii="Palatino Linotype" w:hAnsi="Palatino Linotype"/>
          <w:iCs/>
        </w:rPr>
        <w:t xml:space="preserve"> La difusión de la información conduce a mayores efectos positivos para la sociedad y una afectación menor en el bien jurídico de la secrecía, favoreciendo a los intereses de la ciudadanía.</w:t>
      </w:r>
    </w:p>
    <w:p w:rsidR="00590A3D" w:rsidRPr="00590A3D" w:rsidRDefault="00590A3D" w:rsidP="00590A3D">
      <w:pPr>
        <w:spacing w:line="360" w:lineRule="auto"/>
        <w:jc w:val="both"/>
        <w:rPr>
          <w:rFonts w:ascii="Palatino Linotype" w:hAnsi="Palatino Linotype"/>
          <w:sz w:val="24"/>
        </w:rPr>
      </w:pPr>
    </w:p>
    <w:p w:rsidR="00E66693" w:rsidRDefault="00590A3D" w:rsidP="00F5625C">
      <w:pPr>
        <w:spacing w:line="360" w:lineRule="auto"/>
        <w:jc w:val="both"/>
        <w:rPr>
          <w:rFonts w:ascii="Palatino Linotype" w:hAnsi="Palatino Linotype"/>
          <w:sz w:val="24"/>
        </w:rPr>
      </w:pPr>
      <w:r w:rsidRPr="00590A3D">
        <w:rPr>
          <w:rFonts w:ascii="Palatino Linotype" w:hAnsi="Palatino Linotype" w:cs="Arial"/>
          <w:sz w:val="24"/>
          <w:lang w:val="es-ES_tradnl"/>
        </w:rPr>
        <w:t xml:space="preserve">Ahora bien, respecto a la </w:t>
      </w:r>
      <w:r w:rsidRPr="00590A3D">
        <w:rPr>
          <w:rFonts w:ascii="Palatino Linotype" w:hAnsi="Palatino Linotype" w:cs="Arial"/>
          <w:b/>
          <w:i/>
          <w:sz w:val="24"/>
          <w:lang w:val="es-ES_tradnl"/>
        </w:rPr>
        <w:t xml:space="preserve">TEMPORALIDAD </w:t>
      </w:r>
      <w:r w:rsidRPr="00590A3D">
        <w:rPr>
          <w:rFonts w:ascii="Palatino Linotype" w:hAnsi="Palatino Linotype" w:cs="Arial"/>
          <w:sz w:val="24"/>
          <w:lang w:val="es-ES_tradnl"/>
        </w:rPr>
        <w:t xml:space="preserve">de </w:t>
      </w:r>
      <w:r w:rsidRPr="00590A3D">
        <w:rPr>
          <w:rFonts w:ascii="Palatino Linotype" w:hAnsi="Palatino Linotype" w:cs="Arial"/>
          <w:b/>
          <w:i/>
          <w:sz w:val="24"/>
          <w:lang w:val="es-ES_tradnl"/>
        </w:rPr>
        <w:t xml:space="preserve">RESERVA </w:t>
      </w:r>
      <w:r w:rsidRPr="00590A3D">
        <w:rPr>
          <w:rFonts w:ascii="Palatino Linotype" w:hAnsi="Palatino Linotype" w:cs="Arial"/>
          <w:sz w:val="24"/>
          <w:lang w:val="es-ES_tradnl"/>
        </w:rPr>
        <w:t xml:space="preserve">de la información, es de señalar que </w:t>
      </w:r>
      <w:r w:rsidRPr="00590A3D">
        <w:rPr>
          <w:rFonts w:ascii="Palatino Linotype" w:hAnsi="Palatino Linotype"/>
          <w:sz w:val="24"/>
        </w:rPr>
        <w:t xml:space="preserve">el artículo 125, de la Ley de Transparencia y Acceso a la Información </w:t>
      </w:r>
      <w:r w:rsidRPr="00590A3D">
        <w:rPr>
          <w:rFonts w:ascii="Palatino Linotype" w:hAnsi="Palatino Linotype"/>
          <w:sz w:val="24"/>
        </w:rPr>
        <w:lastRenderedPageBreak/>
        <w:t xml:space="preserve">Pública del Estado de México y Municipios y en el artículo 101, de la Ley General de Transparencia y Acceso a la Información Pública, contemplan que la información clasificada como reservada, podrá permanecer con tal carácter </w:t>
      </w:r>
      <w:r w:rsidRPr="00590A3D">
        <w:rPr>
          <w:rFonts w:ascii="Palatino Linotype" w:hAnsi="Palatino Linotype"/>
          <w:b/>
          <w:sz w:val="24"/>
          <w:u w:val="single"/>
        </w:rPr>
        <w:t>hasta por un periodo de cinco años, contados a partir de su clasificación</w:t>
      </w:r>
      <w:r w:rsidRPr="00590A3D">
        <w:rPr>
          <w:rFonts w:ascii="Palatino Linotype" w:hAnsi="Palatino Linotype"/>
          <w:sz w:val="24"/>
        </w:rPr>
        <w:t>, salvo que antes del cumplimiento del periodo de restricción, dejaran de existir los motivos de su reserva.</w:t>
      </w:r>
    </w:p>
    <w:p w:rsidR="00F5625C" w:rsidRPr="00F5625C" w:rsidRDefault="00F5625C" w:rsidP="00F5625C">
      <w:pPr>
        <w:spacing w:line="360" w:lineRule="auto"/>
        <w:jc w:val="both"/>
        <w:rPr>
          <w:rFonts w:ascii="Palatino Linotype" w:hAnsi="Palatino Linotype"/>
          <w:sz w:val="24"/>
        </w:rPr>
      </w:pPr>
    </w:p>
    <w:p w:rsidR="00E66693" w:rsidRPr="002C3EC8" w:rsidRDefault="00E66693" w:rsidP="00E66693">
      <w:pPr>
        <w:tabs>
          <w:tab w:val="left" w:pos="5387"/>
        </w:tabs>
        <w:spacing w:after="0" w:line="360" w:lineRule="auto"/>
        <w:jc w:val="both"/>
        <w:rPr>
          <w:rFonts w:ascii="Palatino Linotype" w:hAnsi="Palatino Linotype" w:cs="Arial"/>
          <w:sz w:val="24"/>
          <w:szCs w:val="24"/>
        </w:rPr>
      </w:pPr>
      <w:r w:rsidRPr="002C3EC8">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2C3EC8">
        <w:rPr>
          <w:rFonts w:ascii="Palatino Linotype" w:eastAsia="Times New Roman" w:hAnsi="Palatino Linotype" w:cs="Times New Roman"/>
          <w:bCs/>
          <w:sz w:val="24"/>
          <w:szCs w:val="24"/>
          <w:lang w:eastAsia="es-ES"/>
        </w:rPr>
        <w:t>el</w:t>
      </w:r>
      <w:r w:rsidRPr="002C3EC8">
        <w:rPr>
          <w:rFonts w:ascii="Palatino Linotype" w:eastAsia="Times New Roman" w:hAnsi="Palatino Linotype" w:cs="Times New Roman"/>
          <w:b/>
          <w:bCs/>
          <w:sz w:val="24"/>
          <w:szCs w:val="24"/>
          <w:lang w:eastAsia="es-ES"/>
        </w:rPr>
        <w:t xml:space="preserve"> Recurrente </w:t>
      </w:r>
      <w:r w:rsidRPr="002C3EC8">
        <w:rPr>
          <w:rFonts w:ascii="Palatino Linotype" w:eastAsia="Times New Roman" w:hAnsi="Palatino Linotype" w:cs="Times New Roman"/>
          <w:sz w:val="24"/>
          <w:szCs w:val="24"/>
          <w:lang w:eastAsia="es-ES"/>
        </w:rPr>
        <w:t xml:space="preserve">en su medio de impugnación que fue materia de estudio, por ello </w:t>
      </w:r>
      <w:r w:rsidRPr="002C3EC8">
        <w:rPr>
          <w:rFonts w:ascii="Palatino Linotype" w:eastAsia="Times New Roman" w:hAnsi="Palatino Linotype" w:cs="Arial"/>
          <w:sz w:val="24"/>
          <w:szCs w:val="24"/>
          <w:lang w:eastAsia="es-ES"/>
        </w:rPr>
        <w:t>con fundamento en la</w:t>
      </w:r>
      <w:r w:rsidRPr="002C3EC8">
        <w:rPr>
          <w:rFonts w:ascii="Palatino Linotype" w:eastAsia="Times New Roman" w:hAnsi="Palatino Linotype" w:cs="Arial"/>
          <w:b/>
          <w:sz w:val="24"/>
          <w:szCs w:val="24"/>
          <w:lang w:eastAsia="es-ES"/>
        </w:rPr>
        <w:t xml:space="preserve"> </w:t>
      </w:r>
      <w:r w:rsidR="00590A3D">
        <w:rPr>
          <w:rFonts w:ascii="Palatino Linotype" w:eastAsia="Times New Roman" w:hAnsi="Palatino Linotype" w:cs="Arial"/>
          <w:b/>
          <w:bCs/>
          <w:i/>
          <w:sz w:val="24"/>
          <w:szCs w:val="24"/>
          <w:lang w:eastAsia="es-ES"/>
        </w:rPr>
        <w:t>segunda</w:t>
      </w:r>
      <w:r w:rsidRPr="002C3EC8">
        <w:rPr>
          <w:rFonts w:ascii="Palatino Linotype" w:eastAsia="Times New Roman" w:hAnsi="Palatino Linotype" w:cs="Arial"/>
          <w:b/>
          <w:bCs/>
          <w:i/>
          <w:sz w:val="24"/>
          <w:szCs w:val="24"/>
          <w:lang w:eastAsia="es-ES"/>
        </w:rPr>
        <w:t xml:space="preserve"> hipótesis</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de la fracción</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III, del artículo 186,</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 xml:space="preserve">de la Ley de Transparencia y Acceso a la Información Pública del Estado de México y Municipios, </w:t>
      </w:r>
      <w:r w:rsidR="00590A3D" w:rsidRPr="002C3EC8">
        <w:rPr>
          <w:rFonts w:ascii="Palatino Linotype" w:eastAsia="Times New Roman" w:hAnsi="Palatino Linotype" w:cs="Arial"/>
          <w:sz w:val="24"/>
          <w:szCs w:val="24"/>
          <w:lang w:eastAsia="es-ES"/>
        </w:rPr>
        <w:t xml:space="preserve">se </w:t>
      </w:r>
      <w:r w:rsidR="00590A3D">
        <w:rPr>
          <w:rFonts w:ascii="Palatino Linotype" w:eastAsia="Times New Roman" w:hAnsi="Palatino Linotype" w:cs="Arial"/>
          <w:b/>
          <w:sz w:val="24"/>
          <w:szCs w:val="24"/>
          <w:lang w:eastAsia="es-ES"/>
        </w:rPr>
        <w:t>MODIFICA</w:t>
      </w:r>
      <w:r w:rsidR="00590A3D" w:rsidRPr="002C3EC8">
        <w:rPr>
          <w:rFonts w:ascii="Palatino Linotype" w:eastAsia="Times New Roman" w:hAnsi="Palatino Linotype" w:cs="Arial"/>
          <w:b/>
          <w:sz w:val="24"/>
          <w:szCs w:val="24"/>
          <w:lang w:eastAsia="es-ES"/>
        </w:rPr>
        <w:t xml:space="preserve"> </w:t>
      </w:r>
      <w:r w:rsidR="00590A3D" w:rsidRPr="002C3EC8">
        <w:rPr>
          <w:rFonts w:ascii="Palatino Linotype" w:eastAsia="Times New Roman" w:hAnsi="Palatino Linotype" w:cs="Arial"/>
          <w:sz w:val="24"/>
          <w:szCs w:val="24"/>
          <w:lang w:eastAsia="es-ES"/>
        </w:rPr>
        <w:t>la respuesta</w:t>
      </w:r>
      <w:r w:rsidR="00590A3D">
        <w:rPr>
          <w:rFonts w:ascii="Palatino Linotype" w:eastAsia="Times New Roman" w:hAnsi="Palatino Linotype" w:cs="Arial"/>
          <w:sz w:val="24"/>
          <w:szCs w:val="24"/>
          <w:lang w:eastAsia="es-ES"/>
        </w:rPr>
        <w:t xml:space="preserve"> a la</w:t>
      </w:r>
      <w:r w:rsidR="00590A3D" w:rsidRPr="002C3EC8">
        <w:rPr>
          <w:rFonts w:ascii="Palatino Linotype" w:eastAsia="Times New Roman" w:hAnsi="Palatino Linotype" w:cs="Arial"/>
          <w:sz w:val="24"/>
          <w:szCs w:val="24"/>
          <w:lang w:eastAsia="es-ES"/>
        </w:rPr>
        <w:t xml:space="preserve"> solicitud de información número</w:t>
      </w:r>
      <w:r w:rsidR="00590A3D" w:rsidRPr="002C3EC8">
        <w:rPr>
          <w:rFonts w:ascii="Palatino Linotype" w:eastAsia="Times New Roman" w:hAnsi="Palatino Linotype" w:cs="Times New Roman"/>
          <w:b/>
          <w:sz w:val="24"/>
          <w:szCs w:val="24"/>
          <w:lang w:eastAsia="es-ES"/>
        </w:rPr>
        <w:t xml:space="preserve"> </w:t>
      </w:r>
      <w:r w:rsidR="00590A3D">
        <w:rPr>
          <w:rFonts w:ascii="Palatino Linotype" w:eastAsia="Times New Roman" w:hAnsi="Palatino Linotype" w:cs="Times New Roman"/>
          <w:b/>
          <w:sz w:val="24"/>
          <w:szCs w:val="24"/>
          <w:lang w:eastAsia="es-ES"/>
        </w:rPr>
        <w:t xml:space="preserve">00323/SECOGEM/IP/2024 y </w:t>
      </w:r>
      <w:r w:rsidRPr="00590A3D">
        <w:rPr>
          <w:rFonts w:ascii="Palatino Linotype" w:eastAsia="Times New Roman" w:hAnsi="Palatino Linotype" w:cs="Arial"/>
          <w:sz w:val="24"/>
          <w:szCs w:val="24"/>
          <w:lang w:eastAsia="es-ES"/>
        </w:rPr>
        <w:t xml:space="preserve">se </w:t>
      </w:r>
      <w:r w:rsidRPr="00590A3D">
        <w:rPr>
          <w:rFonts w:ascii="Palatino Linotype" w:eastAsia="Times New Roman" w:hAnsi="Palatino Linotype" w:cs="Arial"/>
          <w:b/>
          <w:sz w:val="24"/>
          <w:szCs w:val="24"/>
          <w:lang w:eastAsia="es-ES"/>
        </w:rPr>
        <w:t xml:space="preserve">CONFIRMA </w:t>
      </w:r>
      <w:r w:rsidRPr="00590A3D">
        <w:rPr>
          <w:rFonts w:ascii="Palatino Linotype" w:eastAsia="Times New Roman" w:hAnsi="Palatino Linotype" w:cs="Arial"/>
          <w:sz w:val="24"/>
          <w:szCs w:val="24"/>
          <w:lang w:eastAsia="es-ES"/>
        </w:rPr>
        <w:t xml:space="preserve">la respuesta a la solicitud de información número </w:t>
      </w:r>
      <w:r w:rsidR="00590A3D">
        <w:rPr>
          <w:rFonts w:ascii="Palatino Linotype" w:eastAsia="Times New Roman" w:hAnsi="Palatino Linotype" w:cs="Arial"/>
          <w:b/>
          <w:sz w:val="24"/>
          <w:szCs w:val="24"/>
          <w:lang w:eastAsia="es-ES"/>
        </w:rPr>
        <w:t>00350</w:t>
      </w:r>
      <w:r w:rsidRPr="00590A3D">
        <w:rPr>
          <w:rFonts w:ascii="Palatino Linotype" w:eastAsia="Times New Roman" w:hAnsi="Palatino Linotype" w:cs="Arial"/>
          <w:b/>
          <w:sz w:val="24"/>
          <w:szCs w:val="24"/>
          <w:lang w:eastAsia="es-ES"/>
        </w:rPr>
        <w:t>/SECOGEM/IP/2024</w:t>
      </w:r>
      <w:r>
        <w:rPr>
          <w:rFonts w:ascii="Palatino Linotype" w:eastAsia="Times New Roman" w:hAnsi="Palatino Linotype" w:cs="Arial"/>
          <w:sz w:val="24"/>
          <w:szCs w:val="24"/>
          <w:lang w:eastAsia="es-ES"/>
        </w:rPr>
        <w:t xml:space="preserve">, </w:t>
      </w:r>
      <w:r>
        <w:rPr>
          <w:rFonts w:ascii="Palatino Linotype" w:hAnsi="Palatino Linotype" w:cs="Arial"/>
          <w:sz w:val="24"/>
          <w:szCs w:val="24"/>
        </w:rPr>
        <w:t>que ha</w:t>
      </w:r>
      <w:r w:rsidR="00590A3D">
        <w:rPr>
          <w:rFonts w:ascii="Palatino Linotype" w:hAnsi="Palatino Linotype" w:cs="Arial"/>
          <w:sz w:val="24"/>
          <w:szCs w:val="24"/>
        </w:rPr>
        <w:t>n</w:t>
      </w:r>
      <w:r w:rsidRPr="002C3EC8">
        <w:rPr>
          <w:rFonts w:ascii="Palatino Linotype" w:hAnsi="Palatino Linotype" w:cs="Arial"/>
          <w:sz w:val="24"/>
          <w:szCs w:val="24"/>
        </w:rPr>
        <w:t xml:space="preserve"> sido materia del presente fallo. </w:t>
      </w:r>
    </w:p>
    <w:p w:rsidR="00E66693" w:rsidRDefault="00E66693" w:rsidP="00E66693">
      <w:pPr>
        <w:spacing w:after="0" w:line="360" w:lineRule="auto"/>
        <w:jc w:val="both"/>
        <w:rPr>
          <w:rFonts w:ascii="Palatino Linotype" w:eastAsia="Times New Roman" w:hAnsi="Palatino Linotype" w:cs="Times New Roman"/>
          <w:sz w:val="24"/>
          <w:szCs w:val="24"/>
          <w:lang w:eastAsia="es-ES"/>
        </w:rPr>
      </w:pPr>
    </w:p>
    <w:p w:rsidR="00E66693" w:rsidRPr="002C3EC8" w:rsidRDefault="00E66693" w:rsidP="00E66693">
      <w:pPr>
        <w:spacing w:after="0" w:line="360" w:lineRule="auto"/>
        <w:jc w:val="both"/>
        <w:rPr>
          <w:rFonts w:ascii="Palatino Linotype" w:eastAsia="Times New Roman" w:hAnsi="Palatino Linotype" w:cs="Times New Roman"/>
          <w:sz w:val="24"/>
          <w:szCs w:val="24"/>
          <w:lang w:eastAsia="es-ES"/>
        </w:rPr>
      </w:pPr>
      <w:r w:rsidRPr="002C3EC8">
        <w:rPr>
          <w:rFonts w:ascii="Palatino Linotype" w:eastAsia="Times New Roman" w:hAnsi="Palatino Linotype" w:cs="Times New Roman"/>
          <w:sz w:val="24"/>
          <w:szCs w:val="24"/>
          <w:lang w:eastAsia="es-ES"/>
        </w:rPr>
        <w:t>Por lo antes expuesto y fundado es de resolverse y,</w:t>
      </w:r>
    </w:p>
    <w:p w:rsidR="00E66693" w:rsidRPr="00C960DD" w:rsidRDefault="00E66693" w:rsidP="00E66693">
      <w:pPr>
        <w:autoSpaceDE w:val="0"/>
        <w:autoSpaceDN w:val="0"/>
        <w:adjustRightInd w:val="0"/>
        <w:spacing w:after="0" w:line="360" w:lineRule="auto"/>
        <w:jc w:val="both"/>
        <w:rPr>
          <w:rFonts w:ascii="Palatino Linotype" w:hAnsi="Palatino Linotype" w:cs="Arial"/>
          <w:sz w:val="24"/>
          <w:szCs w:val="24"/>
        </w:rPr>
      </w:pPr>
    </w:p>
    <w:p w:rsidR="00E66693" w:rsidRPr="00C960DD" w:rsidRDefault="00E66693" w:rsidP="00E66693">
      <w:pPr>
        <w:spacing w:after="0" w:line="360" w:lineRule="auto"/>
        <w:ind w:left="426"/>
        <w:jc w:val="center"/>
        <w:rPr>
          <w:rFonts w:ascii="Palatino Linotype" w:eastAsia="Times New Roman" w:hAnsi="Palatino Linotype" w:cs="Times New Roman"/>
          <w:b/>
          <w:color w:val="000000"/>
          <w:sz w:val="28"/>
          <w:szCs w:val="24"/>
          <w:lang w:val="es-ES" w:eastAsia="es-ES"/>
        </w:rPr>
      </w:pPr>
      <w:r w:rsidRPr="00C960DD">
        <w:rPr>
          <w:rFonts w:ascii="Palatino Linotype" w:eastAsia="Times New Roman" w:hAnsi="Palatino Linotype" w:cs="Times New Roman"/>
          <w:b/>
          <w:color w:val="000000"/>
          <w:sz w:val="28"/>
          <w:szCs w:val="24"/>
          <w:lang w:val="es-ES" w:eastAsia="es-ES"/>
        </w:rPr>
        <w:t>SE    RESUELVE</w:t>
      </w:r>
    </w:p>
    <w:p w:rsidR="00E66693" w:rsidRPr="00ED24D5" w:rsidRDefault="00E66693" w:rsidP="00E66693">
      <w:pPr>
        <w:spacing w:before="240" w:line="360" w:lineRule="auto"/>
        <w:jc w:val="both"/>
        <w:rPr>
          <w:rFonts w:ascii="Palatino Linotype" w:hAnsi="Palatino Linotype" w:cs="Arial"/>
          <w:sz w:val="24"/>
        </w:rPr>
      </w:pPr>
      <w:r w:rsidRPr="00590A3D">
        <w:rPr>
          <w:rFonts w:ascii="Palatino Linotype" w:hAnsi="Palatino Linotype" w:cs="Arial"/>
          <w:b/>
          <w:sz w:val="28"/>
          <w:szCs w:val="28"/>
        </w:rPr>
        <w:t>PRIMERO</w:t>
      </w:r>
      <w:r w:rsidRPr="00590A3D">
        <w:rPr>
          <w:rFonts w:ascii="Palatino Linotype" w:hAnsi="Palatino Linotype" w:cs="Arial"/>
          <w:sz w:val="32"/>
          <w:szCs w:val="28"/>
        </w:rPr>
        <w:t>.</w:t>
      </w:r>
      <w:r w:rsidRPr="00590A3D">
        <w:rPr>
          <w:rFonts w:ascii="Palatino Linotype" w:hAnsi="Palatino Linotype" w:cs="Arial"/>
          <w:sz w:val="24"/>
        </w:rPr>
        <w:t xml:space="preserve"> </w:t>
      </w:r>
      <w:r w:rsidRPr="00590A3D">
        <w:rPr>
          <w:rFonts w:ascii="Palatino Linotype" w:hAnsi="Palatino Linotype" w:cs="Arial"/>
          <w:sz w:val="24"/>
          <w:lang w:val="es-ES_tradnl"/>
        </w:rPr>
        <w:t xml:space="preserve">Se </w:t>
      </w:r>
      <w:r w:rsidRPr="00590A3D">
        <w:rPr>
          <w:rFonts w:ascii="Palatino Linotype" w:hAnsi="Palatino Linotype" w:cs="Arial"/>
          <w:b/>
          <w:sz w:val="24"/>
          <w:lang w:val="es-ES_tradnl"/>
        </w:rPr>
        <w:t>CONFIRMA</w:t>
      </w:r>
      <w:r w:rsidRPr="00590A3D">
        <w:rPr>
          <w:rFonts w:ascii="Palatino Linotype" w:hAnsi="Palatino Linotype" w:cs="Arial"/>
          <w:sz w:val="24"/>
          <w:lang w:val="es-ES_tradnl"/>
        </w:rPr>
        <w:t xml:space="preserve"> </w:t>
      </w:r>
      <w:r w:rsidRPr="00590A3D">
        <w:rPr>
          <w:rFonts w:ascii="Palatino Linotype" w:eastAsia="Arial Unicode MS" w:hAnsi="Palatino Linotype" w:cs="Arial"/>
          <w:sz w:val="24"/>
        </w:rPr>
        <w:t xml:space="preserve">la respuesta entregada por </w:t>
      </w:r>
      <w:r w:rsidRPr="00590A3D">
        <w:rPr>
          <w:rFonts w:ascii="Palatino Linotype" w:eastAsia="Arial Unicode MS" w:hAnsi="Palatino Linotype" w:cs="Arial"/>
          <w:b/>
          <w:sz w:val="24"/>
        </w:rPr>
        <w:t xml:space="preserve">EL SUJETO OBLIGADO </w:t>
      </w:r>
      <w:r w:rsidRPr="00590A3D">
        <w:rPr>
          <w:rFonts w:ascii="Palatino Linotype" w:eastAsia="Arial Unicode MS" w:hAnsi="Palatino Linotype" w:cs="Arial"/>
          <w:sz w:val="24"/>
        </w:rPr>
        <w:t xml:space="preserve">a la solicitud de información número </w:t>
      </w:r>
      <w:r w:rsidR="00590A3D" w:rsidRPr="00590A3D">
        <w:rPr>
          <w:rFonts w:ascii="Palatino Linotype" w:hAnsi="Palatino Linotype"/>
          <w:b/>
          <w:sz w:val="24"/>
        </w:rPr>
        <w:t>00350</w:t>
      </w:r>
      <w:r w:rsidRPr="00590A3D">
        <w:rPr>
          <w:rFonts w:ascii="Palatino Linotype" w:hAnsi="Palatino Linotype"/>
          <w:b/>
          <w:sz w:val="24"/>
        </w:rPr>
        <w:t xml:space="preserve">/SECOGEM/IP/2024, </w:t>
      </w:r>
      <w:r w:rsidRPr="00590A3D">
        <w:rPr>
          <w:rFonts w:ascii="Palatino Linotype" w:eastAsia="Arial Unicode MS" w:hAnsi="Palatino Linotype" w:cs="Arial"/>
          <w:sz w:val="24"/>
        </w:rPr>
        <w:t xml:space="preserve">por resultar infundados los motivos de inconformidad que arguye </w:t>
      </w:r>
      <w:r w:rsidRPr="00590A3D">
        <w:rPr>
          <w:rFonts w:ascii="Palatino Linotype" w:hAnsi="Palatino Linotype"/>
          <w:sz w:val="24"/>
        </w:rPr>
        <w:t xml:space="preserve">la parte </w:t>
      </w:r>
      <w:r w:rsidRPr="00590A3D">
        <w:rPr>
          <w:rFonts w:ascii="Palatino Linotype" w:eastAsia="Arial Unicode MS" w:hAnsi="Palatino Linotype" w:cs="Arial"/>
          <w:b/>
          <w:sz w:val="24"/>
        </w:rPr>
        <w:t>RECURRENTE</w:t>
      </w:r>
      <w:r w:rsidRPr="00590A3D">
        <w:rPr>
          <w:rFonts w:ascii="Palatino Linotype" w:eastAsia="Arial Unicode MS" w:hAnsi="Palatino Linotype" w:cs="Arial"/>
          <w:sz w:val="24"/>
        </w:rPr>
        <w:t>, en términos del</w:t>
      </w:r>
      <w:r w:rsidRPr="00590A3D">
        <w:rPr>
          <w:rFonts w:ascii="Palatino Linotype" w:eastAsia="Arial Unicode MS" w:hAnsi="Palatino Linotype" w:cs="Arial"/>
          <w:b/>
          <w:sz w:val="24"/>
        </w:rPr>
        <w:t xml:space="preserve"> </w:t>
      </w:r>
      <w:r w:rsidRPr="00590A3D">
        <w:rPr>
          <w:rFonts w:ascii="Palatino Linotype" w:hAnsi="Palatino Linotype" w:cs="Arial"/>
          <w:b/>
          <w:sz w:val="24"/>
        </w:rPr>
        <w:t>Considerando CUARTO</w:t>
      </w:r>
      <w:r w:rsidRPr="00590A3D">
        <w:rPr>
          <w:rFonts w:ascii="Palatino Linotype" w:hAnsi="Palatino Linotype" w:cs="Arial"/>
          <w:sz w:val="24"/>
        </w:rPr>
        <w:t xml:space="preserve"> de la presente resolución.</w:t>
      </w:r>
    </w:p>
    <w:p w:rsidR="00E66693" w:rsidRDefault="00E66693" w:rsidP="00E66693">
      <w:pPr>
        <w:spacing w:line="360" w:lineRule="auto"/>
        <w:ind w:right="49"/>
        <w:jc w:val="both"/>
        <w:rPr>
          <w:rFonts w:ascii="Palatino Linotype" w:hAnsi="Palatino Linotype"/>
          <w:bCs/>
          <w:sz w:val="24"/>
        </w:rPr>
      </w:pPr>
      <w:r w:rsidRPr="008C27E8">
        <w:rPr>
          <w:rFonts w:ascii="Palatino Linotype" w:hAnsi="Palatino Linotype" w:cs="Arial"/>
          <w:b/>
          <w:sz w:val="28"/>
          <w:szCs w:val="28"/>
          <w:lang w:val="es-ES"/>
        </w:rPr>
        <w:lastRenderedPageBreak/>
        <w:t>SEGUNDO</w:t>
      </w:r>
      <w:r w:rsidRPr="008C27E8">
        <w:rPr>
          <w:rFonts w:ascii="Palatino Linotype" w:hAnsi="Palatino Linotype" w:cs="Arial"/>
          <w:sz w:val="28"/>
          <w:szCs w:val="28"/>
          <w:lang w:val="es-ES"/>
        </w:rPr>
        <w:t>.</w:t>
      </w:r>
      <w:r w:rsidRPr="008C27E8">
        <w:rPr>
          <w:rFonts w:ascii="Palatino Linotype" w:hAnsi="Palatino Linotype" w:cs="Arial"/>
          <w:lang w:val="es-ES"/>
        </w:rPr>
        <w:t xml:space="preserve"> </w:t>
      </w:r>
      <w:r w:rsidRPr="008C27E8">
        <w:rPr>
          <w:rFonts w:ascii="Palatino Linotype" w:eastAsia="Calibri" w:hAnsi="Palatino Linotype" w:cs="Arial"/>
          <w:sz w:val="24"/>
          <w:szCs w:val="24"/>
        </w:rPr>
        <w:t xml:space="preserve">Se </w:t>
      </w:r>
      <w:r w:rsidR="00590A3D">
        <w:rPr>
          <w:rFonts w:ascii="Palatino Linotype" w:eastAsia="Calibri" w:hAnsi="Palatino Linotype" w:cs="Arial"/>
          <w:b/>
          <w:sz w:val="24"/>
          <w:szCs w:val="24"/>
        </w:rPr>
        <w:t>MODIFI</w:t>
      </w:r>
      <w:r>
        <w:rPr>
          <w:rFonts w:ascii="Palatino Linotype" w:eastAsia="Calibri" w:hAnsi="Palatino Linotype" w:cs="Arial"/>
          <w:b/>
          <w:sz w:val="24"/>
          <w:szCs w:val="24"/>
        </w:rPr>
        <w:t>CA</w:t>
      </w:r>
      <w:r w:rsidRPr="008C27E8">
        <w:rPr>
          <w:rFonts w:ascii="Palatino Linotype" w:eastAsia="Calibri" w:hAnsi="Palatino Linotype" w:cs="Arial"/>
          <w:b/>
          <w:sz w:val="24"/>
          <w:szCs w:val="24"/>
        </w:rPr>
        <w:t xml:space="preserve"> </w:t>
      </w:r>
      <w:r w:rsidRPr="008C27E8">
        <w:rPr>
          <w:rFonts w:ascii="Palatino Linotype" w:eastAsia="Calibri" w:hAnsi="Palatino Linotype" w:cs="Arial"/>
          <w:sz w:val="24"/>
          <w:szCs w:val="24"/>
        </w:rPr>
        <w:t xml:space="preserve">la respuesta proporcionada por </w:t>
      </w:r>
      <w:r w:rsidRPr="008C27E8">
        <w:rPr>
          <w:rFonts w:ascii="Palatino Linotype" w:eastAsia="Calibri" w:hAnsi="Palatino Linotype" w:cs="Arial"/>
          <w:b/>
          <w:sz w:val="24"/>
          <w:szCs w:val="24"/>
        </w:rPr>
        <w:t xml:space="preserve">EL SUJETO OBLIGADO </w:t>
      </w:r>
      <w:r>
        <w:rPr>
          <w:rFonts w:ascii="Palatino Linotype" w:hAnsi="Palatino Linotype" w:cs="Arial"/>
          <w:sz w:val="24"/>
          <w:szCs w:val="24"/>
        </w:rPr>
        <w:t>en la solicitud de información número</w:t>
      </w:r>
      <w:r w:rsidRPr="002C3EC8">
        <w:rPr>
          <w:rFonts w:ascii="Palatino Linotype" w:hAnsi="Palatino Linotype" w:cs="Arial"/>
          <w:sz w:val="24"/>
          <w:szCs w:val="24"/>
        </w:rPr>
        <w:t xml:space="preserve"> </w:t>
      </w:r>
      <w:r>
        <w:rPr>
          <w:rFonts w:ascii="Palatino Linotype" w:eastAsia="Times New Roman" w:hAnsi="Palatino Linotype" w:cs="Times New Roman"/>
          <w:b/>
          <w:sz w:val="24"/>
          <w:szCs w:val="24"/>
          <w:lang w:eastAsia="es-ES"/>
        </w:rPr>
        <w:t>00</w:t>
      </w:r>
      <w:r w:rsidR="00590A3D">
        <w:rPr>
          <w:rFonts w:ascii="Palatino Linotype" w:eastAsia="Times New Roman" w:hAnsi="Palatino Linotype" w:cs="Times New Roman"/>
          <w:b/>
          <w:sz w:val="24"/>
          <w:szCs w:val="24"/>
          <w:lang w:eastAsia="es-ES"/>
        </w:rPr>
        <w:t>323</w:t>
      </w:r>
      <w:r>
        <w:rPr>
          <w:rFonts w:ascii="Palatino Linotype" w:eastAsia="Times New Roman" w:hAnsi="Palatino Linotype" w:cs="Times New Roman"/>
          <w:b/>
          <w:sz w:val="24"/>
          <w:szCs w:val="24"/>
          <w:lang w:eastAsia="es-ES"/>
        </w:rPr>
        <w:t xml:space="preserve">/SECOGEM/IP/2024, </w:t>
      </w:r>
      <w:r>
        <w:rPr>
          <w:rFonts w:ascii="Palatino Linotype" w:eastAsia="Times New Roman" w:hAnsi="Palatino Linotype" w:cs="Times New Roman"/>
          <w:sz w:val="24"/>
          <w:szCs w:val="24"/>
          <w:lang w:eastAsia="es-ES"/>
        </w:rPr>
        <w:t>por resultar fundados los motivos de inconformidad del Recurrente</w:t>
      </w:r>
      <w:r>
        <w:rPr>
          <w:rFonts w:ascii="Palatino Linotype" w:eastAsia="Times New Roman" w:hAnsi="Palatino Linotype" w:cs="Times New Roman"/>
          <w:b/>
          <w:sz w:val="24"/>
          <w:szCs w:val="24"/>
          <w:lang w:eastAsia="es-ES"/>
        </w:rPr>
        <w:t xml:space="preserve"> y</w:t>
      </w:r>
      <w:r w:rsidRPr="008C27E8">
        <w:rPr>
          <w:rFonts w:ascii="Palatino Linotype" w:eastAsia="Calibri" w:hAnsi="Palatino Linotype" w:cs="Arial"/>
          <w:sz w:val="24"/>
          <w:szCs w:val="24"/>
        </w:rPr>
        <w:t xml:space="preserve"> se </w:t>
      </w:r>
      <w:r w:rsidRPr="00297333">
        <w:rPr>
          <w:rFonts w:ascii="Palatino Linotype" w:eastAsia="Calibri" w:hAnsi="Palatino Linotype" w:cs="Arial"/>
          <w:b/>
          <w:sz w:val="24"/>
          <w:szCs w:val="24"/>
        </w:rPr>
        <w:t>O</w:t>
      </w:r>
      <w:r>
        <w:rPr>
          <w:rFonts w:ascii="Palatino Linotype" w:eastAsia="Calibri" w:hAnsi="Palatino Linotype" w:cs="Arial"/>
          <w:b/>
          <w:sz w:val="24"/>
          <w:szCs w:val="24"/>
        </w:rPr>
        <w:t>RDENA</w:t>
      </w:r>
      <w:r w:rsidRPr="00297333">
        <w:rPr>
          <w:rFonts w:ascii="Palatino Linotype" w:eastAsia="Calibri" w:hAnsi="Palatino Linotype" w:cs="Arial"/>
          <w:b/>
          <w:sz w:val="28"/>
          <w:szCs w:val="24"/>
        </w:rPr>
        <w:t xml:space="preserve"> </w:t>
      </w:r>
      <w:r w:rsidRPr="00297333">
        <w:rPr>
          <w:rFonts w:ascii="Palatino Linotype" w:hAnsi="Palatino Linotype" w:cs="Arial"/>
          <w:sz w:val="24"/>
        </w:rPr>
        <w:t xml:space="preserve">al </w:t>
      </w:r>
      <w:r w:rsidRPr="00297333">
        <w:rPr>
          <w:rFonts w:ascii="Palatino Linotype" w:hAnsi="Palatino Linotype" w:cs="Arial"/>
          <w:b/>
          <w:sz w:val="24"/>
        </w:rPr>
        <w:t>Sujeto Obligado</w:t>
      </w:r>
      <w:r>
        <w:rPr>
          <w:rFonts w:ascii="Palatino Linotype" w:hAnsi="Palatino Linotype" w:cs="Arial"/>
          <w:sz w:val="24"/>
        </w:rPr>
        <w:t xml:space="preserve">, </w:t>
      </w:r>
      <w:r w:rsidRPr="00297333">
        <w:rPr>
          <w:rFonts w:ascii="Palatino Linotype" w:hAnsi="Palatino Linotype" w:cs="Arial"/>
          <w:sz w:val="24"/>
        </w:rPr>
        <w:t xml:space="preserve">en términos del considerando </w:t>
      </w:r>
      <w:r w:rsidRPr="00297333">
        <w:rPr>
          <w:rFonts w:ascii="Palatino Linotype" w:hAnsi="Palatino Linotype" w:cs="Arial"/>
          <w:b/>
          <w:sz w:val="24"/>
        </w:rPr>
        <w:t>C</w:t>
      </w:r>
      <w:r>
        <w:rPr>
          <w:rFonts w:ascii="Palatino Linotype" w:hAnsi="Palatino Linotype" w:cs="Arial"/>
          <w:b/>
          <w:sz w:val="24"/>
        </w:rPr>
        <w:t>UARTO</w:t>
      </w:r>
      <w:r w:rsidRPr="00297333">
        <w:rPr>
          <w:rFonts w:ascii="Palatino Linotype" w:hAnsi="Palatino Linotype" w:cs="Arial"/>
          <w:b/>
          <w:sz w:val="24"/>
        </w:rPr>
        <w:t xml:space="preserve"> </w:t>
      </w:r>
      <w:r w:rsidRPr="00297333">
        <w:rPr>
          <w:rFonts w:ascii="Palatino Linotype" w:hAnsi="Palatino Linotype" w:cs="Arial"/>
          <w:sz w:val="24"/>
        </w:rPr>
        <w:t>de esta resolución, haga entrega</w:t>
      </w:r>
      <w:r>
        <w:rPr>
          <w:rFonts w:ascii="Palatino Linotype" w:hAnsi="Palatino Linotype" w:cs="Arial"/>
          <w:sz w:val="24"/>
        </w:rPr>
        <w:t>, de</w:t>
      </w:r>
      <w:r w:rsidRPr="00297333">
        <w:rPr>
          <w:rFonts w:ascii="Palatino Linotype" w:hAnsi="Palatino Linotype" w:cs="Arial"/>
          <w:sz w:val="24"/>
        </w:rPr>
        <w:t xml:space="preserve"> lo siguiente</w:t>
      </w:r>
      <w:r w:rsidRPr="00297333">
        <w:rPr>
          <w:rFonts w:ascii="Palatino Linotype" w:hAnsi="Palatino Linotype"/>
          <w:bCs/>
          <w:sz w:val="24"/>
        </w:rPr>
        <w:t>:</w:t>
      </w:r>
    </w:p>
    <w:p w:rsidR="00E66693" w:rsidRPr="00590A3D" w:rsidRDefault="00590A3D" w:rsidP="00590A3D">
      <w:pPr>
        <w:pStyle w:val="Prrafodelista"/>
        <w:numPr>
          <w:ilvl w:val="0"/>
          <w:numId w:val="38"/>
        </w:numPr>
        <w:spacing w:line="360" w:lineRule="auto"/>
        <w:ind w:right="567"/>
        <w:jc w:val="both"/>
        <w:rPr>
          <w:rFonts w:ascii="Palatino Linotype" w:hAnsi="Palatino Linotype"/>
        </w:rPr>
      </w:pPr>
      <w:r w:rsidRPr="00590A3D">
        <w:rPr>
          <w:rFonts w:ascii="Palatino Linotype" w:hAnsi="Palatino Linotype" w:cs="Arial"/>
          <w:noProof/>
          <w:color w:val="000000"/>
          <w:lang w:eastAsia="es-MX"/>
        </w:rPr>
        <w:t xml:space="preserve">Acuerdo que emita el Comité de Transparencia dedidamente fundado y motivado, por el cual se clasifique como reservado </w:t>
      </w:r>
      <w:r>
        <w:rPr>
          <w:rFonts w:ascii="Palatino Linotype" w:hAnsi="Palatino Linotype" w:cs="Arial"/>
          <w:noProof/>
          <w:color w:val="000000"/>
          <w:lang w:eastAsia="es-MX"/>
        </w:rPr>
        <w:t xml:space="preserve">el paquete de denuncias presentadas por </w:t>
      </w:r>
      <w:r w:rsidR="00B769A4">
        <w:rPr>
          <w:rFonts w:ascii="Palatino Linotype" w:hAnsi="Palatino Linotype" w:cs="Arial"/>
          <w:noProof/>
          <w:color w:val="000000"/>
          <w:lang w:eastAsia="es-MX"/>
        </w:rPr>
        <w:t xml:space="preserve">la </w:t>
      </w:r>
      <w:r w:rsidR="0048270D">
        <w:rPr>
          <w:rFonts w:ascii="Palatino Linotype" w:hAnsi="Palatino Linotype" w:cs="Arial"/>
          <w:noProof/>
          <w:color w:val="000000"/>
          <w:lang w:eastAsia="es-MX"/>
        </w:rPr>
        <w:t>Secretaría de la Contraloría</w:t>
      </w:r>
      <w:r w:rsidR="000E79ED">
        <w:rPr>
          <w:rFonts w:ascii="Palatino Linotype" w:hAnsi="Palatino Linotype" w:cs="Arial"/>
          <w:noProof/>
          <w:color w:val="000000"/>
          <w:lang w:eastAsia="es-MX"/>
        </w:rPr>
        <w:t xml:space="preserve"> ante la Fiscalía General de Justicia del Estado de México, al treinta de agosto de dos mil veinticuatro.  </w:t>
      </w:r>
    </w:p>
    <w:p w:rsidR="00E66693" w:rsidRDefault="000E79ED" w:rsidP="00E66693">
      <w:pPr>
        <w:pStyle w:val="INFOEM"/>
        <w:ind w:left="720"/>
      </w:pPr>
      <w:r>
        <w:rPr>
          <w:lang w:eastAsia="es-ES"/>
        </w:rPr>
        <w:t>Para el caso de que dentro del paquete de denuncias se encuadre dentro de</w:t>
      </w:r>
      <w:r w:rsidRPr="000E79ED">
        <w:rPr>
          <w:b/>
          <w:lang w:eastAsia="es-ES"/>
        </w:rPr>
        <w:t xml:space="preserve"> los </w:t>
      </w:r>
      <w:r w:rsidRPr="000E79ED">
        <w:rPr>
          <w:b/>
          <w:color w:val="000000"/>
          <w:szCs w:val="23"/>
        </w:rPr>
        <w:t>supuestos del artículo 142 de la Ley de Transparencia Local</w:t>
      </w:r>
      <w:r>
        <w:t>, el Sujeto Obligado deberá entregar la información en versión pública; p</w:t>
      </w:r>
      <w:r w:rsidRPr="000F4057">
        <w:rPr>
          <w:lang w:eastAsia="es-ES"/>
        </w:rPr>
        <w:t>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E66693" w:rsidRPr="00C960DD" w:rsidRDefault="00E66693" w:rsidP="00E66693">
      <w:pPr>
        <w:pStyle w:val="Sinespaciado"/>
        <w:spacing w:line="360" w:lineRule="auto"/>
        <w:jc w:val="both"/>
        <w:rPr>
          <w:rFonts w:ascii="Palatino Linotype" w:hAnsi="Palatino Linotype"/>
          <w:b/>
          <w:bCs/>
          <w:color w:val="222222"/>
          <w:lang w:eastAsia="es-MX"/>
        </w:rPr>
      </w:pPr>
    </w:p>
    <w:p w:rsidR="00E66693" w:rsidRPr="00C960DD" w:rsidRDefault="00E66693" w:rsidP="00E66693">
      <w:pPr>
        <w:tabs>
          <w:tab w:val="left" w:pos="8647"/>
        </w:tabs>
        <w:spacing w:after="0" w:line="360" w:lineRule="auto"/>
        <w:ind w:right="51"/>
        <w:jc w:val="both"/>
        <w:rPr>
          <w:rFonts w:ascii="Palatino Linotype" w:hAnsi="Palatino Linotype" w:cs="Arial"/>
          <w:sz w:val="24"/>
          <w:szCs w:val="24"/>
        </w:rPr>
      </w:pPr>
      <w:r w:rsidRPr="00C960DD">
        <w:rPr>
          <w:rFonts w:ascii="Palatino Linotype" w:hAnsi="Palatino Linotype" w:cs="Arial"/>
          <w:b/>
          <w:sz w:val="28"/>
          <w:szCs w:val="24"/>
        </w:rPr>
        <w:t>TERCERO</w:t>
      </w:r>
      <w:r w:rsidRPr="00C960DD">
        <w:rPr>
          <w:rFonts w:ascii="Palatino Linotype" w:hAnsi="Palatino Linotype" w:cs="Arial"/>
          <w:b/>
          <w:sz w:val="24"/>
          <w:szCs w:val="24"/>
        </w:rPr>
        <w:t>.</w:t>
      </w:r>
      <w:r w:rsidRPr="00C960DD">
        <w:rPr>
          <w:rFonts w:ascii="Palatino Linotype" w:hAnsi="Palatino Linotype" w:cs="Arial"/>
          <w:sz w:val="24"/>
          <w:szCs w:val="24"/>
        </w:rPr>
        <w:t xml:space="preserve"> </w:t>
      </w:r>
      <w:r w:rsidRPr="00C960DD">
        <w:rPr>
          <w:rFonts w:ascii="Palatino Linotype" w:hAnsi="Palatino Linotype" w:cs="Arial"/>
          <w:b/>
          <w:sz w:val="24"/>
          <w:szCs w:val="24"/>
        </w:rPr>
        <w:t>Notifíquese</w:t>
      </w:r>
      <w:r w:rsidRPr="00C960DD">
        <w:rPr>
          <w:rFonts w:ascii="Palatino Linotype" w:hAnsi="Palatino Linotype" w:cs="Arial"/>
          <w:b/>
          <w:i/>
          <w:sz w:val="24"/>
          <w:szCs w:val="24"/>
        </w:rPr>
        <w:t xml:space="preserve"> </w:t>
      </w:r>
      <w:r w:rsidRPr="00C960DD">
        <w:rPr>
          <w:rFonts w:ascii="Palatino Linotype" w:hAnsi="Palatino Linotype" w:cs="Arial"/>
          <w:sz w:val="24"/>
          <w:szCs w:val="24"/>
        </w:rPr>
        <w:t>al Titular de la Unidad de Transparencia del</w:t>
      </w:r>
      <w:r w:rsidRPr="00C960DD">
        <w:rPr>
          <w:rFonts w:ascii="Palatino Linotype" w:hAnsi="Palatino Linotype" w:cs="Arial"/>
          <w:b/>
          <w:sz w:val="24"/>
          <w:szCs w:val="24"/>
        </w:rPr>
        <w:t xml:space="preserve"> Sujeto Obligado</w:t>
      </w:r>
      <w:r w:rsidRPr="00C960DD">
        <w:rPr>
          <w:rFonts w:ascii="Palatino Linotype" w:hAnsi="Palatino Linotype" w:cs="Arial"/>
          <w:sz w:val="24"/>
          <w:szCs w:val="24"/>
        </w:rPr>
        <w:t xml:space="preserve"> la presente resolución</w:t>
      </w:r>
      <w:r>
        <w:rPr>
          <w:rFonts w:ascii="Palatino Linotype" w:hAnsi="Palatino Linotype" w:cs="Arial"/>
          <w:sz w:val="24"/>
          <w:szCs w:val="24"/>
        </w:rPr>
        <w:t xml:space="preserve"> </w:t>
      </w:r>
      <w:r w:rsidRPr="00507EB2">
        <w:rPr>
          <w:rFonts w:ascii="Palatino Linotype" w:hAnsi="Palatino Linotype" w:cs="Arial"/>
          <w:sz w:val="24"/>
          <w:szCs w:val="24"/>
          <w:lang w:val="es-ES" w:eastAsia="es-ES"/>
        </w:rPr>
        <w:t xml:space="preserve">a través del </w:t>
      </w:r>
      <w:r w:rsidRPr="00507EB2">
        <w:rPr>
          <w:rFonts w:ascii="Palatino Linotype" w:hAnsi="Palatino Linotype" w:cs="Arial"/>
          <w:sz w:val="24"/>
          <w:szCs w:val="24"/>
        </w:rPr>
        <w:t xml:space="preserve">Sistema de Acceso a la Información Mexiquense </w:t>
      </w:r>
      <w:r w:rsidRPr="00507EB2">
        <w:rPr>
          <w:rFonts w:ascii="Palatino Linotype" w:hAnsi="Palatino Linotype" w:cs="Arial"/>
          <w:b/>
          <w:sz w:val="24"/>
          <w:szCs w:val="24"/>
        </w:rPr>
        <w:t>(SAIMEX)</w:t>
      </w:r>
      <w:r w:rsidRPr="00C960DD">
        <w:rPr>
          <w:rFonts w:ascii="Palatino Linotype" w:hAnsi="Palatino Linotype" w:cs="Arial"/>
          <w:sz w:val="24"/>
          <w:szCs w:val="24"/>
        </w:rPr>
        <w:t xml:space="preserve">, para que conforme al artículo 186 último párrafo y 189 segundo párrafo de la Ley de Transparencia y Acceso a la Información Pública del Estado de México y Municipios dé cumplimiento a lo ordenado dentro del plazo de </w:t>
      </w:r>
      <w:r w:rsidRPr="00C960DD">
        <w:rPr>
          <w:rFonts w:ascii="Palatino Linotype" w:hAnsi="Palatino Linotype" w:cs="Arial"/>
          <w:sz w:val="24"/>
          <w:szCs w:val="24"/>
        </w:rPr>
        <w:lastRenderedPageBreak/>
        <w:t xml:space="preserve">diez días hábiles, debiendo informar a este Instituto en un plazo de tres días hábiles siguientes sobre el cumplimiento dado a la presente </w:t>
      </w:r>
      <w:r w:rsidRPr="00C960DD">
        <w:rPr>
          <w:rFonts w:ascii="Palatino Linotype" w:hAnsi="Palatino Linotype" w:cs="Arial"/>
          <w:b/>
          <w:sz w:val="24"/>
          <w:szCs w:val="32"/>
          <w:lang w:val="es-ES_tradnl"/>
        </w:rPr>
        <w:t>y</w:t>
      </w:r>
      <w:r w:rsidRPr="00C960DD">
        <w:rPr>
          <w:rFonts w:ascii="Palatino Linotype" w:hAnsi="Palatino Linotype" w:cs="Arial"/>
          <w:sz w:val="24"/>
          <w:szCs w:val="32"/>
          <w:lang w:val="es-ES_tradnl"/>
        </w:rPr>
        <w:t xml:space="preserve"> </w:t>
      </w:r>
      <w:r w:rsidRPr="00C960DD">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66693" w:rsidRPr="00C960DD" w:rsidRDefault="00E66693" w:rsidP="00E66693">
      <w:pPr>
        <w:tabs>
          <w:tab w:val="left" w:pos="8647"/>
        </w:tabs>
        <w:spacing w:after="0" w:line="360" w:lineRule="auto"/>
        <w:ind w:right="51"/>
        <w:jc w:val="both"/>
        <w:rPr>
          <w:rFonts w:ascii="Palatino Linotype" w:hAnsi="Palatino Linotype" w:cs="Arial"/>
          <w:sz w:val="24"/>
          <w:szCs w:val="24"/>
        </w:rPr>
      </w:pPr>
    </w:p>
    <w:p w:rsidR="00E66693" w:rsidRPr="0039499D" w:rsidRDefault="00E66693" w:rsidP="00E66693">
      <w:pPr>
        <w:autoSpaceDE w:val="0"/>
        <w:autoSpaceDN w:val="0"/>
        <w:adjustRightInd w:val="0"/>
        <w:spacing w:line="360" w:lineRule="auto"/>
        <w:jc w:val="both"/>
        <w:rPr>
          <w:rFonts w:ascii="Palatino Linotype" w:hAnsi="Palatino Linotype" w:cs="Arial"/>
          <w:sz w:val="24"/>
        </w:rPr>
      </w:pPr>
      <w:r w:rsidRPr="0039499D">
        <w:rPr>
          <w:rFonts w:ascii="Palatino Linotype" w:hAnsi="Palatino Linotype" w:cs="Arial"/>
          <w:b/>
          <w:sz w:val="28"/>
          <w:szCs w:val="28"/>
        </w:rPr>
        <w:t>CUARTO</w:t>
      </w:r>
      <w:r>
        <w:rPr>
          <w:rFonts w:ascii="Palatino Linotype" w:hAnsi="Palatino Linotype" w:cs="Arial"/>
          <w:b/>
          <w:sz w:val="28"/>
          <w:szCs w:val="28"/>
        </w:rPr>
        <w:t>.</w:t>
      </w:r>
      <w:r w:rsidRPr="0039499D">
        <w:rPr>
          <w:rFonts w:ascii="Palatino Linotype" w:hAnsi="Palatino Linotype" w:cs="Arial"/>
          <w:b/>
          <w:sz w:val="24"/>
        </w:rPr>
        <w:t xml:space="preserve"> </w:t>
      </w:r>
      <w:r w:rsidRPr="0039499D">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39499D">
        <w:rPr>
          <w:rFonts w:ascii="Palatino Linotype" w:hAnsi="Palatino Linotype" w:cs="Arial"/>
          <w:b/>
          <w:sz w:val="24"/>
        </w:rPr>
        <w:t>Sujeto Obligado</w:t>
      </w:r>
      <w:r w:rsidRPr="0039499D">
        <w:rPr>
          <w:rFonts w:ascii="Palatino Linotype" w:hAnsi="Palatino Linotype" w:cs="Arial"/>
          <w:sz w:val="24"/>
        </w:rPr>
        <w:t xml:space="preserve"> de manera fundada y motivada, podrá solicitar una ampliación de plazo para el cumplimiento de la presente resolución.</w:t>
      </w:r>
    </w:p>
    <w:p w:rsidR="00E66693" w:rsidRPr="0039499D" w:rsidRDefault="00E66693" w:rsidP="00E66693">
      <w:pPr>
        <w:autoSpaceDE w:val="0"/>
        <w:autoSpaceDN w:val="0"/>
        <w:adjustRightInd w:val="0"/>
        <w:spacing w:line="360" w:lineRule="auto"/>
        <w:jc w:val="both"/>
        <w:rPr>
          <w:rFonts w:ascii="Palatino Linotype" w:hAnsi="Palatino Linotype" w:cs="Arial"/>
          <w:sz w:val="24"/>
        </w:rPr>
      </w:pPr>
    </w:p>
    <w:p w:rsidR="00E66693" w:rsidRPr="008D34C9" w:rsidRDefault="00E66693" w:rsidP="00EC5764">
      <w:pPr>
        <w:autoSpaceDE w:val="0"/>
        <w:autoSpaceDN w:val="0"/>
        <w:adjustRightInd w:val="0"/>
        <w:spacing w:after="0" w:line="360" w:lineRule="auto"/>
        <w:jc w:val="both"/>
        <w:rPr>
          <w:rFonts w:ascii="Palatino Linotype" w:hAnsi="Palatino Linotype" w:cs="Arial"/>
          <w:sz w:val="24"/>
        </w:rPr>
      </w:pPr>
      <w:r w:rsidRPr="0039499D">
        <w:rPr>
          <w:rFonts w:ascii="Palatino Linotype" w:hAnsi="Palatino Linotype"/>
          <w:b/>
          <w:sz w:val="28"/>
          <w:szCs w:val="28"/>
        </w:rPr>
        <w:t>QUINTO.</w:t>
      </w:r>
      <w:r w:rsidRPr="0039499D">
        <w:rPr>
          <w:rFonts w:ascii="Palatino Linotype" w:hAnsi="Palatino Linotype"/>
          <w:b/>
        </w:rPr>
        <w:t xml:space="preserve"> </w:t>
      </w:r>
      <w:r w:rsidR="00590A3D" w:rsidRPr="00590A3D">
        <w:rPr>
          <w:rFonts w:ascii="Palatino Linotype" w:hAnsi="Palatino Linotype"/>
          <w:b/>
          <w:sz w:val="24"/>
        </w:rPr>
        <w:t>Notifíquese</w:t>
      </w:r>
      <w:r w:rsidR="00590A3D" w:rsidRPr="00590A3D">
        <w:rPr>
          <w:rFonts w:ascii="Palatino Linotype" w:hAnsi="Palatino Linotype"/>
          <w:sz w:val="24"/>
        </w:rPr>
        <w:t xml:space="preserve"> a través del Sistema de Acceso a la Información Mexiquense </w:t>
      </w:r>
      <w:r w:rsidR="00590A3D" w:rsidRPr="00590A3D">
        <w:rPr>
          <w:rFonts w:ascii="Palatino Linotype" w:hAnsi="Palatino Linotype"/>
          <w:b/>
          <w:sz w:val="24"/>
        </w:rPr>
        <w:t>(SAIMEX),</w:t>
      </w:r>
      <w:r w:rsidR="00590A3D" w:rsidRPr="00590A3D">
        <w:rPr>
          <w:rFonts w:ascii="Palatino Linotype" w:hAnsi="Palatino Linotype"/>
          <w:sz w:val="24"/>
        </w:rPr>
        <w:t xml:space="preserve"> al </w:t>
      </w:r>
      <w:r w:rsidR="00590A3D" w:rsidRPr="00590A3D">
        <w:rPr>
          <w:rFonts w:ascii="Palatino Linotype" w:hAnsi="Palatino Linotype"/>
          <w:b/>
          <w:sz w:val="24"/>
        </w:rPr>
        <w:t>Recurrente</w:t>
      </w:r>
      <w:r w:rsidR="00590A3D" w:rsidRPr="00590A3D">
        <w:rPr>
          <w:rFonts w:ascii="Palatino Linotype" w:hAnsi="Palatino Linotype"/>
          <w:sz w:val="24"/>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E66693" w:rsidRPr="009E63DA" w:rsidRDefault="00E66693" w:rsidP="00EC576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66693" w:rsidRDefault="00E66693" w:rsidP="00EC5764">
      <w:pPr>
        <w:autoSpaceDE w:val="0"/>
        <w:autoSpaceDN w:val="0"/>
        <w:adjustRightInd w:val="0"/>
        <w:spacing w:after="0" w:line="360" w:lineRule="auto"/>
        <w:jc w:val="both"/>
        <w:rPr>
          <w:rFonts w:ascii="Palatino Linotype" w:hAnsi="Palatino Linotype" w:cs="Arial"/>
        </w:rPr>
      </w:pPr>
      <w:r w:rsidRPr="00B574E5">
        <w:rPr>
          <w:rFonts w:ascii="Palatino Linotype" w:hAnsi="Palatino Linotype" w:cs="Arial"/>
          <w:sz w:val="24"/>
        </w:rPr>
        <w:lastRenderedPageBreak/>
        <w:t>ASÍ LO ACORDÓ, POR UNANIMIDAD DE VOTOS, EL PLENO DEL</w:t>
      </w:r>
      <w:r w:rsidRPr="00B574E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574E5">
        <w:rPr>
          <w:rFonts w:ascii="Palatino Linotype" w:hAnsi="Palatino Linotype" w:cs="Arial"/>
          <w:sz w:val="24"/>
        </w:rPr>
        <w:t>, CONFORMADO POR LOS COMISIONADOS JOSÉ MARTÍNEZ VILCHIS, MARÍA DEL ROSARIO MEJÍA AYALA, SHARON CRISTINA MORALES MARTÍNEZ, LUIS GUSTAVO PARRA NORIEGA</w:t>
      </w:r>
      <w:r>
        <w:rPr>
          <w:rFonts w:ascii="Palatino Linotype" w:hAnsi="Palatino Linotype" w:cs="Arial"/>
          <w:sz w:val="24"/>
        </w:rPr>
        <w:t xml:space="preserve"> </w:t>
      </w:r>
      <w:r w:rsidR="00D54117">
        <w:rPr>
          <w:rFonts w:ascii="Palatino Linotype" w:hAnsi="Palatino Linotype" w:cs="Arial"/>
          <w:sz w:val="24"/>
        </w:rPr>
        <w:t>(</w:t>
      </w:r>
      <w:r w:rsidR="00EC5764">
        <w:rPr>
          <w:rFonts w:ascii="Palatino Linotype" w:hAnsi="Palatino Linotype" w:cs="Arial"/>
          <w:sz w:val="24"/>
        </w:rPr>
        <w:t xml:space="preserve">EMITIENDO </w:t>
      </w:r>
      <w:r w:rsidR="00D54117">
        <w:rPr>
          <w:rFonts w:ascii="Palatino Linotype" w:hAnsi="Palatino Linotype" w:cs="Arial"/>
          <w:sz w:val="24"/>
        </w:rPr>
        <w:t xml:space="preserve">VOTO PARTICULAR) </w:t>
      </w:r>
      <w:r w:rsidRPr="00B574E5">
        <w:rPr>
          <w:rFonts w:ascii="Palatino Linotype" w:hAnsi="Palatino Linotype" w:cs="Arial"/>
          <w:sz w:val="24"/>
        </w:rPr>
        <w:t xml:space="preserve">Y GUADALUPE RAMÍREZ PEÑA; EN LA </w:t>
      </w:r>
      <w:r w:rsidR="00124EF0">
        <w:rPr>
          <w:rFonts w:ascii="Palatino Linotype" w:hAnsi="Palatino Linotype" w:cs="Arial"/>
          <w:sz w:val="24"/>
        </w:rPr>
        <w:t>TR</w:t>
      </w:r>
      <w:r>
        <w:rPr>
          <w:rFonts w:ascii="Palatino Linotype" w:hAnsi="Palatino Linotype" w:cs="Arial"/>
          <w:sz w:val="24"/>
        </w:rPr>
        <w:t xml:space="preserve">IGÉSIMA </w:t>
      </w:r>
      <w:r w:rsidR="00506AB0">
        <w:rPr>
          <w:rFonts w:ascii="Palatino Linotype" w:hAnsi="Palatino Linotype" w:cs="Arial"/>
          <w:sz w:val="24"/>
        </w:rPr>
        <w:t>NOVENA</w:t>
      </w:r>
      <w:r>
        <w:rPr>
          <w:rFonts w:ascii="Palatino Linotype" w:hAnsi="Palatino Linotype" w:cs="Arial"/>
          <w:sz w:val="24"/>
        </w:rPr>
        <w:t xml:space="preserve"> </w:t>
      </w:r>
      <w:r w:rsidRPr="00B574E5">
        <w:rPr>
          <w:rFonts w:ascii="Palatino Linotype" w:hAnsi="Palatino Linotype" w:cs="Arial"/>
          <w:sz w:val="24"/>
        </w:rPr>
        <w:t xml:space="preserve">SESIÓN ORDINARIA CELEBRADA EL </w:t>
      </w:r>
      <w:r w:rsidR="00124EF0">
        <w:rPr>
          <w:rFonts w:ascii="Palatino Linotype" w:hAnsi="Palatino Linotype" w:cs="Arial"/>
          <w:sz w:val="24"/>
        </w:rPr>
        <w:t>TRECE DE NOVIEMBRE</w:t>
      </w:r>
      <w:r>
        <w:rPr>
          <w:rFonts w:ascii="Palatino Linotype" w:hAnsi="Palatino Linotype" w:cs="Arial"/>
          <w:sz w:val="24"/>
        </w:rPr>
        <w:t xml:space="preserve"> DE DOS MIL VEINTICUATRO</w:t>
      </w:r>
      <w:r w:rsidRPr="00B574E5">
        <w:rPr>
          <w:rFonts w:ascii="Palatino Linotype" w:hAnsi="Palatino Linotype" w:cs="Arial"/>
          <w:sz w:val="24"/>
        </w:rPr>
        <w:t>, ANTE EL SECRETARIO TÉCNICO DEL PLENO, ALEXIS TAPIA RAMÍREZ. -------------------------------------------</w:t>
      </w:r>
      <w:r w:rsidR="00D54117">
        <w:rPr>
          <w:rFonts w:ascii="Palatino Linotype" w:hAnsi="Palatino Linotype" w:cs="Arial"/>
          <w:sz w:val="24"/>
        </w:rPr>
        <w:t xml:space="preserve"> </w:t>
      </w:r>
    </w:p>
    <w:p w:rsidR="00E66693" w:rsidRDefault="00EC5764" w:rsidP="00EC576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E66693" w:rsidRDefault="00E66693" w:rsidP="00EC576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E66693" w:rsidRDefault="00E66693" w:rsidP="00EC576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E66693" w:rsidRPr="00AB0A3C" w:rsidRDefault="00124EF0" w:rsidP="00EC5764">
      <w:pPr>
        <w:spacing w:after="0" w:line="360" w:lineRule="auto"/>
        <w:jc w:val="both"/>
        <w:rPr>
          <w:sz w:val="20"/>
        </w:rPr>
      </w:pPr>
      <w:r>
        <w:rPr>
          <w:rFonts w:ascii="Palatino Linotype" w:hAnsi="Palatino Linotype"/>
          <w:bCs/>
          <w:sz w:val="16"/>
          <w:szCs w:val="18"/>
        </w:rPr>
        <w:t>CCR/</w:t>
      </w:r>
      <w:r w:rsidR="00D54117">
        <w:rPr>
          <w:rFonts w:ascii="Palatino Linotype" w:hAnsi="Palatino Linotype"/>
          <w:bCs/>
          <w:sz w:val="16"/>
          <w:szCs w:val="18"/>
        </w:rPr>
        <w:t>LMST</w:t>
      </w:r>
    </w:p>
    <w:p w:rsidR="00E66693" w:rsidRDefault="00E66693" w:rsidP="00EC5764">
      <w:pPr>
        <w:spacing w:after="0"/>
      </w:pPr>
    </w:p>
    <w:p w:rsidR="00E66693" w:rsidRDefault="00E66693" w:rsidP="00EC5764">
      <w:pPr>
        <w:spacing w:after="0"/>
      </w:pPr>
    </w:p>
    <w:p w:rsidR="00E66693" w:rsidRDefault="00E66693" w:rsidP="00E66693"/>
    <w:p w:rsidR="00E66693" w:rsidRDefault="00E66693" w:rsidP="00E66693"/>
    <w:p w:rsidR="00E66693" w:rsidRDefault="00E66693" w:rsidP="00E66693"/>
    <w:p w:rsidR="00E66693" w:rsidRDefault="00E66693" w:rsidP="00E66693"/>
    <w:p w:rsidR="00E66693" w:rsidRDefault="00E66693" w:rsidP="00E66693"/>
    <w:p w:rsidR="00E66693" w:rsidRDefault="00E66693" w:rsidP="00E66693"/>
    <w:p w:rsidR="00E66693" w:rsidRDefault="00E66693" w:rsidP="00E66693"/>
    <w:p w:rsidR="00E66693" w:rsidRDefault="00E66693" w:rsidP="00E66693"/>
    <w:p w:rsidR="00E66693" w:rsidRDefault="00E66693" w:rsidP="00E66693"/>
    <w:p w:rsidR="00E66693" w:rsidRDefault="00E66693" w:rsidP="00E66693"/>
    <w:p w:rsidR="00E66693" w:rsidRDefault="00E66693" w:rsidP="00E66693"/>
    <w:p w:rsidR="00E66693" w:rsidRDefault="00E66693" w:rsidP="00E66693"/>
    <w:p w:rsidR="00E66693" w:rsidRDefault="00E66693" w:rsidP="00E66693"/>
    <w:p w:rsidR="00B158B2" w:rsidRDefault="00B158B2"/>
    <w:sectPr w:rsidR="00B158B2" w:rsidSect="00E66693">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888" w:rsidRDefault="00C00888" w:rsidP="00E66693">
      <w:pPr>
        <w:spacing w:after="0" w:line="240" w:lineRule="auto"/>
      </w:pPr>
      <w:r>
        <w:separator/>
      </w:r>
    </w:p>
  </w:endnote>
  <w:endnote w:type="continuationSeparator" w:id="0">
    <w:p w:rsidR="00C00888" w:rsidRDefault="00C00888" w:rsidP="00E66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4A6" w:rsidRPr="000B69FA" w:rsidRDefault="007364A6" w:rsidP="00E6669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3550">
      <w:rPr>
        <w:rFonts w:ascii="Palatino Linotype" w:hAnsi="Palatino Linotype"/>
        <w:bCs/>
        <w:noProof/>
        <w:sz w:val="20"/>
      </w:rPr>
      <w:t>16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83550">
      <w:rPr>
        <w:rFonts w:ascii="Palatino Linotype" w:hAnsi="Palatino Linotype"/>
        <w:bCs/>
        <w:noProof/>
        <w:sz w:val="20"/>
      </w:rPr>
      <w:t>70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4A6" w:rsidRPr="000B69FA" w:rsidRDefault="007364A6" w:rsidP="00E6669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355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83550">
      <w:rPr>
        <w:rFonts w:ascii="Palatino Linotype" w:hAnsi="Palatino Linotype"/>
        <w:bCs/>
        <w:noProof/>
        <w:sz w:val="20"/>
      </w:rPr>
      <w:t>70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888" w:rsidRDefault="00C00888" w:rsidP="00E66693">
      <w:pPr>
        <w:spacing w:after="0" w:line="240" w:lineRule="auto"/>
      </w:pPr>
      <w:r>
        <w:separator/>
      </w:r>
    </w:p>
  </w:footnote>
  <w:footnote w:type="continuationSeparator" w:id="0">
    <w:p w:rsidR="00C00888" w:rsidRDefault="00C00888" w:rsidP="00E66693">
      <w:pPr>
        <w:spacing w:after="0" w:line="240" w:lineRule="auto"/>
      </w:pPr>
      <w:r>
        <w:continuationSeparator/>
      </w:r>
    </w:p>
  </w:footnote>
  <w:footnote w:id="1">
    <w:p w:rsidR="007364A6" w:rsidRPr="005552A8" w:rsidRDefault="007364A6" w:rsidP="00E6669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7364A6" w:rsidRPr="005552A8" w:rsidRDefault="007364A6" w:rsidP="00E6669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590A3D" w:rsidRPr="00891FE0" w:rsidRDefault="00590A3D" w:rsidP="00590A3D">
      <w:pPr>
        <w:pStyle w:val="Textonotapie"/>
        <w:jc w:val="both"/>
        <w:rPr>
          <w:rFonts w:ascii="Palatino Linotype" w:hAnsi="Palatino Linotype"/>
          <w:sz w:val="18"/>
          <w:szCs w:val="18"/>
        </w:rPr>
      </w:pPr>
      <w:r w:rsidRPr="00891FE0">
        <w:rPr>
          <w:rStyle w:val="Refdenotaalpie"/>
          <w:rFonts w:ascii="Palatino Linotype" w:hAnsi="Palatino Linotype"/>
          <w:sz w:val="18"/>
          <w:szCs w:val="18"/>
        </w:rPr>
        <w:footnoteRef/>
      </w:r>
      <w:r w:rsidRPr="00891FE0">
        <w:rPr>
          <w:rFonts w:ascii="Palatino Linotype" w:hAnsi="Palatino Linotype"/>
          <w:sz w:val="18"/>
          <w:szCs w:val="18"/>
        </w:rPr>
        <w:t xml:space="preserve"> Tesis [A.]: I.1º.A.E.133 A, T.C.C., </w:t>
      </w:r>
      <w:r w:rsidRPr="00891FE0">
        <w:rPr>
          <w:rFonts w:ascii="Palatino Linotype" w:hAnsi="Palatino Linotype"/>
          <w:i/>
          <w:iCs/>
          <w:sz w:val="18"/>
          <w:szCs w:val="18"/>
        </w:rPr>
        <w:t>Gaceta del Semanario Judicial de la Federación</w:t>
      </w:r>
      <w:r w:rsidRPr="00891FE0">
        <w:rPr>
          <w:rFonts w:ascii="Palatino Linotype" w:hAnsi="Palatino Linotype"/>
          <w:sz w:val="18"/>
          <w:szCs w:val="18"/>
        </w:rPr>
        <w:t>, Décima Época, libro 29, tomo III, abril de 2016, p. 2133.</w:t>
      </w:r>
    </w:p>
  </w:footnote>
  <w:footnote w:id="3">
    <w:p w:rsidR="00590A3D" w:rsidRPr="00891FE0" w:rsidRDefault="00590A3D" w:rsidP="00590A3D">
      <w:pPr>
        <w:pStyle w:val="Textonotapie"/>
        <w:jc w:val="both"/>
        <w:rPr>
          <w:rFonts w:ascii="Palatino Linotype" w:hAnsi="Palatino Linotype"/>
          <w:sz w:val="18"/>
          <w:szCs w:val="18"/>
        </w:rPr>
      </w:pPr>
      <w:r w:rsidRPr="00891FE0">
        <w:rPr>
          <w:rStyle w:val="Refdenotaalpie"/>
          <w:rFonts w:ascii="Palatino Linotype" w:hAnsi="Palatino Linotype"/>
          <w:sz w:val="18"/>
          <w:szCs w:val="18"/>
        </w:rPr>
        <w:footnoteRef/>
      </w:r>
      <w:r w:rsidRPr="00891FE0">
        <w:rPr>
          <w:rFonts w:ascii="Palatino Linotype" w:hAnsi="Palatino Linotype"/>
          <w:sz w:val="18"/>
          <w:szCs w:val="18"/>
        </w:rPr>
        <w:t xml:space="preserve"> Tesis [A.]: I.10º.A.79 A, T.C.C., </w:t>
      </w:r>
      <w:r w:rsidRPr="00891FE0">
        <w:rPr>
          <w:rFonts w:ascii="Palatino Linotype" w:hAnsi="Palatino Linotype"/>
          <w:i/>
          <w:iCs/>
          <w:sz w:val="18"/>
          <w:szCs w:val="18"/>
        </w:rPr>
        <w:t>Gaceta del Semanario Judicial de la Federación</w:t>
      </w:r>
      <w:r w:rsidRPr="00891FE0">
        <w:rPr>
          <w:rFonts w:ascii="Palatino Linotype" w:hAnsi="Palatino Linotype"/>
          <w:sz w:val="18"/>
          <w:szCs w:val="18"/>
        </w:rPr>
        <w:t>, Décima Época, libro 60, tomo III, noviembre de 2018, p. 2318.</w:t>
      </w:r>
    </w:p>
  </w:footnote>
  <w:footnote w:id="4">
    <w:p w:rsidR="00590A3D" w:rsidRPr="000553F9" w:rsidRDefault="00590A3D" w:rsidP="00590A3D">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3"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5">
    <w:p w:rsidR="00590A3D" w:rsidRPr="000553F9" w:rsidRDefault="00590A3D" w:rsidP="00590A3D">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4"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6">
    <w:p w:rsidR="00590A3D" w:rsidRPr="000553F9" w:rsidRDefault="00590A3D" w:rsidP="00590A3D">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http://dle.rae.es/?id=VGqyuLj|VGtxgAo|VGuc9Wg</w:t>
        </w:r>
      </w:hyperlink>
      <w:r w:rsidRPr="000553F9">
        <w:rPr>
          <w:color w:val="000000" w:themeColor="text1"/>
        </w:rPr>
        <w:t xml:space="preserve"> </w:t>
      </w:r>
    </w:p>
  </w:footnote>
  <w:footnote w:id="7">
    <w:p w:rsidR="00590A3D" w:rsidRPr="000553F9" w:rsidRDefault="00590A3D" w:rsidP="00590A3D">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http://dle.rae.es/?id=CAjNzMR</w:t>
        </w:r>
      </w:hyperlink>
      <w:r w:rsidRPr="000553F9">
        <w:rPr>
          <w:color w:val="000000" w:themeColor="text1"/>
        </w:rPr>
        <w:t xml:space="preserve"> </w:t>
      </w:r>
    </w:p>
  </w:footnote>
  <w:footnote w:id="8">
    <w:p w:rsidR="00590A3D" w:rsidRPr="000553F9" w:rsidRDefault="00590A3D" w:rsidP="00590A3D">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http://dle.rae.es/?id=CAqWkEB</w:t>
        </w:r>
      </w:hyperlink>
      <w:r w:rsidRPr="000553F9">
        <w:rPr>
          <w:color w:val="000000" w:themeColor="text1"/>
        </w:rPr>
        <w:t xml:space="preserve"> </w:t>
      </w:r>
    </w:p>
  </w:footnote>
  <w:footnote w:id="9">
    <w:p w:rsidR="00590A3D" w:rsidRPr="000553F9" w:rsidRDefault="00590A3D" w:rsidP="00590A3D">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http://dle.rae.es/?id=KtnHLLd</w:t>
        </w:r>
      </w:hyperlink>
      <w:r w:rsidRPr="000553F9">
        <w:rPr>
          <w:color w:val="000000" w:themeColor="text1"/>
        </w:rPr>
        <w:t xml:space="preserve"> </w:t>
      </w:r>
    </w:p>
  </w:footnote>
  <w:footnote w:id="10">
    <w:p w:rsidR="00590A3D" w:rsidRPr="000406A4" w:rsidRDefault="00590A3D" w:rsidP="00590A3D">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9" w:history="1">
        <w:r w:rsidRPr="000553F9">
          <w:rPr>
            <w:rStyle w:val="Hipervnculo"/>
            <w:color w:val="000000" w:themeColor="text1"/>
          </w:rPr>
          <w:t>http://dle.rae.es/?id=KtpfgjV</w:t>
        </w:r>
      </w:hyperlink>
      <w:r w:rsidRPr="000553F9">
        <w:rPr>
          <w:color w:val="000000" w:themeColor="text1"/>
        </w:rPr>
        <w:t xml:space="preserve"> </w:t>
      </w:r>
    </w:p>
  </w:footnote>
  <w:footnote w:id="11">
    <w:p w:rsidR="00590A3D" w:rsidRPr="00D75A73" w:rsidRDefault="00590A3D" w:rsidP="00590A3D">
      <w:pPr>
        <w:jc w:val="both"/>
        <w:rPr>
          <w:rFonts w:ascii="Palatino Linotype" w:hAnsi="Palatino Linotype"/>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s="Arial"/>
          <w:color w:val="000000" w:themeColor="text1"/>
          <w:sz w:val="16"/>
          <w:szCs w:val="16"/>
          <w:lang w:val="es-ES_tradnl"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75A73">
        <w:rPr>
          <w:rFonts w:ascii="Palatino Linotype" w:hAnsi="Palatino Linotype" w:cs="Arial"/>
          <w:color w:val="000000" w:themeColor="text1"/>
          <w:sz w:val="16"/>
          <w:szCs w:val="16"/>
          <w:lang w:val="es-ES_tradnl" w:eastAsia="es-ES_tradnl"/>
        </w:rPr>
        <w:t>tests</w:t>
      </w:r>
      <w:proofErr w:type="spellEnd"/>
      <w:r w:rsidRPr="00D75A73">
        <w:rPr>
          <w:rFonts w:ascii="Palatino Linotype" w:hAnsi="Palatino Linotype" w:cs="Arial"/>
          <w:color w:val="000000" w:themeColor="text1"/>
          <w:sz w:val="16"/>
          <w:szCs w:val="16"/>
          <w:lang w:val="es-ES_tradnl"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75A73">
        <w:rPr>
          <w:rFonts w:ascii="Palatino Linotype" w:hAnsi="Palatino Linotype" w:cs="Arial"/>
          <w:color w:val="000000" w:themeColor="text1"/>
          <w:sz w:val="16"/>
          <w:szCs w:val="16"/>
          <w:lang w:val="es-ES_tradnl" w:eastAsia="es-ES_tradnl"/>
        </w:rPr>
        <w:t>Lluy</w:t>
      </w:r>
      <w:proofErr w:type="spellEnd"/>
      <w:r w:rsidRPr="00D75A73">
        <w:rPr>
          <w:rFonts w:ascii="Palatino Linotype" w:hAnsi="Palatino Linotype" w:cs="Arial"/>
          <w:color w:val="000000" w:themeColor="text1"/>
          <w:sz w:val="16"/>
          <w:szCs w:val="16"/>
          <w:lang w:val="es-ES_tradnl" w:eastAsia="es-ES_tradnl"/>
        </w:rPr>
        <w:t xml:space="preserve"> y otros contra Ecuador. Excepciones preliminares, fondo, reparaciones y costas. Sentencia del 01 de septiembre de 2015. Párr. 256.  </w:t>
      </w:r>
    </w:p>
  </w:footnote>
  <w:footnote w:id="12">
    <w:p w:rsidR="00590A3D" w:rsidRPr="00D75A73" w:rsidRDefault="00590A3D" w:rsidP="00590A3D">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w:t>
      </w:r>
      <w:proofErr w:type="spellStart"/>
      <w:r w:rsidRPr="00D75A73">
        <w:rPr>
          <w:rFonts w:ascii="Palatino Linotype" w:hAnsi="Palatino Linotype"/>
          <w:color w:val="000000" w:themeColor="text1"/>
          <w:sz w:val="16"/>
          <w:szCs w:val="16"/>
          <w:lang w:val="es-ES"/>
        </w:rPr>
        <w:t>BVerfGE</w:t>
      </w:r>
      <w:proofErr w:type="spellEnd"/>
      <w:r w:rsidRPr="00D75A73">
        <w:rPr>
          <w:rFonts w:ascii="Palatino Linotype" w:hAnsi="Palatino Linotype"/>
          <w:color w:val="000000" w:themeColor="text1"/>
          <w:sz w:val="16"/>
          <w:szCs w:val="16"/>
          <w:lang w:val="es-ES"/>
        </w:rPr>
        <w:t xml:space="preserve"> 93, 266). En ALÁEZ CORRAL, Benito y ÁLVAREZ </w:t>
      </w:r>
      <w:proofErr w:type="spellStart"/>
      <w:r w:rsidRPr="00D75A73">
        <w:rPr>
          <w:rFonts w:ascii="Palatino Linotype" w:hAnsi="Palatino Linotype"/>
          <w:color w:val="000000" w:themeColor="text1"/>
          <w:sz w:val="16"/>
          <w:szCs w:val="16"/>
          <w:lang w:val="es-ES"/>
        </w:rPr>
        <w:t>ÁLVAREZ</w:t>
      </w:r>
      <w:proofErr w:type="spellEnd"/>
      <w:r w:rsidRPr="00D75A73">
        <w:rPr>
          <w:rFonts w:ascii="Palatino Linotype" w:hAnsi="Palatino Linotype"/>
          <w:color w:val="000000" w:themeColor="text1"/>
          <w:sz w:val="16"/>
          <w:szCs w:val="16"/>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4A6" w:rsidRDefault="007364A6">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D365855" wp14:editId="78E76D4C">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7364A6" w:rsidTr="00E66693">
      <w:trPr>
        <w:trHeight w:val="227"/>
      </w:trPr>
      <w:tc>
        <w:tcPr>
          <w:tcW w:w="5529" w:type="dxa"/>
          <w:hideMark/>
        </w:tcPr>
        <w:p w:rsidR="007364A6" w:rsidRDefault="007364A6" w:rsidP="00E6669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364A6" w:rsidRPr="00B4142F" w:rsidRDefault="00EC5764" w:rsidP="00E66693">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364A6">
            <w:rPr>
              <w:rFonts w:ascii="Palatino Linotype" w:hAnsi="Palatino Linotype" w:cs="Arial"/>
              <w:bCs/>
              <w:sz w:val="24"/>
              <w:lang w:eastAsia="es-MX"/>
            </w:rPr>
            <w:t>6015/INFOEM/IP/RR/2024 y acumulado</w:t>
          </w:r>
        </w:p>
      </w:tc>
    </w:tr>
    <w:tr w:rsidR="007364A6" w:rsidTr="00E66693">
      <w:trPr>
        <w:trHeight w:val="242"/>
      </w:trPr>
      <w:tc>
        <w:tcPr>
          <w:tcW w:w="5529" w:type="dxa"/>
          <w:hideMark/>
        </w:tcPr>
        <w:p w:rsidR="007364A6" w:rsidRDefault="007364A6" w:rsidP="00E6669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364A6" w:rsidRPr="00F06FED" w:rsidRDefault="007364A6" w:rsidP="00E66693">
          <w:pPr>
            <w:spacing w:after="120" w:line="256" w:lineRule="auto"/>
            <w:ind w:left="639" w:right="214"/>
            <w:jc w:val="both"/>
            <w:rPr>
              <w:rFonts w:ascii="Palatino Linotype" w:hAnsi="Palatino Linotype" w:cs="Arial"/>
            </w:rPr>
          </w:pPr>
          <w:r w:rsidRPr="00E66693">
            <w:rPr>
              <w:rFonts w:ascii="Palatino Linotype" w:hAnsi="Palatino Linotype" w:cs="Arial"/>
              <w:szCs w:val="20"/>
            </w:rPr>
            <w:t>Secretaría de la Contraloría</w:t>
          </w:r>
        </w:p>
      </w:tc>
    </w:tr>
    <w:tr w:rsidR="007364A6" w:rsidTr="00E66693">
      <w:trPr>
        <w:trHeight w:val="342"/>
      </w:trPr>
      <w:tc>
        <w:tcPr>
          <w:tcW w:w="5529" w:type="dxa"/>
          <w:hideMark/>
        </w:tcPr>
        <w:p w:rsidR="007364A6" w:rsidRDefault="007364A6" w:rsidP="00E6669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7364A6" w:rsidRDefault="007364A6" w:rsidP="00E66693">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rsidR="007364A6" w:rsidRDefault="007364A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7364A6" w:rsidTr="00E66693">
      <w:trPr>
        <w:trHeight w:val="227"/>
      </w:trPr>
      <w:tc>
        <w:tcPr>
          <w:tcW w:w="5529" w:type="dxa"/>
          <w:hideMark/>
        </w:tcPr>
        <w:p w:rsidR="007364A6" w:rsidRDefault="007364A6" w:rsidP="00E6669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364A6" w:rsidRPr="00B4142F" w:rsidRDefault="00EC5764" w:rsidP="00E66693">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364A6">
            <w:rPr>
              <w:rFonts w:ascii="Palatino Linotype" w:hAnsi="Palatino Linotype" w:cs="Arial"/>
              <w:bCs/>
              <w:sz w:val="24"/>
              <w:lang w:eastAsia="es-MX"/>
            </w:rPr>
            <w:t>6015/INFOEM/IP/RR/2024 y acumulado</w:t>
          </w:r>
        </w:p>
      </w:tc>
    </w:tr>
    <w:tr w:rsidR="007364A6" w:rsidTr="00E66693">
      <w:trPr>
        <w:trHeight w:val="196"/>
      </w:trPr>
      <w:tc>
        <w:tcPr>
          <w:tcW w:w="5529" w:type="dxa"/>
          <w:hideMark/>
        </w:tcPr>
        <w:p w:rsidR="007364A6" w:rsidRDefault="007364A6" w:rsidP="00E6669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7364A6" w:rsidRPr="00F06FED" w:rsidRDefault="00183550" w:rsidP="00E66693">
          <w:pPr>
            <w:spacing w:after="120" w:line="256" w:lineRule="auto"/>
            <w:ind w:left="639" w:right="214"/>
            <w:jc w:val="both"/>
            <w:rPr>
              <w:rFonts w:ascii="Palatino Linotype" w:hAnsi="Palatino Linotype" w:cs="Arial"/>
            </w:rPr>
          </w:pPr>
          <w:r>
            <w:rPr>
              <w:rFonts w:ascii="Palatino Linotype" w:hAnsi="Palatino Linotype" w:cs="Arial"/>
            </w:rPr>
            <w:t>XXXX</w:t>
          </w:r>
        </w:p>
      </w:tc>
    </w:tr>
    <w:tr w:rsidR="007364A6" w:rsidTr="00E66693">
      <w:trPr>
        <w:trHeight w:val="242"/>
      </w:trPr>
      <w:tc>
        <w:tcPr>
          <w:tcW w:w="5529" w:type="dxa"/>
          <w:hideMark/>
        </w:tcPr>
        <w:p w:rsidR="007364A6" w:rsidRDefault="007364A6" w:rsidP="00E6669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364A6" w:rsidRDefault="007364A6" w:rsidP="00E66693">
          <w:pPr>
            <w:spacing w:after="120" w:line="256" w:lineRule="auto"/>
            <w:ind w:left="639" w:right="214"/>
            <w:jc w:val="both"/>
            <w:rPr>
              <w:rFonts w:ascii="Palatino Linotype" w:hAnsi="Palatino Linotype" w:cs="Arial"/>
              <w:szCs w:val="20"/>
            </w:rPr>
          </w:pPr>
          <w:r w:rsidRPr="00E66693">
            <w:rPr>
              <w:rFonts w:ascii="Palatino Linotype" w:hAnsi="Palatino Linotype" w:cs="Arial"/>
              <w:szCs w:val="20"/>
            </w:rPr>
            <w:t>Secretaría de la Contraloría</w:t>
          </w:r>
        </w:p>
      </w:tc>
    </w:tr>
    <w:tr w:rsidR="007364A6" w:rsidTr="00E66693">
      <w:trPr>
        <w:trHeight w:val="342"/>
      </w:trPr>
      <w:tc>
        <w:tcPr>
          <w:tcW w:w="5529" w:type="dxa"/>
          <w:hideMark/>
        </w:tcPr>
        <w:p w:rsidR="007364A6" w:rsidRDefault="007364A6" w:rsidP="00E6669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7364A6" w:rsidRDefault="007364A6" w:rsidP="00E66693">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rsidR="007364A6" w:rsidRDefault="007364A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158F431" wp14:editId="2C9CF81C">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FA45"/>
      </v:shape>
    </w:pict>
  </w:numPicBullet>
  <w:abstractNum w:abstractNumId="0" w15:restartNumberingAfterBreak="0">
    <w:nsid w:val="03446893"/>
    <w:multiLevelType w:val="hybridMultilevel"/>
    <w:tmpl w:val="8A06711E"/>
    <w:lvl w:ilvl="0" w:tplc="080A000F">
      <w:start w:val="1"/>
      <w:numFmt w:val="decimal"/>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FF28AA"/>
    <w:multiLevelType w:val="hybridMultilevel"/>
    <w:tmpl w:val="CFFA47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6756BCD"/>
    <w:multiLevelType w:val="hybridMultilevel"/>
    <w:tmpl w:val="D9821226"/>
    <w:lvl w:ilvl="0" w:tplc="B4163C76">
      <w:start w:val="1"/>
      <w:numFmt w:val="decimal"/>
      <w:lvlText w:val="%1."/>
      <w:lvlJc w:val="left"/>
      <w:pPr>
        <w:ind w:left="720" w:hanging="360"/>
      </w:pPr>
      <w:rPr>
        <w:rFonts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83A06"/>
    <w:multiLevelType w:val="hybridMultilevel"/>
    <w:tmpl w:val="C19E48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A450A"/>
    <w:multiLevelType w:val="hybridMultilevel"/>
    <w:tmpl w:val="76981928"/>
    <w:lvl w:ilvl="0" w:tplc="DF86C93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F109DD"/>
    <w:multiLevelType w:val="hybridMultilevel"/>
    <w:tmpl w:val="0982029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F375E8"/>
    <w:multiLevelType w:val="hybridMultilevel"/>
    <w:tmpl w:val="A8C40974"/>
    <w:lvl w:ilvl="0" w:tplc="35C07B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6520942"/>
    <w:multiLevelType w:val="hybridMultilevel"/>
    <w:tmpl w:val="075A439C"/>
    <w:lvl w:ilvl="0" w:tplc="1952DD1C">
      <w:start w:val="2"/>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42074C"/>
    <w:multiLevelType w:val="hybridMultilevel"/>
    <w:tmpl w:val="E06085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4D4019"/>
    <w:multiLevelType w:val="hybridMultilevel"/>
    <w:tmpl w:val="E2D8F6A4"/>
    <w:lvl w:ilvl="0" w:tplc="EC1A2E0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1C134344"/>
    <w:multiLevelType w:val="hybridMultilevel"/>
    <w:tmpl w:val="73E81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D4403DA"/>
    <w:multiLevelType w:val="hybridMultilevel"/>
    <w:tmpl w:val="8280F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5C0B2E"/>
    <w:multiLevelType w:val="hybridMultilevel"/>
    <w:tmpl w:val="3BDCD1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1E9A35DE"/>
    <w:multiLevelType w:val="hybridMultilevel"/>
    <w:tmpl w:val="A698C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FCE4AF4"/>
    <w:multiLevelType w:val="hybridMultilevel"/>
    <w:tmpl w:val="C7C440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73B3E4E"/>
    <w:multiLevelType w:val="hybridMultilevel"/>
    <w:tmpl w:val="98E4F120"/>
    <w:lvl w:ilvl="0" w:tplc="7EB8ECC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27D834E8"/>
    <w:multiLevelType w:val="hybridMultilevel"/>
    <w:tmpl w:val="CED8D200"/>
    <w:lvl w:ilvl="0" w:tplc="080A0003">
      <w:start w:val="1"/>
      <w:numFmt w:val="bullet"/>
      <w:lvlText w:val="o"/>
      <w:lvlJc w:val="left"/>
      <w:pPr>
        <w:ind w:left="1350" w:hanging="360"/>
      </w:pPr>
      <w:rPr>
        <w:rFonts w:ascii="Courier New" w:hAnsi="Courier New" w:cs="Courier New" w:hint="default"/>
      </w:rPr>
    </w:lvl>
    <w:lvl w:ilvl="1" w:tplc="080A0003" w:tentative="1">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20" w15:restartNumberingAfterBreak="0">
    <w:nsid w:val="2B4B1C85"/>
    <w:multiLevelType w:val="hybridMultilevel"/>
    <w:tmpl w:val="98BE1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2760C5A"/>
    <w:multiLevelType w:val="hybridMultilevel"/>
    <w:tmpl w:val="D8CEE390"/>
    <w:lvl w:ilvl="0" w:tplc="3EE8B12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3F16BCC"/>
    <w:multiLevelType w:val="hybridMultilevel"/>
    <w:tmpl w:val="72BCF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6AB01F9"/>
    <w:multiLevelType w:val="hybridMultilevel"/>
    <w:tmpl w:val="FC9457B6"/>
    <w:lvl w:ilvl="0" w:tplc="515A796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3BCB1CDF"/>
    <w:multiLevelType w:val="hybridMultilevel"/>
    <w:tmpl w:val="BBF2DF8A"/>
    <w:lvl w:ilvl="0" w:tplc="8CDC572C">
      <w:start w:val="2"/>
      <w:numFmt w:val="bullet"/>
      <w:lvlText w:val="-"/>
      <w:lvlJc w:val="left"/>
      <w:pPr>
        <w:ind w:left="927" w:hanging="360"/>
      </w:pPr>
      <w:rPr>
        <w:rFonts w:ascii="Palatino Linotype" w:eastAsia="Times New Roman" w:hAnsi="Palatino Linotype" w:cs="Arial" w:hint="default"/>
        <w:b/>
        <w:i/>
        <w:color w:val="auto"/>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6" w15:restartNumberingAfterBreak="0">
    <w:nsid w:val="3E95109A"/>
    <w:multiLevelType w:val="hybridMultilevel"/>
    <w:tmpl w:val="29ACF6D8"/>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2B029C9"/>
    <w:multiLevelType w:val="hybridMultilevel"/>
    <w:tmpl w:val="3648B2AE"/>
    <w:lvl w:ilvl="0" w:tplc="FF5C22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FE7C3D"/>
    <w:multiLevelType w:val="hybridMultilevel"/>
    <w:tmpl w:val="A9884E3C"/>
    <w:lvl w:ilvl="0" w:tplc="9AE85A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2B1768"/>
    <w:multiLevelType w:val="hybridMultilevel"/>
    <w:tmpl w:val="6B44793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6750D07"/>
    <w:multiLevelType w:val="hybridMultilevel"/>
    <w:tmpl w:val="4948E3F0"/>
    <w:lvl w:ilvl="0" w:tplc="D69E0C5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6351771A"/>
    <w:multiLevelType w:val="hybridMultilevel"/>
    <w:tmpl w:val="6AD866D0"/>
    <w:lvl w:ilvl="0" w:tplc="21C8406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6A010466"/>
    <w:multiLevelType w:val="hybridMultilevel"/>
    <w:tmpl w:val="E7C4E6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75AB7E25"/>
    <w:multiLevelType w:val="hybridMultilevel"/>
    <w:tmpl w:val="368AD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FE1796"/>
    <w:multiLevelType w:val="hybridMultilevel"/>
    <w:tmpl w:val="1DD8450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0"/>
  </w:num>
  <w:num w:numId="4">
    <w:abstractNumId w:val="17"/>
  </w:num>
  <w:num w:numId="5">
    <w:abstractNumId w:val="6"/>
  </w:num>
  <w:num w:numId="6">
    <w:abstractNumId w:val="20"/>
  </w:num>
  <w:num w:numId="7">
    <w:abstractNumId w:val="13"/>
  </w:num>
  <w:num w:numId="8">
    <w:abstractNumId w:val="26"/>
  </w:num>
  <w:num w:numId="9">
    <w:abstractNumId w:val="1"/>
  </w:num>
  <w:num w:numId="10">
    <w:abstractNumId w:val="33"/>
  </w:num>
  <w:num w:numId="11">
    <w:abstractNumId w:val="29"/>
  </w:num>
  <w:num w:numId="12">
    <w:abstractNumId w:val="23"/>
  </w:num>
  <w:num w:numId="13">
    <w:abstractNumId w:val="37"/>
  </w:num>
  <w:num w:numId="14">
    <w:abstractNumId w:val="3"/>
  </w:num>
  <w:num w:numId="15">
    <w:abstractNumId w:val="24"/>
  </w:num>
  <w:num w:numId="16">
    <w:abstractNumId w:val="10"/>
  </w:num>
  <w:num w:numId="17">
    <w:abstractNumId w:val="11"/>
  </w:num>
  <w:num w:numId="18">
    <w:abstractNumId w:val="8"/>
  </w:num>
  <w:num w:numId="19">
    <w:abstractNumId w:val="36"/>
  </w:num>
  <w:num w:numId="20">
    <w:abstractNumId w:val="31"/>
  </w:num>
  <w:num w:numId="21">
    <w:abstractNumId w:val="21"/>
  </w:num>
  <w:num w:numId="22">
    <w:abstractNumId w:val="27"/>
  </w:num>
  <w:num w:numId="23">
    <w:abstractNumId w:val="19"/>
  </w:num>
  <w:num w:numId="24">
    <w:abstractNumId w:val="25"/>
  </w:num>
  <w:num w:numId="25">
    <w:abstractNumId w:val="32"/>
  </w:num>
  <w:num w:numId="26">
    <w:abstractNumId w:val="4"/>
  </w:num>
  <w:num w:numId="27">
    <w:abstractNumId w:val="18"/>
  </w:num>
  <w:num w:numId="28">
    <w:abstractNumId w:val="30"/>
  </w:num>
  <w:num w:numId="29">
    <w:abstractNumId w:val="12"/>
  </w:num>
  <w:num w:numId="30">
    <w:abstractNumId w:val="16"/>
  </w:num>
  <w:num w:numId="31">
    <w:abstractNumId w:val="9"/>
  </w:num>
  <w:num w:numId="32">
    <w:abstractNumId w:val="22"/>
  </w:num>
  <w:num w:numId="33">
    <w:abstractNumId w:val="7"/>
  </w:num>
  <w:num w:numId="34">
    <w:abstractNumId w:val="34"/>
  </w:num>
  <w:num w:numId="35">
    <w:abstractNumId w:val="14"/>
  </w:num>
  <w:num w:numId="36">
    <w:abstractNumId w:val="28"/>
  </w:num>
  <w:num w:numId="37">
    <w:abstractNumId w:val="15"/>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693"/>
    <w:rsid w:val="000B74C5"/>
    <w:rsid w:val="000E2F06"/>
    <w:rsid w:val="000E79ED"/>
    <w:rsid w:val="00124EF0"/>
    <w:rsid w:val="00183550"/>
    <w:rsid w:val="001D2117"/>
    <w:rsid w:val="001F1BAA"/>
    <w:rsid w:val="002503A1"/>
    <w:rsid w:val="00280EB3"/>
    <w:rsid w:val="00397A19"/>
    <w:rsid w:val="003A139E"/>
    <w:rsid w:val="004207E2"/>
    <w:rsid w:val="0048270D"/>
    <w:rsid w:val="00506AB0"/>
    <w:rsid w:val="00590A3D"/>
    <w:rsid w:val="0065441A"/>
    <w:rsid w:val="00691C84"/>
    <w:rsid w:val="0071638C"/>
    <w:rsid w:val="007364A6"/>
    <w:rsid w:val="007D2D6C"/>
    <w:rsid w:val="007E7B31"/>
    <w:rsid w:val="00876D2F"/>
    <w:rsid w:val="008D3AC0"/>
    <w:rsid w:val="009B042F"/>
    <w:rsid w:val="009B55F1"/>
    <w:rsid w:val="009E2FC9"/>
    <w:rsid w:val="00A13FB5"/>
    <w:rsid w:val="00A377F0"/>
    <w:rsid w:val="00A70605"/>
    <w:rsid w:val="00AA260E"/>
    <w:rsid w:val="00AA5126"/>
    <w:rsid w:val="00AD6A24"/>
    <w:rsid w:val="00B04FAB"/>
    <w:rsid w:val="00B158B2"/>
    <w:rsid w:val="00B4434F"/>
    <w:rsid w:val="00B769A4"/>
    <w:rsid w:val="00B865BB"/>
    <w:rsid w:val="00C00888"/>
    <w:rsid w:val="00C05F15"/>
    <w:rsid w:val="00C22641"/>
    <w:rsid w:val="00CD7ACA"/>
    <w:rsid w:val="00CF6091"/>
    <w:rsid w:val="00D4265B"/>
    <w:rsid w:val="00D54117"/>
    <w:rsid w:val="00E66693"/>
    <w:rsid w:val="00EC1D9F"/>
    <w:rsid w:val="00EC5764"/>
    <w:rsid w:val="00F438C9"/>
    <w:rsid w:val="00F5625C"/>
    <w:rsid w:val="00FE2F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5BBCCB7-DF73-4C05-B15C-11B9A1FF9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6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66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6669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666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6669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6669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6669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6669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6669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66693"/>
    <w:rPr>
      <w:color w:val="0563C1" w:themeColor="hyperlink"/>
      <w:u w:val="single"/>
    </w:rPr>
  </w:style>
  <w:style w:type="paragraph" w:styleId="Sinespaciado">
    <w:name w:val="No Spacing"/>
    <w:aliases w:val="Francesa,INAI"/>
    <w:link w:val="SinespaciadoCar"/>
    <w:uiPriority w:val="1"/>
    <w:qFormat/>
    <w:rsid w:val="00E6669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66693"/>
    <w:rPr>
      <w:rFonts w:ascii="Times New Roman" w:eastAsia="Times New Roman" w:hAnsi="Times New Roman" w:cs="Times New Roman"/>
      <w:sz w:val="24"/>
      <w:szCs w:val="24"/>
      <w:lang w:eastAsia="es-ES"/>
    </w:rPr>
  </w:style>
  <w:style w:type="paragraph" w:customStyle="1" w:styleId="infoemcitas">
    <w:name w:val="infoem citas"/>
    <w:basedOn w:val="Normal"/>
    <w:qFormat/>
    <w:rsid w:val="00E66693"/>
    <w:pPr>
      <w:spacing w:before="240" w:line="360" w:lineRule="auto"/>
      <w:ind w:left="851" w:right="851"/>
      <w:jc w:val="both"/>
    </w:pPr>
    <w:rPr>
      <w:rFonts w:ascii="Palatino Linotype" w:hAnsi="Palatino Linotype"/>
      <w:i/>
    </w:rPr>
  </w:style>
  <w:style w:type="paragraph" w:customStyle="1" w:styleId="INFOEM">
    <w:name w:val="INFOEM"/>
    <w:basedOn w:val="Normal"/>
    <w:qFormat/>
    <w:rsid w:val="00E66693"/>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E66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66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7364A6"/>
    <w:pPr>
      <w:spacing w:before="240" w:line="360" w:lineRule="auto"/>
      <w:ind w:left="851" w:right="851"/>
      <w:jc w:val="both"/>
    </w:pPr>
    <w:rPr>
      <w:rFonts w:ascii="Palatino Linotype" w:eastAsia="Times New Roman" w:hAnsi="Palatino Linotype" w:cs="Arial"/>
      <w:i/>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0A3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0A3D"/>
    <w:rPr>
      <w:sz w:val="20"/>
      <w:szCs w:val="20"/>
    </w:rPr>
  </w:style>
  <w:style w:type="paragraph" w:customStyle="1" w:styleId="j">
    <w:name w:val="j"/>
    <w:basedOn w:val="Normal"/>
    <w:rsid w:val="00590A3D"/>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tmp"/><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dle.rae.es/?id=FdI00Or"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tmp"/><Relationship Id="rId5" Type="http://schemas.openxmlformats.org/officeDocument/2006/relationships/footnotes" Target="footnotes.xml"/><Relationship Id="rId15" Type="http://schemas.openxmlformats.org/officeDocument/2006/relationships/image" Target="media/image9.tmp"/><Relationship Id="rId10" Type="http://schemas.openxmlformats.org/officeDocument/2006/relationships/image" Target="media/image5.tmp"/><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hyperlink" Target="about:blank"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dle.rae.es/?id=CAjNzMR" TargetMode="External"/><Relationship Id="rId5" Type="http://schemas.openxmlformats.org/officeDocument/2006/relationships/hyperlink" Target="http://dle.rae.es/?id=VGqyuLj|VGtxgAo|VGuc9Wg"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TotalTime>
  <Pages>70</Pages>
  <Words>15056</Words>
  <Characters>82811</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97672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18</cp:revision>
  <dcterms:created xsi:type="dcterms:W3CDTF">2024-10-23T19:31:00Z</dcterms:created>
  <dcterms:modified xsi:type="dcterms:W3CDTF">2024-12-06T19:29:00Z</dcterms:modified>
</cp:coreProperties>
</file>