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1CACEB" w14:textId="5DBCD447" w:rsidR="008140A4" w:rsidRDefault="008140A4" w:rsidP="008140A4">
      <w:pPr>
        <w:spacing w:before="240" w:line="360" w:lineRule="auto"/>
        <w:jc w:val="both"/>
        <w:rPr>
          <w:rFonts w:ascii="Palatino Linotype" w:eastAsia="Times New Roman" w:hAnsi="Palatino Linotype" w:cs="Arial"/>
          <w:color w:val="000000"/>
          <w:sz w:val="24"/>
          <w:szCs w:val="24"/>
          <w:lang w:eastAsia="es-MX"/>
        </w:rPr>
      </w:pPr>
      <w:bookmarkStart w:id="0" w:name="_Hlk58427858"/>
      <w:bookmarkEnd w:id="0"/>
      <w:r w:rsidRPr="0050375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w:t>
      </w:r>
      <w:r w:rsidRPr="000D0F48">
        <w:rPr>
          <w:rFonts w:ascii="Palatino Linotype" w:eastAsia="Times New Roman" w:hAnsi="Palatino Linotype" w:cs="Arial"/>
          <w:color w:val="000000"/>
          <w:sz w:val="24"/>
          <w:szCs w:val="24"/>
          <w:lang w:eastAsia="es-MX"/>
        </w:rPr>
        <w:t xml:space="preserve">México, a </w:t>
      </w:r>
      <w:r w:rsidR="000B6A4F">
        <w:rPr>
          <w:rFonts w:ascii="Palatino Linotype" w:eastAsia="Times New Roman" w:hAnsi="Palatino Linotype" w:cs="Arial"/>
          <w:color w:val="000000"/>
          <w:sz w:val="24"/>
          <w:szCs w:val="24"/>
          <w:lang w:eastAsia="es-MX"/>
        </w:rPr>
        <w:t>seis</w:t>
      </w:r>
      <w:r>
        <w:rPr>
          <w:rFonts w:ascii="Palatino Linotype" w:eastAsia="Times New Roman" w:hAnsi="Palatino Linotype" w:cs="Arial"/>
          <w:color w:val="000000"/>
          <w:sz w:val="24"/>
          <w:szCs w:val="24"/>
          <w:lang w:eastAsia="es-MX"/>
        </w:rPr>
        <w:t xml:space="preserve"> de marzo de dos mil veinticuatro.                 </w:t>
      </w:r>
    </w:p>
    <w:p w14:paraId="41B902CF" w14:textId="29F4D7C8" w:rsidR="008140A4" w:rsidRPr="008140A4" w:rsidRDefault="008140A4" w:rsidP="008140A4">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Pr>
          <w:rFonts w:ascii="Palatino Linotype" w:hAnsi="Palatino Linotype" w:cs="Arial"/>
          <w:b/>
          <w:sz w:val="24"/>
        </w:rPr>
        <w:t>S</w:t>
      </w:r>
      <w:r>
        <w:rPr>
          <w:rFonts w:ascii="Palatino Linotype" w:hAnsi="Palatino Linotype" w:cs="Arial"/>
          <w:sz w:val="24"/>
        </w:rPr>
        <w:t xml:space="preserve"> los</w:t>
      </w:r>
      <w:r w:rsidRPr="00F403EA">
        <w:rPr>
          <w:rFonts w:ascii="Palatino Linotype" w:hAnsi="Palatino Linotype" w:cs="Arial"/>
          <w:sz w:val="24"/>
        </w:rPr>
        <w:t xml:space="preserve"> expediente</w:t>
      </w:r>
      <w:r>
        <w:rPr>
          <w:rFonts w:ascii="Palatino Linotype" w:hAnsi="Palatino Linotype" w:cs="Arial"/>
          <w:sz w:val="24"/>
        </w:rPr>
        <w:t>s</w:t>
      </w:r>
      <w:r w:rsidRPr="00F403EA">
        <w:rPr>
          <w:rFonts w:ascii="Palatino Linotype" w:hAnsi="Palatino Linotype" w:cs="Arial"/>
          <w:sz w:val="24"/>
        </w:rPr>
        <w:t xml:space="preserve"> electrónico</w:t>
      </w:r>
      <w:r>
        <w:rPr>
          <w:rFonts w:ascii="Palatino Linotype" w:hAnsi="Palatino Linotype" w:cs="Arial"/>
          <w:sz w:val="24"/>
        </w:rPr>
        <w:t>s</w:t>
      </w:r>
      <w:r w:rsidRPr="00F403EA">
        <w:rPr>
          <w:rFonts w:ascii="Palatino Linotype" w:hAnsi="Palatino Linotype" w:cs="Arial"/>
          <w:sz w:val="24"/>
        </w:rPr>
        <w:t xml:space="preserve"> formado</w:t>
      </w:r>
      <w:r>
        <w:rPr>
          <w:rFonts w:ascii="Palatino Linotype" w:hAnsi="Palatino Linotype" w:cs="Arial"/>
          <w:sz w:val="24"/>
        </w:rPr>
        <w:t>s</w:t>
      </w:r>
      <w:r w:rsidRPr="00F403EA">
        <w:rPr>
          <w:rFonts w:ascii="Palatino Linotype" w:hAnsi="Palatino Linotype" w:cs="Arial"/>
          <w:sz w:val="24"/>
        </w:rPr>
        <w:t xml:space="preserve"> con motivo </w:t>
      </w:r>
      <w:r>
        <w:rPr>
          <w:rFonts w:ascii="Palatino Linotype" w:hAnsi="Palatino Linotype" w:cs="Arial"/>
          <w:sz w:val="24"/>
        </w:rPr>
        <w:t xml:space="preserve">de los recursos de revisión </w:t>
      </w:r>
      <w:r w:rsidRPr="00D3218F">
        <w:rPr>
          <w:rFonts w:ascii="Palatino Linotype" w:hAnsi="Palatino Linotype" w:cs="Arial"/>
          <w:sz w:val="24"/>
        </w:rPr>
        <w:t>números</w:t>
      </w:r>
      <w:r>
        <w:rPr>
          <w:rFonts w:ascii="Palatino Linotype" w:hAnsi="Palatino Linotype" w:cs="Arial"/>
          <w:sz w:val="24"/>
        </w:rPr>
        <w:t xml:space="preserve"> </w:t>
      </w:r>
      <w:r>
        <w:rPr>
          <w:rFonts w:ascii="Palatino Linotype" w:hAnsi="Palatino Linotype" w:cs="Arial"/>
          <w:b/>
          <w:bCs/>
          <w:sz w:val="24"/>
        </w:rPr>
        <w:t xml:space="preserve">00200/INFOEM/IP/RR/2024 y 00201/INFOEM/IP/RR/2024, </w:t>
      </w:r>
      <w:r>
        <w:rPr>
          <w:rFonts w:ascii="Palatino Linotype" w:hAnsi="Palatino Linotype" w:cs="Arial"/>
          <w:sz w:val="24"/>
        </w:rPr>
        <w:t xml:space="preserve">interpuestos por el </w:t>
      </w:r>
      <w:r>
        <w:rPr>
          <w:rFonts w:ascii="Palatino Linotype" w:hAnsi="Palatino Linotype" w:cs="Arial"/>
          <w:b/>
          <w:bCs/>
          <w:sz w:val="24"/>
        </w:rPr>
        <w:t xml:space="preserve">C. </w:t>
      </w:r>
      <w:r w:rsidR="00FF36C0">
        <w:rPr>
          <w:rFonts w:ascii="Palatino Linotype" w:hAnsi="Palatino Linotype" w:cs="Arial"/>
          <w:b/>
          <w:bCs/>
          <w:sz w:val="24"/>
        </w:rPr>
        <w:t>XXXXXXXX</w:t>
      </w:r>
      <w:r>
        <w:rPr>
          <w:rFonts w:ascii="Palatino Linotype" w:hAnsi="Palatino Linotype" w:cs="Arial"/>
          <w:b/>
          <w:bCs/>
          <w:sz w:val="24"/>
        </w:rPr>
        <w:t xml:space="preserve">, </w:t>
      </w:r>
      <w:r>
        <w:rPr>
          <w:rFonts w:ascii="Palatino Linotype" w:hAnsi="Palatino Linotype" w:cs="Arial"/>
          <w:sz w:val="24"/>
        </w:rPr>
        <w:t xml:space="preserve">en lo sucesivo </w:t>
      </w:r>
      <w:r>
        <w:rPr>
          <w:rFonts w:ascii="Palatino Linotype" w:hAnsi="Palatino Linotype" w:cs="Arial"/>
          <w:b/>
          <w:bCs/>
          <w:sz w:val="24"/>
        </w:rPr>
        <w:t xml:space="preserve">El Recurrente, </w:t>
      </w:r>
      <w:r>
        <w:rPr>
          <w:rFonts w:ascii="Palatino Linotype" w:hAnsi="Palatino Linotype" w:cs="Arial"/>
          <w:sz w:val="24"/>
        </w:rPr>
        <w:t xml:space="preserve">en contra de las respuestas de la </w:t>
      </w:r>
      <w:r>
        <w:rPr>
          <w:rFonts w:ascii="Palatino Linotype" w:hAnsi="Palatino Linotype" w:cs="Arial"/>
          <w:b/>
          <w:bCs/>
          <w:sz w:val="24"/>
        </w:rPr>
        <w:t xml:space="preserve">Secretaría de Finanzas, </w:t>
      </w:r>
      <w:r>
        <w:rPr>
          <w:rFonts w:ascii="Palatino Linotype" w:hAnsi="Palatino Linotype" w:cs="Arial"/>
          <w:sz w:val="24"/>
        </w:rPr>
        <w:t xml:space="preserve">en lo subsecuente </w:t>
      </w:r>
      <w:r>
        <w:rPr>
          <w:rFonts w:ascii="Palatino Linotype" w:hAnsi="Palatino Linotype" w:cs="Arial"/>
          <w:b/>
          <w:bCs/>
          <w:sz w:val="24"/>
        </w:rPr>
        <w:t xml:space="preserve">El Sujeto Obligado, </w:t>
      </w:r>
      <w:r>
        <w:rPr>
          <w:rFonts w:ascii="Palatino Linotype" w:hAnsi="Palatino Linotype" w:cs="Arial"/>
          <w:sz w:val="24"/>
        </w:rPr>
        <w:t xml:space="preserve">se procede a dictar la presente resolución. </w:t>
      </w:r>
    </w:p>
    <w:p w14:paraId="73C436FA" w14:textId="77777777" w:rsidR="008140A4" w:rsidRDefault="008140A4" w:rsidP="008140A4">
      <w:pPr>
        <w:tabs>
          <w:tab w:val="left" w:pos="1701"/>
        </w:tabs>
        <w:spacing w:before="240" w:line="360" w:lineRule="auto"/>
        <w:jc w:val="both"/>
        <w:rPr>
          <w:rFonts w:ascii="Palatino Linotype" w:hAnsi="Palatino Linotype" w:cs="Arial"/>
          <w:sz w:val="24"/>
        </w:rPr>
      </w:pPr>
    </w:p>
    <w:p w14:paraId="497E1BC4" w14:textId="77777777" w:rsidR="008140A4" w:rsidRPr="00D3218F" w:rsidRDefault="008140A4" w:rsidP="008140A4">
      <w:pPr>
        <w:spacing w:before="240" w:after="240" w:line="360" w:lineRule="auto"/>
        <w:jc w:val="center"/>
        <w:rPr>
          <w:rFonts w:ascii="Palatino Linotype" w:hAnsi="Palatino Linotype"/>
          <w:b/>
          <w:sz w:val="28"/>
        </w:rPr>
      </w:pPr>
      <w:r w:rsidRPr="00D3218F">
        <w:rPr>
          <w:rFonts w:ascii="Palatino Linotype" w:hAnsi="Palatino Linotype"/>
          <w:b/>
          <w:sz w:val="28"/>
        </w:rPr>
        <w:t>A N T E C E D E N T E S   D E L   A S U N T O</w:t>
      </w:r>
    </w:p>
    <w:p w14:paraId="05FC0D4A" w14:textId="77777777" w:rsidR="008140A4" w:rsidRPr="00D3218F" w:rsidRDefault="008140A4" w:rsidP="008140A4">
      <w:pPr>
        <w:spacing w:before="240" w:after="240" w:line="360" w:lineRule="auto"/>
        <w:jc w:val="both"/>
        <w:rPr>
          <w:rFonts w:ascii="Palatino Linotype" w:hAnsi="Palatino Linotype"/>
        </w:rPr>
      </w:pPr>
      <w:r w:rsidRPr="00D3218F">
        <w:rPr>
          <w:rFonts w:ascii="Palatino Linotype" w:hAnsi="Palatino Linotype" w:cs="Arial"/>
          <w:b/>
          <w:sz w:val="28"/>
        </w:rPr>
        <w:t>PRIMERO.</w:t>
      </w:r>
      <w:r w:rsidRPr="00D3218F">
        <w:rPr>
          <w:rFonts w:ascii="Palatino Linotype" w:hAnsi="Palatino Linotype" w:cs="Arial"/>
        </w:rPr>
        <w:t xml:space="preserve"> </w:t>
      </w:r>
      <w:r w:rsidRPr="00D3218F">
        <w:rPr>
          <w:rFonts w:ascii="Palatino Linotype" w:hAnsi="Palatino Linotype"/>
          <w:b/>
          <w:sz w:val="28"/>
          <w:szCs w:val="28"/>
        </w:rPr>
        <w:t>De la Solicitud de Información.</w:t>
      </w:r>
    </w:p>
    <w:p w14:paraId="5440A690" w14:textId="508A9109" w:rsidR="008140A4" w:rsidRDefault="008140A4" w:rsidP="008140A4">
      <w:pPr>
        <w:spacing w:before="240" w:line="360" w:lineRule="auto"/>
        <w:jc w:val="both"/>
        <w:rPr>
          <w:rFonts w:ascii="Palatino Linotype" w:hAnsi="Palatino Linotype" w:cs="Arial"/>
          <w:sz w:val="24"/>
        </w:rPr>
      </w:pPr>
      <w:r w:rsidRPr="00D3218F">
        <w:rPr>
          <w:rFonts w:ascii="Palatino Linotype" w:hAnsi="Palatino Linotype" w:cs="Arial"/>
          <w:sz w:val="24"/>
        </w:rPr>
        <w:t>Con fecha</w:t>
      </w:r>
      <w:r>
        <w:rPr>
          <w:rFonts w:ascii="Palatino Linotype" w:hAnsi="Palatino Linotype" w:cs="Arial"/>
          <w:sz w:val="24"/>
        </w:rPr>
        <w:t xml:space="preserve"> ocho de diciembre de dos mil veintitrés, </w:t>
      </w:r>
      <w:r>
        <w:rPr>
          <w:rFonts w:ascii="Palatino Linotype" w:hAnsi="Palatino Linotype" w:cs="Arial"/>
          <w:b/>
          <w:bCs/>
          <w:sz w:val="24"/>
        </w:rPr>
        <w:t xml:space="preserve">El Recurrente, </w:t>
      </w:r>
      <w:r>
        <w:rPr>
          <w:rFonts w:ascii="Palatino Linotype" w:hAnsi="Palatino Linotype" w:cs="Arial"/>
          <w:sz w:val="24"/>
        </w:rPr>
        <w:t xml:space="preserve">presentó a través del Sistema de Acceso a la Información Mexiquense </w:t>
      </w:r>
      <w:r w:rsidRPr="00D3218F">
        <w:rPr>
          <w:rFonts w:ascii="Palatino Linotype" w:hAnsi="Palatino Linotype" w:cs="Arial"/>
          <w:sz w:val="24"/>
        </w:rPr>
        <w:t>(</w:t>
      </w:r>
      <w:r w:rsidRPr="00D3218F">
        <w:rPr>
          <w:rFonts w:ascii="Palatino Linotype" w:hAnsi="Palatino Linotype" w:cs="Arial"/>
          <w:b/>
          <w:sz w:val="24"/>
        </w:rPr>
        <w:t>SAIMEX)</w:t>
      </w:r>
      <w:r w:rsidRPr="00D3218F">
        <w:rPr>
          <w:rFonts w:ascii="Palatino Linotype" w:hAnsi="Palatino Linotype" w:cs="Arial"/>
          <w:sz w:val="24"/>
        </w:rPr>
        <w:t xml:space="preserve"> ante </w:t>
      </w:r>
      <w:r w:rsidRPr="00D3218F">
        <w:rPr>
          <w:rFonts w:ascii="Palatino Linotype" w:hAnsi="Palatino Linotype" w:cs="Arial"/>
          <w:b/>
          <w:sz w:val="24"/>
        </w:rPr>
        <w:t>El Sujeto Obligado</w:t>
      </w:r>
      <w:r w:rsidRPr="00D3218F">
        <w:rPr>
          <w:rFonts w:ascii="Palatino Linotype" w:hAnsi="Palatino Linotype" w:cs="Arial"/>
          <w:sz w:val="24"/>
        </w:rPr>
        <w:t xml:space="preserve">, las solicitudes de acceso a la información pública, registradas bajo los números de </w:t>
      </w:r>
      <w:r w:rsidRPr="00124807">
        <w:rPr>
          <w:rFonts w:ascii="Palatino Linotype" w:hAnsi="Palatino Linotype" w:cs="Arial"/>
          <w:sz w:val="24"/>
        </w:rPr>
        <w:t>expediente</w:t>
      </w:r>
      <w:r>
        <w:rPr>
          <w:rFonts w:ascii="Palatino Linotype" w:hAnsi="Palatino Linotype" w:cs="Arial"/>
          <w:sz w:val="24"/>
        </w:rPr>
        <w:t xml:space="preserve"> </w:t>
      </w:r>
      <w:r>
        <w:rPr>
          <w:rFonts w:ascii="Palatino Linotype" w:hAnsi="Palatino Linotype" w:cs="Arial"/>
          <w:b/>
          <w:bCs/>
          <w:sz w:val="24"/>
        </w:rPr>
        <w:t xml:space="preserve">01315/SF/IP/2023 </w:t>
      </w:r>
      <w:r>
        <w:rPr>
          <w:rFonts w:ascii="Palatino Linotype" w:hAnsi="Palatino Linotype" w:cs="Arial"/>
          <w:sz w:val="24"/>
        </w:rPr>
        <w:t xml:space="preserve">y </w:t>
      </w:r>
      <w:r>
        <w:rPr>
          <w:rFonts w:ascii="Palatino Linotype" w:hAnsi="Palatino Linotype" w:cs="Arial"/>
          <w:b/>
          <w:bCs/>
          <w:sz w:val="24"/>
        </w:rPr>
        <w:t xml:space="preserve">01314/SF/IP/2023, </w:t>
      </w:r>
      <w:r>
        <w:rPr>
          <w:rFonts w:ascii="Palatino Linotype" w:hAnsi="Palatino Linotype" w:cs="Arial"/>
          <w:sz w:val="24"/>
        </w:rPr>
        <w:t xml:space="preserve">mediante los cuales solicitó información en el tenor siguiente: </w:t>
      </w:r>
    </w:p>
    <w:p w14:paraId="4C68E077" w14:textId="77777777" w:rsidR="008140A4" w:rsidRDefault="008140A4" w:rsidP="008140A4">
      <w:pPr>
        <w:spacing w:before="240" w:line="360" w:lineRule="auto"/>
        <w:jc w:val="both"/>
        <w:rPr>
          <w:rFonts w:ascii="Palatino Linotype" w:hAnsi="Palatino Linotype" w:cs="Arial"/>
          <w:sz w:val="24"/>
        </w:rPr>
      </w:pPr>
      <w:r>
        <w:rPr>
          <w:rFonts w:ascii="Palatino Linotype" w:hAnsi="Palatino Linotype" w:cs="Arial"/>
          <w:b/>
          <w:bCs/>
          <w:sz w:val="24"/>
        </w:rPr>
        <w:t xml:space="preserve">01315/SF/IP/2023 </w:t>
      </w:r>
    </w:p>
    <w:p w14:paraId="11C3F63C" w14:textId="00C0E774" w:rsidR="008140A4" w:rsidRPr="008140A4" w:rsidRDefault="008140A4" w:rsidP="008140A4">
      <w:pPr>
        <w:pStyle w:val="Citas"/>
        <w:rPr>
          <w:b/>
          <w:bCs/>
          <w:sz w:val="24"/>
        </w:rPr>
      </w:pPr>
      <w:r>
        <w:t xml:space="preserve">“Los recibos de nómina en versión pública de RODRIGO MURILLO BERRUM correspondiente a los ejercicios 2018, 2019, 2020, 2021, 2022 y 2023. Así mismo </w:t>
      </w:r>
      <w:r>
        <w:lastRenderedPageBreak/>
        <w:t xml:space="preserve">Solicito se me informe el sueldo y las prestaciones que tanto ordinaria como extraordinariamente recibe RODRIGO MURILLO BERRUM de manera quincenal, mensual y anual” </w:t>
      </w:r>
      <w:r>
        <w:rPr>
          <w:b/>
          <w:bCs/>
        </w:rPr>
        <w:t>(Sic)</w:t>
      </w:r>
    </w:p>
    <w:p w14:paraId="461427C8" w14:textId="25CA2634" w:rsidR="008140A4" w:rsidRPr="008140A4" w:rsidRDefault="008140A4" w:rsidP="008140A4">
      <w:pPr>
        <w:spacing w:before="240" w:line="360" w:lineRule="auto"/>
        <w:jc w:val="both"/>
        <w:rPr>
          <w:rFonts w:ascii="Palatino Linotype" w:hAnsi="Palatino Linotype" w:cs="Arial"/>
          <w:sz w:val="24"/>
        </w:rPr>
      </w:pPr>
      <w:r>
        <w:rPr>
          <w:rFonts w:ascii="Palatino Linotype" w:hAnsi="Palatino Linotype" w:cs="Arial"/>
          <w:b/>
          <w:bCs/>
          <w:sz w:val="24"/>
        </w:rPr>
        <w:t>01314/SF/IP/2023</w:t>
      </w:r>
    </w:p>
    <w:p w14:paraId="51245437" w14:textId="63A0CE5F" w:rsidR="008140A4" w:rsidRPr="008140A4" w:rsidRDefault="008140A4" w:rsidP="008140A4">
      <w:pPr>
        <w:pStyle w:val="Citas"/>
        <w:rPr>
          <w:b/>
          <w:bCs/>
          <w:sz w:val="24"/>
        </w:rPr>
      </w:pPr>
      <w:r>
        <w:t xml:space="preserve">“Los recibos de nómina en versión pública de RODRIGO MURILLO BERRUM correspondiente a los ejercicios 2018, 2019, 2020, 2021 y 2023. Así mismo Solicito se me informe el sueldo y las prestaciones que tanto ordinaria como extraordinariamente recibe RODRIGO MURILLO BERRUM de manera quincenal, mensual y anual” </w:t>
      </w:r>
      <w:r>
        <w:rPr>
          <w:b/>
          <w:bCs/>
        </w:rPr>
        <w:t xml:space="preserve">(Sic) </w:t>
      </w:r>
    </w:p>
    <w:p w14:paraId="7DE91FE9" w14:textId="77777777" w:rsidR="008140A4" w:rsidRDefault="008140A4" w:rsidP="008140A4">
      <w:pPr>
        <w:spacing w:before="240" w:line="360" w:lineRule="auto"/>
        <w:ind w:right="850"/>
        <w:jc w:val="both"/>
        <w:rPr>
          <w:rFonts w:ascii="Palatino Linotype" w:eastAsia="Times New Roman" w:hAnsi="Palatino Linotype" w:cs="Times New Roman"/>
          <w:sz w:val="24"/>
          <w:szCs w:val="24"/>
          <w:lang w:val="es-ES_tradnl" w:eastAsia="es-ES"/>
        </w:rPr>
      </w:pPr>
      <w:r w:rsidRPr="004A3EE0">
        <w:rPr>
          <w:rFonts w:ascii="Palatino Linotype" w:eastAsia="Times New Roman" w:hAnsi="Palatino Linotype" w:cs="Times New Roman"/>
          <w:b/>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 xml:space="preserve">A través del SAIMEX, en los dos casos.  </w:t>
      </w:r>
    </w:p>
    <w:p w14:paraId="737A2454" w14:textId="77777777" w:rsidR="008140A4" w:rsidRDefault="008140A4" w:rsidP="008140A4">
      <w:pPr>
        <w:spacing w:before="240" w:line="360" w:lineRule="auto"/>
        <w:ind w:right="850"/>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 xml:space="preserve">   </w:t>
      </w:r>
    </w:p>
    <w:p w14:paraId="2FD09FEE" w14:textId="77777777" w:rsidR="008140A4" w:rsidRDefault="008140A4" w:rsidP="008140A4">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218C30D2" w14:textId="0F590112" w:rsidR="008140A4" w:rsidRDefault="008140A4" w:rsidP="008140A4">
      <w:pPr>
        <w:pStyle w:val="Prrafodelista"/>
        <w:spacing w:after="240" w:line="360" w:lineRule="auto"/>
        <w:ind w:left="0"/>
        <w:jc w:val="both"/>
        <w:rPr>
          <w:rFonts w:ascii="Palatino Linotype" w:hAnsi="Palatino Linotype" w:cs="Arial"/>
        </w:rPr>
      </w:pPr>
      <w:r w:rsidRPr="00BB3002">
        <w:rPr>
          <w:rFonts w:ascii="Palatino Linotype" w:hAnsi="Palatino Linotype" w:cs="Arial"/>
        </w:rPr>
        <w:t xml:space="preserve">De las constancias de los expedientes electrónicos del </w:t>
      </w:r>
      <w:r w:rsidRPr="00BB3002">
        <w:rPr>
          <w:rFonts w:ascii="Palatino Linotype" w:hAnsi="Palatino Linotype" w:cs="Arial"/>
          <w:b/>
        </w:rPr>
        <w:t xml:space="preserve">SAIMEX, </w:t>
      </w:r>
      <w:r w:rsidRPr="00BB3002">
        <w:rPr>
          <w:rFonts w:ascii="Palatino Linotype" w:hAnsi="Palatino Linotype" w:cs="Arial"/>
        </w:rPr>
        <w:t xml:space="preserve">se advierte que </w:t>
      </w:r>
      <w:r w:rsidRPr="00BB3002">
        <w:rPr>
          <w:rFonts w:ascii="Palatino Linotype" w:hAnsi="Palatino Linotype" w:cs="Arial"/>
          <w:b/>
        </w:rPr>
        <w:t xml:space="preserve">El Sujeto Obligado </w:t>
      </w:r>
      <w:r w:rsidRPr="00BB3002">
        <w:rPr>
          <w:rFonts w:ascii="Palatino Linotype" w:hAnsi="Palatino Linotype" w:cs="Arial"/>
        </w:rPr>
        <w:t>emitió respuestas</w:t>
      </w:r>
      <w:r>
        <w:rPr>
          <w:rFonts w:ascii="Palatino Linotype" w:hAnsi="Palatino Linotype" w:cs="Arial"/>
        </w:rPr>
        <w:t xml:space="preserve"> coincidentes a las solicitudes de información, en fecha </w:t>
      </w:r>
      <w:r>
        <w:rPr>
          <w:rFonts w:ascii="Palatino Linotype" w:hAnsi="Palatino Linotype" w:cs="Arial"/>
          <w:b/>
          <w:bCs/>
        </w:rPr>
        <w:t xml:space="preserve">dieciocho de enero de dos mil veinticuatro, </w:t>
      </w:r>
      <w:r>
        <w:rPr>
          <w:rFonts w:ascii="Palatino Linotype" w:hAnsi="Palatino Linotype" w:cs="Arial"/>
        </w:rPr>
        <w:t xml:space="preserve">resultando de nuestro interés lo siguiente: </w:t>
      </w:r>
    </w:p>
    <w:p w14:paraId="391AD121" w14:textId="00DF04BE" w:rsidR="008140A4" w:rsidRDefault="008140A4" w:rsidP="008140A4">
      <w:pPr>
        <w:pStyle w:val="Citas"/>
      </w:pPr>
      <w:r>
        <w:t>“En respuesta a la solicitud recibida, nos permitimos hacer de su conocimiento que con fundamento en el artículo 53, Fracciones: II, V y VI de la Ley de Transparencia y Acceso a la Información Pública del Estado de México y Municipios, le contestamos que:</w:t>
      </w:r>
    </w:p>
    <w:p w14:paraId="4964464A" w14:textId="487E7D38" w:rsidR="008140A4" w:rsidRPr="008140A4" w:rsidRDefault="008140A4" w:rsidP="008140A4">
      <w:pPr>
        <w:pStyle w:val="Citas"/>
        <w:rPr>
          <w:b/>
          <w:bCs/>
        </w:rPr>
      </w:pPr>
      <w:r>
        <w:lastRenderedPageBreak/>
        <w:t xml:space="preserve">Sobre el particular, sírvase encontrar en archivo adjunto copia del oficio de notificación número 20700004S/UT-0262/2024 mediante el cual se detalla lo referente a su solicitud, así como el acuerdo de clasificación número CT-2024-0002 emitido por el Comité de Transparencia de este Sujeto Obligado” </w:t>
      </w:r>
      <w:r>
        <w:rPr>
          <w:b/>
          <w:bCs/>
        </w:rPr>
        <w:t>(Sic)</w:t>
      </w:r>
    </w:p>
    <w:p w14:paraId="302A9397" w14:textId="77777777" w:rsidR="008140A4" w:rsidRDefault="008140A4" w:rsidP="008140A4">
      <w:pPr>
        <w:pStyle w:val="Prrafodelista"/>
        <w:spacing w:after="240" w:line="360" w:lineRule="auto"/>
        <w:ind w:left="0"/>
        <w:jc w:val="both"/>
        <w:rPr>
          <w:rFonts w:ascii="Palatino Linotype" w:hAnsi="Palatino Linotype" w:cs="Arial"/>
        </w:rPr>
      </w:pPr>
    </w:p>
    <w:p w14:paraId="5A38A1B9" w14:textId="77777777" w:rsidR="008140A4" w:rsidRDefault="008140A4" w:rsidP="008140A4">
      <w:pPr>
        <w:pStyle w:val="Prrafodelista"/>
        <w:spacing w:after="240" w:line="360" w:lineRule="auto"/>
        <w:ind w:left="0"/>
        <w:jc w:val="both"/>
        <w:rPr>
          <w:rFonts w:ascii="Palatino Linotype" w:hAnsi="Palatino Linotype" w:cs="Arial"/>
        </w:rPr>
      </w:pPr>
    </w:p>
    <w:p w14:paraId="49A129F9" w14:textId="77777777" w:rsidR="008140A4" w:rsidRDefault="008140A4" w:rsidP="008140A4">
      <w:pPr>
        <w:pStyle w:val="Prrafodelista"/>
        <w:spacing w:after="240" w:line="360" w:lineRule="auto"/>
        <w:ind w:left="0"/>
        <w:jc w:val="both"/>
        <w:rPr>
          <w:rFonts w:ascii="Palatino Linotype" w:hAnsi="Palatino Linotype" w:cs="Arial"/>
          <w:lang w:val="es-MX"/>
        </w:rPr>
      </w:pPr>
      <w:r>
        <w:rPr>
          <w:rFonts w:ascii="Palatino Linotype" w:hAnsi="Palatino Linotype" w:cs="Arial"/>
          <w:lang w:val="es-MX"/>
        </w:rPr>
        <w:t>Adjuntando para tal efecto los siguientes documentos electrónicos:</w:t>
      </w:r>
    </w:p>
    <w:p w14:paraId="46D40149" w14:textId="77777777" w:rsidR="008140A4" w:rsidRDefault="008140A4" w:rsidP="008140A4">
      <w:pPr>
        <w:pStyle w:val="Prrafodelista"/>
        <w:spacing w:after="240" w:line="360" w:lineRule="auto"/>
        <w:ind w:left="0"/>
        <w:jc w:val="both"/>
        <w:rPr>
          <w:rFonts w:ascii="Palatino Linotype" w:hAnsi="Palatino Linotype" w:cs="Arial"/>
          <w:lang w:val="es-MX"/>
        </w:rPr>
      </w:pPr>
    </w:p>
    <w:tbl>
      <w:tblPr>
        <w:tblStyle w:val="Tablaconcuadrcula"/>
        <w:tblW w:w="0" w:type="auto"/>
        <w:tblLook w:val="04A0" w:firstRow="1" w:lastRow="0" w:firstColumn="1" w:lastColumn="0" w:noHBand="0" w:noVBand="1"/>
      </w:tblPr>
      <w:tblGrid>
        <w:gridCol w:w="4531"/>
        <w:gridCol w:w="4531"/>
      </w:tblGrid>
      <w:tr w:rsidR="008140A4" w14:paraId="272A522B" w14:textId="77777777" w:rsidTr="00DE0E3F">
        <w:tc>
          <w:tcPr>
            <w:tcW w:w="4531" w:type="dxa"/>
            <w:vAlign w:val="center"/>
          </w:tcPr>
          <w:p w14:paraId="4E422077" w14:textId="2E4824C2" w:rsidR="008140A4" w:rsidRPr="00DE0E3F" w:rsidRDefault="008140A4" w:rsidP="00DE0E3F">
            <w:pPr>
              <w:pStyle w:val="Prrafodelista"/>
              <w:spacing w:after="240" w:line="360" w:lineRule="auto"/>
              <w:ind w:left="0"/>
              <w:jc w:val="center"/>
              <w:rPr>
                <w:rFonts w:ascii="Palatino Linotype" w:hAnsi="Palatino Linotype" w:cs="Arial"/>
                <w:b/>
                <w:bCs/>
                <w:lang w:val="es-MX"/>
              </w:rPr>
            </w:pPr>
            <w:r w:rsidRPr="00DE0E3F">
              <w:rPr>
                <w:rFonts w:ascii="Palatino Linotype" w:hAnsi="Palatino Linotype" w:cs="Arial"/>
                <w:b/>
                <w:bCs/>
                <w:lang w:val="es-MX"/>
              </w:rPr>
              <w:t>01315/SF/IP/2023</w:t>
            </w:r>
          </w:p>
        </w:tc>
        <w:tc>
          <w:tcPr>
            <w:tcW w:w="4531" w:type="dxa"/>
          </w:tcPr>
          <w:p w14:paraId="2895F0B4" w14:textId="77777777" w:rsidR="008140A4" w:rsidRPr="00DE0E3F" w:rsidRDefault="008140A4" w:rsidP="00A23E34">
            <w:pPr>
              <w:pStyle w:val="Prrafodelista"/>
              <w:spacing w:after="240" w:line="360" w:lineRule="auto"/>
              <w:ind w:left="0"/>
              <w:jc w:val="center"/>
              <w:rPr>
                <w:rFonts w:ascii="Palatino Linotype" w:hAnsi="Palatino Linotype" w:cs="Arial"/>
                <w:b/>
                <w:bCs/>
                <w:lang w:val="es-MX"/>
              </w:rPr>
            </w:pPr>
            <w:r w:rsidRPr="00DE0E3F">
              <w:rPr>
                <w:rFonts w:ascii="Palatino Linotype" w:hAnsi="Palatino Linotype" w:cs="Arial"/>
                <w:b/>
                <w:bCs/>
                <w:lang w:val="es-MX"/>
              </w:rPr>
              <w:t>“1315 PERSONAL.pdf”</w:t>
            </w:r>
          </w:p>
          <w:p w14:paraId="3912C292" w14:textId="77777777" w:rsidR="008140A4" w:rsidRPr="00DE0E3F" w:rsidRDefault="008140A4" w:rsidP="00A23E34">
            <w:pPr>
              <w:pStyle w:val="Prrafodelista"/>
              <w:spacing w:after="240" w:line="360" w:lineRule="auto"/>
              <w:ind w:left="0"/>
              <w:jc w:val="center"/>
              <w:rPr>
                <w:rFonts w:ascii="Palatino Linotype" w:hAnsi="Palatino Linotype" w:cs="Arial"/>
                <w:b/>
                <w:bCs/>
                <w:lang w:val="es-MX"/>
              </w:rPr>
            </w:pPr>
            <w:r w:rsidRPr="00DE0E3F">
              <w:rPr>
                <w:rFonts w:ascii="Palatino Linotype" w:hAnsi="Palatino Linotype" w:cs="Arial"/>
                <w:b/>
                <w:bCs/>
                <w:lang w:val="es-MX"/>
              </w:rPr>
              <w:t>“1315 solicitante firma.pdf”</w:t>
            </w:r>
          </w:p>
          <w:p w14:paraId="59E451FE" w14:textId="211DFBE4" w:rsidR="008140A4" w:rsidRPr="00DE0E3F" w:rsidRDefault="008140A4" w:rsidP="00A23E34">
            <w:pPr>
              <w:pStyle w:val="Prrafodelista"/>
              <w:spacing w:after="240" w:line="360" w:lineRule="auto"/>
              <w:ind w:left="0"/>
              <w:jc w:val="center"/>
              <w:rPr>
                <w:rFonts w:ascii="Palatino Linotype" w:hAnsi="Palatino Linotype" w:cs="Arial"/>
                <w:b/>
                <w:bCs/>
                <w:lang w:val="es-MX"/>
              </w:rPr>
            </w:pPr>
            <w:r w:rsidRPr="00DE0E3F">
              <w:rPr>
                <w:rFonts w:ascii="Palatino Linotype" w:hAnsi="Palatino Linotype" w:cs="Arial"/>
                <w:b/>
                <w:bCs/>
                <w:lang w:val="es-MX"/>
              </w:rPr>
              <w:t>“CT-2024-0002.pdf”</w:t>
            </w:r>
          </w:p>
        </w:tc>
      </w:tr>
      <w:tr w:rsidR="008140A4" w14:paraId="7D49E9C8" w14:textId="77777777" w:rsidTr="00DE0E3F">
        <w:tc>
          <w:tcPr>
            <w:tcW w:w="4531" w:type="dxa"/>
            <w:vAlign w:val="center"/>
          </w:tcPr>
          <w:p w14:paraId="1D9F0DBF" w14:textId="40CCE1F6" w:rsidR="008140A4" w:rsidRPr="00DE0E3F" w:rsidRDefault="008140A4" w:rsidP="00DE0E3F">
            <w:pPr>
              <w:pStyle w:val="Prrafodelista"/>
              <w:spacing w:after="240" w:line="360" w:lineRule="auto"/>
              <w:ind w:left="0"/>
              <w:jc w:val="center"/>
              <w:rPr>
                <w:rFonts w:ascii="Palatino Linotype" w:hAnsi="Palatino Linotype" w:cs="Arial"/>
                <w:b/>
                <w:bCs/>
                <w:lang w:val="es-MX"/>
              </w:rPr>
            </w:pPr>
            <w:r w:rsidRPr="00DE0E3F">
              <w:rPr>
                <w:rFonts w:ascii="Palatino Linotype" w:hAnsi="Palatino Linotype" w:cs="Arial"/>
                <w:b/>
                <w:bCs/>
                <w:lang w:val="es-MX"/>
              </w:rPr>
              <w:t>01314/SF/IP/2023</w:t>
            </w:r>
          </w:p>
        </w:tc>
        <w:tc>
          <w:tcPr>
            <w:tcW w:w="4531" w:type="dxa"/>
          </w:tcPr>
          <w:p w14:paraId="38FBDFC6" w14:textId="77777777" w:rsidR="008140A4" w:rsidRPr="00DE0E3F" w:rsidRDefault="008140A4" w:rsidP="00A23E34">
            <w:pPr>
              <w:pStyle w:val="Prrafodelista"/>
              <w:spacing w:after="240" w:line="360" w:lineRule="auto"/>
              <w:ind w:left="0"/>
              <w:jc w:val="center"/>
              <w:rPr>
                <w:rFonts w:ascii="Palatino Linotype" w:hAnsi="Palatino Linotype" w:cs="Arial"/>
                <w:b/>
                <w:bCs/>
                <w:lang w:val="es-MX"/>
              </w:rPr>
            </w:pPr>
            <w:r w:rsidRPr="00DE0E3F">
              <w:rPr>
                <w:rFonts w:ascii="Palatino Linotype" w:hAnsi="Palatino Linotype" w:cs="Arial"/>
                <w:b/>
                <w:bCs/>
                <w:lang w:val="es-MX"/>
              </w:rPr>
              <w:t>“</w:t>
            </w:r>
            <w:r w:rsidR="00DE0E3F" w:rsidRPr="00DE0E3F">
              <w:rPr>
                <w:rFonts w:ascii="Palatino Linotype" w:hAnsi="Palatino Linotype" w:cs="Arial"/>
                <w:b/>
                <w:bCs/>
                <w:lang w:val="es-MX"/>
              </w:rPr>
              <w:t>1314 PERSONAL.pdf”</w:t>
            </w:r>
          </w:p>
          <w:p w14:paraId="04510300" w14:textId="77777777" w:rsidR="00DE0E3F" w:rsidRPr="00DE0E3F" w:rsidRDefault="00DE0E3F" w:rsidP="00A23E34">
            <w:pPr>
              <w:pStyle w:val="Prrafodelista"/>
              <w:spacing w:after="240" w:line="360" w:lineRule="auto"/>
              <w:ind w:left="0"/>
              <w:jc w:val="center"/>
              <w:rPr>
                <w:rFonts w:ascii="Palatino Linotype" w:hAnsi="Palatino Linotype" w:cs="Arial"/>
                <w:b/>
                <w:bCs/>
                <w:lang w:val="es-MX"/>
              </w:rPr>
            </w:pPr>
            <w:r w:rsidRPr="00DE0E3F">
              <w:rPr>
                <w:rFonts w:ascii="Palatino Linotype" w:hAnsi="Palatino Linotype" w:cs="Arial"/>
                <w:b/>
                <w:bCs/>
                <w:lang w:val="es-MX"/>
              </w:rPr>
              <w:t>“CT-2024-0001.pdf”</w:t>
            </w:r>
          </w:p>
          <w:p w14:paraId="79DF0EDB" w14:textId="11632011" w:rsidR="00DE0E3F" w:rsidRPr="00DE0E3F" w:rsidRDefault="00DE0E3F" w:rsidP="00A23E34">
            <w:pPr>
              <w:pStyle w:val="Prrafodelista"/>
              <w:spacing w:after="240" w:line="360" w:lineRule="auto"/>
              <w:ind w:left="0"/>
              <w:jc w:val="center"/>
              <w:rPr>
                <w:rFonts w:ascii="Palatino Linotype" w:hAnsi="Palatino Linotype" w:cs="Arial"/>
                <w:b/>
                <w:bCs/>
                <w:lang w:val="es-MX"/>
              </w:rPr>
            </w:pPr>
            <w:r w:rsidRPr="00DE0E3F">
              <w:rPr>
                <w:rFonts w:ascii="Palatino Linotype" w:hAnsi="Palatino Linotype" w:cs="Arial"/>
                <w:b/>
                <w:bCs/>
                <w:lang w:val="es-MX"/>
              </w:rPr>
              <w:t>“SOLICITANTE 1314.docx”</w:t>
            </w:r>
          </w:p>
        </w:tc>
      </w:tr>
    </w:tbl>
    <w:p w14:paraId="179A922C" w14:textId="77777777" w:rsidR="008140A4" w:rsidRPr="0071533F" w:rsidRDefault="008140A4" w:rsidP="008140A4">
      <w:pPr>
        <w:pStyle w:val="Prrafodelista"/>
        <w:spacing w:after="240" w:line="360" w:lineRule="auto"/>
        <w:ind w:left="0"/>
        <w:jc w:val="both"/>
        <w:rPr>
          <w:rFonts w:ascii="Palatino Linotype" w:hAnsi="Palatino Linotype" w:cs="Arial"/>
          <w:lang w:val="es-MX"/>
        </w:rPr>
      </w:pPr>
    </w:p>
    <w:p w14:paraId="1FE666D9" w14:textId="77777777" w:rsidR="008140A4" w:rsidRDefault="008140A4" w:rsidP="008140A4">
      <w:pPr>
        <w:pStyle w:val="Prrafodelista"/>
        <w:spacing w:after="240" w:line="360" w:lineRule="auto"/>
        <w:ind w:left="0"/>
        <w:jc w:val="both"/>
        <w:rPr>
          <w:rFonts w:ascii="Palatino Linotype" w:hAnsi="Palatino Linotype" w:cs="Arial"/>
        </w:rPr>
      </w:pPr>
      <w:r>
        <w:rPr>
          <w:rFonts w:ascii="Palatino Linotype" w:hAnsi="Palatino Linotype" w:cs="Arial"/>
        </w:rPr>
        <w:t xml:space="preserve">Soportes documentales que se tienen por reproducidos en virtud de que serán materia de análisis en el considerando respectivo. </w:t>
      </w:r>
    </w:p>
    <w:p w14:paraId="6F9FBB27" w14:textId="77777777" w:rsidR="008140A4" w:rsidRDefault="008140A4" w:rsidP="008140A4">
      <w:pPr>
        <w:pStyle w:val="Prrafodelista"/>
        <w:spacing w:after="240" w:line="360" w:lineRule="auto"/>
        <w:ind w:left="0"/>
        <w:jc w:val="both"/>
        <w:rPr>
          <w:rFonts w:ascii="Palatino Linotype" w:hAnsi="Palatino Linotype" w:cs="Arial"/>
          <w:b/>
          <w:sz w:val="28"/>
        </w:rPr>
      </w:pPr>
      <w:r>
        <w:rPr>
          <w:rFonts w:ascii="Palatino Linotype" w:hAnsi="Palatino Linotype" w:cs="Arial"/>
          <w:b/>
          <w:sz w:val="28"/>
        </w:rPr>
        <w:lastRenderedPageBreak/>
        <w:t xml:space="preserve">TERCERO. </w:t>
      </w:r>
      <w:r>
        <w:rPr>
          <w:rFonts w:ascii="Palatino Linotype" w:hAnsi="Palatino Linotype"/>
          <w:b/>
          <w:sz w:val="28"/>
        </w:rPr>
        <w:t>Del recurso de revisión.</w:t>
      </w:r>
    </w:p>
    <w:p w14:paraId="66D46E7A" w14:textId="0395C5E7" w:rsidR="00DE0E3F" w:rsidRPr="00DE0E3F" w:rsidRDefault="008140A4" w:rsidP="008140A4">
      <w:pPr>
        <w:spacing w:before="240" w:line="360" w:lineRule="auto"/>
        <w:jc w:val="both"/>
        <w:rPr>
          <w:rFonts w:ascii="Palatino Linotype" w:hAnsi="Palatino Linotype" w:cs="Arial"/>
          <w:sz w:val="24"/>
          <w:szCs w:val="24"/>
        </w:rPr>
      </w:pPr>
      <w:r w:rsidRPr="00B94CCE">
        <w:rPr>
          <w:rFonts w:ascii="Palatino Linotype" w:hAnsi="Palatino Linotype" w:cs="Arial"/>
          <w:sz w:val="24"/>
          <w:szCs w:val="24"/>
        </w:rPr>
        <w:t xml:space="preserve">Inconforme con las respuestas notificadas por </w:t>
      </w:r>
      <w:r w:rsidRPr="00B94CCE">
        <w:rPr>
          <w:rFonts w:ascii="Palatino Linotype" w:hAnsi="Palatino Linotype" w:cs="Arial"/>
          <w:b/>
          <w:sz w:val="24"/>
          <w:szCs w:val="24"/>
        </w:rPr>
        <w:t xml:space="preserve">El Sujeto Obligado, </w:t>
      </w:r>
      <w:r>
        <w:rPr>
          <w:rFonts w:ascii="Palatino Linotype" w:hAnsi="Palatino Linotype" w:cs="Arial"/>
          <w:b/>
          <w:sz w:val="24"/>
          <w:szCs w:val="24"/>
        </w:rPr>
        <w:t>El</w:t>
      </w:r>
      <w:r w:rsidRPr="00B94CCE">
        <w:rPr>
          <w:rFonts w:ascii="Palatino Linotype" w:hAnsi="Palatino Linotype" w:cs="Arial"/>
          <w:b/>
          <w:sz w:val="24"/>
          <w:szCs w:val="24"/>
        </w:rPr>
        <w:t xml:space="preserve"> Recurrente </w:t>
      </w:r>
      <w:r w:rsidRPr="00B94CCE">
        <w:rPr>
          <w:rFonts w:ascii="Palatino Linotype" w:hAnsi="Palatino Linotype" w:cs="Arial"/>
          <w:sz w:val="24"/>
          <w:szCs w:val="24"/>
        </w:rPr>
        <w:t xml:space="preserve">interpuso recursos de revisión, </w:t>
      </w:r>
      <w:r w:rsidRPr="006661D5">
        <w:rPr>
          <w:rFonts w:ascii="Palatino Linotype" w:hAnsi="Palatino Linotype" w:cs="Arial"/>
          <w:sz w:val="24"/>
          <w:szCs w:val="24"/>
        </w:rPr>
        <w:t xml:space="preserve">en fecha </w:t>
      </w:r>
      <w:r w:rsidR="00DE0E3F">
        <w:rPr>
          <w:rFonts w:ascii="Palatino Linotype" w:hAnsi="Palatino Linotype" w:cs="Arial"/>
          <w:b/>
          <w:bCs/>
          <w:sz w:val="24"/>
          <w:szCs w:val="24"/>
        </w:rPr>
        <w:t xml:space="preserve">veintidós de enero de dos mil veinticuatro, </w:t>
      </w:r>
      <w:r w:rsidR="00DE0E3F">
        <w:rPr>
          <w:rFonts w:ascii="Palatino Linotype" w:hAnsi="Palatino Linotype" w:cs="Arial"/>
          <w:sz w:val="24"/>
          <w:szCs w:val="24"/>
        </w:rPr>
        <w:t xml:space="preserve">los cuales fueron registrados en el sistema electrónico con los expedientes </w:t>
      </w:r>
      <w:r w:rsidR="00DE0E3F">
        <w:rPr>
          <w:rFonts w:ascii="Palatino Linotype" w:hAnsi="Palatino Linotype" w:cs="Arial"/>
          <w:b/>
          <w:bCs/>
          <w:sz w:val="24"/>
          <w:szCs w:val="24"/>
        </w:rPr>
        <w:t xml:space="preserve">00200/INFOEM/IP/RR/2024 </w:t>
      </w:r>
      <w:r w:rsidR="00DE0E3F">
        <w:rPr>
          <w:rFonts w:ascii="Palatino Linotype" w:hAnsi="Palatino Linotype" w:cs="Arial"/>
          <w:sz w:val="24"/>
          <w:szCs w:val="24"/>
        </w:rPr>
        <w:t xml:space="preserve">y </w:t>
      </w:r>
      <w:r w:rsidR="00DE0E3F">
        <w:rPr>
          <w:rFonts w:ascii="Palatino Linotype" w:hAnsi="Palatino Linotype" w:cs="Arial"/>
          <w:b/>
          <w:bCs/>
          <w:sz w:val="24"/>
          <w:szCs w:val="24"/>
        </w:rPr>
        <w:t xml:space="preserve">00201/INFOEM/IP/RR/2024, </w:t>
      </w:r>
      <w:r w:rsidR="00DE0E3F">
        <w:rPr>
          <w:rFonts w:ascii="Palatino Linotype" w:hAnsi="Palatino Linotype" w:cs="Arial"/>
          <w:sz w:val="24"/>
          <w:szCs w:val="24"/>
        </w:rPr>
        <w:t xml:space="preserve">en los cuales arguye las siguientes manifestaciones: </w:t>
      </w:r>
    </w:p>
    <w:p w14:paraId="353C5D8B" w14:textId="77777777" w:rsidR="008140A4" w:rsidRDefault="008140A4" w:rsidP="008140A4">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67DD649A" w14:textId="57220DE5" w:rsidR="008140A4" w:rsidRPr="00684130" w:rsidRDefault="008140A4" w:rsidP="008140A4">
      <w:pPr>
        <w:pStyle w:val="Citas"/>
      </w:pPr>
      <w:r w:rsidRPr="00DE0E3F">
        <w:t>“</w:t>
      </w:r>
      <w:r w:rsidR="00DE0E3F" w:rsidRPr="00DE0E3F">
        <w:t>La Respuesta del Sujeto Obligado</w:t>
      </w:r>
      <w:r w:rsidRPr="00DE0E3F">
        <w:t>”</w:t>
      </w:r>
      <w:r w:rsidRPr="00684130">
        <w:t xml:space="preserve"> </w:t>
      </w:r>
      <w:r>
        <w:rPr>
          <w:b/>
          <w:bCs/>
        </w:rPr>
        <w:t>(Sic)</w:t>
      </w:r>
    </w:p>
    <w:p w14:paraId="3369503F" w14:textId="77777777" w:rsidR="008140A4" w:rsidRDefault="008140A4" w:rsidP="008140A4">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6A3854BB" w14:textId="03EED506" w:rsidR="008140A4" w:rsidRPr="00684130" w:rsidRDefault="008140A4" w:rsidP="008140A4">
      <w:pPr>
        <w:pStyle w:val="Citas"/>
      </w:pPr>
      <w:r w:rsidRPr="00DE0E3F">
        <w:t>“</w:t>
      </w:r>
      <w:r w:rsidR="00DE0E3F" w:rsidRPr="00DE0E3F">
        <w:t xml:space="preserve">Solicité los recibos de </w:t>
      </w:r>
      <w:proofErr w:type="spellStart"/>
      <w:r w:rsidR="00DE0E3F" w:rsidRPr="00DE0E3F">
        <w:t>nomina</w:t>
      </w:r>
      <w:proofErr w:type="spellEnd"/>
      <w:r w:rsidR="00DE0E3F" w:rsidRPr="00DE0E3F">
        <w:t xml:space="preserve">, no el listado que mandaron, tampoco informan puntualmente las prestaciones y demás percepciones ordinarias ni extraordinarias que percibe Murillo </w:t>
      </w:r>
      <w:proofErr w:type="spellStart"/>
      <w:r w:rsidR="00DE0E3F" w:rsidRPr="00DE0E3F">
        <w:t>Berrum</w:t>
      </w:r>
      <w:proofErr w:type="spellEnd"/>
      <w:r w:rsidR="00DE0E3F" w:rsidRPr="00DE0E3F">
        <w:t xml:space="preserve"> Rodrigo. El sujeto obligado no niega que haya generado la información solicitada, por lo tanto debe de entregarla</w:t>
      </w:r>
      <w:r w:rsidRPr="00DE0E3F">
        <w:t>”</w:t>
      </w:r>
      <w:r w:rsidRPr="00684130">
        <w:t xml:space="preserve"> </w:t>
      </w:r>
      <w:r>
        <w:rPr>
          <w:b/>
          <w:bCs/>
        </w:rPr>
        <w:t>(Sic)</w:t>
      </w:r>
    </w:p>
    <w:p w14:paraId="2727837A" w14:textId="77777777" w:rsidR="00DE0E3F" w:rsidRDefault="00DE0E3F" w:rsidP="008140A4">
      <w:pPr>
        <w:spacing w:before="240" w:line="360" w:lineRule="auto"/>
        <w:jc w:val="both"/>
        <w:rPr>
          <w:rFonts w:ascii="Palatino Linotype" w:hAnsi="Palatino Linotype" w:cs="Arial"/>
          <w:b/>
          <w:sz w:val="28"/>
        </w:rPr>
      </w:pPr>
    </w:p>
    <w:p w14:paraId="26A8FAD1" w14:textId="21D29840" w:rsidR="008140A4" w:rsidRPr="000316DC" w:rsidRDefault="008140A4" w:rsidP="008140A4">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0316DC">
        <w:rPr>
          <w:rFonts w:ascii="Palatino Linotype" w:hAnsi="Palatino Linotype" w:cs="Arial"/>
          <w:b/>
          <w:sz w:val="24"/>
          <w:szCs w:val="24"/>
        </w:rPr>
        <w:t xml:space="preserve">. </w:t>
      </w:r>
      <w:r w:rsidRPr="000316DC">
        <w:rPr>
          <w:rFonts w:ascii="Palatino Linotype" w:hAnsi="Palatino Linotype" w:cs="Arial"/>
          <w:b/>
          <w:sz w:val="28"/>
          <w:szCs w:val="28"/>
        </w:rPr>
        <w:t>Del turno del recurso de revisión.</w:t>
      </w:r>
    </w:p>
    <w:p w14:paraId="3BAAF393" w14:textId="6800678C" w:rsidR="008140A4" w:rsidRDefault="008140A4" w:rsidP="008140A4">
      <w:pPr>
        <w:pStyle w:val="Prrafodelista"/>
        <w:spacing w:line="360" w:lineRule="auto"/>
        <w:ind w:left="0"/>
        <w:jc w:val="both"/>
        <w:rPr>
          <w:rFonts w:ascii="Palatino Linotype" w:hAnsi="Palatino Linotype" w:cs="Arial"/>
        </w:rPr>
      </w:pPr>
      <w:r w:rsidRPr="000316DC">
        <w:rPr>
          <w:rFonts w:ascii="Palatino Linotype" w:hAnsi="Palatino Linotype" w:cs="Arial"/>
        </w:rPr>
        <w:t xml:space="preserve">Medios de impugnación que le fueron turnados por medio del sistema electrónico a los Comisionados </w:t>
      </w:r>
      <w:r>
        <w:rPr>
          <w:rFonts w:ascii="Palatino Linotype" w:hAnsi="Palatino Linotype" w:cs="Arial"/>
        </w:rPr>
        <w:t xml:space="preserve">José Martínez Vilchis y Luis Gustavo Parra Noriega, en   </w:t>
      </w:r>
      <w:r w:rsidRPr="000316DC">
        <w:rPr>
          <w:rFonts w:ascii="Palatino Linotype" w:hAnsi="Palatino Linotype" w:cs="Arial"/>
        </w:rPr>
        <w:t>términos del arábigo 185 fracción I de la Ley de Transparencia y Acceso a la información Pública del Estado de México y Municipios, de los cuales recayeron en acuerdos de admisión en fechas</w:t>
      </w:r>
      <w:r>
        <w:rPr>
          <w:rFonts w:ascii="Palatino Linotype" w:hAnsi="Palatino Linotype" w:cs="Arial"/>
        </w:rPr>
        <w:t xml:space="preserve"> </w:t>
      </w:r>
      <w:r w:rsidR="00DE0E3F">
        <w:rPr>
          <w:rFonts w:ascii="Palatino Linotype" w:hAnsi="Palatino Linotype" w:cs="Arial"/>
          <w:b/>
          <w:bCs/>
        </w:rPr>
        <w:t xml:space="preserve">veintitrés y veintiséis de enero de dos mil veinticuatro, </w:t>
      </w:r>
      <w:r w:rsidRPr="000316DC">
        <w:rPr>
          <w:rFonts w:ascii="Palatino Linotype" w:hAnsi="Palatino Linotype" w:cs="Arial"/>
        </w:rPr>
        <w:t xml:space="preserve">determinándose, </w:t>
      </w:r>
      <w:r w:rsidRPr="000316DC">
        <w:rPr>
          <w:rFonts w:ascii="Palatino Linotype" w:hAnsi="Palatino Linotype" w:cs="Arial"/>
        </w:rPr>
        <w:lastRenderedPageBreak/>
        <w:t>un plazo de siete días para que las partes manifestaran lo que a su derecho corresponda en términos de los numerales ya citados.</w:t>
      </w:r>
      <w:r>
        <w:rPr>
          <w:rFonts w:ascii="Palatino Linotype" w:hAnsi="Palatino Linotype" w:cs="Arial"/>
        </w:rPr>
        <w:t xml:space="preserve"> </w:t>
      </w:r>
    </w:p>
    <w:p w14:paraId="284F2B77" w14:textId="77777777" w:rsidR="008140A4" w:rsidRDefault="008140A4" w:rsidP="008140A4">
      <w:pPr>
        <w:pStyle w:val="Prrafodelista"/>
        <w:spacing w:line="360" w:lineRule="auto"/>
        <w:ind w:left="0"/>
        <w:jc w:val="both"/>
        <w:rPr>
          <w:rFonts w:ascii="Palatino Linotype" w:hAnsi="Palatino Linotype" w:cs="Arial"/>
        </w:rPr>
      </w:pPr>
    </w:p>
    <w:p w14:paraId="00433EA3" w14:textId="77777777" w:rsidR="008140A4" w:rsidRPr="00696379" w:rsidRDefault="008140A4" w:rsidP="008140A4">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rPr>
        <w:t>QUINTO</w:t>
      </w:r>
      <w:r w:rsidRPr="00696379">
        <w:rPr>
          <w:rFonts w:ascii="Palatino Linotype" w:hAnsi="Palatino Linotype" w:cs="Arial"/>
          <w:b/>
          <w:sz w:val="28"/>
          <w:szCs w:val="28"/>
        </w:rPr>
        <w:t>. De la acumulación.</w:t>
      </w:r>
    </w:p>
    <w:p w14:paraId="2EC6B4DA" w14:textId="4A0B9CD3" w:rsidR="008140A4" w:rsidRPr="006661D5" w:rsidRDefault="008140A4" w:rsidP="008140A4">
      <w:pPr>
        <w:pStyle w:val="Prrafodelista"/>
        <w:spacing w:line="360" w:lineRule="auto"/>
        <w:ind w:left="0"/>
        <w:jc w:val="both"/>
        <w:rPr>
          <w:rFonts w:ascii="Palatino Linotype" w:hAnsi="Palatino Linotype" w:cs="Arial"/>
        </w:rPr>
      </w:pPr>
      <w:r w:rsidRPr="00696379">
        <w:rPr>
          <w:rFonts w:ascii="Palatino Linotype" w:hAnsi="Palatino Linotype" w:cs="Arial"/>
        </w:rPr>
        <w:t>Posteriormente por acuerdo del Pleno del Instituto, en la</w:t>
      </w:r>
      <w:r>
        <w:rPr>
          <w:rFonts w:ascii="Palatino Linotype" w:hAnsi="Palatino Linotype" w:cs="Arial"/>
        </w:rPr>
        <w:t xml:space="preserve"> </w:t>
      </w:r>
      <w:r w:rsidR="00DE0E3F">
        <w:rPr>
          <w:rFonts w:ascii="Palatino Linotype" w:hAnsi="Palatino Linotype" w:cs="Arial"/>
        </w:rPr>
        <w:t xml:space="preserve">Tercera Sesión Ordinaria, de fecha </w:t>
      </w:r>
      <w:r w:rsidR="00DE0E3F">
        <w:rPr>
          <w:rFonts w:ascii="Palatino Linotype" w:hAnsi="Palatino Linotype" w:cs="Arial"/>
          <w:b/>
          <w:bCs/>
        </w:rPr>
        <w:t xml:space="preserve">treinta y uno de enero de dos mil veinticuatro, </w:t>
      </w:r>
      <w:r>
        <w:rPr>
          <w:rFonts w:ascii="Palatino Linotype" w:hAnsi="Palatino Linotype" w:cs="Arial"/>
        </w:rPr>
        <w:t xml:space="preserve">se determinó acumular los recursos de revisión en estudio, ya que existe identidad del solicitante, del sujeto obligado y similitud de causas y objeto de solicitud. </w:t>
      </w:r>
    </w:p>
    <w:p w14:paraId="1814ED89" w14:textId="77777777" w:rsidR="008140A4" w:rsidRDefault="008140A4" w:rsidP="008140A4">
      <w:pPr>
        <w:pStyle w:val="Prrafodelista"/>
        <w:spacing w:line="360" w:lineRule="auto"/>
        <w:ind w:left="0"/>
        <w:jc w:val="both"/>
        <w:rPr>
          <w:rFonts w:ascii="Palatino Linotype" w:hAnsi="Palatino Linotype" w:cs="Arial"/>
        </w:rPr>
      </w:pPr>
    </w:p>
    <w:p w14:paraId="75E95691" w14:textId="77777777" w:rsidR="008140A4" w:rsidRPr="00CA418F" w:rsidRDefault="008140A4" w:rsidP="008140A4">
      <w:pPr>
        <w:spacing w:after="0" w:line="360" w:lineRule="auto"/>
        <w:jc w:val="both"/>
        <w:rPr>
          <w:rFonts w:ascii="Palatino Linotype" w:hAnsi="Palatino Linotype"/>
          <w:sz w:val="24"/>
          <w:szCs w:val="24"/>
        </w:rPr>
      </w:pPr>
      <w:r w:rsidRPr="00696379">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13AAE28D" w14:textId="77777777" w:rsidR="008140A4" w:rsidRPr="007D54D0" w:rsidRDefault="008140A4" w:rsidP="008140A4">
      <w:pPr>
        <w:spacing w:before="240" w:line="360" w:lineRule="auto"/>
        <w:ind w:left="851" w:right="851"/>
        <w:jc w:val="center"/>
        <w:rPr>
          <w:rFonts w:ascii="Palatino Linotype" w:hAnsi="Palatino Linotype"/>
          <w:b/>
          <w:i/>
        </w:rPr>
      </w:pPr>
      <w:r>
        <w:rPr>
          <w:rFonts w:ascii="Palatino Linotype" w:hAnsi="Palatino Linotype"/>
          <w:b/>
          <w:i/>
        </w:rPr>
        <w:t>Ley de Transparencia y Acceso a la Información Pública del Estado de México y Municipios</w:t>
      </w:r>
    </w:p>
    <w:p w14:paraId="1DC20807" w14:textId="77777777" w:rsidR="008140A4" w:rsidRDefault="008140A4" w:rsidP="008140A4">
      <w:pPr>
        <w:spacing w:before="240" w:line="360" w:lineRule="auto"/>
        <w:ind w:left="851" w:right="851"/>
        <w:jc w:val="both"/>
        <w:rPr>
          <w:rFonts w:ascii="Palatino Linotype" w:hAnsi="Palatino Linotype"/>
          <w:b/>
          <w:i/>
        </w:rPr>
      </w:pPr>
      <w:r>
        <w:rPr>
          <w:rFonts w:ascii="Palatino Linotype" w:hAnsi="Palatino Linotype"/>
          <w:i/>
        </w:rPr>
        <w:t>“</w:t>
      </w:r>
      <w:r w:rsidRPr="006F2470">
        <w:rPr>
          <w:rFonts w:ascii="Palatino Linotype" w:hAnsi="Palatino Linotype"/>
          <w:i/>
        </w:rPr>
        <w:t xml:space="preserve">Artículo 195. En la tramitación del recurso de revisión se aplicarán supletoriamente las disposiciones contenidas en el </w:t>
      </w:r>
      <w:r w:rsidRPr="006F2470">
        <w:rPr>
          <w:rFonts w:ascii="Palatino Linotype" w:hAnsi="Palatino Linotype"/>
          <w:b/>
          <w:i/>
          <w:u w:val="single"/>
        </w:rPr>
        <w:t>Código de Procedimientos Administrativos del Estado de México</w:t>
      </w:r>
      <w:r w:rsidRPr="006F2470">
        <w:rPr>
          <w:rFonts w:ascii="Palatino Linotype" w:hAnsi="Palatino Linotype"/>
          <w:i/>
        </w:rPr>
        <w:t>.”</w:t>
      </w:r>
      <w:r>
        <w:rPr>
          <w:rFonts w:ascii="Palatino Linotype" w:hAnsi="Palatino Linotype"/>
          <w:i/>
        </w:rPr>
        <w:t xml:space="preserve"> </w:t>
      </w:r>
      <w:r>
        <w:rPr>
          <w:rFonts w:ascii="Palatino Linotype" w:hAnsi="Palatino Linotype"/>
          <w:b/>
          <w:i/>
        </w:rPr>
        <w:t>(Sic)</w:t>
      </w:r>
    </w:p>
    <w:p w14:paraId="37BAAEFD" w14:textId="77777777" w:rsidR="008140A4" w:rsidRDefault="008140A4" w:rsidP="008140A4">
      <w:pPr>
        <w:spacing w:before="240" w:line="360" w:lineRule="auto"/>
        <w:ind w:left="851" w:right="851"/>
        <w:jc w:val="center"/>
        <w:rPr>
          <w:rFonts w:ascii="Palatino Linotype" w:hAnsi="Palatino Linotype"/>
          <w:b/>
          <w:i/>
        </w:rPr>
      </w:pPr>
    </w:p>
    <w:p w14:paraId="0FD7ED77" w14:textId="77777777" w:rsidR="008140A4" w:rsidRPr="001D1D00" w:rsidRDefault="008140A4" w:rsidP="008140A4">
      <w:pPr>
        <w:spacing w:before="240" w:line="360" w:lineRule="auto"/>
        <w:ind w:left="851" w:right="851"/>
        <w:jc w:val="center"/>
        <w:rPr>
          <w:rFonts w:ascii="Palatino Linotype" w:hAnsi="Palatino Linotype"/>
          <w:b/>
          <w:i/>
        </w:rPr>
      </w:pPr>
      <w:r w:rsidRPr="001D1D00">
        <w:rPr>
          <w:rFonts w:ascii="Palatino Linotype" w:hAnsi="Palatino Linotype"/>
          <w:b/>
          <w:i/>
        </w:rPr>
        <w:t>Código de Procedimientos Administrativos del Estado de México</w:t>
      </w:r>
    </w:p>
    <w:p w14:paraId="69BDA1A1" w14:textId="77777777" w:rsidR="008140A4" w:rsidRPr="006F2470" w:rsidRDefault="008140A4" w:rsidP="008140A4">
      <w:pPr>
        <w:spacing w:before="240" w:line="360" w:lineRule="auto"/>
        <w:ind w:left="851" w:right="851"/>
        <w:jc w:val="both"/>
        <w:rPr>
          <w:rFonts w:ascii="Palatino Linotype" w:hAnsi="Palatino Linotype"/>
          <w:b/>
          <w:i/>
        </w:rPr>
      </w:pPr>
      <w:r w:rsidRPr="006F2470">
        <w:rPr>
          <w:rFonts w:ascii="Palatino Linotype" w:hAnsi="Palatino Linotype"/>
          <w:i/>
        </w:rPr>
        <w:lastRenderedPageBreak/>
        <w:t xml:space="preserve">“Artículo 18.- </w:t>
      </w:r>
      <w:r w:rsidRPr="006F2470">
        <w:rPr>
          <w:rFonts w:ascii="Palatino Linotype" w:hAnsi="Palatino Linotype"/>
          <w:b/>
          <w:i/>
          <w:u w:val="single"/>
        </w:rPr>
        <w:t>La autoridad administrativa</w:t>
      </w:r>
      <w:r w:rsidRPr="006F2470">
        <w:rPr>
          <w:rFonts w:ascii="Palatino Linotype" w:hAnsi="Palatino Linotype"/>
          <w:i/>
        </w:rPr>
        <w:t xml:space="preserve"> o el Tribunal </w:t>
      </w:r>
      <w:r w:rsidRPr="006F2470">
        <w:rPr>
          <w:rFonts w:ascii="Palatino Linotype" w:hAnsi="Palatino Linotype"/>
          <w:b/>
          <w:i/>
          <w:u w:val="single"/>
        </w:rPr>
        <w:t>acordarán la acumulación</w:t>
      </w:r>
      <w:r w:rsidRPr="006F2470">
        <w:rPr>
          <w:rFonts w:ascii="Palatino Linotype" w:hAnsi="Palatino Linotype"/>
          <w:i/>
        </w:rPr>
        <w:t xml:space="preserve"> de los expedientes del procedimiento y proceso administrativo que ante ellos se sigan</w:t>
      </w:r>
      <w:r w:rsidRPr="006F2470">
        <w:rPr>
          <w:rFonts w:ascii="Palatino Linotype" w:hAnsi="Palatino Linotype"/>
          <w:b/>
          <w:i/>
          <w:u w:val="single"/>
        </w:rPr>
        <w:t>, de oficio</w:t>
      </w:r>
      <w:r w:rsidRPr="006F2470">
        <w:rPr>
          <w:rFonts w:ascii="Palatino Linotype" w:hAnsi="Palatino Linotype"/>
          <w:i/>
        </w:rPr>
        <w:t xml:space="preserve"> o a petición de parte, </w:t>
      </w:r>
      <w:r w:rsidRPr="006F2470">
        <w:rPr>
          <w:rFonts w:ascii="Palatino Linotype" w:hAnsi="Palatino Linotype"/>
          <w:b/>
          <w:i/>
          <w:u w:val="single"/>
        </w:rPr>
        <w:t>cuando las partes o los actos administrativos sean iguales, se trate de actos conexos o resulte conveniente el trámite unificado de los asuntos</w:t>
      </w:r>
      <w:r w:rsidRPr="006F2470">
        <w:rPr>
          <w:rFonts w:ascii="Palatino Linotype" w:hAnsi="Palatino Linotype"/>
          <w:i/>
        </w:rPr>
        <w:t xml:space="preserve">, para evitar la emisión de resoluciones contradictorias. La misma regla se aplicará, en lo conducente, para la separación de los expedientes.” </w:t>
      </w:r>
      <w:r>
        <w:rPr>
          <w:rFonts w:ascii="Palatino Linotype" w:hAnsi="Palatino Linotype"/>
          <w:b/>
          <w:i/>
        </w:rPr>
        <w:t>(Sic)</w:t>
      </w:r>
    </w:p>
    <w:p w14:paraId="2AEE8E8F" w14:textId="77777777" w:rsidR="008140A4" w:rsidRDefault="008140A4" w:rsidP="008140A4">
      <w:pPr>
        <w:spacing w:before="240" w:line="360" w:lineRule="auto"/>
        <w:jc w:val="both"/>
        <w:rPr>
          <w:rFonts w:ascii="Palatino Linotype" w:hAnsi="Palatino Linotype" w:cs="Arial"/>
          <w:sz w:val="24"/>
          <w:szCs w:val="24"/>
        </w:rPr>
      </w:pPr>
    </w:p>
    <w:p w14:paraId="1CDFBB19" w14:textId="77777777" w:rsidR="008140A4" w:rsidRDefault="008140A4" w:rsidP="008140A4">
      <w:pPr>
        <w:spacing w:before="240" w:line="360" w:lineRule="auto"/>
        <w:jc w:val="both"/>
        <w:rPr>
          <w:rFonts w:ascii="Palatino Linotype" w:hAnsi="Palatino Linotype" w:cs="Arial"/>
          <w:b/>
          <w:sz w:val="28"/>
          <w:szCs w:val="28"/>
        </w:rPr>
      </w:pPr>
      <w:r>
        <w:rPr>
          <w:rFonts w:ascii="Palatino Linotype" w:hAnsi="Palatino Linotype" w:cs="Arial"/>
          <w:b/>
          <w:sz w:val="28"/>
        </w:rPr>
        <w:t>SEXTO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14:paraId="5136BA60" w14:textId="40DD26D1" w:rsidR="00DE0E3F" w:rsidRPr="00DE0E3F" w:rsidRDefault="008140A4" w:rsidP="008140A4">
      <w:pPr>
        <w:spacing w:before="240" w:line="360" w:lineRule="auto"/>
        <w:jc w:val="both"/>
        <w:rPr>
          <w:rFonts w:ascii="Palatino Linotype" w:hAnsi="Palatino Linotype" w:cs="Arial"/>
          <w:b/>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sidRPr="00B16562">
        <w:rPr>
          <w:rFonts w:ascii="Palatino Linotype" w:hAnsi="Palatino Linotype" w:cs="Arial"/>
          <w:b/>
          <w:sz w:val="24"/>
          <w:szCs w:val="24"/>
        </w:rPr>
        <w:t xml:space="preserve">El Sujeto Obligado </w:t>
      </w:r>
      <w:r w:rsidRPr="00B16562">
        <w:rPr>
          <w:rFonts w:ascii="Palatino Linotype" w:hAnsi="Palatino Linotype" w:cs="Arial"/>
          <w:bCs/>
          <w:sz w:val="24"/>
          <w:szCs w:val="24"/>
        </w:rPr>
        <w:t>presentó sus informes justificados en fecha</w:t>
      </w:r>
      <w:r w:rsidR="00DE0E3F">
        <w:rPr>
          <w:rFonts w:ascii="Palatino Linotype" w:hAnsi="Palatino Linotype" w:cs="Arial"/>
          <w:bCs/>
          <w:sz w:val="24"/>
          <w:szCs w:val="24"/>
        </w:rPr>
        <w:t xml:space="preserve"> </w:t>
      </w:r>
      <w:r w:rsidR="00DE0E3F">
        <w:rPr>
          <w:rFonts w:ascii="Palatino Linotype" w:hAnsi="Palatino Linotype" w:cs="Arial"/>
          <w:b/>
          <w:sz w:val="24"/>
          <w:szCs w:val="24"/>
        </w:rPr>
        <w:t xml:space="preserve">seis de febrero de dos mil veinticuatro, </w:t>
      </w:r>
      <w:r w:rsidR="00DE0E3F">
        <w:rPr>
          <w:rFonts w:ascii="Palatino Linotype" w:hAnsi="Palatino Linotype" w:cs="Arial"/>
          <w:bCs/>
          <w:sz w:val="24"/>
          <w:szCs w:val="24"/>
        </w:rPr>
        <w:t>mismo</w:t>
      </w:r>
      <w:r w:rsidR="000B6A4F">
        <w:rPr>
          <w:rFonts w:ascii="Palatino Linotype" w:hAnsi="Palatino Linotype" w:cs="Arial"/>
          <w:bCs/>
          <w:sz w:val="24"/>
          <w:szCs w:val="24"/>
        </w:rPr>
        <w:t>s</w:t>
      </w:r>
      <w:r w:rsidR="00DE0E3F">
        <w:rPr>
          <w:rFonts w:ascii="Palatino Linotype" w:hAnsi="Palatino Linotype" w:cs="Arial"/>
          <w:bCs/>
          <w:sz w:val="24"/>
          <w:szCs w:val="24"/>
        </w:rPr>
        <w:t xml:space="preserve"> que fue</w:t>
      </w:r>
      <w:r w:rsidR="000B6A4F">
        <w:rPr>
          <w:rFonts w:ascii="Palatino Linotype" w:hAnsi="Palatino Linotype" w:cs="Arial"/>
          <w:bCs/>
          <w:sz w:val="24"/>
          <w:szCs w:val="24"/>
        </w:rPr>
        <w:t>ron</w:t>
      </w:r>
      <w:r w:rsidR="00DE0E3F">
        <w:rPr>
          <w:rFonts w:ascii="Palatino Linotype" w:hAnsi="Palatino Linotype" w:cs="Arial"/>
          <w:bCs/>
          <w:sz w:val="24"/>
          <w:szCs w:val="24"/>
        </w:rPr>
        <w:t xml:space="preserve"> puesto</w:t>
      </w:r>
      <w:r w:rsidR="000B6A4F">
        <w:rPr>
          <w:rFonts w:ascii="Palatino Linotype" w:hAnsi="Palatino Linotype" w:cs="Arial"/>
          <w:bCs/>
          <w:sz w:val="24"/>
          <w:szCs w:val="24"/>
        </w:rPr>
        <w:t>s</w:t>
      </w:r>
      <w:r w:rsidR="00DE0E3F">
        <w:rPr>
          <w:rFonts w:ascii="Palatino Linotype" w:hAnsi="Palatino Linotype" w:cs="Arial"/>
          <w:bCs/>
          <w:sz w:val="24"/>
          <w:szCs w:val="24"/>
        </w:rPr>
        <w:t xml:space="preserve"> a la vista el </w:t>
      </w:r>
      <w:r w:rsidR="00DE0E3F">
        <w:rPr>
          <w:rFonts w:ascii="Palatino Linotype" w:hAnsi="Palatino Linotype" w:cs="Arial"/>
          <w:b/>
          <w:sz w:val="24"/>
          <w:szCs w:val="24"/>
        </w:rPr>
        <w:t xml:space="preserve">siete de febrero del presente. </w:t>
      </w:r>
    </w:p>
    <w:p w14:paraId="6537C064" w14:textId="49FF9511" w:rsidR="008140A4" w:rsidRDefault="008140A4" w:rsidP="008140A4">
      <w:pPr>
        <w:spacing w:before="240" w:line="360" w:lineRule="auto"/>
        <w:jc w:val="both"/>
        <w:rPr>
          <w:rFonts w:ascii="Palatino Linotype" w:hAnsi="Palatino Linotype" w:cs="Arial"/>
          <w:sz w:val="24"/>
          <w:szCs w:val="24"/>
        </w:rPr>
      </w:pPr>
      <w:r>
        <w:rPr>
          <w:rFonts w:ascii="Palatino Linotype" w:hAnsi="Palatino Linotype" w:cs="Arial"/>
          <w:sz w:val="24"/>
          <w:szCs w:val="24"/>
        </w:rPr>
        <w:t>P</w:t>
      </w:r>
      <w:r w:rsidRPr="0003734B">
        <w:rPr>
          <w:rFonts w:ascii="Palatino Linotype" w:hAnsi="Palatino Linotype" w:cs="Arial"/>
          <w:sz w:val="24"/>
          <w:szCs w:val="24"/>
        </w:rPr>
        <w:t xml:space="preserve">or lo que una vez transcurrido el plazo establecido para que las partes manifestaran lo que a </w:t>
      </w:r>
      <w:r>
        <w:rPr>
          <w:rFonts w:ascii="Palatino Linotype" w:hAnsi="Palatino Linotype" w:cs="Arial"/>
          <w:sz w:val="24"/>
          <w:szCs w:val="24"/>
        </w:rPr>
        <w:t xml:space="preserve">su derecho conviniera, en </w:t>
      </w:r>
      <w:r w:rsidRPr="004E40D1">
        <w:rPr>
          <w:rFonts w:ascii="Palatino Linotype" w:hAnsi="Palatino Linotype" w:cs="Arial"/>
          <w:sz w:val="24"/>
          <w:szCs w:val="24"/>
        </w:rPr>
        <w:t xml:space="preserve">fecha </w:t>
      </w:r>
      <w:r w:rsidR="00DE0E3F">
        <w:rPr>
          <w:rFonts w:ascii="Palatino Linotype" w:hAnsi="Palatino Linotype" w:cs="Arial"/>
          <w:b/>
          <w:bCs/>
          <w:sz w:val="24"/>
          <w:szCs w:val="24"/>
        </w:rPr>
        <w:t>seis de marzo</w:t>
      </w:r>
      <w:r w:rsidRPr="004E40D1">
        <w:rPr>
          <w:rFonts w:ascii="Palatino Linotype" w:hAnsi="Palatino Linotype" w:cs="Arial"/>
          <w:b/>
          <w:bCs/>
          <w:sz w:val="24"/>
          <w:szCs w:val="24"/>
        </w:rPr>
        <w:t xml:space="preserve"> de los corrientes, </w:t>
      </w:r>
      <w:r w:rsidRPr="004E40D1">
        <w:rPr>
          <w:rFonts w:ascii="Palatino Linotype" w:hAnsi="Palatino Linotype" w:cs="Arial"/>
          <w:sz w:val="24"/>
          <w:szCs w:val="24"/>
        </w:rPr>
        <w:t>se</w:t>
      </w:r>
      <w:r>
        <w:rPr>
          <w:rFonts w:ascii="Palatino Linotype" w:hAnsi="Palatino Linotype" w:cs="Arial"/>
          <w:sz w:val="24"/>
          <w:szCs w:val="24"/>
        </w:rPr>
        <w:t xml:space="preserve"> decretó el cierre de instrucción, en </w:t>
      </w:r>
      <w:r w:rsidRPr="0003734B">
        <w:rPr>
          <w:rFonts w:ascii="Palatino Linotype" w:hAnsi="Palatino Linotype" w:cs="Arial"/>
          <w:sz w:val="24"/>
          <w:szCs w:val="24"/>
        </w:rPr>
        <w:t>términos del artículo 185 fracción VI de la Ley de Transparencia y Acceso a la Información Pública del Estado de México y Municipios, iniciando el término legal para dictar resolución definitiva del asunto.</w:t>
      </w:r>
    </w:p>
    <w:p w14:paraId="2CA4CB14" w14:textId="77777777" w:rsidR="00DE0E3F" w:rsidRDefault="00DE0E3F" w:rsidP="00844569">
      <w:pPr>
        <w:spacing w:before="240" w:line="360" w:lineRule="auto"/>
        <w:jc w:val="center"/>
        <w:rPr>
          <w:rFonts w:ascii="Palatino Linotype" w:hAnsi="Palatino Linotype" w:cs="Arial"/>
          <w:b/>
          <w:sz w:val="24"/>
        </w:rPr>
      </w:pPr>
    </w:p>
    <w:p w14:paraId="67D0FD90" w14:textId="6D067AE0" w:rsidR="006168E4" w:rsidRDefault="006168E4" w:rsidP="00844569">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579C7ABE" w14:textId="77777777"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4C6CD3AB" w14:textId="2E70B1BF" w:rsidR="00CB1275" w:rsidRDefault="00CB1275" w:rsidP="00CB1275">
      <w:pPr>
        <w:pStyle w:val="Prrafodelista"/>
        <w:autoSpaceDE w:val="0"/>
        <w:autoSpaceDN w:val="0"/>
        <w:adjustRightInd w:val="0"/>
        <w:spacing w:before="240" w:after="160" w:line="360" w:lineRule="auto"/>
        <w:ind w:left="0"/>
        <w:jc w:val="both"/>
        <w:rPr>
          <w:rFonts w:ascii="Palatino Linotype" w:eastAsia="Calibri" w:hAnsi="Palatino Linotype" w:cs="Calibri"/>
          <w:lang w:val="es-MX" w:eastAsia="es-MX"/>
        </w:rPr>
      </w:pPr>
      <w:r w:rsidRPr="00023DD4">
        <w:rPr>
          <w:rFonts w:ascii="Palatino Linotype" w:eastAsia="Calibri" w:hAnsi="Palatino Linotype" w:cs="Calibri"/>
          <w:lang w:val="es-MX" w:eastAsia="es-MX"/>
        </w:rPr>
        <w:lastRenderedPageBreak/>
        <w:t xml:space="preserve">Este Instituto de Transparencia, Acceso a la Información Pública y Protección de Datos Personales del Estado de México y Municipios, es competente para conocer y resolver el presente recurso de revisión interpuesto por </w:t>
      </w:r>
      <w:r w:rsidR="00DE430E">
        <w:rPr>
          <w:rFonts w:ascii="Palatino Linotype" w:eastAsia="Calibri" w:hAnsi="Palatino Linotype" w:cs="Calibri"/>
          <w:lang w:val="es-MX" w:eastAsia="es-MX"/>
        </w:rPr>
        <w:t>la</w:t>
      </w:r>
      <w:r w:rsidRPr="00023DD4">
        <w:rPr>
          <w:rFonts w:ascii="Palatino Linotype" w:eastAsia="Calibri" w:hAnsi="Palatino Linotype" w:cs="Calibri"/>
          <w:lang w:val="es-MX" w:eastAsia="es-MX"/>
        </w:rPr>
        <w:t xml:space="preserve">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7A2428BF" w14:textId="77777777" w:rsidR="00CB1275" w:rsidRDefault="00CB1275" w:rsidP="00BF01A7">
      <w:pPr>
        <w:spacing w:after="0" w:line="360" w:lineRule="auto"/>
        <w:jc w:val="both"/>
        <w:rPr>
          <w:rFonts w:ascii="Palatino Linotype" w:hAnsi="Palatino Linotype" w:cs="Arial"/>
          <w:sz w:val="24"/>
          <w:szCs w:val="24"/>
        </w:rPr>
      </w:pPr>
    </w:p>
    <w:p w14:paraId="71AC3F8F"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80F37AC"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463DFDA2" w14:textId="77777777" w:rsidR="00DE0E3F" w:rsidRDefault="00DE0E3F" w:rsidP="00DE0E3F">
      <w:pPr>
        <w:spacing w:after="0" w:line="360" w:lineRule="auto"/>
        <w:jc w:val="both"/>
        <w:rPr>
          <w:rFonts w:ascii="Palatino Linotype" w:eastAsia="Times New Roman" w:hAnsi="Palatino Linotype" w:cs="Times New Roman"/>
          <w:sz w:val="24"/>
          <w:szCs w:val="24"/>
          <w:lang w:eastAsia="es-ES"/>
        </w:rPr>
      </w:pPr>
      <w:r w:rsidRPr="00161CEB">
        <w:rPr>
          <w:rFonts w:ascii="Palatino Linotype" w:hAnsi="Palatino Linotype" w:cs="Arial"/>
          <w:b/>
          <w:sz w:val="28"/>
        </w:rPr>
        <w:lastRenderedPageBreak/>
        <w:t>TERCERO. Cuestiones de previo y especial pronunciamiento</w:t>
      </w:r>
      <w:r>
        <w:rPr>
          <w:rFonts w:ascii="Palatino Linotype" w:hAnsi="Palatino Linotype" w:cs="Arial"/>
          <w:b/>
          <w:sz w:val="28"/>
        </w:rPr>
        <w:t xml:space="preserve">. </w:t>
      </w:r>
      <w:r w:rsidRPr="00187D70">
        <w:rPr>
          <w:rFonts w:ascii="Palatino Linotype" w:eastAsia="Times New Roman" w:hAnsi="Palatino Linotype" w:cs="Times New Roman"/>
          <w:sz w:val="24"/>
          <w:szCs w:val="24"/>
          <w:lang w:eastAsia="es-ES"/>
        </w:rPr>
        <w:t xml:space="preserve"> </w:t>
      </w:r>
    </w:p>
    <w:p w14:paraId="533816A7" w14:textId="6187DA63" w:rsidR="00DE0E3F" w:rsidRDefault="00DE0E3F" w:rsidP="00DE0E3F">
      <w:pPr>
        <w:spacing w:after="0" w:line="360" w:lineRule="auto"/>
        <w:jc w:val="both"/>
        <w:rPr>
          <w:rFonts w:ascii="Palatino Linotype" w:hAnsi="Palatino Linotype" w:cs="Arial"/>
          <w:sz w:val="24"/>
        </w:rPr>
      </w:pPr>
      <w:r>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Pr>
          <w:rFonts w:ascii="Palatino Linotype" w:hAnsi="Palatino Linotype"/>
          <w:b/>
          <w:sz w:val="24"/>
          <w:szCs w:val="24"/>
        </w:rPr>
        <w:t>Recurrente,</w:t>
      </w:r>
      <w:r>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 sino </w:t>
      </w:r>
      <w:r w:rsidR="00FF36C0">
        <w:rPr>
          <w:rFonts w:ascii="Palatino Linotype" w:hAnsi="Palatino Linotype" w:cs="Arial"/>
          <w:b/>
          <w:sz w:val="24"/>
          <w:szCs w:val="24"/>
        </w:rPr>
        <w:t>XXXXXXXX</w:t>
      </w:r>
      <w:r>
        <w:rPr>
          <w:rFonts w:ascii="Palatino Linotype" w:hAnsi="Palatino Linotype" w:cs="Arial"/>
          <w:sz w:val="24"/>
        </w:rPr>
        <w:t>, del cual no se colige que corresponda al nombre de una persona.</w:t>
      </w:r>
    </w:p>
    <w:p w14:paraId="29C9E69A" w14:textId="77777777" w:rsidR="00DE0E3F" w:rsidRDefault="00DE0E3F" w:rsidP="00DE0E3F">
      <w:pPr>
        <w:spacing w:after="0" w:line="360" w:lineRule="auto"/>
        <w:jc w:val="both"/>
        <w:rPr>
          <w:rFonts w:ascii="Palatino Linotype" w:hAnsi="Palatino Linotype"/>
          <w:sz w:val="24"/>
          <w:szCs w:val="24"/>
        </w:rPr>
      </w:pPr>
    </w:p>
    <w:p w14:paraId="41A064EE" w14:textId="77777777" w:rsidR="00DE0E3F" w:rsidRDefault="00DE0E3F" w:rsidP="00DE0E3F">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Esta Ponencia considera importante abordar el análisis de los requisitos de procedibilidad de los recursos de revisión, así el artículo 180 de la </w:t>
      </w:r>
      <w:r>
        <w:rPr>
          <w:rFonts w:ascii="Palatino Linotype" w:hAnsi="Palatino Linotype" w:cs="Arial"/>
          <w:lang w:eastAsia="es-MX"/>
        </w:rPr>
        <w:t xml:space="preserve">Ley de Transparencia y Acceso a la Información Pública del Estado de México y Municipios, que </w:t>
      </w:r>
      <w:r>
        <w:rPr>
          <w:rFonts w:ascii="Palatino Linotype" w:hAnsi="Palatino Linotype" w:cs="Arial"/>
        </w:rPr>
        <w:t>establece lo siguiente:</w:t>
      </w:r>
    </w:p>
    <w:p w14:paraId="414CE723" w14:textId="77777777" w:rsidR="00DE0E3F" w:rsidRDefault="00DE0E3F" w:rsidP="00DE0E3F">
      <w:pPr>
        <w:spacing w:before="240" w:line="360" w:lineRule="auto"/>
        <w:ind w:left="851" w:right="851"/>
        <w:jc w:val="both"/>
        <w:rPr>
          <w:rFonts w:ascii="Palatino Linotype" w:hAnsi="Palatino Linotype"/>
          <w:b/>
          <w:i/>
        </w:rPr>
      </w:pPr>
      <w:r>
        <w:rPr>
          <w:rFonts w:ascii="Palatino Linotype" w:hAnsi="Palatino Linotype"/>
          <w:i/>
        </w:rPr>
        <w:t>“</w:t>
      </w:r>
      <w:r>
        <w:rPr>
          <w:rFonts w:ascii="Palatino Linotype" w:hAnsi="Palatino Linotype"/>
          <w:b/>
          <w:i/>
        </w:rPr>
        <w:t xml:space="preserve">Artículo 180. </w:t>
      </w:r>
      <w:r>
        <w:rPr>
          <w:rFonts w:ascii="Palatino Linotype" w:hAnsi="Palatino Linotype"/>
          <w:i/>
        </w:rPr>
        <w:t xml:space="preserve">El </w:t>
      </w:r>
      <w:r>
        <w:rPr>
          <w:rFonts w:ascii="Palatino Linotype" w:hAnsi="Palatino Linotype" w:cs="Arial"/>
          <w:i/>
        </w:rPr>
        <w:t>recurso</w:t>
      </w:r>
      <w:r>
        <w:rPr>
          <w:rFonts w:ascii="Palatino Linotype" w:hAnsi="Palatino Linotype"/>
          <w:i/>
        </w:rPr>
        <w:t xml:space="preserve"> </w:t>
      </w:r>
      <w:r>
        <w:rPr>
          <w:rFonts w:ascii="Palatino Linotype" w:hAnsi="Palatino Linotype" w:cs="Arial"/>
          <w:i/>
          <w:lang w:eastAsia="es-MX"/>
        </w:rPr>
        <w:t>de</w:t>
      </w:r>
      <w:r>
        <w:rPr>
          <w:rFonts w:ascii="Palatino Linotype" w:hAnsi="Palatino Linotype"/>
          <w:i/>
        </w:rPr>
        <w:t xml:space="preserve"> revisión contendrá:</w:t>
      </w:r>
      <w:r>
        <w:rPr>
          <w:rFonts w:ascii="Palatino Linotype" w:hAnsi="Palatino Linotype"/>
          <w:b/>
          <w:i/>
        </w:rPr>
        <w:t xml:space="preserve"> </w:t>
      </w:r>
    </w:p>
    <w:p w14:paraId="3E4BFA0A" w14:textId="77777777" w:rsidR="00DE0E3F" w:rsidRDefault="00DE0E3F" w:rsidP="00DE0E3F">
      <w:pPr>
        <w:spacing w:before="240" w:line="360" w:lineRule="auto"/>
        <w:ind w:left="851" w:right="851"/>
        <w:jc w:val="both"/>
        <w:rPr>
          <w:rFonts w:ascii="Palatino Linotype" w:hAnsi="Palatino Linotype"/>
          <w:b/>
          <w:i/>
        </w:rPr>
      </w:pPr>
      <w:r>
        <w:rPr>
          <w:rFonts w:ascii="Palatino Linotype" w:hAnsi="Palatino Linotype"/>
          <w:b/>
          <w:i/>
        </w:rPr>
        <w:t xml:space="preserve">I. </w:t>
      </w:r>
      <w:r>
        <w:rPr>
          <w:rFonts w:ascii="Palatino Linotype" w:hAnsi="Palatino Linotype"/>
          <w:i/>
        </w:rPr>
        <w:t xml:space="preserve">El sujeto obligado ante </w:t>
      </w:r>
      <w:r>
        <w:rPr>
          <w:rFonts w:ascii="Palatino Linotype" w:hAnsi="Palatino Linotype" w:cs="Arial"/>
          <w:i/>
        </w:rPr>
        <w:t>la</w:t>
      </w:r>
      <w:r>
        <w:rPr>
          <w:rFonts w:ascii="Palatino Linotype" w:hAnsi="Palatino Linotype"/>
          <w:i/>
        </w:rPr>
        <w:t xml:space="preserve"> cual </w:t>
      </w:r>
      <w:r>
        <w:rPr>
          <w:rFonts w:ascii="Palatino Linotype" w:hAnsi="Palatino Linotype" w:cs="Arial"/>
          <w:i/>
          <w:lang w:eastAsia="es-MX"/>
        </w:rPr>
        <w:t>se</w:t>
      </w:r>
      <w:r>
        <w:rPr>
          <w:rFonts w:ascii="Palatino Linotype" w:hAnsi="Palatino Linotype"/>
          <w:i/>
        </w:rPr>
        <w:t xml:space="preserve"> presentó la solicitud;</w:t>
      </w:r>
      <w:r>
        <w:rPr>
          <w:rFonts w:ascii="Palatino Linotype" w:hAnsi="Palatino Linotype"/>
          <w:b/>
          <w:i/>
        </w:rPr>
        <w:t xml:space="preserve"> </w:t>
      </w:r>
    </w:p>
    <w:p w14:paraId="03C420B0" w14:textId="77777777" w:rsidR="00DE0E3F" w:rsidRDefault="00DE0E3F" w:rsidP="00DE0E3F">
      <w:pPr>
        <w:spacing w:before="240" w:line="360" w:lineRule="auto"/>
        <w:ind w:left="851" w:right="851"/>
        <w:jc w:val="both"/>
        <w:rPr>
          <w:rFonts w:ascii="Palatino Linotype" w:hAnsi="Palatino Linotype"/>
          <w:b/>
          <w:i/>
        </w:rPr>
      </w:pPr>
      <w:r>
        <w:rPr>
          <w:rFonts w:ascii="Palatino Linotype" w:hAnsi="Palatino Linotype"/>
          <w:b/>
          <w:i/>
        </w:rPr>
        <w:t xml:space="preserve">II. </w:t>
      </w:r>
      <w:r>
        <w:rPr>
          <w:rFonts w:ascii="Palatino Linotype" w:hAnsi="Palatino Linotype"/>
          <w:b/>
          <w:i/>
          <w:u w:val="single"/>
        </w:rPr>
        <w:t xml:space="preserve">El nombre del solicitante </w:t>
      </w:r>
      <w:r>
        <w:rPr>
          <w:rFonts w:ascii="Palatino Linotype" w:hAnsi="Palatino Linotype" w:cs="Arial"/>
          <w:b/>
          <w:i/>
          <w:u w:val="single"/>
          <w:lang w:eastAsia="es-MX"/>
        </w:rPr>
        <w:t>que</w:t>
      </w:r>
      <w:r>
        <w:rPr>
          <w:rFonts w:ascii="Palatino Linotype" w:hAnsi="Palatino Linotype"/>
          <w:b/>
          <w:i/>
          <w:u w:val="single"/>
        </w:rPr>
        <w:t xml:space="preserve"> recurre</w:t>
      </w:r>
      <w:r>
        <w:rPr>
          <w:rFonts w:ascii="Palatino Linotype" w:hAnsi="Palatino Linotype"/>
          <w:b/>
          <w:i/>
        </w:rPr>
        <w:t xml:space="preserve"> </w:t>
      </w:r>
      <w:r>
        <w:rPr>
          <w:rFonts w:ascii="Palatino Linotype" w:hAnsi="Palatino Linotype"/>
          <w:i/>
        </w:rPr>
        <w:t>o de su representante y, en su caso, del tercero interesado, así como la dirección o medio que señale para recibir notificaciones;</w:t>
      </w:r>
      <w:r>
        <w:rPr>
          <w:rFonts w:ascii="Palatino Linotype" w:hAnsi="Palatino Linotype"/>
          <w:b/>
          <w:i/>
        </w:rPr>
        <w:t xml:space="preserve"> </w:t>
      </w:r>
    </w:p>
    <w:p w14:paraId="1626A541" w14:textId="77777777" w:rsidR="00DE0E3F" w:rsidRDefault="00DE0E3F" w:rsidP="00DE0E3F">
      <w:pPr>
        <w:spacing w:before="240" w:line="360" w:lineRule="auto"/>
        <w:ind w:left="851" w:right="851"/>
        <w:rPr>
          <w:rFonts w:ascii="Palatino Linotype" w:hAnsi="Palatino Linotype"/>
          <w:i/>
        </w:rPr>
      </w:pPr>
      <w:r>
        <w:rPr>
          <w:rFonts w:ascii="Palatino Linotype" w:hAnsi="Palatino Linotype"/>
          <w:b/>
          <w:i/>
        </w:rPr>
        <w:t>(…)” [Sic]</w:t>
      </w:r>
    </w:p>
    <w:p w14:paraId="50C67FC4" w14:textId="525320FE" w:rsidR="00DE0E3F" w:rsidRDefault="00DE0E3F" w:rsidP="00DE0E3F">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lastRenderedPageBreak/>
        <w:t xml:space="preserve">En principio, de una interpretación del artículo transcrito se observan los requisitos que </w:t>
      </w:r>
      <w:r>
        <w:rPr>
          <w:rFonts w:ascii="Palatino Linotype" w:hAnsi="Palatino Linotype" w:cs="Arial"/>
        </w:rPr>
        <w:t>deberán</w:t>
      </w:r>
      <w:r>
        <w:rPr>
          <w:rFonts w:ascii="Palatino Linotype" w:hAnsi="Palatino Linotype"/>
        </w:rPr>
        <w:t xml:space="preserve"> contener los recursos de revisión; sobre el particular, de la revisión del expediente electrónico del </w:t>
      </w:r>
      <w:r>
        <w:rPr>
          <w:rFonts w:ascii="Palatino Linotype" w:hAnsi="Palatino Linotype"/>
          <w:b/>
        </w:rPr>
        <w:t>SAIMEX</w:t>
      </w:r>
      <w:r>
        <w:rPr>
          <w:rFonts w:ascii="Palatino Linotype" w:hAnsi="Palatino Linotype"/>
        </w:rPr>
        <w:t xml:space="preserve"> se desprende que el solicitante y ahora Recurrente, en ejercicio de su derecho de acceso a la información pública, no proporcionó un nombre para que </w:t>
      </w:r>
      <w:r>
        <w:rPr>
          <w:rFonts w:ascii="Palatino Linotype" w:hAnsi="Palatino Linotype" w:cs="Arial"/>
        </w:rPr>
        <w:t>sea</w:t>
      </w:r>
      <w:r>
        <w:rPr>
          <w:rFonts w:ascii="Palatino Linotype" w:hAnsi="Palatino Linotype"/>
        </w:rPr>
        <w:t xml:space="preserve"> identificado, ya que indicó en el apartado de </w:t>
      </w:r>
      <w:r>
        <w:rPr>
          <w:rFonts w:ascii="Palatino Linotype" w:hAnsi="Palatino Linotype"/>
          <w:b/>
        </w:rPr>
        <w:t>“DATOS DEL SOLICITANTE”,</w:t>
      </w:r>
      <w:r>
        <w:rPr>
          <w:rFonts w:ascii="Palatino Linotype" w:hAnsi="Palatino Linotype"/>
        </w:rPr>
        <w:t xml:space="preserve"> el nombre de </w:t>
      </w:r>
      <w:r>
        <w:rPr>
          <w:rFonts w:ascii="Palatino Linotype" w:hAnsi="Palatino Linotype" w:cs="Arial"/>
          <w:b/>
        </w:rPr>
        <w:t xml:space="preserve">C. </w:t>
      </w:r>
      <w:r w:rsidR="00FF36C0">
        <w:rPr>
          <w:rFonts w:ascii="Palatino Linotype" w:hAnsi="Palatino Linotype" w:cs="Arial"/>
          <w:b/>
        </w:rPr>
        <w:t>XXXXXXX</w:t>
      </w:r>
      <w:r>
        <w:rPr>
          <w:rFonts w:ascii="Palatino Linotype" w:hAnsi="Palatino Linotype"/>
          <w:b/>
        </w:rPr>
        <w:t>;</w:t>
      </w:r>
      <w:r>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6A205658" w14:textId="77777777" w:rsidR="00DE0E3F" w:rsidRDefault="00DE0E3F" w:rsidP="00DE0E3F">
      <w:pPr>
        <w:pStyle w:val="Prrafodelista"/>
        <w:widowControl w:val="0"/>
        <w:autoSpaceDE w:val="0"/>
        <w:autoSpaceDN w:val="0"/>
        <w:adjustRightInd w:val="0"/>
        <w:spacing w:line="360" w:lineRule="auto"/>
        <w:ind w:left="0"/>
        <w:jc w:val="both"/>
        <w:rPr>
          <w:rFonts w:ascii="Palatino Linotype" w:hAnsi="Palatino Linotype"/>
        </w:rPr>
      </w:pPr>
    </w:p>
    <w:p w14:paraId="759D6D7E" w14:textId="77777777" w:rsidR="00DE0E3F" w:rsidRDefault="00DE0E3F" w:rsidP="00DE0E3F">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rPr>
        <w:t xml:space="preserve">No obstante lo anterior, debe destacarse que el artículo 15 de </w:t>
      </w:r>
      <w:r>
        <w:rPr>
          <w:rFonts w:ascii="Palatino Linotype" w:hAnsi="Palatino Linotype" w:cs="Arial"/>
          <w:lang w:eastAsia="es-MX"/>
        </w:rPr>
        <w:t xml:space="preserve">Ley de Transparencia y Acceso a la </w:t>
      </w:r>
      <w:r>
        <w:rPr>
          <w:rFonts w:ascii="Palatino Linotype" w:hAnsi="Palatino Linotype" w:cs="Arial"/>
        </w:rPr>
        <w:t>Información</w:t>
      </w:r>
      <w:r>
        <w:rPr>
          <w:rFonts w:ascii="Palatino Linotype" w:hAnsi="Palatino Linotype" w:cs="Arial"/>
          <w:lang w:eastAsia="es-MX"/>
        </w:rPr>
        <w:t xml:space="preserve"> Pública del Estado de México y Municipios </w:t>
      </w:r>
      <w:r>
        <w:rPr>
          <w:rFonts w:ascii="Palatino Linotype" w:hAnsi="Palatino Linotype" w:cs="Arial"/>
          <w:iCs/>
        </w:rPr>
        <w:t xml:space="preserve">prevé que, </w:t>
      </w:r>
      <w:r>
        <w:rPr>
          <w:rFonts w:ascii="Palatino Linotype" w:hAnsi="Palatino Linotype"/>
        </w:rPr>
        <w:t xml:space="preserve">toda persona tendrá acceso a la información </w:t>
      </w:r>
      <w:r>
        <w:rPr>
          <w:rFonts w:ascii="Palatino Linotype" w:hAnsi="Palatino Linotype" w:cs="Arial"/>
        </w:rPr>
        <w:t xml:space="preserve">sin necesidad de acreditar interés alguno o justificar su utilización, de lo que se infiere que para el </w:t>
      </w:r>
      <w:r>
        <w:rPr>
          <w:rFonts w:ascii="Palatino Linotype" w:hAnsi="Palatino Linotype"/>
        </w:rPr>
        <w:t>ejercicio</w:t>
      </w:r>
      <w:r>
        <w:rPr>
          <w:rFonts w:ascii="Palatino Linotype" w:hAnsi="Palatino Linotype" w:cs="Arial"/>
        </w:rPr>
        <w:t xml:space="preserve"> del derecho de acceso a la información pública, el nombre no es un requisito </w:t>
      </w:r>
      <w:r>
        <w:rPr>
          <w:rFonts w:ascii="Palatino Linotype" w:hAnsi="Palatino Linotype" w:cs="Arial"/>
          <w:i/>
        </w:rPr>
        <w:t>sine qua non</w:t>
      </w:r>
      <w:r>
        <w:rPr>
          <w:rFonts w:ascii="Palatino Linotype" w:hAnsi="Palatino Linotype" w:cs="Arial"/>
        </w:rPr>
        <w:t xml:space="preserve"> que los particulares y, en su caso, los recurrentes deban señalar, por el contrario la Ley de Transparencia prevé en su artículo 155, párrafo segundo la pos</w:t>
      </w:r>
      <w:bookmarkStart w:id="1" w:name="_GoBack"/>
      <w:bookmarkEnd w:id="1"/>
      <w:r>
        <w:rPr>
          <w:rFonts w:ascii="Palatino Linotype" w:hAnsi="Palatino Linotype" w:cs="Arial"/>
        </w:rPr>
        <w:t>ibilidad de que las solicitudes de información sean anónimas, con nombre incompleto o seudónimo.</w:t>
      </w:r>
    </w:p>
    <w:p w14:paraId="337E80D2" w14:textId="77777777" w:rsidR="00DE0E3F" w:rsidRDefault="00DE0E3F" w:rsidP="00DE0E3F">
      <w:pPr>
        <w:pStyle w:val="Prrafodelista"/>
        <w:widowControl w:val="0"/>
        <w:autoSpaceDE w:val="0"/>
        <w:autoSpaceDN w:val="0"/>
        <w:adjustRightInd w:val="0"/>
        <w:ind w:left="0"/>
        <w:jc w:val="both"/>
        <w:rPr>
          <w:rFonts w:ascii="Palatino Linotype" w:hAnsi="Palatino Linotype"/>
          <w:highlight w:val="yellow"/>
        </w:rPr>
      </w:pPr>
    </w:p>
    <w:p w14:paraId="1720D07C" w14:textId="77777777" w:rsidR="00DE0E3F" w:rsidRDefault="00DE0E3F" w:rsidP="00DE0E3F">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Pr>
          <w:rFonts w:ascii="Palatino Linotype" w:hAnsi="Palatino Linotype" w:cs="Arial"/>
        </w:rPr>
        <w:t>derecho</w:t>
      </w:r>
      <w:r>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w:t>
      </w:r>
      <w:r>
        <w:rPr>
          <w:rFonts w:ascii="Palatino Linotype" w:hAnsi="Palatino Linotype"/>
        </w:rPr>
        <w:lastRenderedPageBreak/>
        <w:t>certeza sobre su identidad.</w:t>
      </w:r>
    </w:p>
    <w:p w14:paraId="61361E43" w14:textId="77777777" w:rsidR="00DE0E3F" w:rsidRDefault="00DE0E3F" w:rsidP="007B0046">
      <w:pPr>
        <w:tabs>
          <w:tab w:val="left" w:pos="709"/>
        </w:tabs>
        <w:spacing w:before="240" w:line="360" w:lineRule="auto"/>
        <w:ind w:right="51"/>
        <w:jc w:val="both"/>
        <w:rPr>
          <w:rFonts w:ascii="Palatino Linotype" w:hAnsi="Palatino Linotype"/>
          <w:b/>
          <w:sz w:val="28"/>
          <w:szCs w:val="28"/>
        </w:rPr>
      </w:pPr>
    </w:p>
    <w:p w14:paraId="2B8839C4" w14:textId="77777777" w:rsidR="00116A83" w:rsidRDefault="00116A83" w:rsidP="00116A8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 xml:space="preserve">CUARTO. </w:t>
      </w:r>
      <w:r w:rsidRPr="009510B5">
        <w:rPr>
          <w:rFonts w:ascii="Palatino Linotype" w:hAnsi="Palatino Linotype" w:cs="Arial"/>
          <w:b/>
          <w:sz w:val="28"/>
          <w:szCs w:val="28"/>
        </w:rPr>
        <w:t>Del estudio de las causas de improcedencia y sobreseimiento</w:t>
      </w:r>
    </w:p>
    <w:p w14:paraId="241CF04B" w14:textId="77777777" w:rsidR="00116A83" w:rsidRDefault="00116A83" w:rsidP="00116A83">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053B29CB" w14:textId="77777777" w:rsidR="00116A83" w:rsidRDefault="00116A83" w:rsidP="00116A83">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Resolutor; presupuestos procesales de inicio o trámite de un proceso que dotan de seguridad jurídica la resolución emitida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w:t>
      </w:r>
      <w:r w:rsidRPr="00FC0BF5">
        <w:rPr>
          <w:rFonts w:ascii="Palatino Linotype" w:hAnsi="Palatino Linotype" w:cs="Arial"/>
        </w:rPr>
        <w:t>Estudio de causales de</w:t>
      </w:r>
      <w:r>
        <w:rPr>
          <w:rFonts w:ascii="Palatino Linotype" w:hAnsi="Palatino Linotype" w:cs="Arial"/>
        </w:rPr>
        <w:t xml:space="preserve"> improcedencia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49BEFB3B" w14:textId="77777777" w:rsidR="00116A83" w:rsidRDefault="00116A83" w:rsidP="00116A83">
      <w:pPr>
        <w:autoSpaceDE w:val="0"/>
        <w:autoSpaceDN w:val="0"/>
        <w:adjustRightInd w:val="0"/>
        <w:spacing w:line="360" w:lineRule="auto"/>
        <w:jc w:val="both"/>
        <w:rPr>
          <w:rFonts w:ascii="Palatino Linotype" w:hAnsi="Palatino Linotype" w:cs="Arial"/>
          <w:sz w:val="24"/>
          <w:szCs w:val="24"/>
        </w:rPr>
      </w:pPr>
      <w:r w:rsidRPr="00552846">
        <w:rPr>
          <w:rFonts w:ascii="Palatino Linotype" w:hAnsi="Palatino Linotype" w:cs="Arial"/>
          <w:sz w:val="24"/>
          <w:szCs w:val="24"/>
        </w:rPr>
        <w:lastRenderedPageBreak/>
        <w:t>En primer término es necesario hacer alusión a la solicitud de información ya q</w:t>
      </w:r>
      <w:r>
        <w:rPr>
          <w:rFonts w:ascii="Palatino Linotype" w:hAnsi="Palatino Linotype" w:cs="Arial"/>
          <w:sz w:val="24"/>
          <w:szCs w:val="24"/>
        </w:rPr>
        <w:t>ue de ella deriva por un lado e</w:t>
      </w:r>
      <w:r w:rsidRPr="00552846">
        <w:rPr>
          <w:rFonts w:ascii="Palatino Linotype" w:hAnsi="Palatino Linotype" w:cs="Arial"/>
          <w:sz w:val="24"/>
          <w:szCs w:val="24"/>
        </w:rPr>
        <w:t xml:space="preserve">l procedimiento de acceso a la información ante </w:t>
      </w:r>
      <w:r w:rsidRPr="00FE69D7">
        <w:rPr>
          <w:rFonts w:ascii="Palatino Linotype" w:hAnsi="Palatino Linotype" w:cs="Arial"/>
          <w:b/>
          <w:sz w:val="24"/>
          <w:szCs w:val="24"/>
        </w:rPr>
        <w:t>El Sujeto Obligado</w:t>
      </w:r>
      <w:r w:rsidRPr="00552846">
        <w:rPr>
          <w:rFonts w:ascii="Palatino Linotype" w:hAnsi="Palatino Linotype" w:cs="Arial"/>
          <w:sz w:val="24"/>
          <w:szCs w:val="24"/>
        </w:rPr>
        <w:t>, y por otro lado la materia sobre la que versara el recurso de</w:t>
      </w:r>
      <w:r>
        <w:rPr>
          <w:rFonts w:ascii="Palatino Linotype" w:hAnsi="Palatino Linotype" w:cs="Arial"/>
          <w:sz w:val="24"/>
          <w:szCs w:val="24"/>
        </w:rPr>
        <w:t xml:space="preserve"> </w:t>
      </w:r>
      <w:r w:rsidRPr="00552846">
        <w:rPr>
          <w:rFonts w:ascii="Palatino Linotype" w:hAnsi="Palatino Linotype" w:cs="Arial"/>
          <w:sz w:val="24"/>
          <w:szCs w:val="24"/>
        </w:rPr>
        <w:t>revisión ante este Órgano Garante; se resalta la innegable necesidad de</w:t>
      </w:r>
      <w:r>
        <w:rPr>
          <w:rFonts w:ascii="Palatino Linotype" w:hAnsi="Palatino Linotype" w:cs="Arial"/>
          <w:sz w:val="24"/>
          <w:szCs w:val="24"/>
        </w:rPr>
        <w:t xml:space="preserve"> </w:t>
      </w:r>
      <w:r w:rsidRPr="00552846">
        <w:rPr>
          <w:rFonts w:ascii="Palatino Linotype" w:hAnsi="Palatino Linotype" w:cs="Arial"/>
          <w:sz w:val="24"/>
          <w:szCs w:val="24"/>
        </w:rPr>
        <w:t>interpretar el texto de las solicitud, porque no se podría entender el derecho de</w:t>
      </w:r>
      <w:r>
        <w:rPr>
          <w:rFonts w:ascii="Palatino Linotype" w:hAnsi="Palatino Linotype" w:cs="Arial"/>
          <w:sz w:val="24"/>
          <w:szCs w:val="24"/>
        </w:rPr>
        <w:t xml:space="preserve"> </w:t>
      </w:r>
      <w:r w:rsidRPr="00552846">
        <w:rPr>
          <w:rFonts w:ascii="Palatino Linotype" w:hAnsi="Palatino Linotype" w:cs="Arial"/>
          <w:sz w:val="24"/>
          <w:szCs w:val="24"/>
        </w:rPr>
        <w:t>acceso a la información sin la existencia de solicitudes de información a la luz de</w:t>
      </w:r>
      <w:r>
        <w:rPr>
          <w:rFonts w:ascii="Palatino Linotype" w:hAnsi="Palatino Linotype" w:cs="Arial"/>
          <w:sz w:val="24"/>
          <w:szCs w:val="24"/>
        </w:rPr>
        <w:t xml:space="preserve"> </w:t>
      </w:r>
      <w:r w:rsidRPr="00552846">
        <w:rPr>
          <w:rFonts w:ascii="Palatino Linotype" w:hAnsi="Palatino Linotype" w:cs="Arial"/>
          <w:sz w:val="24"/>
          <w:szCs w:val="24"/>
        </w:rPr>
        <w:t>su interpretación ya que ésta es la fuente de la materia objeto de la transparencia</w:t>
      </w:r>
      <w:r>
        <w:rPr>
          <w:rFonts w:ascii="Palatino Linotype" w:hAnsi="Palatino Linotype" w:cs="Arial"/>
          <w:sz w:val="24"/>
          <w:szCs w:val="24"/>
        </w:rPr>
        <w:t xml:space="preserve"> </w:t>
      </w:r>
      <w:r w:rsidRPr="00552846">
        <w:rPr>
          <w:rFonts w:ascii="Palatino Linotype" w:hAnsi="Palatino Linotype" w:cs="Arial"/>
          <w:sz w:val="24"/>
          <w:szCs w:val="24"/>
        </w:rPr>
        <w:t>específica en cada recurso de revisión; es decir, no podemos establecer una</w:t>
      </w:r>
      <w:r>
        <w:rPr>
          <w:rFonts w:ascii="Palatino Linotype" w:hAnsi="Palatino Linotype" w:cs="Arial"/>
          <w:sz w:val="24"/>
          <w:szCs w:val="24"/>
        </w:rPr>
        <w:t xml:space="preserve"> </w:t>
      </w:r>
      <w:r w:rsidRPr="00552846">
        <w:rPr>
          <w:rFonts w:ascii="Palatino Linotype" w:hAnsi="Palatino Linotype" w:cs="Arial"/>
          <w:sz w:val="24"/>
          <w:szCs w:val="24"/>
        </w:rPr>
        <w:t>materia o un tema como objeto de derecho de acceso a la información, si de la</w:t>
      </w:r>
      <w:r>
        <w:rPr>
          <w:rFonts w:ascii="Palatino Linotype" w:hAnsi="Palatino Linotype" w:cs="Arial"/>
          <w:sz w:val="24"/>
          <w:szCs w:val="24"/>
        </w:rPr>
        <w:t xml:space="preserve"> </w:t>
      </w:r>
      <w:r w:rsidRPr="00552846">
        <w:rPr>
          <w:rFonts w:ascii="Palatino Linotype" w:hAnsi="Palatino Linotype" w:cs="Arial"/>
          <w:sz w:val="24"/>
          <w:szCs w:val="24"/>
        </w:rPr>
        <w:t>solicitud no se entiende o no se precisan temas o materias objetivas; por ello es</w:t>
      </w:r>
      <w:r>
        <w:rPr>
          <w:rFonts w:ascii="Palatino Linotype" w:hAnsi="Palatino Linotype" w:cs="Arial"/>
          <w:sz w:val="24"/>
          <w:szCs w:val="24"/>
        </w:rPr>
        <w:t xml:space="preserve"> </w:t>
      </w:r>
      <w:r w:rsidRPr="00552846">
        <w:rPr>
          <w:rFonts w:ascii="Palatino Linotype" w:hAnsi="Palatino Linotype" w:cs="Arial"/>
          <w:sz w:val="24"/>
          <w:szCs w:val="24"/>
        </w:rPr>
        <w:t>de notoria importancia el trabajo de interpretación que se le dé a las solicitudes de</w:t>
      </w:r>
      <w:r>
        <w:rPr>
          <w:rFonts w:ascii="Palatino Linotype" w:hAnsi="Palatino Linotype" w:cs="Arial"/>
          <w:sz w:val="24"/>
          <w:szCs w:val="24"/>
        </w:rPr>
        <w:t xml:space="preserve"> </w:t>
      </w:r>
      <w:r w:rsidRPr="00552846">
        <w:rPr>
          <w:rFonts w:ascii="Palatino Linotype" w:hAnsi="Palatino Linotype" w:cs="Arial"/>
          <w:sz w:val="24"/>
          <w:szCs w:val="24"/>
        </w:rPr>
        <w:t>información, ya que el sujeto obligado puede considerar una circunstancia en</w:t>
      </w:r>
      <w:r>
        <w:rPr>
          <w:rFonts w:ascii="Palatino Linotype" w:hAnsi="Palatino Linotype" w:cs="Arial"/>
          <w:sz w:val="24"/>
          <w:szCs w:val="24"/>
        </w:rPr>
        <w:t xml:space="preserve"> </w:t>
      </w:r>
      <w:r w:rsidRPr="00552846">
        <w:rPr>
          <w:rFonts w:ascii="Palatino Linotype" w:hAnsi="Palatino Linotype" w:cs="Arial"/>
          <w:sz w:val="24"/>
          <w:szCs w:val="24"/>
        </w:rPr>
        <w:t>particular diversa a la que el particular objetivamente requiere.</w:t>
      </w:r>
    </w:p>
    <w:p w14:paraId="3EB8DFE6" w14:textId="77777777" w:rsidR="00116A83" w:rsidRDefault="00116A83" w:rsidP="00116A83">
      <w:pPr>
        <w:autoSpaceDE w:val="0"/>
        <w:autoSpaceDN w:val="0"/>
        <w:adjustRightInd w:val="0"/>
        <w:spacing w:line="360" w:lineRule="auto"/>
        <w:jc w:val="both"/>
        <w:rPr>
          <w:rFonts w:ascii="Palatino Linotype" w:hAnsi="Palatino Linotype" w:cs="Arial"/>
          <w:sz w:val="24"/>
          <w:szCs w:val="24"/>
        </w:rPr>
      </w:pPr>
      <w:r w:rsidRPr="004B3753">
        <w:rPr>
          <w:rFonts w:ascii="Palatino Linotype" w:hAnsi="Palatino Linotype" w:cs="Arial"/>
          <w:sz w:val="24"/>
          <w:szCs w:val="24"/>
        </w:rPr>
        <w:t xml:space="preserve">Ya que el planteamiento del problema es de toral importancia, a efecto de determinar la intención o voluntad </w:t>
      </w:r>
      <w:r>
        <w:rPr>
          <w:rFonts w:ascii="Palatino Linotype" w:hAnsi="Palatino Linotype" w:cs="Arial"/>
          <w:sz w:val="24"/>
          <w:szCs w:val="24"/>
        </w:rPr>
        <w:t>del</w:t>
      </w:r>
      <w:r>
        <w:rPr>
          <w:rFonts w:ascii="Palatino Linotype" w:hAnsi="Palatino Linotype" w:cs="Arial"/>
          <w:b/>
          <w:sz w:val="24"/>
          <w:szCs w:val="24"/>
        </w:rPr>
        <w:t xml:space="preserve"> </w:t>
      </w:r>
      <w:r w:rsidRPr="004B3753">
        <w:rPr>
          <w:rFonts w:ascii="Palatino Linotype" w:hAnsi="Palatino Linotype" w:cs="Arial"/>
          <w:b/>
          <w:sz w:val="24"/>
          <w:szCs w:val="24"/>
        </w:rPr>
        <w:t>Recurrente</w:t>
      </w:r>
      <w:r w:rsidRPr="004B3753">
        <w:rPr>
          <w:rFonts w:ascii="Palatino Linotype" w:hAnsi="Palatino Linotype" w:cs="Arial"/>
          <w:sz w:val="24"/>
          <w:szCs w:val="24"/>
        </w:rPr>
        <w:t xml:space="preserve"> a la</w:t>
      </w:r>
      <w:r>
        <w:rPr>
          <w:rFonts w:ascii="Palatino Linotype" w:hAnsi="Palatino Linotype" w:cs="Arial"/>
          <w:sz w:val="24"/>
          <w:szCs w:val="24"/>
        </w:rPr>
        <w:t xml:space="preserve"> luz de la interpretación de la solicitud</w:t>
      </w:r>
      <w:r w:rsidRPr="004B3753">
        <w:rPr>
          <w:rFonts w:ascii="Palatino Linotype" w:hAnsi="Palatino Linotype" w:cs="Arial"/>
          <w:sz w:val="24"/>
          <w:szCs w:val="24"/>
        </w:rPr>
        <w:t xml:space="preserve"> de información, y que puede genera</w:t>
      </w:r>
      <w:r>
        <w:rPr>
          <w:rFonts w:ascii="Palatino Linotype" w:hAnsi="Palatino Linotype" w:cs="Arial"/>
          <w:sz w:val="24"/>
          <w:szCs w:val="24"/>
        </w:rPr>
        <w:t xml:space="preserve">r de forma objetiva y material </w:t>
      </w:r>
      <w:r w:rsidRPr="009A18AC">
        <w:rPr>
          <w:rFonts w:ascii="Palatino Linotype" w:hAnsi="Palatino Linotype" w:cs="Arial"/>
          <w:b/>
          <w:sz w:val="24"/>
          <w:szCs w:val="24"/>
        </w:rPr>
        <w:t>El Sujeto Obligado</w:t>
      </w:r>
      <w:r w:rsidRPr="004B3753">
        <w:rPr>
          <w:rFonts w:ascii="Palatino Linotype" w:hAnsi="Palatino Linotype" w:cs="Arial"/>
          <w:sz w:val="24"/>
          <w:szCs w:val="24"/>
        </w:rPr>
        <w:t xml:space="preserve"> </w:t>
      </w:r>
      <w:r w:rsidRPr="004B3753">
        <w:rPr>
          <w:rFonts w:ascii="Palatino Linotype" w:hAnsi="Palatino Linotype" w:cs="Arial"/>
          <w:sz w:val="24"/>
          <w:szCs w:val="24"/>
        </w:rPr>
        <w:lastRenderedPageBreak/>
        <w:t>que se relacione con esa intención, respecto del presente asunto se realiza a continuación.</w:t>
      </w:r>
    </w:p>
    <w:p w14:paraId="7EA41DC2" w14:textId="7518B04D" w:rsidR="00061CD8" w:rsidRDefault="000E5F05" w:rsidP="000E5F05">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t xml:space="preserve">Una vez sentado lo anterior, de una interpretación armónica a la solicitud de información </w:t>
      </w:r>
      <w:r w:rsidR="00282C20">
        <w:rPr>
          <w:rFonts w:ascii="Palatino Linotype" w:hAnsi="Palatino Linotype" w:cs="Arial"/>
          <w:b/>
          <w:bCs/>
          <w:sz w:val="24"/>
          <w:szCs w:val="24"/>
        </w:rPr>
        <w:t>01315/SF/IP/2023 y 01314/SF/IP/2023</w:t>
      </w:r>
      <w:r w:rsidR="00061CD8">
        <w:rPr>
          <w:rFonts w:ascii="Palatino Linotype" w:hAnsi="Palatino Linotype" w:cs="Arial"/>
          <w:b/>
          <w:bCs/>
          <w:sz w:val="24"/>
          <w:szCs w:val="24"/>
        </w:rPr>
        <w:t xml:space="preserve"> </w:t>
      </w:r>
      <w:r w:rsidR="00061CD8">
        <w:rPr>
          <w:rFonts w:ascii="Palatino Linotype" w:hAnsi="Palatino Linotype" w:cs="Arial"/>
          <w:sz w:val="24"/>
          <w:szCs w:val="24"/>
        </w:rPr>
        <w:t>se desprenden las siguientes consideraciones:</w:t>
      </w:r>
    </w:p>
    <w:p w14:paraId="5AD5F544" w14:textId="77777777" w:rsidR="00061CD8" w:rsidRPr="00282C20" w:rsidRDefault="00061CD8" w:rsidP="00A04796">
      <w:pPr>
        <w:pStyle w:val="Prrafodelista"/>
        <w:numPr>
          <w:ilvl w:val="0"/>
          <w:numId w:val="1"/>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Que el derecho de acceso a la información pública estriba en la prerrogativa de carácter constitucional que reconoce la potestad de los ciudadanos para solicitar soportes </w:t>
      </w:r>
      <w:r w:rsidRPr="00282C20">
        <w:rPr>
          <w:rFonts w:ascii="Palatino Linotype" w:hAnsi="Palatino Linotype" w:cs="Arial"/>
        </w:rPr>
        <w:t xml:space="preserve">documentales generados, poseídos o administrados por los </w:t>
      </w:r>
      <w:r w:rsidRPr="00282C20">
        <w:rPr>
          <w:rFonts w:ascii="Palatino Linotype" w:hAnsi="Palatino Linotype" w:cs="Arial"/>
          <w:b/>
          <w:bCs/>
        </w:rPr>
        <w:t>Sujetos Obligados.</w:t>
      </w:r>
    </w:p>
    <w:p w14:paraId="55E314BD" w14:textId="77777777" w:rsidR="007B5155" w:rsidRPr="00690743" w:rsidRDefault="007B5155" w:rsidP="007B5155">
      <w:pPr>
        <w:pStyle w:val="Prrafodelista"/>
        <w:autoSpaceDE w:val="0"/>
        <w:autoSpaceDN w:val="0"/>
        <w:adjustRightInd w:val="0"/>
        <w:spacing w:line="360" w:lineRule="auto"/>
        <w:ind w:left="785"/>
        <w:jc w:val="both"/>
        <w:rPr>
          <w:rFonts w:ascii="Palatino Linotype" w:hAnsi="Palatino Linotype" w:cs="Arial"/>
        </w:rPr>
      </w:pPr>
    </w:p>
    <w:p w14:paraId="2CC2E29F" w14:textId="3036C15A" w:rsidR="007B5155" w:rsidRPr="007B5155" w:rsidRDefault="007B5155" w:rsidP="00A04796">
      <w:pPr>
        <w:pStyle w:val="Prrafodelista"/>
        <w:numPr>
          <w:ilvl w:val="0"/>
          <w:numId w:val="3"/>
        </w:numPr>
        <w:autoSpaceDE w:val="0"/>
        <w:autoSpaceDN w:val="0"/>
        <w:adjustRightInd w:val="0"/>
        <w:spacing w:before="240" w:line="360" w:lineRule="auto"/>
        <w:jc w:val="both"/>
        <w:rPr>
          <w:rFonts w:ascii="Palatino Linotype" w:hAnsi="Palatino Linotype"/>
        </w:rPr>
      </w:pPr>
      <w:r w:rsidRPr="007B5155">
        <w:rPr>
          <w:rFonts w:ascii="Palatino Linotype" w:hAnsi="Palatino Linotype" w:cs="Arial"/>
        </w:rPr>
        <w:t xml:space="preserve">Que en alusión </w:t>
      </w:r>
      <w:r w:rsidR="00B40BC6">
        <w:rPr>
          <w:rFonts w:ascii="Palatino Linotype" w:hAnsi="Palatino Linotype" w:cs="Arial"/>
        </w:rPr>
        <w:t xml:space="preserve">al requerimiento </w:t>
      </w:r>
      <w:r w:rsidR="00B40BC6">
        <w:rPr>
          <w:rFonts w:ascii="Palatino Linotype" w:hAnsi="Palatino Linotype" w:cs="Arial"/>
          <w:b/>
          <w:bCs/>
        </w:rPr>
        <w:t>2 -dos-,</w:t>
      </w:r>
      <w:r w:rsidRPr="007B5155">
        <w:rPr>
          <w:rFonts w:ascii="Palatino Linotype" w:hAnsi="Palatino Linotype" w:cs="Arial"/>
          <w:b/>
          <w:bCs/>
        </w:rPr>
        <w:t xml:space="preserve"> </w:t>
      </w:r>
      <w:r w:rsidR="00B40BC6">
        <w:rPr>
          <w:rFonts w:ascii="Palatino Linotype" w:hAnsi="Palatino Linotype" w:cs="Arial"/>
        </w:rPr>
        <w:t>respecto del cual</w:t>
      </w:r>
      <w:r w:rsidRPr="007B5155">
        <w:rPr>
          <w:rFonts w:ascii="Palatino Linotype" w:hAnsi="Palatino Linotype" w:cs="Arial"/>
        </w:rPr>
        <w:t xml:space="preserve"> el particular no identificó de forma precisa </w:t>
      </w:r>
      <w:r w:rsidRPr="007B5155">
        <w:rPr>
          <w:rFonts w:ascii="Palatino Linotype" w:hAnsi="Palatino Linotype"/>
        </w:rPr>
        <w:t xml:space="preserve">el documento requerido, bastará con que se remita cualquiera que refleje la información requerida. Al respecto, cobra relevancia el criterio emitido por el Órgano Garante Nacional con número </w:t>
      </w:r>
      <w:r w:rsidRPr="007B5155">
        <w:rPr>
          <w:rFonts w:ascii="Palatino Linotype" w:hAnsi="Palatino Linotype"/>
          <w:b/>
          <w:bCs/>
        </w:rPr>
        <w:t xml:space="preserve">16/17 </w:t>
      </w:r>
      <w:r w:rsidRPr="007B5155">
        <w:rPr>
          <w:rFonts w:ascii="Palatino Linotype" w:hAnsi="Palatino Linotype"/>
        </w:rPr>
        <w:t>cuyo rubro y texto disponen a la literalidad lo siguiente:</w:t>
      </w:r>
    </w:p>
    <w:p w14:paraId="4B7CB432" w14:textId="77777777" w:rsidR="007B5155" w:rsidRPr="00AB5B4A" w:rsidRDefault="007B5155" w:rsidP="007B5155">
      <w:pPr>
        <w:pStyle w:val="Citas"/>
        <w:jc w:val="center"/>
        <w:rPr>
          <w:b/>
          <w:bCs/>
          <w:sz w:val="24"/>
          <w:szCs w:val="24"/>
        </w:rPr>
      </w:pPr>
      <w:r w:rsidRPr="00AB5B4A">
        <w:rPr>
          <w:b/>
          <w:bCs/>
          <w:sz w:val="24"/>
          <w:szCs w:val="24"/>
        </w:rPr>
        <w:t>“EXPRESIÓN DOCUMENTAL.</w:t>
      </w:r>
    </w:p>
    <w:p w14:paraId="0A19B21E" w14:textId="77777777" w:rsidR="007B5155" w:rsidRPr="00AB5B4A" w:rsidRDefault="007B5155" w:rsidP="007B5155">
      <w:pPr>
        <w:pStyle w:val="Citas"/>
        <w:rPr>
          <w:szCs w:val="24"/>
        </w:rPr>
      </w:pPr>
      <w:r w:rsidRPr="00AB5B4A">
        <w:rPr>
          <w:bCs/>
          <w:szCs w:val="24"/>
        </w:rPr>
        <w:t>Cuando</w:t>
      </w:r>
      <w:r w:rsidRPr="00AB5B4A">
        <w:rPr>
          <w:lang w:val="es-ES"/>
        </w:rPr>
        <w:t xml:space="preserve"> los particulares presenten solicitudes de acceso a la información sin identificar de forma precisa la documentación que pudiera contener la información de su interés, </w:t>
      </w:r>
      <w:r w:rsidRPr="00AB5B4A">
        <w:rPr>
          <w:szCs w:val="24"/>
        </w:rPr>
        <w:t>o bien, la solicitud constituya una consulta,</w:t>
      </w:r>
      <w:r w:rsidRPr="00AB5B4A">
        <w:rPr>
          <w:lang w:val="es-ES"/>
        </w:rPr>
        <w:t xml:space="preserve"> pero la respuesta pudiera obrar en algún documento en poder de los sujetos obligados, éstos deben dar a dichas solicitudes una interpretación que les otorgue una expresión documental. </w:t>
      </w:r>
    </w:p>
    <w:p w14:paraId="16D2D51C" w14:textId="77777777" w:rsidR="007B5155" w:rsidRPr="00AB5B4A" w:rsidRDefault="007B5155" w:rsidP="007B5155">
      <w:pPr>
        <w:pStyle w:val="Citas"/>
        <w:rPr>
          <w:b/>
        </w:rPr>
      </w:pPr>
      <w:r w:rsidRPr="00AB5B4A">
        <w:rPr>
          <w:b/>
        </w:rPr>
        <w:lastRenderedPageBreak/>
        <w:t>Precedentes:</w:t>
      </w:r>
    </w:p>
    <w:p w14:paraId="31464D18" w14:textId="77777777" w:rsidR="007B5155" w:rsidRPr="00AB5B4A" w:rsidRDefault="007B5155" w:rsidP="00A04796">
      <w:pPr>
        <w:pStyle w:val="Citas"/>
        <w:numPr>
          <w:ilvl w:val="0"/>
          <w:numId w:val="4"/>
        </w:numPr>
        <w:rPr>
          <w:color w:val="000000"/>
        </w:rPr>
      </w:pPr>
      <w:r w:rsidRPr="00AB5B4A">
        <w:t xml:space="preserve">Acceso a la información pública. RRA 0774/16. Sesión del 31 de agosto de 2016. Votación por unanimidad. </w:t>
      </w:r>
      <w:r w:rsidRPr="00AB5B4A">
        <w:rPr>
          <w:rFonts w:eastAsia="Arial"/>
        </w:rPr>
        <w:t>Sin votos disidentes o particulares.</w:t>
      </w:r>
      <w:r w:rsidRPr="00AB5B4A">
        <w:t xml:space="preserve"> Secretaría de Salud. Comisionada Ponente María Patricia </w:t>
      </w:r>
      <w:proofErr w:type="spellStart"/>
      <w:r w:rsidRPr="00AB5B4A">
        <w:t>Kurczyn</w:t>
      </w:r>
      <w:proofErr w:type="spellEnd"/>
      <w:r w:rsidRPr="00AB5B4A">
        <w:t xml:space="preserve"> Villalobos.</w:t>
      </w:r>
    </w:p>
    <w:p w14:paraId="710854DA" w14:textId="77777777" w:rsidR="007B5155" w:rsidRPr="00AB5B4A" w:rsidRDefault="007B5155" w:rsidP="00A04796">
      <w:pPr>
        <w:pStyle w:val="Citas"/>
        <w:numPr>
          <w:ilvl w:val="0"/>
          <w:numId w:val="4"/>
        </w:numPr>
        <w:rPr>
          <w:color w:val="000000"/>
        </w:rPr>
      </w:pPr>
      <w:r w:rsidRPr="00AB5B4A">
        <w:t xml:space="preserve">Acceso a la información pública. RRA 0143/17. Sesión del 22 de febrero de 2017. Votación por unanimidad. </w:t>
      </w:r>
      <w:r w:rsidRPr="00AB5B4A">
        <w:rPr>
          <w:rFonts w:eastAsia="Arial"/>
        </w:rPr>
        <w:t>Sin votos disidentes o particulares.</w:t>
      </w:r>
      <w:r w:rsidRPr="00AB5B4A">
        <w:t xml:space="preserve"> Universidad Autónoma Agraria Antonio Narro. Comisionado Ponente Oscar Mauricio Guerra Ford. </w:t>
      </w:r>
    </w:p>
    <w:p w14:paraId="0DFFE362" w14:textId="1B8502D3" w:rsidR="007B5155" w:rsidRPr="007B5155" w:rsidRDefault="007B5155" w:rsidP="00A04796">
      <w:pPr>
        <w:pStyle w:val="Citas"/>
        <w:numPr>
          <w:ilvl w:val="0"/>
          <w:numId w:val="4"/>
        </w:numPr>
        <w:rPr>
          <w:color w:val="000000"/>
        </w:rPr>
      </w:pPr>
      <w:r w:rsidRPr="00AB5B4A">
        <w:t xml:space="preserve">Acceso a la información pública. RRA 0540/17. Sesión del 08 de marzo del 2017. Votación por unanimidad. </w:t>
      </w:r>
      <w:r w:rsidRPr="00AB5B4A">
        <w:rPr>
          <w:rFonts w:eastAsia="Arial"/>
        </w:rPr>
        <w:t>Sin votos disidentes o particulares.</w:t>
      </w:r>
      <w:r w:rsidRPr="00AB5B4A">
        <w:t xml:space="preserve"> Secretaría de Economía. Comisionado Ponente Francisco Javier Acuña Llamas. “ </w:t>
      </w:r>
      <w:r w:rsidRPr="00AB5B4A">
        <w:rPr>
          <w:b/>
          <w:bCs/>
        </w:rPr>
        <w:t>(Sic)</w:t>
      </w:r>
    </w:p>
    <w:p w14:paraId="3B093341" w14:textId="77777777" w:rsidR="007B5155" w:rsidRDefault="007B5155" w:rsidP="007B5155">
      <w:pPr>
        <w:autoSpaceDE w:val="0"/>
        <w:autoSpaceDN w:val="0"/>
        <w:adjustRightInd w:val="0"/>
        <w:spacing w:line="360" w:lineRule="auto"/>
        <w:jc w:val="both"/>
        <w:rPr>
          <w:rFonts w:ascii="Palatino Linotype" w:hAnsi="Palatino Linotype" w:cs="Arial"/>
        </w:rPr>
      </w:pPr>
    </w:p>
    <w:p w14:paraId="5DD6272D" w14:textId="77777777" w:rsidR="007B5155" w:rsidRPr="0051062B" w:rsidRDefault="007B5155" w:rsidP="007B5155">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7BA9D444" w14:textId="77777777" w:rsidR="007B5155" w:rsidRPr="0051062B" w:rsidRDefault="007B5155" w:rsidP="007B5155">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3D413CA0" w14:textId="77777777" w:rsidR="007B5155" w:rsidRPr="0051062B" w:rsidRDefault="007B5155" w:rsidP="007B5155">
      <w:pPr>
        <w:pStyle w:val="Citas"/>
        <w:rPr>
          <w:b/>
        </w:rPr>
      </w:pPr>
      <w:r w:rsidRPr="0051062B">
        <w:rPr>
          <w:b/>
        </w:rPr>
        <w:t xml:space="preserve">Artículo 181. … </w:t>
      </w:r>
    </w:p>
    <w:p w14:paraId="0ABF8CC9" w14:textId="77777777" w:rsidR="007B5155" w:rsidRDefault="007B5155" w:rsidP="007B5155">
      <w:pPr>
        <w:pStyle w:val="Citas"/>
        <w:rPr>
          <w:b/>
        </w:rPr>
      </w:pPr>
      <w:r w:rsidRPr="0051062B">
        <w:t xml:space="preserve">Durante el procedimiento deberá aplicarse la suplencia de la queja a favor del recurrente, sin cambiar los hechos expuestos, asegurándose de que las partes puedan </w:t>
      </w:r>
      <w:r w:rsidRPr="0051062B">
        <w:lastRenderedPageBreak/>
        <w:t xml:space="preserve">presentar, de manera oral o escrita, los argumentos que funden y motiven sus pretensiones.” </w:t>
      </w:r>
      <w:r w:rsidRPr="0051062B">
        <w:rPr>
          <w:b/>
        </w:rPr>
        <w:t>[Sic]</w:t>
      </w:r>
    </w:p>
    <w:p w14:paraId="1EEC0EBE" w14:textId="77777777" w:rsidR="00B40BC6" w:rsidRDefault="00B40BC6" w:rsidP="00061CD8">
      <w:pPr>
        <w:spacing w:before="240" w:line="360" w:lineRule="auto"/>
        <w:jc w:val="both"/>
        <w:rPr>
          <w:rFonts w:ascii="Palatino Linotype" w:hAnsi="Palatino Linotype"/>
          <w:sz w:val="24"/>
          <w:szCs w:val="24"/>
        </w:rPr>
      </w:pPr>
      <w:bookmarkStart w:id="2" w:name="_Hlk150170173"/>
    </w:p>
    <w:p w14:paraId="538D9120" w14:textId="3FA458B6" w:rsidR="00061CD8" w:rsidRDefault="00061CD8" w:rsidP="00061CD8">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w:t>
      </w:r>
      <w:r w:rsidR="00DE430E">
        <w:rPr>
          <w:rFonts w:ascii="Palatino Linotype" w:hAnsi="Palatino Linotype"/>
          <w:sz w:val="24"/>
          <w:szCs w:val="24"/>
        </w:rPr>
        <w:t>la</w:t>
      </w:r>
      <w:r>
        <w:rPr>
          <w:rFonts w:ascii="Palatino Linotype" w:hAnsi="Palatino Linotype"/>
          <w:sz w:val="24"/>
          <w:szCs w:val="24"/>
        </w:rPr>
        <w:t xml:space="preserve"> ahora </w:t>
      </w:r>
      <w:r>
        <w:rPr>
          <w:rFonts w:ascii="Palatino Linotype" w:hAnsi="Palatino Linotype"/>
          <w:b/>
          <w:bCs/>
          <w:sz w:val="24"/>
          <w:szCs w:val="24"/>
        </w:rPr>
        <w:t xml:space="preserve">Recurrente, </w:t>
      </w:r>
      <w:r>
        <w:rPr>
          <w:rFonts w:ascii="Palatino Linotype" w:hAnsi="Palatino Linotype"/>
          <w:sz w:val="24"/>
          <w:szCs w:val="24"/>
        </w:rPr>
        <w:t xml:space="preserve">de manera objetiva se precisa que versa en conocer la siguiente información: </w:t>
      </w:r>
    </w:p>
    <w:p w14:paraId="4842A77A" w14:textId="736E6850" w:rsidR="007B5155" w:rsidRPr="007B5155" w:rsidRDefault="00282C20" w:rsidP="00061CD8">
      <w:pPr>
        <w:spacing w:before="240" w:line="360" w:lineRule="auto"/>
        <w:jc w:val="both"/>
        <w:rPr>
          <w:rFonts w:ascii="Palatino Linotype" w:hAnsi="Palatino Linotype"/>
          <w:b/>
          <w:bCs/>
          <w:sz w:val="24"/>
          <w:szCs w:val="24"/>
        </w:rPr>
      </w:pPr>
      <w:r>
        <w:rPr>
          <w:rFonts w:ascii="Palatino Linotype" w:hAnsi="Palatino Linotype"/>
          <w:b/>
          <w:bCs/>
          <w:sz w:val="24"/>
          <w:szCs w:val="24"/>
        </w:rPr>
        <w:t xml:space="preserve">Del C. Rodrigo Murillo </w:t>
      </w:r>
      <w:proofErr w:type="spellStart"/>
      <w:r>
        <w:rPr>
          <w:rFonts w:ascii="Palatino Linotype" w:hAnsi="Palatino Linotype"/>
          <w:b/>
          <w:bCs/>
          <w:sz w:val="24"/>
          <w:szCs w:val="24"/>
        </w:rPr>
        <w:t>Berrum</w:t>
      </w:r>
      <w:proofErr w:type="spellEnd"/>
    </w:p>
    <w:p w14:paraId="1BBE86BB" w14:textId="052E7E59" w:rsidR="00061CD8" w:rsidRDefault="007B5155" w:rsidP="00A04796">
      <w:pPr>
        <w:pStyle w:val="Prrafodelista"/>
        <w:numPr>
          <w:ilvl w:val="0"/>
          <w:numId w:val="2"/>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Recibos, comprobantes de pago o CFDI por concepto de pago de nómina, </w:t>
      </w:r>
      <w:r w:rsidR="00B40BC6">
        <w:rPr>
          <w:rFonts w:ascii="Palatino Linotype" w:hAnsi="Palatino Linotype" w:cs="Arial"/>
        </w:rPr>
        <w:t xml:space="preserve">correspondientes a los ejercicios 2018, 2019, 2020, 2021, 2022 y 2023. </w:t>
      </w:r>
    </w:p>
    <w:p w14:paraId="05E9E584" w14:textId="5A289E0F" w:rsidR="007B5155" w:rsidRDefault="007B5155" w:rsidP="00A04796">
      <w:pPr>
        <w:pStyle w:val="Prrafodelista"/>
        <w:numPr>
          <w:ilvl w:val="0"/>
          <w:numId w:val="2"/>
        </w:numPr>
        <w:autoSpaceDE w:val="0"/>
        <w:autoSpaceDN w:val="0"/>
        <w:adjustRightInd w:val="0"/>
        <w:spacing w:line="360" w:lineRule="auto"/>
        <w:jc w:val="both"/>
        <w:rPr>
          <w:rFonts w:ascii="Palatino Linotype" w:hAnsi="Palatino Linotype" w:cs="Arial"/>
        </w:rPr>
      </w:pPr>
      <w:r>
        <w:rPr>
          <w:rFonts w:ascii="Palatino Linotype" w:hAnsi="Palatino Linotype" w:cs="Arial"/>
        </w:rPr>
        <w:t>El o los documentos donde conste</w:t>
      </w:r>
      <w:r w:rsidR="00B40BC6">
        <w:rPr>
          <w:rFonts w:ascii="Palatino Linotype" w:hAnsi="Palatino Linotype" w:cs="Arial"/>
        </w:rPr>
        <w:t xml:space="preserve"> el sueldo, prestaciones ordinarias y prestaciones extraordinarias correspondientes a los ejercicios 2018, 2019, 2020, 2021 y 2023. </w:t>
      </w:r>
    </w:p>
    <w:bookmarkEnd w:id="2"/>
    <w:p w14:paraId="5794D60A" w14:textId="77777777" w:rsidR="00C266D8" w:rsidRDefault="00C266D8" w:rsidP="00595568">
      <w:pPr>
        <w:spacing w:after="0" w:line="360" w:lineRule="auto"/>
        <w:jc w:val="both"/>
        <w:rPr>
          <w:rFonts w:ascii="Palatino Linotype" w:hAnsi="Palatino Linotype" w:cs="Arial"/>
          <w:sz w:val="24"/>
          <w:szCs w:val="24"/>
        </w:rPr>
      </w:pPr>
    </w:p>
    <w:p w14:paraId="5FFC8D9D" w14:textId="06322BD4" w:rsidR="00595568" w:rsidRPr="0013478D" w:rsidRDefault="00405E83" w:rsidP="0013478D">
      <w:pPr>
        <w:spacing w:after="0" w:line="360" w:lineRule="auto"/>
        <w:jc w:val="both"/>
        <w:rPr>
          <w:rFonts w:ascii="Palatino Linotype" w:hAnsi="Palatino Linotype"/>
          <w:b/>
          <w:bCs/>
        </w:rPr>
      </w:pPr>
      <w:r>
        <w:rPr>
          <w:rFonts w:ascii="Palatino Linotype" w:hAnsi="Palatino Linotype" w:cs="Arial"/>
          <w:noProof/>
          <w:sz w:val="24"/>
          <w:szCs w:val="24"/>
          <w:lang w:eastAsia="es-MX"/>
        </w:rPr>
        <mc:AlternateContent>
          <mc:Choice Requires="wps">
            <w:drawing>
              <wp:anchor distT="0" distB="0" distL="114300" distR="114300" simplePos="0" relativeHeight="251791350" behindDoc="0" locked="0" layoutInCell="1" allowOverlap="1" wp14:anchorId="4DC8061C" wp14:editId="1F2000F6">
                <wp:simplePos x="0" y="0"/>
                <wp:positionH relativeFrom="column">
                  <wp:posOffset>55937</wp:posOffset>
                </wp:positionH>
                <wp:positionV relativeFrom="paragraph">
                  <wp:posOffset>1062932</wp:posOffset>
                </wp:positionV>
                <wp:extent cx="5832763" cy="1814946"/>
                <wp:effectExtent l="0" t="0" r="34925" b="33020"/>
                <wp:wrapNone/>
                <wp:docPr id="777538961" name="Straight Connector 5"/>
                <wp:cNvGraphicFramePr/>
                <a:graphic xmlns:a="http://schemas.openxmlformats.org/drawingml/2006/main">
                  <a:graphicData uri="http://schemas.microsoft.com/office/word/2010/wordprocessingShape">
                    <wps:wsp>
                      <wps:cNvCnPr/>
                      <wps:spPr>
                        <a:xfrm>
                          <a:off x="0" y="0"/>
                          <a:ext cx="5832763" cy="18149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F3A7D01" id="Straight Connector 5" o:spid="_x0000_s1026" style="position:absolute;z-index:251791350;visibility:visible;mso-wrap-style:square;mso-wrap-distance-left:9pt;mso-wrap-distance-top:0;mso-wrap-distance-right:9pt;mso-wrap-distance-bottom:0;mso-position-horizontal:absolute;mso-position-horizontal-relative:text;mso-position-vertical:absolute;mso-position-vertical-relative:text" from="4.4pt,83.7pt" to="463.65pt,2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iAsogEAAJoDAAAOAAAAZHJzL2Uyb0RvYy54bWysU8tu2zAQvBfIPxC815Kc1HUFyzkkSC9F&#10;GzTpBzDU0iLAF5asJf99l7QtF2mBokUvKz5mdneGq83tZA3bA0btXcebRc0ZOOl77XYd//b88HbN&#10;WUzC9cJ4Bx0/QOS326s3mzG0sPSDNz0goyQutmPo+JBSaKsqygGsiAsfwNGl8mhFoi3uqh7FSNmt&#10;qZZ1vapGj31ALyFGOr0/XvJtya8UyPRFqQiJmY5Tb6lELPElx2q7Ee0ORRi0PLUh/qELK7SjonOq&#10;e5EE+476l1RWS/TRq7SQ3lZeKS2haCA1Tf1KzdMgAhQtZE4Ms03x/6WVn/d37hHJhjHENoZHzCom&#10;hTZ/qT82FbMOs1kwJSbp8N36evl+dc2ZpLtm3dx8uFllO6sLPWBMH8FblhcdN9plNaIV+08xHaFn&#10;CPEuDZRVOhjIYOO+gmK6p5JNYZfZgDuDbC/oVYWU4FJzKl3Qmaa0MTOx/jPxhM9UKHPzN+SZUSp7&#10;l2ay1c7j76qn6dyyOuLPDhx1ZwtefH8oT1OsoQEo5p6GNU/Yz/tCv/xS2x8AAAD//wMAUEsDBBQA&#10;BgAIAAAAIQCKqEzv4gAAAAkBAAAPAAAAZHJzL2Rvd25yZXYueG1sTI/BTsMwEETvSPyDtUjcqENa&#10;2hLiVFUlRKmEKgpSObrxkgTidWS7Tfr3LCc47sxo5m2+GGwrTuhD40jB7SgBgVQ601Cl4P3t8WYO&#10;IkRNRreOUMEZAyyKy4tcZ8b19IqnXawEl1DItII6xi6TMpQ1Wh1GrkNi79N5qyOfvpLG657LbSvT&#10;JJlKqxvihVp3uKqx/N4drYIXv16vlpvzF20/bL9PN/vt8/Ck1PXVsHwAEXGIf2H4xWd0KJjp4I5k&#10;gmgVzBk8sjydTUCwf5/OxiAOCiZ34xRkkcv/HxQ/AAAA//8DAFBLAQItABQABgAIAAAAIQC2gziS&#10;/gAAAOEBAAATAAAAAAAAAAAAAAAAAAAAAABbQ29udGVudF9UeXBlc10ueG1sUEsBAi0AFAAGAAgA&#10;AAAhADj9If/WAAAAlAEAAAsAAAAAAAAAAAAAAAAALwEAAF9yZWxzLy5yZWxzUEsBAi0AFAAGAAgA&#10;AAAhAGd6ICyiAQAAmgMAAA4AAAAAAAAAAAAAAAAALgIAAGRycy9lMm9Eb2MueG1sUEsBAi0AFAAG&#10;AAgAAAAhAIqoTO/iAAAACQEAAA8AAAAAAAAAAAAAAAAA/AMAAGRycy9kb3ducmV2LnhtbFBLBQYA&#10;AAAABAAEAPMAAAALBQAAAAA=&#10;" strokecolor="#5b9bd5 [3204]" strokeweight=".5pt">
                <v:stroke joinstyle="miter"/>
              </v:line>
            </w:pict>
          </mc:Fallback>
        </mc:AlternateContent>
      </w:r>
      <w:r w:rsidR="00595568">
        <w:rPr>
          <w:rFonts w:ascii="Palatino Linotype" w:hAnsi="Palatino Linotype" w:cs="Arial"/>
          <w:sz w:val="24"/>
          <w:szCs w:val="24"/>
        </w:rPr>
        <w:t>Bajo este contexto, a efecto de identificar las unidades administrativas competentes se trae</w:t>
      </w:r>
      <w:r w:rsidR="0013478D">
        <w:rPr>
          <w:rFonts w:ascii="Palatino Linotype" w:hAnsi="Palatino Linotype" w:cs="Arial"/>
          <w:sz w:val="24"/>
          <w:szCs w:val="24"/>
        </w:rPr>
        <w:t xml:space="preserve"> a colación la siguiente imagen ilustrativa, correspondiente al organigrama del </w:t>
      </w:r>
      <w:r w:rsidR="0013478D">
        <w:rPr>
          <w:rFonts w:ascii="Palatino Linotype" w:hAnsi="Palatino Linotype" w:cs="Arial"/>
          <w:b/>
          <w:bCs/>
          <w:sz w:val="24"/>
          <w:szCs w:val="24"/>
        </w:rPr>
        <w:t xml:space="preserve">Sujeto Obligado: </w:t>
      </w:r>
    </w:p>
    <w:p w14:paraId="3310C0C6" w14:textId="427EE876" w:rsidR="00595568" w:rsidRDefault="00A23C9E" w:rsidP="000E5F05">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b/>
          <w:bCs/>
          <w:noProof/>
          <w:sz w:val="24"/>
          <w:szCs w:val="24"/>
          <w:lang w:eastAsia="es-MX"/>
        </w:rPr>
        <w:lastRenderedPageBreak/>
        <mc:AlternateContent>
          <mc:Choice Requires="wps">
            <w:drawing>
              <wp:anchor distT="0" distB="0" distL="114300" distR="114300" simplePos="0" relativeHeight="251787254" behindDoc="0" locked="0" layoutInCell="1" allowOverlap="1" wp14:anchorId="19A8BD27" wp14:editId="1105224D">
                <wp:simplePos x="0" y="0"/>
                <wp:positionH relativeFrom="column">
                  <wp:posOffset>4298315</wp:posOffset>
                </wp:positionH>
                <wp:positionV relativeFrom="paragraph">
                  <wp:posOffset>5480685</wp:posOffset>
                </wp:positionV>
                <wp:extent cx="971550" cy="819150"/>
                <wp:effectExtent l="0" t="0" r="19050" b="19050"/>
                <wp:wrapNone/>
                <wp:docPr id="216962685" name="Oval 2"/>
                <wp:cNvGraphicFramePr/>
                <a:graphic xmlns:a="http://schemas.openxmlformats.org/drawingml/2006/main">
                  <a:graphicData uri="http://schemas.microsoft.com/office/word/2010/wordprocessingShape">
                    <wps:wsp>
                      <wps:cNvSpPr/>
                      <wps:spPr>
                        <a:xfrm>
                          <a:off x="0" y="0"/>
                          <a:ext cx="971550" cy="81915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3BC26D2B" id="Oval 2" o:spid="_x0000_s1026" style="position:absolute;margin-left:338.45pt;margin-top:431.55pt;width:76.5pt;height:64.5pt;z-index:251787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8ZOfgIAAGEFAAAOAAAAZHJzL2Uyb0RvYy54bWysVM1u2zAMvg/YOwi6r46Ddm2DOkXQIsOA&#10;oivWDj0rshQLkEWNUuJkTz9KdpxgLXYY5oNMiuTHH5G8ud21lm0VBgOu4uXZhDPlJNTGrSv+42X5&#10;6YqzEIWrhQWnKr5Xgd/OP3646fxMTaEBWytkBOLCrPMVb2L0s6IIslGtCGfglSOhBmxFJBbXRY2i&#10;I/TWFtPJ5HPRAdYeQaoQ6Pa+F/J5xtdayfhN66AisxWn2GI+MZ+rdBbzGzFbo/CNkUMY4h+iaIVx&#10;5HSEuhdRsA2aN1CtkQgBdDyT0BagtZEq50DZlJM/snluhFc5FypO8GOZwv+DlY/bZ/+EVIbOh1kg&#10;MmWx09imP8XHdrlY+7FYaheZpMvry/LigkoqSXRVXpdEE0pxNPYY4hcFLUtExZW1xoeUjpiJ7UOI&#10;vfZBK107WBpr85NYly4CWFOnu8zgenVnkW0FveVyOaFv8HiiRv6TaXHMJlNxb1XCsO670szUFP80&#10;R5IbTY2wQkrlYtmLGlGr3hsld3SWWjNZ5GQzYELWFOWIPQAcNHuQA3af96CfTFXu09F48rfAeuPR&#10;InsGF0fj1jjA9wAsZTV47vUPRepLk6q0gnr/hAyhn5Lg5dLQ0z2IEJ8E0ljQa9Oox290aAtdxWGg&#10;OGsAf713n/SpW0nKWUdjVvHwcyNQcWa/Ourj6/L8PM1lZs4vLqfE4KlkdSpxm/YO6PVLWipeZjLp&#10;R3sgNUL7ShthkbySSDhJvisuIx6Yu9iPP+0UqRaLrEaz6EV8cM9eJvBU1dSXL7tXgX7o30iN/wiH&#10;kXzTw71usnSw2ETQJjf4sa5DvWmOc+MMOyctilM+ax034/w3AAAA//8DAFBLAwQUAAYACAAAACEA&#10;LqvSeN4AAAALAQAADwAAAGRycy9kb3ducmV2LnhtbEyPwU7DMAyG70i8Q2QkLoilLVJoS91pQtph&#10;xw0krl4T2orEqZps696e7ARH259+f3+zXpwVZzOH0TNCvspAGO68HrlH+PzYPpcgQiTWZD0bhKsJ&#10;sG7v7xqqtb/w3pwPsRcphENNCEOMUy1l6AbjKKz8ZDjdvv3sKKZx7qWe6ZLCnZVFlinpaOT0YaDJ&#10;vA+m+zmcHMLmKqPdh2r7pBUrFb/CjmyJ+PiwbN5ARLPEPxhu+kkd2uR09CfWQVgE9aqqhCKU6iUH&#10;kYiyqNLmiFBVRQ6ybeT/Du0vAAAA//8DAFBLAQItABQABgAIAAAAIQC2gziS/gAAAOEBAAATAAAA&#10;AAAAAAAAAAAAAAAAAABbQ29udGVudF9UeXBlc10ueG1sUEsBAi0AFAAGAAgAAAAhADj9If/WAAAA&#10;lAEAAAsAAAAAAAAAAAAAAAAALwEAAF9yZWxzLy5yZWxzUEsBAi0AFAAGAAgAAAAhAN1/xk5+AgAA&#10;YQUAAA4AAAAAAAAAAAAAAAAALgIAAGRycy9lMm9Eb2MueG1sUEsBAi0AFAAGAAgAAAAhAC6r0nje&#10;AAAACwEAAA8AAAAAAAAAAAAAAAAA2AQAAGRycy9kb3ducmV2LnhtbFBLBQYAAAAABAAEAPMAAADj&#10;BQAAAAA=&#10;" filled="f" strokecolor="red" strokeweight="1pt">
                <v:stroke joinstyle="miter"/>
              </v:oval>
            </w:pict>
          </mc:Fallback>
        </mc:AlternateContent>
      </w:r>
      <w:r w:rsidR="00595568">
        <w:rPr>
          <w:rFonts w:ascii="Palatino Linotype" w:hAnsi="Palatino Linotype" w:cs="Arial"/>
          <w:b/>
          <w:bCs/>
          <w:noProof/>
          <w:sz w:val="24"/>
          <w:szCs w:val="24"/>
          <w:lang w:eastAsia="es-MX"/>
        </w:rPr>
        <w:drawing>
          <wp:anchor distT="0" distB="0" distL="114300" distR="114300" simplePos="0" relativeHeight="251785206" behindDoc="1" locked="0" layoutInCell="1" allowOverlap="1" wp14:anchorId="5CBFCBF8" wp14:editId="25762A01">
            <wp:simplePos x="0" y="0"/>
            <wp:positionH relativeFrom="margin">
              <wp:align>left</wp:align>
            </wp:positionH>
            <wp:positionV relativeFrom="paragraph">
              <wp:posOffset>19050</wp:posOffset>
            </wp:positionV>
            <wp:extent cx="5757545" cy="7435850"/>
            <wp:effectExtent l="19050" t="19050" r="14605" b="12700"/>
            <wp:wrapThrough wrapText="bothSides">
              <wp:wrapPolygon edited="0">
                <wp:start x="-71" y="-55"/>
                <wp:lineTo x="-71" y="21582"/>
                <wp:lineTo x="21583" y="21582"/>
                <wp:lineTo x="21583" y="-55"/>
                <wp:lineTo x="-71" y="-55"/>
              </wp:wrapPolygon>
            </wp:wrapThrough>
            <wp:docPr id="19948521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7545" cy="74358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F253629" w14:textId="40280970" w:rsidR="006816EF" w:rsidRDefault="008474E1" w:rsidP="00E8308B">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D</w:t>
      </w:r>
      <w:r w:rsidR="009C5799">
        <w:rPr>
          <w:rFonts w:ascii="Palatino Linotype" w:hAnsi="Palatino Linotype" w:cs="Arial"/>
          <w:sz w:val="24"/>
          <w:szCs w:val="24"/>
        </w:rPr>
        <w:t>e lo expuesto con anterioridad</w:t>
      </w:r>
      <w:r w:rsidR="00D47E35">
        <w:rPr>
          <w:rFonts w:ascii="Palatino Linotype" w:hAnsi="Palatino Linotype" w:cs="Arial"/>
          <w:sz w:val="24"/>
          <w:szCs w:val="24"/>
        </w:rPr>
        <w:t>,</w:t>
      </w:r>
      <w:r w:rsidR="009C5799">
        <w:rPr>
          <w:rFonts w:ascii="Palatino Linotype" w:hAnsi="Palatino Linotype" w:cs="Arial"/>
          <w:sz w:val="24"/>
          <w:szCs w:val="24"/>
        </w:rPr>
        <w:t xml:space="preserve"> se desprende que </w:t>
      </w:r>
      <w:r w:rsidR="009C5799">
        <w:rPr>
          <w:rFonts w:ascii="Palatino Linotype" w:hAnsi="Palatino Linotype" w:cs="Arial"/>
          <w:b/>
          <w:bCs/>
          <w:sz w:val="24"/>
          <w:szCs w:val="24"/>
        </w:rPr>
        <w:t xml:space="preserve">El Sujeto Obligado </w:t>
      </w:r>
      <w:r w:rsidR="009C5799">
        <w:rPr>
          <w:rFonts w:ascii="Palatino Linotype" w:hAnsi="Palatino Linotype" w:cs="Arial"/>
          <w:sz w:val="24"/>
          <w:szCs w:val="24"/>
        </w:rPr>
        <w:t xml:space="preserve">se auxilia de diversas Coordinaciones, Direcciones y Departamentos para cumplir con sus fines y objetivos, resultando de nuestro interés </w:t>
      </w:r>
      <w:r w:rsidR="00E32BF3">
        <w:rPr>
          <w:rFonts w:ascii="Palatino Linotype" w:hAnsi="Palatino Linotype" w:cs="Arial"/>
          <w:sz w:val="24"/>
          <w:szCs w:val="24"/>
        </w:rPr>
        <w:t xml:space="preserve">la </w:t>
      </w:r>
      <w:r w:rsidR="006816EF">
        <w:rPr>
          <w:rFonts w:ascii="Palatino Linotype" w:hAnsi="Palatino Linotype" w:cs="Arial"/>
          <w:sz w:val="24"/>
          <w:szCs w:val="24"/>
        </w:rPr>
        <w:t xml:space="preserve">Coordinación Administrativa, la Subdirección de Personal, </w:t>
      </w:r>
      <w:r w:rsidR="00405E83">
        <w:rPr>
          <w:rFonts w:ascii="Palatino Linotype" w:hAnsi="Palatino Linotype" w:cs="Arial"/>
          <w:sz w:val="24"/>
          <w:szCs w:val="24"/>
        </w:rPr>
        <w:t xml:space="preserve">así como el </w:t>
      </w:r>
      <w:r w:rsidR="006816EF">
        <w:rPr>
          <w:rFonts w:ascii="Palatino Linotype" w:hAnsi="Palatino Linotype" w:cs="Arial"/>
          <w:sz w:val="24"/>
          <w:szCs w:val="24"/>
        </w:rPr>
        <w:t>Departamento de registro y control de personal</w:t>
      </w:r>
      <w:r w:rsidR="00405E83">
        <w:rPr>
          <w:rFonts w:ascii="Palatino Linotype" w:hAnsi="Palatino Linotype" w:cs="Arial"/>
          <w:sz w:val="24"/>
          <w:szCs w:val="24"/>
        </w:rPr>
        <w:t xml:space="preserve">. </w:t>
      </w:r>
    </w:p>
    <w:p w14:paraId="1ECF15FA" w14:textId="73AFC649" w:rsidR="0058505F" w:rsidRDefault="00E32BF3" w:rsidP="00E8308B">
      <w:pPr>
        <w:autoSpaceDE w:val="0"/>
        <w:autoSpaceDN w:val="0"/>
        <w:adjustRightInd w:val="0"/>
        <w:spacing w:before="240" w:line="360" w:lineRule="auto"/>
        <w:jc w:val="both"/>
      </w:pPr>
      <w:r w:rsidRPr="006816EF">
        <w:rPr>
          <w:rFonts w:ascii="Palatino Linotype" w:hAnsi="Palatino Linotype" w:cs="Arial"/>
          <w:sz w:val="24"/>
          <w:szCs w:val="24"/>
        </w:rPr>
        <w:t xml:space="preserve">En virtud de lo anterior, para delimitar las fronteras conceptuales de la unidad administrativa en cita, </w:t>
      </w:r>
      <w:r w:rsidRPr="00206C41">
        <w:rPr>
          <w:rFonts w:ascii="Palatino Linotype" w:hAnsi="Palatino Linotype" w:cs="Arial"/>
          <w:sz w:val="24"/>
          <w:szCs w:val="24"/>
        </w:rPr>
        <w:t xml:space="preserve">resulta oportuno traer a colación los </w:t>
      </w:r>
      <w:r w:rsidR="006816EF" w:rsidRPr="00206C41">
        <w:rPr>
          <w:rFonts w:ascii="Palatino Linotype" w:hAnsi="Palatino Linotype" w:cs="Arial"/>
          <w:sz w:val="24"/>
          <w:szCs w:val="24"/>
        </w:rPr>
        <w:t xml:space="preserve">artículos 47 y 98 </w:t>
      </w:r>
      <w:r w:rsidR="00595568" w:rsidRPr="00206C41">
        <w:rPr>
          <w:rFonts w:ascii="Palatino Linotype" w:hAnsi="Palatino Linotype" w:cs="Arial"/>
          <w:sz w:val="24"/>
          <w:szCs w:val="24"/>
        </w:rPr>
        <w:t>fracción XVII</w:t>
      </w:r>
      <w:r w:rsidR="006816EF" w:rsidRPr="00206C41">
        <w:rPr>
          <w:rFonts w:ascii="Palatino Linotype" w:hAnsi="Palatino Linotype" w:cs="Arial"/>
          <w:sz w:val="24"/>
          <w:szCs w:val="24"/>
        </w:rPr>
        <w:t xml:space="preserve"> de la Ley del trabajo de los servidores públicos del Estado y Municipios, así como los a</w:t>
      </w:r>
      <w:r w:rsidR="0058505F" w:rsidRPr="00206C41">
        <w:rPr>
          <w:rFonts w:ascii="Palatino Linotype" w:hAnsi="Palatino Linotype" w:cs="Arial"/>
          <w:sz w:val="24"/>
          <w:szCs w:val="24"/>
        </w:rPr>
        <w:t xml:space="preserve">partados </w:t>
      </w:r>
      <w:r w:rsidR="0058505F" w:rsidRPr="00206C41">
        <w:rPr>
          <w:rFonts w:ascii="Palatino Linotype" w:hAnsi="Palatino Linotype"/>
          <w:b/>
          <w:bCs/>
          <w:sz w:val="24"/>
          <w:szCs w:val="24"/>
        </w:rPr>
        <w:t>20700002000000S</w:t>
      </w:r>
      <w:r w:rsidR="0058505F" w:rsidRPr="00206C41">
        <w:rPr>
          <w:rFonts w:ascii="Palatino Linotype" w:hAnsi="Palatino Linotype"/>
          <w:sz w:val="24"/>
          <w:szCs w:val="24"/>
        </w:rPr>
        <w:t xml:space="preserve"> “Coordinación Administrativa”, </w:t>
      </w:r>
      <w:r w:rsidR="0058505F" w:rsidRPr="00206C41">
        <w:rPr>
          <w:rFonts w:ascii="Palatino Linotype" w:hAnsi="Palatino Linotype"/>
          <w:b/>
          <w:bCs/>
          <w:sz w:val="24"/>
          <w:szCs w:val="24"/>
        </w:rPr>
        <w:t>20700002000300S</w:t>
      </w:r>
      <w:r w:rsidR="0058505F" w:rsidRPr="00206C41">
        <w:rPr>
          <w:rFonts w:ascii="Palatino Linotype" w:hAnsi="Palatino Linotype"/>
          <w:sz w:val="24"/>
          <w:szCs w:val="24"/>
        </w:rPr>
        <w:t xml:space="preserve"> “Subdirección de Personal”  </w:t>
      </w:r>
      <w:r w:rsidR="003841FC" w:rsidRPr="00206C41">
        <w:rPr>
          <w:rFonts w:ascii="Palatino Linotype" w:hAnsi="Palatino Linotype"/>
          <w:sz w:val="24"/>
          <w:szCs w:val="24"/>
        </w:rPr>
        <w:t xml:space="preserve">y </w:t>
      </w:r>
      <w:r w:rsidR="0058505F" w:rsidRPr="00206C41">
        <w:rPr>
          <w:rFonts w:ascii="Palatino Linotype" w:hAnsi="Palatino Linotype"/>
          <w:b/>
          <w:bCs/>
          <w:sz w:val="24"/>
          <w:szCs w:val="24"/>
        </w:rPr>
        <w:t>20700002000301S</w:t>
      </w:r>
      <w:r w:rsidR="0058505F" w:rsidRPr="00206C41">
        <w:rPr>
          <w:rFonts w:ascii="Palatino Linotype" w:hAnsi="Palatino Linotype"/>
          <w:sz w:val="24"/>
          <w:szCs w:val="24"/>
        </w:rPr>
        <w:t xml:space="preserve"> “Departamento de registro y control de personal” del Manual</w:t>
      </w:r>
      <w:r w:rsidR="0058505F" w:rsidRPr="006816EF">
        <w:rPr>
          <w:rFonts w:ascii="Palatino Linotype" w:hAnsi="Palatino Linotype"/>
          <w:sz w:val="24"/>
          <w:szCs w:val="24"/>
        </w:rPr>
        <w:t xml:space="preserve"> General de Organización de la Secretaría de Finanzas, </w:t>
      </w:r>
      <w:r w:rsidR="006816EF">
        <w:rPr>
          <w:rFonts w:ascii="Palatino Linotype" w:hAnsi="Palatino Linotype"/>
          <w:sz w:val="24"/>
          <w:szCs w:val="24"/>
        </w:rPr>
        <w:t xml:space="preserve">porciones normativas que disponen a la literalidad lo siguiente: </w:t>
      </w:r>
    </w:p>
    <w:p w14:paraId="347E8681" w14:textId="7A90B7F1" w:rsidR="0058505F" w:rsidRPr="0058505F" w:rsidRDefault="0058505F" w:rsidP="0058505F">
      <w:pPr>
        <w:pStyle w:val="Citas"/>
        <w:rPr>
          <w:b/>
          <w:bCs/>
        </w:rPr>
      </w:pPr>
      <w:r w:rsidRPr="0058505F">
        <w:rPr>
          <w:b/>
          <w:bCs/>
        </w:rPr>
        <w:t xml:space="preserve">LEY DEL TRABAJO DE LOS SERVIDORES PÚBLICOS DEL ESTADO Y MUNICIPIOS </w:t>
      </w:r>
    </w:p>
    <w:p w14:paraId="158FE929" w14:textId="3AE66A08" w:rsidR="0058505F" w:rsidRDefault="0058505F" w:rsidP="0058505F">
      <w:pPr>
        <w:pStyle w:val="Citas"/>
      </w:pPr>
      <w:r>
        <w:t xml:space="preserve">“ARTÍCULO 47. Para ingresar al servicio público se requiere: </w:t>
      </w:r>
    </w:p>
    <w:p w14:paraId="404E7F76" w14:textId="77777777" w:rsidR="0058505F" w:rsidRDefault="0058505F" w:rsidP="0058505F">
      <w:pPr>
        <w:pStyle w:val="Citas"/>
      </w:pPr>
      <w:r>
        <w:t xml:space="preserve">I. Presentar una solicitud utilizando la forma oficial que se autorice por la institución pública o dependencia correspondiente; </w:t>
      </w:r>
    </w:p>
    <w:p w14:paraId="263CE828" w14:textId="77777777" w:rsidR="0058505F" w:rsidRDefault="0058505F" w:rsidP="0058505F">
      <w:pPr>
        <w:pStyle w:val="Citas"/>
      </w:pPr>
      <w:r>
        <w:t>II. Ser de nacionalidad mexicana, con la excepción prevista en el artículo 17 de la presente ley;</w:t>
      </w:r>
    </w:p>
    <w:p w14:paraId="50C1DDD5" w14:textId="77777777" w:rsidR="0058505F" w:rsidRDefault="0058505F" w:rsidP="0058505F">
      <w:pPr>
        <w:pStyle w:val="Citas"/>
      </w:pPr>
      <w:r>
        <w:t xml:space="preserve"> III. Estar en pleno ejercicio de sus derechos civiles y políticos, en su caso; </w:t>
      </w:r>
    </w:p>
    <w:p w14:paraId="0AE22CED" w14:textId="77777777" w:rsidR="0058505F" w:rsidRDefault="0058505F" w:rsidP="0058505F">
      <w:pPr>
        <w:pStyle w:val="Citas"/>
      </w:pPr>
      <w:r>
        <w:t xml:space="preserve">IV. Acreditar, cuando proceda, el cumplimiento de la Ley del Servicio Militar Nacional; </w:t>
      </w:r>
    </w:p>
    <w:p w14:paraId="7F9A8ED4" w14:textId="77777777" w:rsidR="0058505F" w:rsidRDefault="0058505F" w:rsidP="0058505F">
      <w:pPr>
        <w:pStyle w:val="Citas"/>
      </w:pPr>
      <w:r>
        <w:lastRenderedPageBreak/>
        <w:t xml:space="preserve">V. Derogada; </w:t>
      </w:r>
    </w:p>
    <w:p w14:paraId="1D71C569" w14:textId="77777777" w:rsidR="0058505F" w:rsidRDefault="0058505F" w:rsidP="0058505F">
      <w:pPr>
        <w:pStyle w:val="Citas"/>
      </w:pPr>
      <w:r>
        <w:t xml:space="preserve">VI. No haber sido separado anteriormente del servicio por las causas previstas en el artículo 93 de la presente ley; </w:t>
      </w:r>
    </w:p>
    <w:p w14:paraId="48103EE5" w14:textId="77777777" w:rsidR="0058505F" w:rsidRDefault="0058505F" w:rsidP="0058505F">
      <w:pPr>
        <w:pStyle w:val="Citas"/>
      </w:pPr>
      <w:r>
        <w:t xml:space="preserve">VII. Tener buena salud, lo que se comprobará con los certificados médicos correspondientes, en la forma en que se establezca en cada institución pública; </w:t>
      </w:r>
    </w:p>
    <w:p w14:paraId="4FF6D321" w14:textId="77777777" w:rsidR="0058505F" w:rsidRDefault="0058505F" w:rsidP="0058505F">
      <w:pPr>
        <w:pStyle w:val="Citas"/>
      </w:pPr>
      <w:r>
        <w:t xml:space="preserve">VIII. Cumplir con los requisitos que se establezcan para los diferentes puestos; </w:t>
      </w:r>
    </w:p>
    <w:p w14:paraId="05F02E54" w14:textId="77777777" w:rsidR="0058505F" w:rsidRDefault="0058505F" w:rsidP="0058505F">
      <w:pPr>
        <w:pStyle w:val="Citas"/>
      </w:pPr>
      <w:r>
        <w:t xml:space="preserve">IX. Acreditar por medio de los exámenes correspondientes los conocimientos y aptitudes necesarios para el desempeño del puesto; y </w:t>
      </w:r>
    </w:p>
    <w:p w14:paraId="003B968A" w14:textId="77777777" w:rsidR="0058505F" w:rsidRDefault="0058505F" w:rsidP="0058505F">
      <w:pPr>
        <w:pStyle w:val="Citas"/>
      </w:pPr>
      <w:r>
        <w:t xml:space="preserve">X. No estar inhabilitado para el ejercicio del servicio público. </w:t>
      </w:r>
    </w:p>
    <w:p w14:paraId="7EE10FFC" w14:textId="77777777" w:rsidR="0058505F" w:rsidRDefault="0058505F" w:rsidP="0058505F">
      <w:pPr>
        <w:pStyle w:val="Citas"/>
      </w:pPr>
      <w:r>
        <w:t>XI. Presentar certificado expedido por la Unidad del Registro de Deudores Alimentarios Morosos en el que conste, si se encuentra inscrito o no en el mismo.</w:t>
      </w:r>
    </w:p>
    <w:p w14:paraId="0F67E19D" w14:textId="28DE8F34" w:rsidR="0058505F" w:rsidRPr="0058505F" w:rsidRDefault="0058505F" w:rsidP="0058505F">
      <w:pPr>
        <w:pStyle w:val="Citas"/>
        <w:rPr>
          <w:b/>
          <w:bCs/>
        </w:rPr>
      </w:pPr>
      <w:r>
        <w:t xml:space="preserve"> 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 </w:t>
      </w:r>
      <w:r>
        <w:rPr>
          <w:b/>
          <w:bCs/>
        </w:rPr>
        <w:t>(Sic)</w:t>
      </w:r>
    </w:p>
    <w:p w14:paraId="30AB05FC" w14:textId="1F46F351" w:rsidR="0058505F" w:rsidRDefault="0058505F" w:rsidP="0058505F">
      <w:pPr>
        <w:pStyle w:val="Citas"/>
      </w:pPr>
      <w:r>
        <w:t>ARTÍCULO 98. Son obligaciones de las instituciones públicas:</w:t>
      </w:r>
    </w:p>
    <w:p w14:paraId="42EED7CB" w14:textId="7F5225DF" w:rsidR="0058505F" w:rsidRDefault="0058505F" w:rsidP="0058505F">
      <w:pPr>
        <w:pStyle w:val="Citas"/>
      </w:pPr>
      <w:r>
        <w:t>(…)</w:t>
      </w:r>
    </w:p>
    <w:p w14:paraId="1898253A" w14:textId="421988C2" w:rsidR="0058505F" w:rsidRPr="0013478D" w:rsidRDefault="0058505F" w:rsidP="0058505F">
      <w:pPr>
        <w:pStyle w:val="Citas"/>
        <w:rPr>
          <w:b/>
          <w:bCs/>
          <w:u w:val="single"/>
        </w:rPr>
      </w:pPr>
      <w:r w:rsidRPr="0013478D">
        <w:rPr>
          <w:b/>
          <w:bCs/>
          <w:u w:val="single"/>
        </w:rPr>
        <w:t>XVII. Integrar los expedientes de los servidores públicos y proporcionar las constancias que éstos soliciten para el trámite de los asuntos de su interés en los términos que señalen los ordenamientos respectivos</w:t>
      </w:r>
    </w:p>
    <w:p w14:paraId="41CA70AA" w14:textId="7A705F65" w:rsidR="0058505F" w:rsidRPr="0058505F" w:rsidRDefault="0058505F" w:rsidP="0058505F">
      <w:pPr>
        <w:pStyle w:val="Citas"/>
        <w:rPr>
          <w:b/>
          <w:bCs/>
        </w:rPr>
      </w:pPr>
      <w:r>
        <w:lastRenderedPageBreak/>
        <w:t xml:space="preserve">(…)” </w:t>
      </w:r>
      <w:r>
        <w:rPr>
          <w:b/>
          <w:bCs/>
        </w:rPr>
        <w:t>(Sic)</w:t>
      </w:r>
    </w:p>
    <w:p w14:paraId="36581195" w14:textId="77777777" w:rsidR="0058505F" w:rsidRDefault="0058505F" w:rsidP="00E8308B">
      <w:pPr>
        <w:autoSpaceDE w:val="0"/>
        <w:autoSpaceDN w:val="0"/>
        <w:adjustRightInd w:val="0"/>
        <w:spacing w:before="240" w:line="360" w:lineRule="auto"/>
        <w:jc w:val="both"/>
      </w:pPr>
    </w:p>
    <w:p w14:paraId="40FB211D" w14:textId="4D417DF3" w:rsidR="0058505F" w:rsidRPr="0058505F" w:rsidRDefault="0058505F" w:rsidP="0058505F">
      <w:pPr>
        <w:pStyle w:val="Citas"/>
        <w:rPr>
          <w:b/>
          <w:bCs/>
        </w:rPr>
      </w:pPr>
      <w:r w:rsidRPr="0058505F">
        <w:rPr>
          <w:b/>
          <w:bCs/>
        </w:rPr>
        <w:t>MANUAL GENERAL DE ORGANIZACIÓN DE LA SECRETARÍA DE FINANZAS</w:t>
      </w:r>
    </w:p>
    <w:p w14:paraId="611CE88A" w14:textId="4C6C3EE1" w:rsidR="00E01ADB" w:rsidRPr="006816EF" w:rsidRDefault="006816EF" w:rsidP="0058505F">
      <w:pPr>
        <w:pStyle w:val="Citas"/>
        <w:rPr>
          <w:b/>
          <w:bCs/>
        </w:rPr>
      </w:pPr>
      <w:r>
        <w:rPr>
          <w:b/>
          <w:bCs/>
        </w:rPr>
        <w:t>“</w:t>
      </w:r>
      <w:r w:rsidR="00E01ADB" w:rsidRPr="006816EF">
        <w:rPr>
          <w:b/>
          <w:bCs/>
        </w:rPr>
        <w:t xml:space="preserve">20700002000000S COORDINACIÓN ADMINISTRATIVA </w:t>
      </w:r>
    </w:p>
    <w:p w14:paraId="5BD5E8D0" w14:textId="78DD6948" w:rsidR="00E32BF3" w:rsidRDefault="00E01ADB" w:rsidP="0058505F">
      <w:pPr>
        <w:pStyle w:val="Citas"/>
      </w:pPr>
      <w:r>
        <w:t>OBJETIVO: Programar, organizar y controlar el suministro de los recursos humanos, materiales, financieros y técnicos que requieran las unidades administrativas de la Secretaría de Finanzas, con base en la normatividad vigente.</w:t>
      </w:r>
    </w:p>
    <w:p w14:paraId="20DFC40F" w14:textId="29598493" w:rsidR="00E01ADB" w:rsidRDefault="00E01ADB" w:rsidP="0058505F">
      <w:pPr>
        <w:pStyle w:val="Citas"/>
      </w:pPr>
      <w:r>
        <w:t>FUNCIONES</w:t>
      </w:r>
    </w:p>
    <w:p w14:paraId="2C71ADE1" w14:textId="79DA647E" w:rsidR="00E01ADB" w:rsidRDefault="00E01ADB" w:rsidP="0058505F">
      <w:pPr>
        <w:pStyle w:val="Citas"/>
      </w:pPr>
      <w:r>
        <w:t>(…)</w:t>
      </w:r>
    </w:p>
    <w:p w14:paraId="2AF4A2FD" w14:textId="77777777" w:rsidR="00E01ADB" w:rsidRPr="00595568" w:rsidRDefault="00E01ADB" w:rsidP="0058505F">
      <w:pPr>
        <w:pStyle w:val="Citas"/>
        <w:rPr>
          <w:b/>
          <w:bCs/>
          <w:u w:val="single"/>
        </w:rPr>
      </w:pPr>
      <w:r w:rsidRPr="00595568">
        <w:rPr>
          <w:b/>
          <w:bCs/>
          <w:u w:val="single"/>
        </w:rPr>
        <w:t xml:space="preserve">Coordinar los trámites de alta, baja, cambios, permisos y licencias, así como el registro y control de asistencia y puntualidad del personal de la Secretaría de Finanzas. </w:t>
      </w:r>
    </w:p>
    <w:p w14:paraId="3631814B" w14:textId="7F0CD92E" w:rsidR="00E01ADB" w:rsidRDefault="00E01ADB" w:rsidP="0058505F">
      <w:pPr>
        <w:pStyle w:val="Citas"/>
        <w:rPr>
          <w:sz w:val="24"/>
          <w:szCs w:val="24"/>
        </w:rPr>
      </w:pPr>
      <w:r>
        <w:t xml:space="preserve"> Coordinar, ante la Dirección General de Personal, los trámites relacionados con la administración y desarrollo de los recursos humanos adscritos a la Secretaría de Finanzas.</w:t>
      </w:r>
    </w:p>
    <w:p w14:paraId="7D31723B" w14:textId="16BAB14A" w:rsidR="007770C2" w:rsidRDefault="00E01ADB" w:rsidP="0058505F">
      <w:pPr>
        <w:pStyle w:val="Citas"/>
        <w:rPr>
          <w:sz w:val="24"/>
          <w:szCs w:val="24"/>
        </w:rPr>
      </w:pPr>
      <w:r>
        <w:rPr>
          <w:sz w:val="24"/>
          <w:szCs w:val="24"/>
        </w:rPr>
        <w:t>(…)</w:t>
      </w:r>
    </w:p>
    <w:p w14:paraId="304A4A8A" w14:textId="77777777" w:rsidR="006816EF" w:rsidRPr="006816EF" w:rsidRDefault="00E01ADB" w:rsidP="0058505F">
      <w:pPr>
        <w:pStyle w:val="Citas"/>
        <w:rPr>
          <w:b/>
          <w:bCs/>
        </w:rPr>
      </w:pPr>
      <w:r w:rsidRPr="006816EF">
        <w:rPr>
          <w:b/>
          <w:bCs/>
        </w:rPr>
        <w:t xml:space="preserve">20700002000300S SUBDIRECCIÓN DE PERSONAL </w:t>
      </w:r>
    </w:p>
    <w:p w14:paraId="69016B65" w14:textId="77777777" w:rsidR="006816EF" w:rsidRDefault="00E01ADB" w:rsidP="0058505F">
      <w:pPr>
        <w:pStyle w:val="Citas"/>
      </w:pPr>
      <w:r>
        <w:t xml:space="preserve">OBJETIVO: Coordinar y dirigir las actividades relacionadas con la administración y desarrollo de los recursos humanos de la Secretaría de Finanzas. </w:t>
      </w:r>
    </w:p>
    <w:p w14:paraId="38336821" w14:textId="2D1A6780" w:rsidR="00E01ADB" w:rsidRDefault="00E01ADB" w:rsidP="0058505F">
      <w:pPr>
        <w:pStyle w:val="Citas"/>
      </w:pPr>
      <w:r>
        <w:lastRenderedPageBreak/>
        <w:t>FUNCIONES:</w:t>
      </w:r>
    </w:p>
    <w:p w14:paraId="3F294D83" w14:textId="77777777" w:rsidR="00E01ADB" w:rsidRPr="007B5155" w:rsidRDefault="00E01ADB" w:rsidP="0058505F">
      <w:pPr>
        <w:pStyle w:val="Citas"/>
        <w:rPr>
          <w:b/>
          <w:bCs/>
          <w:u w:val="single"/>
        </w:rPr>
      </w:pPr>
      <w:r w:rsidRPr="007B5155">
        <w:rPr>
          <w:b/>
          <w:bCs/>
          <w:u w:val="single"/>
        </w:rPr>
        <w:t xml:space="preserve">Supervisar la gestión de los movimientos de alta, baja, cambios de adscripción, promociones y licencias del personal adscrito a la Secretaría de Finanzas. </w:t>
      </w:r>
    </w:p>
    <w:p w14:paraId="5204DF87" w14:textId="6318FCC7" w:rsidR="00E01ADB" w:rsidRDefault="00E01ADB" w:rsidP="0058505F">
      <w:pPr>
        <w:pStyle w:val="Citas"/>
      </w:pPr>
      <w:r>
        <w:t xml:space="preserve">Supervisar el trámite de permisos, vacaciones e incidencias derivadas del registro y control de asistencia y puntualidad del personal de la Oficina de la o del titular de la Secretaría de Finanzas y de sus unidades staff. </w:t>
      </w:r>
    </w:p>
    <w:p w14:paraId="38235270" w14:textId="16312618" w:rsidR="00E01ADB" w:rsidRDefault="00E01ADB" w:rsidP="0058505F">
      <w:pPr>
        <w:pStyle w:val="Citas"/>
      </w:pPr>
      <w:r>
        <w:t>Supervisar la actualización de la plantilla de personal adscrito a la Oficina de la Secretaría de Finanzas y de sus unidades staff.</w:t>
      </w:r>
    </w:p>
    <w:p w14:paraId="3E564E23" w14:textId="57AF7304" w:rsidR="00E01ADB" w:rsidRDefault="00E01ADB" w:rsidP="0058505F">
      <w:pPr>
        <w:pStyle w:val="Citas"/>
      </w:pPr>
      <w:r>
        <w:t>(…)</w:t>
      </w:r>
    </w:p>
    <w:p w14:paraId="5534C7B2" w14:textId="77777777" w:rsidR="006816EF" w:rsidRPr="006816EF" w:rsidRDefault="0058505F" w:rsidP="0058505F">
      <w:pPr>
        <w:pStyle w:val="Citas"/>
        <w:rPr>
          <w:b/>
          <w:bCs/>
        </w:rPr>
      </w:pPr>
      <w:r w:rsidRPr="006816EF">
        <w:rPr>
          <w:b/>
          <w:bCs/>
        </w:rPr>
        <w:t xml:space="preserve">20700002000301S DEPARTAMENTO DE REGISTRO Y CONTROL DE PERSONAL </w:t>
      </w:r>
    </w:p>
    <w:p w14:paraId="147B363B" w14:textId="77777777" w:rsidR="006816EF" w:rsidRDefault="0058505F" w:rsidP="0058505F">
      <w:pPr>
        <w:pStyle w:val="Citas"/>
      </w:pPr>
      <w:r>
        <w:t xml:space="preserve">OBJETIVO: Realizar las actividades relacionadas con la administración de los recursos humanos que laboran en la Secretaría de Finanzas. </w:t>
      </w:r>
    </w:p>
    <w:p w14:paraId="1CBD9506" w14:textId="6FB52C8E" w:rsidR="00E01ADB" w:rsidRDefault="0058505F" w:rsidP="0058505F">
      <w:pPr>
        <w:pStyle w:val="Citas"/>
      </w:pPr>
      <w:r>
        <w:t>FUNCIONES:</w:t>
      </w:r>
    </w:p>
    <w:p w14:paraId="1D8FEA58" w14:textId="69B0900F" w:rsidR="0058505F" w:rsidRDefault="0058505F" w:rsidP="0058505F">
      <w:pPr>
        <w:pStyle w:val="Citas"/>
      </w:pPr>
      <w:r>
        <w:t xml:space="preserve">Aplicar las políticas, normas y procedimientos establecidos en materia de administración de personal. </w:t>
      </w:r>
    </w:p>
    <w:p w14:paraId="5A03150A" w14:textId="77DB5845" w:rsidR="0058505F" w:rsidRPr="00595568" w:rsidRDefault="0058505F" w:rsidP="0058505F">
      <w:pPr>
        <w:pStyle w:val="Citas"/>
        <w:rPr>
          <w:b/>
          <w:bCs/>
          <w:u w:val="single"/>
        </w:rPr>
      </w:pPr>
      <w:r w:rsidRPr="00595568">
        <w:rPr>
          <w:b/>
          <w:bCs/>
          <w:u w:val="single"/>
        </w:rPr>
        <w:t xml:space="preserve">Gestionar los movimientos de alta, baja, cambios de adscripción, promociones y licencias del personal de la Secretaría de Finanzas. </w:t>
      </w:r>
    </w:p>
    <w:p w14:paraId="2DC2ADC7" w14:textId="1B1F2DAA" w:rsidR="0058505F" w:rsidRDefault="0058505F" w:rsidP="0058505F">
      <w:pPr>
        <w:pStyle w:val="Citas"/>
      </w:pPr>
      <w:r>
        <w:lastRenderedPageBreak/>
        <w:t xml:space="preserve">Tramitar ante la Dirección General de Personal, los permisos, vacaciones e incidencias derivadas del registro y control de asistencia y puntualidad del personal de la Oficina de la o del titular de la Secretaría de Finanzas y de sus unidades staff. </w:t>
      </w:r>
    </w:p>
    <w:p w14:paraId="0845EB31" w14:textId="054CDDDC" w:rsidR="0058505F" w:rsidRDefault="0058505F" w:rsidP="0058505F">
      <w:pPr>
        <w:pStyle w:val="Citas"/>
      </w:pPr>
      <w:r>
        <w:t>Realizar los pagos correspondientes por concepto de servicios personales erogados en la Oficina de la Secretaría de Finanzas y de sus unidades staff.</w:t>
      </w:r>
    </w:p>
    <w:p w14:paraId="5FCA3BEB" w14:textId="0F60CA2B" w:rsidR="0058505F" w:rsidRPr="00FF114D" w:rsidRDefault="0058505F" w:rsidP="0058505F">
      <w:pPr>
        <w:pStyle w:val="Citas"/>
        <w:rPr>
          <w:b/>
          <w:bCs/>
          <w:u w:val="single"/>
        </w:rPr>
      </w:pPr>
      <w:r w:rsidRPr="00FF114D">
        <w:rPr>
          <w:b/>
          <w:bCs/>
          <w:u w:val="single"/>
        </w:rPr>
        <w:t xml:space="preserve"> Mantener actualizada la plantilla de personal adscrito a la Oficina de la Secretaría de Finanzas y de sus unidades staff. </w:t>
      </w:r>
    </w:p>
    <w:p w14:paraId="2709620C" w14:textId="061F61B5" w:rsidR="0058505F" w:rsidRDefault="0058505F" w:rsidP="0058505F">
      <w:pPr>
        <w:pStyle w:val="Citas"/>
      </w:pPr>
      <w:r>
        <w:t>Verificar el cumplimiento de la normatividad para la asignación de puestos, códigos y categorías al personal contratado, con base en la plantilla de personal autorizada.</w:t>
      </w:r>
    </w:p>
    <w:p w14:paraId="4A7B5783" w14:textId="6627FF6F" w:rsidR="0058505F" w:rsidRPr="00405E83" w:rsidRDefault="0058505F" w:rsidP="0058505F">
      <w:pPr>
        <w:pStyle w:val="Citas"/>
        <w:rPr>
          <w:b/>
          <w:bCs/>
        </w:rPr>
      </w:pPr>
      <w:r>
        <w:t xml:space="preserve"> Desarrollar las demás funciones inherentes al área de su competencia</w:t>
      </w:r>
      <w:r w:rsidR="00A23C9E">
        <w:t>.</w:t>
      </w:r>
      <w:r w:rsidR="00405E83">
        <w:t xml:space="preserve">” </w:t>
      </w:r>
      <w:r w:rsidR="00405E83">
        <w:rPr>
          <w:b/>
          <w:bCs/>
        </w:rPr>
        <w:t>(Sic)</w:t>
      </w:r>
    </w:p>
    <w:p w14:paraId="3FB4684A" w14:textId="77777777" w:rsidR="00402A46" w:rsidRDefault="00402A46" w:rsidP="00247537">
      <w:pPr>
        <w:pStyle w:val="Citas"/>
        <w:rPr>
          <w:b/>
          <w:bCs/>
          <w:sz w:val="24"/>
          <w:szCs w:val="24"/>
        </w:rPr>
      </w:pPr>
    </w:p>
    <w:p w14:paraId="7332E5A3" w14:textId="6B0EE9E5" w:rsidR="00410789" w:rsidRDefault="00247537" w:rsidP="00247537">
      <w:pPr>
        <w:spacing w:line="360" w:lineRule="auto"/>
        <w:jc w:val="both"/>
        <w:rPr>
          <w:rFonts w:ascii="Palatino Linotype" w:hAnsi="Palatino Linotype"/>
          <w:bCs/>
          <w:sz w:val="24"/>
          <w:szCs w:val="24"/>
        </w:rPr>
      </w:pPr>
      <w:r>
        <w:rPr>
          <w:rFonts w:ascii="Palatino Linotype" w:hAnsi="Palatino Linotype"/>
          <w:bCs/>
          <w:sz w:val="24"/>
          <w:szCs w:val="24"/>
        </w:rPr>
        <w:t>De ahí que deba arribarse a la</w:t>
      </w:r>
      <w:r w:rsidR="00410789">
        <w:rPr>
          <w:rFonts w:ascii="Palatino Linotype" w:hAnsi="Palatino Linotype"/>
          <w:bCs/>
          <w:sz w:val="24"/>
          <w:szCs w:val="24"/>
        </w:rPr>
        <w:t xml:space="preserve"> premisa de que la Coordinación Administrativa y algunas de sus unidades administrativas se encargan de regular diversas aristas de los servidores públicos, tales como</w:t>
      </w:r>
      <w:r w:rsidR="00914EFC">
        <w:rPr>
          <w:rFonts w:ascii="Palatino Linotype" w:hAnsi="Palatino Linotype"/>
          <w:bCs/>
          <w:sz w:val="24"/>
          <w:szCs w:val="24"/>
        </w:rPr>
        <w:t xml:space="preserve"> alta, baja, formalización de relaciones laborales, entre otras. </w:t>
      </w:r>
    </w:p>
    <w:p w14:paraId="6BEAA422" w14:textId="7459076D" w:rsidR="00914EFC" w:rsidRDefault="00914EFC" w:rsidP="006569F5">
      <w:pPr>
        <w:pStyle w:val="Citas"/>
        <w:ind w:left="0" w:right="0"/>
        <w:rPr>
          <w:i w:val="0"/>
          <w:iCs/>
          <w:sz w:val="24"/>
          <w:szCs w:val="24"/>
        </w:rPr>
      </w:pPr>
      <w:r>
        <w:rPr>
          <w:i w:val="0"/>
          <w:iCs/>
          <w:sz w:val="24"/>
          <w:szCs w:val="24"/>
        </w:rPr>
        <w:t>Por otra parte, se destaca que</w:t>
      </w:r>
      <w:r w:rsidR="0029529E">
        <w:rPr>
          <w:i w:val="0"/>
          <w:iCs/>
          <w:sz w:val="24"/>
          <w:szCs w:val="24"/>
        </w:rPr>
        <w:t xml:space="preserve"> </w:t>
      </w:r>
      <w:r w:rsidR="00A23C9E">
        <w:rPr>
          <w:i w:val="0"/>
          <w:iCs/>
          <w:sz w:val="24"/>
          <w:szCs w:val="24"/>
        </w:rPr>
        <w:t xml:space="preserve">la dirección general de personal es competente para mantener actualizados los catálogos de puestos, tabuladores de sueldos e </w:t>
      </w:r>
      <w:r w:rsidR="003E026B">
        <w:rPr>
          <w:i w:val="0"/>
          <w:iCs/>
          <w:sz w:val="24"/>
          <w:szCs w:val="24"/>
        </w:rPr>
        <w:t xml:space="preserve">incluso para autorizar nombramientos y movimientos de personal en el sector central del poder ejecutivo estatal. </w:t>
      </w:r>
      <w:r w:rsidR="00D47E35">
        <w:rPr>
          <w:i w:val="0"/>
          <w:iCs/>
          <w:sz w:val="24"/>
          <w:szCs w:val="24"/>
        </w:rPr>
        <w:t xml:space="preserve">Ahora bien, </w:t>
      </w:r>
      <w:r>
        <w:rPr>
          <w:i w:val="0"/>
          <w:iCs/>
          <w:sz w:val="24"/>
          <w:szCs w:val="24"/>
        </w:rPr>
        <w:t xml:space="preserve">con relación a la dirección general de personal y sus atribuciones reservadas resulta oportuno mencionar que el veintisiete de septiembre de dos mil veintitrés fue publicado en el Periódico Oficial “Gaceta del Gobierno” el </w:t>
      </w:r>
      <w:r w:rsidRPr="00914EFC">
        <w:rPr>
          <w:b/>
          <w:bCs/>
          <w:i w:val="0"/>
          <w:iCs/>
          <w:sz w:val="24"/>
          <w:szCs w:val="24"/>
        </w:rPr>
        <w:lastRenderedPageBreak/>
        <w:t xml:space="preserve">Acuerdo </w:t>
      </w:r>
      <w:r>
        <w:rPr>
          <w:b/>
          <w:bCs/>
          <w:i w:val="0"/>
          <w:iCs/>
          <w:sz w:val="24"/>
          <w:szCs w:val="24"/>
        </w:rPr>
        <w:t xml:space="preserve">por el que se transfieren los recursos de la subsecretaría de administración de la Secretaría de Finanzas a la Oficialía Mayor, </w:t>
      </w:r>
      <w:r w:rsidR="0029529E">
        <w:rPr>
          <w:i w:val="0"/>
          <w:iCs/>
          <w:sz w:val="24"/>
          <w:szCs w:val="24"/>
        </w:rPr>
        <w:t>resultando de nuestro interés lo siguiente:</w:t>
      </w:r>
    </w:p>
    <w:p w14:paraId="12EE57AB" w14:textId="77777777" w:rsidR="0029529E" w:rsidRDefault="0029529E" w:rsidP="0029529E">
      <w:pPr>
        <w:pStyle w:val="Citas"/>
        <w:rPr>
          <w:lang w:eastAsia="es-ES"/>
        </w:rPr>
      </w:pPr>
      <w:r>
        <w:rPr>
          <w:lang w:val="es-ES_tradnl" w:eastAsia="es-ES"/>
        </w:rPr>
        <w:t>“</w:t>
      </w:r>
      <w:r w:rsidRPr="00F24CD7">
        <w:rPr>
          <w:b/>
          <w:lang w:eastAsia="es-ES"/>
        </w:rPr>
        <w:t>ARTÍCULO PRIMERO.</w:t>
      </w:r>
      <w:r w:rsidRPr="00215A96">
        <w:rPr>
          <w:lang w:eastAsia="es-ES"/>
        </w:rPr>
        <w:t xml:space="preserve"> El presente Acuerdo tiene por objeto establecer las acciones, procedimientos y mecanismos para llevar a cabo la transferencia de los recursos financieros, humanos y materiales necesarios para la operación de la Oficialía Mayor, de conformidad con las atribuciones, funciones, competencias y transitorios previstos en Decreto Número 182 de la “LXI” Legislatura del Estado de México, por el cual se expidió la Ley Orgánica de la Administración Pública del Estado de México, publicado el 11 de septiembre de 2023 en el Periódico Oficial “Gaceta del Gobierno”. </w:t>
      </w:r>
    </w:p>
    <w:p w14:paraId="677F7591" w14:textId="77CB0C15" w:rsidR="0029529E" w:rsidRPr="0029529E" w:rsidRDefault="0029529E" w:rsidP="0029529E">
      <w:pPr>
        <w:pStyle w:val="Citas"/>
        <w:rPr>
          <w:b/>
          <w:bCs/>
          <w:lang w:eastAsia="es-ES"/>
        </w:rPr>
      </w:pPr>
      <w:r w:rsidRPr="00F24CD7">
        <w:rPr>
          <w:b/>
          <w:lang w:eastAsia="es-ES"/>
        </w:rPr>
        <w:t>ARTÍCULO SEGUNDO</w:t>
      </w:r>
      <w:r w:rsidRPr="00215A96">
        <w:rPr>
          <w:lang w:eastAsia="es-ES"/>
        </w:rPr>
        <w:t xml:space="preserve">. </w:t>
      </w:r>
      <w:r w:rsidRPr="0029529E">
        <w:rPr>
          <w:b/>
          <w:bCs/>
          <w:u w:val="single"/>
          <w:lang w:eastAsia="es-ES"/>
        </w:rPr>
        <w:t>Los recursos humanos, materiales, presupuestales y financieros de la Subsecretaría de Administración de la Secretaría de Finanzas</w:t>
      </w:r>
      <w:r w:rsidRPr="0029529E">
        <w:rPr>
          <w:b/>
          <w:bCs/>
          <w:lang w:eastAsia="es-ES"/>
        </w:rPr>
        <w:t>,</w:t>
      </w:r>
      <w:r w:rsidRPr="00215A96">
        <w:rPr>
          <w:lang w:eastAsia="es-ES"/>
        </w:rPr>
        <w:t xml:space="preserve"> con excepción de los relativos a la Dirección General del Sistema Estatal de Informática, que continuará adscrita a la Secretaría de Finanzas, </w:t>
      </w:r>
      <w:r w:rsidRPr="0029529E">
        <w:rPr>
          <w:b/>
          <w:bCs/>
          <w:u w:val="single"/>
          <w:lang w:eastAsia="es-ES"/>
        </w:rPr>
        <w:t>serán transferidos a partir de la entrada en vigor del presente Acuerdo a la Oficialía Mayor.</w:t>
      </w:r>
      <w:r w:rsidRPr="00215A96">
        <w:rPr>
          <w:lang w:eastAsia="es-ES"/>
        </w:rPr>
        <w:t xml:space="preserve"> La Secretaría de Finanzas deberá llevar a cabo las acciones necesarias que permitan</w:t>
      </w:r>
      <w:r>
        <w:rPr>
          <w:lang w:eastAsia="es-ES"/>
        </w:rPr>
        <w:t xml:space="preserve"> </w:t>
      </w:r>
      <w:r w:rsidRPr="00215A96">
        <w:rPr>
          <w:lang w:eastAsia="es-ES"/>
        </w:rPr>
        <w:t>a la Oficialía Mayor ejercer sus atribuciones y cumplir con sus obligaciones relativas al pago de las prestaciones económicas de los recursos humanos, materiales y financieros, así como las derivadas de los contratos de arrendamiento de bienes muebles e inmuebles, de ejecución de obra pública y los correspondientes a la adquisición de los bienes y servicios.</w:t>
      </w:r>
      <w:r>
        <w:rPr>
          <w:lang w:eastAsia="es-ES"/>
        </w:rPr>
        <w:t xml:space="preserve">” </w:t>
      </w:r>
      <w:r>
        <w:rPr>
          <w:b/>
          <w:bCs/>
          <w:lang w:eastAsia="es-ES"/>
        </w:rPr>
        <w:t>(Sic)</w:t>
      </w:r>
    </w:p>
    <w:p w14:paraId="1C634B92" w14:textId="77777777" w:rsidR="0029529E" w:rsidRPr="0029529E" w:rsidRDefault="0029529E" w:rsidP="006569F5">
      <w:pPr>
        <w:pStyle w:val="Citas"/>
        <w:ind w:left="0" w:right="0"/>
        <w:rPr>
          <w:i w:val="0"/>
          <w:iCs/>
          <w:sz w:val="24"/>
          <w:szCs w:val="24"/>
        </w:rPr>
      </w:pPr>
    </w:p>
    <w:p w14:paraId="4E7CF2B4" w14:textId="77777777" w:rsidR="0029529E" w:rsidRDefault="0029529E" w:rsidP="0029529E">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sz w:val="24"/>
          <w:szCs w:val="24"/>
          <w:lang w:val="es-ES_tradnl" w:eastAsia="es-ES"/>
        </w:rPr>
        <w:lastRenderedPageBreak/>
        <w:t xml:space="preserve">Ordenamiento normativo que establece de manera clara y precisa la transferencia de los recursos humanos, materiales, presupuestarios y financieros de </w:t>
      </w:r>
      <w:r w:rsidRPr="00F24CD7">
        <w:rPr>
          <w:rFonts w:ascii="Palatino Linotype" w:eastAsia="Calibri" w:hAnsi="Palatino Linotype" w:cs="Times New Roman"/>
          <w:sz w:val="24"/>
          <w:szCs w:val="24"/>
          <w:lang w:val="es-ES_tradnl" w:eastAsia="es-ES"/>
        </w:rPr>
        <w:t>la Subsecretaría de Administración de la Secretaría de Finanzas</w:t>
      </w:r>
      <w:r>
        <w:rPr>
          <w:rFonts w:ascii="Palatino Linotype" w:eastAsia="Calibri" w:hAnsi="Palatino Linotype" w:cs="Times New Roman"/>
          <w:sz w:val="24"/>
          <w:szCs w:val="24"/>
          <w:lang w:val="es-ES_tradnl" w:eastAsia="es-ES"/>
        </w:rPr>
        <w:t xml:space="preserve"> (Sujeto Obligado) a la Oficialía Mayor. Transferencia que se realizó al día hábil siguiente de publicado dicho acuerdo (veintisiete de septiembre de dos mil veintitrés), es decir el veintiocho de septiembre de dos mil veintitrés.</w:t>
      </w:r>
    </w:p>
    <w:p w14:paraId="5F807CC8" w14:textId="77777777" w:rsidR="0029529E" w:rsidRDefault="0029529E" w:rsidP="0029529E">
      <w:pPr>
        <w:spacing w:after="0" w:line="360" w:lineRule="auto"/>
        <w:jc w:val="both"/>
        <w:rPr>
          <w:rFonts w:ascii="Palatino Linotype" w:eastAsia="Calibri" w:hAnsi="Palatino Linotype" w:cs="Times New Roman"/>
          <w:sz w:val="24"/>
          <w:szCs w:val="24"/>
          <w:lang w:val="es-ES_tradnl" w:eastAsia="es-ES"/>
        </w:rPr>
      </w:pPr>
    </w:p>
    <w:p w14:paraId="6546A08F" w14:textId="52994532" w:rsidR="0029529E" w:rsidRPr="0029529E" w:rsidRDefault="0029529E" w:rsidP="0029529E">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sz w:val="24"/>
          <w:szCs w:val="24"/>
          <w:lang w:val="es-ES_tradnl" w:eastAsia="es-ES"/>
        </w:rPr>
        <w:t xml:space="preserve">Atentos a lo anterior, se arriba a la conclusión de que la dirección general de personal fungía como una unidad administrativa competente para atender tópicos relacionados con remuneraciones, sin embargo, actualmente forma parte de la Oficialía Mayor. No obstante, </w:t>
      </w:r>
      <w:r>
        <w:rPr>
          <w:rFonts w:ascii="Palatino Linotype" w:eastAsia="Calibri" w:hAnsi="Palatino Linotype" w:cs="Times New Roman"/>
          <w:b/>
          <w:bCs/>
          <w:sz w:val="24"/>
          <w:szCs w:val="24"/>
          <w:lang w:val="es-ES_tradnl" w:eastAsia="es-ES"/>
        </w:rPr>
        <w:t xml:space="preserve">El Sujeto Obligado </w:t>
      </w:r>
      <w:r>
        <w:rPr>
          <w:rFonts w:ascii="Palatino Linotype" w:eastAsia="Calibri" w:hAnsi="Palatino Linotype" w:cs="Times New Roman"/>
          <w:sz w:val="24"/>
          <w:szCs w:val="24"/>
          <w:lang w:val="es-ES_tradnl" w:eastAsia="es-ES"/>
        </w:rPr>
        <w:t xml:space="preserve">cuenta con otras unidades administrativas que pudieran dar cuenta de la información requerida mediante las solicitudes de información </w:t>
      </w:r>
      <w:r>
        <w:rPr>
          <w:rFonts w:ascii="Palatino Linotype" w:eastAsia="Calibri" w:hAnsi="Palatino Linotype" w:cs="Times New Roman"/>
          <w:b/>
          <w:bCs/>
          <w:sz w:val="24"/>
          <w:szCs w:val="24"/>
          <w:lang w:val="es-ES_tradnl" w:eastAsia="es-ES"/>
        </w:rPr>
        <w:t xml:space="preserve">01315/SF/IP/2023 </w:t>
      </w:r>
      <w:r>
        <w:rPr>
          <w:rFonts w:ascii="Palatino Linotype" w:eastAsia="Calibri" w:hAnsi="Palatino Linotype" w:cs="Times New Roman"/>
          <w:sz w:val="24"/>
          <w:szCs w:val="24"/>
          <w:lang w:val="es-ES_tradnl" w:eastAsia="es-ES"/>
        </w:rPr>
        <w:t xml:space="preserve">y </w:t>
      </w:r>
      <w:r>
        <w:rPr>
          <w:rFonts w:ascii="Palatino Linotype" w:eastAsia="Calibri" w:hAnsi="Palatino Linotype" w:cs="Times New Roman"/>
          <w:b/>
          <w:bCs/>
          <w:sz w:val="24"/>
          <w:szCs w:val="24"/>
          <w:lang w:val="es-ES_tradnl" w:eastAsia="es-ES"/>
        </w:rPr>
        <w:t xml:space="preserve">01314/SF/IP/2023 </w:t>
      </w:r>
      <w:r>
        <w:rPr>
          <w:rFonts w:ascii="Palatino Linotype" w:eastAsia="Calibri" w:hAnsi="Palatino Linotype" w:cs="Times New Roman"/>
          <w:sz w:val="24"/>
          <w:szCs w:val="24"/>
          <w:lang w:val="es-ES_tradnl" w:eastAsia="es-ES"/>
        </w:rPr>
        <w:t xml:space="preserve">tales como la Coordinación administrativa, Subdirección de Personal, así como el Departamento de registro y control de personal. </w:t>
      </w:r>
    </w:p>
    <w:p w14:paraId="2A77D31C" w14:textId="77777777" w:rsidR="0029529E" w:rsidRDefault="0029529E" w:rsidP="0029529E">
      <w:pPr>
        <w:spacing w:after="0" w:line="360" w:lineRule="auto"/>
        <w:jc w:val="both"/>
        <w:rPr>
          <w:rFonts w:ascii="Palatino Linotype" w:eastAsia="Calibri" w:hAnsi="Palatino Linotype" w:cs="Times New Roman"/>
          <w:sz w:val="24"/>
          <w:szCs w:val="24"/>
          <w:lang w:val="es-ES_tradnl" w:eastAsia="es-ES"/>
        </w:rPr>
      </w:pPr>
    </w:p>
    <w:p w14:paraId="230F058C" w14:textId="78C94F77" w:rsidR="00FF114D" w:rsidRDefault="0029529E" w:rsidP="00FF114D">
      <w:pPr>
        <w:spacing w:line="360" w:lineRule="auto"/>
        <w:jc w:val="both"/>
        <w:rPr>
          <w:rFonts w:ascii="Palatino Linotype" w:hAnsi="Palatino Linotype" w:cs="Arial"/>
          <w:sz w:val="24"/>
          <w:szCs w:val="24"/>
          <w:lang w:val="es-ES"/>
        </w:rPr>
      </w:pPr>
      <w:r>
        <w:rPr>
          <w:rFonts w:ascii="Palatino Linotype" w:hAnsi="Palatino Linotype" w:cs="Arial"/>
          <w:sz w:val="24"/>
          <w:szCs w:val="24"/>
          <w:lang w:val="es-ES"/>
        </w:rPr>
        <w:t>En función de lo planteado</w:t>
      </w:r>
      <w:r w:rsidR="00FF114D" w:rsidRPr="00B272A6">
        <w:rPr>
          <w:rFonts w:ascii="Palatino Linotype" w:hAnsi="Palatino Linotype" w:cs="Arial"/>
          <w:sz w:val="24"/>
          <w:szCs w:val="24"/>
          <w:lang w:val="es-ES"/>
        </w:rPr>
        <w:t xml:space="preserve">, para justificar la publicidad sobre los datos relativos a los montos por concepto de pago de las remuneraciones, los criterios </w:t>
      </w:r>
      <w:r w:rsidR="00FF114D" w:rsidRPr="00B272A6">
        <w:rPr>
          <w:rFonts w:ascii="Palatino Linotype" w:hAnsi="Palatino Linotype" w:cs="Arial"/>
          <w:b/>
          <w:sz w:val="24"/>
          <w:szCs w:val="24"/>
          <w:lang w:val="es-ES"/>
        </w:rPr>
        <w:t>01/2003</w:t>
      </w:r>
      <w:r w:rsidR="00FF114D" w:rsidRPr="00B272A6">
        <w:rPr>
          <w:rFonts w:ascii="Palatino Linotype" w:hAnsi="Palatino Linotype" w:cs="Arial"/>
          <w:sz w:val="24"/>
          <w:szCs w:val="24"/>
          <w:lang w:val="es-ES"/>
        </w:rPr>
        <w:t xml:space="preserve"> y </w:t>
      </w:r>
      <w:r w:rsidR="00FF114D" w:rsidRPr="00B272A6">
        <w:rPr>
          <w:rFonts w:ascii="Palatino Linotype" w:hAnsi="Palatino Linotype" w:cs="Arial"/>
          <w:b/>
          <w:sz w:val="24"/>
          <w:szCs w:val="24"/>
          <w:lang w:val="es-ES"/>
        </w:rPr>
        <w:t>02/2003</w:t>
      </w:r>
      <w:r w:rsidR="00FF114D" w:rsidRPr="00B272A6">
        <w:rPr>
          <w:rFonts w:ascii="Palatino Linotype" w:hAnsi="Palatino Linotype" w:cs="Arial"/>
          <w:sz w:val="24"/>
          <w:szCs w:val="24"/>
          <w:lang w:val="es-ES"/>
        </w:rPr>
        <w:t xml:space="preserve"> emitidos por el Comité de Acceso a la Información Pública y Protección de Datos Personales de la Suprema Corte de Justicia de la Nación que a continuación se citan: </w:t>
      </w:r>
    </w:p>
    <w:p w14:paraId="125495F7" w14:textId="77777777" w:rsidR="00FF114D" w:rsidRPr="00F975C8" w:rsidRDefault="00FF114D" w:rsidP="00FF114D">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01/2003.</w:t>
      </w:r>
    </w:p>
    <w:p w14:paraId="5209F0DB" w14:textId="77777777" w:rsidR="00FF114D" w:rsidRPr="0039245A" w:rsidRDefault="00FF114D" w:rsidP="00FF114D">
      <w:pPr>
        <w:spacing w:before="240" w:line="360" w:lineRule="auto"/>
        <w:ind w:left="851" w:right="851"/>
        <w:jc w:val="both"/>
        <w:rPr>
          <w:rFonts w:ascii="Palatino Linotype" w:hAnsi="Palatino Linotype" w:cs="Arial"/>
          <w:b/>
          <w:bCs/>
          <w:i/>
          <w:lang w:val="es-ES"/>
        </w:rPr>
      </w:pPr>
      <w:r>
        <w:rPr>
          <w:rFonts w:ascii="Palatino Linotype" w:hAnsi="Palatino Linotype" w:cs="Arial"/>
          <w:b/>
          <w:i/>
          <w:lang w:val="es-ES"/>
        </w:rPr>
        <w:t>“</w:t>
      </w:r>
      <w:r w:rsidRPr="00F975C8">
        <w:rPr>
          <w:rFonts w:ascii="Palatino Linotype" w:hAnsi="Palatino Linotype" w:cs="Arial"/>
          <w:b/>
          <w:i/>
          <w:lang w:val="es-ES"/>
        </w:rPr>
        <w:t>INGRESOS DE LOS SERVIDORES PÚBLICOS. CONSTITUYEN INFORMACIÓN PÚBLICA AÚN Y CUANDO SU DIFUSIÓN PUEDE AFECTAR LA VIDA O LA SEGURIDAD DE AQUELLOS.</w:t>
      </w:r>
      <w:r w:rsidRPr="00F975C8">
        <w:rPr>
          <w:rFonts w:ascii="Palatino Linotype" w:hAnsi="Palatino Linotype" w:cs="Arial"/>
          <w:i/>
          <w:lang w:val="es-ES"/>
        </w:rPr>
        <w:t xml:space="preserve"> Si bien el artículo </w:t>
      </w:r>
      <w:r w:rsidRPr="00F975C8">
        <w:rPr>
          <w:rFonts w:ascii="Palatino Linotype" w:hAnsi="Palatino Linotype" w:cs="Arial"/>
          <w:i/>
          <w:lang w:val="es-ES"/>
        </w:rPr>
        <w:lastRenderedPageBreak/>
        <w:t xml:space="preserve">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39245A">
        <w:rPr>
          <w:rFonts w:ascii="Palatino Linotype" w:hAnsi="Palatino Linotype" w:cs="Arial"/>
          <w:b/>
          <w:i/>
          <w:u w:val="single"/>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39245A">
        <w:rPr>
          <w:rFonts w:ascii="Palatino Linotype" w:hAnsi="Palatino Linotype" w:cs="Arial"/>
          <w:i/>
          <w:u w:val="single"/>
          <w:lang w:val="es-ES"/>
        </w:rPr>
        <w:t>…”</w:t>
      </w:r>
      <w:r>
        <w:rPr>
          <w:rFonts w:ascii="Palatino Linotype" w:hAnsi="Palatino Linotype" w:cs="Arial"/>
          <w:i/>
          <w:lang w:val="es-ES"/>
        </w:rPr>
        <w:t xml:space="preserve"> </w:t>
      </w:r>
      <w:r>
        <w:rPr>
          <w:rFonts w:ascii="Palatino Linotype" w:hAnsi="Palatino Linotype" w:cs="Arial"/>
          <w:b/>
          <w:bCs/>
          <w:i/>
          <w:lang w:val="es-ES"/>
        </w:rPr>
        <w:t>[Sic]</w:t>
      </w:r>
    </w:p>
    <w:p w14:paraId="6269F060" w14:textId="77777777" w:rsidR="00FF114D" w:rsidRPr="00F975C8" w:rsidRDefault="00FF114D" w:rsidP="00FF114D">
      <w:pPr>
        <w:spacing w:before="240" w:line="360" w:lineRule="auto"/>
        <w:ind w:left="851" w:right="851"/>
        <w:jc w:val="both"/>
        <w:rPr>
          <w:rFonts w:ascii="Palatino Linotype" w:hAnsi="Palatino Linotype" w:cs="Arial"/>
          <w:i/>
          <w:lang w:val="es-ES"/>
        </w:rPr>
      </w:pPr>
    </w:p>
    <w:p w14:paraId="15378585" w14:textId="77777777" w:rsidR="00FF114D" w:rsidRPr="00F975C8" w:rsidRDefault="00FF114D" w:rsidP="00FF114D">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02/2003.</w:t>
      </w:r>
    </w:p>
    <w:p w14:paraId="0E09EF59" w14:textId="77777777" w:rsidR="00FF114D" w:rsidRPr="00B272A6" w:rsidRDefault="00FF114D" w:rsidP="00FF114D">
      <w:pPr>
        <w:spacing w:before="240" w:line="360" w:lineRule="auto"/>
        <w:ind w:left="851" w:right="851"/>
        <w:jc w:val="both"/>
        <w:rPr>
          <w:rFonts w:ascii="Palatino Linotype" w:hAnsi="Palatino Linotype" w:cs="Arial"/>
          <w:b/>
          <w:i/>
          <w:lang w:val="es-ES"/>
        </w:rPr>
      </w:pPr>
      <w:r>
        <w:rPr>
          <w:rFonts w:ascii="Palatino Linotype" w:hAnsi="Palatino Linotype" w:cs="Arial"/>
          <w:b/>
          <w:i/>
          <w:lang w:val="es-ES"/>
        </w:rPr>
        <w:t>“</w:t>
      </w:r>
      <w:r w:rsidRPr="00F975C8">
        <w:rPr>
          <w:rFonts w:ascii="Palatino Linotype" w:hAnsi="Palatino Linotype" w:cs="Arial"/>
          <w:b/>
          <w:i/>
          <w:lang w:val="es-ES"/>
        </w:rPr>
        <w:t>INGRESOS DE LOS SERVIDORES PÚBLICOS, SON INFORMACIÓN PÚBLICA AÚN Y CUANDO CONSTITUYEN DATOS PERSONALES QUE SE REFIEREN AL PATRIMONIO DE AQUÉLLOS.</w:t>
      </w:r>
      <w:r w:rsidRPr="00F975C8">
        <w:rPr>
          <w:rFonts w:ascii="Palatino Linotype" w:hAnsi="Palatino Linotype" w:cs="Arial"/>
          <w:i/>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w:t>
      </w:r>
      <w:r w:rsidRPr="00F975C8">
        <w:rPr>
          <w:rFonts w:ascii="Palatino Linotype" w:hAnsi="Palatino Linotype" w:cs="Arial"/>
          <w:i/>
          <w:lang w:val="es-ES"/>
        </w:rPr>
        <w:lastRenderedPageBreak/>
        <w:t xml:space="preserve">relativos a su patrimonio, para su difusión no se requiere consentimiento de aquellos, </w:t>
      </w:r>
      <w:r w:rsidRPr="0039245A">
        <w:rPr>
          <w:rFonts w:ascii="Palatino Linotype" w:hAnsi="Palatino Linotype" w:cs="Arial"/>
          <w:b/>
          <w:i/>
          <w:u w:val="single"/>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F975C8">
        <w:rPr>
          <w:rFonts w:ascii="Palatino Linotype" w:hAnsi="Palatino Linotype" w:cs="Arial"/>
          <w:i/>
          <w:lang w:val="es-ES"/>
        </w:rPr>
        <w:t xml:space="preserve"> el sistema de compensación…”</w:t>
      </w:r>
      <w:r>
        <w:rPr>
          <w:rFonts w:ascii="Palatino Linotype" w:hAnsi="Palatino Linotype" w:cs="Arial"/>
          <w:i/>
          <w:lang w:val="es-ES"/>
        </w:rPr>
        <w:t xml:space="preserve"> </w:t>
      </w:r>
      <w:r>
        <w:rPr>
          <w:rFonts w:ascii="Palatino Linotype" w:hAnsi="Palatino Linotype" w:cs="Arial"/>
          <w:b/>
          <w:i/>
          <w:lang w:val="es-ES"/>
        </w:rPr>
        <w:t>[Sic]</w:t>
      </w:r>
    </w:p>
    <w:p w14:paraId="6E3FC848" w14:textId="77777777" w:rsidR="0029529E" w:rsidRDefault="0029529E" w:rsidP="00FF114D">
      <w:pPr>
        <w:spacing w:before="240" w:after="240" w:line="360" w:lineRule="auto"/>
        <w:jc w:val="both"/>
        <w:rPr>
          <w:rFonts w:ascii="Palatino Linotype" w:hAnsi="Palatino Linotype" w:cs="Arial"/>
          <w:sz w:val="24"/>
          <w:szCs w:val="24"/>
          <w:lang w:val="es-ES"/>
        </w:rPr>
      </w:pPr>
    </w:p>
    <w:p w14:paraId="7FB20649" w14:textId="5E782E01" w:rsidR="00FF114D" w:rsidRDefault="00FF114D" w:rsidP="00FF114D">
      <w:pPr>
        <w:spacing w:before="240" w:after="240"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En este sentido, </w:t>
      </w:r>
      <w:r w:rsidRPr="00B272A6">
        <w:rPr>
          <w:rFonts w:ascii="Palatino Linotype" w:hAnsi="Palatino Linotype" w:cs="Arial"/>
          <w:b/>
          <w:sz w:val="24"/>
          <w:szCs w:val="24"/>
          <w:lang w:val="es-ES"/>
        </w:rPr>
        <w:t>E</w:t>
      </w:r>
      <w:r>
        <w:rPr>
          <w:rFonts w:ascii="Palatino Linotype" w:hAnsi="Palatino Linotype" w:cs="Arial"/>
          <w:b/>
          <w:sz w:val="24"/>
          <w:szCs w:val="24"/>
          <w:lang w:val="es-ES"/>
        </w:rPr>
        <w:t>l</w:t>
      </w:r>
      <w:r w:rsidRPr="00B272A6">
        <w:rPr>
          <w:rFonts w:ascii="Palatino Linotype" w:hAnsi="Palatino Linotype" w:cs="Arial"/>
          <w:b/>
          <w:sz w:val="24"/>
          <w:szCs w:val="24"/>
          <w:lang w:val="es-ES"/>
        </w:rPr>
        <w:t xml:space="preserve"> </w:t>
      </w:r>
      <w:r>
        <w:rPr>
          <w:rFonts w:ascii="Palatino Linotype" w:hAnsi="Palatino Linotype" w:cs="Arial"/>
          <w:b/>
          <w:sz w:val="24"/>
          <w:szCs w:val="24"/>
          <w:lang w:val="es-ES"/>
        </w:rPr>
        <w:t>Sujeto</w:t>
      </w:r>
      <w:r w:rsidRPr="00B272A6">
        <w:rPr>
          <w:rFonts w:ascii="Palatino Linotype" w:hAnsi="Palatino Linotype" w:cs="Arial"/>
          <w:b/>
          <w:sz w:val="24"/>
          <w:szCs w:val="24"/>
          <w:lang w:val="es-ES"/>
        </w:rPr>
        <w:t xml:space="preserve"> </w:t>
      </w:r>
      <w:r>
        <w:rPr>
          <w:rFonts w:ascii="Palatino Linotype" w:hAnsi="Palatino Linotype" w:cs="Arial"/>
          <w:b/>
          <w:sz w:val="24"/>
          <w:szCs w:val="24"/>
          <w:lang w:val="es-ES"/>
        </w:rPr>
        <w:t>Obligado</w:t>
      </w:r>
      <w:r w:rsidRPr="00B272A6">
        <w:rPr>
          <w:rFonts w:ascii="Palatino Linotype" w:hAnsi="Palatino Linotype" w:cs="Arial"/>
          <w:sz w:val="24"/>
          <w:szCs w:val="24"/>
          <w:lang w:val="es-ES"/>
        </w:rPr>
        <w:t xml:space="preserve"> se encuentra constreñido a entregar la información solicitada por </w:t>
      </w:r>
      <w:r w:rsidR="0029529E">
        <w:rPr>
          <w:rFonts w:ascii="Palatino Linotype" w:hAnsi="Palatino Linotype" w:cs="Arial"/>
          <w:b/>
          <w:color w:val="000000"/>
          <w:sz w:val="24"/>
          <w:szCs w:val="24"/>
          <w:lang w:val="es-ES" w:eastAsia="es-MX"/>
        </w:rPr>
        <w:t>El</w:t>
      </w:r>
      <w:r w:rsidRPr="00B272A6">
        <w:rPr>
          <w:rFonts w:ascii="Palatino Linotype" w:hAnsi="Palatino Linotype" w:cs="Arial"/>
          <w:b/>
          <w:color w:val="000000"/>
          <w:sz w:val="24"/>
          <w:szCs w:val="24"/>
          <w:lang w:eastAsia="es-MX"/>
        </w:rPr>
        <w:t xml:space="preserve"> R</w:t>
      </w:r>
      <w:r>
        <w:rPr>
          <w:rFonts w:ascii="Palatino Linotype" w:hAnsi="Palatino Linotype" w:cs="Arial"/>
          <w:b/>
          <w:color w:val="000000"/>
          <w:sz w:val="24"/>
          <w:szCs w:val="24"/>
          <w:lang w:eastAsia="es-MX"/>
        </w:rPr>
        <w:t>ecurrente</w:t>
      </w:r>
      <w:r w:rsidRPr="00B272A6">
        <w:rPr>
          <w:rFonts w:ascii="Palatino Linotype" w:hAnsi="Palatino Linotype" w:cs="Arial"/>
          <w:sz w:val="24"/>
          <w:szCs w:val="24"/>
          <w:lang w:val="es-ES"/>
        </w:rPr>
        <w:t xml:space="preserve">, de acuerdo a lo dispuesto por los artículos 3, fracción XI y 12 </w:t>
      </w:r>
      <w:r w:rsidRPr="00B272A6">
        <w:rPr>
          <w:rFonts w:ascii="Palatino Linotype" w:hAnsi="Palatino Linotype" w:cs="Arial"/>
          <w:bCs/>
          <w:sz w:val="24"/>
          <w:szCs w:val="24"/>
          <w:lang w:val="es-ES"/>
        </w:rPr>
        <w:t>de la Ley de Transparencia y Acceso a la Información Pública del Estado de México y Municipios</w:t>
      </w:r>
      <w:r w:rsidRPr="00B272A6">
        <w:rPr>
          <w:rFonts w:ascii="Palatino Linotype" w:hAnsi="Palatino Linotype" w:cs="Arial"/>
          <w:sz w:val="24"/>
          <w:szCs w:val="24"/>
          <w:lang w:val="es-ES"/>
        </w:rPr>
        <w:t>, de los cuales se desprende que es información pública la contenida en los documentos que los Sujetos Obligados generen, administren o se encuentre en su posesión en ejercicio de sus atribuciones.</w:t>
      </w:r>
    </w:p>
    <w:p w14:paraId="6BA8283C" w14:textId="77777777" w:rsidR="00FF114D" w:rsidRDefault="00FF114D" w:rsidP="00FF114D">
      <w:pPr>
        <w:autoSpaceDE w:val="0"/>
        <w:autoSpaceDN w:val="0"/>
        <w:adjustRightInd w:val="0"/>
        <w:spacing w:before="240" w:after="240" w:line="360" w:lineRule="auto"/>
        <w:jc w:val="both"/>
        <w:rPr>
          <w:rFonts w:ascii="Palatino Linotype" w:hAnsi="Palatino Linotype" w:cs="Arial"/>
          <w:sz w:val="24"/>
          <w:szCs w:val="24"/>
          <w:lang w:val="es-ES"/>
        </w:rPr>
      </w:pPr>
      <w:r>
        <w:rPr>
          <w:rFonts w:ascii="Palatino Linotype" w:hAnsi="Palatino Linotype" w:cs="Arial"/>
          <w:sz w:val="24"/>
          <w:szCs w:val="24"/>
          <w:lang w:val="es-ES"/>
        </w:rPr>
        <w:t xml:space="preserve">En virtud lo anterior, para justificar la publicidad tratándose de remuneraciones, sirve de sustento el </w:t>
      </w:r>
      <w:r w:rsidRPr="00B272A6">
        <w:rPr>
          <w:rFonts w:ascii="Palatino Linotype" w:hAnsi="Palatino Linotype" w:cs="Arial"/>
          <w:sz w:val="24"/>
          <w:szCs w:val="24"/>
          <w:lang w:val="es-ES"/>
        </w:rPr>
        <w:t xml:space="preserve">criterio </w:t>
      </w:r>
      <w:r w:rsidRPr="00B272A6">
        <w:rPr>
          <w:rFonts w:ascii="Palatino Linotype" w:hAnsi="Palatino Linotype" w:cs="Arial"/>
          <w:bCs/>
          <w:sz w:val="24"/>
          <w:szCs w:val="24"/>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B272A6">
        <w:rPr>
          <w:rFonts w:ascii="Palatino Linotype" w:hAnsi="Palatino Linotype" w:cs="Arial"/>
          <w:sz w:val="24"/>
          <w:szCs w:val="24"/>
          <w:lang w:val="es-ES"/>
        </w:rPr>
        <w:t>cuyo rubro y texto dispone:</w:t>
      </w:r>
    </w:p>
    <w:p w14:paraId="2D1C809B" w14:textId="77777777" w:rsidR="00FF114D" w:rsidRPr="00F975C8" w:rsidRDefault="00FF114D" w:rsidP="00FF114D">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0002-11</w:t>
      </w:r>
    </w:p>
    <w:p w14:paraId="397E890F" w14:textId="77777777" w:rsidR="00FF114D" w:rsidRPr="00F975C8" w:rsidRDefault="00FF114D" w:rsidP="00FF114D">
      <w:pPr>
        <w:spacing w:before="240" w:line="360" w:lineRule="auto"/>
        <w:ind w:left="851" w:right="851"/>
        <w:jc w:val="both"/>
        <w:rPr>
          <w:rFonts w:ascii="Palatino Linotype" w:hAnsi="Palatino Linotype" w:cs="Arial"/>
          <w:i/>
          <w:lang w:val="es-ES"/>
        </w:rPr>
      </w:pPr>
      <w:r>
        <w:rPr>
          <w:rFonts w:ascii="Palatino Linotype" w:hAnsi="Palatino Linotype" w:cs="Arial"/>
          <w:b/>
          <w:i/>
          <w:lang w:val="es-ES"/>
        </w:rPr>
        <w:lastRenderedPageBreak/>
        <w:t>“</w:t>
      </w:r>
      <w:r w:rsidRPr="00F975C8">
        <w:rPr>
          <w:rFonts w:ascii="Palatino Linotype" w:hAnsi="Palatino Linotype" w:cs="Arial"/>
          <w:b/>
          <w:i/>
          <w:lang w:val="es-ES"/>
        </w:rPr>
        <w:t xml:space="preserve">INFORMACIÓN PÚBLICA, CONCEPTO DE, EN MATERIA DE TRANSPARENCIA. INTERPRETACIÓN TEMÁTICA DE LOS ARTÍCULOS 2 2, FRACCIÓN </w:t>
      </w:r>
      <w:r w:rsidRPr="00F975C8">
        <w:rPr>
          <w:rFonts w:ascii="Palatino Linotype" w:hAnsi="Palatino Linotype" w:cs="Arial"/>
          <w:b/>
          <w:bCs/>
          <w:i/>
          <w:lang w:val="es-ES"/>
        </w:rPr>
        <w:t xml:space="preserve">V, XV, Y XVI, </w:t>
      </w:r>
      <w:r w:rsidRPr="00F975C8">
        <w:rPr>
          <w:rFonts w:ascii="Palatino Linotype" w:hAnsi="Palatino Linotype" w:cs="Arial"/>
          <w:b/>
          <w:i/>
          <w:lang w:val="es-ES"/>
        </w:rPr>
        <w:t>32, 4,11 Y 41.</w:t>
      </w:r>
      <w:r w:rsidRPr="00F975C8">
        <w:rPr>
          <w:rFonts w:ascii="Palatino Linotype" w:hAnsi="Palatino Linotype" w:cs="Arial"/>
          <w:i/>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65CDA9E" w14:textId="77777777" w:rsidR="00FF114D" w:rsidRPr="00F975C8" w:rsidRDefault="00FF114D" w:rsidP="00FF114D">
      <w:pPr>
        <w:spacing w:before="240" w:line="360" w:lineRule="auto"/>
        <w:ind w:left="851" w:right="851"/>
        <w:jc w:val="both"/>
        <w:rPr>
          <w:rFonts w:ascii="Palatino Linotype" w:hAnsi="Palatino Linotype" w:cs="Arial"/>
          <w:i/>
          <w:lang w:val="es-ES"/>
        </w:rPr>
      </w:pPr>
      <w:r w:rsidRPr="00F975C8">
        <w:rPr>
          <w:rFonts w:ascii="Palatino Linotype" w:hAnsi="Palatino Linotype" w:cs="Arial"/>
          <w:i/>
          <w:lang w:val="es-ES"/>
        </w:rPr>
        <w:t>En consecuencia el acceso a la información se refiere a que se cumplan cualquiera de los siguientes tres supuestos:</w:t>
      </w:r>
    </w:p>
    <w:p w14:paraId="733BB4E4" w14:textId="77777777" w:rsidR="00FF114D" w:rsidRPr="0039245A" w:rsidRDefault="00FF114D" w:rsidP="00FF114D">
      <w:pPr>
        <w:spacing w:before="240" w:line="360" w:lineRule="auto"/>
        <w:ind w:left="851" w:right="851"/>
        <w:jc w:val="both"/>
        <w:rPr>
          <w:rFonts w:ascii="Palatino Linotype" w:hAnsi="Palatino Linotype" w:cs="Arial"/>
          <w:b/>
          <w:i/>
          <w:u w:val="single"/>
          <w:lang w:val="es-ES"/>
        </w:rPr>
      </w:pPr>
      <w:r w:rsidRPr="0039245A">
        <w:rPr>
          <w:rFonts w:ascii="Palatino Linotype" w:hAnsi="Palatino Linotype" w:cs="Arial"/>
          <w:b/>
          <w:i/>
          <w:u w:val="single"/>
          <w:lang w:val="es-ES"/>
        </w:rPr>
        <w:t>1) Que se trate de información registrada en cualquier soporte documental, que en ejercicio de las atribuciones conferidas, sea generada por los Sujetos Obligados;</w:t>
      </w:r>
    </w:p>
    <w:p w14:paraId="54977255" w14:textId="77777777" w:rsidR="00FF114D" w:rsidRPr="00F975C8" w:rsidRDefault="00FF114D" w:rsidP="00FF114D">
      <w:pPr>
        <w:spacing w:before="240" w:line="360" w:lineRule="auto"/>
        <w:ind w:left="851" w:right="851"/>
        <w:jc w:val="both"/>
        <w:rPr>
          <w:rFonts w:ascii="Palatino Linotype" w:hAnsi="Palatino Linotype" w:cs="Arial"/>
          <w:i/>
          <w:lang w:val="es-ES"/>
        </w:rPr>
      </w:pPr>
      <w:r w:rsidRPr="00F975C8">
        <w:rPr>
          <w:rFonts w:ascii="Palatino Linotype" w:hAnsi="Palatino Linotype" w:cs="Arial"/>
          <w:i/>
          <w:lang w:val="es-ES"/>
        </w:rPr>
        <w:t>2) Que se trate de información registrada en cualquier soporte documental, que en ejercicio de las atribuciones conferidas, sea administrada por los Sujetos Obligados, y</w:t>
      </w:r>
    </w:p>
    <w:p w14:paraId="510A091C" w14:textId="77777777" w:rsidR="00FF114D" w:rsidRPr="00B272A6" w:rsidRDefault="00FF114D" w:rsidP="00FF114D">
      <w:pPr>
        <w:spacing w:before="240" w:line="360" w:lineRule="auto"/>
        <w:ind w:left="851" w:right="851"/>
        <w:jc w:val="both"/>
        <w:rPr>
          <w:rFonts w:ascii="Palatino Linotype" w:hAnsi="Palatino Linotype" w:cs="Arial"/>
          <w:b/>
          <w:i/>
          <w:lang w:val="es-ES"/>
        </w:rPr>
      </w:pPr>
      <w:r w:rsidRPr="00F975C8">
        <w:rPr>
          <w:rFonts w:ascii="Palatino Linotype" w:hAnsi="Palatino Linotype" w:cs="Arial"/>
          <w:i/>
          <w:lang w:val="es-ES"/>
        </w:rPr>
        <w:t xml:space="preserve">3) Que se trate de información registrada en cualquier soporte documental, que en ejercicio de las atribuciones conferidas, se encuentre en posesión de los Sujetos Obligados.” </w:t>
      </w:r>
      <w:r>
        <w:rPr>
          <w:rFonts w:ascii="Palatino Linotype" w:hAnsi="Palatino Linotype" w:cs="Arial"/>
          <w:b/>
          <w:i/>
          <w:lang w:val="es-ES"/>
        </w:rPr>
        <w:t>[Sic]</w:t>
      </w:r>
    </w:p>
    <w:p w14:paraId="576A6B6C" w14:textId="77777777" w:rsidR="00405E83" w:rsidRDefault="00405E83" w:rsidP="00FF114D">
      <w:pPr>
        <w:autoSpaceDE w:val="0"/>
        <w:autoSpaceDN w:val="0"/>
        <w:adjustRightInd w:val="0"/>
        <w:spacing w:before="240" w:line="360" w:lineRule="auto"/>
        <w:jc w:val="both"/>
        <w:rPr>
          <w:rFonts w:ascii="Palatino Linotype" w:hAnsi="Palatino Linotype" w:cs="Arial"/>
          <w:sz w:val="24"/>
          <w:szCs w:val="24"/>
        </w:rPr>
      </w:pPr>
    </w:p>
    <w:p w14:paraId="090C5609" w14:textId="277F3D96" w:rsidR="00FF114D" w:rsidRDefault="00FF114D" w:rsidP="00FF114D">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De manera complementaria, resulta oportuno traer a colación los artículos 24 fracción XII y 92 fracción VIII de la Ley de Transparencia y Acceso a la Información Pública del Estado de México y Municipios, cuyo contenido literal es el siguiente: </w:t>
      </w:r>
    </w:p>
    <w:p w14:paraId="394D4919" w14:textId="77777777" w:rsidR="00FF114D" w:rsidRPr="00FA7CFC" w:rsidRDefault="00FF114D" w:rsidP="00FF114D">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“Artículo 24. </w:t>
      </w:r>
      <w:r w:rsidRPr="00FA7CFC">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64FA15E7" w14:textId="77777777" w:rsidR="00FF114D" w:rsidRPr="00FA7CFC" w:rsidRDefault="00FF114D" w:rsidP="00FF114D">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XII. </w:t>
      </w:r>
      <w:r w:rsidRPr="00FA7CFC">
        <w:rPr>
          <w:rFonts w:ascii="Palatino Linotype" w:hAnsi="Palatino Linotype"/>
          <w:b/>
          <w:i/>
          <w:sz w:val="22"/>
          <w:szCs w:val="22"/>
          <w:u w:val="single"/>
        </w:rPr>
        <w:t>Publicar y mantener actualizada la información relativa a las obligaciones generales de transparencia</w:t>
      </w:r>
      <w:r w:rsidRPr="00FA7CFC">
        <w:rPr>
          <w:rFonts w:ascii="Palatino Linotype" w:hAnsi="Palatino Linotype"/>
          <w:i/>
          <w:sz w:val="22"/>
          <w:szCs w:val="22"/>
        </w:rPr>
        <w:t xml:space="preserve"> previstas en la presente Ley o determinadas así por el Instituto, y en general aquella que sea de interés público;</w:t>
      </w:r>
    </w:p>
    <w:p w14:paraId="6927263E" w14:textId="77777777" w:rsidR="00FF114D" w:rsidRDefault="00FF114D" w:rsidP="00FF114D">
      <w:pPr>
        <w:pStyle w:val="Default"/>
        <w:spacing w:before="240" w:after="160" w:line="360" w:lineRule="auto"/>
        <w:ind w:left="851" w:right="851"/>
        <w:jc w:val="both"/>
        <w:rPr>
          <w:rFonts w:ascii="Palatino Linotype" w:hAnsi="Palatino Linotype"/>
          <w:i/>
          <w:sz w:val="22"/>
          <w:szCs w:val="22"/>
        </w:rPr>
      </w:pPr>
      <w:r w:rsidRPr="00FA7CFC">
        <w:rPr>
          <w:rFonts w:ascii="Palatino Linotype" w:hAnsi="Palatino Linotype"/>
          <w:b/>
          <w:bCs/>
          <w:i/>
          <w:sz w:val="22"/>
          <w:szCs w:val="22"/>
        </w:rPr>
        <w:t xml:space="preserve">Artículo 92. </w:t>
      </w:r>
      <w:r w:rsidRPr="00FA7CFC">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1DF304DF" w14:textId="77777777" w:rsidR="00FF114D" w:rsidRDefault="00FF114D" w:rsidP="00FF114D">
      <w:pPr>
        <w:pStyle w:val="Default"/>
        <w:spacing w:before="240" w:after="160" w:line="360" w:lineRule="auto"/>
        <w:ind w:left="851" w:right="851"/>
        <w:jc w:val="both"/>
        <w:rPr>
          <w:rFonts w:ascii="Palatino Linotype" w:hAnsi="Palatino Linotype"/>
          <w:i/>
          <w:sz w:val="22"/>
          <w:szCs w:val="22"/>
        </w:rPr>
      </w:pPr>
      <w:r>
        <w:rPr>
          <w:rFonts w:ascii="Palatino Linotype" w:hAnsi="Palatino Linotype"/>
          <w:b/>
          <w:bCs/>
          <w:i/>
          <w:sz w:val="22"/>
          <w:szCs w:val="22"/>
        </w:rPr>
        <w:t>(…</w:t>
      </w:r>
      <w:r>
        <w:rPr>
          <w:rFonts w:ascii="Palatino Linotype" w:hAnsi="Palatino Linotype"/>
          <w:i/>
          <w:sz w:val="22"/>
          <w:szCs w:val="22"/>
        </w:rPr>
        <w:t>)</w:t>
      </w:r>
    </w:p>
    <w:p w14:paraId="0F0EAB84" w14:textId="77777777" w:rsidR="00FF114D" w:rsidRDefault="00FF114D" w:rsidP="00FF114D">
      <w:pPr>
        <w:autoSpaceDE w:val="0"/>
        <w:autoSpaceDN w:val="0"/>
        <w:adjustRightInd w:val="0"/>
        <w:spacing w:before="240" w:line="360" w:lineRule="auto"/>
        <w:ind w:left="851" w:right="851"/>
        <w:jc w:val="both"/>
        <w:rPr>
          <w:rFonts w:ascii="Palatino Linotype" w:hAnsi="Palatino Linotype"/>
          <w:b/>
          <w:i/>
          <w:u w:val="single"/>
        </w:rPr>
      </w:pPr>
      <w:r w:rsidRPr="00682B6F">
        <w:rPr>
          <w:rFonts w:ascii="Palatino Linotype" w:hAnsi="Palatino Linotype"/>
          <w:b/>
          <w:bCs/>
          <w:i/>
          <w:u w:val="single"/>
        </w:rPr>
        <w:t xml:space="preserve">VIII. </w:t>
      </w:r>
      <w:r w:rsidRPr="00682B6F">
        <w:rPr>
          <w:rFonts w:ascii="Palatino Linotype" w:hAnsi="Palatino Linotyp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40D6ABE3" w14:textId="77777777" w:rsidR="00FF114D" w:rsidRPr="00682B6F" w:rsidRDefault="00FF114D" w:rsidP="00FF114D">
      <w:pPr>
        <w:autoSpaceDE w:val="0"/>
        <w:autoSpaceDN w:val="0"/>
        <w:adjustRightInd w:val="0"/>
        <w:spacing w:before="240" w:line="360" w:lineRule="auto"/>
        <w:ind w:left="851" w:right="851"/>
        <w:jc w:val="both"/>
        <w:rPr>
          <w:rFonts w:ascii="Palatino Linotype" w:hAnsi="Palatino Linotype"/>
          <w:b/>
          <w:i/>
          <w:u w:val="single"/>
        </w:rPr>
      </w:pPr>
      <w:r>
        <w:rPr>
          <w:rFonts w:ascii="Palatino Linotype" w:hAnsi="Palatino Linotype"/>
          <w:b/>
          <w:i/>
          <w:u w:val="single"/>
        </w:rPr>
        <w:t>(…)</w:t>
      </w:r>
      <w:r w:rsidRPr="00682B6F">
        <w:rPr>
          <w:rFonts w:ascii="Palatino Linotype" w:hAnsi="Palatino Linotype"/>
          <w:b/>
          <w:i/>
          <w:u w:val="single"/>
        </w:rPr>
        <w:t>”</w:t>
      </w:r>
      <w:r w:rsidRPr="00682B6F">
        <w:rPr>
          <w:rFonts w:ascii="Palatino Linotype" w:hAnsi="Palatino Linotype"/>
          <w:i/>
          <w:u w:val="single"/>
        </w:rPr>
        <w:t xml:space="preserve"> </w:t>
      </w:r>
      <w:r w:rsidRPr="00682B6F">
        <w:rPr>
          <w:rFonts w:ascii="Palatino Linotype" w:hAnsi="Palatino Linotype"/>
          <w:b/>
          <w:i/>
          <w:u w:val="single"/>
        </w:rPr>
        <w:t>[Sic]</w:t>
      </w:r>
    </w:p>
    <w:p w14:paraId="54F2685D" w14:textId="5D43375A" w:rsidR="00FF114D" w:rsidRDefault="00FF114D" w:rsidP="00FF114D">
      <w:pPr>
        <w:spacing w:line="360" w:lineRule="auto"/>
        <w:contextualSpacing/>
        <w:jc w:val="both"/>
        <w:rPr>
          <w:rFonts w:ascii="Palatino Linotype" w:hAnsi="Palatino Linotype" w:cs="Arial"/>
          <w:sz w:val="24"/>
          <w:szCs w:val="24"/>
        </w:rPr>
      </w:pPr>
      <w:r w:rsidRPr="0039245A">
        <w:rPr>
          <w:rFonts w:ascii="Palatino Linotype" w:eastAsia="MS Mincho" w:hAnsi="Palatino Linotype" w:cs="Tahoma"/>
          <w:sz w:val="24"/>
          <w:szCs w:val="24"/>
        </w:rPr>
        <w:lastRenderedPageBreak/>
        <w:t xml:space="preserve">Así la Ley de Transparencia y Acceso a la Información Pública del Estado de México y Municipios </w:t>
      </w:r>
      <w:r w:rsidRPr="0039245A">
        <w:rPr>
          <w:rFonts w:ascii="Palatino Linotype" w:eastAsia="Arial Unicode MS" w:hAnsi="Palatino Linotype" w:cs="Arial"/>
          <w:sz w:val="24"/>
          <w:szCs w:val="24"/>
        </w:rPr>
        <w:t xml:space="preserve">en el artículo 92 </w:t>
      </w:r>
      <w:r w:rsidRPr="0039245A">
        <w:rPr>
          <w:rFonts w:ascii="Palatino Linotype" w:eastAsia="Arial Unicode MS" w:hAnsi="Palatino Linotype" w:cs="Times New Roman"/>
          <w:sz w:val="24"/>
          <w:szCs w:val="24"/>
        </w:rPr>
        <w:t>fracción VIII, señala que</w:t>
      </w:r>
      <w:r w:rsidRPr="0039245A">
        <w:rPr>
          <w:rFonts w:ascii="Palatino Linotype" w:eastAsia="MS Mincho" w:hAnsi="Palatino Linotype" w:cs="Tahoma"/>
          <w:sz w:val="24"/>
          <w:szCs w:val="24"/>
        </w:rPr>
        <w:t xml:space="preserve"> la </w:t>
      </w:r>
      <w:r w:rsidRPr="0039245A">
        <w:rPr>
          <w:rFonts w:ascii="Palatino Linotype" w:eastAsia="Times New Roman" w:hAnsi="Palatino Linotype" w:cs="Arial"/>
          <w:sz w:val="24"/>
          <w:szCs w:val="24"/>
        </w:rPr>
        <w:t xml:space="preserve">información solicitada respecto de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r w:rsidRPr="0039245A">
        <w:rPr>
          <w:rFonts w:ascii="Palatino Linotype" w:eastAsia="Arial Unicode MS" w:hAnsi="Palatino Linotype" w:cs="Arial"/>
          <w:sz w:val="24"/>
          <w:szCs w:val="24"/>
        </w:rPr>
        <w:t xml:space="preserve">se trata de las obligaciones de transparencia comunes, esto es, información que por su naturaleza es pública y que los </w:t>
      </w:r>
      <w:r w:rsidRPr="0039245A">
        <w:rPr>
          <w:rFonts w:ascii="Palatino Linotype" w:eastAsia="MS Mincho" w:hAnsi="Palatino Linotype" w:cs="Times New Roman"/>
          <w:sz w:val="24"/>
          <w:szCs w:val="24"/>
        </w:rPr>
        <w:t xml:space="preserve">sujetos obligados deben poner a disposición del público de manera permanente y por tanto deberán mantenerla actualizada, en los respectivos medios electrónicos, de acuerdo con sus facultades, atribuciones, funciones u objeto </w:t>
      </w:r>
      <w:r w:rsidRPr="00C82D1D">
        <w:rPr>
          <w:rFonts w:ascii="Palatino Linotype" w:eastAsia="MS Mincho" w:hAnsi="Palatino Linotype" w:cs="Times New Roman"/>
          <w:sz w:val="24"/>
          <w:szCs w:val="24"/>
        </w:rPr>
        <w:t xml:space="preserve">social. </w:t>
      </w:r>
      <w:r w:rsidRPr="00F40B51">
        <w:rPr>
          <w:rFonts w:ascii="Palatino Linotype" w:hAnsi="Palatino Linotype" w:cs="Arial"/>
          <w:sz w:val="24"/>
          <w:szCs w:val="24"/>
        </w:rPr>
        <w:t xml:space="preserve">Atento a lo anterior, resulta claro que existe la obligación del </w:t>
      </w:r>
      <w:r w:rsidRPr="00F40B51">
        <w:rPr>
          <w:rFonts w:ascii="Palatino Linotype" w:hAnsi="Palatino Linotype" w:cs="Arial"/>
          <w:b/>
          <w:sz w:val="24"/>
          <w:szCs w:val="24"/>
        </w:rPr>
        <w:t>Sujeto Obligado</w:t>
      </w:r>
      <w:r w:rsidRPr="00F40B51">
        <w:rPr>
          <w:rFonts w:ascii="Palatino Linotype" w:hAnsi="Palatino Linotype" w:cs="Arial"/>
          <w:sz w:val="24"/>
          <w:szCs w:val="24"/>
        </w:rPr>
        <w:t>, de</w:t>
      </w:r>
      <w:r>
        <w:rPr>
          <w:rFonts w:ascii="Palatino Linotype" w:hAnsi="Palatino Linotype" w:cs="Arial"/>
          <w:sz w:val="24"/>
          <w:szCs w:val="24"/>
        </w:rPr>
        <w:t xml:space="preserve"> publicar oficiosamente la información relativa a remuneraciones. </w:t>
      </w:r>
    </w:p>
    <w:p w14:paraId="76FD2637" w14:textId="0AE6D9E3" w:rsidR="00E31B0B" w:rsidRDefault="00FF114D" w:rsidP="00FF114D">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Una vez sentado lo anterior, como se mencionó en el antecedente segundo, </w:t>
      </w:r>
      <w:r>
        <w:rPr>
          <w:rFonts w:ascii="Palatino Linotype" w:hAnsi="Palatino Linotype" w:cs="Arial"/>
          <w:b/>
          <w:bCs/>
          <w:noProof/>
          <w:color w:val="000000"/>
          <w:sz w:val="24"/>
          <w:lang w:eastAsia="es-MX"/>
        </w:rPr>
        <w:t xml:space="preserve">El Sujeto Obligado </w:t>
      </w:r>
      <w:r>
        <w:rPr>
          <w:rFonts w:ascii="Palatino Linotype" w:hAnsi="Palatino Linotype" w:cs="Arial"/>
          <w:noProof/>
          <w:color w:val="000000"/>
          <w:sz w:val="24"/>
          <w:lang w:eastAsia="es-MX"/>
        </w:rPr>
        <w:t xml:space="preserve">en fecha </w:t>
      </w:r>
      <w:r w:rsidR="00E31B0B">
        <w:rPr>
          <w:rFonts w:ascii="Palatino Linotype" w:hAnsi="Palatino Linotype" w:cs="Arial"/>
          <w:b/>
          <w:bCs/>
          <w:noProof/>
          <w:color w:val="000000"/>
          <w:sz w:val="24"/>
          <w:lang w:eastAsia="es-MX"/>
        </w:rPr>
        <w:t xml:space="preserve">dieciocho de enero de dos mil veinticuatro, </w:t>
      </w:r>
      <w:r w:rsidR="00E31B0B">
        <w:rPr>
          <w:rFonts w:ascii="Palatino Linotype" w:hAnsi="Palatino Linotype" w:cs="Arial"/>
          <w:noProof/>
          <w:color w:val="000000"/>
          <w:sz w:val="24"/>
          <w:lang w:eastAsia="es-MX"/>
        </w:rPr>
        <w:t>rindió su respuesta en los siguientes términos:</w:t>
      </w:r>
    </w:p>
    <w:p w14:paraId="4DD75616" w14:textId="164F316D" w:rsidR="00E31B0B" w:rsidRDefault="00E31B0B" w:rsidP="00FF114D">
      <w:pPr>
        <w:spacing w:after="0" w:line="360" w:lineRule="auto"/>
        <w:jc w:val="both"/>
        <w:rPr>
          <w:rFonts w:ascii="Palatino Linotype" w:hAnsi="Palatino Linotype" w:cs="Arial"/>
          <w:b/>
          <w:bCs/>
          <w:noProof/>
          <w:color w:val="000000"/>
          <w:sz w:val="24"/>
          <w:lang w:eastAsia="es-MX"/>
        </w:rPr>
      </w:pPr>
      <w:r>
        <w:rPr>
          <w:rFonts w:ascii="Palatino Linotype" w:hAnsi="Palatino Linotype" w:cs="Arial"/>
          <w:b/>
          <w:bCs/>
          <w:noProof/>
          <w:color w:val="000000"/>
          <w:sz w:val="24"/>
          <w:lang w:eastAsia="es-MX"/>
        </w:rPr>
        <w:t>01315/SF/IP/2023</w:t>
      </w:r>
    </w:p>
    <w:p w14:paraId="7C904F47" w14:textId="0EC41CE5" w:rsidR="00E31B0B" w:rsidRPr="00E31B0B" w:rsidRDefault="00E31B0B" w:rsidP="00A04796">
      <w:pPr>
        <w:pStyle w:val="Prrafodelista"/>
        <w:numPr>
          <w:ilvl w:val="0"/>
          <w:numId w:val="6"/>
        </w:numPr>
        <w:spacing w:after="240" w:line="360" w:lineRule="auto"/>
        <w:rPr>
          <w:rFonts w:ascii="Palatino Linotype" w:hAnsi="Palatino Linotype" w:cs="Arial"/>
          <w:b/>
          <w:bCs/>
          <w:lang w:val="es-MX"/>
        </w:rPr>
      </w:pPr>
      <w:r w:rsidRPr="00DE0E3F">
        <w:rPr>
          <w:rFonts w:ascii="Palatino Linotype" w:hAnsi="Palatino Linotype" w:cs="Arial"/>
          <w:b/>
          <w:bCs/>
          <w:lang w:val="es-MX"/>
        </w:rPr>
        <w:t>“1315 PERSONAL.pdf”</w:t>
      </w:r>
      <w:r>
        <w:rPr>
          <w:rFonts w:ascii="Palatino Linotype" w:hAnsi="Palatino Linotype" w:cs="Arial"/>
          <w:b/>
          <w:bCs/>
          <w:lang w:val="es-MX"/>
        </w:rPr>
        <w:t xml:space="preserve">: </w:t>
      </w:r>
      <w:r>
        <w:rPr>
          <w:rFonts w:ascii="Palatino Linotype" w:hAnsi="Palatino Linotype" w:cs="Arial"/>
          <w:lang w:val="es-MX"/>
        </w:rPr>
        <w:t>Compila lo siguiente:</w:t>
      </w:r>
    </w:p>
    <w:p w14:paraId="3A9B603E" w14:textId="31762F2B" w:rsidR="00E31B0B" w:rsidRPr="00E31B0B" w:rsidRDefault="00E31B0B" w:rsidP="00A04796">
      <w:pPr>
        <w:pStyle w:val="Prrafodelista"/>
        <w:numPr>
          <w:ilvl w:val="0"/>
          <w:numId w:val="8"/>
        </w:numPr>
        <w:spacing w:after="240" w:line="360" w:lineRule="auto"/>
        <w:rPr>
          <w:rFonts w:ascii="Palatino Linotype" w:hAnsi="Palatino Linotype" w:cs="Arial"/>
          <w:b/>
          <w:bCs/>
          <w:lang w:val="es-MX"/>
        </w:rPr>
      </w:pPr>
      <w:r>
        <w:rPr>
          <w:rFonts w:ascii="Palatino Linotype" w:hAnsi="Palatino Linotype" w:cs="Arial"/>
          <w:lang w:val="es-MX"/>
        </w:rPr>
        <w:t xml:space="preserve">Oficio número </w:t>
      </w:r>
      <w:r>
        <w:rPr>
          <w:rFonts w:ascii="Palatino Linotype" w:hAnsi="Palatino Linotype" w:cs="Arial"/>
          <w:b/>
          <w:bCs/>
          <w:lang w:val="es-MX"/>
        </w:rPr>
        <w:t xml:space="preserve">23401001000100S-181/2023 </w:t>
      </w:r>
      <w:r>
        <w:rPr>
          <w:rFonts w:ascii="Palatino Linotype" w:hAnsi="Palatino Linotype" w:cs="Arial"/>
          <w:lang w:val="es-MX"/>
        </w:rPr>
        <w:t xml:space="preserve">signado por el jefe de la unidad y servidor público habilitado de la dirección general de personal y dirigido al jefe de la UIPPE y responsable de la unidad de transparencia, de fecha dieciocho de diciembre de dos mil veintitrés, refiere adjuntar documento denominado “Percepciones y Deducciones Anualizadas por servidor (a) </w:t>
      </w:r>
      <w:r>
        <w:rPr>
          <w:rFonts w:ascii="Palatino Linotype" w:hAnsi="Palatino Linotype" w:cs="Arial"/>
          <w:lang w:val="es-MX"/>
        </w:rPr>
        <w:lastRenderedPageBreak/>
        <w:t xml:space="preserve">público” correspondientes al C. Rodrigo Murillo </w:t>
      </w:r>
      <w:proofErr w:type="spellStart"/>
      <w:r>
        <w:rPr>
          <w:rFonts w:ascii="Palatino Linotype" w:hAnsi="Palatino Linotype" w:cs="Arial"/>
          <w:lang w:val="es-MX"/>
        </w:rPr>
        <w:t>Berrum</w:t>
      </w:r>
      <w:proofErr w:type="spellEnd"/>
      <w:r>
        <w:rPr>
          <w:rFonts w:ascii="Palatino Linotype" w:hAnsi="Palatino Linotype" w:cs="Arial"/>
          <w:lang w:val="es-MX"/>
        </w:rPr>
        <w:t xml:space="preserve">, de los años 2018, 2019, 2020, 2021, 2022 y 2023. </w:t>
      </w:r>
    </w:p>
    <w:p w14:paraId="65027237" w14:textId="0E67A086" w:rsidR="00E31B0B" w:rsidRPr="008E0C43" w:rsidRDefault="00E31B0B" w:rsidP="00A04796">
      <w:pPr>
        <w:pStyle w:val="Prrafodelista"/>
        <w:numPr>
          <w:ilvl w:val="0"/>
          <w:numId w:val="8"/>
        </w:numPr>
        <w:spacing w:after="240" w:line="360" w:lineRule="auto"/>
        <w:jc w:val="both"/>
        <w:rPr>
          <w:rFonts w:ascii="Palatino Linotype" w:hAnsi="Palatino Linotype" w:cs="Arial"/>
          <w:b/>
          <w:bCs/>
          <w:lang w:val="es-MX"/>
        </w:rPr>
      </w:pPr>
      <w:r>
        <w:rPr>
          <w:rFonts w:ascii="Palatino Linotype" w:hAnsi="Palatino Linotype" w:cs="Arial"/>
          <w:lang w:val="es-MX"/>
        </w:rPr>
        <w:t xml:space="preserve">Percepciones y deducciones anualizadas por servidor público correspondientes al C. Rodrigo Murillo </w:t>
      </w:r>
      <w:proofErr w:type="spellStart"/>
      <w:r>
        <w:rPr>
          <w:rFonts w:ascii="Palatino Linotype" w:hAnsi="Palatino Linotype" w:cs="Arial"/>
          <w:lang w:val="es-MX"/>
        </w:rPr>
        <w:t>Berrum</w:t>
      </w:r>
      <w:proofErr w:type="spellEnd"/>
      <w:r>
        <w:rPr>
          <w:rFonts w:ascii="Palatino Linotype" w:hAnsi="Palatino Linotype" w:cs="Arial"/>
          <w:lang w:val="es-MX"/>
        </w:rPr>
        <w:t xml:space="preserve"> de los años 2018 (fojas 2 y 3), 2019 (fojas 4, 5 y 6), 2020 (fojas 7, 8 y 9) 2021 (fojas 10, </w:t>
      </w:r>
      <w:r w:rsidR="008E0C43">
        <w:rPr>
          <w:rFonts w:ascii="Palatino Linotype" w:hAnsi="Palatino Linotype" w:cs="Arial"/>
          <w:lang w:val="es-MX"/>
        </w:rPr>
        <w:t>11, 12 y 13),</w:t>
      </w:r>
      <w:r>
        <w:rPr>
          <w:rFonts w:ascii="Palatino Linotype" w:hAnsi="Palatino Linotype" w:cs="Arial"/>
          <w:lang w:val="es-MX"/>
        </w:rPr>
        <w:t xml:space="preserve"> 2022</w:t>
      </w:r>
      <w:r w:rsidR="008E0C43">
        <w:rPr>
          <w:rFonts w:ascii="Palatino Linotype" w:hAnsi="Palatino Linotype" w:cs="Arial"/>
          <w:lang w:val="es-MX"/>
        </w:rPr>
        <w:t xml:space="preserve"> (fojas 14, 15, 16 y 17)</w:t>
      </w:r>
      <w:r>
        <w:rPr>
          <w:rFonts w:ascii="Palatino Linotype" w:hAnsi="Palatino Linotype" w:cs="Arial"/>
          <w:lang w:val="es-MX"/>
        </w:rPr>
        <w:t xml:space="preserve"> y 2023</w:t>
      </w:r>
      <w:r w:rsidR="008E0C43">
        <w:rPr>
          <w:rFonts w:ascii="Palatino Linotype" w:hAnsi="Palatino Linotype" w:cs="Arial"/>
          <w:lang w:val="es-MX"/>
        </w:rPr>
        <w:t xml:space="preserve"> (fojas 18, 19, 20 y 21). A manera de ejemplo, sirven de sustento las siguientes imágenes ilustrativas:</w:t>
      </w:r>
    </w:p>
    <w:p w14:paraId="30DB9B63" w14:textId="13E8C3B3" w:rsidR="008E0C43" w:rsidRDefault="008E0C43" w:rsidP="008E0C43">
      <w:pPr>
        <w:spacing w:after="240" w:line="360" w:lineRule="auto"/>
        <w:jc w:val="both"/>
        <w:rPr>
          <w:rFonts w:ascii="Palatino Linotype" w:hAnsi="Palatino Linotype" w:cs="Arial"/>
          <w:b/>
          <w:bCs/>
        </w:rPr>
      </w:pPr>
      <w:r>
        <w:rPr>
          <w:rFonts w:ascii="Palatino Linotype" w:hAnsi="Palatino Linotype" w:cs="Arial"/>
          <w:b/>
          <w:bCs/>
          <w:noProof/>
          <w:lang w:eastAsia="es-MX"/>
        </w:rPr>
        <w:drawing>
          <wp:anchor distT="0" distB="0" distL="114300" distR="114300" simplePos="0" relativeHeight="251788278" behindDoc="0" locked="0" layoutInCell="1" allowOverlap="1" wp14:anchorId="08485097" wp14:editId="63A86751">
            <wp:simplePos x="0" y="0"/>
            <wp:positionH relativeFrom="page">
              <wp:align>center</wp:align>
            </wp:positionH>
            <wp:positionV relativeFrom="paragraph">
              <wp:posOffset>384810</wp:posOffset>
            </wp:positionV>
            <wp:extent cx="5756275" cy="3518535"/>
            <wp:effectExtent l="19050" t="19050" r="15875" b="24765"/>
            <wp:wrapThrough wrapText="bothSides">
              <wp:wrapPolygon edited="0">
                <wp:start x="-71" y="-117"/>
                <wp:lineTo x="-71" y="21635"/>
                <wp:lineTo x="21588" y="21635"/>
                <wp:lineTo x="21588" y="-117"/>
                <wp:lineTo x="-71" y="-117"/>
              </wp:wrapPolygon>
            </wp:wrapThrough>
            <wp:docPr id="647819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275" cy="35185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AE21767" w14:textId="6F301F25" w:rsidR="008E0C43" w:rsidRDefault="008E0C43" w:rsidP="008E0C43">
      <w:pPr>
        <w:spacing w:after="240" w:line="360" w:lineRule="auto"/>
        <w:jc w:val="both"/>
        <w:rPr>
          <w:rFonts w:ascii="Palatino Linotype" w:hAnsi="Palatino Linotype" w:cs="Arial"/>
          <w:b/>
          <w:bCs/>
        </w:rPr>
      </w:pPr>
    </w:p>
    <w:p w14:paraId="63CCAB03" w14:textId="77777777" w:rsidR="008E0C43" w:rsidRDefault="008E0C43" w:rsidP="008E0C43">
      <w:pPr>
        <w:spacing w:after="240" w:line="360" w:lineRule="auto"/>
        <w:jc w:val="both"/>
        <w:rPr>
          <w:rFonts w:ascii="Palatino Linotype" w:hAnsi="Palatino Linotype" w:cs="Arial"/>
          <w:b/>
          <w:bCs/>
        </w:rPr>
      </w:pPr>
    </w:p>
    <w:p w14:paraId="77492C93" w14:textId="2BD4B211" w:rsidR="008E0C43" w:rsidRDefault="008E0C43" w:rsidP="008E0C43">
      <w:pPr>
        <w:spacing w:after="240" w:line="360" w:lineRule="auto"/>
        <w:jc w:val="both"/>
        <w:rPr>
          <w:rFonts w:ascii="Palatino Linotype" w:hAnsi="Palatino Linotype" w:cs="Arial"/>
          <w:b/>
          <w:bCs/>
        </w:rPr>
      </w:pPr>
      <w:r>
        <w:rPr>
          <w:rFonts w:ascii="Palatino Linotype" w:hAnsi="Palatino Linotype" w:cs="Arial"/>
          <w:b/>
          <w:bCs/>
          <w:noProof/>
          <w:lang w:eastAsia="es-MX"/>
        </w:rPr>
        <w:lastRenderedPageBreak/>
        <w:drawing>
          <wp:anchor distT="0" distB="0" distL="114300" distR="114300" simplePos="0" relativeHeight="251789302" behindDoc="0" locked="0" layoutInCell="1" allowOverlap="1" wp14:anchorId="3C16DEB0" wp14:editId="1F7FEA7D">
            <wp:simplePos x="0" y="0"/>
            <wp:positionH relativeFrom="page">
              <wp:align>center</wp:align>
            </wp:positionH>
            <wp:positionV relativeFrom="paragraph">
              <wp:posOffset>19050</wp:posOffset>
            </wp:positionV>
            <wp:extent cx="5753100" cy="3531870"/>
            <wp:effectExtent l="19050" t="19050" r="19050" b="11430"/>
            <wp:wrapThrough wrapText="bothSides">
              <wp:wrapPolygon edited="0">
                <wp:start x="-72" y="-117"/>
                <wp:lineTo x="-72" y="21553"/>
                <wp:lineTo x="21600" y="21553"/>
                <wp:lineTo x="21600" y="-117"/>
                <wp:lineTo x="-72" y="-117"/>
              </wp:wrapPolygon>
            </wp:wrapThrough>
            <wp:docPr id="9636803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5318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5C7183B" w14:textId="5A4428EF" w:rsidR="008E0C43" w:rsidRDefault="008E0C43" w:rsidP="008E0C43">
      <w:pPr>
        <w:spacing w:after="240" w:line="360" w:lineRule="auto"/>
        <w:jc w:val="both"/>
        <w:rPr>
          <w:rFonts w:ascii="Palatino Linotype" w:hAnsi="Palatino Linotype" w:cs="Arial"/>
          <w:b/>
          <w:bCs/>
        </w:rPr>
      </w:pPr>
      <w:r>
        <w:rPr>
          <w:rFonts w:ascii="Palatino Linotype" w:hAnsi="Palatino Linotype" w:cs="Arial"/>
          <w:b/>
          <w:bCs/>
          <w:noProof/>
          <w:lang w:eastAsia="es-MX"/>
        </w:rPr>
        <w:drawing>
          <wp:anchor distT="0" distB="0" distL="114300" distR="114300" simplePos="0" relativeHeight="251790326" behindDoc="0" locked="0" layoutInCell="1" allowOverlap="1" wp14:anchorId="1AA5AEBD" wp14:editId="03E34267">
            <wp:simplePos x="0" y="0"/>
            <wp:positionH relativeFrom="page">
              <wp:align>center</wp:align>
            </wp:positionH>
            <wp:positionV relativeFrom="paragraph">
              <wp:posOffset>29210</wp:posOffset>
            </wp:positionV>
            <wp:extent cx="4709160" cy="434340"/>
            <wp:effectExtent l="19050" t="19050" r="15240" b="22860"/>
            <wp:wrapThrough wrapText="bothSides">
              <wp:wrapPolygon edited="0">
                <wp:start x="-87" y="-947"/>
                <wp:lineTo x="-87" y="21789"/>
                <wp:lineTo x="21583" y="21789"/>
                <wp:lineTo x="21583" y="-947"/>
                <wp:lineTo x="-87" y="-947"/>
              </wp:wrapPolygon>
            </wp:wrapThrough>
            <wp:docPr id="10888086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9160" cy="4343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AABF93C" w14:textId="5C91A3C2" w:rsidR="008E0C43" w:rsidRDefault="008E0C43" w:rsidP="008E0C43">
      <w:pPr>
        <w:spacing w:after="240" w:line="360" w:lineRule="auto"/>
        <w:jc w:val="both"/>
        <w:rPr>
          <w:rFonts w:ascii="Palatino Linotype" w:hAnsi="Palatino Linotype" w:cs="Arial"/>
          <w:b/>
          <w:bCs/>
        </w:rPr>
      </w:pPr>
    </w:p>
    <w:p w14:paraId="184C62FD" w14:textId="77777777" w:rsidR="008E0C43" w:rsidRPr="008E0C43" w:rsidRDefault="008E0C43" w:rsidP="008E0C43">
      <w:pPr>
        <w:spacing w:after="240" w:line="360" w:lineRule="auto"/>
        <w:jc w:val="both"/>
        <w:rPr>
          <w:rFonts w:ascii="Palatino Linotype" w:hAnsi="Palatino Linotype" w:cs="Arial"/>
          <w:b/>
          <w:bCs/>
        </w:rPr>
      </w:pPr>
    </w:p>
    <w:p w14:paraId="473E593E" w14:textId="73B83C57" w:rsidR="00E31B0B" w:rsidRPr="00DE0E3F" w:rsidRDefault="00E31B0B" w:rsidP="00A04796">
      <w:pPr>
        <w:pStyle w:val="Prrafodelista"/>
        <w:numPr>
          <w:ilvl w:val="0"/>
          <w:numId w:val="6"/>
        </w:numPr>
        <w:spacing w:after="240" w:line="360" w:lineRule="auto"/>
        <w:jc w:val="both"/>
        <w:rPr>
          <w:rFonts w:ascii="Palatino Linotype" w:hAnsi="Palatino Linotype" w:cs="Arial"/>
          <w:b/>
          <w:bCs/>
          <w:lang w:val="es-MX"/>
        </w:rPr>
      </w:pPr>
      <w:r w:rsidRPr="00DE0E3F">
        <w:rPr>
          <w:rFonts w:ascii="Palatino Linotype" w:hAnsi="Palatino Linotype" w:cs="Arial"/>
          <w:b/>
          <w:bCs/>
          <w:lang w:val="es-MX"/>
        </w:rPr>
        <w:t>“1315 solicitante firma.pdf”</w:t>
      </w:r>
      <w:r w:rsidR="008E0C43">
        <w:rPr>
          <w:rFonts w:ascii="Palatino Linotype" w:hAnsi="Palatino Linotype" w:cs="Arial"/>
          <w:b/>
          <w:bCs/>
          <w:lang w:val="es-MX"/>
        </w:rPr>
        <w:t xml:space="preserve">: </w:t>
      </w:r>
      <w:r w:rsidR="00644167">
        <w:rPr>
          <w:rFonts w:ascii="Palatino Linotype" w:hAnsi="Palatino Linotype" w:cs="Arial"/>
          <w:lang w:val="es-MX"/>
        </w:rPr>
        <w:t xml:space="preserve">Oficio número </w:t>
      </w:r>
      <w:r w:rsidR="00644167">
        <w:rPr>
          <w:rFonts w:ascii="Palatino Linotype" w:hAnsi="Palatino Linotype" w:cs="Arial"/>
          <w:b/>
          <w:bCs/>
          <w:lang w:val="es-MX"/>
        </w:rPr>
        <w:t xml:space="preserve">20700004S/UT-0266/2024 </w:t>
      </w:r>
      <w:r w:rsidR="00644167">
        <w:rPr>
          <w:rFonts w:ascii="Palatino Linotype" w:hAnsi="Palatino Linotype" w:cs="Arial"/>
          <w:lang w:val="es-MX"/>
        </w:rPr>
        <w:t>signado por el jefe de la UIPPE y titular de la unidad de transparencia y dirigido al solicitante, de fecha quince de enero de dos mil veinticuatro, en lo medular refiere adjuntar respuesta emitida por el servidor público habilitado adscrito a la dirección general de personal.</w:t>
      </w:r>
    </w:p>
    <w:p w14:paraId="5196A2AE" w14:textId="34CFAFB1" w:rsidR="00E31B0B" w:rsidRPr="00E31B0B" w:rsidRDefault="00E31B0B" w:rsidP="00A04796">
      <w:pPr>
        <w:pStyle w:val="Prrafodelista"/>
        <w:numPr>
          <w:ilvl w:val="0"/>
          <w:numId w:val="6"/>
        </w:numPr>
        <w:spacing w:line="360" w:lineRule="auto"/>
        <w:jc w:val="both"/>
        <w:rPr>
          <w:rFonts w:ascii="Palatino Linotype" w:hAnsi="Palatino Linotype" w:cs="Arial"/>
          <w:b/>
          <w:bCs/>
          <w:noProof/>
          <w:color w:val="000000"/>
          <w:lang w:eastAsia="es-MX"/>
        </w:rPr>
      </w:pPr>
      <w:r w:rsidRPr="00E31B0B">
        <w:rPr>
          <w:rFonts w:ascii="Palatino Linotype" w:hAnsi="Palatino Linotype" w:cs="Arial"/>
          <w:b/>
          <w:bCs/>
        </w:rPr>
        <w:lastRenderedPageBreak/>
        <w:t>“CT-2024-0002.pdf”</w:t>
      </w:r>
      <w:r w:rsidR="00644167">
        <w:rPr>
          <w:rFonts w:ascii="Palatino Linotype" w:hAnsi="Palatino Linotype" w:cs="Arial"/>
          <w:b/>
          <w:bCs/>
        </w:rPr>
        <w:t xml:space="preserve">: </w:t>
      </w:r>
      <w:r w:rsidR="00644167">
        <w:rPr>
          <w:rFonts w:ascii="Palatino Linotype" w:hAnsi="Palatino Linotype" w:cs="Arial"/>
        </w:rPr>
        <w:t xml:space="preserve">Acta del Comité de Transparencia número </w:t>
      </w:r>
      <w:r w:rsidR="00644167">
        <w:rPr>
          <w:rFonts w:ascii="Palatino Linotype" w:hAnsi="Palatino Linotype" w:cs="Arial"/>
          <w:b/>
          <w:bCs/>
        </w:rPr>
        <w:t xml:space="preserve">CT-2024-0002, </w:t>
      </w:r>
      <w:r w:rsidR="00644167">
        <w:rPr>
          <w:rFonts w:ascii="Palatino Linotype" w:hAnsi="Palatino Linotype" w:cs="Arial"/>
        </w:rPr>
        <w:t xml:space="preserve">en referencia a la solicitud de información </w:t>
      </w:r>
      <w:r w:rsidR="00644167">
        <w:rPr>
          <w:rFonts w:ascii="Palatino Linotype" w:hAnsi="Palatino Linotype" w:cs="Arial"/>
          <w:b/>
          <w:bCs/>
        </w:rPr>
        <w:t xml:space="preserve">01315//SF/IP/2023 </w:t>
      </w:r>
      <w:r w:rsidR="00644167">
        <w:rPr>
          <w:rFonts w:ascii="Palatino Linotype" w:hAnsi="Palatino Linotype" w:cs="Arial"/>
        </w:rPr>
        <w:t xml:space="preserve">sustenta la versión pública de la información requerida, clasificando registro federal de contribuyentes, clave única de registro de población, clave del instituto de seguridad social del Estado de México y Municipios, así como deducciones personales. </w:t>
      </w:r>
    </w:p>
    <w:p w14:paraId="543F5233" w14:textId="77777777" w:rsidR="00E31B0B" w:rsidRDefault="00E31B0B" w:rsidP="00FF114D">
      <w:pPr>
        <w:spacing w:after="0" w:line="360" w:lineRule="auto"/>
        <w:jc w:val="both"/>
        <w:rPr>
          <w:rFonts w:ascii="Palatino Linotype" w:hAnsi="Palatino Linotype" w:cs="Arial"/>
          <w:b/>
          <w:bCs/>
          <w:noProof/>
          <w:color w:val="000000"/>
          <w:sz w:val="24"/>
          <w:lang w:eastAsia="es-MX"/>
        </w:rPr>
      </w:pPr>
    </w:p>
    <w:p w14:paraId="5800AE9F" w14:textId="77777777" w:rsidR="00D40E0F" w:rsidRDefault="00D40E0F" w:rsidP="00FF114D">
      <w:pPr>
        <w:spacing w:after="0" w:line="360" w:lineRule="auto"/>
        <w:jc w:val="both"/>
        <w:rPr>
          <w:rFonts w:ascii="Palatino Linotype" w:hAnsi="Palatino Linotype" w:cs="Arial"/>
          <w:b/>
          <w:bCs/>
          <w:noProof/>
          <w:color w:val="000000"/>
          <w:sz w:val="24"/>
          <w:lang w:eastAsia="es-MX"/>
        </w:rPr>
      </w:pPr>
    </w:p>
    <w:p w14:paraId="6536ED40" w14:textId="7AF69484" w:rsidR="00E31B0B" w:rsidRPr="00E31B0B" w:rsidRDefault="00E31B0B" w:rsidP="00FF114D">
      <w:pPr>
        <w:spacing w:after="0" w:line="360" w:lineRule="auto"/>
        <w:jc w:val="both"/>
        <w:rPr>
          <w:rFonts w:ascii="Palatino Linotype" w:hAnsi="Palatino Linotype" w:cs="Arial"/>
          <w:b/>
          <w:bCs/>
          <w:noProof/>
          <w:color w:val="000000"/>
          <w:sz w:val="24"/>
          <w:lang w:eastAsia="es-MX"/>
        </w:rPr>
      </w:pPr>
      <w:r>
        <w:rPr>
          <w:rFonts w:ascii="Palatino Linotype" w:hAnsi="Palatino Linotype" w:cs="Arial"/>
          <w:b/>
          <w:bCs/>
          <w:noProof/>
          <w:color w:val="000000"/>
          <w:sz w:val="24"/>
          <w:lang w:eastAsia="es-MX"/>
        </w:rPr>
        <w:t>01314/SF/IP/2023</w:t>
      </w:r>
    </w:p>
    <w:p w14:paraId="3FCC8F30" w14:textId="46FF3ECC" w:rsidR="00E31B0B" w:rsidRPr="00644167" w:rsidRDefault="00E31B0B" w:rsidP="00A04796">
      <w:pPr>
        <w:pStyle w:val="Prrafodelista"/>
        <w:numPr>
          <w:ilvl w:val="0"/>
          <w:numId w:val="7"/>
        </w:numPr>
        <w:spacing w:after="240" w:line="360" w:lineRule="auto"/>
        <w:rPr>
          <w:rFonts w:ascii="Palatino Linotype" w:hAnsi="Palatino Linotype" w:cs="Arial"/>
          <w:b/>
          <w:bCs/>
          <w:lang w:val="es-MX"/>
        </w:rPr>
      </w:pPr>
      <w:r w:rsidRPr="00DE0E3F">
        <w:rPr>
          <w:rFonts w:ascii="Palatino Linotype" w:hAnsi="Palatino Linotype" w:cs="Arial"/>
          <w:b/>
          <w:bCs/>
          <w:lang w:val="es-MX"/>
        </w:rPr>
        <w:t>“1314 PERSONAL.pdf”</w:t>
      </w:r>
      <w:r w:rsidR="00644167">
        <w:rPr>
          <w:rFonts w:ascii="Palatino Linotype" w:hAnsi="Palatino Linotype" w:cs="Arial"/>
          <w:b/>
          <w:bCs/>
          <w:lang w:val="es-MX"/>
        </w:rPr>
        <w:t xml:space="preserve">: </w:t>
      </w:r>
      <w:r w:rsidR="00644167">
        <w:rPr>
          <w:rFonts w:ascii="Palatino Linotype" w:hAnsi="Palatino Linotype" w:cs="Arial"/>
          <w:lang w:val="es-MX"/>
        </w:rPr>
        <w:t>Compila lo siguiente:</w:t>
      </w:r>
    </w:p>
    <w:p w14:paraId="742CFC8E" w14:textId="02A25724" w:rsidR="00644167" w:rsidRPr="00644167" w:rsidRDefault="00644167" w:rsidP="00A04796">
      <w:pPr>
        <w:pStyle w:val="Prrafodelista"/>
        <w:numPr>
          <w:ilvl w:val="0"/>
          <w:numId w:val="8"/>
        </w:numPr>
        <w:spacing w:after="240" w:line="360" w:lineRule="auto"/>
        <w:rPr>
          <w:rFonts w:ascii="Palatino Linotype" w:hAnsi="Palatino Linotype" w:cs="Arial"/>
          <w:b/>
          <w:bCs/>
        </w:rPr>
      </w:pPr>
      <w:r>
        <w:rPr>
          <w:rFonts w:ascii="Palatino Linotype" w:hAnsi="Palatino Linotype" w:cs="Arial"/>
          <w:lang w:val="es-MX"/>
        </w:rPr>
        <w:t xml:space="preserve">Oficio número </w:t>
      </w:r>
      <w:r>
        <w:rPr>
          <w:rFonts w:ascii="Palatino Linotype" w:hAnsi="Palatino Linotype" w:cs="Arial"/>
          <w:b/>
          <w:bCs/>
          <w:lang w:val="es-MX"/>
        </w:rPr>
        <w:t xml:space="preserve">23401001000100S-180/2023 </w:t>
      </w:r>
      <w:r>
        <w:rPr>
          <w:rFonts w:ascii="Palatino Linotype" w:hAnsi="Palatino Linotype" w:cs="Arial"/>
          <w:lang w:val="es-MX"/>
        </w:rPr>
        <w:t xml:space="preserve">signado por el jefe de la unidad y servidor público habilitado de la dirección general de personal y dirigido al jefe de la UIPPE y responsable de la unidad de transparencia, de fecha dieciocho de diciembre de dos mil veintitrés, refiere adjuntar documento denominado “Percepciones y Deducciones Anualizadas por servidor (a) público” correspondientes al Rodrigo Murillo </w:t>
      </w:r>
      <w:proofErr w:type="spellStart"/>
      <w:r>
        <w:rPr>
          <w:rFonts w:ascii="Palatino Linotype" w:hAnsi="Palatino Linotype" w:cs="Arial"/>
          <w:lang w:val="es-MX"/>
        </w:rPr>
        <w:t>Berrum</w:t>
      </w:r>
      <w:proofErr w:type="spellEnd"/>
      <w:r>
        <w:rPr>
          <w:rFonts w:ascii="Palatino Linotype" w:hAnsi="Palatino Linotype" w:cs="Arial"/>
          <w:lang w:val="es-MX"/>
        </w:rPr>
        <w:t xml:space="preserve">, de los años 2018, 2019, 2020, 2021 y 2023. </w:t>
      </w:r>
    </w:p>
    <w:p w14:paraId="756EDAD3" w14:textId="4E6CB4F3" w:rsidR="00644167" w:rsidRPr="00644167" w:rsidRDefault="00644167" w:rsidP="00A04796">
      <w:pPr>
        <w:pStyle w:val="Prrafodelista"/>
        <w:numPr>
          <w:ilvl w:val="0"/>
          <w:numId w:val="8"/>
        </w:numPr>
        <w:spacing w:after="240" w:line="360" w:lineRule="auto"/>
        <w:jc w:val="both"/>
        <w:rPr>
          <w:rFonts w:ascii="Palatino Linotype" w:hAnsi="Palatino Linotype" w:cs="Arial"/>
        </w:rPr>
      </w:pPr>
      <w:r w:rsidRPr="00644167">
        <w:rPr>
          <w:rFonts w:ascii="Palatino Linotype" w:hAnsi="Palatino Linotype" w:cs="Arial"/>
        </w:rPr>
        <w:t>P</w:t>
      </w:r>
      <w:r>
        <w:rPr>
          <w:rFonts w:ascii="Palatino Linotype" w:hAnsi="Palatino Linotype" w:cs="Arial"/>
        </w:rPr>
        <w:t xml:space="preserve">ercepciones y deducciones anualizadas por servidor público correspondientes al </w:t>
      </w:r>
      <w:r w:rsidR="00D40E0F">
        <w:rPr>
          <w:rFonts w:ascii="Palatino Linotype" w:hAnsi="Palatino Linotype" w:cs="Arial"/>
        </w:rPr>
        <w:t xml:space="preserve">C. Rodrigo Murillo </w:t>
      </w:r>
      <w:proofErr w:type="spellStart"/>
      <w:r w:rsidR="00D40E0F">
        <w:rPr>
          <w:rFonts w:ascii="Palatino Linotype" w:hAnsi="Palatino Linotype" w:cs="Arial"/>
        </w:rPr>
        <w:t>Berrum</w:t>
      </w:r>
      <w:proofErr w:type="spellEnd"/>
      <w:r w:rsidR="00D40E0F">
        <w:rPr>
          <w:rFonts w:ascii="Palatino Linotype" w:hAnsi="Palatino Linotype" w:cs="Arial"/>
        </w:rPr>
        <w:t xml:space="preserve"> de los años 2018 (fojas 2 y 3), 2019 (fojas 4, 5 y 6), 2020 (fojas 7, 8 y 9), 2021 (fojas 10, 11, 12 y 13), 2023 (fojas 14, 15, 16 y 17)</w:t>
      </w:r>
    </w:p>
    <w:p w14:paraId="3DF703D8" w14:textId="77777777" w:rsidR="00644167" w:rsidRDefault="00644167" w:rsidP="00644167">
      <w:pPr>
        <w:spacing w:after="240" w:line="360" w:lineRule="auto"/>
        <w:rPr>
          <w:rFonts w:ascii="Palatino Linotype" w:hAnsi="Palatino Linotype" w:cs="Arial"/>
          <w:b/>
          <w:bCs/>
        </w:rPr>
      </w:pPr>
    </w:p>
    <w:p w14:paraId="3BEAD32E" w14:textId="77777777" w:rsidR="00644167" w:rsidRDefault="00644167" w:rsidP="00644167">
      <w:pPr>
        <w:spacing w:after="240" w:line="360" w:lineRule="auto"/>
        <w:rPr>
          <w:rFonts w:ascii="Palatino Linotype" w:hAnsi="Palatino Linotype" w:cs="Arial"/>
          <w:b/>
          <w:bCs/>
        </w:rPr>
      </w:pPr>
    </w:p>
    <w:p w14:paraId="259DF49D" w14:textId="14C37F3F" w:rsidR="00E31B0B" w:rsidRPr="00D40E0F" w:rsidRDefault="00E31B0B" w:rsidP="00A04796">
      <w:pPr>
        <w:pStyle w:val="Prrafodelista"/>
        <w:numPr>
          <w:ilvl w:val="0"/>
          <w:numId w:val="7"/>
        </w:numPr>
        <w:spacing w:after="240" w:line="360" w:lineRule="auto"/>
        <w:jc w:val="both"/>
        <w:rPr>
          <w:rFonts w:ascii="Palatino Linotype" w:hAnsi="Palatino Linotype" w:cs="Arial"/>
          <w:b/>
          <w:bCs/>
          <w:lang w:val="es-MX"/>
        </w:rPr>
      </w:pPr>
      <w:r w:rsidRPr="00DE0E3F">
        <w:rPr>
          <w:rFonts w:ascii="Palatino Linotype" w:hAnsi="Palatino Linotype" w:cs="Arial"/>
          <w:b/>
          <w:bCs/>
          <w:lang w:val="es-MX"/>
        </w:rPr>
        <w:t>“CT-2024-0001.pdf”</w:t>
      </w:r>
      <w:r w:rsidR="00D40E0F">
        <w:rPr>
          <w:rFonts w:ascii="Palatino Linotype" w:hAnsi="Palatino Linotype" w:cs="Arial"/>
          <w:b/>
          <w:bCs/>
          <w:lang w:val="es-MX"/>
        </w:rPr>
        <w:t xml:space="preserve">: </w:t>
      </w:r>
      <w:r w:rsidR="00D40E0F">
        <w:rPr>
          <w:rFonts w:ascii="Palatino Linotype" w:hAnsi="Palatino Linotype" w:cs="Arial"/>
          <w:lang w:val="es-MX"/>
        </w:rPr>
        <w:t xml:space="preserve">Acta del Comité de Transparencia número </w:t>
      </w:r>
      <w:r w:rsidR="00D40E0F">
        <w:rPr>
          <w:rFonts w:ascii="Palatino Linotype" w:hAnsi="Palatino Linotype" w:cs="Arial"/>
          <w:b/>
          <w:bCs/>
          <w:lang w:val="es-MX"/>
        </w:rPr>
        <w:t xml:space="preserve">CT-2024-0001, </w:t>
      </w:r>
      <w:r w:rsidR="00D40E0F">
        <w:rPr>
          <w:rFonts w:ascii="Palatino Linotype" w:hAnsi="Palatino Linotype" w:cs="Arial"/>
          <w:lang w:val="es-MX"/>
        </w:rPr>
        <w:t xml:space="preserve">en referencia a la solicitud de información </w:t>
      </w:r>
      <w:r w:rsidR="00D40E0F">
        <w:rPr>
          <w:rFonts w:ascii="Palatino Linotype" w:hAnsi="Palatino Linotype" w:cs="Arial"/>
          <w:b/>
          <w:bCs/>
          <w:lang w:val="es-MX"/>
        </w:rPr>
        <w:t xml:space="preserve">01314/SF/IP/2023 </w:t>
      </w:r>
      <w:r w:rsidR="00D40E0F">
        <w:rPr>
          <w:rFonts w:ascii="Palatino Linotype" w:hAnsi="Palatino Linotype" w:cs="Arial"/>
          <w:lang w:val="es-MX"/>
        </w:rPr>
        <w:t xml:space="preserve">sustenta la versión pública de la información requerida, clasificando registro federal de contribuyentes, clave única de registro de población, clave del instituto de seguridad social del Estado de México y Municipios, así como deducciones personales. </w:t>
      </w:r>
    </w:p>
    <w:p w14:paraId="1F85E389" w14:textId="77777777" w:rsidR="00D40E0F" w:rsidRDefault="00D40E0F" w:rsidP="00D40E0F">
      <w:pPr>
        <w:pStyle w:val="Prrafodelista"/>
        <w:spacing w:after="240" w:line="360" w:lineRule="auto"/>
        <w:ind w:left="720"/>
        <w:jc w:val="both"/>
        <w:rPr>
          <w:rFonts w:ascii="Palatino Linotype" w:hAnsi="Palatino Linotype" w:cs="Arial"/>
          <w:b/>
          <w:bCs/>
          <w:lang w:val="es-MX"/>
        </w:rPr>
      </w:pPr>
    </w:p>
    <w:p w14:paraId="43B96571" w14:textId="3C0181BD" w:rsidR="00E31B0B" w:rsidRPr="00E31B0B" w:rsidRDefault="00E31B0B" w:rsidP="00A04796">
      <w:pPr>
        <w:pStyle w:val="Prrafodelista"/>
        <w:numPr>
          <w:ilvl w:val="0"/>
          <w:numId w:val="7"/>
        </w:numPr>
        <w:spacing w:line="360" w:lineRule="auto"/>
        <w:jc w:val="both"/>
        <w:rPr>
          <w:rFonts w:ascii="Palatino Linotype" w:hAnsi="Palatino Linotype" w:cs="Arial"/>
          <w:b/>
          <w:bCs/>
        </w:rPr>
      </w:pPr>
      <w:r w:rsidRPr="00E31B0B">
        <w:rPr>
          <w:rFonts w:ascii="Palatino Linotype" w:hAnsi="Palatino Linotype" w:cs="Arial"/>
          <w:b/>
          <w:bCs/>
        </w:rPr>
        <w:t>“SOLICITANTE 1314.docx”</w:t>
      </w:r>
      <w:r w:rsidR="00D40E0F">
        <w:rPr>
          <w:rFonts w:ascii="Palatino Linotype" w:hAnsi="Palatino Linotype" w:cs="Arial"/>
          <w:b/>
          <w:bCs/>
        </w:rPr>
        <w:t xml:space="preserve">: </w:t>
      </w:r>
      <w:r w:rsidR="00D40E0F">
        <w:rPr>
          <w:rFonts w:ascii="Palatino Linotype" w:hAnsi="Palatino Linotype" w:cs="Arial"/>
        </w:rPr>
        <w:t xml:space="preserve">Oficio número </w:t>
      </w:r>
      <w:r w:rsidR="00D40E0F" w:rsidRPr="00D40E0F">
        <w:rPr>
          <w:rFonts w:ascii="Palatino Linotype" w:eastAsia="Calibri" w:hAnsi="Palatino Linotype"/>
          <w:b/>
          <w:bCs/>
          <w:color w:val="000000" w:themeColor="text1"/>
        </w:rPr>
        <w:t>20700004S/UT-0265/2024</w:t>
      </w:r>
      <w:r w:rsidR="00D40E0F">
        <w:rPr>
          <w:rFonts w:ascii="Montserrat" w:eastAsia="Calibri" w:hAnsi="Montserrat"/>
          <w:color w:val="000000" w:themeColor="text1"/>
          <w:sz w:val="23"/>
          <w:szCs w:val="23"/>
        </w:rPr>
        <w:t xml:space="preserve"> </w:t>
      </w:r>
      <w:r w:rsidR="00D40E0F">
        <w:rPr>
          <w:rFonts w:ascii="Palatino Linotype" w:eastAsia="Calibri" w:hAnsi="Palatino Linotype"/>
          <w:color w:val="000000" w:themeColor="text1"/>
        </w:rPr>
        <w:t xml:space="preserve">emitido por el jefe de la UIPPE y titular de la unidad de transparencia y dirigido al solicitante, de fecha quince de enero de dos mil veinticuatro, en términos generales refiere adjuntar respuesta emitida por el servidor público habilitado a la dirección general de personal. </w:t>
      </w:r>
    </w:p>
    <w:p w14:paraId="3FFB40D5" w14:textId="77777777" w:rsidR="00E31B0B" w:rsidRDefault="00E31B0B" w:rsidP="00E31B0B">
      <w:pPr>
        <w:spacing w:after="0" w:line="360" w:lineRule="auto"/>
        <w:jc w:val="both"/>
        <w:rPr>
          <w:rFonts w:ascii="Palatino Linotype" w:hAnsi="Palatino Linotype" w:cs="Arial"/>
        </w:rPr>
      </w:pPr>
    </w:p>
    <w:p w14:paraId="5A1FBFEF" w14:textId="70919C40" w:rsidR="00C61039" w:rsidRPr="007D01D6" w:rsidRDefault="00D40E0F" w:rsidP="00C61039">
      <w:pPr>
        <w:spacing w:before="100" w:beforeAutospacing="1" w:after="100" w:afterAutospacing="1" w:line="360" w:lineRule="auto"/>
        <w:jc w:val="both"/>
        <w:rPr>
          <w:rFonts w:ascii="Palatino Linotype" w:hAnsi="Palatino Linotype"/>
          <w:iCs/>
          <w:sz w:val="24"/>
          <w:szCs w:val="24"/>
        </w:rPr>
      </w:pPr>
      <w:r>
        <w:rPr>
          <w:rFonts w:ascii="Palatino Linotype" w:hAnsi="Palatino Linotype"/>
          <w:sz w:val="24"/>
          <w:szCs w:val="24"/>
        </w:rPr>
        <w:t>Luego entonces</w:t>
      </w:r>
      <w:r w:rsidR="00C61039" w:rsidRPr="007D01D6">
        <w:rPr>
          <w:rFonts w:ascii="Palatino Linotype" w:hAnsi="Palatino Linotype"/>
          <w:sz w:val="24"/>
          <w:szCs w:val="24"/>
        </w:rPr>
        <w:t xml:space="preserve"> se destaca que este</w:t>
      </w:r>
      <w:r w:rsidR="00C61039" w:rsidRPr="007D01D6">
        <w:rPr>
          <w:rFonts w:ascii="Palatino Linotype" w:hAnsi="Palatino Linotype"/>
          <w:iCs/>
          <w:sz w:val="24"/>
          <w:szCs w:val="24"/>
        </w:rPr>
        <w:t xml:space="preserve"> Instituto no está facultado para manifestarse sobre la veracidad de la información proporcionada, pues este Órgano Garante, conforme al artículo 36 de la Ley de la Materia, no se encuentra facultado para pronunciarse acerca de la autenticidad de dicho pronunciamiento.  </w:t>
      </w:r>
    </w:p>
    <w:p w14:paraId="0F131AC7" w14:textId="77777777" w:rsidR="00C61039" w:rsidRPr="007D01D6" w:rsidRDefault="00C61039" w:rsidP="00C61039">
      <w:pPr>
        <w:spacing w:before="100" w:beforeAutospacing="1" w:after="100" w:afterAutospacing="1" w:line="360" w:lineRule="auto"/>
        <w:jc w:val="both"/>
        <w:rPr>
          <w:rFonts w:ascii="Palatino Linotype" w:hAnsi="Palatino Linotype" w:cs="Arial"/>
          <w:iCs/>
          <w:sz w:val="24"/>
          <w:szCs w:val="24"/>
        </w:rPr>
      </w:pPr>
      <w:r w:rsidRPr="007D01D6">
        <w:rPr>
          <w:rFonts w:ascii="Palatino Linotype" w:hAnsi="Palatino Linotype" w:cs="Arial"/>
          <w:iCs/>
          <w:sz w:val="24"/>
          <w:szCs w:val="24"/>
        </w:rPr>
        <w:t xml:space="preserve">Sirve de sustento a lo anterior, el criterio </w:t>
      </w:r>
      <w:r w:rsidRPr="007D01D6">
        <w:rPr>
          <w:rFonts w:ascii="Palatino Linotype" w:hAnsi="Palatino Linotype" w:cs="Arial"/>
          <w:b/>
          <w:bCs/>
          <w:iCs/>
          <w:sz w:val="24"/>
          <w:szCs w:val="24"/>
        </w:rPr>
        <w:t>31/10</w:t>
      </w:r>
      <w:r w:rsidRPr="007D01D6">
        <w:rPr>
          <w:rFonts w:ascii="Palatino Linotype" w:hAnsi="Palatino Linotype" w:cs="Arial"/>
          <w:iCs/>
          <w:sz w:val="24"/>
          <w:szCs w:val="24"/>
        </w:rPr>
        <w:t xml:space="preserve"> emitido por el entonces Instituto Federal de Acceso a la Información y Protección de Datos, ahora Instituto Nacional de </w:t>
      </w:r>
      <w:r w:rsidRPr="007D01D6">
        <w:rPr>
          <w:rFonts w:ascii="Palatino Linotype" w:hAnsi="Palatino Linotype" w:cs="Arial"/>
          <w:iCs/>
          <w:sz w:val="24"/>
          <w:szCs w:val="24"/>
        </w:rPr>
        <w:lastRenderedPageBreak/>
        <w:t xml:space="preserve">Transparencia, Acceso a la Información y Protección de Datos Personales (INAI), el cual refiere: </w:t>
      </w:r>
    </w:p>
    <w:p w14:paraId="6AF70DCC" w14:textId="77777777" w:rsidR="00C61039" w:rsidRPr="007D01D6" w:rsidRDefault="00C61039" w:rsidP="00C61039">
      <w:pPr>
        <w:pStyle w:val="Citas"/>
        <w:rPr>
          <w:b/>
        </w:rPr>
      </w:pPr>
      <w:r w:rsidRPr="007D01D6">
        <w:rPr>
          <w:b/>
        </w:rPr>
        <w:t xml:space="preserve">“EL INSTITUTO FEDERAL DE ACCESO A LA INFORMACIÓN Y PROTECCIÓN DE DATOS NO CUENTA CON FACULTADES PARA PRONUNCIARSE RESPECTO DE LA VERACIDAD DE LOS DOCUMENTOS PROPORCIONADOS POR LOS SUJETOS OBLIGADOS. </w:t>
      </w:r>
    </w:p>
    <w:p w14:paraId="22D92C38" w14:textId="77777777" w:rsidR="00C61039" w:rsidRPr="007D01D6" w:rsidRDefault="00C61039" w:rsidP="00C61039">
      <w:pPr>
        <w:pStyle w:val="Citas"/>
      </w:pPr>
      <w:r w:rsidRPr="007D01D6">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00822369" w14:textId="77777777" w:rsidR="00C61039" w:rsidRPr="007D01D6" w:rsidRDefault="00C61039" w:rsidP="00C61039">
      <w:pPr>
        <w:pStyle w:val="Citas"/>
      </w:pPr>
      <w:r w:rsidRPr="007D01D6">
        <w:t xml:space="preserve">Expedientes: </w:t>
      </w:r>
    </w:p>
    <w:p w14:paraId="1B951610" w14:textId="77777777" w:rsidR="00C61039" w:rsidRPr="007D01D6" w:rsidRDefault="00C61039" w:rsidP="00A04796">
      <w:pPr>
        <w:pStyle w:val="Citas"/>
        <w:numPr>
          <w:ilvl w:val="0"/>
          <w:numId w:val="5"/>
        </w:numPr>
      </w:pPr>
      <w:r w:rsidRPr="007D01D6">
        <w:t xml:space="preserve">2440/07 Comisión Federal de Electricidad - Alonso Lujambio Irazábal </w:t>
      </w:r>
    </w:p>
    <w:p w14:paraId="417C3004" w14:textId="77777777" w:rsidR="00C61039" w:rsidRPr="007D01D6" w:rsidRDefault="00C61039" w:rsidP="00A04796">
      <w:pPr>
        <w:pStyle w:val="Citas"/>
        <w:numPr>
          <w:ilvl w:val="0"/>
          <w:numId w:val="5"/>
        </w:numPr>
      </w:pPr>
      <w:r w:rsidRPr="007D01D6">
        <w:t xml:space="preserve">0113/09 Instituto de Seguridad y Servicios Sociales de los Trabajadores del Estado – Alonso Lujambio Irazábal </w:t>
      </w:r>
    </w:p>
    <w:p w14:paraId="544AE461" w14:textId="77777777" w:rsidR="00C61039" w:rsidRPr="007D01D6" w:rsidRDefault="00C61039" w:rsidP="00A04796">
      <w:pPr>
        <w:pStyle w:val="Citas"/>
        <w:numPr>
          <w:ilvl w:val="0"/>
          <w:numId w:val="5"/>
        </w:numPr>
      </w:pPr>
      <w:r w:rsidRPr="007D01D6">
        <w:lastRenderedPageBreak/>
        <w:t xml:space="preserve">1624/09 Instituto Nacional para la Educación de los Adultos - María </w:t>
      </w:r>
      <w:proofErr w:type="spellStart"/>
      <w:r w:rsidRPr="007D01D6">
        <w:t>Marván</w:t>
      </w:r>
      <w:proofErr w:type="spellEnd"/>
      <w:r w:rsidRPr="007D01D6">
        <w:t xml:space="preserve"> Laborde </w:t>
      </w:r>
    </w:p>
    <w:p w14:paraId="58283401" w14:textId="77777777" w:rsidR="00C61039" w:rsidRPr="007D01D6" w:rsidRDefault="00C61039" w:rsidP="00A04796">
      <w:pPr>
        <w:pStyle w:val="Citas"/>
        <w:numPr>
          <w:ilvl w:val="0"/>
          <w:numId w:val="5"/>
        </w:numPr>
      </w:pPr>
      <w:r w:rsidRPr="007D01D6">
        <w:t xml:space="preserve">2395/09 Secretaría de Economía - María </w:t>
      </w:r>
      <w:proofErr w:type="spellStart"/>
      <w:r w:rsidRPr="007D01D6">
        <w:t>Marván</w:t>
      </w:r>
      <w:proofErr w:type="spellEnd"/>
      <w:r w:rsidRPr="007D01D6">
        <w:t xml:space="preserve"> Laborde </w:t>
      </w:r>
    </w:p>
    <w:p w14:paraId="195FF13E" w14:textId="77777777" w:rsidR="00C61039" w:rsidRPr="007D01D6" w:rsidRDefault="00C61039" w:rsidP="00A04796">
      <w:pPr>
        <w:pStyle w:val="Citas"/>
        <w:numPr>
          <w:ilvl w:val="0"/>
          <w:numId w:val="5"/>
        </w:numPr>
      </w:pPr>
      <w:r w:rsidRPr="007D01D6">
        <w:t xml:space="preserve">0837/10 Administración Portuaria Integral de Veracruz, S.A. de C.V. – María </w:t>
      </w:r>
      <w:proofErr w:type="spellStart"/>
      <w:r w:rsidRPr="007D01D6">
        <w:t>Marván</w:t>
      </w:r>
      <w:proofErr w:type="spellEnd"/>
      <w:r w:rsidRPr="007D01D6">
        <w:t xml:space="preserve"> Laborde” </w:t>
      </w:r>
      <w:r w:rsidRPr="007D01D6">
        <w:rPr>
          <w:b/>
        </w:rPr>
        <w:t>[Sic]</w:t>
      </w:r>
    </w:p>
    <w:p w14:paraId="10B69A10" w14:textId="77777777" w:rsidR="00C61039" w:rsidRPr="007D01D6" w:rsidRDefault="00C61039" w:rsidP="00C61039">
      <w:pPr>
        <w:spacing w:after="0" w:line="360" w:lineRule="auto"/>
        <w:jc w:val="both"/>
        <w:rPr>
          <w:rFonts w:ascii="Palatino Linotype" w:hAnsi="Palatino Linotype" w:cs="Arial"/>
          <w:noProof/>
          <w:color w:val="000000"/>
          <w:sz w:val="24"/>
          <w:szCs w:val="24"/>
          <w:lang w:eastAsia="es-MX"/>
        </w:rPr>
      </w:pPr>
    </w:p>
    <w:p w14:paraId="484116AD" w14:textId="101864DD" w:rsidR="00C61039" w:rsidRDefault="00C61039" w:rsidP="00C61039">
      <w:pPr>
        <w:spacing w:after="0" w:line="360" w:lineRule="auto"/>
        <w:jc w:val="both"/>
        <w:rPr>
          <w:rFonts w:ascii="Palatino Linotype" w:hAnsi="Palatino Linotype" w:cs="Arial"/>
          <w:noProof/>
          <w:color w:val="000000"/>
          <w:sz w:val="24"/>
          <w:szCs w:val="24"/>
          <w:lang w:eastAsia="es-MX"/>
        </w:rPr>
      </w:pPr>
      <w:r w:rsidRPr="007D01D6">
        <w:rPr>
          <w:rFonts w:ascii="Palatino Linotype" w:hAnsi="Palatino Linotype" w:cs="Arial"/>
          <w:noProof/>
          <w:color w:val="000000"/>
          <w:sz w:val="24"/>
          <w:szCs w:val="24"/>
          <w:lang w:eastAsia="es-MX"/>
        </w:rPr>
        <w:t xml:space="preserve">Con base en lo anteriormente expuesto, se arriba a la premisa de que este Instituto no se encuentra facultado para dudar de la veracidad respecto de la información proporcionada por los </w:t>
      </w:r>
      <w:r w:rsidRPr="007D01D6">
        <w:rPr>
          <w:rFonts w:ascii="Palatino Linotype" w:hAnsi="Palatino Linotype" w:cs="Arial"/>
          <w:b/>
          <w:bCs/>
          <w:noProof/>
          <w:color w:val="000000"/>
          <w:sz w:val="24"/>
          <w:szCs w:val="24"/>
          <w:lang w:eastAsia="es-MX"/>
        </w:rPr>
        <w:t>Sujetos Obligados</w:t>
      </w:r>
      <w:r w:rsidR="00D40E0F">
        <w:rPr>
          <w:rFonts w:ascii="Palatino Linotype" w:hAnsi="Palatino Linotype" w:cs="Arial"/>
          <w:b/>
          <w:bCs/>
          <w:noProof/>
          <w:color w:val="000000"/>
          <w:sz w:val="24"/>
          <w:szCs w:val="24"/>
          <w:lang w:eastAsia="es-MX"/>
        </w:rPr>
        <w:t xml:space="preserve">, </w:t>
      </w:r>
      <w:r w:rsidR="00D40E0F">
        <w:rPr>
          <w:rFonts w:ascii="Palatino Linotype" w:hAnsi="Palatino Linotype" w:cs="Arial"/>
          <w:noProof/>
          <w:color w:val="000000"/>
          <w:sz w:val="24"/>
          <w:szCs w:val="24"/>
          <w:lang w:eastAsia="es-MX"/>
        </w:rPr>
        <w:t>por cuanto hace a su:</w:t>
      </w:r>
    </w:p>
    <w:p w14:paraId="0BAC7A89" w14:textId="1D307D4C" w:rsidR="00D40E0F" w:rsidRDefault="00D40E0F" w:rsidP="00A04796">
      <w:pPr>
        <w:pStyle w:val="Prrafodelista"/>
        <w:numPr>
          <w:ilvl w:val="0"/>
          <w:numId w:val="9"/>
        </w:numPr>
        <w:spacing w:line="360" w:lineRule="auto"/>
        <w:jc w:val="both"/>
        <w:rPr>
          <w:rFonts w:ascii="Palatino Linotype" w:hAnsi="Palatino Linotype" w:cs="Arial"/>
          <w:noProof/>
          <w:color w:val="000000"/>
          <w:lang w:eastAsia="es-MX"/>
        </w:rPr>
      </w:pPr>
      <w:r>
        <w:rPr>
          <w:rFonts w:ascii="Palatino Linotype" w:hAnsi="Palatino Linotype" w:cs="Arial"/>
          <w:noProof/>
          <w:color w:val="000000"/>
          <w:lang w:eastAsia="es-MX"/>
        </w:rPr>
        <w:t>Formato</w:t>
      </w:r>
    </w:p>
    <w:p w14:paraId="0256097E" w14:textId="71B53100" w:rsidR="00D40E0F" w:rsidRDefault="00D40E0F" w:rsidP="00A04796">
      <w:pPr>
        <w:pStyle w:val="Prrafodelista"/>
        <w:numPr>
          <w:ilvl w:val="0"/>
          <w:numId w:val="9"/>
        </w:numPr>
        <w:spacing w:line="360" w:lineRule="auto"/>
        <w:jc w:val="both"/>
        <w:rPr>
          <w:rFonts w:ascii="Palatino Linotype" w:hAnsi="Palatino Linotype" w:cs="Arial"/>
          <w:noProof/>
          <w:color w:val="000000"/>
          <w:lang w:eastAsia="es-MX"/>
        </w:rPr>
      </w:pPr>
      <w:r>
        <w:rPr>
          <w:rFonts w:ascii="Palatino Linotype" w:hAnsi="Palatino Linotype" w:cs="Arial"/>
          <w:noProof/>
          <w:color w:val="000000"/>
          <w:lang w:eastAsia="es-MX"/>
        </w:rPr>
        <w:t>Volumen</w:t>
      </w:r>
    </w:p>
    <w:p w14:paraId="772A220D" w14:textId="4B67AF42" w:rsidR="00D40E0F" w:rsidRPr="00D40E0F" w:rsidRDefault="00D40E0F" w:rsidP="00A04796">
      <w:pPr>
        <w:pStyle w:val="Prrafodelista"/>
        <w:numPr>
          <w:ilvl w:val="0"/>
          <w:numId w:val="9"/>
        </w:numPr>
        <w:spacing w:line="360" w:lineRule="auto"/>
        <w:jc w:val="both"/>
        <w:rPr>
          <w:rFonts w:ascii="Palatino Linotype" w:hAnsi="Palatino Linotype" w:cs="Arial"/>
          <w:noProof/>
          <w:color w:val="000000"/>
          <w:lang w:eastAsia="es-MX"/>
        </w:rPr>
      </w:pPr>
      <w:r>
        <w:rPr>
          <w:rFonts w:ascii="Palatino Linotype" w:hAnsi="Palatino Linotype" w:cs="Arial"/>
          <w:noProof/>
          <w:color w:val="000000"/>
          <w:lang w:eastAsia="es-MX"/>
        </w:rPr>
        <w:t xml:space="preserve">Contenido. </w:t>
      </w:r>
    </w:p>
    <w:p w14:paraId="1114A3B9" w14:textId="77777777" w:rsidR="00D40E0F" w:rsidRDefault="00D40E0F" w:rsidP="00C61039">
      <w:pPr>
        <w:spacing w:after="0" w:line="360" w:lineRule="auto"/>
        <w:jc w:val="both"/>
        <w:rPr>
          <w:rFonts w:ascii="Palatino Linotype" w:hAnsi="Palatino Linotype" w:cs="Arial"/>
          <w:b/>
          <w:bCs/>
          <w:noProof/>
          <w:color w:val="000000"/>
          <w:sz w:val="24"/>
          <w:szCs w:val="24"/>
          <w:lang w:eastAsia="es-MX"/>
        </w:rPr>
      </w:pPr>
    </w:p>
    <w:p w14:paraId="040FD3E7" w14:textId="77777777" w:rsidR="00C61039" w:rsidRPr="007D01D6" w:rsidRDefault="00C61039" w:rsidP="00C61039">
      <w:pPr>
        <w:pStyle w:val="Citas"/>
        <w:ind w:left="0" w:right="-18"/>
        <w:rPr>
          <w:i w:val="0"/>
          <w:iCs/>
          <w:sz w:val="24"/>
          <w:szCs w:val="24"/>
        </w:rPr>
      </w:pPr>
      <w:r w:rsidRPr="007D01D6">
        <w:rPr>
          <w:i w:val="0"/>
          <w:iCs/>
          <w:sz w:val="24"/>
          <w:szCs w:val="24"/>
        </w:rPr>
        <w:t xml:space="preserve">Por otra parte, resulta óbice señalar que el derecho de acceso a la información excluye la obligación de generar, documentos, procesar información o incluso generar soportes documentales encauzados a atender la pretensión de los particulares, es decir no tiene obligación de documentos para colmar la pretensión del particular. </w:t>
      </w:r>
    </w:p>
    <w:p w14:paraId="6E40EB5B" w14:textId="77777777" w:rsidR="00C61039" w:rsidRPr="007D01D6" w:rsidRDefault="00C61039" w:rsidP="00C61039">
      <w:pPr>
        <w:spacing w:line="360" w:lineRule="auto"/>
        <w:jc w:val="both"/>
        <w:rPr>
          <w:sz w:val="24"/>
          <w:szCs w:val="24"/>
          <w:lang w:val="es-ES_tradnl"/>
        </w:rPr>
      </w:pPr>
      <w:r w:rsidRPr="007D01D6">
        <w:rPr>
          <w:rFonts w:ascii="Palatino Linotype" w:hAnsi="Palatino Linotype"/>
          <w:iCs/>
          <w:sz w:val="24"/>
          <w:szCs w:val="24"/>
        </w:rPr>
        <w:t xml:space="preserve">Robustece lo anterior, el criterio </w:t>
      </w:r>
      <w:r w:rsidRPr="007D01D6">
        <w:rPr>
          <w:rFonts w:ascii="Palatino Linotype" w:hAnsi="Palatino Linotype" w:cs="Arial"/>
          <w:color w:val="000000"/>
          <w:sz w:val="24"/>
          <w:szCs w:val="24"/>
          <w:lang w:val="es-ES_tradnl"/>
        </w:rPr>
        <w:t xml:space="preserve">03-17, emitido por </w:t>
      </w:r>
      <w:r w:rsidRPr="007D01D6">
        <w:rPr>
          <w:rFonts w:ascii="Palatino Linotype" w:eastAsia="Arial Unicode MS" w:hAnsi="Palatino Linotype" w:cs="Arial"/>
          <w:color w:val="000000"/>
          <w:sz w:val="24"/>
          <w:szCs w:val="24"/>
          <w:lang w:val="es-ES_tradnl"/>
        </w:rPr>
        <w:t xml:space="preserve">el Instituto Nacional de Transparencia, Acceso a la Información y Protección de Datos Personales cuyo rubro y texto dispone a la literalidad los siguiente: </w:t>
      </w:r>
    </w:p>
    <w:p w14:paraId="4B91E2DE" w14:textId="77777777" w:rsidR="00C61039" w:rsidRPr="007D01D6" w:rsidRDefault="00C61039" w:rsidP="00C61039">
      <w:pPr>
        <w:pStyle w:val="Citas"/>
        <w:rPr>
          <w:b/>
          <w:spacing w:val="18"/>
        </w:rPr>
      </w:pPr>
      <w:r w:rsidRPr="007D01D6">
        <w:rPr>
          <w:b/>
        </w:rPr>
        <w:lastRenderedPageBreak/>
        <w:t xml:space="preserve">“NO EXISTE OBLIGACIÓN DE ELABORAR </w:t>
      </w:r>
      <w:r w:rsidRPr="007D01D6">
        <w:rPr>
          <w:b/>
          <w:spacing w:val="-3"/>
        </w:rPr>
        <w:t>D</w:t>
      </w:r>
      <w:r w:rsidRPr="007D01D6">
        <w:rPr>
          <w:b/>
        </w:rPr>
        <w:t>OCUM</w:t>
      </w:r>
      <w:r w:rsidRPr="007D01D6">
        <w:rPr>
          <w:b/>
          <w:spacing w:val="1"/>
        </w:rPr>
        <w:t>E</w:t>
      </w:r>
      <w:r w:rsidRPr="007D01D6">
        <w:rPr>
          <w:b/>
        </w:rPr>
        <w:t>N</w:t>
      </w:r>
      <w:r w:rsidRPr="007D01D6">
        <w:rPr>
          <w:b/>
          <w:spacing w:val="-1"/>
        </w:rPr>
        <w:t>T</w:t>
      </w:r>
      <w:r w:rsidRPr="007D01D6">
        <w:rPr>
          <w:b/>
        </w:rPr>
        <w:t>OS</w:t>
      </w:r>
      <w:r w:rsidRPr="007D01D6">
        <w:rPr>
          <w:b/>
          <w:spacing w:val="14"/>
        </w:rPr>
        <w:t xml:space="preserve"> </w:t>
      </w:r>
      <w:r w:rsidRPr="007D01D6">
        <w:rPr>
          <w:b/>
          <w:spacing w:val="-1"/>
        </w:rPr>
        <w:t xml:space="preserve">AD </w:t>
      </w:r>
      <w:r w:rsidRPr="007D01D6">
        <w:rPr>
          <w:b/>
        </w:rPr>
        <w:t>HOC</w:t>
      </w:r>
      <w:r w:rsidRPr="007D01D6">
        <w:rPr>
          <w:b/>
          <w:spacing w:val="11"/>
        </w:rPr>
        <w:t xml:space="preserve"> </w:t>
      </w:r>
      <w:r w:rsidRPr="007D01D6">
        <w:rPr>
          <w:b/>
        </w:rPr>
        <w:t>PARA</w:t>
      </w:r>
      <w:r w:rsidRPr="007D01D6">
        <w:rPr>
          <w:b/>
          <w:spacing w:val="10"/>
        </w:rPr>
        <w:t xml:space="preserve"> </w:t>
      </w:r>
      <w:r w:rsidRPr="007D01D6">
        <w:rPr>
          <w:b/>
        </w:rPr>
        <w:t>ATENDER LAS SOL</w:t>
      </w:r>
      <w:r w:rsidRPr="007D01D6">
        <w:rPr>
          <w:b/>
          <w:spacing w:val="-2"/>
        </w:rPr>
        <w:t>I</w:t>
      </w:r>
      <w:r w:rsidRPr="007D01D6">
        <w:rPr>
          <w:b/>
          <w:spacing w:val="1"/>
        </w:rPr>
        <w:t>C</w:t>
      </w:r>
      <w:r w:rsidRPr="007D01D6">
        <w:rPr>
          <w:b/>
        </w:rPr>
        <w:t>ITUDES</w:t>
      </w:r>
      <w:r w:rsidRPr="007D01D6">
        <w:rPr>
          <w:b/>
          <w:spacing w:val="10"/>
        </w:rPr>
        <w:t xml:space="preserve"> </w:t>
      </w:r>
      <w:r w:rsidRPr="007D01D6">
        <w:rPr>
          <w:b/>
        </w:rPr>
        <w:t>DE</w:t>
      </w:r>
      <w:r w:rsidRPr="007D01D6">
        <w:rPr>
          <w:b/>
          <w:spacing w:val="9"/>
        </w:rPr>
        <w:t xml:space="preserve"> </w:t>
      </w:r>
      <w:r w:rsidRPr="007D01D6">
        <w:rPr>
          <w:b/>
          <w:spacing w:val="1"/>
        </w:rPr>
        <w:t>AC</w:t>
      </w:r>
      <w:r w:rsidRPr="007D01D6">
        <w:rPr>
          <w:b/>
          <w:spacing w:val="-1"/>
        </w:rPr>
        <w:t>C</w:t>
      </w:r>
      <w:r w:rsidRPr="007D01D6">
        <w:rPr>
          <w:b/>
          <w:spacing w:val="1"/>
        </w:rPr>
        <w:t>ES</w:t>
      </w:r>
      <w:r w:rsidRPr="007D01D6">
        <w:rPr>
          <w:b/>
        </w:rPr>
        <w:t>O</w:t>
      </w:r>
      <w:r w:rsidRPr="007D01D6">
        <w:rPr>
          <w:b/>
          <w:spacing w:val="11"/>
        </w:rPr>
        <w:t xml:space="preserve"> </w:t>
      </w:r>
      <w:r w:rsidRPr="007D01D6">
        <w:rPr>
          <w:b/>
        </w:rPr>
        <w:t>A</w:t>
      </w:r>
      <w:r w:rsidRPr="007D01D6">
        <w:rPr>
          <w:b/>
          <w:spacing w:val="9"/>
        </w:rPr>
        <w:t xml:space="preserve"> </w:t>
      </w:r>
      <w:r w:rsidRPr="007D01D6">
        <w:rPr>
          <w:b/>
        </w:rPr>
        <w:t>LA</w:t>
      </w:r>
      <w:r w:rsidRPr="007D01D6">
        <w:rPr>
          <w:b/>
          <w:spacing w:val="10"/>
        </w:rPr>
        <w:t xml:space="preserve"> </w:t>
      </w:r>
      <w:r w:rsidRPr="007D01D6">
        <w:rPr>
          <w:b/>
        </w:rPr>
        <w:t>INFORMA</w:t>
      </w:r>
      <w:r w:rsidRPr="007D01D6">
        <w:rPr>
          <w:b/>
          <w:spacing w:val="1"/>
        </w:rPr>
        <w:t>C</w:t>
      </w:r>
      <w:r w:rsidRPr="007D01D6">
        <w:rPr>
          <w:b/>
        </w:rPr>
        <w:t>IÓ</w:t>
      </w:r>
      <w:r w:rsidRPr="007D01D6">
        <w:rPr>
          <w:b/>
          <w:spacing w:val="-2"/>
        </w:rPr>
        <w:t>N</w:t>
      </w:r>
      <w:r w:rsidRPr="007D01D6">
        <w:rPr>
          <w:b/>
        </w:rPr>
        <w:t>.</w:t>
      </w:r>
      <w:r w:rsidRPr="007D01D6">
        <w:rPr>
          <w:b/>
          <w:spacing w:val="18"/>
        </w:rPr>
        <w:t xml:space="preserve"> </w:t>
      </w:r>
    </w:p>
    <w:p w14:paraId="36B92C33" w14:textId="77777777" w:rsidR="00C61039" w:rsidRPr="007D01D6" w:rsidRDefault="00C61039" w:rsidP="00C61039">
      <w:pPr>
        <w:pStyle w:val="Citas"/>
      </w:pPr>
      <w:r w:rsidRPr="007D01D6">
        <w:rPr>
          <w:spacing w:val="18"/>
        </w:rPr>
        <w:t>L</w:t>
      </w:r>
      <w:r w:rsidRPr="007D01D6">
        <w:rPr>
          <w:spacing w:val="-1"/>
        </w:rPr>
        <w:t xml:space="preserve">os </w:t>
      </w:r>
      <w:r w:rsidRPr="007D01D6">
        <w:rPr>
          <w:spacing w:val="1"/>
        </w:rPr>
        <w:t>a</w:t>
      </w:r>
      <w:r w:rsidRPr="007D01D6">
        <w:t>rt</w:t>
      </w:r>
      <w:r w:rsidRPr="007D01D6">
        <w:rPr>
          <w:spacing w:val="-2"/>
        </w:rPr>
        <w:t>í</w:t>
      </w:r>
      <w:r w:rsidRPr="007D01D6">
        <w:t>c</w:t>
      </w:r>
      <w:r w:rsidRPr="007D01D6">
        <w:rPr>
          <w:spacing w:val="1"/>
        </w:rPr>
        <w:t>u</w:t>
      </w:r>
      <w:r w:rsidRPr="007D01D6">
        <w:t>los</w:t>
      </w:r>
      <w:r w:rsidRPr="007D01D6">
        <w:rPr>
          <w:spacing w:val="8"/>
        </w:rPr>
        <w:t xml:space="preserve"> 129 </w:t>
      </w:r>
      <w:r w:rsidRPr="007D01D6">
        <w:rPr>
          <w:spacing w:val="1"/>
        </w:rPr>
        <w:t>d</w:t>
      </w:r>
      <w:r w:rsidRPr="007D01D6">
        <w:t>e</w:t>
      </w:r>
      <w:r w:rsidRPr="007D01D6">
        <w:rPr>
          <w:spacing w:val="9"/>
        </w:rPr>
        <w:t xml:space="preserve"> </w:t>
      </w:r>
      <w:r w:rsidRPr="007D01D6">
        <w:t>la</w:t>
      </w:r>
      <w:r w:rsidRPr="007D01D6">
        <w:rPr>
          <w:spacing w:val="10"/>
        </w:rPr>
        <w:t xml:space="preserve"> </w:t>
      </w:r>
      <w:r w:rsidRPr="007D01D6">
        <w:rPr>
          <w:spacing w:val="-1"/>
        </w:rPr>
        <w:t>L</w:t>
      </w:r>
      <w:r w:rsidRPr="007D01D6">
        <w:rPr>
          <w:spacing w:val="1"/>
        </w:rPr>
        <w:t>e</w:t>
      </w:r>
      <w:r w:rsidRPr="007D01D6">
        <w:t>y</w:t>
      </w:r>
      <w:r w:rsidRPr="007D01D6">
        <w:rPr>
          <w:spacing w:val="8"/>
        </w:rPr>
        <w:t xml:space="preserve"> </w:t>
      </w:r>
      <w:r w:rsidRPr="007D01D6">
        <w:t>General</w:t>
      </w:r>
      <w:r w:rsidRPr="007D01D6">
        <w:rPr>
          <w:spacing w:val="10"/>
        </w:rPr>
        <w:t xml:space="preserve"> </w:t>
      </w:r>
      <w:r w:rsidRPr="007D01D6">
        <w:rPr>
          <w:spacing w:val="-1"/>
        </w:rPr>
        <w:t>d</w:t>
      </w:r>
      <w:r w:rsidRPr="007D01D6">
        <w:t>e</w:t>
      </w:r>
      <w:r w:rsidRPr="007D01D6">
        <w:rPr>
          <w:spacing w:val="9"/>
        </w:rPr>
        <w:t xml:space="preserve"> </w:t>
      </w:r>
      <w:r w:rsidRPr="007D01D6">
        <w:rPr>
          <w:spacing w:val="2"/>
        </w:rPr>
        <w:t>T</w:t>
      </w:r>
      <w:r w:rsidRPr="007D01D6">
        <w:t>r</w:t>
      </w:r>
      <w:r w:rsidRPr="007D01D6">
        <w:rPr>
          <w:spacing w:val="-2"/>
        </w:rPr>
        <w:t>a</w:t>
      </w:r>
      <w:r w:rsidRPr="007D01D6">
        <w:rPr>
          <w:spacing w:val="1"/>
        </w:rPr>
        <w:t>n</w:t>
      </w:r>
      <w:r w:rsidRPr="007D01D6">
        <w:t>s</w:t>
      </w:r>
      <w:r w:rsidRPr="007D01D6">
        <w:rPr>
          <w:spacing w:val="1"/>
        </w:rPr>
        <w:t>pa</w:t>
      </w:r>
      <w:r w:rsidRPr="007D01D6">
        <w:t>r</w:t>
      </w:r>
      <w:r w:rsidRPr="007D01D6">
        <w:rPr>
          <w:spacing w:val="-2"/>
        </w:rPr>
        <w:t>e</w:t>
      </w:r>
      <w:r w:rsidRPr="007D01D6">
        <w:rPr>
          <w:spacing w:val="1"/>
        </w:rPr>
        <w:t>n</w:t>
      </w:r>
      <w:r w:rsidRPr="007D01D6">
        <w:t>cia y Acc</w:t>
      </w:r>
      <w:r w:rsidRPr="007D01D6">
        <w:rPr>
          <w:spacing w:val="1"/>
        </w:rPr>
        <w:t>e</w:t>
      </w:r>
      <w:r w:rsidRPr="007D01D6">
        <w:t>so</w:t>
      </w:r>
      <w:r w:rsidRPr="007D01D6">
        <w:rPr>
          <w:spacing w:val="3"/>
        </w:rPr>
        <w:t xml:space="preserve"> </w:t>
      </w:r>
      <w:r w:rsidRPr="007D01D6">
        <w:t>a</w:t>
      </w:r>
      <w:r w:rsidRPr="007D01D6">
        <w:rPr>
          <w:spacing w:val="1"/>
        </w:rPr>
        <w:t xml:space="preserve"> </w:t>
      </w:r>
      <w:r w:rsidRPr="007D01D6">
        <w:t>la I</w:t>
      </w:r>
      <w:r w:rsidRPr="007D01D6">
        <w:rPr>
          <w:spacing w:val="-1"/>
        </w:rPr>
        <w:t>n</w:t>
      </w:r>
      <w:r w:rsidRPr="007D01D6">
        <w:t>f</w:t>
      </w:r>
      <w:r w:rsidRPr="007D01D6">
        <w:rPr>
          <w:spacing w:val="1"/>
        </w:rPr>
        <w:t>o</w:t>
      </w:r>
      <w:r w:rsidRPr="007D01D6">
        <w:rPr>
          <w:spacing w:val="-3"/>
        </w:rPr>
        <w:t>r</w:t>
      </w:r>
      <w:r w:rsidRPr="007D01D6">
        <w:rPr>
          <w:spacing w:val="1"/>
        </w:rPr>
        <w:t>ma</w:t>
      </w:r>
      <w:r w:rsidRPr="007D01D6">
        <w:t>ci</w:t>
      </w:r>
      <w:r w:rsidRPr="007D01D6">
        <w:rPr>
          <w:spacing w:val="-2"/>
        </w:rPr>
        <w:t>ó</w:t>
      </w:r>
      <w:r w:rsidRPr="007D01D6">
        <w:t>n</w:t>
      </w:r>
      <w:r w:rsidRPr="007D01D6">
        <w:rPr>
          <w:spacing w:val="6"/>
        </w:rPr>
        <w:t xml:space="preserve"> </w:t>
      </w:r>
      <w:r w:rsidRPr="007D01D6">
        <w:rPr>
          <w:spacing w:val="-2"/>
        </w:rPr>
        <w:t>P</w:t>
      </w:r>
      <w:r w:rsidRPr="007D01D6">
        <w:rPr>
          <w:spacing w:val="1"/>
        </w:rPr>
        <w:t>úb</w:t>
      </w:r>
      <w:r w:rsidRPr="007D01D6">
        <w:t>l</w:t>
      </w:r>
      <w:r w:rsidRPr="007D01D6">
        <w:rPr>
          <w:spacing w:val="-1"/>
        </w:rPr>
        <w:t>i</w:t>
      </w:r>
      <w:r w:rsidRPr="007D01D6">
        <w:t xml:space="preserve">ca y </w:t>
      </w:r>
      <w:r w:rsidRPr="007D01D6">
        <w:rPr>
          <w:spacing w:val="8"/>
        </w:rPr>
        <w:t xml:space="preserve">130, párrafo cuarto, </w:t>
      </w:r>
      <w:r w:rsidRPr="007D01D6">
        <w:rPr>
          <w:spacing w:val="1"/>
        </w:rPr>
        <w:t>d</w:t>
      </w:r>
      <w:r w:rsidRPr="007D01D6">
        <w:t>e</w:t>
      </w:r>
      <w:r w:rsidRPr="007D01D6">
        <w:rPr>
          <w:spacing w:val="9"/>
        </w:rPr>
        <w:t xml:space="preserve"> </w:t>
      </w:r>
      <w:r w:rsidRPr="007D01D6">
        <w:t>la</w:t>
      </w:r>
      <w:r w:rsidRPr="007D01D6">
        <w:rPr>
          <w:spacing w:val="10"/>
        </w:rPr>
        <w:t xml:space="preserve"> </w:t>
      </w:r>
      <w:r w:rsidRPr="007D01D6">
        <w:rPr>
          <w:spacing w:val="-1"/>
        </w:rPr>
        <w:t>L</w:t>
      </w:r>
      <w:r w:rsidRPr="007D01D6">
        <w:rPr>
          <w:spacing w:val="1"/>
        </w:rPr>
        <w:t>e</w:t>
      </w:r>
      <w:r w:rsidRPr="007D01D6">
        <w:t>y</w:t>
      </w:r>
      <w:r w:rsidRPr="007D01D6">
        <w:rPr>
          <w:spacing w:val="8"/>
        </w:rPr>
        <w:t xml:space="preserve"> </w:t>
      </w:r>
      <w:r w:rsidRPr="007D01D6">
        <w:t>Fe</w:t>
      </w:r>
      <w:r w:rsidRPr="007D01D6">
        <w:rPr>
          <w:spacing w:val="1"/>
        </w:rPr>
        <w:t>de</w:t>
      </w:r>
      <w:r w:rsidRPr="007D01D6">
        <w:t>ral</w:t>
      </w:r>
      <w:r w:rsidRPr="007D01D6">
        <w:rPr>
          <w:spacing w:val="10"/>
        </w:rPr>
        <w:t xml:space="preserve"> </w:t>
      </w:r>
      <w:r w:rsidRPr="007D01D6">
        <w:rPr>
          <w:spacing w:val="-1"/>
        </w:rPr>
        <w:t>d</w:t>
      </w:r>
      <w:r w:rsidRPr="007D01D6">
        <w:t>e</w:t>
      </w:r>
      <w:r w:rsidRPr="007D01D6">
        <w:rPr>
          <w:spacing w:val="9"/>
        </w:rPr>
        <w:t xml:space="preserve"> </w:t>
      </w:r>
      <w:r w:rsidRPr="007D01D6">
        <w:rPr>
          <w:spacing w:val="2"/>
        </w:rPr>
        <w:t>T</w:t>
      </w:r>
      <w:r w:rsidRPr="007D01D6">
        <w:t>r</w:t>
      </w:r>
      <w:r w:rsidRPr="007D01D6">
        <w:rPr>
          <w:spacing w:val="-2"/>
        </w:rPr>
        <w:t>a</w:t>
      </w:r>
      <w:r w:rsidRPr="007D01D6">
        <w:rPr>
          <w:spacing w:val="1"/>
        </w:rPr>
        <w:t>n</w:t>
      </w:r>
      <w:r w:rsidRPr="007D01D6">
        <w:t>s</w:t>
      </w:r>
      <w:r w:rsidRPr="007D01D6">
        <w:rPr>
          <w:spacing w:val="1"/>
        </w:rPr>
        <w:t>pa</w:t>
      </w:r>
      <w:r w:rsidRPr="007D01D6">
        <w:t>r</w:t>
      </w:r>
      <w:r w:rsidRPr="007D01D6">
        <w:rPr>
          <w:spacing w:val="-2"/>
        </w:rPr>
        <w:t>e</w:t>
      </w:r>
      <w:r w:rsidRPr="007D01D6">
        <w:rPr>
          <w:spacing w:val="1"/>
        </w:rPr>
        <w:t>n</w:t>
      </w:r>
      <w:r w:rsidRPr="007D01D6">
        <w:t>cia y Acc</w:t>
      </w:r>
      <w:r w:rsidRPr="007D01D6">
        <w:rPr>
          <w:spacing w:val="1"/>
        </w:rPr>
        <w:t>e</w:t>
      </w:r>
      <w:r w:rsidRPr="007D01D6">
        <w:t>so</w:t>
      </w:r>
      <w:r w:rsidRPr="007D01D6">
        <w:rPr>
          <w:spacing w:val="3"/>
        </w:rPr>
        <w:t xml:space="preserve"> </w:t>
      </w:r>
      <w:r w:rsidRPr="007D01D6">
        <w:t>a</w:t>
      </w:r>
      <w:r w:rsidRPr="007D01D6">
        <w:rPr>
          <w:spacing w:val="1"/>
        </w:rPr>
        <w:t xml:space="preserve"> </w:t>
      </w:r>
      <w:r w:rsidRPr="007D01D6">
        <w:t>la I</w:t>
      </w:r>
      <w:r w:rsidRPr="007D01D6">
        <w:rPr>
          <w:spacing w:val="-1"/>
        </w:rPr>
        <w:t>n</w:t>
      </w:r>
      <w:r w:rsidRPr="007D01D6">
        <w:t>f</w:t>
      </w:r>
      <w:r w:rsidRPr="007D01D6">
        <w:rPr>
          <w:spacing w:val="1"/>
        </w:rPr>
        <w:t>o</w:t>
      </w:r>
      <w:r w:rsidRPr="007D01D6">
        <w:rPr>
          <w:spacing w:val="-3"/>
        </w:rPr>
        <w:t>r</w:t>
      </w:r>
      <w:r w:rsidRPr="007D01D6">
        <w:rPr>
          <w:spacing w:val="1"/>
        </w:rPr>
        <w:t>ma</w:t>
      </w:r>
      <w:r w:rsidRPr="007D01D6">
        <w:t>ci</w:t>
      </w:r>
      <w:r w:rsidRPr="007D01D6">
        <w:rPr>
          <w:spacing w:val="-2"/>
        </w:rPr>
        <w:t>ó</w:t>
      </w:r>
      <w:r w:rsidRPr="007D01D6">
        <w:t>n</w:t>
      </w:r>
      <w:r w:rsidRPr="007D01D6">
        <w:rPr>
          <w:spacing w:val="6"/>
        </w:rPr>
        <w:t xml:space="preserve"> </w:t>
      </w:r>
      <w:r w:rsidRPr="007D01D6">
        <w:rPr>
          <w:spacing w:val="-2"/>
        </w:rPr>
        <w:t>P</w:t>
      </w:r>
      <w:r w:rsidRPr="007D01D6">
        <w:rPr>
          <w:spacing w:val="1"/>
        </w:rPr>
        <w:t>úb</w:t>
      </w:r>
      <w:r w:rsidRPr="007D01D6">
        <w:t>l</w:t>
      </w:r>
      <w:r w:rsidRPr="007D01D6">
        <w:rPr>
          <w:spacing w:val="-1"/>
        </w:rPr>
        <w:t>i</w:t>
      </w:r>
      <w:r w:rsidRPr="007D01D6">
        <w:t xml:space="preserve">ca, </w:t>
      </w:r>
      <w:r w:rsidRPr="007D01D6">
        <w:rPr>
          <w:spacing w:val="-1"/>
        </w:rPr>
        <w:t>señalan</w:t>
      </w:r>
      <w:r w:rsidRPr="007D01D6">
        <w:rPr>
          <w:spacing w:val="1"/>
        </w:rPr>
        <w:t xml:space="preserve"> </w:t>
      </w:r>
      <w:r w:rsidRPr="007D01D6">
        <w:rPr>
          <w:spacing w:val="-1"/>
        </w:rPr>
        <w:t>q</w:t>
      </w:r>
      <w:r w:rsidRPr="007D01D6">
        <w:rPr>
          <w:spacing w:val="1"/>
        </w:rPr>
        <w:t>u</w:t>
      </w:r>
      <w:r w:rsidRPr="007D01D6">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7D01D6">
        <w:rPr>
          <w:spacing w:val="-1"/>
        </w:rPr>
        <w:t xml:space="preserve"> sin necesidad de</w:t>
      </w:r>
      <w:r w:rsidRPr="007D01D6">
        <w:rPr>
          <w:spacing w:val="1"/>
        </w:rPr>
        <w:t xml:space="preserve"> e</w:t>
      </w:r>
      <w:r w:rsidRPr="007D01D6">
        <w:t>la</w:t>
      </w:r>
      <w:r w:rsidRPr="007D01D6">
        <w:rPr>
          <w:spacing w:val="1"/>
        </w:rPr>
        <w:t>bo</w:t>
      </w:r>
      <w:r w:rsidRPr="007D01D6">
        <w:t xml:space="preserve">rar </w:t>
      </w:r>
      <w:r w:rsidRPr="007D01D6">
        <w:rPr>
          <w:spacing w:val="1"/>
        </w:rPr>
        <w:t>do</w:t>
      </w:r>
      <w:r w:rsidRPr="007D01D6">
        <w:rPr>
          <w:spacing w:val="-2"/>
        </w:rPr>
        <w:t>c</w:t>
      </w:r>
      <w:r w:rsidRPr="007D01D6">
        <w:rPr>
          <w:spacing w:val="1"/>
        </w:rPr>
        <w:t>u</w:t>
      </w:r>
      <w:r w:rsidRPr="007D01D6">
        <w:rPr>
          <w:spacing w:val="-1"/>
        </w:rPr>
        <w:t>m</w:t>
      </w:r>
      <w:r w:rsidRPr="007D01D6">
        <w:rPr>
          <w:spacing w:val="1"/>
        </w:rPr>
        <w:t>en</w:t>
      </w:r>
      <w:r w:rsidRPr="007D01D6">
        <w:rPr>
          <w:spacing w:val="-2"/>
        </w:rPr>
        <w:t>t</w:t>
      </w:r>
      <w:r w:rsidRPr="007D01D6">
        <w:rPr>
          <w:spacing w:val="1"/>
        </w:rPr>
        <w:t>o</w:t>
      </w:r>
      <w:r w:rsidRPr="007D01D6">
        <w:t>s</w:t>
      </w:r>
      <w:r w:rsidRPr="007D01D6">
        <w:rPr>
          <w:spacing w:val="3"/>
        </w:rPr>
        <w:t xml:space="preserve"> </w:t>
      </w:r>
      <w:r w:rsidRPr="007D01D6">
        <w:rPr>
          <w:spacing w:val="1"/>
        </w:rPr>
        <w:t>a</w:t>
      </w:r>
      <w:r w:rsidRPr="007D01D6">
        <w:t>d</w:t>
      </w:r>
      <w:r w:rsidRPr="007D01D6">
        <w:rPr>
          <w:spacing w:val="1"/>
        </w:rPr>
        <w:t xml:space="preserve"> ho</w:t>
      </w:r>
      <w:r w:rsidRPr="007D01D6">
        <w:t>c</w:t>
      </w:r>
      <w:r w:rsidRPr="007D01D6">
        <w:rPr>
          <w:spacing w:val="2"/>
        </w:rPr>
        <w:t xml:space="preserve"> </w:t>
      </w:r>
      <w:r w:rsidRPr="007D01D6">
        <w:rPr>
          <w:spacing w:val="1"/>
        </w:rPr>
        <w:t>pa</w:t>
      </w:r>
      <w:r w:rsidRPr="007D01D6">
        <w:t xml:space="preserve">ra </w:t>
      </w:r>
      <w:r w:rsidRPr="007D01D6">
        <w:rPr>
          <w:spacing w:val="1"/>
        </w:rPr>
        <w:t>a</w:t>
      </w:r>
      <w:r w:rsidRPr="007D01D6">
        <w:t>t</w:t>
      </w:r>
      <w:r w:rsidRPr="007D01D6">
        <w:rPr>
          <w:spacing w:val="-1"/>
        </w:rPr>
        <w:t>e</w:t>
      </w:r>
      <w:r w:rsidRPr="007D01D6">
        <w:rPr>
          <w:spacing w:val="1"/>
        </w:rPr>
        <w:t>n</w:t>
      </w:r>
      <w:r w:rsidRPr="007D01D6">
        <w:rPr>
          <w:spacing w:val="-1"/>
        </w:rPr>
        <w:t>d</w:t>
      </w:r>
      <w:r w:rsidRPr="007D01D6">
        <w:rPr>
          <w:spacing w:val="1"/>
        </w:rPr>
        <w:t>e</w:t>
      </w:r>
      <w:r w:rsidRPr="007D01D6">
        <w:t>r</w:t>
      </w:r>
      <w:r w:rsidRPr="007D01D6">
        <w:rPr>
          <w:spacing w:val="2"/>
        </w:rPr>
        <w:t xml:space="preserve"> </w:t>
      </w:r>
      <w:r w:rsidRPr="007D01D6">
        <w:t>l</w:t>
      </w:r>
      <w:r w:rsidRPr="007D01D6">
        <w:rPr>
          <w:spacing w:val="-2"/>
        </w:rPr>
        <w:t>a</w:t>
      </w:r>
      <w:r w:rsidRPr="007D01D6">
        <w:t>s</w:t>
      </w:r>
      <w:r w:rsidRPr="007D01D6">
        <w:rPr>
          <w:spacing w:val="2"/>
        </w:rPr>
        <w:t xml:space="preserve"> </w:t>
      </w:r>
      <w:r w:rsidRPr="007D01D6">
        <w:t>s</w:t>
      </w:r>
      <w:r w:rsidRPr="007D01D6">
        <w:rPr>
          <w:spacing w:val="1"/>
        </w:rPr>
        <w:t>o</w:t>
      </w:r>
      <w:r w:rsidRPr="007D01D6">
        <w:t>l</w:t>
      </w:r>
      <w:r w:rsidRPr="007D01D6">
        <w:rPr>
          <w:spacing w:val="-1"/>
        </w:rPr>
        <w:t>i</w:t>
      </w:r>
      <w:r w:rsidRPr="007D01D6">
        <w:t>cit</w:t>
      </w:r>
      <w:r w:rsidRPr="007D01D6">
        <w:rPr>
          <w:spacing w:val="1"/>
        </w:rPr>
        <w:t>ude</w:t>
      </w:r>
      <w:r w:rsidRPr="007D01D6">
        <w:t>s</w:t>
      </w:r>
      <w:r w:rsidRPr="007D01D6">
        <w:rPr>
          <w:spacing w:val="4"/>
        </w:rPr>
        <w:t xml:space="preserve"> </w:t>
      </w:r>
      <w:r w:rsidRPr="007D01D6">
        <w:rPr>
          <w:spacing w:val="-1"/>
        </w:rPr>
        <w:t>d</w:t>
      </w:r>
      <w:r w:rsidRPr="007D01D6">
        <w:t>e</w:t>
      </w:r>
      <w:r w:rsidRPr="007D01D6">
        <w:rPr>
          <w:spacing w:val="3"/>
        </w:rPr>
        <w:t xml:space="preserve"> </w:t>
      </w:r>
      <w:r w:rsidRPr="007D01D6">
        <w:t>i</w:t>
      </w:r>
      <w:r w:rsidRPr="007D01D6">
        <w:rPr>
          <w:spacing w:val="-2"/>
        </w:rPr>
        <w:t>n</w:t>
      </w:r>
      <w:r w:rsidRPr="007D01D6">
        <w:t>f</w:t>
      </w:r>
      <w:r w:rsidRPr="007D01D6">
        <w:rPr>
          <w:spacing w:val="1"/>
        </w:rPr>
        <w:t>o</w:t>
      </w:r>
      <w:r w:rsidRPr="007D01D6">
        <w:t>r</w:t>
      </w:r>
      <w:r w:rsidRPr="007D01D6">
        <w:rPr>
          <w:spacing w:val="-1"/>
        </w:rPr>
        <w:t>m</w:t>
      </w:r>
      <w:r w:rsidRPr="007D01D6">
        <w:rPr>
          <w:spacing w:val="1"/>
        </w:rPr>
        <w:t>a</w:t>
      </w:r>
      <w:r w:rsidRPr="007D01D6">
        <w:t>ció</w:t>
      </w:r>
      <w:r w:rsidRPr="007D01D6">
        <w:rPr>
          <w:spacing w:val="1"/>
        </w:rPr>
        <w:t>n</w:t>
      </w:r>
      <w:r w:rsidRPr="007D01D6">
        <w:t>.</w:t>
      </w:r>
    </w:p>
    <w:p w14:paraId="78E17A4A" w14:textId="77777777" w:rsidR="00C61039" w:rsidRPr="007D01D6" w:rsidRDefault="00C61039" w:rsidP="00C61039">
      <w:pPr>
        <w:pStyle w:val="Citas"/>
        <w:rPr>
          <w:b/>
        </w:rPr>
      </w:pPr>
      <w:r w:rsidRPr="007D01D6">
        <w:rPr>
          <w:b/>
        </w:rPr>
        <w:t>Resoluciones:</w:t>
      </w:r>
    </w:p>
    <w:p w14:paraId="7D1D59F2" w14:textId="77777777" w:rsidR="00C61039" w:rsidRPr="007D01D6" w:rsidRDefault="00C61039" w:rsidP="00C61039">
      <w:pPr>
        <w:pStyle w:val="Citas"/>
      </w:pPr>
      <w:r w:rsidRPr="007D01D6">
        <w:rPr>
          <w:b/>
        </w:rPr>
        <w:t>RRA 0050/16.</w:t>
      </w:r>
      <w:r w:rsidRPr="007D01D6">
        <w:t xml:space="preserve"> Instituto Nacional para la Evaluación de la Educación. 13 julio de 2016. Por unanimidad. Comisionado Ponente: Francisco Javier Acuña Llamas.</w:t>
      </w:r>
    </w:p>
    <w:p w14:paraId="6A109CDC" w14:textId="77777777" w:rsidR="00C61039" w:rsidRPr="007D01D6" w:rsidRDefault="00C61039" w:rsidP="00C61039">
      <w:pPr>
        <w:pStyle w:val="Citas"/>
        <w:rPr>
          <w:rFonts w:ascii="Times New Roman" w:hAnsi="Times New Roman" w:cs="Times New Roman"/>
        </w:rPr>
      </w:pPr>
      <w:r w:rsidRPr="007D01D6">
        <w:rPr>
          <w:b/>
        </w:rPr>
        <w:t xml:space="preserve">RRA 0310/16. </w:t>
      </w:r>
      <w:r w:rsidRPr="007D01D6">
        <w:t>Instituto Nacional de Transparencia, Acceso a la Información y Protección de Datos Personales. 10 de agosto de 2016. Por unanimidad. Comisionada Ponente. Areli Cano Guadiana.</w:t>
      </w:r>
    </w:p>
    <w:p w14:paraId="1A5E9F2E" w14:textId="77777777" w:rsidR="00C61039" w:rsidRPr="003A136D" w:rsidRDefault="00C61039" w:rsidP="00C61039">
      <w:pPr>
        <w:pStyle w:val="Citas"/>
        <w:rPr>
          <w:b/>
        </w:rPr>
      </w:pPr>
      <w:r w:rsidRPr="007D01D6">
        <w:rPr>
          <w:b/>
        </w:rPr>
        <w:t xml:space="preserve">RRA 1889/16. </w:t>
      </w:r>
      <w:r w:rsidRPr="007D01D6">
        <w:t xml:space="preserve">Secretaría de Hacienda y Crédito Público. 05 de octubre de 2016. Por unanimidad. Comisionada Ponente. Ximena Puente de la Mora” </w:t>
      </w:r>
      <w:r w:rsidRPr="007D01D6">
        <w:rPr>
          <w:b/>
        </w:rPr>
        <w:t>[Sic]</w:t>
      </w:r>
    </w:p>
    <w:p w14:paraId="589CE280" w14:textId="77777777" w:rsidR="00C61039" w:rsidRDefault="00C61039" w:rsidP="00C61039">
      <w:pPr>
        <w:autoSpaceDE w:val="0"/>
        <w:autoSpaceDN w:val="0"/>
        <w:adjustRightInd w:val="0"/>
        <w:spacing w:before="240" w:line="360" w:lineRule="auto"/>
        <w:jc w:val="both"/>
        <w:rPr>
          <w:rFonts w:ascii="Palatino Linotype" w:hAnsi="Palatino Linotype"/>
          <w:sz w:val="24"/>
          <w:szCs w:val="24"/>
        </w:rPr>
      </w:pPr>
    </w:p>
    <w:p w14:paraId="66A32188" w14:textId="33CECB64" w:rsidR="003A2F0F" w:rsidRDefault="00C61039" w:rsidP="00C61039">
      <w:pPr>
        <w:autoSpaceDE w:val="0"/>
        <w:autoSpaceDN w:val="0"/>
        <w:adjustRightInd w:val="0"/>
        <w:spacing w:before="240" w:line="360" w:lineRule="auto"/>
        <w:jc w:val="both"/>
        <w:rPr>
          <w:rFonts w:ascii="Palatino Linotype" w:hAnsi="Palatino Linotype"/>
          <w:sz w:val="24"/>
          <w:szCs w:val="24"/>
        </w:rPr>
      </w:pPr>
      <w:r w:rsidRPr="007D01D6">
        <w:rPr>
          <w:rFonts w:ascii="Palatino Linotype" w:hAnsi="Palatino Linotype"/>
          <w:sz w:val="24"/>
          <w:szCs w:val="24"/>
        </w:rPr>
        <w:lastRenderedPageBreak/>
        <w:t xml:space="preserve">Dentro de este marco, esta Ponencia resolutora estima que </w:t>
      </w:r>
      <w:r>
        <w:rPr>
          <w:rFonts w:ascii="Palatino Linotype" w:hAnsi="Palatino Linotype"/>
          <w:sz w:val="24"/>
          <w:szCs w:val="24"/>
        </w:rPr>
        <w:t xml:space="preserve">el pronunciamiento </w:t>
      </w:r>
      <w:r w:rsidRPr="007D01D6">
        <w:rPr>
          <w:rFonts w:ascii="Palatino Linotype" w:hAnsi="Palatino Linotype"/>
          <w:sz w:val="24"/>
          <w:szCs w:val="24"/>
        </w:rPr>
        <w:t>del</w:t>
      </w:r>
      <w:r w:rsidRPr="007D01D6">
        <w:rPr>
          <w:rFonts w:ascii="Palatino Linotype" w:hAnsi="Palatino Linotype"/>
          <w:b/>
          <w:bCs/>
          <w:sz w:val="24"/>
          <w:szCs w:val="24"/>
        </w:rPr>
        <w:t xml:space="preserve"> Sujeto Obligado</w:t>
      </w:r>
      <w:r>
        <w:rPr>
          <w:rFonts w:ascii="Palatino Linotype" w:hAnsi="Palatino Linotype"/>
          <w:b/>
          <w:bCs/>
          <w:sz w:val="24"/>
          <w:szCs w:val="24"/>
        </w:rPr>
        <w:t xml:space="preserve">, </w:t>
      </w:r>
      <w:r>
        <w:rPr>
          <w:rFonts w:ascii="Palatino Linotype" w:hAnsi="Palatino Linotype"/>
          <w:sz w:val="24"/>
          <w:szCs w:val="24"/>
        </w:rPr>
        <w:t xml:space="preserve">es susceptible de </w:t>
      </w:r>
      <w:r w:rsidR="003A2F0F">
        <w:rPr>
          <w:rFonts w:ascii="Palatino Linotype" w:hAnsi="Palatino Linotype"/>
          <w:sz w:val="24"/>
          <w:szCs w:val="24"/>
        </w:rPr>
        <w:t xml:space="preserve">atender el requerimiento identificado con el numeral </w:t>
      </w:r>
      <w:r w:rsidR="003A2F0F">
        <w:rPr>
          <w:rFonts w:ascii="Palatino Linotype" w:hAnsi="Palatino Linotype"/>
          <w:b/>
          <w:bCs/>
          <w:sz w:val="24"/>
          <w:szCs w:val="24"/>
        </w:rPr>
        <w:t xml:space="preserve">2 -dos- </w:t>
      </w:r>
      <w:r w:rsidR="003A2F0F">
        <w:rPr>
          <w:rFonts w:ascii="Palatino Linotype" w:hAnsi="Palatino Linotype"/>
          <w:sz w:val="24"/>
          <w:szCs w:val="24"/>
        </w:rPr>
        <w:t xml:space="preserve">al tomar en consideración que fue remitido el documento “Percepciones y deducciones analizadas por servidor público” del C. Rodrigo </w:t>
      </w:r>
      <w:proofErr w:type="spellStart"/>
      <w:r w:rsidR="003A2F0F">
        <w:rPr>
          <w:rFonts w:ascii="Palatino Linotype" w:hAnsi="Palatino Linotype"/>
          <w:sz w:val="24"/>
          <w:szCs w:val="24"/>
        </w:rPr>
        <w:t>Murrillo</w:t>
      </w:r>
      <w:proofErr w:type="spellEnd"/>
      <w:r w:rsidR="003A2F0F">
        <w:rPr>
          <w:rFonts w:ascii="Palatino Linotype" w:hAnsi="Palatino Linotype"/>
          <w:sz w:val="24"/>
          <w:szCs w:val="24"/>
        </w:rPr>
        <w:t xml:space="preserve"> </w:t>
      </w:r>
      <w:proofErr w:type="spellStart"/>
      <w:r w:rsidR="003A2F0F">
        <w:rPr>
          <w:rFonts w:ascii="Palatino Linotype" w:hAnsi="Palatino Linotype"/>
          <w:sz w:val="24"/>
          <w:szCs w:val="24"/>
        </w:rPr>
        <w:t>Berrum</w:t>
      </w:r>
      <w:proofErr w:type="spellEnd"/>
      <w:r w:rsidR="003A2F0F">
        <w:rPr>
          <w:rFonts w:ascii="Palatino Linotype" w:hAnsi="Palatino Linotype"/>
          <w:sz w:val="24"/>
          <w:szCs w:val="24"/>
        </w:rPr>
        <w:t xml:space="preserve"> correspondiente a los ejercicios 2018 al 2023.</w:t>
      </w:r>
    </w:p>
    <w:p w14:paraId="298A6761" w14:textId="48D752A3" w:rsidR="003A2F0F" w:rsidRDefault="003A2F0F" w:rsidP="00C61039">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 xml:space="preserve">Debe señalarse entonces que la información remitida refleja percepciones y deducciones quincenales y totales (anuales). Por cuanto hace a las percepciones mensuales se destaca que la información remitida permite al </w:t>
      </w:r>
      <w:r>
        <w:rPr>
          <w:rFonts w:ascii="Palatino Linotype" w:hAnsi="Palatino Linotype"/>
          <w:b/>
          <w:bCs/>
          <w:sz w:val="24"/>
          <w:szCs w:val="24"/>
        </w:rPr>
        <w:t xml:space="preserve">Recurrente </w:t>
      </w:r>
      <w:r>
        <w:rPr>
          <w:rFonts w:ascii="Palatino Linotype" w:hAnsi="Palatino Linotype"/>
          <w:sz w:val="24"/>
          <w:szCs w:val="24"/>
        </w:rPr>
        <w:t xml:space="preserve">deducir las inferencias que resulten de su interés, cobrando particular relevancia el artículo 12 de la Ley de Transparencia local, </w:t>
      </w:r>
      <w:r w:rsidR="00405E83">
        <w:rPr>
          <w:rFonts w:ascii="Palatino Linotype" w:hAnsi="Palatino Linotype"/>
          <w:sz w:val="24"/>
          <w:szCs w:val="24"/>
        </w:rPr>
        <w:t xml:space="preserve">porción normativa que excluye la obligación de procesar información y </w:t>
      </w:r>
      <w:r>
        <w:rPr>
          <w:rFonts w:ascii="Palatino Linotype" w:hAnsi="Palatino Linotype"/>
          <w:sz w:val="24"/>
          <w:szCs w:val="24"/>
        </w:rPr>
        <w:t>cuyo contenido dispone a la literalidad lo siguiente:</w:t>
      </w:r>
    </w:p>
    <w:p w14:paraId="7A6091C7" w14:textId="4F6B75FF" w:rsidR="003A2F0F" w:rsidRDefault="003A2F0F" w:rsidP="003A2F0F">
      <w:pPr>
        <w:pStyle w:val="Citas"/>
      </w:pPr>
      <w:r>
        <w:t xml:space="preserve">“Artículo 12. Quienes generen, recopilen, administren, manejen, procesen, archiven o conserven información pública serán responsables de la misma en los términos de las disposiciones jurídicas aplicables. </w:t>
      </w:r>
    </w:p>
    <w:p w14:paraId="67DD7103" w14:textId="3F55CB43" w:rsidR="003A2F0F" w:rsidRPr="003A2F0F" w:rsidRDefault="003A2F0F" w:rsidP="003A2F0F">
      <w:pPr>
        <w:pStyle w:val="Citas"/>
        <w:rPr>
          <w:b/>
          <w:bCs/>
          <w:sz w:val="24"/>
          <w:szCs w:val="24"/>
        </w:rPr>
      </w:pPr>
      <w: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r>
        <w:rPr>
          <w:b/>
          <w:bCs/>
        </w:rPr>
        <w:t>(Sic)</w:t>
      </w:r>
    </w:p>
    <w:p w14:paraId="6099237D" w14:textId="77777777" w:rsidR="003A2F0F" w:rsidRPr="003A2F0F" w:rsidRDefault="003A2F0F" w:rsidP="00C61039">
      <w:pPr>
        <w:autoSpaceDE w:val="0"/>
        <w:autoSpaceDN w:val="0"/>
        <w:adjustRightInd w:val="0"/>
        <w:spacing w:before="240" w:line="360" w:lineRule="auto"/>
        <w:jc w:val="both"/>
        <w:rPr>
          <w:rFonts w:ascii="Palatino Linotype" w:hAnsi="Palatino Linotype"/>
          <w:sz w:val="24"/>
          <w:szCs w:val="24"/>
        </w:rPr>
      </w:pPr>
    </w:p>
    <w:p w14:paraId="0DD4A717" w14:textId="48D489F7" w:rsidR="003A2F0F" w:rsidRPr="003A2F0F" w:rsidRDefault="003A2F0F" w:rsidP="00C61039">
      <w:pPr>
        <w:autoSpaceDE w:val="0"/>
        <w:autoSpaceDN w:val="0"/>
        <w:adjustRightInd w:val="0"/>
        <w:spacing w:before="240" w:line="360" w:lineRule="auto"/>
        <w:jc w:val="both"/>
        <w:rPr>
          <w:rFonts w:ascii="Palatino Linotype" w:hAnsi="Palatino Linotype"/>
          <w:b/>
          <w:bCs/>
          <w:sz w:val="24"/>
          <w:szCs w:val="24"/>
        </w:rPr>
      </w:pPr>
      <w:r>
        <w:rPr>
          <w:rFonts w:ascii="Palatino Linotype" w:hAnsi="Palatino Linotype"/>
          <w:sz w:val="24"/>
          <w:szCs w:val="24"/>
        </w:rPr>
        <w:lastRenderedPageBreak/>
        <w:t xml:space="preserve">Hasta aquí lo expuesto, se arriba a la premisa de que el requerimiento identificado con el numeral </w:t>
      </w:r>
      <w:r>
        <w:rPr>
          <w:rFonts w:ascii="Palatino Linotype" w:hAnsi="Palatino Linotype"/>
          <w:b/>
          <w:bCs/>
          <w:sz w:val="24"/>
          <w:szCs w:val="24"/>
        </w:rPr>
        <w:t xml:space="preserve">1 -uno- </w:t>
      </w:r>
      <w:r>
        <w:rPr>
          <w:rFonts w:ascii="Palatino Linotype" w:hAnsi="Palatino Linotype"/>
          <w:sz w:val="24"/>
          <w:szCs w:val="24"/>
        </w:rPr>
        <w:t xml:space="preserve">no formó parte de la respuesta primigenia. En contraste, la información remitida es susceptible de colmar el requerimiento </w:t>
      </w:r>
      <w:r>
        <w:rPr>
          <w:rFonts w:ascii="Palatino Linotype" w:hAnsi="Palatino Linotype"/>
          <w:b/>
          <w:bCs/>
          <w:sz w:val="24"/>
          <w:szCs w:val="24"/>
        </w:rPr>
        <w:t xml:space="preserve">2 -dos-. </w:t>
      </w:r>
    </w:p>
    <w:p w14:paraId="2779597A" w14:textId="4999EF2F" w:rsidR="003A2F0F" w:rsidRPr="003A2F0F" w:rsidRDefault="00C61039" w:rsidP="00C61039">
      <w:pPr>
        <w:spacing w:after="0" w:line="360" w:lineRule="auto"/>
        <w:jc w:val="both"/>
        <w:rPr>
          <w:rFonts w:ascii="Palatino Linotype" w:hAnsi="Palatino Linotype" w:cs="Arial"/>
          <w:sz w:val="24"/>
          <w:szCs w:val="24"/>
        </w:rPr>
      </w:pPr>
      <w:r>
        <w:rPr>
          <w:rFonts w:ascii="Palatino Linotype" w:hAnsi="Palatino Linotype"/>
          <w:sz w:val="24"/>
          <w:szCs w:val="24"/>
        </w:rPr>
        <w:t xml:space="preserve">Inconforme </w:t>
      </w:r>
      <w:r>
        <w:rPr>
          <w:rFonts w:ascii="Palatino Linotype" w:hAnsi="Palatino Linotype" w:cs="Arial"/>
          <w:sz w:val="24"/>
          <w:szCs w:val="24"/>
        </w:rPr>
        <w:t xml:space="preserve">con la respuesta del </w:t>
      </w:r>
      <w:r>
        <w:rPr>
          <w:rFonts w:ascii="Palatino Linotype" w:hAnsi="Palatino Linotype" w:cs="Arial"/>
          <w:b/>
          <w:bCs/>
          <w:sz w:val="24"/>
          <w:szCs w:val="24"/>
        </w:rPr>
        <w:t xml:space="preserve">Sujeto Obligado, </w:t>
      </w:r>
      <w:r w:rsidR="003A2F0F">
        <w:rPr>
          <w:rFonts w:ascii="Palatino Linotype" w:hAnsi="Palatino Linotype" w:cs="Arial"/>
          <w:b/>
          <w:bCs/>
          <w:sz w:val="24"/>
          <w:szCs w:val="24"/>
        </w:rPr>
        <w:t>El</w:t>
      </w:r>
      <w:r>
        <w:rPr>
          <w:rFonts w:ascii="Palatino Linotype" w:hAnsi="Palatino Linotype" w:cs="Arial"/>
          <w:b/>
          <w:bCs/>
          <w:sz w:val="24"/>
          <w:szCs w:val="24"/>
        </w:rPr>
        <w:t xml:space="preserve"> Recurrente </w:t>
      </w:r>
      <w:r>
        <w:rPr>
          <w:rFonts w:ascii="Palatino Linotype" w:hAnsi="Palatino Linotype" w:cs="Arial"/>
          <w:sz w:val="24"/>
          <w:szCs w:val="24"/>
        </w:rPr>
        <w:t>interpuso recurso</w:t>
      </w:r>
      <w:r w:rsidR="003A2F0F">
        <w:rPr>
          <w:rFonts w:ascii="Palatino Linotype" w:hAnsi="Palatino Linotype" w:cs="Arial"/>
          <w:sz w:val="24"/>
          <w:szCs w:val="24"/>
        </w:rPr>
        <w:t>s</w:t>
      </w:r>
      <w:r>
        <w:rPr>
          <w:rFonts w:ascii="Palatino Linotype" w:hAnsi="Palatino Linotype" w:cs="Arial"/>
          <w:sz w:val="24"/>
          <w:szCs w:val="24"/>
        </w:rPr>
        <w:t xml:space="preserve"> de revisión en fecha </w:t>
      </w:r>
      <w:r w:rsidR="003A2F0F">
        <w:rPr>
          <w:rFonts w:ascii="Palatino Linotype" w:hAnsi="Palatino Linotype" w:cs="Arial"/>
          <w:b/>
          <w:bCs/>
          <w:sz w:val="24"/>
          <w:szCs w:val="24"/>
        </w:rPr>
        <w:t xml:space="preserve">veintidós de enero de dos mil veinticuatro, </w:t>
      </w:r>
      <w:r w:rsidR="003A2F0F">
        <w:rPr>
          <w:rFonts w:ascii="Palatino Linotype" w:hAnsi="Palatino Linotype" w:cs="Arial"/>
          <w:sz w:val="24"/>
          <w:szCs w:val="24"/>
        </w:rPr>
        <w:t xml:space="preserve">en los cuales arguye las siguientes manifestaciones: </w:t>
      </w:r>
    </w:p>
    <w:p w14:paraId="2CA250B4" w14:textId="77777777" w:rsidR="003A2F0F" w:rsidRDefault="003A2F0F" w:rsidP="003A2F0F">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69FEE254" w14:textId="77777777" w:rsidR="003A2F0F" w:rsidRPr="00684130" w:rsidRDefault="003A2F0F" w:rsidP="003A2F0F">
      <w:pPr>
        <w:pStyle w:val="Citas"/>
      </w:pPr>
      <w:r w:rsidRPr="00DE0E3F">
        <w:t>“La Respuesta del Sujeto Obligado”</w:t>
      </w:r>
      <w:r w:rsidRPr="00684130">
        <w:t xml:space="preserve"> </w:t>
      </w:r>
      <w:r>
        <w:rPr>
          <w:b/>
          <w:bCs/>
        </w:rPr>
        <w:t>(Sic)</w:t>
      </w:r>
    </w:p>
    <w:p w14:paraId="723DA1A8" w14:textId="77777777" w:rsidR="003A2F0F" w:rsidRDefault="003A2F0F" w:rsidP="003A2F0F">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57C4ACE3" w14:textId="416F8E83" w:rsidR="003A2F0F" w:rsidRDefault="003A2F0F" w:rsidP="003A2F0F">
      <w:pPr>
        <w:pStyle w:val="Citas"/>
        <w:rPr>
          <w:b/>
          <w:bCs/>
          <w:sz w:val="24"/>
          <w:szCs w:val="24"/>
        </w:rPr>
      </w:pPr>
      <w:r w:rsidRPr="00DE0E3F">
        <w:t xml:space="preserve">“Solicité los recibos de </w:t>
      </w:r>
      <w:proofErr w:type="spellStart"/>
      <w:r w:rsidRPr="00DE0E3F">
        <w:t>nomina</w:t>
      </w:r>
      <w:proofErr w:type="spellEnd"/>
      <w:r w:rsidRPr="00DE0E3F">
        <w:t xml:space="preserve">, no el listado que mandaron, tampoco informan puntualmente las prestaciones y demás percepciones ordinarias ni extraordinarias que percibe Murillo </w:t>
      </w:r>
      <w:proofErr w:type="spellStart"/>
      <w:r w:rsidRPr="00DE0E3F">
        <w:t>Berrum</w:t>
      </w:r>
      <w:proofErr w:type="spellEnd"/>
      <w:r w:rsidRPr="00DE0E3F">
        <w:t xml:space="preserve"> Rodrigo. El sujeto obligado no niega que haya generado la información solicitada, por lo tanto debe de entregarla”</w:t>
      </w:r>
      <w:r w:rsidRPr="00684130">
        <w:t xml:space="preserve"> </w:t>
      </w:r>
      <w:r>
        <w:rPr>
          <w:b/>
          <w:bCs/>
        </w:rPr>
        <w:t>(Sic)</w:t>
      </w:r>
    </w:p>
    <w:p w14:paraId="636B521F" w14:textId="77777777" w:rsidR="003A2F0F" w:rsidRDefault="003A2F0F" w:rsidP="00C61039">
      <w:pPr>
        <w:spacing w:after="0" w:line="360" w:lineRule="auto"/>
        <w:jc w:val="both"/>
        <w:rPr>
          <w:rFonts w:ascii="Palatino Linotype" w:hAnsi="Palatino Linotype" w:cs="Arial"/>
          <w:b/>
          <w:bCs/>
          <w:sz w:val="24"/>
          <w:szCs w:val="24"/>
        </w:rPr>
      </w:pPr>
    </w:p>
    <w:p w14:paraId="20715C5C" w14:textId="6105B6CD" w:rsidR="006620AC" w:rsidRDefault="006620AC" w:rsidP="006620AC">
      <w:pPr>
        <w:pStyle w:val="infoemcitas"/>
        <w:tabs>
          <w:tab w:val="left" w:pos="7655"/>
        </w:tabs>
        <w:ind w:left="0" w:right="0"/>
        <w:rPr>
          <w:rFonts w:cs="Arial"/>
          <w:i w:val="0"/>
          <w:noProof/>
          <w:color w:val="000000"/>
          <w:sz w:val="24"/>
          <w:lang w:eastAsia="es-MX"/>
        </w:rPr>
      </w:pPr>
      <w:r>
        <w:rPr>
          <w:i w:val="0"/>
          <w:sz w:val="24"/>
          <w:szCs w:val="24"/>
        </w:rPr>
        <w:t xml:space="preserve">Así las cosas, hasta aquí lo expuesto, resulta inconcuso que </w:t>
      </w:r>
      <w:r>
        <w:rPr>
          <w:bCs/>
          <w:i w:val="0"/>
          <w:sz w:val="24"/>
          <w:szCs w:val="24"/>
        </w:rPr>
        <w:t>los motivos de inconformidad aducidos por</w:t>
      </w:r>
      <w:r w:rsidRPr="00535EDD">
        <w:rPr>
          <w:rFonts w:cs="Arial"/>
          <w:i w:val="0"/>
          <w:noProof/>
          <w:color w:val="000000"/>
          <w:sz w:val="24"/>
          <w:lang w:eastAsia="es-MX"/>
        </w:rPr>
        <w:t xml:space="preserve"> </w:t>
      </w:r>
      <w:r w:rsidR="003E026B">
        <w:rPr>
          <w:rFonts w:cs="Arial"/>
          <w:b/>
          <w:i w:val="0"/>
          <w:noProof/>
          <w:color w:val="000000"/>
          <w:sz w:val="24"/>
          <w:lang w:eastAsia="es-MX"/>
        </w:rPr>
        <w:t>La</w:t>
      </w:r>
      <w:r w:rsidRPr="00535EDD">
        <w:rPr>
          <w:rFonts w:cs="Arial"/>
          <w:b/>
          <w:i w:val="0"/>
          <w:noProof/>
          <w:color w:val="000000"/>
          <w:sz w:val="24"/>
          <w:lang w:eastAsia="es-MX"/>
        </w:rPr>
        <w:t xml:space="preserve"> Recurrente, </w:t>
      </w:r>
      <w:r>
        <w:rPr>
          <w:rFonts w:cs="Arial"/>
          <w:i w:val="0"/>
          <w:noProof/>
          <w:color w:val="000000"/>
          <w:sz w:val="24"/>
          <w:lang w:eastAsia="es-MX"/>
        </w:rPr>
        <w:t>actualizan</w:t>
      </w:r>
      <w:r w:rsidRPr="00535EDD">
        <w:rPr>
          <w:rFonts w:cs="Arial"/>
          <w:i w:val="0"/>
          <w:noProof/>
          <w:color w:val="000000"/>
          <w:sz w:val="24"/>
          <w:lang w:eastAsia="es-MX"/>
        </w:rPr>
        <w:t xml:space="preserve"> las hipotesis normativas previstas en el artículo 179, </w:t>
      </w:r>
      <w:r w:rsidR="003A2F0F">
        <w:rPr>
          <w:rFonts w:cs="Arial"/>
          <w:i w:val="0"/>
          <w:noProof/>
          <w:color w:val="000000"/>
          <w:sz w:val="24"/>
          <w:lang w:eastAsia="es-MX"/>
        </w:rPr>
        <w:t>fracciones I y VI</w:t>
      </w:r>
      <w:r>
        <w:rPr>
          <w:rFonts w:cs="Arial"/>
          <w:i w:val="0"/>
          <w:noProof/>
          <w:color w:val="000000"/>
          <w:sz w:val="24"/>
          <w:lang w:eastAsia="es-MX"/>
        </w:rPr>
        <w:t xml:space="preserve"> de la Ley de Transparencia y Acceso a la Información Pública del Estado de Mexico y Municipios, cuyo contenido literal es el siguiente: </w:t>
      </w:r>
    </w:p>
    <w:p w14:paraId="37F1072B" w14:textId="77777777" w:rsidR="006620AC" w:rsidRDefault="006620AC" w:rsidP="006620AC">
      <w:pPr>
        <w:pStyle w:val="Citas"/>
      </w:pPr>
      <w:r>
        <w:lastRenderedPageBreak/>
        <w:t xml:space="preserve"> “Artículo 179. El recurso de revisión es un medio de protección que la Ley otorga a los particulares, para hacer valer su derecho de acceso a la información pública, y procederá en contra de las siguientes causas:</w:t>
      </w:r>
    </w:p>
    <w:p w14:paraId="34ACDCFB" w14:textId="77777777" w:rsidR="006620AC" w:rsidRDefault="006620AC" w:rsidP="006620AC">
      <w:pPr>
        <w:pStyle w:val="Citas"/>
      </w:pPr>
      <w:r>
        <w:t>I. La negativa a la información solicitada;</w:t>
      </w:r>
    </w:p>
    <w:p w14:paraId="241D4479" w14:textId="6FCD6A4B" w:rsidR="003A2F0F" w:rsidRDefault="003A2F0F" w:rsidP="006620AC">
      <w:pPr>
        <w:pStyle w:val="Citas"/>
      </w:pPr>
      <w:r>
        <w:t>(…)</w:t>
      </w:r>
    </w:p>
    <w:p w14:paraId="10FA76BC" w14:textId="197402E4" w:rsidR="003A2F0F" w:rsidRDefault="003A2F0F" w:rsidP="006620AC">
      <w:pPr>
        <w:pStyle w:val="Citas"/>
      </w:pPr>
      <w:r>
        <w:t>VI. La entrega de información que no corresponda con lo solicitado;</w:t>
      </w:r>
    </w:p>
    <w:p w14:paraId="0ACDD628" w14:textId="60333658" w:rsidR="007550F3" w:rsidRPr="007550F3" w:rsidRDefault="007550F3" w:rsidP="006620AC">
      <w:pPr>
        <w:pStyle w:val="Citas"/>
        <w:rPr>
          <w:b/>
          <w:bCs/>
          <w:noProof/>
          <w:color w:val="000000"/>
          <w:sz w:val="24"/>
          <w:lang w:eastAsia="es-MX"/>
        </w:rPr>
      </w:pPr>
      <w:r>
        <w:t xml:space="preserve">(…)” </w:t>
      </w:r>
      <w:r>
        <w:rPr>
          <w:b/>
          <w:bCs/>
        </w:rPr>
        <w:t>(Sic)</w:t>
      </w:r>
    </w:p>
    <w:p w14:paraId="74F65DEB" w14:textId="77777777" w:rsidR="001D0192" w:rsidRPr="006620AC" w:rsidRDefault="001D0192" w:rsidP="006620AC">
      <w:pPr>
        <w:pStyle w:val="Citas"/>
        <w:ind w:left="0"/>
        <w:rPr>
          <w:i w:val="0"/>
          <w:iCs/>
          <w:sz w:val="24"/>
          <w:szCs w:val="24"/>
        </w:rPr>
      </w:pPr>
    </w:p>
    <w:p w14:paraId="276067DB" w14:textId="4AAC5DDB" w:rsidR="003A2F0F" w:rsidRDefault="007835B9" w:rsidP="00271EED">
      <w:pPr>
        <w:pStyle w:val="Default"/>
        <w:spacing w:before="240" w:after="160" w:line="360" w:lineRule="auto"/>
        <w:jc w:val="both"/>
        <w:rPr>
          <w:rFonts w:ascii="Palatino Linotype" w:hAnsi="Palatino Linotype"/>
          <w:iCs/>
        </w:rPr>
      </w:pPr>
      <w:r w:rsidRPr="00614EB8">
        <w:rPr>
          <w:rFonts w:ascii="Palatino Linotype" w:hAnsi="Palatino Linotype"/>
          <w:iCs/>
        </w:rPr>
        <w:t xml:space="preserve">Por otra parte, como fue mencionado en el antecedente </w:t>
      </w:r>
      <w:r>
        <w:rPr>
          <w:rFonts w:ascii="Palatino Linotype" w:hAnsi="Palatino Linotype"/>
          <w:iCs/>
        </w:rPr>
        <w:t>quinto</w:t>
      </w:r>
      <w:r w:rsidRPr="00614EB8">
        <w:rPr>
          <w:rFonts w:ascii="Palatino Linotype" w:hAnsi="Palatino Linotype"/>
          <w:iCs/>
        </w:rPr>
        <w:t xml:space="preserve">, </w:t>
      </w:r>
      <w:r w:rsidRPr="00614EB8">
        <w:rPr>
          <w:rFonts w:ascii="Palatino Linotype" w:hAnsi="Palatino Linotype"/>
          <w:b/>
          <w:bCs/>
          <w:iCs/>
        </w:rPr>
        <w:t>El Sujeto Obligado</w:t>
      </w:r>
      <w:r w:rsidR="00E75CF5">
        <w:rPr>
          <w:rFonts w:ascii="Palatino Linotype" w:hAnsi="Palatino Linotype"/>
          <w:b/>
          <w:bCs/>
          <w:iCs/>
        </w:rPr>
        <w:t xml:space="preserve"> </w:t>
      </w:r>
      <w:r w:rsidR="00E75CF5">
        <w:rPr>
          <w:rFonts w:ascii="Palatino Linotype" w:hAnsi="Palatino Linotype"/>
          <w:iCs/>
        </w:rPr>
        <w:t>rindió su</w:t>
      </w:r>
      <w:r w:rsidR="003A2F0F">
        <w:rPr>
          <w:rFonts w:ascii="Palatino Linotype" w:hAnsi="Palatino Linotype"/>
          <w:iCs/>
        </w:rPr>
        <w:t>s</w:t>
      </w:r>
      <w:r w:rsidR="00E75CF5">
        <w:rPr>
          <w:rFonts w:ascii="Palatino Linotype" w:hAnsi="Palatino Linotype"/>
          <w:iCs/>
        </w:rPr>
        <w:t xml:space="preserve"> informe</w:t>
      </w:r>
      <w:r w:rsidR="003A2F0F">
        <w:rPr>
          <w:rFonts w:ascii="Palatino Linotype" w:hAnsi="Palatino Linotype"/>
          <w:iCs/>
        </w:rPr>
        <w:t>s</w:t>
      </w:r>
      <w:r w:rsidR="00E75CF5">
        <w:rPr>
          <w:rFonts w:ascii="Palatino Linotype" w:hAnsi="Palatino Linotype"/>
          <w:iCs/>
        </w:rPr>
        <w:t xml:space="preserve"> justificado</w:t>
      </w:r>
      <w:r w:rsidR="003A2F0F">
        <w:rPr>
          <w:rFonts w:ascii="Palatino Linotype" w:hAnsi="Palatino Linotype"/>
          <w:iCs/>
        </w:rPr>
        <w:t>s</w:t>
      </w:r>
      <w:r w:rsidR="00C94D5F">
        <w:rPr>
          <w:rFonts w:ascii="Palatino Linotype" w:hAnsi="Palatino Linotype"/>
          <w:iCs/>
        </w:rPr>
        <w:t xml:space="preserve"> en fecha</w:t>
      </w:r>
      <w:r w:rsidR="00C61039">
        <w:rPr>
          <w:rFonts w:ascii="Palatino Linotype" w:hAnsi="Palatino Linotype"/>
          <w:iCs/>
        </w:rPr>
        <w:t xml:space="preserve"> </w:t>
      </w:r>
      <w:r w:rsidR="003A2F0F">
        <w:rPr>
          <w:rFonts w:ascii="Palatino Linotype" w:hAnsi="Palatino Linotype"/>
          <w:b/>
          <w:bCs/>
          <w:iCs/>
        </w:rPr>
        <w:t xml:space="preserve">seis de febrero de dos mil veinticuatro, </w:t>
      </w:r>
      <w:r w:rsidR="003A2F0F">
        <w:rPr>
          <w:rFonts w:ascii="Palatino Linotype" w:hAnsi="Palatino Linotype"/>
          <w:iCs/>
        </w:rPr>
        <w:t xml:space="preserve">mismos que se pusieron a la vista el </w:t>
      </w:r>
      <w:r w:rsidR="003A2F0F">
        <w:rPr>
          <w:rFonts w:ascii="Palatino Linotype" w:hAnsi="Palatino Linotype"/>
          <w:b/>
          <w:bCs/>
          <w:iCs/>
        </w:rPr>
        <w:t xml:space="preserve">siete de febrero del presente, </w:t>
      </w:r>
      <w:r w:rsidR="003A2F0F">
        <w:rPr>
          <w:rFonts w:ascii="Palatino Linotype" w:hAnsi="Palatino Linotype"/>
          <w:iCs/>
        </w:rPr>
        <w:t>cuyo contenido se describe a continuación:</w:t>
      </w:r>
    </w:p>
    <w:p w14:paraId="076C5AB9" w14:textId="226A37E0" w:rsidR="003A2F0F" w:rsidRDefault="003A2F0F" w:rsidP="00271EED">
      <w:pPr>
        <w:pStyle w:val="Default"/>
        <w:spacing w:before="240" w:after="160" w:line="360" w:lineRule="auto"/>
        <w:jc w:val="both"/>
        <w:rPr>
          <w:rFonts w:ascii="Palatino Linotype" w:hAnsi="Palatino Linotype"/>
          <w:b/>
          <w:bCs/>
          <w:iCs/>
        </w:rPr>
      </w:pPr>
      <w:r>
        <w:rPr>
          <w:rFonts w:ascii="Palatino Linotype" w:hAnsi="Palatino Linotype"/>
          <w:b/>
          <w:bCs/>
          <w:iCs/>
        </w:rPr>
        <w:t>00200/INFOEM/IP/RR/2024</w:t>
      </w:r>
    </w:p>
    <w:p w14:paraId="54676519" w14:textId="4444DC50" w:rsidR="003A2F0F" w:rsidRPr="00650B5A" w:rsidRDefault="003A2F0F" w:rsidP="00A04796">
      <w:pPr>
        <w:pStyle w:val="Default"/>
        <w:numPr>
          <w:ilvl w:val="0"/>
          <w:numId w:val="10"/>
        </w:numPr>
        <w:spacing w:before="240" w:after="160" w:line="360" w:lineRule="auto"/>
        <w:jc w:val="both"/>
        <w:rPr>
          <w:rFonts w:ascii="Palatino Linotype" w:hAnsi="Palatino Linotype"/>
          <w:b/>
          <w:bCs/>
          <w:iCs/>
        </w:rPr>
      </w:pPr>
      <w:r>
        <w:rPr>
          <w:rFonts w:ascii="Palatino Linotype" w:hAnsi="Palatino Linotype"/>
          <w:b/>
          <w:bCs/>
          <w:iCs/>
        </w:rPr>
        <w:t xml:space="preserve">“RR 200-2024 DGP.pdf”: </w:t>
      </w:r>
      <w:r>
        <w:rPr>
          <w:rFonts w:ascii="Palatino Linotype" w:hAnsi="Palatino Linotype"/>
          <w:iCs/>
        </w:rPr>
        <w:t xml:space="preserve">Oficio número </w:t>
      </w:r>
      <w:r>
        <w:rPr>
          <w:rFonts w:ascii="Palatino Linotype" w:hAnsi="Palatino Linotype"/>
          <w:b/>
          <w:bCs/>
          <w:iCs/>
        </w:rPr>
        <w:t xml:space="preserve">23401001000100S-035/2024 </w:t>
      </w:r>
      <w:r>
        <w:rPr>
          <w:rFonts w:ascii="Palatino Linotype" w:hAnsi="Palatino Linotype"/>
          <w:iCs/>
        </w:rPr>
        <w:t xml:space="preserve">signado por el jefe de la unidad y servidor público habilitado de la dirección general de personal y dirigido al jefe de la UIPPE y titular de la unidad de transparencia, de fecha veintinueve de enero de dos mil veinticuatro, </w:t>
      </w:r>
      <w:r w:rsidR="00650B5A">
        <w:rPr>
          <w:rFonts w:ascii="Palatino Linotype" w:hAnsi="Palatino Linotype"/>
          <w:iCs/>
        </w:rPr>
        <w:t>resulta de nuestro interés el siguiente extracto:</w:t>
      </w:r>
    </w:p>
    <w:p w14:paraId="34C6E880" w14:textId="33B25650" w:rsidR="00650B5A" w:rsidRPr="00650B5A" w:rsidRDefault="00650B5A" w:rsidP="00650B5A">
      <w:pPr>
        <w:pStyle w:val="Default"/>
        <w:spacing w:before="240" w:after="160" w:line="360" w:lineRule="auto"/>
        <w:ind w:left="720"/>
        <w:jc w:val="both"/>
        <w:rPr>
          <w:rFonts w:ascii="Palatino Linotype" w:hAnsi="Palatino Linotype"/>
          <w:b/>
          <w:bCs/>
          <w:i/>
        </w:rPr>
      </w:pPr>
      <w:r>
        <w:rPr>
          <w:rFonts w:ascii="Palatino Linotype" w:hAnsi="Palatino Linotype"/>
          <w:i/>
        </w:rPr>
        <w:t>“(…) se ratifica la respuesta proporcionada (…) lo anterior en razón de que los recibos de nómina (</w:t>
      </w:r>
      <w:r w:rsidRPr="00650B5A">
        <w:rPr>
          <w:rFonts w:ascii="Palatino Linotype" w:hAnsi="Palatino Linotype"/>
          <w:b/>
          <w:bCs/>
          <w:i/>
          <w:u w:val="single"/>
        </w:rPr>
        <w:t xml:space="preserve">comprobantes de percepciones y deducciones) los obtiene de manera </w:t>
      </w:r>
      <w:r w:rsidRPr="00650B5A">
        <w:rPr>
          <w:rFonts w:ascii="Palatino Linotype" w:hAnsi="Palatino Linotype"/>
          <w:b/>
          <w:bCs/>
          <w:i/>
          <w:u w:val="single"/>
        </w:rPr>
        <w:lastRenderedPageBreak/>
        <w:t>personal el servidor público, a través de una contraseña,</w:t>
      </w:r>
      <w:r>
        <w:rPr>
          <w:rFonts w:ascii="Palatino Linotype" w:hAnsi="Palatino Linotype"/>
          <w:i/>
        </w:rPr>
        <w:t xml:space="preserve"> sin embargo y bajo el principio de máxima publicidad, se hizo entrega de los documentos que contienen la información requerida por la persona recurrente denominados “Percepciones y deducciones anualizadas por servidor (a) público (a), de los años 2018, 2019, 2020, 2021, 2022 y 2023 del C. Rodrigo Murillo </w:t>
      </w:r>
      <w:proofErr w:type="spellStart"/>
      <w:r>
        <w:rPr>
          <w:rFonts w:ascii="Palatino Linotype" w:hAnsi="Palatino Linotype"/>
          <w:i/>
        </w:rPr>
        <w:t>Berrum</w:t>
      </w:r>
      <w:proofErr w:type="spellEnd"/>
      <w:r>
        <w:rPr>
          <w:rFonts w:ascii="Palatino Linotype" w:hAnsi="Palatino Linotype"/>
          <w:i/>
        </w:rPr>
        <w:t xml:space="preserve">” </w:t>
      </w:r>
      <w:r>
        <w:rPr>
          <w:rFonts w:ascii="Palatino Linotype" w:hAnsi="Palatino Linotype"/>
          <w:b/>
          <w:bCs/>
          <w:i/>
        </w:rPr>
        <w:t>(Sic)</w:t>
      </w:r>
    </w:p>
    <w:p w14:paraId="5EFCCE1B" w14:textId="3383DC29" w:rsidR="003A2F0F" w:rsidRDefault="003A2F0F" w:rsidP="00A04796">
      <w:pPr>
        <w:pStyle w:val="Default"/>
        <w:numPr>
          <w:ilvl w:val="0"/>
          <w:numId w:val="10"/>
        </w:numPr>
        <w:spacing w:before="240" w:after="160" w:line="360" w:lineRule="auto"/>
        <w:jc w:val="both"/>
        <w:rPr>
          <w:rFonts w:ascii="Palatino Linotype" w:hAnsi="Palatino Linotype"/>
          <w:b/>
          <w:bCs/>
          <w:iCs/>
        </w:rPr>
      </w:pPr>
      <w:r>
        <w:rPr>
          <w:rFonts w:ascii="Palatino Linotype" w:hAnsi="Palatino Linotype"/>
          <w:b/>
          <w:bCs/>
          <w:iCs/>
        </w:rPr>
        <w:t xml:space="preserve">“RR 200-2024 Informe Justificado.pdf”: </w:t>
      </w:r>
      <w:r w:rsidR="00650B5A">
        <w:rPr>
          <w:rFonts w:ascii="Palatino Linotype" w:hAnsi="Palatino Linotype"/>
          <w:iCs/>
        </w:rPr>
        <w:t xml:space="preserve">Informe justificado signado por el jefe de la UIPPE y titular de la unidad de transparencia de la secretaría de finanzas y dirigido al Comisionado Ponente, de fecha seis de febrero de dos mil veinticuatro, en síntesis, refiere que se hizo de la entrega de la información que obra en sus archivos. </w:t>
      </w:r>
    </w:p>
    <w:p w14:paraId="15CD5AF1" w14:textId="77777777" w:rsidR="003A2F0F" w:rsidRDefault="003A2F0F" w:rsidP="00271EED">
      <w:pPr>
        <w:pStyle w:val="Default"/>
        <w:spacing w:before="240" w:after="160" w:line="360" w:lineRule="auto"/>
        <w:jc w:val="both"/>
        <w:rPr>
          <w:rFonts w:ascii="Palatino Linotype" w:hAnsi="Palatino Linotype"/>
          <w:b/>
          <w:bCs/>
          <w:iCs/>
        </w:rPr>
      </w:pPr>
    </w:p>
    <w:p w14:paraId="5B19A4D4" w14:textId="791E2DBB" w:rsidR="003A2F0F" w:rsidRPr="003A2F0F" w:rsidRDefault="003A2F0F" w:rsidP="00271EED">
      <w:pPr>
        <w:pStyle w:val="Default"/>
        <w:spacing w:before="240" w:after="160" w:line="360" w:lineRule="auto"/>
        <w:jc w:val="both"/>
        <w:rPr>
          <w:rFonts w:ascii="Palatino Linotype" w:hAnsi="Palatino Linotype"/>
          <w:b/>
          <w:bCs/>
          <w:iCs/>
        </w:rPr>
      </w:pPr>
      <w:r>
        <w:rPr>
          <w:rFonts w:ascii="Palatino Linotype" w:hAnsi="Palatino Linotype"/>
          <w:b/>
          <w:bCs/>
          <w:iCs/>
        </w:rPr>
        <w:t>00201/INFOEM/IP/RR/2024</w:t>
      </w:r>
    </w:p>
    <w:p w14:paraId="30024D8D" w14:textId="718376AA" w:rsidR="003A2F0F" w:rsidRDefault="00650B5A" w:rsidP="00A04796">
      <w:pPr>
        <w:pStyle w:val="Default"/>
        <w:numPr>
          <w:ilvl w:val="0"/>
          <w:numId w:val="11"/>
        </w:numPr>
        <w:spacing w:before="240" w:after="160" w:line="360" w:lineRule="auto"/>
        <w:jc w:val="both"/>
        <w:rPr>
          <w:rFonts w:ascii="Palatino Linotype" w:hAnsi="Palatino Linotype"/>
          <w:b/>
          <w:bCs/>
          <w:iCs/>
        </w:rPr>
      </w:pPr>
      <w:r w:rsidRPr="00650B5A">
        <w:rPr>
          <w:rFonts w:ascii="Palatino Linotype" w:hAnsi="Palatino Linotype"/>
          <w:b/>
          <w:bCs/>
          <w:iCs/>
        </w:rPr>
        <w:t>“RR</w:t>
      </w:r>
      <w:r>
        <w:rPr>
          <w:rFonts w:ascii="Palatino Linotype" w:hAnsi="Palatino Linotype"/>
          <w:b/>
          <w:bCs/>
          <w:iCs/>
        </w:rPr>
        <w:t xml:space="preserve"> 00201-2024 DGP.pdf”: </w:t>
      </w:r>
      <w:r>
        <w:rPr>
          <w:rFonts w:ascii="Palatino Linotype" w:hAnsi="Palatino Linotype"/>
          <w:iCs/>
        </w:rPr>
        <w:t xml:space="preserve">Oficio número </w:t>
      </w:r>
      <w:r>
        <w:rPr>
          <w:rFonts w:ascii="Palatino Linotype" w:hAnsi="Palatino Linotype"/>
          <w:b/>
          <w:bCs/>
          <w:iCs/>
        </w:rPr>
        <w:t xml:space="preserve">23401001000100S-036/2024 </w:t>
      </w:r>
      <w:r>
        <w:rPr>
          <w:rFonts w:ascii="Palatino Linotype" w:hAnsi="Palatino Linotype"/>
          <w:iCs/>
        </w:rPr>
        <w:t>signado por el jefe de la unidad y servidor público habilitado de la dirección general de personal y dirigido al Jefe de la UIPPE y responsable de la unidad de transparencia, de fecha veintinueve de enero de dos mil veinticuatro, en lo medular refiere que los recibos de nómina requeridos son obtenidos por cada servidor público mediante contraseña, sin embargo, en atención al principio de máxima publicidad hizo entrega del documento “Percepciones y deducciones autorizadas por servidor (a) público (a)”</w:t>
      </w:r>
    </w:p>
    <w:p w14:paraId="1ABFB2C3" w14:textId="45DDC767" w:rsidR="00650B5A" w:rsidRPr="00650B5A" w:rsidRDefault="00650B5A" w:rsidP="00A04796">
      <w:pPr>
        <w:pStyle w:val="Default"/>
        <w:numPr>
          <w:ilvl w:val="0"/>
          <w:numId w:val="11"/>
        </w:numPr>
        <w:spacing w:before="240" w:after="160" w:line="360" w:lineRule="auto"/>
        <w:jc w:val="both"/>
        <w:rPr>
          <w:rFonts w:ascii="Palatino Linotype" w:hAnsi="Palatino Linotype"/>
          <w:b/>
          <w:bCs/>
          <w:iCs/>
        </w:rPr>
      </w:pPr>
      <w:r w:rsidRPr="00650B5A">
        <w:rPr>
          <w:rFonts w:ascii="Palatino Linotype" w:hAnsi="Palatino Linotype"/>
          <w:b/>
          <w:bCs/>
          <w:iCs/>
        </w:rPr>
        <w:lastRenderedPageBreak/>
        <w:t xml:space="preserve">“RR 00201-2024 Informe Justificado.pdf”: </w:t>
      </w:r>
      <w:r w:rsidRPr="00650B5A">
        <w:rPr>
          <w:rFonts w:ascii="Palatino Linotype" w:hAnsi="Palatino Linotype"/>
          <w:iCs/>
        </w:rPr>
        <w:t>Informe justificado signado por el jefe de la UIPPE y titular de la unidad de transparencia de la secretaría de finanzas y dirigido al Comisionado Ponente, de fecha seis de febrero de dos mil veinticuatro, en síntesis, refiere que se hizo de la entrega de la información que obra en sus archivos.</w:t>
      </w:r>
    </w:p>
    <w:p w14:paraId="5C3A4790" w14:textId="77777777" w:rsidR="00B4239A" w:rsidRDefault="00B4239A" w:rsidP="0033299C">
      <w:pPr>
        <w:pStyle w:val="Default"/>
        <w:spacing w:before="240" w:after="160" w:line="360" w:lineRule="auto"/>
        <w:jc w:val="both"/>
        <w:rPr>
          <w:rFonts w:ascii="Palatino Linotype" w:hAnsi="Palatino Linotype"/>
          <w:iCs/>
        </w:rPr>
      </w:pPr>
    </w:p>
    <w:p w14:paraId="78FC8EF0" w14:textId="1C28E463" w:rsidR="00116A83" w:rsidRDefault="0033299C" w:rsidP="0033299C">
      <w:pPr>
        <w:pStyle w:val="Default"/>
        <w:spacing w:before="240" w:after="160" w:line="360" w:lineRule="auto"/>
        <w:jc w:val="both"/>
        <w:rPr>
          <w:rFonts w:ascii="Palatino Linotype" w:hAnsi="Palatino Linotype"/>
          <w:iCs/>
        </w:rPr>
      </w:pPr>
      <w:r>
        <w:rPr>
          <w:rFonts w:ascii="Palatino Linotype" w:hAnsi="Palatino Linotype"/>
          <w:iCs/>
        </w:rPr>
        <w:t xml:space="preserve">De ahí que se </w:t>
      </w:r>
      <w:r w:rsidR="00650B5A">
        <w:rPr>
          <w:rFonts w:ascii="Palatino Linotype" w:hAnsi="Palatino Linotype"/>
          <w:iCs/>
        </w:rPr>
        <w:t xml:space="preserve">arribe a la siguiente consideración de </w:t>
      </w:r>
      <w:r w:rsidR="00116A83">
        <w:rPr>
          <w:rFonts w:ascii="Palatino Linotype" w:hAnsi="Palatino Linotype"/>
          <w:iCs/>
        </w:rPr>
        <w:t>que,</w:t>
      </w:r>
      <w:r w:rsidR="00650B5A">
        <w:rPr>
          <w:rFonts w:ascii="Palatino Linotype" w:hAnsi="Palatino Linotype"/>
          <w:iCs/>
        </w:rPr>
        <w:t xml:space="preserve"> mediante informe justificado, </w:t>
      </w:r>
      <w:r w:rsidR="00650B5A">
        <w:rPr>
          <w:rFonts w:ascii="Palatino Linotype" w:hAnsi="Palatino Linotype"/>
          <w:b/>
          <w:bCs/>
          <w:iCs/>
        </w:rPr>
        <w:t xml:space="preserve">El Sujeto Obligado </w:t>
      </w:r>
      <w:r w:rsidR="00650B5A">
        <w:rPr>
          <w:rFonts w:ascii="Palatino Linotype" w:hAnsi="Palatino Linotype"/>
          <w:iCs/>
        </w:rPr>
        <w:t xml:space="preserve">clarificó </w:t>
      </w:r>
      <w:r w:rsidR="00116A83">
        <w:rPr>
          <w:rFonts w:ascii="Palatino Linotype" w:hAnsi="Palatino Linotype"/>
          <w:iCs/>
        </w:rPr>
        <w:t xml:space="preserve">novedosamente </w:t>
      </w:r>
      <w:r w:rsidR="00650B5A">
        <w:rPr>
          <w:rFonts w:ascii="Palatino Linotype" w:hAnsi="Palatino Linotype"/>
          <w:iCs/>
        </w:rPr>
        <w:t>que los recibos de nómina requeridos son generados por cada servidor público mediante el uso de una contraseña</w:t>
      </w:r>
      <w:r w:rsidR="00116A83">
        <w:rPr>
          <w:rFonts w:ascii="Palatino Linotype" w:hAnsi="Palatino Linotype"/>
          <w:iCs/>
        </w:rPr>
        <w:t xml:space="preserve">. </w:t>
      </w:r>
    </w:p>
    <w:p w14:paraId="5690CD2E" w14:textId="77777777" w:rsidR="00116A83" w:rsidRPr="00405E83" w:rsidRDefault="00116A83" w:rsidP="00116A83">
      <w:pPr>
        <w:tabs>
          <w:tab w:val="left" w:pos="709"/>
        </w:tabs>
        <w:spacing w:before="240" w:line="360" w:lineRule="auto"/>
        <w:ind w:right="51"/>
        <w:jc w:val="both"/>
        <w:rPr>
          <w:rFonts w:ascii="Arial" w:hAnsi="Arial" w:cs="Arial"/>
          <w:color w:val="222222"/>
          <w:sz w:val="24"/>
          <w:szCs w:val="24"/>
          <w:lang w:eastAsia="es-MX"/>
        </w:rPr>
      </w:pPr>
      <w:r w:rsidRPr="00405E83">
        <w:rPr>
          <w:rFonts w:ascii="Palatino Linotype" w:hAnsi="Palatino Linotype"/>
          <w:iCs/>
          <w:sz w:val="24"/>
          <w:szCs w:val="24"/>
        </w:rPr>
        <w:t xml:space="preserve">Bajo este contexto, con relación al requerimiento identificado con el numeral </w:t>
      </w:r>
      <w:r w:rsidRPr="00405E83">
        <w:rPr>
          <w:rFonts w:ascii="Palatino Linotype" w:hAnsi="Palatino Linotype"/>
          <w:b/>
          <w:bCs/>
          <w:iCs/>
          <w:sz w:val="24"/>
          <w:szCs w:val="24"/>
        </w:rPr>
        <w:t xml:space="preserve">1 -uno-, </w:t>
      </w:r>
      <w:r w:rsidRPr="00405E83">
        <w:rPr>
          <w:rFonts w:ascii="Palatino Linotype" w:hAnsi="Palatino Linotype"/>
          <w:sz w:val="24"/>
          <w:szCs w:val="24"/>
        </w:rPr>
        <w:t xml:space="preserve">resulta necesario señalar que mediante respuesta </w:t>
      </w:r>
      <w:r w:rsidRPr="00405E83">
        <w:rPr>
          <w:rFonts w:ascii="Palatino Linotype" w:hAnsi="Palatino Linotype"/>
          <w:b/>
          <w:sz w:val="24"/>
          <w:szCs w:val="24"/>
        </w:rPr>
        <w:t xml:space="preserve">El Sujeto Obligado </w:t>
      </w:r>
      <w:r w:rsidRPr="00405E83">
        <w:rPr>
          <w:rFonts w:ascii="Palatino Linotype" w:hAnsi="Palatino Linotype"/>
          <w:sz w:val="24"/>
          <w:szCs w:val="24"/>
        </w:rPr>
        <w:t xml:space="preserve">hizo del conocimiento de </w:t>
      </w:r>
      <w:r w:rsidRPr="00405E83">
        <w:rPr>
          <w:rFonts w:ascii="Palatino Linotype" w:hAnsi="Palatino Linotype"/>
          <w:b/>
          <w:bCs/>
          <w:sz w:val="24"/>
          <w:szCs w:val="24"/>
        </w:rPr>
        <w:t>La</w:t>
      </w:r>
      <w:r w:rsidRPr="00405E83">
        <w:rPr>
          <w:rFonts w:ascii="Palatino Linotype" w:hAnsi="Palatino Linotype"/>
          <w:b/>
          <w:sz w:val="24"/>
          <w:szCs w:val="24"/>
        </w:rPr>
        <w:t xml:space="preserve"> Recurrente </w:t>
      </w:r>
      <w:r w:rsidRPr="00405E83">
        <w:rPr>
          <w:rFonts w:ascii="Palatino Linotype" w:hAnsi="Palatino Linotype"/>
          <w:sz w:val="24"/>
          <w:szCs w:val="24"/>
        </w:rPr>
        <w:t xml:space="preserve">que no cuenta con la información que resulta de su interés; destacando </w:t>
      </w:r>
      <w:r w:rsidRPr="00405E83">
        <w:rPr>
          <w:rFonts w:ascii="Palatino Linotype" w:hAnsi="Palatino Linotype" w:cs="Arial"/>
          <w:sz w:val="24"/>
          <w:szCs w:val="24"/>
        </w:rPr>
        <w:t>entonces que el Pleno de este Organismo Garante, ha sostenido que ante la presencia de un hecho negativo, resultaría innecesaria una declaratoria de inexistencia en términos de 19, 169 y 170 de la Ley de Transparencia y Acceso a la Información Pública del Estado de México y Municipios, y ante un hecho negativo resulta aplicable la siguiente tesis</w:t>
      </w:r>
      <w:r w:rsidRPr="00405E83">
        <w:rPr>
          <w:rFonts w:ascii="Palatino Linotype" w:hAnsi="Palatino Linotype" w:cs="Arial"/>
          <w:color w:val="222222"/>
          <w:sz w:val="24"/>
          <w:szCs w:val="24"/>
        </w:rPr>
        <w:t>:</w:t>
      </w:r>
    </w:p>
    <w:p w14:paraId="0C1C3801" w14:textId="77777777" w:rsidR="00116A83" w:rsidRPr="00395EDB" w:rsidRDefault="00116A83" w:rsidP="00116A83">
      <w:pPr>
        <w:shd w:val="clear" w:color="auto" w:fill="FFFFFF"/>
        <w:spacing w:before="240" w:line="360" w:lineRule="auto"/>
        <w:ind w:left="851" w:right="851"/>
        <w:jc w:val="both"/>
        <w:rPr>
          <w:rFonts w:ascii="Arial" w:hAnsi="Arial" w:cs="Arial"/>
          <w:color w:val="222222"/>
          <w:sz w:val="19"/>
          <w:szCs w:val="19"/>
        </w:rPr>
      </w:pPr>
      <w:r w:rsidRPr="00395EDB">
        <w:rPr>
          <w:rFonts w:ascii="Palatino Linotype" w:hAnsi="Palatino Linotype" w:cs="Arial"/>
          <w:color w:val="222222"/>
          <w:sz w:val="19"/>
          <w:szCs w:val="19"/>
        </w:rPr>
        <w:t> </w:t>
      </w:r>
      <w:r w:rsidRPr="00395EDB">
        <w:rPr>
          <w:rFonts w:ascii="Palatino Linotype" w:hAnsi="Palatino Linotype" w:cs="Arial"/>
          <w:b/>
          <w:bCs/>
          <w:i/>
          <w:iCs/>
          <w:color w:val="222222"/>
        </w:rPr>
        <w:t>“</w:t>
      </w:r>
      <w:r w:rsidRPr="00CA17EC">
        <w:rPr>
          <w:rFonts w:ascii="Palatino Linotype" w:hAnsi="Palatino Linotype" w:cs="Arial"/>
          <w:b/>
          <w:bCs/>
          <w:i/>
          <w:iCs/>
          <w:color w:val="222222"/>
        </w:rPr>
        <w:t>HECHOS NEGATIVOS, NO</w:t>
      </w:r>
      <w:r w:rsidRPr="00395EDB">
        <w:rPr>
          <w:rFonts w:ascii="Palatino Linotype" w:hAnsi="Palatino Linotype" w:cs="Arial"/>
          <w:b/>
          <w:bCs/>
          <w:i/>
          <w:iCs/>
          <w:color w:val="222222"/>
        </w:rPr>
        <w:t xml:space="preserve"> SON SUSCEPTIBLES DE DEMOSTRACION.</w:t>
      </w:r>
    </w:p>
    <w:p w14:paraId="319D2D1F" w14:textId="77777777" w:rsidR="00116A83" w:rsidRPr="00D71F22" w:rsidRDefault="00116A83" w:rsidP="00116A83">
      <w:pPr>
        <w:spacing w:before="240" w:line="360" w:lineRule="auto"/>
        <w:ind w:left="851" w:right="851"/>
        <w:jc w:val="both"/>
        <w:rPr>
          <w:rFonts w:ascii="Arial" w:hAnsi="Arial" w:cs="Arial"/>
          <w:b/>
          <w:color w:val="222222"/>
          <w:sz w:val="19"/>
          <w:szCs w:val="19"/>
        </w:rPr>
      </w:pPr>
      <w:r w:rsidRPr="00395EDB">
        <w:rPr>
          <w:rFonts w:ascii="Palatino Linotype" w:hAnsi="Palatino Linotype" w:cs="Arial"/>
          <w:i/>
          <w:iCs/>
          <w:color w:val="222222"/>
        </w:rPr>
        <w:t xml:space="preserve">Tratándose </w:t>
      </w:r>
      <w:r w:rsidRPr="00CA17EC">
        <w:rPr>
          <w:rFonts w:ascii="Palatino Linotype" w:hAnsi="Palatino Linotype" w:cs="Arial"/>
          <w:i/>
          <w:iCs/>
          <w:color w:val="222222"/>
        </w:rPr>
        <w:t>de un hecho negativo</w:t>
      </w:r>
      <w:r w:rsidRPr="00395EDB">
        <w:rPr>
          <w:rFonts w:ascii="Palatino Linotype" w:hAnsi="Palatino Linotype" w:cs="Arial"/>
          <w:i/>
          <w:iCs/>
          <w:color w:val="222222"/>
        </w:rPr>
        <w:t>, el Juez no tiene por qué invocar prueba alguna de la que se desprenda, ya que es bien sabido que esta clase de hechos no son susceptibles de demostración.</w:t>
      </w:r>
      <w:r>
        <w:rPr>
          <w:rFonts w:ascii="Palatino Linotype" w:hAnsi="Palatino Linotype" w:cs="Arial"/>
          <w:i/>
          <w:iCs/>
          <w:color w:val="222222"/>
        </w:rPr>
        <w:t xml:space="preserve">” </w:t>
      </w:r>
      <w:r>
        <w:rPr>
          <w:rFonts w:ascii="Palatino Linotype" w:hAnsi="Palatino Linotype" w:cs="Arial"/>
          <w:b/>
          <w:i/>
          <w:iCs/>
          <w:color w:val="222222"/>
        </w:rPr>
        <w:t>[Sic]</w:t>
      </w:r>
    </w:p>
    <w:p w14:paraId="3043A370" w14:textId="6F45C117" w:rsidR="00116A83" w:rsidRPr="00116A83" w:rsidRDefault="00116A83" w:rsidP="0033299C">
      <w:pPr>
        <w:pStyle w:val="Default"/>
        <w:spacing w:before="240" w:after="160" w:line="360" w:lineRule="auto"/>
        <w:jc w:val="both"/>
        <w:rPr>
          <w:rFonts w:ascii="Palatino Linotype" w:hAnsi="Palatino Linotype"/>
          <w:b/>
          <w:bCs/>
          <w:iCs/>
        </w:rPr>
      </w:pPr>
      <w:r>
        <w:rPr>
          <w:rFonts w:ascii="Palatino Linotype" w:hAnsi="Palatino Linotype"/>
          <w:iCs/>
        </w:rPr>
        <w:lastRenderedPageBreak/>
        <w:t xml:space="preserve">En las generalizaciones anteriores, con relación al requerimiento </w:t>
      </w:r>
      <w:r>
        <w:rPr>
          <w:rFonts w:ascii="Palatino Linotype" w:hAnsi="Palatino Linotype"/>
          <w:b/>
          <w:bCs/>
          <w:iCs/>
        </w:rPr>
        <w:t xml:space="preserve">2 -dos-, El Sujeto Obligado </w:t>
      </w:r>
      <w:r>
        <w:rPr>
          <w:rFonts w:ascii="Palatino Linotype" w:hAnsi="Palatino Linotype"/>
          <w:iCs/>
        </w:rPr>
        <w:t xml:space="preserve">ratificó la entrega del documento “Percepciones y deducciones anualizadas por servidor (a) público (a)” de los años 2018, 2019, 2020, 2021, 2022 y 2023, al tratarse del soporte documental que obra en sus archivos. </w:t>
      </w:r>
      <w:r>
        <w:rPr>
          <w:rFonts w:ascii="Palatino Linotype" w:hAnsi="Palatino Linotype"/>
          <w:b/>
          <w:bCs/>
          <w:iCs/>
        </w:rPr>
        <w:tab/>
      </w:r>
    </w:p>
    <w:p w14:paraId="3083F3FA" w14:textId="77777777" w:rsidR="00116A83" w:rsidRDefault="00116A83" w:rsidP="00116A83">
      <w:pPr>
        <w:tabs>
          <w:tab w:val="left" w:pos="709"/>
        </w:tabs>
        <w:spacing w:before="240" w:line="360" w:lineRule="auto"/>
        <w:ind w:right="51"/>
        <w:jc w:val="both"/>
        <w:rPr>
          <w:rFonts w:ascii="Palatino Linotype" w:hAnsi="Palatino Linotype" w:cs="Arial"/>
          <w:sz w:val="24"/>
          <w:szCs w:val="24"/>
        </w:rPr>
      </w:pPr>
      <w:r>
        <w:rPr>
          <w:rFonts w:ascii="Palatino Linotype" w:hAnsi="Palatino Linotype" w:cs="Arial"/>
          <w:sz w:val="24"/>
          <w:szCs w:val="24"/>
        </w:rPr>
        <w:t>En este sentido, por lo que hace a las causas de sobreseimiento contenidas en el artículo 192 de la Ley de Transparencia y Acceso a la Información Pública del Estado de México y Municipios, es oportuno señalar que estos requisitos privilegian la existencia de elementos de fondo, tales como el desistimiento o fallecimiento del</w:t>
      </w:r>
      <w:r>
        <w:rPr>
          <w:rFonts w:ascii="Palatino Linotype" w:hAnsi="Palatino Linotype" w:cs="Arial"/>
          <w:b/>
          <w:sz w:val="24"/>
          <w:szCs w:val="24"/>
        </w:rPr>
        <w:t xml:space="preserve"> Recurrente </w:t>
      </w:r>
      <w:r>
        <w:rPr>
          <w:rFonts w:ascii="Palatino Linotype" w:hAnsi="Palatino Linotype" w:cs="Arial"/>
          <w:sz w:val="24"/>
          <w:szCs w:val="24"/>
        </w:rPr>
        <w:t xml:space="preserve">o que el </w:t>
      </w:r>
      <w:r>
        <w:rPr>
          <w:rFonts w:ascii="Palatino Linotype" w:hAnsi="Palatino Linotype" w:cs="Arial"/>
          <w:b/>
          <w:sz w:val="24"/>
          <w:szCs w:val="24"/>
        </w:rPr>
        <w:t xml:space="preserve">Sujeto Obligado </w:t>
      </w:r>
      <w:r>
        <w:rPr>
          <w:rFonts w:ascii="Palatino Linotype" w:hAnsi="Palatino Linotype" w:cs="Arial"/>
          <w:b/>
          <w:sz w:val="24"/>
          <w:szCs w:val="24"/>
          <w:u w:val="single"/>
        </w:rPr>
        <w:t xml:space="preserve">modifique el acto; </w:t>
      </w:r>
      <w:r>
        <w:rPr>
          <w:rFonts w:ascii="Palatino Linotype" w:hAnsi="Palatino Linotype" w:cs="Arial"/>
          <w:sz w:val="24"/>
          <w:szCs w:val="24"/>
        </w:rPr>
        <w:t xml:space="preserve">de ahí que la actualización de alguno de éstos trae como consecuencia que el medio de impugnación se concluya sin que se analice el objeto de estudio planteado, es decir se sobresea. </w:t>
      </w:r>
    </w:p>
    <w:p w14:paraId="51339DA7" w14:textId="77777777" w:rsidR="00116A83" w:rsidRDefault="00116A83" w:rsidP="00116A83">
      <w:pPr>
        <w:spacing w:line="360" w:lineRule="auto"/>
        <w:jc w:val="both"/>
        <w:rPr>
          <w:rFonts w:ascii="Palatino Linotype" w:hAnsi="Palatino Linotype" w:cs="Arial"/>
          <w:sz w:val="24"/>
          <w:szCs w:val="24"/>
        </w:rPr>
      </w:pPr>
      <w:r>
        <w:rPr>
          <w:rFonts w:ascii="Palatino Linotype" w:hAnsi="Palatino Linotype" w:cs="Arial"/>
          <w:sz w:val="24"/>
          <w:szCs w:val="24"/>
        </w:rPr>
        <w:t>Por otra parte, la doctrina del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4433F5B8" w14:textId="77777777" w:rsidR="00116A83" w:rsidRDefault="00116A83" w:rsidP="00116A83">
      <w:pPr>
        <w:spacing w:line="360" w:lineRule="auto"/>
        <w:ind w:left="851" w:right="851"/>
        <w:jc w:val="both"/>
        <w:rPr>
          <w:rFonts w:ascii="Palatino Linotype" w:hAnsi="Palatino Linotype" w:cs="Arial"/>
          <w:b/>
          <w:i/>
        </w:rPr>
      </w:pPr>
      <w:r>
        <w:rPr>
          <w:rFonts w:ascii="Palatino Linotype" w:hAnsi="Palatino Linotype" w:cs="Arial"/>
          <w:b/>
          <w:i/>
        </w:rPr>
        <w:t>“SOBRESEIMIENTO EN EL JUICIO DE AMPARO DIRECTO. IMPIDE EL ESTUDIO DE LAS VIOLACIONES PROCESALES PLANTEADAS EN LOS CONCEPTOS DE VIOLACIÓN.</w:t>
      </w:r>
    </w:p>
    <w:p w14:paraId="18667CD2" w14:textId="77777777" w:rsidR="00116A83" w:rsidRDefault="00116A83" w:rsidP="00116A83">
      <w:pPr>
        <w:spacing w:line="360" w:lineRule="auto"/>
        <w:ind w:left="851" w:right="851"/>
        <w:jc w:val="both"/>
        <w:rPr>
          <w:rFonts w:ascii="Palatino Linotype" w:hAnsi="Palatino Linotype"/>
          <w:i/>
          <w:color w:val="000000"/>
        </w:rPr>
      </w:pPr>
      <w:r>
        <w:rPr>
          <w:rFonts w:ascii="Palatino Linotype" w:hAnsi="Palatino Linotype" w:cs="Arial"/>
          <w:b/>
          <w:i/>
          <w:u w:val="single"/>
        </w:rPr>
        <w:t>El sobreseimiento</w:t>
      </w:r>
      <w:r>
        <w:rPr>
          <w:rFonts w:ascii="Palatino Linotype" w:hAnsi="Palatino Linotype" w:cs="Arial"/>
          <w:b/>
          <w:i/>
        </w:rPr>
        <w:t xml:space="preserve"> </w:t>
      </w:r>
      <w:r>
        <w:rPr>
          <w:rFonts w:ascii="Palatino Linotype" w:hAnsi="Palatino Linotype" w:cs="Arial"/>
          <w:i/>
        </w:rPr>
        <w:t xml:space="preserve">en el juicio de amparo directo </w:t>
      </w:r>
      <w:r>
        <w:rPr>
          <w:rFonts w:ascii="Palatino Linotype" w:hAnsi="Palatino Linotype" w:cs="Arial"/>
          <w:b/>
          <w:i/>
          <w:u w:val="single"/>
        </w:rPr>
        <w:t>provoca la terminación de la controversia planteada</w:t>
      </w:r>
      <w:r>
        <w:rPr>
          <w:rFonts w:ascii="Palatino Linotype" w:hAnsi="Palatino Linotype" w:cs="Arial"/>
          <w:b/>
          <w:i/>
        </w:rPr>
        <w:t xml:space="preserve"> </w:t>
      </w:r>
      <w:r>
        <w:rPr>
          <w:rFonts w:ascii="Palatino Linotype" w:hAnsi="Palatino Linotype" w:cs="Arial"/>
          <w:i/>
        </w:rPr>
        <w:t>por el quejoso en la demanda de amparo</w:t>
      </w:r>
      <w:r>
        <w:rPr>
          <w:rFonts w:ascii="Calibri" w:hAnsi="Calibri"/>
          <w:color w:val="000000"/>
          <w:sz w:val="26"/>
          <w:szCs w:val="26"/>
        </w:rPr>
        <w:t xml:space="preserve"> </w:t>
      </w:r>
      <w:r>
        <w:rPr>
          <w:rFonts w:ascii="Palatino Linotype" w:hAnsi="Palatino Linotype"/>
          <w:i/>
          <w:color w:val="000000"/>
        </w:rPr>
        <w:t xml:space="preserve">provoca la terminación de la controversia planteada por el quejoso en la demanda de </w:t>
      </w:r>
      <w:r>
        <w:rPr>
          <w:rFonts w:ascii="Palatino Linotype" w:hAnsi="Palatino Linotype"/>
          <w:b/>
          <w:i/>
          <w:color w:val="000000"/>
        </w:rPr>
        <w:t>amparo</w:t>
      </w:r>
      <w:r>
        <w:rPr>
          <w:rFonts w:ascii="Palatino Linotype" w:hAnsi="Palatino Linotype"/>
          <w:i/>
          <w:color w:val="000000"/>
        </w:rPr>
        <w:t xml:space="preserve">, </w:t>
      </w:r>
      <w:r>
        <w:rPr>
          <w:rFonts w:ascii="Palatino Linotype" w:hAnsi="Palatino Linotype"/>
          <w:i/>
          <w:color w:val="000000"/>
        </w:rPr>
        <w:lastRenderedPageBreak/>
        <w:t>sin hacer un pronunciamiento de fondo sobre la legalidad o ilegalidad de la sentencia reclamada. Por consiguiente, si al sobreseerse en el</w:t>
      </w:r>
      <w:r>
        <w:rPr>
          <w:rFonts w:ascii="Palatino Linotype" w:hAnsi="Palatino Linotype"/>
          <w:b/>
          <w:i/>
          <w:color w:val="000000"/>
        </w:rPr>
        <w:t xml:space="preserve"> juicio </w:t>
      </w:r>
      <w:r>
        <w:rPr>
          <w:rFonts w:ascii="Palatino Linotype" w:hAnsi="Palatino Linotype"/>
          <w:i/>
          <w:color w:val="000000"/>
        </w:rPr>
        <w:t xml:space="preserve">de </w:t>
      </w:r>
      <w:r>
        <w:rPr>
          <w:rFonts w:ascii="Palatino Linotype" w:hAnsi="Palatino Linotype"/>
          <w:b/>
          <w:i/>
          <w:color w:val="000000"/>
        </w:rPr>
        <w:t>amparo</w:t>
      </w:r>
      <w:r>
        <w:rPr>
          <w:rFonts w:ascii="Palatino Linotype" w:hAnsi="Palatino Linotype"/>
          <w:i/>
          <w:color w:val="000000"/>
        </w:rPr>
        <w:t xml:space="preserve"> no se pueden estudiar los planteamientos que se hacen valer en contra del fallo reclamado, tampoco se deben analizar las</w:t>
      </w:r>
      <w:r>
        <w:rPr>
          <w:rFonts w:ascii="Palatino Linotype" w:hAnsi="Palatino Linotype"/>
          <w:b/>
          <w:i/>
          <w:color w:val="000000"/>
        </w:rPr>
        <w:t xml:space="preserve"> violaciones procesales</w:t>
      </w:r>
      <w:r>
        <w:rPr>
          <w:rFonts w:ascii="Palatino Linotype" w:hAnsi="Palatino Linotype"/>
          <w:i/>
          <w:color w:val="000000"/>
        </w:rPr>
        <w:t xml:space="preserve"> propuestas en los </w:t>
      </w:r>
      <w:r>
        <w:rPr>
          <w:rFonts w:ascii="Palatino Linotype" w:hAnsi="Palatino Linotype"/>
          <w:b/>
          <w:i/>
          <w:color w:val="000000"/>
        </w:rPr>
        <w:t xml:space="preserve">conceptos </w:t>
      </w:r>
      <w:r>
        <w:rPr>
          <w:rFonts w:ascii="Palatino Linotype" w:hAnsi="Palatino Linotype"/>
          <w:i/>
          <w:color w:val="000000"/>
        </w:rPr>
        <w:t xml:space="preserve">de </w:t>
      </w:r>
      <w:r>
        <w:rPr>
          <w:rFonts w:ascii="Palatino Linotype" w:hAnsi="Palatino Linotype"/>
          <w:b/>
          <w:i/>
          <w:color w:val="000000"/>
        </w:rPr>
        <w:t>violación</w:t>
      </w:r>
      <w:r>
        <w:rPr>
          <w:rFonts w:ascii="Palatino Linotype" w:hAnsi="Palatino Linotype"/>
          <w:i/>
          <w:color w:val="000000"/>
        </w:rPr>
        <w:t xml:space="preserve">, dado que, la principal consecuencia del </w:t>
      </w:r>
      <w:r>
        <w:rPr>
          <w:rFonts w:ascii="Palatino Linotype" w:hAnsi="Palatino Linotype"/>
          <w:b/>
          <w:i/>
          <w:color w:val="000000"/>
        </w:rPr>
        <w:t>sobreseimiento</w:t>
      </w:r>
      <w:r>
        <w:rPr>
          <w:rFonts w:ascii="Palatino Linotype" w:hAnsi="Palatino Linotype"/>
          <w:i/>
          <w:color w:val="000000"/>
        </w:rPr>
        <w:t xml:space="preserve"> es poner fin al </w:t>
      </w:r>
      <w:r>
        <w:rPr>
          <w:rFonts w:ascii="Palatino Linotype" w:hAnsi="Palatino Linotype"/>
          <w:b/>
          <w:i/>
          <w:color w:val="000000"/>
        </w:rPr>
        <w:t xml:space="preserve">juicio </w:t>
      </w:r>
      <w:r>
        <w:rPr>
          <w:rFonts w:ascii="Palatino Linotype" w:hAnsi="Palatino Linotype"/>
          <w:i/>
          <w:color w:val="000000"/>
        </w:rPr>
        <w:t xml:space="preserve">de </w:t>
      </w:r>
      <w:r>
        <w:rPr>
          <w:rFonts w:ascii="Palatino Linotype" w:hAnsi="Palatino Linotype"/>
          <w:b/>
          <w:i/>
          <w:color w:val="000000"/>
        </w:rPr>
        <w:t xml:space="preserve">amparo </w:t>
      </w:r>
      <w:r>
        <w:rPr>
          <w:rFonts w:ascii="Palatino Linotype" w:hAnsi="Palatino Linotype"/>
          <w:i/>
          <w:color w:val="000000"/>
        </w:rPr>
        <w:t>sin resolver la controversia en sus méritos.  </w:t>
      </w:r>
    </w:p>
    <w:p w14:paraId="2ECF4A20" w14:textId="77777777" w:rsidR="00116A83" w:rsidRDefault="00116A83" w:rsidP="00116A83">
      <w:pPr>
        <w:spacing w:line="360" w:lineRule="auto"/>
        <w:ind w:left="851" w:right="851"/>
        <w:jc w:val="both"/>
        <w:rPr>
          <w:rFonts w:ascii="Palatino Linotype" w:hAnsi="Palatino Linotype" w:cs="Arial"/>
          <w:b/>
          <w:i/>
        </w:rPr>
      </w:pPr>
      <w:r>
        <w:rPr>
          <w:rFonts w:ascii="Palatino Linotype" w:hAnsi="Palatino Linotype" w:cs="Arial"/>
          <w:b/>
          <w:i/>
        </w:rPr>
        <w:t>SÉPTIMO TRIBUNAL COLEGIADO EN MATERIA CIVIL DEL PRIMER CIRCUITO.</w:t>
      </w:r>
    </w:p>
    <w:p w14:paraId="615B6C30" w14:textId="77777777" w:rsidR="00116A83" w:rsidRDefault="00116A83" w:rsidP="00116A83">
      <w:pPr>
        <w:spacing w:line="360" w:lineRule="auto"/>
        <w:ind w:left="851" w:right="851"/>
        <w:jc w:val="both"/>
        <w:rPr>
          <w:rFonts w:ascii="Palatino Linotype" w:hAnsi="Palatino Linotype" w:cs="Arial"/>
          <w:i/>
        </w:rPr>
      </w:pPr>
      <w:r>
        <w:rPr>
          <w:rFonts w:ascii="Palatino Linotype" w:hAnsi="Palatino Linotype" w:cs="Arial"/>
          <w:i/>
        </w:rPr>
        <w:t>Amparo directo 699/2008. Mariana Leticia González Steele. 13 de noviembre de 2008. Unanimidad de votos. Ponente: Sara Judith Montalvo Trejo. Secretario: Arnulfo Mateos García.”</w:t>
      </w:r>
      <w:r>
        <w:rPr>
          <w:rFonts w:ascii="Palatino Linotype" w:eastAsia="Times New Roman" w:hAnsi="Palatino Linotype" w:cs="Times New Roman"/>
          <w:b/>
          <w:i/>
          <w:lang w:val="es-ES_tradnl" w:eastAsia="es-ES"/>
        </w:rPr>
        <w:t xml:space="preserve"> [Sic]</w:t>
      </w:r>
    </w:p>
    <w:p w14:paraId="0B5260FB" w14:textId="77777777" w:rsidR="00116A83" w:rsidRDefault="00116A83" w:rsidP="00116A83">
      <w:pPr>
        <w:ind w:right="141"/>
        <w:jc w:val="both"/>
        <w:rPr>
          <w:rFonts w:ascii="Palatino Linotype" w:hAnsi="Palatino Linotype" w:cs="Arial"/>
        </w:rPr>
      </w:pPr>
    </w:p>
    <w:p w14:paraId="725F341A" w14:textId="77777777" w:rsidR="00116A83" w:rsidRDefault="00116A83" w:rsidP="00116A83">
      <w:pPr>
        <w:spacing w:line="360" w:lineRule="auto"/>
        <w:jc w:val="both"/>
        <w:rPr>
          <w:rFonts w:ascii="Palatino Linotype" w:hAnsi="Palatino Linotype" w:cs="Arial"/>
          <w:sz w:val="24"/>
          <w:szCs w:val="24"/>
        </w:rPr>
      </w:pPr>
      <w:r>
        <w:rPr>
          <w:rFonts w:ascii="Palatino Linotype" w:hAnsi="Palatino Linotype" w:cs="Arial"/>
          <w:sz w:val="24"/>
          <w:szCs w:val="24"/>
        </w:rPr>
        <w:t xml:space="preserve">De este modo, se puede deducir que, en las resoluciones dictadas por el Pleno de este Instituto, en las que se decreta el sobreseimiento de un recurso de revisión por la actualización de alguno de los supuestos jurídicos contemplados en el </w:t>
      </w:r>
      <w:r>
        <w:rPr>
          <w:rFonts w:ascii="Palatino Linotype" w:hAnsi="Palatino Linotype" w:cs="Arial"/>
          <w:b/>
          <w:sz w:val="24"/>
          <w:szCs w:val="24"/>
        </w:rPr>
        <w:t xml:space="preserve">artículo 192 </w:t>
      </w:r>
      <w:r>
        <w:rPr>
          <w:rFonts w:ascii="Palatino Linotype" w:hAnsi="Palatino Linotype" w:cs="Arial"/>
          <w:sz w:val="24"/>
          <w:szCs w:val="24"/>
        </w:rPr>
        <w:t xml:space="preserve">de la </w:t>
      </w:r>
      <w:r>
        <w:rPr>
          <w:rFonts w:ascii="Palatino Linotype" w:hAnsi="Palatino Linotype" w:cs="Arial"/>
          <w:b/>
          <w:sz w:val="24"/>
          <w:szCs w:val="24"/>
        </w:rPr>
        <w:t xml:space="preserve">Ley de Transparencia y Acceso a la Información Pública del Estado de México y Municipios, </w:t>
      </w:r>
      <w:r>
        <w:rPr>
          <w:rFonts w:ascii="Palatino Linotype" w:hAnsi="Palatino Linotype" w:cs="Arial"/>
          <w:sz w:val="24"/>
          <w:szCs w:val="24"/>
        </w:rPr>
        <w:t xml:space="preserve">nos encontramos ante un sobreseimiento definitivo toda vez que pone fin al procedimiento sin entrar al estudio de fondo del mismo. </w:t>
      </w:r>
    </w:p>
    <w:p w14:paraId="495ECF1E" w14:textId="77777777" w:rsidR="00116A83" w:rsidRDefault="00116A83" w:rsidP="00116A83">
      <w:pPr>
        <w:spacing w:line="360" w:lineRule="auto"/>
        <w:jc w:val="both"/>
        <w:rPr>
          <w:rFonts w:ascii="Palatino Linotype" w:hAnsi="Palatino Linotype" w:cs="Arial"/>
          <w:b/>
          <w:sz w:val="24"/>
          <w:szCs w:val="24"/>
        </w:rPr>
      </w:pPr>
      <w:r>
        <w:rPr>
          <w:rFonts w:ascii="Palatino Linotype" w:hAnsi="Palatino Linotype" w:cs="Arial"/>
          <w:sz w:val="24"/>
          <w:szCs w:val="24"/>
        </w:rPr>
        <w:t xml:space="preserve">Para los efectos de esta resolución, resulta oportuno precisar los alcances jurídicos de la </w:t>
      </w:r>
      <w:r>
        <w:rPr>
          <w:rFonts w:ascii="Palatino Linotype" w:hAnsi="Palatino Linotype" w:cs="Arial"/>
          <w:b/>
          <w:sz w:val="24"/>
          <w:szCs w:val="24"/>
        </w:rPr>
        <w:t xml:space="preserve">fracción III </w:t>
      </w:r>
      <w:r>
        <w:rPr>
          <w:rFonts w:ascii="Palatino Linotype" w:hAnsi="Palatino Linotype" w:cs="Arial"/>
          <w:sz w:val="24"/>
          <w:szCs w:val="24"/>
        </w:rPr>
        <w:t xml:space="preserve">de la disposición legal transcrita. Así, procede el sobreseimiento del recurso de revisión cuando el </w:t>
      </w:r>
      <w:r>
        <w:rPr>
          <w:rFonts w:ascii="Palatino Linotype" w:hAnsi="Palatino Linotype" w:cs="Arial"/>
          <w:b/>
          <w:sz w:val="24"/>
          <w:szCs w:val="24"/>
        </w:rPr>
        <w:t xml:space="preserve">Sujeto Obligado: </w:t>
      </w:r>
    </w:p>
    <w:p w14:paraId="553C8D89" w14:textId="77777777" w:rsidR="00116A83" w:rsidRDefault="00116A83" w:rsidP="00A04796">
      <w:pPr>
        <w:pStyle w:val="Prrafodelista"/>
        <w:numPr>
          <w:ilvl w:val="0"/>
          <w:numId w:val="12"/>
        </w:numPr>
        <w:spacing w:line="360" w:lineRule="auto"/>
        <w:ind w:right="851"/>
        <w:jc w:val="both"/>
        <w:rPr>
          <w:rFonts w:ascii="Palatino Linotype" w:hAnsi="Palatino Linotype" w:cs="Arial"/>
          <w:b/>
        </w:rPr>
      </w:pPr>
      <w:r>
        <w:rPr>
          <w:rFonts w:ascii="Palatino Linotype" w:hAnsi="Palatino Linotype" w:cs="Arial"/>
          <w:b/>
        </w:rPr>
        <w:t xml:space="preserve">Modifique el acto impugnado: </w:t>
      </w:r>
      <w:r>
        <w:rPr>
          <w:rFonts w:ascii="Palatino Linotype" w:hAnsi="Palatino Linotype" w:cs="Arial"/>
        </w:rPr>
        <w:t xml:space="preserve">Se actualiza cuando el </w:t>
      </w:r>
      <w:r>
        <w:rPr>
          <w:rFonts w:ascii="Palatino Linotype" w:hAnsi="Palatino Linotype" w:cs="Arial"/>
          <w:b/>
        </w:rPr>
        <w:t xml:space="preserve">Sujeto Obligado </w:t>
      </w:r>
      <w:r>
        <w:rPr>
          <w:rFonts w:ascii="Palatino Linotype" w:hAnsi="Palatino Linotype" w:cs="Arial"/>
        </w:rPr>
        <w:t xml:space="preserve">después de haber otorgado una respuesta y hasta antes de dictada la </w:t>
      </w:r>
      <w:r>
        <w:rPr>
          <w:rFonts w:ascii="Palatino Linotype" w:hAnsi="Palatino Linotype" w:cs="Arial"/>
        </w:rPr>
        <w:lastRenderedPageBreak/>
        <w:t xml:space="preserve">resolución del recurso de revisión, emite una diversa en la que subsane las deficiencias que hubiere tenido. </w:t>
      </w:r>
    </w:p>
    <w:p w14:paraId="0F0EA03B" w14:textId="77777777" w:rsidR="00116A83" w:rsidRDefault="00116A83" w:rsidP="00116A83">
      <w:pPr>
        <w:spacing w:line="360" w:lineRule="auto"/>
        <w:jc w:val="both"/>
        <w:rPr>
          <w:rFonts w:ascii="Palatino Linotype" w:hAnsi="Palatino Linotype" w:cs="Arial"/>
          <w:sz w:val="24"/>
          <w:szCs w:val="24"/>
          <w:u w:val="single"/>
        </w:rPr>
      </w:pPr>
      <w:r>
        <w:rPr>
          <w:rFonts w:ascii="Palatino Linotype" w:hAnsi="Palatino Linotype" w:cs="Arial"/>
          <w:sz w:val="24"/>
          <w:szCs w:val="24"/>
        </w:rPr>
        <w:t xml:space="preserve">Las consecuencias jurídicas de esta modificación es que el recurso de revisión interpuesto quede sin efectos o sin materia y se procure la debida tutela del Derecho de Acceso a la Información Pública. Un acto impugnado queda sin efectos, cuando aun existiendo jurídicamente, no genera consecuencia legal alguna; queda sin materia, </w:t>
      </w:r>
      <w:r>
        <w:rPr>
          <w:rFonts w:ascii="Palatino Linotype" w:hAnsi="Palatino Linotype" w:cs="Arial"/>
          <w:b/>
          <w:sz w:val="24"/>
          <w:szCs w:val="24"/>
          <w:u w:val="single"/>
        </w:rPr>
        <w:t xml:space="preserve">cuando ha sido satisfecha la pretensión del particular, </w:t>
      </w:r>
      <w:r>
        <w:rPr>
          <w:rFonts w:ascii="Palatino Linotype" w:hAnsi="Palatino Linotype" w:cs="Arial"/>
          <w:sz w:val="24"/>
          <w:szCs w:val="24"/>
        </w:rPr>
        <w:t>ya sea porque se hizo la entrega de la información solicitada o porque se completó la misma.</w:t>
      </w:r>
      <w:r>
        <w:rPr>
          <w:rFonts w:ascii="Palatino Linotype" w:hAnsi="Palatino Linotype" w:cs="Arial"/>
          <w:sz w:val="24"/>
          <w:szCs w:val="24"/>
          <w:u w:val="single"/>
        </w:rPr>
        <w:t xml:space="preserve"> </w:t>
      </w:r>
    </w:p>
    <w:p w14:paraId="3F25BAA5" w14:textId="77777777" w:rsidR="00116A83" w:rsidRDefault="00116A83" w:rsidP="00116A83">
      <w:pPr>
        <w:spacing w:line="360" w:lineRule="auto"/>
        <w:jc w:val="both"/>
        <w:rPr>
          <w:rFonts w:ascii="Palatino Linotype" w:hAnsi="Palatino Linotype" w:cs="Arial"/>
          <w:sz w:val="24"/>
          <w:szCs w:val="24"/>
        </w:rPr>
      </w:pPr>
      <w:r>
        <w:rPr>
          <w:rFonts w:ascii="Palatino Linotype" w:hAnsi="Palatino Linotype" w:cs="Arial"/>
          <w:sz w:val="24"/>
          <w:szCs w:val="24"/>
        </w:rPr>
        <w:t xml:space="preserve">En este tenor, se advierte que </w:t>
      </w:r>
      <w:r>
        <w:rPr>
          <w:rFonts w:ascii="Palatino Linotype" w:hAnsi="Palatino Linotype" w:cs="Arial"/>
          <w:b/>
          <w:sz w:val="24"/>
          <w:szCs w:val="24"/>
        </w:rPr>
        <w:t>El</w:t>
      </w:r>
      <w:r>
        <w:rPr>
          <w:rFonts w:ascii="Palatino Linotype" w:hAnsi="Palatino Linotype" w:cs="Arial"/>
          <w:sz w:val="24"/>
          <w:szCs w:val="24"/>
        </w:rPr>
        <w:t xml:space="preserve"> </w:t>
      </w:r>
      <w:r>
        <w:rPr>
          <w:rFonts w:ascii="Palatino Linotype" w:hAnsi="Palatino Linotype" w:cs="Arial"/>
          <w:b/>
          <w:sz w:val="24"/>
          <w:szCs w:val="24"/>
        </w:rPr>
        <w:t xml:space="preserve">Sujeto Obligado </w:t>
      </w:r>
      <w:r>
        <w:rPr>
          <w:rFonts w:ascii="Palatino Linotype" w:hAnsi="Palatino Linotype" w:cs="Arial"/>
          <w:sz w:val="24"/>
          <w:szCs w:val="24"/>
        </w:rPr>
        <w:t xml:space="preserve">con la información enviada a este Órgano Garante, </w:t>
      </w:r>
      <w:r>
        <w:rPr>
          <w:rFonts w:ascii="Palatino Linotype" w:hAnsi="Palatino Linotype" w:cs="Arial"/>
          <w:b/>
          <w:sz w:val="24"/>
          <w:szCs w:val="24"/>
        </w:rPr>
        <w:t xml:space="preserve">modifica </w:t>
      </w:r>
      <w:r>
        <w:rPr>
          <w:rFonts w:ascii="Palatino Linotype" w:hAnsi="Palatino Linotype" w:cs="Arial"/>
          <w:sz w:val="24"/>
          <w:szCs w:val="24"/>
        </w:rPr>
        <w:t xml:space="preserve">el acto que le dio origen al recurso de revisión, </w:t>
      </w:r>
      <w:r>
        <w:rPr>
          <w:rFonts w:ascii="Palatino Linotype" w:hAnsi="Palatino Linotype" w:cs="Arial"/>
          <w:b/>
          <w:sz w:val="24"/>
          <w:szCs w:val="24"/>
        </w:rPr>
        <w:t xml:space="preserve">por lo que trae como consecuencia que el mismo quede sin materia, </w:t>
      </w:r>
      <w:r>
        <w:rPr>
          <w:rFonts w:ascii="Palatino Linotype" w:hAnsi="Palatino Linotype" w:cs="Arial"/>
          <w:sz w:val="24"/>
          <w:szCs w:val="24"/>
        </w:rPr>
        <w:t xml:space="preserve">actualizándose de este modo, la hipótesis jurídica contenida en la fracción III del artículo 192. </w:t>
      </w:r>
    </w:p>
    <w:p w14:paraId="25762329" w14:textId="77777777" w:rsidR="00116A83" w:rsidRDefault="00116A83" w:rsidP="00116A83">
      <w:pPr>
        <w:spacing w:line="360" w:lineRule="auto"/>
        <w:jc w:val="both"/>
        <w:rPr>
          <w:rFonts w:ascii="Palatino Linotype" w:hAnsi="Palatino Linotype" w:cs="Arial"/>
          <w:sz w:val="24"/>
          <w:szCs w:val="24"/>
        </w:rPr>
      </w:pPr>
      <w:r>
        <w:rPr>
          <w:rFonts w:ascii="Palatino Linotype" w:hAnsi="Palatino Linotype" w:cs="Arial"/>
          <w:sz w:val="24"/>
          <w:szCs w:val="24"/>
        </w:rPr>
        <w:t xml:space="preserve">De este modo, cuando </w:t>
      </w:r>
      <w:r>
        <w:rPr>
          <w:rFonts w:ascii="Palatino Linotype" w:hAnsi="Palatino Linotype" w:cs="Arial"/>
          <w:b/>
          <w:sz w:val="24"/>
          <w:szCs w:val="24"/>
        </w:rPr>
        <w:t>El</w:t>
      </w:r>
      <w:r>
        <w:rPr>
          <w:rFonts w:ascii="Palatino Linotype" w:hAnsi="Palatino Linotype" w:cs="Arial"/>
          <w:sz w:val="24"/>
          <w:szCs w:val="24"/>
        </w:rPr>
        <w:t xml:space="preserve"> </w:t>
      </w:r>
      <w:r>
        <w:rPr>
          <w:rFonts w:ascii="Palatino Linotype" w:hAnsi="Palatino Linotype" w:cs="Arial"/>
          <w:b/>
          <w:sz w:val="24"/>
          <w:szCs w:val="24"/>
        </w:rPr>
        <w:t>Sujeto Obligado</w:t>
      </w:r>
      <w:r>
        <w:rPr>
          <w:rFonts w:ascii="Palatino Linotype" w:hAnsi="Palatino Linotype" w:cs="Arial"/>
          <w:sz w:val="24"/>
          <w:szCs w:val="24"/>
        </w:rPr>
        <w:t xml:space="preserve">, antes de que se dicte resolución definitiva, entrega la información solicitada o completa la respuesta que en un momento fue incompleta o no correspondió con lo solicitado; el recurso de revisión que al efecto se haya interpuesto queda sin materia lo que imposibilita el estudio de fondo de la </w:t>
      </w:r>
      <w:r>
        <w:rPr>
          <w:rFonts w:ascii="Palatino Linotype" w:hAnsi="Palatino Linotype" w:cs="Arial"/>
          <w:b/>
          <w:i/>
          <w:sz w:val="24"/>
          <w:szCs w:val="24"/>
        </w:rPr>
        <w:t xml:space="preserve">litis </w:t>
      </w:r>
      <w:r>
        <w:rPr>
          <w:rFonts w:ascii="Palatino Linotype" w:hAnsi="Palatino Linotype" w:cs="Arial"/>
          <w:sz w:val="24"/>
          <w:szCs w:val="24"/>
        </w:rPr>
        <w:t xml:space="preserve">planteada, debido a que la afectación en su esfera de derechos fue restituida por la propia autoridad que emitió el acto de impugnación. </w:t>
      </w:r>
    </w:p>
    <w:p w14:paraId="402F9FDB" w14:textId="77777777" w:rsidR="00116A83" w:rsidRDefault="00116A83" w:rsidP="00116A83">
      <w:pPr>
        <w:tabs>
          <w:tab w:val="left" w:pos="7797"/>
        </w:tabs>
        <w:spacing w:line="360" w:lineRule="auto"/>
        <w:jc w:val="both"/>
        <w:rPr>
          <w:rFonts w:ascii="Palatino Linotype" w:hAnsi="Palatino Linotype" w:cs="Arial"/>
          <w:sz w:val="24"/>
          <w:szCs w:val="24"/>
        </w:rPr>
      </w:pPr>
      <w:r>
        <w:rPr>
          <w:rFonts w:ascii="Palatino Linotype" w:hAnsi="Palatino Linotype" w:cs="Arial"/>
          <w:sz w:val="24"/>
          <w:szCs w:val="24"/>
        </w:rPr>
        <w:t xml:space="preserve">Por lo tanto, para que se actualice el sobreseimiento de un recurso de revisión, </w:t>
      </w:r>
      <w:r>
        <w:rPr>
          <w:rFonts w:ascii="Palatino Linotype" w:hAnsi="Palatino Linotype" w:cs="Arial"/>
          <w:b/>
          <w:sz w:val="24"/>
          <w:szCs w:val="24"/>
        </w:rPr>
        <w:t>El</w:t>
      </w:r>
      <w:r>
        <w:rPr>
          <w:rFonts w:ascii="Palatino Linotype" w:hAnsi="Palatino Linotype" w:cs="Arial"/>
          <w:sz w:val="24"/>
          <w:szCs w:val="24"/>
        </w:rPr>
        <w:t xml:space="preserve"> </w:t>
      </w:r>
      <w:r>
        <w:rPr>
          <w:rFonts w:ascii="Palatino Linotype" w:hAnsi="Palatino Linotype" w:cs="Arial"/>
          <w:b/>
          <w:sz w:val="24"/>
          <w:szCs w:val="24"/>
        </w:rPr>
        <w:t xml:space="preserve">Sujeto Obligado </w:t>
      </w:r>
      <w:r>
        <w:rPr>
          <w:rFonts w:ascii="Palatino Linotype" w:hAnsi="Palatino Linotype" w:cs="Arial"/>
          <w:sz w:val="24"/>
          <w:szCs w:val="24"/>
        </w:rPr>
        <w:t xml:space="preserve">puede entregar o completar la información al momento de rendir su </w:t>
      </w:r>
      <w:r>
        <w:rPr>
          <w:rFonts w:ascii="Palatino Linotype" w:hAnsi="Palatino Linotype" w:cs="Arial"/>
          <w:b/>
          <w:sz w:val="24"/>
          <w:szCs w:val="24"/>
          <w:u w:val="single"/>
        </w:rPr>
        <w:t>informe de justificación dentro de los siete días</w:t>
      </w:r>
      <w:r>
        <w:rPr>
          <w:rFonts w:ascii="Palatino Linotype" w:hAnsi="Palatino Linotype" w:cs="Arial"/>
          <w:b/>
          <w:sz w:val="24"/>
          <w:szCs w:val="24"/>
        </w:rPr>
        <w:t xml:space="preserve"> </w:t>
      </w:r>
      <w:r>
        <w:rPr>
          <w:rFonts w:ascii="Palatino Linotype" w:hAnsi="Palatino Linotype" w:cs="Arial"/>
          <w:sz w:val="24"/>
          <w:szCs w:val="24"/>
        </w:rPr>
        <w:t>previstos para manifestar lo que a su derecho convenga.</w:t>
      </w:r>
    </w:p>
    <w:p w14:paraId="18A998DA" w14:textId="2979937B" w:rsidR="00116A83" w:rsidRDefault="00116A83" w:rsidP="00116A83">
      <w:pPr>
        <w:tabs>
          <w:tab w:val="left" w:pos="8080"/>
        </w:tabs>
        <w:spacing w:line="360" w:lineRule="auto"/>
        <w:jc w:val="both"/>
        <w:rPr>
          <w:rFonts w:ascii="Palatino Linotype" w:hAnsi="Palatino Linotype" w:cs="Arial"/>
          <w:bCs/>
          <w:sz w:val="24"/>
          <w:szCs w:val="24"/>
        </w:rPr>
      </w:pPr>
      <w:r>
        <w:rPr>
          <w:rFonts w:ascii="Palatino Linotype" w:hAnsi="Palatino Linotype" w:cs="Arial"/>
          <w:sz w:val="24"/>
          <w:szCs w:val="24"/>
        </w:rPr>
        <w:lastRenderedPageBreak/>
        <w:t xml:space="preserve">En mérito de lo expuesto en líneas anteriores, resultan fundados los 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su medio de impugnación que fue materia de estudio, por ello </w:t>
      </w:r>
      <w:r>
        <w:rPr>
          <w:rFonts w:ascii="Palatino Linotype" w:hAnsi="Palatino Linotype" w:cs="Arial"/>
          <w:b/>
          <w:sz w:val="24"/>
          <w:szCs w:val="24"/>
        </w:rPr>
        <w:t xml:space="preserve">con fundamento en el artículo 186 fracción I, en concordancia con el 192 fracción III de la Ley de Transparencia y Acceso a la Información Pública del Estado de México y Municipios, </w:t>
      </w:r>
      <w:r>
        <w:rPr>
          <w:rFonts w:ascii="Palatino Linotype" w:hAnsi="Palatino Linotype" w:cs="Arial"/>
          <w:sz w:val="24"/>
          <w:szCs w:val="24"/>
        </w:rPr>
        <w:t xml:space="preserve">se </w:t>
      </w:r>
      <w:r>
        <w:rPr>
          <w:rFonts w:ascii="Palatino Linotype" w:hAnsi="Palatino Linotype" w:cs="Arial"/>
          <w:b/>
          <w:sz w:val="24"/>
          <w:szCs w:val="24"/>
        </w:rPr>
        <w:t xml:space="preserve">SOBRESEEN </w:t>
      </w:r>
      <w:r>
        <w:rPr>
          <w:rFonts w:ascii="Palatino Linotype" w:hAnsi="Palatino Linotype" w:cs="Arial"/>
          <w:bCs/>
          <w:sz w:val="24"/>
          <w:szCs w:val="24"/>
        </w:rPr>
        <w:t xml:space="preserve">los recursos </w:t>
      </w:r>
      <w:r>
        <w:rPr>
          <w:rFonts w:ascii="Palatino Linotype" w:hAnsi="Palatino Linotype" w:cs="Arial"/>
          <w:b/>
          <w:sz w:val="24"/>
          <w:szCs w:val="24"/>
        </w:rPr>
        <w:t xml:space="preserve">00200/INFOEM/IP/RR/2024 </w:t>
      </w:r>
      <w:r>
        <w:rPr>
          <w:rFonts w:ascii="Palatino Linotype" w:hAnsi="Palatino Linotype" w:cs="Arial"/>
          <w:bCs/>
          <w:sz w:val="24"/>
          <w:szCs w:val="24"/>
        </w:rPr>
        <w:t xml:space="preserve">y </w:t>
      </w:r>
      <w:r>
        <w:rPr>
          <w:rFonts w:ascii="Palatino Linotype" w:hAnsi="Palatino Linotype" w:cs="Arial"/>
          <w:b/>
          <w:sz w:val="24"/>
          <w:szCs w:val="24"/>
        </w:rPr>
        <w:t xml:space="preserve">00201/INFOEM/IP/RR/2024, </w:t>
      </w:r>
      <w:r>
        <w:rPr>
          <w:rFonts w:ascii="Palatino Linotype" w:hAnsi="Palatino Linotype" w:cs="Arial"/>
          <w:bCs/>
          <w:sz w:val="24"/>
          <w:szCs w:val="24"/>
        </w:rPr>
        <w:t xml:space="preserve">que han sido materia del presente fallo. </w:t>
      </w:r>
    </w:p>
    <w:p w14:paraId="17D368BE" w14:textId="4F6EC231" w:rsidR="00116A83" w:rsidRDefault="00116A83" w:rsidP="00116A83">
      <w:pPr>
        <w:tabs>
          <w:tab w:val="left" w:pos="8080"/>
        </w:tabs>
        <w:spacing w:line="360" w:lineRule="auto"/>
        <w:jc w:val="both"/>
        <w:rPr>
          <w:rFonts w:ascii="Palatino Linotype" w:hAnsi="Palatino Linotype" w:cs="Arial"/>
          <w:bCs/>
          <w:sz w:val="24"/>
          <w:szCs w:val="24"/>
        </w:rPr>
      </w:pPr>
      <w:r>
        <w:rPr>
          <w:rFonts w:ascii="Palatino Linotype" w:hAnsi="Palatino Linotype" w:cs="Arial"/>
          <w:bCs/>
          <w:sz w:val="24"/>
          <w:szCs w:val="24"/>
        </w:rPr>
        <w:t>Por lo antes expuesto y fundado es de resolverse y,</w:t>
      </w:r>
    </w:p>
    <w:p w14:paraId="792292BF" w14:textId="77777777" w:rsidR="00116A83" w:rsidRDefault="00116A83" w:rsidP="00116A83">
      <w:pPr>
        <w:tabs>
          <w:tab w:val="left" w:pos="8080"/>
        </w:tabs>
        <w:spacing w:line="360" w:lineRule="auto"/>
        <w:jc w:val="both"/>
        <w:rPr>
          <w:rFonts w:ascii="Palatino Linotype" w:hAnsi="Palatino Linotype" w:cs="Arial"/>
          <w:bCs/>
          <w:sz w:val="24"/>
          <w:szCs w:val="24"/>
        </w:rPr>
      </w:pPr>
    </w:p>
    <w:p w14:paraId="5DAFA7A6" w14:textId="77777777" w:rsidR="00116A83" w:rsidRPr="00895C52" w:rsidRDefault="00116A83" w:rsidP="00116A83">
      <w:pPr>
        <w:spacing w:after="0" w:line="360" w:lineRule="auto"/>
        <w:jc w:val="center"/>
        <w:rPr>
          <w:rFonts w:ascii="Palatino Linotype" w:eastAsia="Times New Roman" w:hAnsi="Palatino Linotype" w:cs="Times New Roman"/>
          <w:b/>
          <w:bCs/>
          <w:spacing w:val="60"/>
          <w:sz w:val="28"/>
          <w:szCs w:val="24"/>
          <w:lang w:val="es-ES_tradnl" w:eastAsia="es-ES"/>
        </w:rPr>
      </w:pPr>
      <w:r w:rsidRPr="00895C52">
        <w:rPr>
          <w:rFonts w:ascii="Palatino Linotype" w:eastAsia="Times New Roman" w:hAnsi="Palatino Linotype" w:cs="Times New Roman"/>
          <w:b/>
          <w:bCs/>
          <w:spacing w:val="60"/>
          <w:sz w:val="28"/>
          <w:szCs w:val="24"/>
          <w:lang w:val="es-ES_tradnl" w:eastAsia="es-ES"/>
        </w:rPr>
        <w:t>SE    RESUELVE</w:t>
      </w:r>
    </w:p>
    <w:p w14:paraId="36BF7F12" w14:textId="77777777" w:rsidR="00116A83" w:rsidRPr="00895C52" w:rsidRDefault="00116A83" w:rsidP="00116A83">
      <w:pPr>
        <w:spacing w:after="0" w:line="360" w:lineRule="auto"/>
        <w:jc w:val="center"/>
        <w:rPr>
          <w:rFonts w:ascii="Palatino Linotype" w:eastAsia="Times New Roman" w:hAnsi="Palatino Linotype" w:cs="Times New Roman"/>
          <w:bCs/>
          <w:spacing w:val="60"/>
          <w:sz w:val="24"/>
          <w:szCs w:val="24"/>
          <w:lang w:val="es-ES_tradnl" w:eastAsia="es-ES"/>
        </w:rPr>
      </w:pPr>
    </w:p>
    <w:p w14:paraId="6B7AA15D" w14:textId="14B43590" w:rsidR="00116A83" w:rsidRDefault="00116A83" w:rsidP="00116A83">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895C52">
        <w:rPr>
          <w:rFonts w:ascii="Palatino Linotype" w:eastAsiaTheme="minorEastAsia" w:hAnsi="Palatino Linotype" w:cs="Arial"/>
          <w:b/>
          <w:sz w:val="28"/>
          <w:szCs w:val="24"/>
          <w:lang w:val="es-ES_tradnl" w:eastAsia="es-ES"/>
        </w:rPr>
        <w:t>PRIMERO.</w:t>
      </w:r>
      <w:r w:rsidRPr="00895C52">
        <w:rPr>
          <w:rFonts w:ascii="Palatino Linotype" w:eastAsiaTheme="minorEastAsia" w:hAnsi="Palatino Linotype" w:cs="Arial"/>
          <w:sz w:val="24"/>
          <w:szCs w:val="24"/>
          <w:lang w:val="es-ES_tradnl" w:eastAsia="es-ES"/>
        </w:rPr>
        <w:t xml:space="preserve"> </w:t>
      </w:r>
      <w:r w:rsidRPr="00C40C29">
        <w:rPr>
          <w:rFonts w:ascii="Palatino Linotype" w:eastAsiaTheme="minorEastAsia" w:hAnsi="Palatino Linotype" w:cs="Arial"/>
          <w:sz w:val="24"/>
          <w:szCs w:val="24"/>
          <w:lang w:val="es-ES_tradnl" w:eastAsia="es-ES"/>
        </w:rPr>
        <w:t xml:space="preserve">Se </w:t>
      </w:r>
      <w:r w:rsidRPr="00C40C29">
        <w:rPr>
          <w:rFonts w:ascii="Palatino Linotype" w:eastAsiaTheme="minorEastAsia" w:hAnsi="Palatino Linotype" w:cs="Arial"/>
          <w:b/>
          <w:sz w:val="24"/>
          <w:szCs w:val="24"/>
          <w:lang w:val="es-ES_tradnl" w:eastAsia="es-ES"/>
        </w:rPr>
        <w:t>SOBRESEE</w:t>
      </w:r>
      <w:r>
        <w:rPr>
          <w:rFonts w:ascii="Palatino Linotype" w:eastAsiaTheme="minorEastAsia" w:hAnsi="Palatino Linotype" w:cs="Arial"/>
          <w:b/>
          <w:sz w:val="24"/>
          <w:szCs w:val="24"/>
          <w:lang w:val="es-ES_tradnl" w:eastAsia="es-ES"/>
        </w:rPr>
        <w:t>N</w:t>
      </w:r>
      <w:r w:rsidRPr="00C40C29">
        <w:rPr>
          <w:rFonts w:ascii="Palatino Linotype" w:eastAsiaTheme="minorEastAsia" w:hAnsi="Palatino Linotype" w:cs="Arial"/>
          <w:sz w:val="24"/>
          <w:szCs w:val="24"/>
          <w:lang w:val="es-ES_tradnl" w:eastAsia="es-ES"/>
        </w:rPr>
        <w:t xml:space="preserve"> </w:t>
      </w:r>
      <w:r>
        <w:rPr>
          <w:rFonts w:ascii="Palatino Linotype" w:eastAsiaTheme="minorEastAsia" w:hAnsi="Palatino Linotype" w:cs="Arial"/>
          <w:sz w:val="24"/>
          <w:szCs w:val="24"/>
          <w:lang w:val="es-ES_tradnl" w:eastAsia="es-ES"/>
        </w:rPr>
        <w:t>los</w:t>
      </w:r>
      <w:r w:rsidRPr="00C40C29">
        <w:rPr>
          <w:rFonts w:ascii="Palatino Linotype" w:eastAsiaTheme="minorEastAsia" w:hAnsi="Palatino Linotype" w:cs="Arial"/>
          <w:sz w:val="24"/>
          <w:szCs w:val="24"/>
          <w:lang w:val="es-ES_tradnl" w:eastAsia="es-ES"/>
        </w:rPr>
        <w:t xml:space="preserve"> recurso</w:t>
      </w:r>
      <w:r>
        <w:rPr>
          <w:rFonts w:ascii="Palatino Linotype" w:eastAsiaTheme="minorEastAsia" w:hAnsi="Palatino Linotype" w:cs="Arial"/>
          <w:sz w:val="24"/>
          <w:szCs w:val="24"/>
          <w:lang w:val="es-ES_tradnl" w:eastAsia="es-ES"/>
        </w:rPr>
        <w:t>s</w:t>
      </w:r>
      <w:r w:rsidRPr="00C40C29">
        <w:rPr>
          <w:rFonts w:ascii="Palatino Linotype" w:eastAsiaTheme="minorEastAsia" w:hAnsi="Palatino Linotype" w:cs="Arial"/>
          <w:sz w:val="24"/>
          <w:szCs w:val="24"/>
          <w:lang w:val="es-ES_tradnl" w:eastAsia="es-ES"/>
        </w:rPr>
        <w:t xml:space="preserve"> de revisión número</w:t>
      </w:r>
      <w:r>
        <w:rPr>
          <w:rFonts w:ascii="Palatino Linotype" w:eastAsiaTheme="minorEastAsia" w:hAnsi="Palatino Linotype" w:cs="Arial"/>
          <w:sz w:val="24"/>
          <w:szCs w:val="24"/>
          <w:lang w:val="es-ES_tradnl" w:eastAsia="es-ES"/>
        </w:rPr>
        <w:t>s</w:t>
      </w:r>
      <w:r w:rsidRPr="00C40C29">
        <w:rPr>
          <w:rFonts w:ascii="Palatino Linotype" w:eastAsiaTheme="minorEastAsia" w:hAnsi="Palatino Linotype" w:cs="Arial"/>
          <w:sz w:val="24"/>
          <w:szCs w:val="24"/>
          <w:lang w:val="es-ES_tradnl" w:eastAsia="es-ES"/>
        </w:rPr>
        <w:t xml:space="preserve"> </w:t>
      </w:r>
      <w:r>
        <w:rPr>
          <w:rFonts w:ascii="Palatino Linotype" w:hAnsi="Palatino Linotype" w:cs="Arial"/>
          <w:b/>
          <w:sz w:val="24"/>
          <w:szCs w:val="24"/>
        </w:rPr>
        <w:t xml:space="preserve">00200/INFOEM/IP/RR/2024 </w:t>
      </w:r>
      <w:r>
        <w:rPr>
          <w:rFonts w:ascii="Palatino Linotype" w:hAnsi="Palatino Linotype" w:cs="Arial"/>
          <w:bCs/>
          <w:sz w:val="24"/>
          <w:szCs w:val="24"/>
        </w:rPr>
        <w:t xml:space="preserve">y </w:t>
      </w:r>
      <w:r>
        <w:rPr>
          <w:rFonts w:ascii="Palatino Linotype" w:hAnsi="Palatino Linotype" w:cs="Arial"/>
          <w:b/>
          <w:sz w:val="24"/>
          <w:szCs w:val="24"/>
        </w:rPr>
        <w:t>00201/INFOEM/IP/RR/2024</w:t>
      </w:r>
      <w:r w:rsidRPr="00C40C29">
        <w:rPr>
          <w:rFonts w:ascii="Palatino Linotype" w:eastAsiaTheme="minorEastAsia" w:hAnsi="Palatino Linotype" w:cs="Arial"/>
          <w:sz w:val="24"/>
          <w:szCs w:val="24"/>
          <w:lang w:val="es-ES_tradnl" w:eastAsia="es-ES"/>
        </w:rPr>
        <w:t>, por</w:t>
      </w:r>
      <w:r>
        <w:rPr>
          <w:rFonts w:ascii="Palatino Linotype" w:eastAsiaTheme="minorEastAsia" w:hAnsi="Palatino Linotype" w:cs="Arial"/>
          <w:sz w:val="24"/>
          <w:szCs w:val="24"/>
          <w:lang w:val="es-ES_tradnl" w:eastAsia="es-ES"/>
        </w:rPr>
        <w:t xml:space="preserve">que </w:t>
      </w:r>
      <w:r w:rsidRPr="00DB139B">
        <w:rPr>
          <w:rFonts w:ascii="Palatino Linotype" w:eastAsiaTheme="minorEastAsia" w:hAnsi="Palatino Linotype" w:cs="Arial"/>
          <w:b/>
          <w:bCs/>
          <w:sz w:val="24"/>
          <w:szCs w:val="24"/>
          <w:lang w:val="es-ES_tradnl" w:eastAsia="es-ES"/>
        </w:rPr>
        <w:t>EL SUJETO OBLIGADO</w:t>
      </w:r>
      <w:r>
        <w:rPr>
          <w:rFonts w:ascii="Palatino Linotype" w:eastAsiaTheme="minorEastAsia" w:hAnsi="Palatino Linotype" w:cs="Arial"/>
          <w:sz w:val="24"/>
          <w:szCs w:val="24"/>
          <w:lang w:val="es-ES_tradnl" w:eastAsia="es-ES"/>
        </w:rPr>
        <w:t xml:space="preserve"> al modificar su respuesta, el recurso de revisión quedó </w:t>
      </w:r>
      <w:r w:rsidRPr="00C40C29">
        <w:rPr>
          <w:rFonts w:ascii="Palatino Linotype" w:eastAsiaTheme="minorEastAsia" w:hAnsi="Palatino Linotype" w:cs="Arial"/>
          <w:sz w:val="24"/>
          <w:szCs w:val="24"/>
          <w:lang w:val="es-ES_tradnl" w:eastAsia="es-ES"/>
        </w:rPr>
        <w:t>sin materia</w:t>
      </w:r>
      <w:r>
        <w:rPr>
          <w:rFonts w:ascii="Palatino Linotype" w:eastAsiaTheme="minorEastAsia" w:hAnsi="Palatino Linotype" w:cs="Arial"/>
          <w:sz w:val="24"/>
          <w:szCs w:val="24"/>
          <w:lang w:val="es-ES_tradnl" w:eastAsia="es-ES"/>
        </w:rPr>
        <w:t xml:space="preserve">, en términos del </w:t>
      </w:r>
      <w:r w:rsidRPr="00C40C29">
        <w:rPr>
          <w:rFonts w:ascii="Palatino Linotype" w:eastAsiaTheme="minorEastAsia" w:hAnsi="Palatino Linotype" w:cs="Arial"/>
          <w:sz w:val="24"/>
          <w:szCs w:val="24"/>
          <w:lang w:val="es-ES_tradnl" w:eastAsia="es-ES"/>
        </w:rPr>
        <w:t xml:space="preserve">artículo 192 fracción III de la Ley de Transparencia y Acceso a la Información Pública del Estado de México y Municipios, en términos del Considerando </w:t>
      </w:r>
      <w:r>
        <w:rPr>
          <w:rFonts w:ascii="Palatino Linotype" w:eastAsiaTheme="minorEastAsia" w:hAnsi="Palatino Linotype" w:cs="Arial"/>
          <w:b/>
          <w:sz w:val="24"/>
          <w:szCs w:val="24"/>
          <w:lang w:val="es-ES_tradnl" w:eastAsia="es-ES"/>
        </w:rPr>
        <w:t>CUARTO</w:t>
      </w:r>
      <w:r w:rsidRPr="00C40C29">
        <w:rPr>
          <w:rFonts w:ascii="Palatino Linotype" w:eastAsiaTheme="minorEastAsia" w:hAnsi="Palatino Linotype" w:cs="Arial"/>
          <w:sz w:val="24"/>
          <w:szCs w:val="24"/>
          <w:lang w:val="es-ES_tradnl" w:eastAsia="es-ES"/>
        </w:rPr>
        <w:t xml:space="preserve"> de la presente resolución.</w:t>
      </w:r>
    </w:p>
    <w:p w14:paraId="5A8D6618" w14:textId="77777777" w:rsidR="00116A83" w:rsidRPr="00895C52" w:rsidRDefault="00116A83" w:rsidP="00116A83">
      <w:pPr>
        <w:tabs>
          <w:tab w:val="left" w:pos="8647"/>
        </w:tabs>
        <w:spacing w:after="0" w:line="360" w:lineRule="auto"/>
        <w:ind w:right="51"/>
        <w:jc w:val="both"/>
        <w:rPr>
          <w:rFonts w:ascii="Palatino Linotype" w:eastAsiaTheme="minorEastAsia" w:hAnsi="Palatino Linotype" w:cs="Arial"/>
          <w:sz w:val="24"/>
          <w:szCs w:val="24"/>
          <w:lang w:eastAsia="es-ES"/>
        </w:rPr>
      </w:pPr>
    </w:p>
    <w:p w14:paraId="7D92838D" w14:textId="77777777" w:rsidR="00116A83" w:rsidRDefault="00116A83" w:rsidP="00116A83">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895C52">
        <w:rPr>
          <w:rFonts w:ascii="Palatino Linotype" w:eastAsiaTheme="minorEastAsia" w:hAnsi="Palatino Linotype" w:cs="Arial"/>
          <w:b/>
          <w:sz w:val="28"/>
          <w:szCs w:val="24"/>
          <w:lang w:val="es-ES_tradnl" w:eastAsia="es-ES"/>
        </w:rPr>
        <w:t>SEGUNDO</w:t>
      </w:r>
      <w:r w:rsidRPr="00895C52">
        <w:rPr>
          <w:rFonts w:ascii="Palatino Linotype" w:eastAsiaTheme="minorEastAsia" w:hAnsi="Palatino Linotype" w:cs="Arial"/>
          <w:b/>
          <w:sz w:val="24"/>
          <w:szCs w:val="24"/>
          <w:lang w:val="es-ES_tradnl" w:eastAsia="es-ES"/>
        </w:rPr>
        <w:t>.</w:t>
      </w:r>
      <w:r w:rsidRPr="00895C52">
        <w:rPr>
          <w:rFonts w:ascii="Palatino Linotype" w:eastAsiaTheme="minorEastAsia" w:hAnsi="Palatino Linotype" w:cs="Arial"/>
          <w:sz w:val="24"/>
          <w:szCs w:val="24"/>
          <w:lang w:val="es-ES_tradnl" w:eastAsia="es-ES"/>
        </w:rPr>
        <w:t xml:space="preserve"> </w:t>
      </w:r>
      <w:r w:rsidRPr="00895C52">
        <w:rPr>
          <w:rFonts w:ascii="Palatino Linotype" w:eastAsiaTheme="minorEastAsia" w:hAnsi="Palatino Linotype" w:cs="Arial"/>
          <w:b/>
          <w:sz w:val="24"/>
          <w:szCs w:val="24"/>
          <w:lang w:val="es-ES_tradnl" w:eastAsia="es-ES"/>
        </w:rPr>
        <w:t>NOTIFÍQUESE</w:t>
      </w:r>
      <w:r w:rsidRPr="00895C52">
        <w:rPr>
          <w:rFonts w:ascii="Palatino Linotype" w:eastAsiaTheme="minorEastAsia" w:hAnsi="Palatino Linotype" w:cs="Arial"/>
          <w:sz w:val="24"/>
          <w:szCs w:val="24"/>
          <w:lang w:val="es-ES_tradnl" w:eastAsia="es-ES"/>
        </w:rPr>
        <w:t xml:space="preserve"> vía </w:t>
      </w:r>
      <w:r w:rsidRPr="00895C52">
        <w:rPr>
          <w:rFonts w:ascii="Palatino Linotype" w:eastAsia="Times New Roman" w:hAnsi="Palatino Linotype" w:cs="Times New Roman"/>
          <w:sz w:val="24"/>
          <w:szCs w:val="24"/>
          <w:lang w:val="es-ES" w:eastAsia="es-ES"/>
        </w:rPr>
        <w:t>Sistema de Acceso a la Información Mexiquense</w:t>
      </w:r>
      <w:r w:rsidRPr="00DB139B">
        <w:rPr>
          <w:rFonts w:ascii="Palatino Linotype" w:eastAsiaTheme="minorEastAsia" w:hAnsi="Palatino Linotype" w:cs="Arial"/>
          <w:b/>
          <w:bCs/>
          <w:sz w:val="24"/>
          <w:szCs w:val="24"/>
          <w:lang w:val="es-ES_tradnl" w:eastAsia="es-ES"/>
        </w:rPr>
        <w:t xml:space="preserve"> </w:t>
      </w:r>
      <w:r>
        <w:rPr>
          <w:rFonts w:ascii="Palatino Linotype" w:eastAsiaTheme="minorEastAsia" w:hAnsi="Palatino Linotype" w:cs="Arial"/>
          <w:b/>
          <w:bCs/>
          <w:sz w:val="24"/>
          <w:szCs w:val="24"/>
          <w:lang w:val="es-ES_tradnl" w:eastAsia="es-ES"/>
        </w:rPr>
        <w:t>(</w:t>
      </w:r>
      <w:r w:rsidRPr="00DB139B">
        <w:rPr>
          <w:rFonts w:ascii="Palatino Linotype" w:eastAsiaTheme="minorEastAsia" w:hAnsi="Palatino Linotype" w:cs="Arial"/>
          <w:b/>
          <w:bCs/>
          <w:sz w:val="24"/>
          <w:szCs w:val="24"/>
          <w:lang w:val="es-ES_tradnl" w:eastAsia="es-ES"/>
        </w:rPr>
        <w:t>SAIMEX</w:t>
      </w:r>
      <w:r>
        <w:rPr>
          <w:rFonts w:ascii="Palatino Linotype" w:eastAsiaTheme="minorEastAsia" w:hAnsi="Palatino Linotype" w:cs="Arial"/>
          <w:b/>
          <w:bCs/>
          <w:sz w:val="24"/>
          <w:szCs w:val="24"/>
          <w:lang w:val="es-ES_tradnl" w:eastAsia="es-ES"/>
        </w:rPr>
        <w:t>)</w:t>
      </w:r>
      <w:r w:rsidRPr="00895C52">
        <w:rPr>
          <w:rFonts w:ascii="Palatino Linotype" w:eastAsiaTheme="minorEastAsia" w:hAnsi="Palatino Linotype" w:cs="Arial"/>
          <w:sz w:val="24"/>
          <w:szCs w:val="24"/>
          <w:lang w:val="es-ES_tradnl" w:eastAsia="es-ES"/>
        </w:rPr>
        <w:t xml:space="preserve"> la presente resolución al Titular de la Unidad de Transparencia del </w:t>
      </w:r>
      <w:r w:rsidRPr="00895C52">
        <w:rPr>
          <w:rFonts w:ascii="Palatino Linotype" w:eastAsiaTheme="minorEastAsia" w:hAnsi="Palatino Linotype" w:cs="Arial"/>
          <w:b/>
          <w:sz w:val="24"/>
          <w:szCs w:val="24"/>
          <w:lang w:val="es-ES_tradnl" w:eastAsia="es-ES"/>
        </w:rPr>
        <w:t>Sujeto Obligado</w:t>
      </w:r>
      <w:r w:rsidRPr="00895C52">
        <w:rPr>
          <w:rFonts w:ascii="Palatino Linotype" w:eastAsiaTheme="minorEastAsia" w:hAnsi="Palatino Linotype" w:cs="Arial"/>
          <w:sz w:val="24"/>
          <w:szCs w:val="24"/>
          <w:lang w:val="es-ES_tradnl" w:eastAsia="es-ES"/>
        </w:rPr>
        <w:t>.</w:t>
      </w:r>
    </w:p>
    <w:p w14:paraId="78CDBA72" w14:textId="77777777" w:rsidR="00116A83" w:rsidRDefault="00116A83" w:rsidP="00116A83">
      <w:pPr>
        <w:tabs>
          <w:tab w:val="left" w:pos="8647"/>
        </w:tabs>
        <w:spacing w:after="0" w:line="360" w:lineRule="auto"/>
        <w:ind w:right="51"/>
        <w:jc w:val="both"/>
        <w:rPr>
          <w:rFonts w:ascii="Palatino Linotype" w:eastAsiaTheme="minorEastAsia" w:hAnsi="Palatino Linotype" w:cs="Arial"/>
          <w:sz w:val="24"/>
          <w:szCs w:val="24"/>
          <w:lang w:val="es-ES_tradnl" w:eastAsia="es-ES"/>
        </w:rPr>
      </w:pPr>
    </w:p>
    <w:p w14:paraId="07769BEE" w14:textId="77777777" w:rsidR="00116A83" w:rsidRPr="00895C52" w:rsidRDefault="00116A83" w:rsidP="00116A83">
      <w:pPr>
        <w:tabs>
          <w:tab w:val="left" w:pos="8647"/>
        </w:tabs>
        <w:spacing w:after="0" w:line="360" w:lineRule="auto"/>
        <w:ind w:right="51"/>
        <w:jc w:val="both"/>
        <w:rPr>
          <w:rFonts w:ascii="Palatino Linotype" w:eastAsiaTheme="minorEastAsia" w:hAnsi="Palatino Linotype" w:cs="Arial"/>
          <w:sz w:val="24"/>
          <w:szCs w:val="24"/>
          <w:lang w:val="es-ES_tradnl" w:eastAsia="es-ES"/>
        </w:rPr>
      </w:pPr>
    </w:p>
    <w:p w14:paraId="6C48BE51" w14:textId="77777777" w:rsidR="00116A83" w:rsidRDefault="00116A83" w:rsidP="00116A83">
      <w:pPr>
        <w:spacing w:after="0" w:line="360" w:lineRule="auto"/>
        <w:jc w:val="both"/>
        <w:rPr>
          <w:rFonts w:ascii="Palatino Linotype" w:eastAsia="Times New Roman" w:hAnsi="Palatino Linotype" w:cs="Arial"/>
          <w:sz w:val="24"/>
          <w:szCs w:val="24"/>
          <w:lang w:val="es-ES" w:eastAsia="es-ES"/>
        </w:rPr>
      </w:pPr>
      <w:r w:rsidRPr="00895C52">
        <w:rPr>
          <w:rFonts w:ascii="Palatino Linotype" w:eastAsia="Times New Roman" w:hAnsi="Palatino Linotype" w:cs="Arial"/>
          <w:b/>
          <w:sz w:val="28"/>
          <w:szCs w:val="24"/>
          <w:lang w:val="es-ES" w:eastAsia="es-ES"/>
        </w:rPr>
        <w:t>TERCERO</w:t>
      </w:r>
      <w:r w:rsidRPr="00895C52">
        <w:rPr>
          <w:rFonts w:ascii="Palatino Linotype" w:eastAsia="Times New Roman" w:hAnsi="Palatino Linotype" w:cs="Arial"/>
          <w:b/>
          <w:sz w:val="24"/>
          <w:szCs w:val="24"/>
          <w:lang w:val="es-ES" w:eastAsia="es-ES"/>
        </w:rPr>
        <w:t>.</w:t>
      </w:r>
      <w:r w:rsidRPr="00895C52">
        <w:rPr>
          <w:rFonts w:ascii="Palatino Linotype" w:eastAsia="Times New Roman" w:hAnsi="Palatino Linotype" w:cs="Arial"/>
          <w:sz w:val="24"/>
          <w:szCs w:val="24"/>
          <w:lang w:val="es-ES" w:eastAsia="es-ES"/>
        </w:rPr>
        <w:t xml:space="preserve"> </w:t>
      </w:r>
      <w:r w:rsidRPr="00895C52">
        <w:rPr>
          <w:rFonts w:ascii="Palatino Linotype" w:eastAsia="Times New Roman" w:hAnsi="Palatino Linotype" w:cs="Arial"/>
          <w:b/>
          <w:sz w:val="24"/>
          <w:szCs w:val="24"/>
          <w:lang w:val="es-ES" w:eastAsia="es-ES"/>
        </w:rPr>
        <w:t>NOTIFÍQUESE</w:t>
      </w:r>
      <w:r w:rsidRPr="00895C52">
        <w:rPr>
          <w:rFonts w:ascii="Palatino Linotype" w:eastAsia="Times New Roman" w:hAnsi="Palatino Linotype" w:cs="Arial"/>
          <w:sz w:val="24"/>
          <w:szCs w:val="24"/>
          <w:lang w:val="es-ES" w:eastAsia="es-ES"/>
        </w:rPr>
        <w:t xml:space="preserve"> a través del</w:t>
      </w:r>
      <w:r w:rsidRPr="00895C52">
        <w:rPr>
          <w:rFonts w:ascii="Palatino Linotype" w:eastAsia="Times New Roman" w:hAnsi="Palatino Linotype" w:cs="Times New Roman"/>
          <w:sz w:val="24"/>
          <w:szCs w:val="24"/>
          <w:lang w:val="es-ES" w:eastAsia="es-ES"/>
        </w:rPr>
        <w:t xml:space="preserve"> Sistema de Acceso a la Información Mexiquense </w:t>
      </w:r>
      <w:r w:rsidRPr="00DB139B">
        <w:rPr>
          <w:rFonts w:ascii="Palatino Linotype" w:eastAsia="Times New Roman" w:hAnsi="Palatino Linotype" w:cs="Times New Roman"/>
          <w:b/>
          <w:bCs/>
          <w:sz w:val="24"/>
          <w:szCs w:val="24"/>
          <w:lang w:val="es-ES" w:eastAsia="es-ES"/>
        </w:rPr>
        <w:t>(SAIMEX)</w:t>
      </w:r>
      <w:r w:rsidRPr="00DB139B">
        <w:rPr>
          <w:rFonts w:ascii="Palatino Linotype" w:eastAsia="Times New Roman" w:hAnsi="Palatino Linotype" w:cs="Arial"/>
          <w:b/>
          <w:bCs/>
          <w:sz w:val="24"/>
          <w:szCs w:val="24"/>
          <w:lang w:val="es-ES" w:eastAsia="es-ES"/>
        </w:rPr>
        <w:t>,</w:t>
      </w:r>
      <w:r w:rsidRPr="00895C52">
        <w:rPr>
          <w:rFonts w:ascii="Palatino Linotype" w:eastAsia="Times New Roman" w:hAnsi="Palatino Linotype" w:cs="Arial"/>
          <w:sz w:val="24"/>
          <w:szCs w:val="24"/>
          <w:lang w:val="es-ES" w:eastAsia="es-ES"/>
        </w:rPr>
        <w:t xml:space="preserve"> </w:t>
      </w:r>
      <w:r>
        <w:rPr>
          <w:rFonts w:ascii="Palatino Linotype" w:eastAsia="Times New Roman" w:hAnsi="Palatino Linotype" w:cs="Arial"/>
          <w:sz w:val="24"/>
          <w:szCs w:val="24"/>
          <w:lang w:val="es-ES" w:eastAsia="es-ES"/>
        </w:rPr>
        <w:t>al</w:t>
      </w:r>
      <w:r w:rsidRPr="00895C52">
        <w:rPr>
          <w:rFonts w:ascii="Palatino Linotype" w:eastAsia="Times New Roman" w:hAnsi="Palatino Linotype" w:cs="Arial"/>
          <w:sz w:val="24"/>
          <w:szCs w:val="24"/>
          <w:lang w:val="es-ES" w:eastAsia="es-ES"/>
        </w:rPr>
        <w:t xml:space="preserve"> </w:t>
      </w:r>
      <w:r w:rsidRPr="00895C52">
        <w:rPr>
          <w:rFonts w:ascii="Palatino Linotype" w:eastAsia="Times New Roman" w:hAnsi="Palatino Linotype" w:cs="Arial"/>
          <w:b/>
          <w:sz w:val="24"/>
          <w:szCs w:val="24"/>
          <w:lang w:val="es-ES" w:eastAsia="es-ES"/>
        </w:rPr>
        <w:t xml:space="preserve">RECURRENTE </w:t>
      </w:r>
      <w:r w:rsidRPr="00895C52">
        <w:rPr>
          <w:rFonts w:ascii="Palatino Linotype" w:eastAsia="Times New Roman" w:hAnsi="Palatino Linotype" w:cs="Arial"/>
          <w:sz w:val="24"/>
          <w:szCs w:val="24"/>
          <w:lang w:val="es-ES" w:eastAsia="es-ES"/>
        </w:rPr>
        <w:t>la presente resolución y hágase del conocimiento que en caso de que considere que la presente resolución le causa algún perjuicio, podrá promover el Juicio de Amparo en los términos de las leyes aplicables, de acuerdo con lo estipulado por el artículo 196 de la Ley de Transparencia y Acceso a la Información Pública del Estado de México y Municipios.</w:t>
      </w:r>
    </w:p>
    <w:p w14:paraId="50F4E2DA" w14:textId="77777777" w:rsidR="00116A83" w:rsidRPr="00116A83" w:rsidRDefault="00116A83" w:rsidP="00116A83">
      <w:pPr>
        <w:tabs>
          <w:tab w:val="left" w:pos="8080"/>
        </w:tabs>
        <w:spacing w:line="360" w:lineRule="auto"/>
        <w:jc w:val="both"/>
        <w:rPr>
          <w:rFonts w:ascii="Palatino Linotype" w:hAnsi="Palatino Linotype" w:cs="Arial"/>
          <w:bCs/>
          <w:sz w:val="24"/>
          <w:szCs w:val="24"/>
          <w:lang w:val="es-ES"/>
        </w:rPr>
      </w:pPr>
    </w:p>
    <w:p w14:paraId="3945C4B7" w14:textId="55E17013" w:rsidR="0020478C" w:rsidRPr="00627D99" w:rsidRDefault="0020478C" w:rsidP="0020478C">
      <w:pPr>
        <w:pStyle w:val="Prrafodelista"/>
        <w:autoSpaceDE w:val="0"/>
        <w:autoSpaceDN w:val="0"/>
        <w:adjustRightInd w:val="0"/>
        <w:spacing w:before="240" w:after="160" w:line="360" w:lineRule="auto"/>
        <w:ind w:left="0"/>
        <w:jc w:val="both"/>
        <w:rPr>
          <w:rFonts w:ascii="Palatino Linotype" w:hAnsi="Palatino Linotype" w:cs="Arial"/>
          <w:sz w:val="23"/>
          <w:szCs w:val="23"/>
        </w:rPr>
      </w:pPr>
      <w:r>
        <w:rPr>
          <w:rFonts w:ascii="Palatino Linotype" w:hAnsi="Palatino Linotype" w:cs="Arial"/>
        </w:rPr>
        <w:t>A</w:t>
      </w:r>
      <w:r w:rsidRPr="00C91103">
        <w:rPr>
          <w:rFonts w:ascii="Palatino Linotype" w:hAnsi="Palatino Linotype" w:cs="Arial"/>
        </w:rPr>
        <w:t xml:space="preserve">SÍ LO </w:t>
      </w:r>
      <w:r>
        <w:rPr>
          <w:rFonts w:ascii="Palatino Linotype" w:hAnsi="Palatino Linotype" w:cs="Arial"/>
        </w:rPr>
        <w:t>ACORDÓ</w:t>
      </w:r>
      <w:r w:rsidRPr="00C91103">
        <w:rPr>
          <w:rFonts w:ascii="Palatino Linotype" w:hAnsi="Palatino Linotype" w:cs="Arial"/>
        </w:rPr>
        <w:t xml:space="preserve">, POR </w:t>
      </w:r>
      <w:r w:rsidR="00690BAF">
        <w:rPr>
          <w:rFonts w:ascii="Palatino Linotype" w:hAnsi="Palatino Linotype" w:cs="Arial"/>
        </w:rPr>
        <w:t>MAYORÍA</w:t>
      </w:r>
      <w:r w:rsidRPr="00C91103">
        <w:rPr>
          <w:rFonts w:ascii="Palatino Linotype" w:hAnsi="Palatino Linotype" w:cs="Arial"/>
        </w:rPr>
        <w:t xml:space="preserve">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CONFORMADO POR LOS COMISIONADOS</w:t>
      </w:r>
      <w:r>
        <w:rPr>
          <w:rFonts w:ascii="Palatino Linotype" w:hAnsi="Palatino Linotype" w:cs="Arial"/>
        </w:rPr>
        <w:t xml:space="preserve"> JOSÉ MARTÍNEZ VILCHIS, MARÍA DEL ROSARIO </w:t>
      </w:r>
      <w:r w:rsidRPr="00266B85">
        <w:rPr>
          <w:rFonts w:ascii="Palatino Linotype" w:hAnsi="Palatino Linotype" w:cs="Arial"/>
        </w:rPr>
        <w:t>MEJÍA AYALA, S</w:t>
      </w:r>
      <w:r>
        <w:rPr>
          <w:rFonts w:ascii="Palatino Linotype" w:hAnsi="Palatino Linotype" w:cs="Arial"/>
        </w:rPr>
        <w:t xml:space="preserve">HARON CRISTINA MORALES MARTÍNEZ, </w:t>
      </w:r>
      <w:r w:rsidRPr="00266B85">
        <w:rPr>
          <w:rFonts w:ascii="Palatino Linotype" w:hAnsi="Palatino Linotype" w:cs="Arial"/>
        </w:rPr>
        <w:t>LUIS GUSTAVO PARRA NORIEGA</w:t>
      </w:r>
      <w:r>
        <w:rPr>
          <w:rFonts w:ascii="Palatino Linotype" w:hAnsi="Palatino Linotype" w:cs="Arial"/>
        </w:rPr>
        <w:t xml:space="preserve"> </w:t>
      </w:r>
      <w:r w:rsidRPr="00266B85">
        <w:rPr>
          <w:rFonts w:ascii="Palatino Linotype" w:hAnsi="Palatino Linotype" w:cs="Arial"/>
        </w:rPr>
        <w:t>Y GUADALUPE RAMÍREZ PEÑA</w:t>
      </w:r>
      <w:r w:rsidR="00A04796">
        <w:rPr>
          <w:rFonts w:ascii="Palatino Linotype" w:hAnsi="Palatino Linotype" w:cs="Arial"/>
        </w:rPr>
        <w:t xml:space="preserve"> (EMITIENDO </w:t>
      </w:r>
      <w:r w:rsidR="00690BAF">
        <w:rPr>
          <w:rFonts w:ascii="Palatino Linotype" w:hAnsi="Palatino Linotype" w:cs="Arial"/>
        </w:rPr>
        <w:t xml:space="preserve">VOTO DISIDENTE); EN LA OCTAVA SESIÓN ORDINARIA CELEBRADA EL SEIS DE MARZO DE </w:t>
      </w:r>
      <w:r>
        <w:rPr>
          <w:rFonts w:ascii="Palatino Linotype" w:hAnsi="Palatino Linotype" w:cs="Arial"/>
        </w:rPr>
        <w:t xml:space="preserve">DOS MIL VEINTICUATRO, ANTE EL SECRETARIO </w:t>
      </w:r>
      <w:r w:rsidRPr="00627D99">
        <w:rPr>
          <w:rFonts w:ascii="Palatino Linotype" w:hAnsi="Palatino Linotype" w:cs="Arial"/>
          <w:sz w:val="23"/>
          <w:szCs w:val="23"/>
        </w:rPr>
        <w:t xml:space="preserve">TÉCNICO DEL PLENO, ALEXIS TAPIA RAMÍREZ. </w:t>
      </w:r>
    </w:p>
    <w:p w14:paraId="44987334" w14:textId="77777777" w:rsidR="0020478C" w:rsidRDefault="0020478C" w:rsidP="0020478C">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3AFFFE2D" w14:textId="52C04C0B" w:rsidR="00C56CD2" w:rsidRDefault="003F551C"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r>
        <w:rPr>
          <w:rFonts w:ascii="Palatino Linotype" w:hAnsi="Palatino Linotype"/>
          <w:bCs/>
          <w:noProof/>
          <w:sz w:val="18"/>
          <w:szCs w:val="18"/>
          <w:lang w:val="es-MX" w:eastAsia="es-MX"/>
        </w:rPr>
        <mc:AlternateContent>
          <mc:Choice Requires="wps">
            <w:drawing>
              <wp:anchor distT="0" distB="0" distL="114300" distR="114300" simplePos="0" relativeHeight="251792374" behindDoc="0" locked="0" layoutInCell="1" allowOverlap="1" wp14:anchorId="3632116C" wp14:editId="64DB3231">
                <wp:simplePos x="0" y="0"/>
                <wp:positionH relativeFrom="column">
                  <wp:posOffset>-51435</wp:posOffset>
                </wp:positionH>
                <wp:positionV relativeFrom="paragraph">
                  <wp:posOffset>103505</wp:posOffset>
                </wp:positionV>
                <wp:extent cx="6256020" cy="1409700"/>
                <wp:effectExtent l="0" t="0" r="30480" b="19050"/>
                <wp:wrapNone/>
                <wp:docPr id="422971818" name="Straight Connector 1"/>
                <wp:cNvGraphicFramePr/>
                <a:graphic xmlns:a="http://schemas.openxmlformats.org/drawingml/2006/main">
                  <a:graphicData uri="http://schemas.microsoft.com/office/word/2010/wordprocessingShape">
                    <wps:wsp>
                      <wps:cNvCnPr/>
                      <wps:spPr>
                        <a:xfrm>
                          <a:off x="0" y="0"/>
                          <a:ext cx="6256020" cy="1409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3DE28F0" id="Straight Connector 1" o:spid="_x0000_s1026" style="position:absolute;z-index:251792374;visibility:visible;mso-wrap-style:square;mso-wrap-distance-left:9pt;mso-wrap-distance-top:0;mso-wrap-distance-right:9pt;mso-wrap-distance-bottom:0;mso-position-horizontal:absolute;mso-position-horizontal-relative:text;mso-position-vertical:absolute;mso-position-vertical-relative:text" from="-4.05pt,8.15pt" to="488.55pt,1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y01owEAAJoDAAAOAAAAZHJzL2Uyb0RvYy54bWysU8Fu2zAMvQ/YPwi6N7aDLtuMOD202C5F&#10;V2zdB6gyFQuQREHSYufvSymJM2wFiha9yKLE98j3RK+vJmvYDkLU6DreLGrOwEnstdt2/PfDt4sv&#10;nMUkXC8MOuj4HiK/2nz8sB59C0sc0PQQGJG42I6+40NKvq2qKAewIi7Qg6NLhcGKRGHYVn0QI7Fb&#10;Uy3relWNGHofUEKMdHpzuOSbwq8UyPRDqQiJmY5Tb6msoayPea02a9Fug/CDlsc2xBu6sEI7KjpT&#10;3Ygk2J+g/6OyWgaMqNJCoq1QKS2haCA1Tf2Pml+D8FC0kDnRzzbF96OVd7trdx/IhtHHNvr7kFVM&#10;Ktj8pf7YVMzaz2bBlJikw9Xy06pekqeS7prL+uvnuthZneE+xPQd0LK86bjRLqsRrdjdxkQlKfWU&#10;QsG5gbJLewM52bifoJjuqWRT0GU24NoEthP0qkJKcKnJL0l8JTvDlDZmBtYvA4/5GQplbl4DnhGl&#10;Mro0g612GJ6rnqZTy+qQf3LgoDtb8Ij9vjxNsYYGoCg8DmuesL/jAj//UpsnAAAA//8DAFBLAwQU&#10;AAYACAAAACEAwEP/v+EAAAAJAQAADwAAAGRycy9kb3ducmV2LnhtbEyPQUvDQBCF74L/YRnBW7tp&#10;Am2M2ZRSEGtBilWox212TKLZ2ZDdNum/d3rS47z3ePO9fDnaVpyx940jBbNpBAKpdKahSsHH+9Mk&#10;BeGDJqNbR6jggh6Wxe1NrjPjBnrD8z5UgkvIZ1pBHUKXSenLGq32U9chsffleqsDn30lTa8HLret&#10;jKNoLq1uiD/UusN1jeXP/mQVvPabzXq1vXzT7tMOh3h72L2Mz0rd342rRxABx/AXhis+o0PBTEd3&#10;IuNFq2CSzjjJ+jwBwf7DYsHCUUGcpAnIIpf/FxS/AAAA//8DAFBLAQItABQABgAIAAAAIQC2gziS&#10;/gAAAOEBAAATAAAAAAAAAAAAAAAAAAAAAABbQ29udGVudF9UeXBlc10ueG1sUEsBAi0AFAAGAAgA&#10;AAAhADj9If/WAAAAlAEAAAsAAAAAAAAAAAAAAAAALwEAAF9yZWxzLy5yZWxzUEsBAi0AFAAGAAgA&#10;AAAhABO3LTWjAQAAmgMAAA4AAAAAAAAAAAAAAAAALgIAAGRycy9lMm9Eb2MueG1sUEsBAi0AFAAG&#10;AAgAAAAhAMBD/7/hAAAACQEAAA8AAAAAAAAAAAAAAAAA/QMAAGRycy9kb3ducmV2LnhtbFBLBQYA&#10;AAAABAAEAPMAAAALBQAAAAA=&#10;" strokecolor="#5b9bd5 [3204]" strokeweight=".5pt">
                <v:stroke joinstyle="miter"/>
              </v:line>
            </w:pict>
          </mc:Fallback>
        </mc:AlternateContent>
      </w:r>
    </w:p>
    <w:p w14:paraId="2B27618E"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56DDDC37"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36C38220"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633E8CE0"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6EEF5C42"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4BA21745"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1AC44BE7"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68822553"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73EEE5FA"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37292889"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73F03DF0"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2527B175"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7EAC49FA"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169396D0"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15DF8402"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0A025D97"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412A9CF2" w14:textId="77777777" w:rsidR="00C56CD2" w:rsidRPr="003721AF"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43A714A8" w14:textId="77777777" w:rsidR="006329AB" w:rsidRDefault="006329AB" w:rsidP="00787D06">
      <w:pPr>
        <w:spacing w:line="360" w:lineRule="auto"/>
        <w:contextualSpacing/>
        <w:jc w:val="both"/>
        <w:rPr>
          <w:rFonts w:ascii="Palatino Linotype" w:eastAsia="MS Mincho" w:hAnsi="Palatino Linotype"/>
        </w:rPr>
      </w:pPr>
    </w:p>
    <w:sectPr w:rsidR="006329AB" w:rsidSect="008A526C">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B112FB" w14:textId="77777777" w:rsidR="008A526C" w:rsidRDefault="008A526C" w:rsidP="006168E4">
      <w:pPr>
        <w:spacing w:after="0" w:line="240" w:lineRule="auto"/>
      </w:pPr>
      <w:r>
        <w:separator/>
      </w:r>
    </w:p>
  </w:endnote>
  <w:endnote w:type="continuationSeparator" w:id="0">
    <w:p w14:paraId="3B194377" w14:textId="77777777" w:rsidR="008A526C" w:rsidRDefault="008A526C"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ontserrat">
    <w:altName w:val="Times New Roman"/>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2E2BC"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F36C0">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F36C0">
      <w:rPr>
        <w:rFonts w:ascii="Palatino Linotype" w:hAnsi="Palatino Linotype"/>
        <w:bCs/>
        <w:noProof/>
        <w:sz w:val="20"/>
      </w:rPr>
      <w:t>45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5FBE9"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F36C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F36C0">
      <w:rPr>
        <w:rFonts w:ascii="Palatino Linotype" w:hAnsi="Palatino Linotype"/>
        <w:bCs/>
        <w:noProof/>
        <w:sz w:val="20"/>
      </w:rPr>
      <w:t>45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D8D133" w14:textId="77777777" w:rsidR="008A526C" w:rsidRDefault="008A526C" w:rsidP="006168E4">
      <w:pPr>
        <w:spacing w:after="0" w:line="240" w:lineRule="auto"/>
      </w:pPr>
      <w:r>
        <w:separator/>
      </w:r>
    </w:p>
  </w:footnote>
  <w:footnote w:type="continuationSeparator" w:id="0">
    <w:p w14:paraId="08EF7C2A" w14:textId="77777777" w:rsidR="008A526C" w:rsidRDefault="008A526C" w:rsidP="006168E4">
      <w:pPr>
        <w:spacing w:after="0" w:line="240" w:lineRule="auto"/>
      </w:pPr>
      <w:r>
        <w:continuationSeparator/>
      </w:r>
    </w:p>
  </w:footnote>
  <w:footnote w:id="1">
    <w:p w14:paraId="55724FBF" w14:textId="77777777" w:rsidR="00116A83" w:rsidRPr="00911081" w:rsidRDefault="00116A83" w:rsidP="00116A83">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D6A4062" w14:textId="77777777" w:rsidR="00116A83" w:rsidRPr="00911081" w:rsidRDefault="00116A83" w:rsidP="00116A83">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88AE9" w14:textId="2523050D"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B20C00A" wp14:editId="1CC8AE94">
          <wp:simplePos x="0" y="0"/>
          <wp:positionH relativeFrom="page">
            <wp:posOffset>635</wp:posOffset>
          </wp:positionH>
          <wp:positionV relativeFrom="page">
            <wp:posOffset>48260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D338F0" w14:paraId="46A8AAF9" w14:textId="77777777" w:rsidTr="0065263E">
      <w:trPr>
        <w:trHeight w:val="227"/>
      </w:trPr>
      <w:tc>
        <w:tcPr>
          <w:tcW w:w="5529" w:type="dxa"/>
          <w:hideMark/>
        </w:tcPr>
        <w:p w14:paraId="26B5EE34" w14:textId="3BF445B5"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C800766" w14:textId="75B0FF4C" w:rsidR="00D338F0" w:rsidRPr="00B4142F" w:rsidRDefault="008140A4"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00200</w:t>
          </w:r>
          <w:r w:rsidR="00D338F0">
            <w:rPr>
              <w:rFonts w:ascii="Palatino Linotype" w:hAnsi="Palatino Linotype" w:cs="Arial"/>
              <w:bCs/>
              <w:sz w:val="24"/>
              <w:lang w:eastAsia="es-MX"/>
            </w:rPr>
            <w:t>/INFOEM/IP/RR/202</w:t>
          </w:r>
          <w:r>
            <w:rPr>
              <w:rFonts w:ascii="Palatino Linotype" w:hAnsi="Palatino Linotype" w:cs="Arial"/>
              <w:bCs/>
              <w:sz w:val="24"/>
              <w:lang w:eastAsia="es-MX"/>
            </w:rPr>
            <w:t>4 y acumulado</w:t>
          </w:r>
        </w:p>
      </w:tc>
    </w:tr>
    <w:tr w:rsidR="00D338F0" w14:paraId="0E72512B" w14:textId="77777777" w:rsidTr="0065263E">
      <w:trPr>
        <w:trHeight w:val="242"/>
      </w:trPr>
      <w:tc>
        <w:tcPr>
          <w:tcW w:w="5529" w:type="dxa"/>
          <w:hideMark/>
        </w:tcPr>
        <w:p w14:paraId="4FB3E0E8" w14:textId="77777777"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2C804F0" w14:textId="11C2BE94" w:rsidR="00D338F0" w:rsidRPr="00F06FED" w:rsidRDefault="00736C2C" w:rsidP="00F4623D">
          <w:pPr>
            <w:spacing w:after="120" w:line="256" w:lineRule="auto"/>
            <w:ind w:left="639" w:right="214"/>
            <w:jc w:val="both"/>
            <w:rPr>
              <w:rFonts w:ascii="Palatino Linotype" w:hAnsi="Palatino Linotype" w:cs="Arial"/>
            </w:rPr>
          </w:pPr>
          <w:r>
            <w:rPr>
              <w:rFonts w:ascii="Palatino Linotype" w:hAnsi="Palatino Linotype" w:cs="Arial"/>
              <w:szCs w:val="20"/>
            </w:rPr>
            <w:t>Secretaría de Finanzas</w:t>
          </w:r>
        </w:p>
      </w:tc>
    </w:tr>
    <w:tr w:rsidR="00D338F0" w14:paraId="3365CD96" w14:textId="77777777" w:rsidTr="0065263E">
      <w:trPr>
        <w:trHeight w:val="342"/>
      </w:trPr>
      <w:tc>
        <w:tcPr>
          <w:tcW w:w="5529" w:type="dxa"/>
          <w:hideMark/>
        </w:tcPr>
        <w:p w14:paraId="52A09A43" w14:textId="77777777" w:rsidR="00D338F0" w:rsidRDefault="00D338F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64AECA8" w14:textId="70DC65D6" w:rsidR="00D338F0" w:rsidRDefault="00D338F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638CC457" w14:textId="77777777" w:rsidR="00D338F0" w:rsidRDefault="00D338F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D338F0" w14:paraId="02D9F2E3" w14:textId="77777777" w:rsidTr="0065263E">
      <w:trPr>
        <w:trHeight w:val="227"/>
      </w:trPr>
      <w:tc>
        <w:tcPr>
          <w:tcW w:w="5529" w:type="dxa"/>
          <w:hideMark/>
        </w:tcPr>
        <w:p w14:paraId="3EA02FD0" w14:textId="3139CF90"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571C00" w14:textId="71102FD1" w:rsidR="00D338F0" w:rsidRPr="00B4142F" w:rsidRDefault="008140A4"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00200</w:t>
          </w:r>
          <w:r w:rsidR="00D338F0">
            <w:rPr>
              <w:rFonts w:ascii="Palatino Linotype" w:hAnsi="Palatino Linotype" w:cs="Arial"/>
              <w:bCs/>
              <w:sz w:val="24"/>
              <w:lang w:eastAsia="es-MX"/>
            </w:rPr>
            <w:t>/INFOEM/IP/RR/202</w:t>
          </w:r>
          <w:r>
            <w:rPr>
              <w:rFonts w:ascii="Palatino Linotype" w:hAnsi="Palatino Linotype" w:cs="Arial"/>
              <w:bCs/>
              <w:sz w:val="24"/>
              <w:lang w:eastAsia="es-MX"/>
            </w:rPr>
            <w:t>4 y acumulado</w:t>
          </w:r>
        </w:p>
      </w:tc>
    </w:tr>
    <w:tr w:rsidR="00D338F0" w14:paraId="5AC92493" w14:textId="77777777" w:rsidTr="0065263E">
      <w:trPr>
        <w:trHeight w:val="196"/>
      </w:trPr>
      <w:tc>
        <w:tcPr>
          <w:tcW w:w="5529" w:type="dxa"/>
          <w:hideMark/>
        </w:tcPr>
        <w:p w14:paraId="7E479B7E"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C253759" w14:textId="3F0D8BC2" w:rsidR="00D338F0" w:rsidRPr="00F06FED" w:rsidRDefault="00736C2C" w:rsidP="00FF36C0">
          <w:pPr>
            <w:spacing w:after="120" w:line="256" w:lineRule="auto"/>
            <w:ind w:left="639" w:right="214"/>
            <w:jc w:val="both"/>
            <w:rPr>
              <w:rFonts w:ascii="Palatino Linotype" w:hAnsi="Palatino Linotype" w:cs="Arial"/>
            </w:rPr>
          </w:pPr>
          <w:r>
            <w:rPr>
              <w:rFonts w:ascii="Palatino Linotype" w:hAnsi="Palatino Linotype" w:cs="Arial"/>
            </w:rPr>
            <w:t xml:space="preserve"> </w:t>
          </w:r>
          <w:r w:rsidR="00FF36C0">
            <w:rPr>
              <w:rFonts w:ascii="Palatino Linotype" w:hAnsi="Palatino Linotype" w:cs="Arial"/>
            </w:rPr>
            <w:t>XXXXXXXXX</w:t>
          </w:r>
        </w:p>
      </w:tc>
    </w:tr>
    <w:tr w:rsidR="00D338F0" w14:paraId="48DDE1B1" w14:textId="77777777" w:rsidTr="0065263E">
      <w:trPr>
        <w:trHeight w:val="242"/>
      </w:trPr>
      <w:tc>
        <w:tcPr>
          <w:tcW w:w="5529" w:type="dxa"/>
          <w:hideMark/>
        </w:tcPr>
        <w:p w14:paraId="718D1409"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C46880B" w14:textId="215574F6" w:rsidR="00D338F0" w:rsidRDefault="00736C2C" w:rsidP="00F4623D">
          <w:pPr>
            <w:spacing w:after="120" w:line="256" w:lineRule="auto"/>
            <w:ind w:left="639" w:right="214"/>
            <w:jc w:val="both"/>
            <w:rPr>
              <w:rFonts w:ascii="Palatino Linotype" w:hAnsi="Palatino Linotype" w:cs="Arial"/>
              <w:szCs w:val="20"/>
            </w:rPr>
          </w:pPr>
          <w:r>
            <w:rPr>
              <w:rFonts w:ascii="Palatino Linotype" w:hAnsi="Palatino Linotype" w:cs="Arial"/>
              <w:szCs w:val="20"/>
            </w:rPr>
            <w:t>Secretaría de Finanzas</w:t>
          </w:r>
        </w:p>
      </w:tc>
    </w:tr>
    <w:tr w:rsidR="00D338F0" w14:paraId="2E924228" w14:textId="77777777" w:rsidTr="0065263E">
      <w:trPr>
        <w:trHeight w:val="342"/>
      </w:trPr>
      <w:tc>
        <w:tcPr>
          <w:tcW w:w="5529" w:type="dxa"/>
          <w:hideMark/>
        </w:tcPr>
        <w:p w14:paraId="03281906" w14:textId="77777777" w:rsidR="00D338F0" w:rsidRDefault="00D338F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454A6DD" w14:textId="2B5A7C0F" w:rsidR="00D338F0" w:rsidRDefault="00D338F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3C00C928" w14:textId="0FC045F3"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4759219" wp14:editId="17B9B680">
          <wp:simplePos x="0" y="0"/>
          <wp:positionH relativeFrom="page">
            <wp:posOffset>19685</wp:posOffset>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9679B"/>
    <w:multiLevelType w:val="hybridMultilevel"/>
    <w:tmpl w:val="D6ECCA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253543"/>
    <w:multiLevelType w:val="hybridMultilevel"/>
    <w:tmpl w:val="ED3C9A84"/>
    <w:lvl w:ilvl="0" w:tplc="08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2" w15:restartNumberingAfterBreak="0">
    <w:nsid w:val="0E0C1ED4"/>
    <w:multiLevelType w:val="hybridMultilevel"/>
    <w:tmpl w:val="D2DAB2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DAF7618"/>
    <w:multiLevelType w:val="hybridMultilevel"/>
    <w:tmpl w:val="71FAFA4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DE045EA"/>
    <w:multiLevelType w:val="hybridMultilevel"/>
    <w:tmpl w:val="C182512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15:restartNumberingAfterBreak="0">
    <w:nsid w:val="378E7C4B"/>
    <w:multiLevelType w:val="hybridMultilevel"/>
    <w:tmpl w:val="441071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1632477"/>
    <w:multiLevelType w:val="hybridMultilevel"/>
    <w:tmpl w:val="E9E48D2A"/>
    <w:lvl w:ilvl="0" w:tplc="FC42F6B4">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15:restartNumberingAfterBreak="0">
    <w:nsid w:val="4C092D3F"/>
    <w:multiLevelType w:val="hybridMultilevel"/>
    <w:tmpl w:val="F1E21B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1"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11"/>
  </w:num>
  <w:num w:numId="4">
    <w:abstractNumId w:val="5"/>
  </w:num>
  <w:num w:numId="5">
    <w:abstractNumId w:val="10"/>
  </w:num>
  <w:num w:numId="6">
    <w:abstractNumId w:val="3"/>
  </w:num>
  <w:num w:numId="7">
    <w:abstractNumId w:val="6"/>
  </w:num>
  <w:num w:numId="8">
    <w:abstractNumId w:val="7"/>
  </w:num>
  <w:num w:numId="9">
    <w:abstractNumId w:val="2"/>
  </w:num>
  <w:num w:numId="10">
    <w:abstractNumId w:val="4"/>
  </w:num>
  <w:num w:numId="11">
    <w:abstractNumId w:val="0"/>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AB0"/>
    <w:rsid w:val="000026CF"/>
    <w:rsid w:val="00002B15"/>
    <w:rsid w:val="00003C82"/>
    <w:rsid w:val="000057CA"/>
    <w:rsid w:val="00006FB9"/>
    <w:rsid w:val="000114DC"/>
    <w:rsid w:val="00012201"/>
    <w:rsid w:val="00012220"/>
    <w:rsid w:val="00014FD1"/>
    <w:rsid w:val="00015D83"/>
    <w:rsid w:val="000213BA"/>
    <w:rsid w:val="00022EAF"/>
    <w:rsid w:val="00023875"/>
    <w:rsid w:val="00024913"/>
    <w:rsid w:val="000271CC"/>
    <w:rsid w:val="000306A7"/>
    <w:rsid w:val="00031605"/>
    <w:rsid w:val="00032CE7"/>
    <w:rsid w:val="0003685F"/>
    <w:rsid w:val="0004190A"/>
    <w:rsid w:val="00041F04"/>
    <w:rsid w:val="000426E3"/>
    <w:rsid w:val="00045379"/>
    <w:rsid w:val="00045B3C"/>
    <w:rsid w:val="0004682D"/>
    <w:rsid w:val="00047EAF"/>
    <w:rsid w:val="00055109"/>
    <w:rsid w:val="00055224"/>
    <w:rsid w:val="00061821"/>
    <w:rsid w:val="00061CD8"/>
    <w:rsid w:val="000623F9"/>
    <w:rsid w:val="00063A10"/>
    <w:rsid w:val="00063AE3"/>
    <w:rsid w:val="000662F8"/>
    <w:rsid w:val="00066B01"/>
    <w:rsid w:val="00071571"/>
    <w:rsid w:val="00073CC6"/>
    <w:rsid w:val="00073E78"/>
    <w:rsid w:val="00090745"/>
    <w:rsid w:val="00091552"/>
    <w:rsid w:val="00091C3A"/>
    <w:rsid w:val="00092586"/>
    <w:rsid w:val="00094155"/>
    <w:rsid w:val="00094C05"/>
    <w:rsid w:val="00096CA4"/>
    <w:rsid w:val="000A03E0"/>
    <w:rsid w:val="000A04D9"/>
    <w:rsid w:val="000A3486"/>
    <w:rsid w:val="000A378C"/>
    <w:rsid w:val="000A79DA"/>
    <w:rsid w:val="000B3E98"/>
    <w:rsid w:val="000B426F"/>
    <w:rsid w:val="000B4B51"/>
    <w:rsid w:val="000B6A4F"/>
    <w:rsid w:val="000B6D7D"/>
    <w:rsid w:val="000B7158"/>
    <w:rsid w:val="000B7D23"/>
    <w:rsid w:val="000C06C3"/>
    <w:rsid w:val="000C0F57"/>
    <w:rsid w:val="000C51A0"/>
    <w:rsid w:val="000C5B8B"/>
    <w:rsid w:val="000D1B34"/>
    <w:rsid w:val="000D1B55"/>
    <w:rsid w:val="000D3C75"/>
    <w:rsid w:val="000D6422"/>
    <w:rsid w:val="000E0F23"/>
    <w:rsid w:val="000E2252"/>
    <w:rsid w:val="000E365E"/>
    <w:rsid w:val="000E5F05"/>
    <w:rsid w:val="000E686B"/>
    <w:rsid w:val="000F1FAB"/>
    <w:rsid w:val="000F2554"/>
    <w:rsid w:val="000F4793"/>
    <w:rsid w:val="0010372C"/>
    <w:rsid w:val="00105C41"/>
    <w:rsid w:val="00111DCD"/>
    <w:rsid w:val="00113D3E"/>
    <w:rsid w:val="00114CF9"/>
    <w:rsid w:val="00115A39"/>
    <w:rsid w:val="00115F16"/>
    <w:rsid w:val="001164A1"/>
    <w:rsid w:val="00116A83"/>
    <w:rsid w:val="001179DB"/>
    <w:rsid w:val="00121ED7"/>
    <w:rsid w:val="00122EC2"/>
    <w:rsid w:val="00124855"/>
    <w:rsid w:val="001254F5"/>
    <w:rsid w:val="001269A0"/>
    <w:rsid w:val="00131495"/>
    <w:rsid w:val="0013478D"/>
    <w:rsid w:val="00136FAD"/>
    <w:rsid w:val="0014029B"/>
    <w:rsid w:val="00143ABC"/>
    <w:rsid w:val="00146C08"/>
    <w:rsid w:val="00146F0A"/>
    <w:rsid w:val="00152C2B"/>
    <w:rsid w:val="0015319B"/>
    <w:rsid w:val="00156EC9"/>
    <w:rsid w:val="001611CC"/>
    <w:rsid w:val="001612E6"/>
    <w:rsid w:val="00161D54"/>
    <w:rsid w:val="00162A4D"/>
    <w:rsid w:val="001649A0"/>
    <w:rsid w:val="001678DF"/>
    <w:rsid w:val="00172924"/>
    <w:rsid w:val="00172C77"/>
    <w:rsid w:val="00172CEE"/>
    <w:rsid w:val="00173E45"/>
    <w:rsid w:val="00175897"/>
    <w:rsid w:val="00176157"/>
    <w:rsid w:val="00180B9F"/>
    <w:rsid w:val="00181CC5"/>
    <w:rsid w:val="00182911"/>
    <w:rsid w:val="0018726A"/>
    <w:rsid w:val="00193784"/>
    <w:rsid w:val="0019396C"/>
    <w:rsid w:val="00194B4C"/>
    <w:rsid w:val="001957D7"/>
    <w:rsid w:val="001A02EC"/>
    <w:rsid w:val="001A1D9B"/>
    <w:rsid w:val="001A1FF5"/>
    <w:rsid w:val="001A318E"/>
    <w:rsid w:val="001A577E"/>
    <w:rsid w:val="001A7C9B"/>
    <w:rsid w:val="001B05B9"/>
    <w:rsid w:val="001B48E2"/>
    <w:rsid w:val="001B7451"/>
    <w:rsid w:val="001B7B88"/>
    <w:rsid w:val="001C01B7"/>
    <w:rsid w:val="001C1363"/>
    <w:rsid w:val="001C1629"/>
    <w:rsid w:val="001C2D1E"/>
    <w:rsid w:val="001C3E7E"/>
    <w:rsid w:val="001C5B3C"/>
    <w:rsid w:val="001C7319"/>
    <w:rsid w:val="001C7D87"/>
    <w:rsid w:val="001D0192"/>
    <w:rsid w:val="001D3DE9"/>
    <w:rsid w:val="001D3E87"/>
    <w:rsid w:val="001D4438"/>
    <w:rsid w:val="001D4669"/>
    <w:rsid w:val="001D67B5"/>
    <w:rsid w:val="001D7575"/>
    <w:rsid w:val="001E456C"/>
    <w:rsid w:val="001F3F3C"/>
    <w:rsid w:val="001F4025"/>
    <w:rsid w:val="0020478C"/>
    <w:rsid w:val="00206C41"/>
    <w:rsid w:val="00211C66"/>
    <w:rsid w:val="0021296D"/>
    <w:rsid w:val="00212CB5"/>
    <w:rsid w:val="0021501E"/>
    <w:rsid w:val="00215A83"/>
    <w:rsid w:val="00216ABF"/>
    <w:rsid w:val="00217852"/>
    <w:rsid w:val="00220339"/>
    <w:rsid w:val="002205C0"/>
    <w:rsid w:val="00226760"/>
    <w:rsid w:val="002303A7"/>
    <w:rsid w:val="00231D77"/>
    <w:rsid w:val="002324F1"/>
    <w:rsid w:val="0023373D"/>
    <w:rsid w:val="0023423C"/>
    <w:rsid w:val="00236C82"/>
    <w:rsid w:val="002434B7"/>
    <w:rsid w:val="0024638F"/>
    <w:rsid w:val="00246807"/>
    <w:rsid w:val="00247537"/>
    <w:rsid w:val="00247D10"/>
    <w:rsid w:val="00250470"/>
    <w:rsid w:val="00252985"/>
    <w:rsid w:val="002577FE"/>
    <w:rsid w:val="00266DEC"/>
    <w:rsid w:val="00266E00"/>
    <w:rsid w:val="002674C9"/>
    <w:rsid w:val="00271EED"/>
    <w:rsid w:val="002725E3"/>
    <w:rsid w:val="00273D0E"/>
    <w:rsid w:val="00282C20"/>
    <w:rsid w:val="00283BF1"/>
    <w:rsid w:val="00284A5A"/>
    <w:rsid w:val="0028788A"/>
    <w:rsid w:val="002915F2"/>
    <w:rsid w:val="00292885"/>
    <w:rsid w:val="002942AD"/>
    <w:rsid w:val="0029529E"/>
    <w:rsid w:val="00296A44"/>
    <w:rsid w:val="00297140"/>
    <w:rsid w:val="00297368"/>
    <w:rsid w:val="00297870"/>
    <w:rsid w:val="002A0104"/>
    <w:rsid w:val="002A2034"/>
    <w:rsid w:val="002A24F4"/>
    <w:rsid w:val="002A38BF"/>
    <w:rsid w:val="002A597E"/>
    <w:rsid w:val="002B1410"/>
    <w:rsid w:val="002B1C1D"/>
    <w:rsid w:val="002B5069"/>
    <w:rsid w:val="002B5DBD"/>
    <w:rsid w:val="002B70DD"/>
    <w:rsid w:val="002C477D"/>
    <w:rsid w:val="002C51F7"/>
    <w:rsid w:val="002C72D2"/>
    <w:rsid w:val="002D29D7"/>
    <w:rsid w:val="002D4C5A"/>
    <w:rsid w:val="002D64A8"/>
    <w:rsid w:val="002D662C"/>
    <w:rsid w:val="002E0A1A"/>
    <w:rsid w:val="002E1E52"/>
    <w:rsid w:val="002E2D7B"/>
    <w:rsid w:val="002E3488"/>
    <w:rsid w:val="002E5721"/>
    <w:rsid w:val="002E5E6A"/>
    <w:rsid w:val="002F0D76"/>
    <w:rsid w:val="002F37BE"/>
    <w:rsid w:val="002F5A7C"/>
    <w:rsid w:val="002F5BA9"/>
    <w:rsid w:val="002F700B"/>
    <w:rsid w:val="00300D0B"/>
    <w:rsid w:val="00301522"/>
    <w:rsid w:val="0030471E"/>
    <w:rsid w:val="00306096"/>
    <w:rsid w:val="00306848"/>
    <w:rsid w:val="00307A72"/>
    <w:rsid w:val="00311566"/>
    <w:rsid w:val="0031645D"/>
    <w:rsid w:val="0032024D"/>
    <w:rsid w:val="00320A67"/>
    <w:rsid w:val="0032220E"/>
    <w:rsid w:val="00324C2A"/>
    <w:rsid w:val="003266DA"/>
    <w:rsid w:val="00326AAA"/>
    <w:rsid w:val="003272FB"/>
    <w:rsid w:val="00330F3C"/>
    <w:rsid w:val="0033299C"/>
    <w:rsid w:val="00334158"/>
    <w:rsid w:val="003349F3"/>
    <w:rsid w:val="00337052"/>
    <w:rsid w:val="003406C5"/>
    <w:rsid w:val="003410F2"/>
    <w:rsid w:val="00344BDE"/>
    <w:rsid w:val="0035016E"/>
    <w:rsid w:val="003507D3"/>
    <w:rsid w:val="00353C25"/>
    <w:rsid w:val="00356E3E"/>
    <w:rsid w:val="00357457"/>
    <w:rsid w:val="00361B9C"/>
    <w:rsid w:val="0036339F"/>
    <w:rsid w:val="00364209"/>
    <w:rsid w:val="00365DA0"/>
    <w:rsid w:val="00367CC7"/>
    <w:rsid w:val="003733F5"/>
    <w:rsid w:val="003749D9"/>
    <w:rsid w:val="00375BBA"/>
    <w:rsid w:val="00376CEC"/>
    <w:rsid w:val="00380010"/>
    <w:rsid w:val="00380758"/>
    <w:rsid w:val="00381214"/>
    <w:rsid w:val="003812E0"/>
    <w:rsid w:val="003841FC"/>
    <w:rsid w:val="003869DF"/>
    <w:rsid w:val="00394A1E"/>
    <w:rsid w:val="003969CB"/>
    <w:rsid w:val="00397C0C"/>
    <w:rsid w:val="003A2F0F"/>
    <w:rsid w:val="003A378D"/>
    <w:rsid w:val="003A61F9"/>
    <w:rsid w:val="003B0B30"/>
    <w:rsid w:val="003B171C"/>
    <w:rsid w:val="003B1E88"/>
    <w:rsid w:val="003B4030"/>
    <w:rsid w:val="003B45EA"/>
    <w:rsid w:val="003B5FD0"/>
    <w:rsid w:val="003B750C"/>
    <w:rsid w:val="003C4F65"/>
    <w:rsid w:val="003C5DEB"/>
    <w:rsid w:val="003D08E9"/>
    <w:rsid w:val="003D2D99"/>
    <w:rsid w:val="003D78A3"/>
    <w:rsid w:val="003E026B"/>
    <w:rsid w:val="003E05A5"/>
    <w:rsid w:val="003E128A"/>
    <w:rsid w:val="003E16E1"/>
    <w:rsid w:val="003E5144"/>
    <w:rsid w:val="003F3A54"/>
    <w:rsid w:val="003F551C"/>
    <w:rsid w:val="004012CF"/>
    <w:rsid w:val="00402831"/>
    <w:rsid w:val="00402A46"/>
    <w:rsid w:val="00402FF3"/>
    <w:rsid w:val="00403A1E"/>
    <w:rsid w:val="00405E83"/>
    <w:rsid w:val="004069EB"/>
    <w:rsid w:val="004071A7"/>
    <w:rsid w:val="00410789"/>
    <w:rsid w:val="00412901"/>
    <w:rsid w:val="00417E4F"/>
    <w:rsid w:val="00423213"/>
    <w:rsid w:val="00423ECD"/>
    <w:rsid w:val="0042416D"/>
    <w:rsid w:val="00426B98"/>
    <w:rsid w:val="0042798A"/>
    <w:rsid w:val="00433D7C"/>
    <w:rsid w:val="00433F2D"/>
    <w:rsid w:val="00442582"/>
    <w:rsid w:val="00442C1A"/>
    <w:rsid w:val="004469CB"/>
    <w:rsid w:val="004512DF"/>
    <w:rsid w:val="004516EB"/>
    <w:rsid w:val="004529B6"/>
    <w:rsid w:val="00453DBD"/>
    <w:rsid w:val="00454CE6"/>
    <w:rsid w:val="00455C30"/>
    <w:rsid w:val="00462881"/>
    <w:rsid w:val="004639CF"/>
    <w:rsid w:val="004668C1"/>
    <w:rsid w:val="00472678"/>
    <w:rsid w:val="00473342"/>
    <w:rsid w:val="00475F48"/>
    <w:rsid w:val="00477CC2"/>
    <w:rsid w:val="0048180A"/>
    <w:rsid w:val="00481C7A"/>
    <w:rsid w:val="004855D1"/>
    <w:rsid w:val="004857CF"/>
    <w:rsid w:val="0049054A"/>
    <w:rsid w:val="004906C8"/>
    <w:rsid w:val="004924B8"/>
    <w:rsid w:val="004967E2"/>
    <w:rsid w:val="004A290F"/>
    <w:rsid w:val="004A5FFD"/>
    <w:rsid w:val="004A7CE2"/>
    <w:rsid w:val="004B15D1"/>
    <w:rsid w:val="004B38AC"/>
    <w:rsid w:val="004B7109"/>
    <w:rsid w:val="004C39DC"/>
    <w:rsid w:val="004D08EB"/>
    <w:rsid w:val="004D0C64"/>
    <w:rsid w:val="004D2B23"/>
    <w:rsid w:val="004D2C8F"/>
    <w:rsid w:val="004D2D18"/>
    <w:rsid w:val="004D5AD4"/>
    <w:rsid w:val="004E0136"/>
    <w:rsid w:val="004E1318"/>
    <w:rsid w:val="004E2371"/>
    <w:rsid w:val="004E5994"/>
    <w:rsid w:val="004E6BE9"/>
    <w:rsid w:val="004F17FE"/>
    <w:rsid w:val="00503655"/>
    <w:rsid w:val="005037B3"/>
    <w:rsid w:val="005039A0"/>
    <w:rsid w:val="00504FB2"/>
    <w:rsid w:val="00506846"/>
    <w:rsid w:val="00506A6D"/>
    <w:rsid w:val="00512DA7"/>
    <w:rsid w:val="00515090"/>
    <w:rsid w:val="005202C4"/>
    <w:rsid w:val="00520D7E"/>
    <w:rsid w:val="005211D9"/>
    <w:rsid w:val="00521E57"/>
    <w:rsid w:val="00522FD2"/>
    <w:rsid w:val="005245A9"/>
    <w:rsid w:val="00524E8D"/>
    <w:rsid w:val="005305C0"/>
    <w:rsid w:val="005305EA"/>
    <w:rsid w:val="00530F74"/>
    <w:rsid w:val="00531170"/>
    <w:rsid w:val="00531E18"/>
    <w:rsid w:val="00535F50"/>
    <w:rsid w:val="00536180"/>
    <w:rsid w:val="005371E7"/>
    <w:rsid w:val="005404AB"/>
    <w:rsid w:val="00540538"/>
    <w:rsid w:val="00540ACB"/>
    <w:rsid w:val="00545E93"/>
    <w:rsid w:val="005472FB"/>
    <w:rsid w:val="0054773D"/>
    <w:rsid w:val="00547D93"/>
    <w:rsid w:val="00550E2E"/>
    <w:rsid w:val="005520FE"/>
    <w:rsid w:val="005523D5"/>
    <w:rsid w:val="00556513"/>
    <w:rsid w:val="005575CB"/>
    <w:rsid w:val="0056015B"/>
    <w:rsid w:val="0056134C"/>
    <w:rsid w:val="00562653"/>
    <w:rsid w:val="00567998"/>
    <w:rsid w:val="00572979"/>
    <w:rsid w:val="005733EB"/>
    <w:rsid w:val="00575651"/>
    <w:rsid w:val="005759BB"/>
    <w:rsid w:val="00576BCC"/>
    <w:rsid w:val="005803A1"/>
    <w:rsid w:val="00580802"/>
    <w:rsid w:val="00581A22"/>
    <w:rsid w:val="00582A33"/>
    <w:rsid w:val="0058505F"/>
    <w:rsid w:val="0058671A"/>
    <w:rsid w:val="00593E91"/>
    <w:rsid w:val="00595568"/>
    <w:rsid w:val="005968A3"/>
    <w:rsid w:val="005A0B49"/>
    <w:rsid w:val="005A1BC9"/>
    <w:rsid w:val="005A5930"/>
    <w:rsid w:val="005A6D57"/>
    <w:rsid w:val="005A7F1F"/>
    <w:rsid w:val="005B36D5"/>
    <w:rsid w:val="005B5B70"/>
    <w:rsid w:val="005B5F05"/>
    <w:rsid w:val="005B60F0"/>
    <w:rsid w:val="005C04BB"/>
    <w:rsid w:val="005C123F"/>
    <w:rsid w:val="005C6605"/>
    <w:rsid w:val="005C6982"/>
    <w:rsid w:val="005C741B"/>
    <w:rsid w:val="005D15A3"/>
    <w:rsid w:val="005D1602"/>
    <w:rsid w:val="005D2B59"/>
    <w:rsid w:val="005D362F"/>
    <w:rsid w:val="005D370F"/>
    <w:rsid w:val="005E2749"/>
    <w:rsid w:val="005E46D0"/>
    <w:rsid w:val="005E48E4"/>
    <w:rsid w:val="005E4D7C"/>
    <w:rsid w:val="005E5834"/>
    <w:rsid w:val="005E65F2"/>
    <w:rsid w:val="005F048E"/>
    <w:rsid w:val="005F4734"/>
    <w:rsid w:val="005F57F0"/>
    <w:rsid w:val="005F7598"/>
    <w:rsid w:val="00607168"/>
    <w:rsid w:val="0061042F"/>
    <w:rsid w:val="00610C37"/>
    <w:rsid w:val="006114BA"/>
    <w:rsid w:val="006168E4"/>
    <w:rsid w:val="00624EB5"/>
    <w:rsid w:val="00626A70"/>
    <w:rsid w:val="006323CA"/>
    <w:rsid w:val="006329AB"/>
    <w:rsid w:val="00633DE8"/>
    <w:rsid w:val="00633F90"/>
    <w:rsid w:val="006360F3"/>
    <w:rsid w:val="00636327"/>
    <w:rsid w:val="006369B4"/>
    <w:rsid w:val="00637512"/>
    <w:rsid w:val="00640EE4"/>
    <w:rsid w:val="00641150"/>
    <w:rsid w:val="00644167"/>
    <w:rsid w:val="006466F5"/>
    <w:rsid w:val="0064761A"/>
    <w:rsid w:val="00650B5A"/>
    <w:rsid w:val="00650C5E"/>
    <w:rsid w:val="0065263E"/>
    <w:rsid w:val="00652A6B"/>
    <w:rsid w:val="00654718"/>
    <w:rsid w:val="006569F5"/>
    <w:rsid w:val="00657DAD"/>
    <w:rsid w:val="00660C59"/>
    <w:rsid w:val="00661753"/>
    <w:rsid w:val="00662035"/>
    <w:rsid w:val="006620AC"/>
    <w:rsid w:val="00667DD9"/>
    <w:rsid w:val="00677379"/>
    <w:rsid w:val="006816EF"/>
    <w:rsid w:val="006848B7"/>
    <w:rsid w:val="00686FD5"/>
    <w:rsid w:val="00690BAF"/>
    <w:rsid w:val="00697278"/>
    <w:rsid w:val="006A02AC"/>
    <w:rsid w:val="006A04CA"/>
    <w:rsid w:val="006A2BEC"/>
    <w:rsid w:val="006A4785"/>
    <w:rsid w:val="006B10D7"/>
    <w:rsid w:val="006B1953"/>
    <w:rsid w:val="006B1BF1"/>
    <w:rsid w:val="006B26E3"/>
    <w:rsid w:val="006B34A6"/>
    <w:rsid w:val="006B4B63"/>
    <w:rsid w:val="006B5DDC"/>
    <w:rsid w:val="006B68FC"/>
    <w:rsid w:val="006B7294"/>
    <w:rsid w:val="006B7444"/>
    <w:rsid w:val="006C698B"/>
    <w:rsid w:val="006D1F6B"/>
    <w:rsid w:val="006D23FC"/>
    <w:rsid w:val="006D7FD9"/>
    <w:rsid w:val="006E21BB"/>
    <w:rsid w:val="006E7563"/>
    <w:rsid w:val="006F082F"/>
    <w:rsid w:val="006F3C14"/>
    <w:rsid w:val="006F5F55"/>
    <w:rsid w:val="00701033"/>
    <w:rsid w:val="00701B61"/>
    <w:rsid w:val="00702C82"/>
    <w:rsid w:val="00703614"/>
    <w:rsid w:val="00711911"/>
    <w:rsid w:val="007164CD"/>
    <w:rsid w:val="007172F5"/>
    <w:rsid w:val="00717E41"/>
    <w:rsid w:val="0072689F"/>
    <w:rsid w:val="007316B6"/>
    <w:rsid w:val="00732104"/>
    <w:rsid w:val="00734B46"/>
    <w:rsid w:val="00736C2C"/>
    <w:rsid w:val="00736D41"/>
    <w:rsid w:val="00741327"/>
    <w:rsid w:val="00742EAF"/>
    <w:rsid w:val="00744EEF"/>
    <w:rsid w:val="007456B7"/>
    <w:rsid w:val="00754CAE"/>
    <w:rsid w:val="007550F3"/>
    <w:rsid w:val="007568AD"/>
    <w:rsid w:val="00763C1A"/>
    <w:rsid w:val="00770CD1"/>
    <w:rsid w:val="00770FCE"/>
    <w:rsid w:val="00771AC2"/>
    <w:rsid w:val="00772E31"/>
    <w:rsid w:val="007748C4"/>
    <w:rsid w:val="00774A9C"/>
    <w:rsid w:val="007765D2"/>
    <w:rsid w:val="007770C2"/>
    <w:rsid w:val="00777164"/>
    <w:rsid w:val="00780B57"/>
    <w:rsid w:val="00781530"/>
    <w:rsid w:val="007830E9"/>
    <w:rsid w:val="007835B9"/>
    <w:rsid w:val="00783A07"/>
    <w:rsid w:val="007851D5"/>
    <w:rsid w:val="00787D06"/>
    <w:rsid w:val="007929FA"/>
    <w:rsid w:val="0079486A"/>
    <w:rsid w:val="00794F80"/>
    <w:rsid w:val="0079735D"/>
    <w:rsid w:val="007A1C9E"/>
    <w:rsid w:val="007A3206"/>
    <w:rsid w:val="007A4692"/>
    <w:rsid w:val="007A4A04"/>
    <w:rsid w:val="007A62CC"/>
    <w:rsid w:val="007B0046"/>
    <w:rsid w:val="007B2303"/>
    <w:rsid w:val="007B2C77"/>
    <w:rsid w:val="007B3414"/>
    <w:rsid w:val="007B403C"/>
    <w:rsid w:val="007B5155"/>
    <w:rsid w:val="007B68F7"/>
    <w:rsid w:val="007C1116"/>
    <w:rsid w:val="007C4168"/>
    <w:rsid w:val="007C45D8"/>
    <w:rsid w:val="007D1A27"/>
    <w:rsid w:val="007D1B24"/>
    <w:rsid w:val="007D1F15"/>
    <w:rsid w:val="007D25B1"/>
    <w:rsid w:val="007D2878"/>
    <w:rsid w:val="007D3203"/>
    <w:rsid w:val="007D4303"/>
    <w:rsid w:val="007D43D3"/>
    <w:rsid w:val="007E6161"/>
    <w:rsid w:val="007E7BAB"/>
    <w:rsid w:val="007E7DCE"/>
    <w:rsid w:val="007F1441"/>
    <w:rsid w:val="007F20AC"/>
    <w:rsid w:val="007F3443"/>
    <w:rsid w:val="007F53A0"/>
    <w:rsid w:val="007F7A92"/>
    <w:rsid w:val="0080158F"/>
    <w:rsid w:val="008024BA"/>
    <w:rsid w:val="00802C56"/>
    <w:rsid w:val="00807A3D"/>
    <w:rsid w:val="00811205"/>
    <w:rsid w:val="00811D55"/>
    <w:rsid w:val="00812C48"/>
    <w:rsid w:val="008140A4"/>
    <w:rsid w:val="0081447E"/>
    <w:rsid w:val="008146F9"/>
    <w:rsid w:val="00817A08"/>
    <w:rsid w:val="00822215"/>
    <w:rsid w:val="00824DCD"/>
    <w:rsid w:val="00832CE7"/>
    <w:rsid w:val="00833011"/>
    <w:rsid w:val="00836B8D"/>
    <w:rsid w:val="008427E4"/>
    <w:rsid w:val="00843314"/>
    <w:rsid w:val="00844569"/>
    <w:rsid w:val="008466EC"/>
    <w:rsid w:val="008474E1"/>
    <w:rsid w:val="00847D23"/>
    <w:rsid w:val="0085196B"/>
    <w:rsid w:val="00853BED"/>
    <w:rsid w:val="00855266"/>
    <w:rsid w:val="00863327"/>
    <w:rsid w:val="00866F25"/>
    <w:rsid w:val="00870F44"/>
    <w:rsid w:val="00871DC1"/>
    <w:rsid w:val="008724F6"/>
    <w:rsid w:val="00884054"/>
    <w:rsid w:val="00887CDA"/>
    <w:rsid w:val="00891C7A"/>
    <w:rsid w:val="008936E7"/>
    <w:rsid w:val="00895089"/>
    <w:rsid w:val="008951ED"/>
    <w:rsid w:val="008960D1"/>
    <w:rsid w:val="008A0A23"/>
    <w:rsid w:val="008A526C"/>
    <w:rsid w:val="008A68CA"/>
    <w:rsid w:val="008A75BE"/>
    <w:rsid w:val="008B02FB"/>
    <w:rsid w:val="008B0679"/>
    <w:rsid w:val="008B1E28"/>
    <w:rsid w:val="008B3A59"/>
    <w:rsid w:val="008B42B1"/>
    <w:rsid w:val="008B5224"/>
    <w:rsid w:val="008B7382"/>
    <w:rsid w:val="008C0375"/>
    <w:rsid w:val="008C32A8"/>
    <w:rsid w:val="008C55A3"/>
    <w:rsid w:val="008C5A03"/>
    <w:rsid w:val="008C5E94"/>
    <w:rsid w:val="008D038F"/>
    <w:rsid w:val="008D1D2A"/>
    <w:rsid w:val="008D3703"/>
    <w:rsid w:val="008D4154"/>
    <w:rsid w:val="008D4EB7"/>
    <w:rsid w:val="008D6297"/>
    <w:rsid w:val="008D6D04"/>
    <w:rsid w:val="008E0C43"/>
    <w:rsid w:val="008E3791"/>
    <w:rsid w:val="008E6375"/>
    <w:rsid w:val="008F0117"/>
    <w:rsid w:val="008F4C65"/>
    <w:rsid w:val="00905422"/>
    <w:rsid w:val="00913133"/>
    <w:rsid w:val="00913221"/>
    <w:rsid w:val="00914EFC"/>
    <w:rsid w:val="00920128"/>
    <w:rsid w:val="00921DB9"/>
    <w:rsid w:val="0092403D"/>
    <w:rsid w:val="009268BB"/>
    <w:rsid w:val="00926D4D"/>
    <w:rsid w:val="00927858"/>
    <w:rsid w:val="00935D2F"/>
    <w:rsid w:val="00936B04"/>
    <w:rsid w:val="00940116"/>
    <w:rsid w:val="009402DB"/>
    <w:rsid w:val="009449B8"/>
    <w:rsid w:val="00944DC9"/>
    <w:rsid w:val="00945479"/>
    <w:rsid w:val="00946380"/>
    <w:rsid w:val="009464B0"/>
    <w:rsid w:val="00947A9B"/>
    <w:rsid w:val="009502C8"/>
    <w:rsid w:val="009517DA"/>
    <w:rsid w:val="0095731A"/>
    <w:rsid w:val="009611E0"/>
    <w:rsid w:val="00961369"/>
    <w:rsid w:val="00964DA7"/>
    <w:rsid w:val="00965B02"/>
    <w:rsid w:val="00965FEE"/>
    <w:rsid w:val="0096643B"/>
    <w:rsid w:val="009706B5"/>
    <w:rsid w:val="00970CB5"/>
    <w:rsid w:val="00972BDF"/>
    <w:rsid w:val="0098182D"/>
    <w:rsid w:val="00990C92"/>
    <w:rsid w:val="00991F20"/>
    <w:rsid w:val="009923E0"/>
    <w:rsid w:val="009950AD"/>
    <w:rsid w:val="00996BFF"/>
    <w:rsid w:val="00997E87"/>
    <w:rsid w:val="009A0AF8"/>
    <w:rsid w:val="009A1139"/>
    <w:rsid w:val="009A3D4D"/>
    <w:rsid w:val="009A49FE"/>
    <w:rsid w:val="009A686F"/>
    <w:rsid w:val="009A77EC"/>
    <w:rsid w:val="009A7DBA"/>
    <w:rsid w:val="009B33A8"/>
    <w:rsid w:val="009B3487"/>
    <w:rsid w:val="009B5FB5"/>
    <w:rsid w:val="009B7C61"/>
    <w:rsid w:val="009C2422"/>
    <w:rsid w:val="009C2AE5"/>
    <w:rsid w:val="009C3793"/>
    <w:rsid w:val="009C5799"/>
    <w:rsid w:val="009C5DB9"/>
    <w:rsid w:val="009C7074"/>
    <w:rsid w:val="009D16F0"/>
    <w:rsid w:val="009D25FE"/>
    <w:rsid w:val="009E0867"/>
    <w:rsid w:val="009E0A25"/>
    <w:rsid w:val="009E1411"/>
    <w:rsid w:val="009E45A0"/>
    <w:rsid w:val="009E49A3"/>
    <w:rsid w:val="009E52F2"/>
    <w:rsid w:val="009F0515"/>
    <w:rsid w:val="009F1A4C"/>
    <w:rsid w:val="009F3C1F"/>
    <w:rsid w:val="009F51E1"/>
    <w:rsid w:val="009F614E"/>
    <w:rsid w:val="009F6571"/>
    <w:rsid w:val="009F762B"/>
    <w:rsid w:val="00A00E96"/>
    <w:rsid w:val="00A02047"/>
    <w:rsid w:val="00A036BE"/>
    <w:rsid w:val="00A04796"/>
    <w:rsid w:val="00A12205"/>
    <w:rsid w:val="00A155B9"/>
    <w:rsid w:val="00A214B4"/>
    <w:rsid w:val="00A23C9E"/>
    <w:rsid w:val="00A32D63"/>
    <w:rsid w:val="00A345F6"/>
    <w:rsid w:val="00A348B5"/>
    <w:rsid w:val="00A34DDD"/>
    <w:rsid w:val="00A351D7"/>
    <w:rsid w:val="00A37DAA"/>
    <w:rsid w:val="00A41327"/>
    <w:rsid w:val="00A4436A"/>
    <w:rsid w:val="00A453DC"/>
    <w:rsid w:val="00A45721"/>
    <w:rsid w:val="00A457D1"/>
    <w:rsid w:val="00A47E87"/>
    <w:rsid w:val="00A47F39"/>
    <w:rsid w:val="00A516E8"/>
    <w:rsid w:val="00A520C9"/>
    <w:rsid w:val="00A525D9"/>
    <w:rsid w:val="00A52BA3"/>
    <w:rsid w:val="00A565E7"/>
    <w:rsid w:val="00A6185A"/>
    <w:rsid w:val="00A625E2"/>
    <w:rsid w:val="00A67B13"/>
    <w:rsid w:val="00A71080"/>
    <w:rsid w:val="00A72465"/>
    <w:rsid w:val="00A72DCB"/>
    <w:rsid w:val="00A75001"/>
    <w:rsid w:val="00A80C92"/>
    <w:rsid w:val="00A812C8"/>
    <w:rsid w:val="00A82461"/>
    <w:rsid w:val="00A83323"/>
    <w:rsid w:val="00A85006"/>
    <w:rsid w:val="00A851D8"/>
    <w:rsid w:val="00A86352"/>
    <w:rsid w:val="00A90295"/>
    <w:rsid w:val="00A91E94"/>
    <w:rsid w:val="00A9227B"/>
    <w:rsid w:val="00A93540"/>
    <w:rsid w:val="00A953BA"/>
    <w:rsid w:val="00AA1A2C"/>
    <w:rsid w:val="00AA207C"/>
    <w:rsid w:val="00AA5D62"/>
    <w:rsid w:val="00AB3710"/>
    <w:rsid w:val="00AB37EB"/>
    <w:rsid w:val="00AB4B0F"/>
    <w:rsid w:val="00AB6C3B"/>
    <w:rsid w:val="00AB7525"/>
    <w:rsid w:val="00AC1971"/>
    <w:rsid w:val="00AC5D43"/>
    <w:rsid w:val="00AD15A7"/>
    <w:rsid w:val="00AD6BEE"/>
    <w:rsid w:val="00AE008F"/>
    <w:rsid w:val="00AE1EF2"/>
    <w:rsid w:val="00AE33FE"/>
    <w:rsid w:val="00AF1248"/>
    <w:rsid w:val="00AF55AC"/>
    <w:rsid w:val="00B07D6D"/>
    <w:rsid w:val="00B1003A"/>
    <w:rsid w:val="00B103E0"/>
    <w:rsid w:val="00B11E08"/>
    <w:rsid w:val="00B12E48"/>
    <w:rsid w:val="00B13C33"/>
    <w:rsid w:val="00B26C37"/>
    <w:rsid w:val="00B32CD3"/>
    <w:rsid w:val="00B35834"/>
    <w:rsid w:val="00B35A93"/>
    <w:rsid w:val="00B3635B"/>
    <w:rsid w:val="00B3672D"/>
    <w:rsid w:val="00B36D2B"/>
    <w:rsid w:val="00B40BC6"/>
    <w:rsid w:val="00B4239A"/>
    <w:rsid w:val="00B47192"/>
    <w:rsid w:val="00B4745C"/>
    <w:rsid w:val="00B477AC"/>
    <w:rsid w:val="00B511A5"/>
    <w:rsid w:val="00B6107A"/>
    <w:rsid w:val="00B61D75"/>
    <w:rsid w:val="00B62F0D"/>
    <w:rsid w:val="00B66CCB"/>
    <w:rsid w:val="00B66DB3"/>
    <w:rsid w:val="00B7258D"/>
    <w:rsid w:val="00B72B0F"/>
    <w:rsid w:val="00B72D1B"/>
    <w:rsid w:val="00B741B2"/>
    <w:rsid w:val="00B75A86"/>
    <w:rsid w:val="00B7668E"/>
    <w:rsid w:val="00B80028"/>
    <w:rsid w:val="00B833EA"/>
    <w:rsid w:val="00B85271"/>
    <w:rsid w:val="00B85EF3"/>
    <w:rsid w:val="00B86B05"/>
    <w:rsid w:val="00B9223B"/>
    <w:rsid w:val="00B960DA"/>
    <w:rsid w:val="00B97604"/>
    <w:rsid w:val="00BA11EC"/>
    <w:rsid w:val="00BA4D1F"/>
    <w:rsid w:val="00BA7AD1"/>
    <w:rsid w:val="00BB04EC"/>
    <w:rsid w:val="00BB2250"/>
    <w:rsid w:val="00BB4A68"/>
    <w:rsid w:val="00BB58EE"/>
    <w:rsid w:val="00BB739A"/>
    <w:rsid w:val="00BC0FDD"/>
    <w:rsid w:val="00BC14E6"/>
    <w:rsid w:val="00BC22E0"/>
    <w:rsid w:val="00BD001D"/>
    <w:rsid w:val="00BD30FE"/>
    <w:rsid w:val="00BD424F"/>
    <w:rsid w:val="00BD65B1"/>
    <w:rsid w:val="00BE0E4A"/>
    <w:rsid w:val="00BE0F79"/>
    <w:rsid w:val="00BE21EF"/>
    <w:rsid w:val="00BE28ED"/>
    <w:rsid w:val="00BE3E18"/>
    <w:rsid w:val="00BE673B"/>
    <w:rsid w:val="00BE688D"/>
    <w:rsid w:val="00BE7C9B"/>
    <w:rsid w:val="00BF01A7"/>
    <w:rsid w:val="00BF0A4C"/>
    <w:rsid w:val="00BF0D34"/>
    <w:rsid w:val="00BF1ECA"/>
    <w:rsid w:val="00BF3A47"/>
    <w:rsid w:val="00BF3F7C"/>
    <w:rsid w:val="00C00463"/>
    <w:rsid w:val="00C0147E"/>
    <w:rsid w:val="00C03F20"/>
    <w:rsid w:val="00C04FE4"/>
    <w:rsid w:val="00C05AAC"/>
    <w:rsid w:val="00C1588F"/>
    <w:rsid w:val="00C219E6"/>
    <w:rsid w:val="00C25084"/>
    <w:rsid w:val="00C266D8"/>
    <w:rsid w:val="00C30A4F"/>
    <w:rsid w:val="00C31401"/>
    <w:rsid w:val="00C378D4"/>
    <w:rsid w:val="00C41665"/>
    <w:rsid w:val="00C41758"/>
    <w:rsid w:val="00C429E1"/>
    <w:rsid w:val="00C462F8"/>
    <w:rsid w:val="00C56CD2"/>
    <w:rsid w:val="00C61039"/>
    <w:rsid w:val="00C70B66"/>
    <w:rsid w:val="00C71CD1"/>
    <w:rsid w:val="00C73143"/>
    <w:rsid w:val="00C77685"/>
    <w:rsid w:val="00C77815"/>
    <w:rsid w:val="00C80100"/>
    <w:rsid w:val="00C8239D"/>
    <w:rsid w:val="00C84901"/>
    <w:rsid w:val="00C8491D"/>
    <w:rsid w:val="00C85378"/>
    <w:rsid w:val="00C928F1"/>
    <w:rsid w:val="00C9297C"/>
    <w:rsid w:val="00C94D5F"/>
    <w:rsid w:val="00C9700F"/>
    <w:rsid w:val="00CA1A55"/>
    <w:rsid w:val="00CA201A"/>
    <w:rsid w:val="00CA621B"/>
    <w:rsid w:val="00CA6FDA"/>
    <w:rsid w:val="00CB0AFB"/>
    <w:rsid w:val="00CB1275"/>
    <w:rsid w:val="00CB266D"/>
    <w:rsid w:val="00CB3B6F"/>
    <w:rsid w:val="00CC0C5F"/>
    <w:rsid w:val="00CC14B6"/>
    <w:rsid w:val="00CC2F3D"/>
    <w:rsid w:val="00CC3508"/>
    <w:rsid w:val="00CC5144"/>
    <w:rsid w:val="00CC5FF3"/>
    <w:rsid w:val="00CD08E2"/>
    <w:rsid w:val="00CD422C"/>
    <w:rsid w:val="00CD783C"/>
    <w:rsid w:val="00CE2766"/>
    <w:rsid w:val="00CE2ADF"/>
    <w:rsid w:val="00CE3713"/>
    <w:rsid w:val="00CF0807"/>
    <w:rsid w:val="00CF1463"/>
    <w:rsid w:val="00CF1976"/>
    <w:rsid w:val="00CF1D7D"/>
    <w:rsid w:val="00CF45D3"/>
    <w:rsid w:val="00CF5787"/>
    <w:rsid w:val="00CF6B6C"/>
    <w:rsid w:val="00D01197"/>
    <w:rsid w:val="00D042BB"/>
    <w:rsid w:val="00D058B0"/>
    <w:rsid w:val="00D05C8E"/>
    <w:rsid w:val="00D06CA0"/>
    <w:rsid w:val="00D11F7D"/>
    <w:rsid w:val="00D11FC3"/>
    <w:rsid w:val="00D1275E"/>
    <w:rsid w:val="00D13098"/>
    <w:rsid w:val="00D17789"/>
    <w:rsid w:val="00D1789C"/>
    <w:rsid w:val="00D17B5C"/>
    <w:rsid w:val="00D17EDC"/>
    <w:rsid w:val="00D20AC2"/>
    <w:rsid w:val="00D21565"/>
    <w:rsid w:val="00D226BE"/>
    <w:rsid w:val="00D25860"/>
    <w:rsid w:val="00D2737E"/>
    <w:rsid w:val="00D274A9"/>
    <w:rsid w:val="00D32347"/>
    <w:rsid w:val="00D32644"/>
    <w:rsid w:val="00D33229"/>
    <w:rsid w:val="00D33619"/>
    <w:rsid w:val="00D338F0"/>
    <w:rsid w:val="00D40E0F"/>
    <w:rsid w:val="00D40FD4"/>
    <w:rsid w:val="00D4693D"/>
    <w:rsid w:val="00D47E35"/>
    <w:rsid w:val="00D52AC7"/>
    <w:rsid w:val="00D53772"/>
    <w:rsid w:val="00D54CA9"/>
    <w:rsid w:val="00D556EC"/>
    <w:rsid w:val="00D56D67"/>
    <w:rsid w:val="00D624E2"/>
    <w:rsid w:val="00D6340F"/>
    <w:rsid w:val="00D72D16"/>
    <w:rsid w:val="00D74213"/>
    <w:rsid w:val="00D7792E"/>
    <w:rsid w:val="00D8049E"/>
    <w:rsid w:val="00D804D4"/>
    <w:rsid w:val="00D81032"/>
    <w:rsid w:val="00D81914"/>
    <w:rsid w:val="00D8195B"/>
    <w:rsid w:val="00D8561C"/>
    <w:rsid w:val="00D8619F"/>
    <w:rsid w:val="00D86764"/>
    <w:rsid w:val="00D90DA7"/>
    <w:rsid w:val="00D924C9"/>
    <w:rsid w:val="00D92F0C"/>
    <w:rsid w:val="00D957E3"/>
    <w:rsid w:val="00D970E2"/>
    <w:rsid w:val="00DA5ABC"/>
    <w:rsid w:val="00DB0873"/>
    <w:rsid w:val="00DB235D"/>
    <w:rsid w:val="00DB2772"/>
    <w:rsid w:val="00DB5528"/>
    <w:rsid w:val="00DB5C0A"/>
    <w:rsid w:val="00DB5E40"/>
    <w:rsid w:val="00DC0C93"/>
    <w:rsid w:val="00DC0E09"/>
    <w:rsid w:val="00DC168A"/>
    <w:rsid w:val="00DC68EB"/>
    <w:rsid w:val="00DD13E2"/>
    <w:rsid w:val="00DD4351"/>
    <w:rsid w:val="00DD6A37"/>
    <w:rsid w:val="00DE0E3F"/>
    <w:rsid w:val="00DE153B"/>
    <w:rsid w:val="00DE3B70"/>
    <w:rsid w:val="00DE430E"/>
    <w:rsid w:val="00DF003C"/>
    <w:rsid w:val="00DF4501"/>
    <w:rsid w:val="00DF719A"/>
    <w:rsid w:val="00DF723C"/>
    <w:rsid w:val="00DF783E"/>
    <w:rsid w:val="00DF78AE"/>
    <w:rsid w:val="00E01ADB"/>
    <w:rsid w:val="00E029A8"/>
    <w:rsid w:val="00E117EC"/>
    <w:rsid w:val="00E11E2E"/>
    <w:rsid w:val="00E15602"/>
    <w:rsid w:val="00E173AC"/>
    <w:rsid w:val="00E24CF4"/>
    <w:rsid w:val="00E26A43"/>
    <w:rsid w:val="00E27279"/>
    <w:rsid w:val="00E31699"/>
    <w:rsid w:val="00E316D8"/>
    <w:rsid w:val="00E31B0B"/>
    <w:rsid w:val="00E32707"/>
    <w:rsid w:val="00E32BF3"/>
    <w:rsid w:val="00E348A5"/>
    <w:rsid w:val="00E371EC"/>
    <w:rsid w:val="00E422D7"/>
    <w:rsid w:val="00E469E1"/>
    <w:rsid w:val="00E6063A"/>
    <w:rsid w:val="00E62A59"/>
    <w:rsid w:val="00E64A3C"/>
    <w:rsid w:val="00E65AC5"/>
    <w:rsid w:val="00E679CA"/>
    <w:rsid w:val="00E703E8"/>
    <w:rsid w:val="00E71E1C"/>
    <w:rsid w:val="00E72AE3"/>
    <w:rsid w:val="00E73B0B"/>
    <w:rsid w:val="00E73B51"/>
    <w:rsid w:val="00E743B7"/>
    <w:rsid w:val="00E75CF5"/>
    <w:rsid w:val="00E76D3D"/>
    <w:rsid w:val="00E81B17"/>
    <w:rsid w:val="00E8308B"/>
    <w:rsid w:val="00E83125"/>
    <w:rsid w:val="00E83F26"/>
    <w:rsid w:val="00E86A13"/>
    <w:rsid w:val="00E86CA7"/>
    <w:rsid w:val="00EA1F89"/>
    <w:rsid w:val="00EA5BCC"/>
    <w:rsid w:val="00EB117B"/>
    <w:rsid w:val="00EB15E0"/>
    <w:rsid w:val="00EB39C0"/>
    <w:rsid w:val="00EB40D6"/>
    <w:rsid w:val="00EB5F75"/>
    <w:rsid w:val="00EB79CD"/>
    <w:rsid w:val="00EB7F18"/>
    <w:rsid w:val="00EC305D"/>
    <w:rsid w:val="00EC3BF2"/>
    <w:rsid w:val="00EC3C36"/>
    <w:rsid w:val="00ED6131"/>
    <w:rsid w:val="00EE0578"/>
    <w:rsid w:val="00EE0F2E"/>
    <w:rsid w:val="00EE1454"/>
    <w:rsid w:val="00EE2A41"/>
    <w:rsid w:val="00EE2C8C"/>
    <w:rsid w:val="00EE3054"/>
    <w:rsid w:val="00EE3257"/>
    <w:rsid w:val="00EE575D"/>
    <w:rsid w:val="00EE5F8D"/>
    <w:rsid w:val="00EF09FB"/>
    <w:rsid w:val="00EF22EE"/>
    <w:rsid w:val="00EF5956"/>
    <w:rsid w:val="00F02923"/>
    <w:rsid w:val="00F02B2C"/>
    <w:rsid w:val="00F0351B"/>
    <w:rsid w:val="00F04E34"/>
    <w:rsid w:val="00F06472"/>
    <w:rsid w:val="00F06F04"/>
    <w:rsid w:val="00F0721E"/>
    <w:rsid w:val="00F0754E"/>
    <w:rsid w:val="00F110DB"/>
    <w:rsid w:val="00F13693"/>
    <w:rsid w:val="00F16026"/>
    <w:rsid w:val="00F22566"/>
    <w:rsid w:val="00F22963"/>
    <w:rsid w:val="00F25D50"/>
    <w:rsid w:val="00F2654F"/>
    <w:rsid w:val="00F37993"/>
    <w:rsid w:val="00F403EA"/>
    <w:rsid w:val="00F42753"/>
    <w:rsid w:val="00F4623D"/>
    <w:rsid w:val="00F47DEC"/>
    <w:rsid w:val="00F510DB"/>
    <w:rsid w:val="00F54525"/>
    <w:rsid w:val="00F56B30"/>
    <w:rsid w:val="00F64643"/>
    <w:rsid w:val="00F647F3"/>
    <w:rsid w:val="00F7260C"/>
    <w:rsid w:val="00F727B0"/>
    <w:rsid w:val="00F72B5D"/>
    <w:rsid w:val="00F750BE"/>
    <w:rsid w:val="00F84FFF"/>
    <w:rsid w:val="00F86BDE"/>
    <w:rsid w:val="00F90E93"/>
    <w:rsid w:val="00F91F36"/>
    <w:rsid w:val="00F946D3"/>
    <w:rsid w:val="00F94BD5"/>
    <w:rsid w:val="00F95A73"/>
    <w:rsid w:val="00F97F52"/>
    <w:rsid w:val="00FA2545"/>
    <w:rsid w:val="00FA5036"/>
    <w:rsid w:val="00FA5363"/>
    <w:rsid w:val="00FA5AB9"/>
    <w:rsid w:val="00FB2CFE"/>
    <w:rsid w:val="00FB4AAD"/>
    <w:rsid w:val="00FB4E3D"/>
    <w:rsid w:val="00FB5348"/>
    <w:rsid w:val="00FB5F2A"/>
    <w:rsid w:val="00FB6049"/>
    <w:rsid w:val="00FC02ED"/>
    <w:rsid w:val="00FC4E89"/>
    <w:rsid w:val="00FC4F9B"/>
    <w:rsid w:val="00FC59F0"/>
    <w:rsid w:val="00FC5E56"/>
    <w:rsid w:val="00FD2899"/>
    <w:rsid w:val="00FD4599"/>
    <w:rsid w:val="00FD4784"/>
    <w:rsid w:val="00FD4D25"/>
    <w:rsid w:val="00FD65FE"/>
    <w:rsid w:val="00FD68C0"/>
    <w:rsid w:val="00FD6B1B"/>
    <w:rsid w:val="00FE08B8"/>
    <w:rsid w:val="00FE0C67"/>
    <w:rsid w:val="00FE3D5E"/>
    <w:rsid w:val="00FE4640"/>
    <w:rsid w:val="00FF114D"/>
    <w:rsid w:val="00FF1EFA"/>
    <w:rsid w:val="00FF36C0"/>
    <w:rsid w:val="00FF7F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057C1D"/>
  <w15:chartTrackingRefBased/>
  <w15:docId w15:val="{6391A97A-2FE7-4525-83FC-FAD562D8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70FCE"/>
    <w:rPr>
      <w:color w:val="605E5C"/>
      <w:shd w:val="clear" w:color="auto" w:fill="E1DFDD"/>
    </w:rPr>
  </w:style>
  <w:style w:type="character" w:styleId="Hipervnculovisitado">
    <w:name w:val="FollowedHyperlink"/>
    <w:basedOn w:val="Fuentedeprrafopredeter"/>
    <w:uiPriority w:val="99"/>
    <w:semiHidden/>
    <w:unhideWhenUsed/>
    <w:rsid w:val="00770FCE"/>
    <w:rPr>
      <w:color w:val="954F72" w:themeColor="followedHyperlink"/>
      <w:u w:val="single"/>
    </w:rPr>
  </w:style>
  <w:style w:type="paragraph" w:customStyle="1" w:styleId="INFOEM">
    <w:name w:val="INFOEM"/>
    <w:basedOn w:val="Normal"/>
    <w:qFormat/>
    <w:rsid w:val="00217852"/>
    <w:pPr>
      <w:spacing w:before="240" w:line="360" w:lineRule="auto"/>
      <w:ind w:left="851" w:right="851"/>
      <w:jc w:val="both"/>
    </w:pPr>
    <w:rPr>
      <w:rFonts w:ascii="Palatino Linotype" w:hAnsi="Palatino Linotype"/>
      <w:i/>
      <w:szCs w:val="14"/>
    </w:rPr>
  </w:style>
  <w:style w:type="character" w:customStyle="1" w:styleId="Mencinsinresolver2">
    <w:name w:val="Mención sin resolver2"/>
    <w:basedOn w:val="Fuentedeprrafopredeter"/>
    <w:uiPriority w:val="99"/>
    <w:semiHidden/>
    <w:unhideWhenUsed/>
    <w:rsid w:val="007B2303"/>
    <w:rPr>
      <w:color w:val="605E5C"/>
      <w:shd w:val="clear" w:color="auto" w:fill="E1DFDD"/>
    </w:rPr>
  </w:style>
  <w:style w:type="character" w:customStyle="1" w:styleId="highlight">
    <w:name w:val="highlight"/>
    <w:basedOn w:val="Fuentedeprrafopredeter"/>
    <w:rsid w:val="005E48E4"/>
  </w:style>
  <w:style w:type="table" w:styleId="Tablaconcuadrcula">
    <w:name w:val="Table Grid"/>
    <w:basedOn w:val="Tablanormal"/>
    <w:uiPriority w:val="39"/>
    <w:rsid w:val="00DB5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247D10"/>
    <w:pPr>
      <w:spacing w:before="240" w:line="360" w:lineRule="auto"/>
      <w:ind w:left="851" w:right="851"/>
      <w:jc w:val="both"/>
    </w:pPr>
    <w:rPr>
      <w:rFonts w:ascii="Palatino Linotype" w:hAnsi="Palatino Linotype" w:cs="Arial"/>
      <w:i/>
    </w:rPr>
  </w:style>
  <w:style w:type="character" w:styleId="Refdecomentario">
    <w:name w:val="annotation reference"/>
    <w:basedOn w:val="Fuentedeprrafopredeter"/>
    <w:uiPriority w:val="99"/>
    <w:semiHidden/>
    <w:unhideWhenUsed/>
    <w:rsid w:val="00C8239D"/>
    <w:rPr>
      <w:sz w:val="16"/>
      <w:szCs w:val="16"/>
    </w:rPr>
  </w:style>
  <w:style w:type="paragraph" w:styleId="Textocomentario">
    <w:name w:val="annotation text"/>
    <w:basedOn w:val="Normal"/>
    <w:link w:val="TextocomentarioCar"/>
    <w:uiPriority w:val="99"/>
    <w:unhideWhenUsed/>
    <w:rsid w:val="00C8239D"/>
    <w:pPr>
      <w:spacing w:line="240" w:lineRule="auto"/>
    </w:pPr>
    <w:rPr>
      <w:sz w:val="20"/>
      <w:szCs w:val="20"/>
    </w:rPr>
  </w:style>
  <w:style w:type="character" w:customStyle="1" w:styleId="TextocomentarioCar">
    <w:name w:val="Texto comentario Car"/>
    <w:basedOn w:val="Fuentedeprrafopredeter"/>
    <w:link w:val="Textocomentario"/>
    <w:uiPriority w:val="99"/>
    <w:rsid w:val="00C8239D"/>
    <w:rPr>
      <w:sz w:val="20"/>
      <w:szCs w:val="20"/>
    </w:rPr>
  </w:style>
  <w:style w:type="paragraph" w:styleId="Asuntodelcomentario">
    <w:name w:val="annotation subject"/>
    <w:basedOn w:val="Textocomentario"/>
    <w:next w:val="Textocomentario"/>
    <w:link w:val="AsuntodelcomentarioCar"/>
    <w:uiPriority w:val="99"/>
    <w:semiHidden/>
    <w:unhideWhenUsed/>
    <w:rsid w:val="00C8239D"/>
    <w:rPr>
      <w:b/>
      <w:bCs/>
    </w:rPr>
  </w:style>
  <w:style w:type="character" w:customStyle="1" w:styleId="AsuntodelcomentarioCar">
    <w:name w:val="Asunto del comentario Car"/>
    <w:basedOn w:val="TextocomentarioCar"/>
    <w:link w:val="Asuntodelcomentario"/>
    <w:uiPriority w:val="99"/>
    <w:semiHidden/>
    <w:rsid w:val="00C8239D"/>
    <w:rPr>
      <w:b/>
      <w:bCs/>
      <w:sz w:val="20"/>
      <w:szCs w:val="20"/>
    </w:rPr>
  </w:style>
  <w:style w:type="character" w:styleId="nfasis">
    <w:name w:val="Emphasis"/>
    <w:basedOn w:val="Fuentedeprrafopredeter"/>
    <w:uiPriority w:val="20"/>
    <w:qFormat/>
    <w:rsid w:val="00E703E8"/>
    <w:rPr>
      <w:i/>
      <w:iCs/>
    </w:rPr>
  </w:style>
  <w:style w:type="paragraph" w:customStyle="1" w:styleId="infoem0">
    <w:name w:val="infoem"/>
    <w:basedOn w:val="Sinespaciado"/>
    <w:qFormat/>
    <w:rsid w:val="00EF22EE"/>
    <w:pPr>
      <w:spacing w:before="240" w:after="160" w:line="360" w:lineRule="auto"/>
      <w:ind w:left="851" w:right="851"/>
      <w:jc w:val="both"/>
    </w:pPr>
    <w:rPr>
      <w:rFonts w:ascii="Palatino Linotype" w:eastAsiaTheme="minorHAnsi" w:hAnsi="Palatino Linotype" w:cs="Arial"/>
      <w:i/>
      <w:sz w:val="22"/>
      <w:lang w:eastAsia="en-US"/>
    </w:rPr>
  </w:style>
  <w:style w:type="paragraph" w:styleId="NormalWeb">
    <w:name w:val="Normal (Web)"/>
    <w:basedOn w:val="Normal"/>
    <w:uiPriority w:val="99"/>
    <w:semiHidden/>
    <w:unhideWhenUsed/>
    <w:rsid w:val="00096CA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5523D5"/>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Mencinsinresolver3">
    <w:name w:val="Mención sin resolver3"/>
    <w:basedOn w:val="Fuentedeprrafopredeter"/>
    <w:uiPriority w:val="99"/>
    <w:semiHidden/>
    <w:unhideWhenUsed/>
    <w:rsid w:val="0056134C"/>
    <w:rPr>
      <w:color w:val="605E5C"/>
      <w:shd w:val="clear" w:color="auto" w:fill="E1DFDD"/>
    </w:rPr>
  </w:style>
  <w:style w:type="character" w:customStyle="1" w:styleId="markedcontent">
    <w:name w:val="markedcontent"/>
    <w:basedOn w:val="Fuentedeprrafopredeter"/>
    <w:rsid w:val="000F2554"/>
  </w:style>
  <w:style w:type="paragraph" w:customStyle="1" w:styleId="infoemcitas">
    <w:name w:val="infoem citas"/>
    <w:basedOn w:val="Normal"/>
    <w:qFormat/>
    <w:rsid w:val="00BE0F79"/>
    <w:pPr>
      <w:spacing w:before="240" w:line="360" w:lineRule="auto"/>
      <w:ind w:left="851" w:right="851"/>
      <w:jc w:val="both"/>
    </w:pPr>
    <w:rPr>
      <w:rFonts w:ascii="Palatino Linotype" w:hAnsi="Palatino Linotype"/>
      <w:i/>
    </w:rPr>
  </w:style>
  <w:style w:type="character" w:customStyle="1" w:styleId="UnresolvedMention">
    <w:name w:val="Unresolved Mention"/>
    <w:basedOn w:val="Fuentedeprrafopredeter"/>
    <w:uiPriority w:val="99"/>
    <w:semiHidden/>
    <w:unhideWhenUsed/>
    <w:rsid w:val="00D127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5758327">
      <w:bodyDiv w:val="1"/>
      <w:marLeft w:val="0"/>
      <w:marRight w:val="0"/>
      <w:marTop w:val="0"/>
      <w:marBottom w:val="0"/>
      <w:divBdr>
        <w:top w:val="none" w:sz="0" w:space="0" w:color="auto"/>
        <w:left w:val="none" w:sz="0" w:space="0" w:color="auto"/>
        <w:bottom w:val="none" w:sz="0" w:space="0" w:color="auto"/>
        <w:right w:val="none" w:sz="0" w:space="0" w:color="auto"/>
      </w:divBdr>
    </w:div>
    <w:div w:id="483010731">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7137243">
      <w:bodyDiv w:val="1"/>
      <w:marLeft w:val="0"/>
      <w:marRight w:val="0"/>
      <w:marTop w:val="0"/>
      <w:marBottom w:val="0"/>
      <w:divBdr>
        <w:top w:val="none" w:sz="0" w:space="0" w:color="auto"/>
        <w:left w:val="none" w:sz="0" w:space="0" w:color="auto"/>
        <w:bottom w:val="none" w:sz="0" w:space="0" w:color="auto"/>
        <w:right w:val="none" w:sz="0" w:space="0" w:color="auto"/>
      </w:divBdr>
    </w:div>
    <w:div w:id="518932729">
      <w:bodyDiv w:val="1"/>
      <w:marLeft w:val="0"/>
      <w:marRight w:val="0"/>
      <w:marTop w:val="0"/>
      <w:marBottom w:val="0"/>
      <w:divBdr>
        <w:top w:val="none" w:sz="0" w:space="0" w:color="auto"/>
        <w:left w:val="none" w:sz="0" w:space="0" w:color="auto"/>
        <w:bottom w:val="none" w:sz="0" w:space="0" w:color="auto"/>
        <w:right w:val="none" w:sz="0" w:space="0" w:color="auto"/>
      </w:divBdr>
    </w:div>
    <w:div w:id="532428847">
      <w:bodyDiv w:val="1"/>
      <w:marLeft w:val="0"/>
      <w:marRight w:val="0"/>
      <w:marTop w:val="0"/>
      <w:marBottom w:val="0"/>
      <w:divBdr>
        <w:top w:val="none" w:sz="0" w:space="0" w:color="auto"/>
        <w:left w:val="none" w:sz="0" w:space="0" w:color="auto"/>
        <w:bottom w:val="none" w:sz="0" w:space="0" w:color="auto"/>
        <w:right w:val="none" w:sz="0" w:space="0" w:color="auto"/>
      </w:divBdr>
    </w:div>
    <w:div w:id="554245668">
      <w:bodyDiv w:val="1"/>
      <w:marLeft w:val="0"/>
      <w:marRight w:val="0"/>
      <w:marTop w:val="0"/>
      <w:marBottom w:val="0"/>
      <w:divBdr>
        <w:top w:val="none" w:sz="0" w:space="0" w:color="auto"/>
        <w:left w:val="none" w:sz="0" w:space="0" w:color="auto"/>
        <w:bottom w:val="none" w:sz="0" w:space="0" w:color="auto"/>
        <w:right w:val="none" w:sz="0" w:space="0" w:color="auto"/>
      </w:divBdr>
    </w:div>
    <w:div w:id="623273245">
      <w:bodyDiv w:val="1"/>
      <w:marLeft w:val="0"/>
      <w:marRight w:val="0"/>
      <w:marTop w:val="0"/>
      <w:marBottom w:val="0"/>
      <w:divBdr>
        <w:top w:val="none" w:sz="0" w:space="0" w:color="auto"/>
        <w:left w:val="none" w:sz="0" w:space="0" w:color="auto"/>
        <w:bottom w:val="none" w:sz="0" w:space="0" w:color="auto"/>
        <w:right w:val="none" w:sz="0" w:space="0" w:color="auto"/>
      </w:divBdr>
    </w:div>
    <w:div w:id="64246564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4670175">
      <w:bodyDiv w:val="1"/>
      <w:marLeft w:val="0"/>
      <w:marRight w:val="0"/>
      <w:marTop w:val="0"/>
      <w:marBottom w:val="0"/>
      <w:divBdr>
        <w:top w:val="none" w:sz="0" w:space="0" w:color="auto"/>
        <w:left w:val="none" w:sz="0" w:space="0" w:color="auto"/>
        <w:bottom w:val="none" w:sz="0" w:space="0" w:color="auto"/>
        <w:right w:val="none" w:sz="0" w:space="0" w:color="auto"/>
      </w:divBdr>
    </w:div>
    <w:div w:id="755592802">
      <w:bodyDiv w:val="1"/>
      <w:marLeft w:val="0"/>
      <w:marRight w:val="0"/>
      <w:marTop w:val="0"/>
      <w:marBottom w:val="0"/>
      <w:divBdr>
        <w:top w:val="none" w:sz="0" w:space="0" w:color="auto"/>
        <w:left w:val="none" w:sz="0" w:space="0" w:color="auto"/>
        <w:bottom w:val="none" w:sz="0" w:space="0" w:color="auto"/>
        <w:right w:val="none" w:sz="0" w:space="0" w:color="auto"/>
      </w:divBdr>
    </w:div>
    <w:div w:id="780732998">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1435863">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11411869">
      <w:bodyDiv w:val="1"/>
      <w:marLeft w:val="0"/>
      <w:marRight w:val="0"/>
      <w:marTop w:val="0"/>
      <w:marBottom w:val="0"/>
      <w:divBdr>
        <w:top w:val="none" w:sz="0" w:space="0" w:color="auto"/>
        <w:left w:val="none" w:sz="0" w:space="0" w:color="auto"/>
        <w:bottom w:val="none" w:sz="0" w:space="0" w:color="auto"/>
        <w:right w:val="none" w:sz="0" w:space="0" w:color="auto"/>
      </w:divBdr>
    </w:div>
    <w:div w:id="83364871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0870464">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02928978">
      <w:bodyDiv w:val="1"/>
      <w:marLeft w:val="0"/>
      <w:marRight w:val="0"/>
      <w:marTop w:val="0"/>
      <w:marBottom w:val="0"/>
      <w:divBdr>
        <w:top w:val="none" w:sz="0" w:space="0" w:color="auto"/>
        <w:left w:val="none" w:sz="0" w:space="0" w:color="auto"/>
        <w:bottom w:val="none" w:sz="0" w:space="0" w:color="auto"/>
        <w:right w:val="none" w:sz="0" w:space="0" w:color="auto"/>
      </w:divBdr>
    </w:div>
    <w:div w:id="1107895878">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76841482">
      <w:bodyDiv w:val="1"/>
      <w:marLeft w:val="0"/>
      <w:marRight w:val="0"/>
      <w:marTop w:val="0"/>
      <w:marBottom w:val="0"/>
      <w:divBdr>
        <w:top w:val="none" w:sz="0" w:space="0" w:color="auto"/>
        <w:left w:val="none" w:sz="0" w:space="0" w:color="auto"/>
        <w:bottom w:val="none" w:sz="0" w:space="0" w:color="auto"/>
        <w:right w:val="none" w:sz="0" w:space="0" w:color="auto"/>
      </w:divBdr>
    </w:div>
    <w:div w:id="1212613041">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45286716">
      <w:bodyDiv w:val="1"/>
      <w:marLeft w:val="0"/>
      <w:marRight w:val="0"/>
      <w:marTop w:val="0"/>
      <w:marBottom w:val="0"/>
      <w:divBdr>
        <w:top w:val="none" w:sz="0" w:space="0" w:color="auto"/>
        <w:left w:val="none" w:sz="0" w:space="0" w:color="auto"/>
        <w:bottom w:val="none" w:sz="0" w:space="0" w:color="auto"/>
        <w:right w:val="none" w:sz="0" w:space="0" w:color="auto"/>
      </w:divBdr>
    </w:div>
    <w:div w:id="1426148782">
      <w:bodyDiv w:val="1"/>
      <w:marLeft w:val="0"/>
      <w:marRight w:val="0"/>
      <w:marTop w:val="0"/>
      <w:marBottom w:val="0"/>
      <w:divBdr>
        <w:top w:val="none" w:sz="0" w:space="0" w:color="auto"/>
        <w:left w:val="none" w:sz="0" w:space="0" w:color="auto"/>
        <w:bottom w:val="none" w:sz="0" w:space="0" w:color="auto"/>
        <w:right w:val="none" w:sz="0" w:space="0" w:color="auto"/>
      </w:divBdr>
    </w:div>
    <w:div w:id="1483280349">
      <w:bodyDiv w:val="1"/>
      <w:marLeft w:val="0"/>
      <w:marRight w:val="0"/>
      <w:marTop w:val="0"/>
      <w:marBottom w:val="0"/>
      <w:divBdr>
        <w:top w:val="none" w:sz="0" w:space="0" w:color="auto"/>
        <w:left w:val="none" w:sz="0" w:space="0" w:color="auto"/>
        <w:bottom w:val="none" w:sz="0" w:space="0" w:color="auto"/>
        <w:right w:val="none" w:sz="0" w:space="0" w:color="auto"/>
      </w:divBdr>
    </w:div>
    <w:div w:id="1486050785">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897793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3112882">
      <w:bodyDiv w:val="1"/>
      <w:marLeft w:val="0"/>
      <w:marRight w:val="0"/>
      <w:marTop w:val="0"/>
      <w:marBottom w:val="0"/>
      <w:divBdr>
        <w:top w:val="none" w:sz="0" w:space="0" w:color="auto"/>
        <w:left w:val="none" w:sz="0" w:space="0" w:color="auto"/>
        <w:bottom w:val="none" w:sz="0" w:space="0" w:color="auto"/>
        <w:right w:val="none" w:sz="0" w:space="0" w:color="auto"/>
      </w:divBdr>
    </w:div>
    <w:div w:id="1812406106">
      <w:bodyDiv w:val="1"/>
      <w:marLeft w:val="0"/>
      <w:marRight w:val="0"/>
      <w:marTop w:val="0"/>
      <w:marBottom w:val="0"/>
      <w:divBdr>
        <w:top w:val="none" w:sz="0" w:space="0" w:color="auto"/>
        <w:left w:val="none" w:sz="0" w:space="0" w:color="auto"/>
        <w:bottom w:val="none" w:sz="0" w:space="0" w:color="auto"/>
        <w:right w:val="none" w:sz="0" w:space="0" w:color="auto"/>
      </w:divBdr>
    </w:div>
    <w:div w:id="188640827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2887084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79593076">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F3BF54-A37D-425F-A2BE-44E6FAD2F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45</Pages>
  <Words>8356</Words>
  <Characters>45964</Characters>
  <Application>Microsoft Office Word</Application>
  <DocSecurity>0</DocSecurity>
  <Lines>383</Lines>
  <Paragraphs>108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54212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13</cp:revision>
  <cp:lastPrinted>2020-01-30T23:10:00Z</cp:lastPrinted>
  <dcterms:created xsi:type="dcterms:W3CDTF">2024-02-28T16:24:00Z</dcterms:created>
  <dcterms:modified xsi:type="dcterms:W3CDTF">2024-04-03T14:38:00Z</dcterms:modified>
</cp:coreProperties>
</file>