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4F" w:rsidRDefault="00F9254F">
      <w:pPr>
        <w:widowControl w:val="0"/>
        <w:pBdr>
          <w:top w:val="nil"/>
          <w:left w:val="nil"/>
          <w:bottom w:val="nil"/>
          <w:right w:val="nil"/>
          <w:between w:val="nil"/>
        </w:pBdr>
        <w:spacing w:after="0" w:line="276" w:lineRule="auto"/>
        <w:jc w:val="left"/>
      </w:pPr>
    </w:p>
    <w:p w:rsidR="00F9254F" w:rsidRDefault="00F9254F">
      <w:pPr>
        <w:tabs>
          <w:tab w:val="left" w:pos="8931"/>
        </w:tabs>
        <w:spacing w:after="0" w:line="360" w:lineRule="auto"/>
      </w:pPr>
    </w:p>
    <w:p w:rsidR="00F9254F" w:rsidRDefault="001236B9">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F9254F" w:rsidRDefault="00F9254F">
      <w:pPr>
        <w:spacing w:after="0" w:line="360" w:lineRule="auto"/>
        <w:rPr>
          <w:b/>
        </w:rPr>
      </w:pPr>
    </w:p>
    <w:p w:rsidR="00F9254F" w:rsidRDefault="001236B9">
      <w:pPr>
        <w:spacing w:after="0" w:line="360" w:lineRule="auto"/>
        <w:rPr>
          <w:color w:val="0D0D0D"/>
        </w:rPr>
      </w:pPr>
      <w:r>
        <w:rPr>
          <w:b/>
        </w:rPr>
        <w:t xml:space="preserve">VISTO </w:t>
      </w:r>
      <w:r>
        <w:t xml:space="preserve">el expediente electrónico conformado con motivo del Recurso de Revisión </w:t>
      </w:r>
      <w:r w:rsidRPr="00EC2140">
        <w:rPr>
          <w:b/>
        </w:rPr>
        <w:t>06231/INFOEM/IP/RR/2024</w:t>
      </w:r>
      <w:r>
        <w:t xml:space="preserve">, interpuesto por </w:t>
      </w:r>
      <w:r w:rsidR="00F81BF5" w:rsidRPr="00F81BF5">
        <w:rPr>
          <w:b/>
          <w:highlight w:val="black"/>
        </w:rPr>
        <w:t>XXXXXXXXXXXXXXXX</w:t>
      </w:r>
      <w:r w:rsidRPr="00EC2140">
        <w:rPr>
          <w:b/>
        </w:rPr>
        <w:t>,</w:t>
      </w:r>
      <w:r>
        <w:t xml:space="preserve"> en lo sucesivo el </w:t>
      </w:r>
      <w:r>
        <w:rPr>
          <w:color w:val="0D0D0D"/>
        </w:rPr>
        <w:t xml:space="preserve">Recurrente o Particular, en contra de la respuesta del Sujeto Obligado, </w:t>
      </w:r>
      <w:r w:rsidRPr="00EC2140">
        <w:rPr>
          <w:b/>
        </w:rPr>
        <w:t>Instituto Electoral del Estado de México,</w:t>
      </w:r>
      <w:r>
        <w:rPr>
          <w:color w:val="0D0D0D"/>
        </w:rPr>
        <w:t xml:space="preserve"> a la solicitud de acceso a la información pública </w:t>
      </w:r>
      <w:r>
        <w:t>03383/IEEM/IP/2024</w:t>
      </w:r>
      <w:r>
        <w:rPr>
          <w:color w:val="000000"/>
        </w:rPr>
        <w:t xml:space="preserve">, </w:t>
      </w:r>
      <w:r>
        <w:rPr>
          <w:color w:val="0D0D0D"/>
        </w:rPr>
        <w:t>se emite la presente Resolución, con base en los Antecedentes y Considerandos que se exponen a continuación:</w:t>
      </w:r>
    </w:p>
    <w:p w:rsidR="00F9254F" w:rsidRDefault="00F9254F">
      <w:pPr>
        <w:spacing w:after="0" w:line="360" w:lineRule="auto"/>
        <w:rPr>
          <w:b/>
        </w:rPr>
      </w:pPr>
    </w:p>
    <w:p w:rsidR="00F9254F" w:rsidRDefault="001236B9">
      <w:pPr>
        <w:spacing w:after="0" w:line="360" w:lineRule="auto"/>
        <w:jc w:val="center"/>
        <w:rPr>
          <w:b/>
        </w:rPr>
      </w:pPr>
      <w:r>
        <w:rPr>
          <w:b/>
        </w:rPr>
        <w:t>A N T E C E D E N T E S</w:t>
      </w:r>
    </w:p>
    <w:p w:rsidR="00F9254F" w:rsidRDefault="00F9254F">
      <w:pPr>
        <w:spacing w:after="0" w:line="360" w:lineRule="auto"/>
        <w:jc w:val="center"/>
        <w:rPr>
          <w:b/>
        </w:rPr>
      </w:pPr>
    </w:p>
    <w:p w:rsidR="00F9254F" w:rsidRDefault="001236B9">
      <w:pPr>
        <w:tabs>
          <w:tab w:val="left" w:pos="567"/>
        </w:tabs>
        <w:spacing w:after="0" w:line="360" w:lineRule="auto"/>
        <w:rPr>
          <w:b/>
        </w:rPr>
      </w:pPr>
      <w:r>
        <w:rPr>
          <w:b/>
        </w:rPr>
        <w:t>I. Presentación de la solicitud de información</w:t>
      </w:r>
    </w:p>
    <w:p w:rsidR="00F9254F" w:rsidRDefault="00F9254F">
      <w:pPr>
        <w:tabs>
          <w:tab w:val="left" w:pos="567"/>
        </w:tabs>
        <w:spacing w:after="0" w:line="360" w:lineRule="auto"/>
      </w:pPr>
    </w:p>
    <w:p w:rsidR="00F9254F" w:rsidRDefault="001236B9">
      <w:pPr>
        <w:spacing w:after="0" w:line="360" w:lineRule="auto"/>
      </w:pPr>
      <w:r>
        <w:t xml:space="preserve">Con fecha diecinueve de septiembre de dos mil veinticuatro, el Particular presentó una solicitud de acceso a la información pública, a través del Sistema de Acceso a la Información Mexiquense (SAIMEX), ante el Instituto Electoral del Estado de México, en los siguientes términos: </w:t>
      </w:r>
    </w:p>
    <w:p w:rsidR="00F9254F" w:rsidRDefault="00F9254F">
      <w:pPr>
        <w:spacing w:after="0" w:line="360" w:lineRule="auto"/>
      </w:pPr>
    </w:p>
    <w:p w:rsidR="00F9254F" w:rsidRDefault="001236B9">
      <w:pPr>
        <w:tabs>
          <w:tab w:val="left" w:pos="4667"/>
        </w:tabs>
        <w:spacing w:after="0" w:line="360" w:lineRule="auto"/>
        <w:ind w:left="567" w:right="567"/>
        <w:rPr>
          <w:b/>
          <w:i/>
          <w:sz w:val="20"/>
          <w:szCs w:val="20"/>
        </w:rPr>
      </w:pPr>
      <w:r>
        <w:rPr>
          <w:b/>
          <w:i/>
          <w:sz w:val="20"/>
          <w:szCs w:val="20"/>
        </w:rPr>
        <w:t>“DESCRIPCIÓN CLARA Y PRECISA DE LA INFORMACIÓN SOLICITADA.</w:t>
      </w:r>
    </w:p>
    <w:p w:rsidR="00F9254F" w:rsidRDefault="001236B9">
      <w:pPr>
        <w:tabs>
          <w:tab w:val="left" w:pos="4667"/>
        </w:tabs>
        <w:spacing w:after="0" w:line="360" w:lineRule="auto"/>
        <w:ind w:left="567" w:right="567"/>
        <w:rPr>
          <w:i/>
          <w:sz w:val="20"/>
          <w:szCs w:val="20"/>
          <w:highlight w:val="yellow"/>
        </w:rPr>
      </w:pPr>
      <w:r>
        <w:rPr>
          <w:i/>
          <w:sz w:val="20"/>
          <w:szCs w:val="20"/>
        </w:rPr>
        <w:t>SOLICITO LOS NOMBRES DE LOS (EX) SERVIDORES PÚBLICOS QUE TIENEN UN PROCEDIMIENTO ADMINISTRATIVO EN TRÁMITE.”</w:t>
      </w:r>
      <w:r>
        <w:rPr>
          <w:i/>
          <w:sz w:val="18"/>
          <w:szCs w:val="18"/>
        </w:rPr>
        <w:t xml:space="preserve"> </w:t>
      </w:r>
      <w:r>
        <w:rPr>
          <w:i/>
          <w:sz w:val="20"/>
          <w:szCs w:val="20"/>
        </w:rPr>
        <w:t xml:space="preserve">(Sic) </w:t>
      </w:r>
    </w:p>
    <w:p w:rsidR="00F9254F" w:rsidRDefault="00F9254F">
      <w:pPr>
        <w:tabs>
          <w:tab w:val="left" w:pos="4667"/>
        </w:tabs>
        <w:spacing w:after="0" w:line="360" w:lineRule="auto"/>
        <w:ind w:left="567" w:right="567"/>
        <w:rPr>
          <w:b/>
          <w:i/>
          <w:sz w:val="20"/>
          <w:szCs w:val="20"/>
          <w:highlight w:val="yellow"/>
        </w:rPr>
      </w:pPr>
    </w:p>
    <w:p w:rsidR="00F9254F" w:rsidRDefault="001236B9">
      <w:pPr>
        <w:tabs>
          <w:tab w:val="left" w:pos="4667"/>
        </w:tabs>
        <w:spacing w:after="0" w:line="360" w:lineRule="auto"/>
        <w:ind w:left="567" w:right="567"/>
        <w:rPr>
          <w:b/>
          <w:i/>
          <w:sz w:val="20"/>
          <w:szCs w:val="20"/>
        </w:rPr>
      </w:pPr>
      <w:r>
        <w:rPr>
          <w:b/>
          <w:i/>
          <w:sz w:val="20"/>
          <w:szCs w:val="20"/>
        </w:rPr>
        <w:t>“MODALIDAD DE ENTREGA</w:t>
      </w:r>
    </w:p>
    <w:p w:rsidR="00F9254F" w:rsidRDefault="001236B9">
      <w:pPr>
        <w:spacing w:after="0" w:line="360" w:lineRule="auto"/>
        <w:ind w:left="567" w:right="567"/>
        <w:rPr>
          <w:i/>
          <w:sz w:val="20"/>
          <w:szCs w:val="20"/>
        </w:rPr>
      </w:pPr>
      <w:r>
        <w:rPr>
          <w:i/>
          <w:sz w:val="20"/>
          <w:szCs w:val="20"/>
        </w:rPr>
        <w:lastRenderedPageBreak/>
        <w:t>A través del SAIMEX”</w:t>
      </w:r>
    </w:p>
    <w:p w:rsidR="00F81BF5" w:rsidRDefault="00F81BF5">
      <w:pPr>
        <w:spacing w:after="0" w:line="360" w:lineRule="auto"/>
        <w:ind w:left="567" w:right="567"/>
        <w:rPr>
          <w:i/>
          <w:sz w:val="20"/>
          <w:szCs w:val="20"/>
        </w:rPr>
      </w:pPr>
    </w:p>
    <w:p w:rsidR="00F9254F" w:rsidRDefault="001236B9">
      <w:pPr>
        <w:spacing w:after="0" w:line="360" w:lineRule="auto"/>
        <w:rPr>
          <w:b/>
        </w:rPr>
      </w:pPr>
      <w:r>
        <w:rPr>
          <w:b/>
        </w:rPr>
        <w:t>II. Respuesta del Sujeto Obligado</w:t>
      </w:r>
    </w:p>
    <w:p w:rsidR="00F9254F" w:rsidRDefault="00F9254F">
      <w:pPr>
        <w:spacing w:after="0" w:line="360" w:lineRule="auto"/>
      </w:pPr>
    </w:p>
    <w:p w:rsidR="00F9254F" w:rsidRDefault="001236B9">
      <w:pPr>
        <w:spacing w:after="0" w:line="360" w:lineRule="auto"/>
      </w:pPr>
      <w:r>
        <w:t xml:space="preserve">Con fecha diez de octubre de dos mil veinticuatro, el Sujeto Obligado notificó, a través del Sistema de Acceso a la Información Mexiquense (SAIMEX), la respuesta a la solicitud de acceso a la información pública, a través del oficio número IEEM/CG/543/2024 del nueve de octubre de dos mil veinticuatro, suscrito por la Servidora Pública Habilitada de la Contraloría General y dirigido a la Jefa de la Unidad de Transparencia, por medio del cual precisó que la información solicitada se encontraba clasificada como confidencial mediante acuerdo IEEM/CT/258/2024. </w:t>
      </w:r>
    </w:p>
    <w:p w:rsidR="00F9254F" w:rsidRDefault="00F9254F">
      <w:pPr>
        <w:spacing w:after="0" w:line="360" w:lineRule="auto"/>
      </w:pPr>
    </w:p>
    <w:p w:rsidR="00F9254F" w:rsidRDefault="001236B9">
      <w:pPr>
        <w:spacing w:after="0" w:line="360" w:lineRule="auto"/>
        <w:rPr>
          <w:rFonts w:ascii="Verdana" w:eastAsia="Verdana" w:hAnsi="Verdana" w:cs="Verdana"/>
          <w:color w:val="000000"/>
          <w:sz w:val="18"/>
          <w:szCs w:val="18"/>
        </w:rPr>
      </w:pPr>
      <w:r>
        <w:t>El Sujeto Obligado adjuntó la digitalización del siguiente documento:</w:t>
      </w:r>
    </w:p>
    <w:p w:rsidR="00F9254F" w:rsidRDefault="00F9254F">
      <w:pPr>
        <w:spacing w:after="0" w:line="360" w:lineRule="auto"/>
      </w:pPr>
    </w:p>
    <w:p w:rsidR="00F9254F" w:rsidRDefault="001236B9">
      <w:pPr>
        <w:spacing w:after="0" w:line="360" w:lineRule="auto"/>
      </w:pPr>
      <w:r>
        <w:t xml:space="preserve">i) Acuerdo número IEEM/CT/258/2024 del Comité de Transparencia, celebrado el siete de octubre de dos mil veinticuatro, en el que se aprobó la clasificación como confidencial de los nombres de los ex servidores públicos electorales presuntos responsables en expedientes de responsabilidad administrativa, de conformidad con lo siguiente: </w:t>
      </w:r>
    </w:p>
    <w:p w:rsidR="00F9254F" w:rsidRDefault="001236B9">
      <w:pPr>
        <w:spacing w:after="0" w:line="360" w:lineRule="auto"/>
      </w:pPr>
      <w:r>
        <w:t xml:space="preserve"> </w:t>
      </w:r>
    </w:p>
    <w:p w:rsidR="00F9254F" w:rsidRDefault="001236B9">
      <w:pPr>
        <w:spacing w:after="0" w:line="360" w:lineRule="auto"/>
        <w:ind w:left="567" w:right="567"/>
        <w:rPr>
          <w:i/>
          <w:sz w:val="20"/>
          <w:szCs w:val="20"/>
        </w:rPr>
      </w:pPr>
      <w:r>
        <w:rPr>
          <w:i/>
          <w:sz w:val="20"/>
          <w:szCs w:val="20"/>
        </w:rPr>
        <w:t>“…</w:t>
      </w:r>
    </w:p>
    <w:p w:rsidR="00F9254F" w:rsidRDefault="001236B9">
      <w:pPr>
        <w:spacing w:after="0" w:line="360" w:lineRule="auto"/>
        <w:ind w:left="567" w:right="567"/>
        <w:rPr>
          <w:i/>
          <w:sz w:val="20"/>
          <w:szCs w:val="20"/>
        </w:rPr>
      </w:pPr>
      <w:r>
        <w:rPr>
          <w:i/>
          <w:sz w:val="20"/>
          <w:szCs w:val="20"/>
        </w:rPr>
        <w:t>En esa virtud, se analizará la información indicada por el área solicitante, para determinar si debe ser clasificada como confidencial, al tenor de lo siguiente:</w:t>
      </w:r>
    </w:p>
    <w:p w:rsidR="00F9254F" w:rsidRDefault="00F9254F">
      <w:pPr>
        <w:spacing w:after="0" w:line="360" w:lineRule="auto"/>
        <w:ind w:left="567" w:right="567"/>
        <w:rPr>
          <w:i/>
          <w:sz w:val="20"/>
          <w:szCs w:val="20"/>
        </w:rPr>
      </w:pPr>
    </w:p>
    <w:p w:rsidR="00F9254F" w:rsidRDefault="001236B9">
      <w:pPr>
        <w:numPr>
          <w:ilvl w:val="0"/>
          <w:numId w:val="3"/>
        </w:numPr>
        <w:pBdr>
          <w:top w:val="nil"/>
          <w:left w:val="nil"/>
          <w:bottom w:val="nil"/>
          <w:right w:val="nil"/>
          <w:between w:val="nil"/>
        </w:pBdr>
        <w:spacing w:after="0" w:line="360" w:lineRule="auto"/>
        <w:ind w:right="567"/>
        <w:rPr>
          <w:b/>
          <w:i/>
          <w:color w:val="000000"/>
          <w:sz w:val="20"/>
          <w:szCs w:val="20"/>
        </w:rPr>
      </w:pPr>
      <w:r>
        <w:rPr>
          <w:b/>
          <w:i/>
          <w:color w:val="000000"/>
          <w:sz w:val="20"/>
          <w:szCs w:val="20"/>
        </w:rPr>
        <w:t>Nombres de personas ex servidoras públicas electorales presuntos responsables en expedientes de responsabilidad administrativa</w:t>
      </w:r>
    </w:p>
    <w:p w:rsidR="00F9254F" w:rsidRDefault="00F9254F">
      <w:pPr>
        <w:spacing w:after="0" w:line="360" w:lineRule="auto"/>
        <w:ind w:left="567" w:right="567" w:firstLine="567"/>
        <w:rPr>
          <w:i/>
          <w:sz w:val="20"/>
          <w:szCs w:val="20"/>
        </w:rPr>
      </w:pPr>
    </w:p>
    <w:p w:rsidR="00F9254F" w:rsidRDefault="001236B9">
      <w:pPr>
        <w:spacing w:after="0" w:line="360" w:lineRule="auto"/>
        <w:ind w:left="567" w:right="567"/>
        <w:rPr>
          <w:i/>
          <w:sz w:val="20"/>
          <w:szCs w:val="20"/>
        </w:rPr>
      </w:pPr>
      <w:r>
        <w:rPr>
          <w:i/>
          <w:sz w:val="20"/>
          <w:szCs w:val="20"/>
        </w:rPr>
        <w:lastRenderedPageBreak/>
        <w:t>De acuerdo a lo establecido en los artículos 2.3, 2.13 y 2.14 del Código Civil, el nombre es un atributo de la personalidad que individualiza a los sujetos y se forma con el sustantivo propio, el primer apellido del padre y el primer apellido de la madre, en el orden que de común acuerdo determinen. De tal suerte que el nombre hace identificadas o identificables a las personas, por lo que además constituye un dato personal.</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Por consiguiente, el nombre es el dato personal por excelencia, en razón de que identifica y hace plenamente identificable a la persona, ello atento a lo dispuesto por los artículos 3, fracción IX de la Ley de Transparencia del Estado y 4, fracción XI de la Ley de Protección de Datos del Estado, preceptos cuyo texto y sentido literal es el siguiente:</w:t>
      </w:r>
    </w:p>
    <w:p w:rsidR="00F9254F" w:rsidRDefault="001236B9">
      <w:pPr>
        <w:spacing w:after="0" w:line="360" w:lineRule="auto"/>
        <w:ind w:left="567" w:right="567"/>
        <w:rPr>
          <w:i/>
          <w:sz w:val="20"/>
          <w:szCs w:val="20"/>
        </w:rPr>
      </w:pPr>
      <w:r>
        <w:rPr>
          <w:i/>
          <w:sz w:val="20"/>
          <w:szCs w:val="20"/>
        </w:rPr>
        <w:t>…</w:t>
      </w:r>
    </w:p>
    <w:p w:rsidR="00F9254F" w:rsidRDefault="001236B9">
      <w:pPr>
        <w:spacing w:after="0" w:line="360" w:lineRule="auto"/>
        <w:ind w:left="567" w:right="567"/>
        <w:rPr>
          <w:i/>
          <w:sz w:val="20"/>
          <w:szCs w:val="20"/>
        </w:rPr>
      </w:pPr>
      <w:r>
        <w:rPr>
          <w:i/>
          <w:sz w:val="20"/>
          <w:szCs w:val="20"/>
        </w:rPr>
        <w:t xml:space="preserve">Si bien, en términos de lo dispuesto por los artículos 70, fracciones VII, VIII y XVIII de la Ley General de Transparencia y 92, fracciones VII, VIII y XXII de la Ley de Transparencia del Estado, el nombre de los servidores públicos es información pública, la cual debe ponerse a disposición de toda persona de manera permanente y actualizada, también lo es que, en el caso en particular trata del nombre las personas ex servidoras públicas electorales, como presuntos responsables en expedientes de responsabilidad administrativa, contenidos en los soportes documentales, por lo que, la entrega o difusión del dato que se analiza </w:t>
      </w:r>
      <w:proofErr w:type="spellStart"/>
      <w:r>
        <w:rPr>
          <w:i/>
          <w:sz w:val="20"/>
          <w:szCs w:val="20"/>
        </w:rPr>
        <w:t>afectaria</w:t>
      </w:r>
      <w:proofErr w:type="spellEnd"/>
      <w:r>
        <w:rPr>
          <w:i/>
          <w:sz w:val="20"/>
          <w:szCs w:val="20"/>
        </w:rPr>
        <w:t xml:space="preserve"> su reputación y </w:t>
      </w:r>
      <w:proofErr w:type="spellStart"/>
      <w:r>
        <w:rPr>
          <w:i/>
          <w:sz w:val="20"/>
          <w:szCs w:val="20"/>
        </w:rPr>
        <w:t>podria</w:t>
      </w:r>
      <w:proofErr w:type="spellEnd"/>
      <w:r>
        <w:rPr>
          <w:i/>
          <w:sz w:val="20"/>
          <w:szCs w:val="20"/>
        </w:rPr>
        <w:t xml:space="preserve"> dar origen a discriminación o actos de represalia en su contra, por lo que procede la clasificación como información confidencial.</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Asimismo, dicha clasificación pretende salvaguardar el derecho al honor de la aludida persona.</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En efecto, la protección del honor forma parte de la privacidad, entendido como un derecho amplio que engloba la colección de intereses jurídicamente protegidos, el cual resulta ser esencial para el desarrollo de la persona.</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 xml:space="preserve">Por lo tanto, se considera que de darse a conocer el dato que permita identificar a la ex persona servidora pública presunta responsable en procedimientos de responsabilidad administrativa, </w:t>
      </w:r>
      <w:r>
        <w:rPr>
          <w:i/>
          <w:sz w:val="20"/>
          <w:szCs w:val="20"/>
        </w:rPr>
        <w:lastRenderedPageBreak/>
        <w:t>afectarían su intimidad y su derecho al honor, puesto que podría generarse una percepción negativa sobre su persona; además, se pondría en riesgo su propia seguridad e integridad, al hacerlos susceptibles de posibles represalias por quien pudiera tener interés en las instancias iniciadas con motivo de los presuntos actos denunciados.</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En tal cuestión, la información que se analiza, es un dato personal que identifica o la hace identificable a una persona, por lo que, en términos del artículo 143, fracción I de la Ley de Transparencia del Estado, es información que debe clasificarse como confidencial.</w:t>
      </w:r>
    </w:p>
    <w:p w:rsidR="00F9254F" w:rsidRDefault="001236B9">
      <w:pPr>
        <w:spacing w:after="0" w:line="360" w:lineRule="auto"/>
        <w:ind w:left="567" w:right="567"/>
        <w:rPr>
          <w:i/>
          <w:sz w:val="20"/>
          <w:szCs w:val="20"/>
        </w:rPr>
      </w:pPr>
      <w:r>
        <w:rPr>
          <w:i/>
          <w:sz w:val="20"/>
          <w:szCs w:val="20"/>
        </w:rPr>
        <w:t>….”</w:t>
      </w:r>
    </w:p>
    <w:p w:rsidR="00F9254F" w:rsidRDefault="00F9254F">
      <w:pPr>
        <w:spacing w:after="0" w:line="360" w:lineRule="auto"/>
      </w:pPr>
    </w:p>
    <w:p w:rsidR="00F9254F" w:rsidRDefault="001236B9">
      <w:pPr>
        <w:spacing w:after="0" w:line="360" w:lineRule="auto"/>
        <w:rPr>
          <w:b/>
        </w:rPr>
      </w:pPr>
      <w:r>
        <w:rPr>
          <w:b/>
        </w:rPr>
        <w:t>IV. Interposición del Recurso de Revisión</w:t>
      </w:r>
    </w:p>
    <w:p w:rsidR="00F9254F" w:rsidRDefault="00F9254F">
      <w:pPr>
        <w:spacing w:after="0" w:line="360" w:lineRule="auto"/>
        <w:rPr>
          <w:b/>
        </w:rPr>
      </w:pPr>
    </w:p>
    <w:p w:rsidR="00F9254F" w:rsidRDefault="001236B9">
      <w:pPr>
        <w:spacing w:after="0" w:line="360" w:lineRule="auto"/>
      </w:pPr>
      <w:r>
        <w:t>Con fecha diez de octubre de dos mil veinticuatro,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F9254F" w:rsidRDefault="00F9254F">
      <w:pPr>
        <w:spacing w:after="0" w:line="360" w:lineRule="auto"/>
      </w:pPr>
    </w:p>
    <w:p w:rsidR="00F9254F" w:rsidRDefault="001236B9">
      <w:pPr>
        <w:spacing w:after="0" w:line="360" w:lineRule="auto"/>
        <w:ind w:left="567" w:right="567"/>
        <w:rPr>
          <w:i/>
          <w:sz w:val="20"/>
          <w:szCs w:val="20"/>
        </w:rPr>
      </w:pPr>
      <w:r>
        <w:rPr>
          <w:b/>
          <w:i/>
          <w:sz w:val="20"/>
          <w:szCs w:val="20"/>
        </w:rPr>
        <w:t>“ACTO IMPUGNADO</w:t>
      </w:r>
    </w:p>
    <w:p w:rsidR="00F9254F" w:rsidRDefault="001236B9">
      <w:pPr>
        <w:spacing w:after="0" w:line="360" w:lineRule="auto"/>
        <w:ind w:left="567" w:right="567"/>
        <w:rPr>
          <w:i/>
          <w:sz w:val="20"/>
          <w:szCs w:val="20"/>
        </w:rPr>
      </w:pPr>
      <w:r>
        <w:rPr>
          <w:i/>
          <w:sz w:val="20"/>
          <w:szCs w:val="20"/>
        </w:rPr>
        <w:t>LA CLASIFICACIÓN DE LA INFORMACIÓN.”</w:t>
      </w:r>
      <w:r>
        <w:rPr>
          <w:i/>
          <w:sz w:val="16"/>
          <w:szCs w:val="16"/>
        </w:rPr>
        <w:t xml:space="preserve"> </w:t>
      </w:r>
      <w:r>
        <w:rPr>
          <w:i/>
          <w:sz w:val="20"/>
          <w:szCs w:val="20"/>
        </w:rPr>
        <w:t>(Sic.)</w:t>
      </w:r>
    </w:p>
    <w:p w:rsidR="00F9254F" w:rsidRDefault="00F9254F">
      <w:pPr>
        <w:spacing w:after="0" w:line="360" w:lineRule="auto"/>
        <w:ind w:left="567" w:right="567"/>
        <w:rPr>
          <w:i/>
          <w:sz w:val="20"/>
          <w:szCs w:val="20"/>
          <w:highlight w:val="yellow"/>
        </w:rPr>
      </w:pPr>
    </w:p>
    <w:p w:rsidR="00F9254F" w:rsidRDefault="001236B9">
      <w:pPr>
        <w:spacing w:after="0" w:line="360" w:lineRule="auto"/>
        <w:ind w:left="567" w:right="567"/>
        <w:rPr>
          <w:b/>
          <w:i/>
          <w:sz w:val="20"/>
          <w:szCs w:val="20"/>
        </w:rPr>
      </w:pPr>
      <w:r>
        <w:rPr>
          <w:b/>
          <w:i/>
          <w:sz w:val="20"/>
          <w:szCs w:val="20"/>
        </w:rPr>
        <w:t>“RAZONES O MOTIVOS DE LA INCONFORMIDAD</w:t>
      </w:r>
    </w:p>
    <w:p w:rsidR="00F9254F" w:rsidRDefault="001236B9">
      <w:pPr>
        <w:spacing w:after="0" w:line="360" w:lineRule="auto"/>
        <w:ind w:left="567" w:right="567" w:firstLine="32"/>
        <w:rPr>
          <w:i/>
          <w:sz w:val="20"/>
          <w:szCs w:val="20"/>
        </w:rPr>
      </w:pPr>
      <w:r>
        <w:rPr>
          <w:i/>
          <w:sz w:val="20"/>
          <w:szCs w:val="20"/>
        </w:rPr>
        <w:t>CLASIFICAN LA INFORMACIÓN.”</w:t>
      </w:r>
      <w:r>
        <w:rPr>
          <w:i/>
          <w:sz w:val="18"/>
          <w:szCs w:val="18"/>
        </w:rPr>
        <w:t xml:space="preserve"> </w:t>
      </w:r>
      <w:r>
        <w:rPr>
          <w:i/>
          <w:sz w:val="20"/>
          <w:szCs w:val="20"/>
        </w:rPr>
        <w:t>(Sic.)</w:t>
      </w:r>
    </w:p>
    <w:p w:rsidR="00F9254F" w:rsidRDefault="00F9254F">
      <w:pPr>
        <w:spacing w:after="0" w:line="360" w:lineRule="auto"/>
      </w:pPr>
    </w:p>
    <w:p w:rsidR="00F9254F" w:rsidRDefault="001236B9">
      <w:pPr>
        <w:spacing w:after="0" w:line="360" w:lineRule="auto"/>
        <w:rPr>
          <w:b/>
        </w:rPr>
      </w:pPr>
      <w:r>
        <w:rPr>
          <w:b/>
        </w:rPr>
        <w:t>V. Trámite del Recurso de Revisión ante este Instituto</w:t>
      </w:r>
    </w:p>
    <w:p w:rsidR="00F9254F" w:rsidRDefault="00F9254F">
      <w:pPr>
        <w:spacing w:after="0" w:line="360" w:lineRule="auto"/>
        <w:rPr>
          <w:b/>
        </w:rPr>
      </w:pPr>
    </w:p>
    <w:p w:rsidR="00F9254F" w:rsidRDefault="001236B9">
      <w:pPr>
        <w:spacing w:after="0" w:line="360" w:lineRule="auto"/>
        <w:rPr>
          <w:b/>
        </w:rPr>
      </w:pPr>
      <w:r>
        <w:rPr>
          <w:b/>
        </w:rPr>
        <w:t xml:space="preserve">a) Turno del Medio de Impugnación. </w:t>
      </w:r>
      <w:r>
        <w:t xml:space="preserve">El diez de octubre de dos mil veinticuatro, el Sistema de Acceso a la Información Mexiquense (SAIMEX), asignó el número de expediente </w:t>
      </w:r>
      <w:r>
        <w:rPr>
          <w:b/>
        </w:rPr>
        <w:lastRenderedPageBreak/>
        <w:t>06231/INFOEM/IP/RR/2024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F9254F" w:rsidRDefault="00F9254F">
      <w:pPr>
        <w:spacing w:after="0" w:line="360" w:lineRule="auto"/>
      </w:pPr>
    </w:p>
    <w:p w:rsidR="00F9254F" w:rsidRDefault="001236B9">
      <w:pPr>
        <w:spacing w:after="0" w:line="360" w:lineRule="auto"/>
      </w:pPr>
      <w:r>
        <w:rPr>
          <w:b/>
        </w:rPr>
        <w:t xml:space="preserve">b) Admisión del Recurso de Revisión. </w:t>
      </w:r>
      <w:r>
        <w:t>El quince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F9254F" w:rsidRDefault="00F9254F">
      <w:pPr>
        <w:spacing w:after="0" w:line="360" w:lineRule="auto"/>
      </w:pPr>
    </w:p>
    <w:p w:rsidR="00F9254F" w:rsidRDefault="001236B9">
      <w:pPr>
        <w:spacing w:after="0" w:line="360" w:lineRule="auto"/>
      </w:pPr>
      <w:r>
        <w:rPr>
          <w:b/>
        </w:rPr>
        <w:t>c) Informe Justificado o manifestaciones.</w:t>
      </w:r>
      <w:r>
        <w:t xml:space="preserve"> El veintidós de octubre de dos mil veinticuatro se recibió, a través de Sistema de Acceso a la Información Mexiquense (SAIMEX), el informe justificado del Sujeto Obligado, por medio de un oficio sin número del veintiuno de octubre de dos mil veinticuatro, suscrito por la Jefa de la Unidad de Transparencia y dirigido al Comisionado Ponente, por medio del cual confirmó su respuesta. </w:t>
      </w:r>
    </w:p>
    <w:p w:rsidR="00F9254F" w:rsidRDefault="00F9254F">
      <w:pPr>
        <w:spacing w:after="0" w:line="360" w:lineRule="auto"/>
      </w:pPr>
    </w:p>
    <w:p w:rsidR="00F9254F" w:rsidRDefault="001236B9">
      <w:pPr>
        <w:spacing w:after="0" w:line="360" w:lineRule="auto"/>
      </w:pPr>
      <w:r>
        <w:t xml:space="preserve">Asimismo, adjuntó la digitalización del oficio número IEEM/CG/556/2025 del dieciséis de octubre de dos mil veinticuatro, suscrito por la Servidora Pública Habilitada de la Contraloría General y dirigido a la Jefa de la Unidad de Transparencia, en los términos siguientes: </w:t>
      </w:r>
    </w:p>
    <w:p w:rsidR="00F9254F" w:rsidRDefault="00F9254F">
      <w:pPr>
        <w:spacing w:after="0" w:line="360" w:lineRule="auto"/>
      </w:pPr>
    </w:p>
    <w:p w:rsidR="00F9254F" w:rsidRDefault="001236B9">
      <w:pPr>
        <w:spacing w:after="0" w:line="360" w:lineRule="auto"/>
        <w:ind w:left="567" w:right="567"/>
        <w:rPr>
          <w:i/>
          <w:sz w:val="20"/>
          <w:szCs w:val="20"/>
        </w:rPr>
      </w:pPr>
      <w:r>
        <w:rPr>
          <w:i/>
          <w:sz w:val="20"/>
          <w:szCs w:val="20"/>
        </w:rPr>
        <w:t>“…</w:t>
      </w:r>
    </w:p>
    <w:p w:rsidR="00F9254F" w:rsidRDefault="001236B9">
      <w:pPr>
        <w:spacing w:after="0" w:line="360" w:lineRule="auto"/>
        <w:ind w:left="567" w:right="567"/>
        <w:rPr>
          <w:i/>
          <w:sz w:val="20"/>
          <w:szCs w:val="20"/>
        </w:rPr>
      </w:pPr>
      <w:r>
        <w:rPr>
          <w:i/>
          <w:sz w:val="20"/>
          <w:szCs w:val="20"/>
        </w:rPr>
        <w:t xml:space="preserve"> En primer lugar, esta Contraloría General </w:t>
      </w:r>
      <w:r>
        <w:rPr>
          <w:b/>
          <w:i/>
          <w:sz w:val="20"/>
          <w:szCs w:val="20"/>
        </w:rPr>
        <w:t>ratifica la respuesta notificada a la solicitud</w:t>
      </w:r>
      <w:r>
        <w:rPr>
          <w:i/>
          <w:sz w:val="20"/>
          <w:szCs w:val="20"/>
        </w:rPr>
        <w:t xml:space="preserve"> planteada por la parte recurrente, toda vez que con la misma se atendió el requerimiento de </w:t>
      </w:r>
      <w:r>
        <w:rPr>
          <w:i/>
          <w:sz w:val="20"/>
          <w:szCs w:val="20"/>
        </w:rPr>
        <w:lastRenderedPageBreak/>
        <w:t>información en términos de lo dispuesto en los artículos 3 fracción II, 12 párrafo segundo, 23 fracción V, 24 tercer párrafo, 59 fracciones I, II, III, VI de la Ley de Transparencia y Acceso a la Información Pública del Estado de México y Municipios.</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Lo anterior, en razón de que tal y como se contestó al solicitante, dicha información se considera confidencial y no es susceptible de entrega, tal y como la clasificó el Comité de Transparencia de este Instituto, en la Vigésima Primera Sesión Extraordinaria del siete de octubre de dos mil veinticuatro, aprobó mediante acuerdo IEEM/CT/258/2024, ya que la divulgación de dicha información podría afectar la intimidad y el derecho al honor de los mismos; acuerdo que fue Adjuntado al sistema.</w:t>
      </w:r>
    </w:p>
    <w:p w:rsidR="00F9254F" w:rsidRDefault="00F9254F">
      <w:pPr>
        <w:spacing w:after="0" w:line="360" w:lineRule="auto"/>
        <w:ind w:left="567" w:right="567"/>
        <w:rPr>
          <w:i/>
          <w:sz w:val="20"/>
          <w:szCs w:val="20"/>
        </w:rPr>
      </w:pPr>
    </w:p>
    <w:p w:rsidR="00F9254F" w:rsidRDefault="001236B9">
      <w:pPr>
        <w:spacing w:after="0" w:line="360" w:lineRule="auto"/>
        <w:ind w:left="567" w:right="567"/>
        <w:rPr>
          <w:i/>
          <w:sz w:val="20"/>
          <w:szCs w:val="20"/>
        </w:rPr>
      </w:pPr>
      <w:r>
        <w:rPr>
          <w:i/>
          <w:sz w:val="20"/>
          <w:szCs w:val="20"/>
        </w:rPr>
        <w:t xml:space="preserve">Ello, en atención de que se trata de información relativa a ex servidores públicos que </w:t>
      </w:r>
      <w:r>
        <w:rPr>
          <w:b/>
          <w:i/>
          <w:sz w:val="20"/>
          <w:szCs w:val="20"/>
          <w:u w:val="single"/>
        </w:rPr>
        <w:t>tienen un procedimiento de responsabilidad administrativa en trámite ante la Contraloría General por faltas no graves, y que no encuadran en ninguno de los supuestos previstos en el artículo 142 de la Ley de Transparencia y Acceso a la Información Pública del Estado de México y Municipios</w:t>
      </w:r>
      <w:r>
        <w:rPr>
          <w:i/>
          <w:sz w:val="20"/>
          <w:szCs w:val="20"/>
        </w:rPr>
        <w:t>, por lo que, no procede su publicidad.</w:t>
      </w:r>
    </w:p>
    <w:p w:rsidR="00F9254F" w:rsidRDefault="001236B9">
      <w:pPr>
        <w:spacing w:after="0" w:line="360" w:lineRule="auto"/>
        <w:ind w:left="567" w:right="567"/>
        <w:rPr>
          <w:i/>
          <w:sz w:val="20"/>
          <w:szCs w:val="20"/>
        </w:rPr>
      </w:pPr>
      <w:r>
        <w:rPr>
          <w:i/>
          <w:sz w:val="20"/>
          <w:szCs w:val="20"/>
        </w:rPr>
        <w:t>…”</w:t>
      </w:r>
    </w:p>
    <w:p w:rsidR="00F9254F" w:rsidRDefault="00F9254F">
      <w:pPr>
        <w:spacing w:after="0" w:line="360" w:lineRule="auto"/>
        <w:rPr>
          <w:color w:val="000000"/>
        </w:rPr>
      </w:pPr>
    </w:p>
    <w:p w:rsidR="00F9254F" w:rsidRDefault="001236B9">
      <w:pPr>
        <w:spacing w:after="0" w:line="360" w:lineRule="auto"/>
        <w:rPr>
          <w:i/>
          <w:sz w:val="20"/>
          <w:szCs w:val="20"/>
        </w:rPr>
      </w:pPr>
      <w:r>
        <w:rPr>
          <w:b/>
        </w:rPr>
        <w:t xml:space="preserve">d)  Vista del Informe Justificado. </w:t>
      </w:r>
      <w:r>
        <w:t xml:space="preserve">El treinta de octubre de dos mil veinticuatro, se dictó acuerdo mediante el cual se puso a la vista del Particular el Informe Justificado, entregado por el Sujeto Obligado, para robustecer su respuesta inicial, el cual fue notificado a las partes el diez del mismo mes y año, a través del Sistema de Acceso a la Información Mexiquense (SAIMEX). </w:t>
      </w:r>
      <w:r>
        <w:rPr>
          <w:b/>
        </w:rPr>
        <w:t>Cabe señalar que el Recurrente fue omiso en realizar alguna manifestación que a su derecho conviniera y asistiera.</w:t>
      </w:r>
    </w:p>
    <w:p w:rsidR="00F9254F" w:rsidRDefault="00F9254F">
      <w:pPr>
        <w:spacing w:after="0" w:line="360" w:lineRule="auto"/>
      </w:pPr>
    </w:p>
    <w:p w:rsidR="00F9254F" w:rsidRDefault="001236B9">
      <w:pPr>
        <w:spacing w:after="0" w:line="360" w:lineRule="auto"/>
        <w:rPr>
          <w:b/>
        </w:rPr>
      </w:pPr>
      <w:r>
        <w:rPr>
          <w:b/>
        </w:rPr>
        <w:t>e) Cierre de instrucción.</w:t>
      </w:r>
      <w:r>
        <w:t xml:space="preserve"> El seis de noviembre de dos mil veinticuatro, al no existir diligencias pendientes por desahogar, se emitió el acuerdo por medio del cual se declaró cerrada la instrucción y se determinó pasar los expedientes a resolución, en términos de lo dispuesto </w:t>
      </w:r>
      <w:r>
        <w:lastRenderedPageBreak/>
        <w:t>en los artículos 185, fracciones VI y VIII, de la Ley de Transparencia y Acceso a la Información Pública del Estado de México y Municipios, acto que fue notificado a las partes, mediante el Sistema de Acceso a la Información Mexiquense (SAIMEX), el mismo día.</w:t>
      </w:r>
    </w:p>
    <w:p w:rsidR="00F9254F" w:rsidRDefault="00F9254F">
      <w:pPr>
        <w:spacing w:after="0" w:line="360" w:lineRule="auto"/>
        <w:ind w:right="-28"/>
      </w:pPr>
    </w:p>
    <w:p w:rsidR="00F9254F" w:rsidRDefault="001236B9">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F9254F" w:rsidRDefault="00F9254F">
      <w:pPr>
        <w:spacing w:after="0" w:line="360" w:lineRule="auto"/>
        <w:rPr>
          <w:b/>
          <w:color w:val="000000"/>
        </w:rPr>
      </w:pPr>
    </w:p>
    <w:p w:rsidR="00F9254F" w:rsidRDefault="001236B9">
      <w:pPr>
        <w:spacing w:after="0" w:line="360" w:lineRule="auto"/>
        <w:jc w:val="center"/>
        <w:rPr>
          <w:b/>
          <w:color w:val="000000"/>
        </w:rPr>
      </w:pPr>
      <w:r>
        <w:rPr>
          <w:b/>
          <w:color w:val="000000"/>
        </w:rPr>
        <w:t>C O N S I D E R A N D O S</w:t>
      </w:r>
    </w:p>
    <w:p w:rsidR="00F9254F" w:rsidRDefault="00F9254F">
      <w:pPr>
        <w:spacing w:after="0" w:line="360" w:lineRule="auto"/>
        <w:jc w:val="center"/>
        <w:rPr>
          <w:b/>
          <w:color w:val="000000"/>
        </w:rPr>
      </w:pPr>
    </w:p>
    <w:p w:rsidR="00F9254F" w:rsidRDefault="001236B9">
      <w:pPr>
        <w:spacing w:after="0" w:line="360" w:lineRule="auto"/>
        <w:rPr>
          <w:b/>
          <w:color w:val="000000"/>
        </w:rPr>
      </w:pPr>
      <w:r>
        <w:rPr>
          <w:b/>
          <w:color w:val="000000"/>
        </w:rPr>
        <w:t>PRIMERO</w:t>
      </w:r>
      <w:r>
        <w:rPr>
          <w:color w:val="000000"/>
        </w:rPr>
        <w:t xml:space="preserve">. </w:t>
      </w:r>
      <w:r>
        <w:rPr>
          <w:b/>
          <w:color w:val="000000"/>
        </w:rPr>
        <w:t>Competencia</w:t>
      </w:r>
    </w:p>
    <w:p w:rsidR="00F9254F" w:rsidRDefault="00F9254F">
      <w:pPr>
        <w:spacing w:after="0" w:line="360" w:lineRule="auto"/>
        <w:rPr>
          <w:b/>
          <w:color w:val="000000"/>
        </w:rPr>
      </w:pPr>
    </w:p>
    <w:p w:rsidR="00F9254F" w:rsidRDefault="001236B9">
      <w:pPr>
        <w:spacing w:after="0" w:line="360" w:lineRule="auto"/>
      </w:pPr>
      <w:bookmarkStart w:id="0" w:name="_heading=h.30j0zll" w:colFirst="0" w:colLast="0"/>
      <w:bookmarkEnd w:id="0"/>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F9254F" w:rsidRDefault="00F9254F">
      <w:pPr>
        <w:spacing w:after="0" w:line="360" w:lineRule="auto"/>
        <w:rPr>
          <w:b/>
          <w:color w:val="000000"/>
        </w:rPr>
      </w:pPr>
    </w:p>
    <w:p w:rsidR="00F9254F" w:rsidRDefault="001236B9">
      <w:pPr>
        <w:spacing w:after="0" w:line="360" w:lineRule="auto"/>
        <w:rPr>
          <w:b/>
        </w:rPr>
      </w:pPr>
      <w:r>
        <w:rPr>
          <w:b/>
          <w:color w:val="000000"/>
        </w:rPr>
        <w:t>SEGUNDO</w:t>
      </w:r>
      <w:r>
        <w:rPr>
          <w:color w:val="000000"/>
        </w:rPr>
        <w:t xml:space="preserve">. </w:t>
      </w:r>
      <w:r>
        <w:rPr>
          <w:b/>
        </w:rPr>
        <w:t>Causales de improcedencia.</w:t>
      </w:r>
    </w:p>
    <w:p w:rsidR="00F9254F" w:rsidRDefault="00F9254F">
      <w:pPr>
        <w:spacing w:after="0" w:line="360" w:lineRule="auto"/>
      </w:pPr>
    </w:p>
    <w:p w:rsidR="00F9254F" w:rsidRDefault="001236B9">
      <w:pPr>
        <w:spacing w:after="0" w:line="360" w:lineRule="auto"/>
      </w:pPr>
      <w: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F9254F" w:rsidRDefault="00F9254F">
      <w:pPr>
        <w:spacing w:after="0" w:line="360" w:lineRule="auto"/>
      </w:pPr>
    </w:p>
    <w:p w:rsidR="00F9254F" w:rsidRDefault="001236B9">
      <w:pPr>
        <w:spacing w:after="0" w:line="360" w:lineRule="auto"/>
      </w:pPr>
      <w: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F9254F" w:rsidRDefault="00F9254F">
      <w:pPr>
        <w:spacing w:after="0" w:line="360" w:lineRule="auto"/>
      </w:pPr>
    </w:p>
    <w:p w:rsidR="00F9254F" w:rsidRDefault="001236B9">
      <w:pPr>
        <w:spacing w:after="0" w:line="360" w:lineRule="auto"/>
      </w:pPr>
      <w:r>
        <w:t xml:space="preserve">Asimismo, se actualiza la causal de procedencia del Recurso de Revisión establecida en el artículo 179, fracción II, de la Ley de Transparencia y Acceso a la Información Pública del Estado de México y Municipios, referente a la clasificación de la información. </w:t>
      </w:r>
    </w:p>
    <w:p w:rsidR="00F9254F" w:rsidRDefault="00F9254F">
      <w:pPr>
        <w:spacing w:after="0" w:line="360" w:lineRule="auto"/>
      </w:pPr>
    </w:p>
    <w:p w:rsidR="00F9254F" w:rsidRDefault="001236B9">
      <w:pPr>
        <w:spacing w:after="0" w:line="360" w:lineRule="auto"/>
        <w:rPr>
          <w:b/>
        </w:rPr>
      </w:pPr>
      <w:r>
        <w:rPr>
          <w:b/>
        </w:rPr>
        <w:t>TERCERO. Causales de sobreseimiento.</w:t>
      </w:r>
    </w:p>
    <w:p w:rsidR="00F9254F" w:rsidRDefault="001236B9">
      <w:pPr>
        <w:spacing w:after="0" w:line="360" w:lineRule="auto"/>
      </w:pPr>
      <w:r>
        <w:t xml:space="preserve"> </w:t>
      </w:r>
    </w:p>
    <w:p w:rsidR="00F9254F" w:rsidRDefault="001236B9">
      <w:pPr>
        <w:spacing w:after="0" w:line="360" w:lineRule="auto"/>
      </w:pPr>
      <w:r>
        <w:t>Por ser de previo y especial pronunciamiento, este Instituto analiza si se actualiza alguna causal de sobreseimiento.</w:t>
      </w:r>
    </w:p>
    <w:p w:rsidR="00F9254F" w:rsidRDefault="00F9254F">
      <w:pPr>
        <w:spacing w:after="0" w:line="360" w:lineRule="auto"/>
      </w:pPr>
    </w:p>
    <w:p w:rsidR="00F9254F" w:rsidRDefault="001236B9">
      <w:pPr>
        <w:spacing w:after="0" w:line="360" w:lineRule="auto"/>
      </w:pPr>
      <w: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Pr>
          <w:b/>
        </w:rPr>
        <w:t>que no se actualizan los supuestos de sobreseimiento previstos en las fracciones I, II, IV y V</w:t>
      </w:r>
      <w:r>
        <w:t xml:space="preserve">, del artículo en comento, lo anterior, en virtud de que no hay constancias en el expediente en que se actúa, de que la Recurrente se haya desistido del recurso, haya fallecido, o bien, se haya actualizado alguna causal de improcedencia. </w:t>
      </w:r>
    </w:p>
    <w:p w:rsidR="00F9254F" w:rsidRDefault="00F9254F">
      <w:pPr>
        <w:spacing w:after="0" w:line="360" w:lineRule="auto"/>
      </w:pPr>
    </w:p>
    <w:p w:rsidR="00F9254F" w:rsidRDefault="001236B9">
      <w:pPr>
        <w:spacing w:after="0" w:line="360" w:lineRule="auto"/>
        <w:rPr>
          <w:color w:val="000000"/>
        </w:rPr>
      </w:pPr>
      <w:r>
        <w:t>No obstante, por lo que hace a la hipótesis prevista en la fracción III, del artículo 192 de la Ley de la Materia, a saber, que el Sujeto Obligado durante la sustanciación del Recurso de Revisión modifique su respuesta, se advierte que d</w:t>
      </w:r>
      <w:r>
        <w:rPr>
          <w:color w:val="000000"/>
        </w:rPr>
        <w:t>urante la sustanciación del Recurso de Revisión 06231/INFOEM/IP/RR/2024, el Instituto Electoral del Estado de México, modificó su respuesta, a través del Informe Justificado, se estima procedente entrar al estudio de la causal de sobreseimiento.</w:t>
      </w:r>
    </w:p>
    <w:p w:rsidR="00F9254F" w:rsidRDefault="00F9254F">
      <w:pPr>
        <w:spacing w:after="0" w:line="360" w:lineRule="auto"/>
        <w:rPr>
          <w:color w:val="000000"/>
        </w:rPr>
      </w:pPr>
    </w:p>
    <w:p w:rsidR="00F9254F" w:rsidRDefault="001236B9">
      <w:pPr>
        <w:spacing w:after="0" w:line="360" w:lineRule="auto"/>
      </w:pPr>
      <w:r>
        <w:t xml:space="preserve">En razón de lo anterior, y con la finalidad de verificar si se actualiza la causal de sobreseimiento, es necesario recapitular que el hoy Recurrente requirió, el nombre de los ex Servidores Públicos que tenían un procedimiento administrativo en trámite, al diecinueve de septiembre de dos mil veinticuatro. </w:t>
      </w:r>
    </w:p>
    <w:p w:rsidR="00F9254F" w:rsidRDefault="00F9254F">
      <w:pPr>
        <w:spacing w:after="0" w:line="360" w:lineRule="auto"/>
      </w:pPr>
    </w:p>
    <w:p w:rsidR="00F9254F" w:rsidRDefault="001236B9">
      <w:pPr>
        <w:spacing w:after="0" w:line="360" w:lineRule="auto"/>
        <w:ind w:right="-28"/>
        <w:rPr>
          <w:color w:val="000000"/>
        </w:rPr>
      </w:pPr>
      <w:r>
        <w:rPr>
          <w:color w:val="000000"/>
        </w:rPr>
        <w:t xml:space="preserve">En respuesta, el Sujeto Obligado a través de la Servidora Pública Habilitada de la Contraloría General precisó que los nombres de las personas ex servidora públicas electorales presuntos responsables en expedientes de responsabilidad administrativa se clasificó como información confidencial; ante dicha respuesta por parte del Ente Recurrido, el Particular, se inconformó de la clasificación de la información, lo cual actualiza el supuesto previsto en el artículo 179, </w:t>
      </w:r>
      <w:r>
        <w:rPr>
          <w:color w:val="000000"/>
        </w:rPr>
        <w:lastRenderedPageBreak/>
        <w:t xml:space="preserve">fracción II, de la Ley de Transparencia y Acceso a la Información Pública del Estado de México y Municipios. </w:t>
      </w:r>
    </w:p>
    <w:p w:rsidR="00F9254F" w:rsidRDefault="00F9254F">
      <w:pPr>
        <w:spacing w:after="0" w:line="360" w:lineRule="auto"/>
      </w:pPr>
    </w:p>
    <w:p w:rsidR="00F9254F" w:rsidRDefault="001236B9">
      <w:pPr>
        <w:spacing w:after="0" w:line="360" w:lineRule="auto"/>
      </w:pPr>
      <w:r>
        <w:t xml:space="preserve">Así las cosas, una vez admitido y notificado el Recurso de Revisión a las partes, el Ente Recurrido, por medio de su Informe Justificado, ratificó su respuesta inicial y precisó que la información relativa a los ex servidores públicos que tienen un procedimiento de responsabilidad administrativa en trámite ante la Contraloría General correspondían por faltas no grave y que no encuadraban en los supuestos previstos en el artículo 142 de la Ley de Transparencia y Acceso a la Información Pública del Estado de México y Municipios, por lo que no procedía su publicidad.  </w:t>
      </w:r>
    </w:p>
    <w:p w:rsidR="00F9254F" w:rsidRDefault="00F9254F">
      <w:pPr>
        <w:spacing w:after="0" w:line="360" w:lineRule="auto"/>
      </w:pPr>
    </w:p>
    <w:p w:rsidR="00F9254F" w:rsidRDefault="001236B9">
      <w:pPr>
        <w:spacing w:after="0" w:line="360" w:lineRule="auto"/>
        <w:rPr>
          <w:color w:val="000000"/>
        </w:rPr>
      </w:pPr>
      <w:r>
        <w:rPr>
          <w:color w:val="000000"/>
        </w:rPr>
        <w:t xml:space="preserve">Lo anterior, se desprende de las documentales que obran en los expedientes de referencia, materia de la presente resolución, consistente en: la solicitud de acceso a la información; la respuesta; el escrito </w:t>
      </w:r>
      <w:proofErr w:type="spellStart"/>
      <w:r>
        <w:rPr>
          <w:color w:val="000000"/>
        </w:rPr>
        <w:t>recursal</w:t>
      </w:r>
      <w:proofErr w:type="spellEnd"/>
      <w:r>
        <w:rPr>
          <w:color w:val="000000"/>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F9254F" w:rsidRDefault="00F9254F">
      <w:pPr>
        <w:spacing w:after="0" w:line="360" w:lineRule="auto"/>
        <w:rPr>
          <w:color w:val="000000"/>
        </w:rPr>
      </w:pPr>
    </w:p>
    <w:p w:rsidR="00F9254F" w:rsidRDefault="001236B9">
      <w:pPr>
        <w:tabs>
          <w:tab w:val="left" w:pos="2100"/>
        </w:tabs>
        <w:spacing w:after="0" w:line="360" w:lineRule="auto"/>
      </w:pPr>
      <w:r>
        <w:t>Establecido lo anterior, se procede al análisis de la solicitud de información del ahora Recurrente; para lo cual, es necesario contextualizar la solitud de información, así, respecto a la información peticionada, el artículo 3°, fracciones XIII y XIV, de la Ley de Responsabilidades Administrativas del Estado de México y Municipios, señala lo siguiente:</w:t>
      </w:r>
    </w:p>
    <w:p w:rsidR="00F9254F" w:rsidRDefault="00F9254F">
      <w:pPr>
        <w:tabs>
          <w:tab w:val="left" w:pos="2100"/>
        </w:tabs>
        <w:spacing w:after="0" w:line="360" w:lineRule="auto"/>
      </w:pPr>
    </w:p>
    <w:p w:rsidR="00F9254F" w:rsidRDefault="001236B9">
      <w:pPr>
        <w:numPr>
          <w:ilvl w:val="0"/>
          <w:numId w:val="4"/>
        </w:numPr>
        <w:tabs>
          <w:tab w:val="left" w:pos="2100"/>
        </w:tabs>
        <w:spacing w:after="0" w:line="360" w:lineRule="auto"/>
      </w:pPr>
      <w:r>
        <w:rPr>
          <w:b/>
        </w:rPr>
        <w:t xml:space="preserve">Falta administrativa no grave: </w:t>
      </w:r>
      <w:r>
        <w:t>A las faltas administrativas de los servidores públicos en los términos de la presente Ley, cuya imposición de la sanción corresponde a los Órganos Internos de Control.</w:t>
      </w:r>
    </w:p>
    <w:p w:rsidR="00F9254F" w:rsidRDefault="00F9254F">
      <w:pPr>
        <w:tabs>
          <w:tab w:val="left" w:pos="2100"/>
        </w:tabs>
        <w:spacing w:after="0" w:line="360" w:lineRule="auto"/>
        <w:ind w:left="720"/>
      </w:pPr>
    </w:p>
    <w:p w:rsidR="00F9254F" w:rsidRDefault="001236B9">
      <w:pPr>
        <w:numPr>
          <w:ilvl w:val="0"/>
          <w:numId w:val="4"/>
        </w:numPr>
        <w:tabs>
          <w:tab w:val="left" w:pos="2100"/>
        </w:tabs>
        <w:spacing w:after="0" w:line="360" w:lineRule="auto"/>
      </w:pPr>
      <w:r>
        <w:rPr>
          <w:b/>
        </w:rPr>
        <w:t>Falta administrativa grave:</w:t>
      </w:r>
      <w:r>
        <w:t xml:space="preserve"> A las faltas administrativas de los servidores públicos catalogadas como graves en los términos de la presente Ley, cuya sanción corresponde al Tribunal de Justicia Administrativa del Estado de México.</w:t>
      </w:r>
    </w:p>
    <w:p w:rsidR="00F9254F" w:rsidRDefault="00F9254F">
      <w:pPr>
        <w:tabs>
          <w:tab w:val="left" w:pos="2100"/>
        </w:tabs>
        <w:spacing w:after="0" w:line="360" w:lineRule="auto"/>
      </w:pPr>
    </w:p>
    <w:p w:rsidR="00F9254F" w:rsidRDefault="001236B9">
      <w:pPr>
        <w:tabs>
          <w:tab w:val="left" w:pos="2100"/>
        </w:tabs>
        <w:spacing w:after="0" w:line="360" w:lineRule="auto"/>
        <w:rPr>
          <w:color w:val="000000"/>
        </w:rPr>
      </w:pPr>
      <w:r>
        <w:rPr>
          <w:color w:val="000000"/>
        </w:rPr>
        <w:t xml:space="preserve">En ese contexto, el artículo 112, fracciones I y III, de la Ley Orgánica Municipal del Estado de México, que establece que el </w:t>
      </w:r>
      <w:r>
        <w:rPr>
          <w:b/>
          <w:color w:val="000000"/>
        </w:rPr>
        <w:t>Órgano Interno de Control Municipal</w:t>
      </w:r>
      <w:r>
        <w:rPr>
          <w:color w:val="000000"/>
        </w:rPr>
        <w:t>, es el encargado de recibir las denuncia que se formulen por presuntas infracciones o faltas administrativas derivadas de actos u omisiones cometidos por las personas servidoras públicas de sus municipios, así como, de iniciar de oficio o a petición, los procedimientos de investigación por posibles faltas administrativas y en su caso, la calificación de faltas graves y no graves; además, de substanciar los procedimientos de responsabilidad administrativa y emitir en su caso, las resoluciones que son de su competencia, imponiendo cuando proceda, las sanciones que correspondan y remitiendo los expedientes al Tribunal de Justicia Administrativa del Estado de México, por faltas graves.</w:t>
      </w:r>
    </w:p>
    <w:p w:rsidR="00F9254F" w:rsidRDefault="00F9254F">
      <w:pPr>
        <w:tabs>
          <w:tab w:val="left" w:pos="2100"/>
        </w:tabs>
        <w:spacing w:after="0" w:line="360" w:lineRule="auto"/>
        <w:rPr>
          <w:color w:val="000000"/>
        </w:rPr>
      </w:pPr>
    </w:p>
    <w:p w:rsidR="00F9254F" w:rsidRDefault="001236B9">
      <w:pPr>
        <w:tabs>
          <w:tab w:val="left" w:pos="2100"/>
        </w:tabs>
        <w:spacing w:after="0" w:line="360" w:lineRule="auto"/>
      </w:pPr>
      <w:r>
        <w:t xml:space="preserve">Además, los artículos 3°, fracciones I, II y III, 10 y 11 de la Ley de Responsabilidades Administrativas del Estado de México y Municipios, establece que los </w:t>
      </w:r>
      <w:r>
        <w:rPr>
          <w:b/>
        </w:rPr>
        <w:t xml:space="preserve">Órganos Internos de Control </w:t>
      </w:r>
      <w:r>
        <w:t>tendrán a su cargo, la investigación, substanciación y calificación de las faltas administrativas (graves y no graves) y en su caso, emisión de la resolución donde determinen el grado de la falta, mediante el desarrollo del procedimiento de responsabilidades administrativas.</w:t>
      </w:r>
    </w:p>
    <w:p w:rsidR="00F9254F" w:rsidRDefault="00F9254F">
      <w:pPr>
        <w:widowControl w:val="0"/>
        <w:spacing w:after="0" w:line="360" w:lineRule="auto"/>
        <w:rPr>
          <w:color w:val="000000"/>
        </w:rPr>
      </w:pPr>
    </w:p>
    <w:p w:rsidR="00F9254F" w:rsidRDefault="001236B9">
      <w:pPr>
        <w:tabs>
          <w:tab w:val="left" w:pos="2100"/>
        </w:tabs>
        <w:spacing w:after="0" w:line="360" w:lineRule="auto"/>
      </w:pPr>
      <w:r>
        <w:t xml:space="preserve">Conforme a lo anterior, se logra observar que la pretensión del ahora Recurrente, es obtener los nombres de los ex servidores públicos que tienen un procedimiento administrativo en trámite, al diecinueve de septiembre de dos mil veinticuatro. </w:t>
      </w:r>
    </w:p>
    <w:p w:rsidR="00F9254F" w:rsidRDefault="001236B9">
      <w:pPr>
        <w:widowControl w:val="0"/>
        <w:spacing w:after="0" w:line="360" w:lineRule="auto"/>
        <w:rPr>
          <w:color w:val="000000"/>
        </w:rPr>
      </w:pPr>
      <w:r>
        <w:rPr>
          <w:color w:val="000000"/>
        </w:rPr>
        <w:lastRenderedPageBreak/>
        <w:t>Ante dicha circunstancia, es necesario precisar que de las constancias que obran en el expediente se logra vislumbrar que el Sujeto Obligado en respuesta, turnó la solicitud de información a la Contraloría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F9254F" w:rsidRDefault="00F9254F">
      <w:pPr>
        <w:widowControl w:val="0"/>
        <w:spacing w:after="0" w:line="360" w:lineRule="auto"/>
        <w:rPr>
          <w:color w:val="000000"/>
        </w:rPr>
      </w:pPr>
    </w:p>
    <w:p w:rsidR="00F9254F" w:rsidRDefault="001236B9">
      <w:pPr>
        <w:widowControl w:val="0"/>
        <w:numPr>
          <w:ilvl w:val="0"/>
          <w:numId w:val="1"/>
        </w:numPr>
        <w:spacing w:after="0" w:line="360" w:lineRule="auto"/>
        <w:rPr>
          <w:color w:val="000000"/>
        </w:rPr>
      </w:pPr>
      <w:r>
        <w:rPr>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F9254F" w:rsidRDefault="00F9254F">
      <w:pPr>
        <w:widowControl w:val="0"/>
        <w:spacing w:after="0" w:line="360" w:lineRule="auto"/>
        <w:rPr>
          <w:color w:val="000000"/>
        </w:rPr>
      </w:pPr>
    </w:p>
    <w:p w:rsidR="00F9254F" w:rsidRDefault="001236B9">
      <w:pPr>
        <w:widowControl w:val="0"/>
        <w:numPr>
          <w:ilvl w:val="0"/>
          <w:numId w:val="1"/>
        </w:numPr>
        <w:spacing w:after="0" w:line="360" w:lineRule="auto"/>
        <w:rPr>
          <w:color w:val="000000"/>
        </w:rPr>
      </w:pPr>
      <w:r>
        <w:rPr>
          <w:color w:val="000000"/>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F9254F" w:rsidRDefault="00F9254F">
      <w:pPr>
        <w:widowControl w:val="0"/>
        <w:spacing w:after="0" w:line="360" w:lineRule="auto"/>
        <w:rPr>
          <w:color w:val="000000"/>
        </w:rPr>
      </w:pPr>
    </w:p>
    <w:p w:rsidR="00F9254F" w:rsidRDefault="001236B9">
      <w:pPr>
        <w:spacing w:after="0" w:line="360" w:lineRule="auto"/>
        <w:ind w:right="-28"/>
        <w:rPr>
          <w:color w:val="000000"/>
        </w:rPr>
      </w:pPr>
      <w:r>
        <w:rPr>
          <w:color w:val="000000"/>
        </w:rPr>
        <w:t>De lo precisado en párrafos anteriores, se advierte que el Sujeto Obligado cumplió con el procedimiento de búsqueda establecido en el artículo 162 de la Ley de Transparencia y Acceso a la Información Pública del Estado de México y Municipios, al gestionar el requerimiento de información al área encargada de ver las cuestiones relacionadas con los procedimientos de responsabilidades administrativas.</w:t>
      </w:r>
    </w:p>
    <w:p w:rsidR="00F9254F" w:rsidRDefault="00F9254F">
      <w:pPr>
        <w:widowControl w:val="0"/>
        <w:spacing w:after="0" w:line="360" w:lineRule="auto"/>
      </w:pPr>
    </w:p>
    <w:p w:rsidR="00F9254F" w:rsidRDefault="001236B9">
      <w:pPr>
        <w:spacing w:line="360" w:lineRule="auto"/>
        <w:rPr>
          <w:color w:val="000000"/>
        </w:rPr>
      </w:pPr>
      <w:r>
        <w:lastRenderedPageBreak/>
        <w:t xml:space="preserve">Al respecto, </w:t>
      </w:r>
      <w:r>
        <w:rPr>
          <w:color w:val="000000"/>
        </w:rPr>
        <w:t>dicha área precisó que los nombres de los servidores de las personas ex servidoras públicas presuntos responsables en expedientes de responsabilidad informativa correspondían a información confidencial y para tal efecto proporcionó el Acuerdo Número IEEM/CT/258/2024 por medio del cual se confirmó la clasificación como confidencial; tal como se muestra en la siguiente imagen ilustrativa:</w:t>
      </w:r>
    </w:p>
    <w:p w:rsidR="00F9254F" w:rsidRDefault="00F9254F">
      <w:pPr>
        <w:spacing w:line="360" w:lineRule="auto"/>
        <w:rPr>
          <w:color w:val="000000"/>
        </w:rPr>
      </w:pPr>
    </w:p>
    <w:p w:rsidR="00F9254F" w:rsidRDefault="001236B9">
      <w:pPr>
        <w:spacing w:line="360" w:lineRule="auto"/>
        <w:jc w:val="center"/>
        <w:rPr>
          <w:color w:val="000000"/>
        </w:rPr>
      </w:pPr>
      <w:r>
        <w:rPr>
          <w:noProof/>
          <w:color w:val="000000"/>
        </w:rPr>
        <w:drawing>
          <wp:inline distT="0" distB="0" distL="0" distR="0">
            <wp:extent cx="3812554" cy="29834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26117"/>
                    <a:stretch>
                      <a:fillRect/>
                    </a:stretch>
                  </pic:blipFill>
                  <pic:spPr>
                    <a:xfrm>
                      <a:off x="0" y="0"/>
                      <a:ext cx="3812554" cy="2983495"/>
                    </a:xfrm>
                    <a:prstGeom prst="rect">
                      <a:avLst/>
                    </a:prstGeom>
                    <a:ln/>
                  </pic:spPr>
                </pic:pic>
              </a:graphicData>
            </a:graphic>
          </wp:inline>
        </w:drawing>
      </w:r>
    </w:p>
    <w:p w:rsidR="00F9254F" w:rsidRDefault="00F9254F">
      <w:pPr>
        <w:spacing w:line="360" w:lineRule="auto"/>
        <w:rPr>
          <w:color w:val="000000"/>
        </w:rPr>
      </w:pPr>
    </w:p>
    <w:p w:rsidR="00F9254F" w:rsidRDefault="001236B9">
      <w:pPr>
        <w:spacing w:line="360" w:lineRule="auto"/>
        <w:rPr>
          <w:b/>
        </w:rPr>
      </w:pPr>
      <w:r>
        <w:t xml:space="preserve">Sobre el tema, el artículo 20 de la Ley de Transparencia y Acceso a la Información Pública del Estado de México y Municipios, establece que, </w:t>
      </w:r>
      <w:r>
        <w:rPr>
          <w:b/>
        </w:rPr>
        <w:t>ante la negativa de acceso a la información o su inexistencia, el sujeto obligado deberá demostrar que encuentra en alguna de las excepciones establecidas en la normatividad aplicable.</w:t>
      </w:r>
    </w:p>
    <w:p w:rsidR="00F9254F" w:rsidRDefault="00F9254F">
      <w:pPr>
        <w:spacing w:after="0" w:line="360" w:lineRule="auto"/>
        <w:ind w:right="-28"/>
        <w:rPr>
          <w:color w:val="000000"/>
        </w:rPr>
      </w:pPr>
    </w:p>
    <w:p w:rsidR="00F9254F" w:rsidRDefault="001236B9">
      <w:pPr>
        <w:spacing w:after="0" w:line="360" w:lineRule="auto"/>
      </w:pPr>
      <w:r>
        <w:lastRenderedPageBreak/>
        <w:t xml:space="preserve">En ese sentido, según Trujillo, Humberto (2019), en el “Diccionario de Transparencia y Acceso a la Información Pública” (p. 201), </w:t>
      </w:r>
      <w:r>
        <w:rPr>
          <w:b/>
        </w:rPr>
        <w:t xml:space="preserve">la negativa de acceso a la información </w:t>
      </w:r>
      <w:r>
        <w:t xml:space="preserve">ocurre cuanto de manera fundada y motivada, una autoridad la niega o la limita, por alguna de las siguientes razones: </w:t>
      </w:r>
    </w:p>
    <w:p w:rsidR="00F9254F" w:rsidRDefault="00F9254F">
      <w:pPr>
        <w:spacing w:after="0" w:line="360" w:lineRule="auto"/>
      </w:pPr>
    </w:p>
    <w:p w:rsidR="00F9254F" w:rsidRDefault="001236B9">
      <w:pPr>
        <w:numPr>
          <w:ilvl w:val="0"/>
          <w:numId w:val="5"/>
        </w:numPr>
        <w:spacing w:after="0" w:line="360" w:lineRule="auto"/>
        <w:jc w:val="left"/>
        <w:rPr>
          <w:b/>
        </w:rPr>
      </w:pPr>
      <w:r>
        <w:rPr>
          <w:b/>
        </w:rPr>
        <w:t xml:space="preserve">La inexistencia de la información (p. 171): </w:t>
      </w:r>
      <w:r>
        <w:t>Sucede cuando la información solicitada no se encuentra en los archivos públicos o clasificados de los entes sujetos a las Leyes de Transparencia.</w:t>
      </w:r>
    </w:p>
    <w:p w:rsidR="00F9254F" w:rsidRDefault="00F9254F">
      <w:pPr>
        <w:spacing w:after="0" w:line="360" w:lineRule="auto"/>
        <w:ind w:left="720"/>
        <w:rPr>
          <w:b/>
        </w:rPr>
      </w:pPr>
    </w:p>
    <w:p w:rsidR="00F9254F" w:rsidRDefault="001236B9">
      <w:pPr>
        <w:numPr>
          <w:ilvl w:val="0"/>
          <w:numId w:val="5"/>
        </w:numPr>
        <w:spacing w:after="0" w:line="360" w:lineRule="auto"/>
        <w:jc w:val="left"/>
        <w:rPr>
          <w:b/>
        </w:rPr>
      </w:pPr>
      <w:r>
        <w:rPr>
          <w:b/>
        </w:rPr>
        <w:t xml:space="preserve">La incompetencia del Sujeto Obligado (p. 171): </w:t>
      </w:r>
      <w:r>
        <w:t>Ocurre cuando el Sujeto Obligado carece de atribuciones para poseer la información peticionada.</w:t>
      </w:r>
    </w:p>
    <w:p w:rsidR="00F9254F" w:rsidRDefault="00F9254F">
      <w:pPr>
        <w:spacing w:after="0" w:line="360" w:lineRule="auto"/>
        <w:ind w:left="720"/>
        <w:rPr>
          <w:b/>
        </w:rPr>
      </w:pPr>
    </w:p>
    <w:p w:rsidR="00F9254F" w:rsidRDefault="001236B9">
      <w:pPr>
        <w:numPr>
          <w:ilvl w:val="0"/>
          <w:numId w:val="5"/>
        </w:numPr>
        <w:spacing w:after="0" w:line="360" w:lineRule="auto"/>
        <w:jc w:val="left"/>
        <w:rPr>
          <w:b/>
        </w:rPr>
      </w:pPr>
      <w:r>
        <w:rPr>
          <w:b/>
        </w:rPr>
        <w:t xml:space="preserve">La clasificación de la información (p. 70): </w:t>
      </w:r>
      <w:r>
        <w:t>Es el proceso o conjunto de acciones que realizan los sujetos obligados para establecer que determinada información se encuentra en alguno de los supuestos de reserva o confidencialidad establecidos en la legislación en materia de transparencia.</w:t>
      </w:r>
    </w:p>
    <w:p w:rsidR="00F9254F" w:rsidRDefault="00F9254F">
      <w:pPr>
        <w:spacing w:after="0" w:line="360" w:lineRule="auto"/>
      </w:pPr>
    </w:p>
    <w:p w:rsidR="00F9254F" w:rsidRDefault="001236B9">
      <w:pPr>
        <w:spacing w:after="0" w:line="360" w:lineRule="auto"/>
      </w:pPr>
      <w:r>
        <w:t xml:space="preserve">Conforme a lo anterior, es de señalar que las excepciones al derecho de acceso a la información, consisten en que </w:t>
      </w:r>
      <w:r>
        <w:rPr>
          <w:b/>
        </w:rPr>
        <w:t>la documentación sea inexistente, obre en los archivos, pero se encuentre clasificada, o bien, el Sujeto Obligado sea incompetente</w:t>
      </w:r>
      <w:r>
        <w:t xml:space="preserve"> para contar con esta; esto es, la negativa de acceso a la información, recae cuando la documentación no se encuentre en los archivos del sujeto obligado, o bien exista, pero no pueda proporcionarse por contener datos </w:t>
      </w:r>
      <w:r>
        <w:rPr>
          <w:b/>
        </w:rPr>
        <w:t>confidenciales o reservados.</w:t>
      </w:r>
    </w:p>
    <w:p w:rsidR="00F9254F" w:rsidRDefault="00F9254F">
      <w:pPr>
        <w:spacing w:after="0" w:line="360" w:lineRule="auto"/>
      </w:pPr>
    </w:p>
    <w:p w:rsidR="00F9254F" w:rsidRDefault="001236B9">
      <w:pPr>
        <w:spacing w:after="0" w:line="360" w:lineRule="auto"/>
      </w:pPr>
      <w:r>
        <w:t xml:space="preserve">En ese contexto, es de referir que el Sujeto Obligado precisó que no podía entregar la información, pues se trataba de datos personales de ex servidores públicos; sobre el tema, en </w:t>
      </w:r>
      <w:r>
        <w:lastRenderedPageBreak/>
        <w:t xml:space="preserve">los artículos 100, 103 y 105 de la Ley General de Transparencia y Acceso a la Información Pública y los diversos 122, 128 y 130 de la Ley Transparencia y Acceso a la Información Pública del Estado de México y Municipios, se prevé que </w:t>
      </w:r>
      <w:r>
        <w:rPr>
          <w:b/>
        </w:rPr>
        <w:t xml:space="preserve">la clasificación </w:t>
      </w:r>
      <w: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F9254F" w:rsidRDefault="00F9254F">
      <w:pPr>
        <w:spacing w:after="0" w:line="360" w:lineRule="auto"/>
      </w:pPr>
    </w:p>
    <w:p w:rsidR="00F9254F" w:rsidRDefault="001236B9">
      <w:pPr>
        <w:spacing w:after="0" w:line="360" w:lineRule="auto"/>
      </w:pPr>
      <w:r>
        <w:t xml:space="preserve">Por lo cual, en los casos en que se niegue el acceso a la información, por actualizarse alguno de los supuestos de clasificación, una de las formalidades a la cuales está sujeto el procedimiento de acceso a la información pública, es que </w:t>
      </w:r>
      <w:r>
        <w:rPr>
          <w:b/>
        </w:rPr>
        <w:t xml:space="preserve">el Comité de Transparencia deberá confirmar, modificar o revocar la decisión; </w:t>
      </w:r>
      <w: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F9254F" w:rsidRDefault="00F9254F">
      <w:pPr>
        <w:spacing w:after="0" w:line="360" w:lineRule="auto"/>
      </w:pPr>
    </w:p>
    <w:p w:rsidR="00F9254F" w:rsidRDefault="001236B9">
      <w:pPr>
        <w:spacing w:after="0" w:line="360" w:lineRule="auto"/>
      </w:pPr>
      <w:r>
        <w:t>En ese contexto, 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rsidR="00F9254F" w:rsidRDefault="00F9254F">
      <w:pPr>
        <w:spacing w:after="0" w:line="360" w:lineRule="auto"/>
      </w:pPr>
    </w:p>
    <w:p w:rsidR="00F9254F" w:rsidRDefault="001236B9">
      <w:pPr>
        <w:spacing w:after="0" w:line="360" w:lineRule="auto"/>
      </w:pPr>
      <w: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rsidR="00330F65" w:rsidRDefault="00330F65">
      <w:pPr>
        <w:spacing w:after="0" w:line="360" w:lineRule="auto"/>
        <w:rPr>
          <w:b/>
        </w:rPr>
      </w:pPr>
    </w:p>
    <w:p w:rsidR="00F9254F" w:rsidRDefault="001236B9">
      <w:pPr>
        <w:spacing w:after="0" w:line="360" w:lineRule="auto"/>
        <w:rPr>
          <w:b/>
        </w:rPr>
      </w:pPr>
      <w:r>
        <w:t xml:space="preserve">En ese contexto, según </w:t>
      </w:r>
      <w:proofErr w:type="spellStart"/>
      <w:r>
        <w:t>Bonifaz</w:t>
      </w:r>
      <w:proofErr w:type="spellEnd"/>
      <w:r>
        <w:t xml:space="preserve">, Leticia (2016), en la “Ley General de Transparencia y Acceso a la Información Pública Comentada” (p. 342), la </w:t>
      </w:r>
      <w:r>
        <w:rPr>
          <w:b/>
        </w:rPr>
        <w:t>clasificación de la información</w:t>
      </w:r>
      <w: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Pr>
          <w:b/>
        </w:rPr>
        <w:t>de manera adecuada la negativa de información.</w:t>
      </w:r>
    </w:p>
    <w:p w:rsidR="00F9254F" w:rsidRDefault="00F9254F">
      <w:pPr>
        <w:spacing w:after="0" w:line="360" w:lineRule="auto"/>
      </w:pPr>
    </w:p>
    <w:p w:rsidR="00F9254F" w:rsidRDefault="001236B9">
      <w:pPr>
        <w:spacing w:after="0" w:line="360" w:lineRule="auto"/>
        <w:rPr>
          <w:b/>
        </w:rPr>
      </w:pPr>
      <w:r>
        <w:t xml:space="preserve">Además,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Pr>
          <w:b/>
        </w:rPr>
        <w:t>análisis caso por caso.</w:t>
      </w:r>
    </w:p>
    <w:p w:rsidR="00F9254F" w:rsidRDefault="00F9254F">
      <w:pPr>
        <w:spacing w:after="0" w:line="360" w:lineRule="auto"/>
        <w:rPr>
          <w:b/>
        </w:rPr>
      </w:pPr>
    </w:p>
    <w:p w:rsidR="00F9254F" w:rsidRDefault="001236B9">
      <w:pPr>
        <w:spacing w:after="0" w:line="360" w:lineRule="auto"/>
      </w:pPr>
      <w:r>
        <w:t xml:space="preserve">Sobre lo anterior, el artículo 131 de la Ley referida, así como el Quinto de los Lineamientos Generales, establecen que los sujetos obligados </w:t>
      </w:r>
      <w:r>
        <w:rPr>
          <w:b/>
        </w:rPr>
        <w:t>deberán fundar y motivar</w:t>
      </w:r>
      <w:r>
        <w:t xml:space="preserve"> debidamente la clasificación de la información.</w:t>
      </w:r>
    </w:p>
    <w:p w:rsidR="00F9254F" w:rsidRDefault="00F9254F">
      <w:pPr>
        <w:spacing w:after="0" w:line="360" w:lineRule="auto"/>
        <w:rPr>
          <w:b/>
        </w:rPr>
      </w:pPr>
    </w:p>
    <w:p w:rsidR="00F9254F" w:rsidRDefault="001236B9">
      <w:pPr>
        <w:spacing w:after="0" w:line="360" w:lineRule="auto"/>
      </w:pPr>
      <w:r>
        <w:t>Al respecto, el Octavo de los Lineamientos Generales, precisa lo siguiente:</w:t>
      </w:r>
    </w:p>
    <w:p w:rsidR="00F9254F" w:rsidRDefault="00F9254F">
      <w:pPr>
        <w:spacing w:after="0" w:line="360" w:lineRule="auto"/>
      </w:pPr>
    </w:p>
    <w:p w:rsidR="00F9254F" w:rsidRDefault="001236B9">
      <w:pPr>
        <w:numPr>
          <w:ilvl w:val="0"/>
          <w:numId w:val="6"/>
        </w:numPr>
        <w:spacing w:after="0" w:line="360" w:lineRule="auto"/>
      </w:pPr>
      <w:r>
        <w:rPr>
          <w:b/>
        </w:rPr>
        <w:t>Para fundar la clasificación</w:t>
      </w:r>
      <w:r>
        <w:t xml:space="preserve"> de la información se deberán </w:t>
      </w:r>
      <w:r>
        <w:rPr>
          <w:u w:val="single"/>
        </w:rPr>
        <w:t>señalar el artículo, fracción, inciso, párrafo o numeral de la Ley aplicable;</w:t>
      </w:r>
    </w:p>
    <w:p w:rsidR="00F9254F" w:rsidRDefault="00F9254F">
      <w:pPr>
        <w:spacing w:after="0" w:line="360" w:lineRule="auto"/>
      </w:pPr>
    </w:p>
    <w:p w:rsidR="00F9254F" w:rsidRDefault="001236B9">
      <w:pPr>
        <w:numPr>
          <w:ilvl w:val="0"/>
          <w:numId w:val="6"/>
        </w:numPr>
        <w:spacing w:after="0" w:line="360" w:lineRule="auto"/>
      </w:pPr>
      <w:r>
        <w:rPr>
          <w:b/>
        </w:rPr>
        <w:lastRenderedPageBreak/>
        <w:t>Para motivar la clasificación</w:t>
      </w:r>
      <w:r>
        <w:t xml:space="preserve"> se deberán </w:t>
      </w:r>
      <w:r>
        <w:rPr>
          <w:u w:val="single"/>
        </w:rPr>
        <w:t>indicar las razones y circunstancias</w:t>
      </w:r>
      <w: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rsidR="00F9254F" w:rsidRDefault="00F9254F">
      <w:pPr>
        <w:spacing w:after="0" w:line="360" w:lineRule="auto"/>
        <w:ind w:left="720"/>
        <w:jc w:val="left"/>
      </w:pPr>
    </w:p>
    <w:p w:rsidR="00F9254F" w:rsidRDefault="001236B9">
      <w:pPr>
        <w:spacing w:after="0" w:line="360" w:lineRule="auto"/>
      </w:pPr>
      <w: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rsidR="00F9254F" w:rsidRDefault="00F9254F">
      <w:pPr>
        <w:spacing w:after="0" w:line="360" w:lineRule="auto"/>
        <w:rPr>
          <w:sz w:val="20"/>
          <w:szCs w:val="20"/>
        </w:rPr>
      </w:pPr>
    </w:p>
    <w:p w:rsidR="00F9254F" w:rsidRDefault="001236B9">
      <w:pPr>
        <w:spacing w:after="0" w:line="360" w:lineRule="auto"/>
        <w:ind w:left="567" w:right="567"/>
        <w:rPr>
          <w:i/>
          <w:sz w:val="20"/>
          <w:szCs w:val="20"/>
        </w:rPr>
      </w:pPr>
      <w:r>
        <w:rPr>
          <w:b/>
          <w:i/>
          <w:sz w:val="20"/>
          <w:szCs w:val="20"/>
        </w:rPr>
        <w:t xml:space="preserve">“FUNDAMENTACION Y MOTIVACION, CONCEPTO DE. </w:t>
      </w:r>
      <w:r>
        <w:rPr>
          <w:i/>
          <w:sz w:val="20"/>
          <w:szCs w:val="20"/>
        </w:rPr>
        <w:t xml:space="preserve">La </w:t>
      </w:r>
      <w:r>
        <w:rPr>
          <w:i/>
          <w:sz w:val="20"/>
          <w:szCs w:val="20"/>
          <w:u w:val="single"/>
        </w:rPr>
        <w:t>garantía de legalidad consagrada en el artículo 16 de nuestra Carta Magna</w:t>
      </w:r>
      <w:r>
        <w:rPr>
          <w:i/>
          <w:sz w:val="20"/>
          <w:szCs w:val="20"/>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rsidR="00F9254F" w:rsidRDefault="00F9254F">
      <w:pPr>
        <w:spacing w:after="0" w:line="360" w:lineRule="auto"/>
      </w:pPr>
    </w:p>
    <w:p w:rsidR="00F9254F" w:rsidRDefault="001236B9">
      <w:pPr>
        <w:spacing w:after="0" w:line="360" w:lineRule="auto"/>
      </w:pPr>
      <w:r>
        <w:t>Conforme a lo anterior, se advierte lo siguiente:</w:t>
      </w:r>
    </w:p>
    <w:p w:rsidR="00F9254F" w:rsidRDefault="00F9254F">
      <w:pPr>
        <w:spacing w:after="0" w:line="360" w:lineRule="auto"/>
      </w:pPr>
    </w:p>
    <w:p w:rsidR="00F9254F" w:rsidRDefault="001236B9">
      <w:pPr>
        <w:numPr>
          <w:ilvl w:val="0"/>
          <w:numId w:val="7"/>
        </w:numPr>
        <w:spacing w:after="0" w:line="360" w:lineRule="auto"/>
        <w:rPr>
          <w:b/>
        </w:rPr>
      </w:pPr>
      <w:r>
        <w:rPr>
          <w:b/>
        </w:rPr>
        <w:t xml:space="preserve">Fundamentación: </w:t>
      </w:r>
      <w:r>
        <w:t>Obligación de la autoridad que emite un acto, para citar los preceptos legales, sustantivos y adjetivos, en que se apoye para la determinación tomada.</w:t>
      </w:r>
    </w:p>
    <w:p w:rsidR="00F9254F" w:rsidRDefault="00F9254F">
      <w:pPr>
        <w:spacing w:after="0" w:line="360" w:lineRule="auto"/>
        <w:ind w:left="720"/>
        <w:rPr>
          <w:b/>
        </w:rPr>
      </w:pPr>
    </w:p>
    <w:p w:rsidR="00F9254F" w:rsidRPr="00330F65" w:rsidRDefault="001236B9">
      <w:pPr>
        <w:numPr>
          <w:ilvl w:val="0"/>
          <w:numId w:val="7"/>
        </w:numPr>
        <w:spacing w:after="0" w:line="360" w:lineRule="auto"/>
        <w:rPr>
          <w:b/>
        </w:rPr>
      </w:pPr>
      <w:r>
        <w:rPr>
          <w:b/>
        </w:rPr>
        <w:lastRenderedPageBreak/>
        <w:t xml:space="preserve">Motivación: </w:t>
      </w:r>
      <w:r>
        <w:t>Razonamientos lógico-jurídicos sobre porque se consideró en el caso en concreto, que se ajusta a la hipótesis normativa.</w:t>
      </w:r>
    </w:p>
    <w:p w:rsidR="00330F65" w:rsidRDefault="00330F65" w:rsidP="00330F65">
      <w:pPr>
        <w:pStyle w:val="Prrafodelista"/>
        <w:rPr>
          <w:b/>
        </w:rPr>
      </w:pPr>
    </w:p>
    <w:p w:rsidR="00330F65" w:rsidRDefault="00330F65" w:rsidP="00330F65">
      <w:pPr>
        <w:spacing w:after="0" w:line="360" w:lineRule="auto"/>
        <w:ind w:left="720"/>
        <w:rPr>
          <w:b/>
        </w:rPr>
      </w:pPr>
    </w:p>
    <w:p w:rsidR="00F9254F" w:rsidRDefault="001236B9">
      <w:pPr>
        <w:spacing w:after="0" w:line="360" w:lineRule="auto"/>
      </w:pPr>
      <w: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rsidR="00F9254F" w:rsidRDefault="00F9254F">
      <w:pPr>
        <w:spacing w:after="0" w:line="360" w:lineRule="auto"/>
      </w:pPr>
    </w:p>
    <w:p w:rsidR="00F9254F" w:rsidRDefault="001236B9">
      <w:pPr>
        <w:spacing w:after="0" w:line="360" w:lineRule="auto"/>
      </w:pPr>
      <w:r>
        <w:t xml:space="preserve">En ese contexto, es de señalar que si bien el Instituto Electoral del Estado de México, precisó de manera fundada y motivada las razones por las cuales, consideraba que la información actualizaba la causal de clasificación; clasificó de forma general los nombres de los es servidores públicos que tenían un procedimiento administrativo en trámite al diecinueve de septiembre de dos mil veinticuatro, sin precisar si correspondían a servidores públicos que tenían un procedimiento  administrativo por falta grave o no grave. </w:t>
      </w:r>
    </w:p>
    <w:p w:rsidR="00F9254F" w:rsidRDefault="00F9254F">
      <w:pPr>
        <w:spacing w:after="0" w:line="360" w:lineRule="auto"/>
      </w:pPr>
    </w:p>
    <w:p w:rsidR="00F9254F" w:rsidRDefault="001236B9">
      <w:pPr>
        <w:spacing w:after="0" w:line="360" w:lineRule="auto"/>
        <w:ind w:right="-28"/>
        <w:rPr>
          <w:color w:val="000000"/>
        </w:rPr>
      </w:pPr>
      <w:r>
        <w:rPr>
          <w:color w:val="000000"/>
        </w:rPr>
        <w:t>Lo anterior toma relevancia, pues conforme al Manual de Organización del Instituto Electoral del Estado de México, la Contraloría General encargada de prevenir, investigar, substanciar y calificar actos y omisiones que pudieran constituir responsabilidad administrativa; además de instruir la investigación de la presunta responsabilidad de faltas administrativas de oficio, por denuncia o derivadas de auditorías, para calificar las faltas e instruir la realización del Informe de Presunta Responsabilidad Administrativa; así mimo, realizará lo siguiente:</w:t>
      </w:r>
    </w:p>
    <w:p w:rsidR="00F9254F" w:rsidRDefault="00F9254F">
      <w:pPr>
        <w:spacing w:after="0" w:line="360" w:lineRule="auto"/>
        <w:ind w:right="-28"/>
        <w:rPr>
          <w:color w:val="000000"/>
        </w:rPr>
      </w:pPr>
    </w:p>
    <w:p w:rsidR="00F9254F" w:rsidRDefault="001236B9">
      <w:pPr>
        <w:numPr>
          <w:ilvl w:val="0"/>
          <w:numId w:val="2"/>
        </w:numPr>
        <w:spacing w:after="0" w:line="360" w:lineRule="auto"/>
        <w:ind w:right="-28"/>
        <w:jc w:val="left"/>
        <w:rPr>
          <w:color w:val="000000"/>
        </w:rPr>
      </w:pPr>
      <w:r>
        <w:rPr>
          <w:color w:val="000000"/>
        </w:rPr>
        <w:t>Remitirá el Informe de Presunta Responsabilidad Administrativa en caso de faltas graves, al Tribunal de Justicia Administrativa, y</w:t>
      </w:r>
    </w:p>
    <w:p w:rsidR="00F9254F" w:rsidRDefault="00F9254F">
      <w:pPr>
        <w:spacing w:after="0" w:line="360" w:lineRule="auto"/>
        <w:ind w:left="720" w:right="-28"/>
        <w:rPr>
          <w:color w:val="000000"/>
        </w:rPr>
      </w:pPr>
    </w:p>
    <w:p w:rsidR="00F9254F" w:rsidRDefault="001236B9">
      <w:pPr>
        <w:numPr>
          <w:ilvl w:val="0"/>
          <w:numId w:val="2"/>
        </w:numPr>
        <w:spacing w:after="0" w:line="360" w:lineRule="auto"/>
        <w:ind w:right="-28"/>
        <w:jc w:val="left"/>
        <w:rPr>
          <w:color w:val="000000"/>
        </w:rPr>
      </w:pPr>
      <w:r>
        <w:rPr>
          <w:color w:val="000000"/>
        </w:rPr>
        <w:t>Substanciar y resolver los procedimientos de responsabilidad administrativa por falta no grave.</w:t>
      </w:r>
    </w:p>
    <w:p w:rsidR="00F9254F" w:rsidRDefault="00F9254F">
      <w:pPr>
        <w:spacing w:after="0" w:line="360" w:lineRule="auto"/>
        <w:ind w:right="-28"/>
        <w:rPr>
          <w:color w:val="000000"/>
        </w:rPr>
      </w:pPr>
    </w:p>
    <w:p w:rsidR="00F9254F" w:rsidRDefault="001236B9">
      <w:pPr>
        <w:spacing w:after="0" w:line="360" w:lineRule="auto"/>
        <w:ind w:right="-28"/>
        <w:rPr>
          <w:color w:val="000000"/>
        </w:rPr>
      </w:pPr>
      <w:r>
        <w:rPr>
          <w:color w:val="000000"/>
        </w:rPr>
        <w:t>Conforme a lo anterior, se logra vislumbrar que la Contraloría General conocer de los dos tipos de falta administrativa, pues la no grave la substancia y resuelve; mientras que la grave, califica el nivel de la falta y emite el Informe de Presunta Responsabilidad donde se conoce la posible falta administrativa, por lo que, está en posibilidades de pronunciarse de los dos supuestos.</w:t>
      </w:r>
    </w:p>
    <w:p w:rsidR="00F9254F" w:rsidRDefault="00F9254F">
      <w:pPr>
        <w:spacing w:after="0" w:line="360" w:lineRule="auto"/>
        <w:ind w:right="-28"/>
        <w:rPr>
          <w:color w:val="000000"/>
        </w:rPr>
      </w:pPr>
    </w:p>
    <w:p w:rsidR="00F9254F" w:rsidRDefault="001236B9">
      <w:pPr>
        <w:spacing w:after="0" w:line="360" w:lineRule="auto"/>
        <w:ind w:right="-28"/>
        <w:rPr>
          <w:color w:val="000000"/>
        </w:rPr>
      </w:pPr>
      <w:r>
        <w:rPr>
          <w:color w:val="000000"/>
        </w:rPr>
        <w:t xml:space="preserve">No obstante, durante la sustanciación del medio de impugnación, el Sujeto Obligado se pronunció sobre los dos supuestos previamente referidos y aclaró que la clasificación de información correspondía al nombre de las personas ex servidoras públicas que tenían un procedimiento  de responsabilidad administrativa en trámite ante la Contraloría General por faltas no graves, y que no encuadraban en ninguno de los supuestos previstos en el artículo 142 de la Ley de Transparencia y Acceso a la Información Pública del Estado de México y Municipios, por lo que no procedía su publicidad. </w:t>
      </w:r>
    </w:p>
    <w:p w:rsidR="00F9254F" w:rsidRDefault="00F9254F">
      <w:pPr>
        <w:spacing w:after="0" w:line="360" w:lineRule="auto"/>
        <w:ind w:right="-28"/>
        <w:rPr>
          <w:color w:val="000000"/>
        </w:rPr>
      </w:pPr>
    </w:p>
    <w:p w:rsidR="00F9254F" w:rsidRDefault="001236B9">
      <w:pPr>
        <w:spacing w:after="0" w:line="360" w:lineRule="auto"/>
        <w:rPr>
          <w:b/>
          <w:u w:val="single"/>
        </w:rPr>
      </w:pPr>
      <w:r>
        <w:rPr>
          <w:color w:val="000000"/>
        </w:rPr>
        <w:t xml:space="preserve">Sobre lo anterior, </w:t>
      </w:r>
      <w:r>
        <w:t xml:space="preserve">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Pr>
          <w:b/>
        </w:rPr>
        <w:t>no podrá invocarse la clasificación de aquella información que se encuentre relacionada con posibles violaciones graves a derechos humanos o actos de corrupción.</w:t>
      </w:r>
    </w:p>
    <w:p w:rsidR="00F9254F" w:rsidRDefault="00F9254F">
      <w:pPr>
        <w:spacing w:after="0" w:line="360" w:lineRule="auto"/>
        <w:ind w:right="-28"/>
        <w:rPr>
          <w:color w:val="000000"/>
        </w:rPr>
      </w:pPr>
    </w:p>
    <w:p w:rsidR="00F9254F" w:rsidRDefault="001236B9">
      <w:pPr>
        <w:spacing w:after="0" w:line="360" w:lineRule="auto"/>
        <w:ind w:right="-28"/>
        <w:rPr>
          <w:color w:val="000000"/>
        </w:rPr>
      </w:pPr>
      <w:r>
        <w:rPr>
          <w:color w:val="000000"/>
        </w:rPr>
        <w:lastRenderedPageBreak/>
        <w:t xml:space="preserve">En ese orden de ideas, se logra  vislumbrar que los procedimientos de responsabilidad administrativa con los que contaba el Sujeto Obligado al diecinueve de septiembre de dos mil veinticuatro, correspondían únicamente a procedimientos de responsabilidad administrativa por faltas no graves y que ninguno correspondía a violaciones graves a derechos humanos, delitos de lesa humanidad o actos de corrupción, motivo por el cual no procedía la publicidad del nombre de los ex servidores públicos que tenían un procedimiento de responsabilidad administrativa ante la Contraloría General por faltas no graves. </w:t>
      </w:r>
    </w:p>
    <w:p w:rsidR="00F9254F" w:rsidRDefault="00F9254F">
      <w:pPr>
        <w:spacing w:after="0" w:line="360" w:lineRule="auto"/>
        <w:ind w:right="-28"/>
        <w:rPr>
          <w:color w:val="000000"/>
        </w:rPr>
      </w:pPr>
    </w:p>
    <w:p w:rsidR="00F9254F" w:rsidRDefault="001236B9">
      <w:pPr>
        <w:spacing w:after="0" w:line="360" w:lineRule="auto"/>
        <w:ind w:right="-28"/>
      </w:pPr>
      <w:r>
        <w:t xml:space="preserve">Sin embargo, toda vez que se trata de procedimientos </w:t>
      </w:r>
      <w:r>
        <w:rPr>
          <w:color w:val="000000"/>
        </w:rPr>
        <w:t xml:space="preserve">en trámite a la fecha de la solicitud, es necesario analizar si el nombre es clasificado o no; para lo cual, es necesario referir que proporcionar el dato </w:t>
      </w:r>
      <w:r>
        <w:t>afectar al posible responsable, al identificarlo,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w:t>
      </w:r>
    </w:p>
    <w:p w:rsidR="00F9254F" w:rsidRDefault="00F9254F">
      <w:pPr>
        <w:spacing w:after="0" w:line="360" w:lineRule="auto"/>
        <w:ind w:right="-28"/>
      </w:pPr>
    </w:p>
    <w:p w:rsidR="00F9254F" w:rsidRDefault="001236B9">
      <w:pPr>
        <w:tabs>
          <w:tab w:val="left" w:pos="3962"/>
        </w:tabs>
        <w:spacing w:after="0" w:line="360" w:lineRule="auto"/>
      </w:pPr>
      <w: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rsidR="00F9254F" w:rsidRDefault="00F9254F">
      <w:pPr>
        <w:tabs>
          <w:tab w:val="left" w:pos="3962"/>
        </w:tabs>
        <w:spacing w:after="0" w:line="360" w:lineRule="auto"/>
      </w:pPr>
    </w:p>
    <w:p w:rsidR="00F9254F" w:rsidRDefault="001236B9">
      <w:pPr>
        <w:spacing w:after="0" w:line="360" w:lineRule="auto"/>
        <w:ind w:left="567" w:right="567"/>
        <w:rPr>
          <w:i/>
          <w:sz w:val="20"/>
          <w:szCs w:val="20"/>
        </w:rPr>
      </w:pP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w:t>
      </w:r>
      <w:r>
        <w:rPr>
          <w:i/>
          <w:sz w:val="20"/>
          <w:szCs w:val="20"/>
        </w:rPr>
        <w:lastRenderedPageBreak/>
        <w:t>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F9254F" w:rsidRDefault="00F9254F">
      <w:pPr>
        <w:tabs>
          <w:tab w:val="left" w:pos="3962"/>
        </w:tabs>
        <w:spacing w:after="0" w:line="360" w:lineRule="auto"/>
      </w:pPr>
    </w:p>
    <w:p w:rsidR="00F9254F" w:rsidRDefault="001236B9">
      <w:pPr>
        <w:tabs>
          <w:tab w:val="left" w:pos="3962"/>
        </w:tabs>
        <w:spacing w:after="0" w:line="360" w:lineRule="auto"/>
      </w:pPr>
      <w:r>
        <w:t xml:space="preserve">De la tesis transcrita se desprende que el honor es el concepto que la persona tiene de sí misma o que los demás se han formado de ella, en virtud de su proceder o de la expresión de su calidad ética y social. </w:t>
      </w:r>
    </w:p>
    <w:p w:rsidR="00F9254F" w:rsidRDefault="00F9254F">
      <w:pPr>
        <w:tabs>
          <w:tab w:val="left" w:pos="3962"/>
        </w:tabs>
        <w:spacing w:after="0" w:line="360" w:lineRule="auto"/>
      </w:pPr>
    </w:p>
    <w:p w:rsidR="00F9254F" w:rsidRDefault="001236B9">
      <w:pPr>
        <w:tabs>
          <w:tab w:val="left" w:pos="3962"/>
        </w:tabs>
        <w:spacing w:after="0" w:line="360" w:lineRule="auto"/>
      </w:pPr>
      <w:r>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rsidR="00F9254F" w:rsidRDefault="00F9254F">
      <w:pPr>
        <w:tabs>
          <w:tab w:val="left" w:pos="3962"/>
        </w:tabs>
        <w:spacing w:after="0" w:line="360" w:lineRule="auto"/>
      </w:pPr>
    </w:p>
    <w:p w:rsidR="00F9254F" w:rsidRDefault="001236B9">
      <w:pPr>
        <w:tabs>
          <w:tab w:val="left" w:pos="3962"/>
        </w:tabs>
        <w:spacing w:after="0" w:line="360" w:lineRule="auto"/>
      </w:pPr>
      <w:r>
        <w:t xml:space="preserve">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w:t>
      </w:r>
      <w:r>
        <w:lastRenderedPageBreak/>
        <w:t>como, el Pacto Internacional de Derechos Civiles y Políticos y la Convención Americana sobre Derechos Humanos.</w:t>
      </w:r>
    </w:p>
    <w:p w:rsidR="00F9254F" w:rsidRDefault="00F9254F">
      <w:pPr>
        <w:tabs>
          <w:tab w:val="left" w:pos="3962"/>
        </w:tabs>
        <w:spacing w:after="0" w:line="360" w:lineRule="auto"/>
      </w:pPr>
    </w:p>
    <w:p w:rsidR="00F9254F" w:rsidRDefault="001236B9">
      <w:pPr>
        <w:tabs>
          <w:tab w:val="left" w:pos="3962"/>
        </w:tabs>
        <w:spacing w:after="0" w:line="360" w:lineRule="auto"/>
      </w:pPr>
      <w: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rsidR="00F9254F" w:rsidRDefault="00F9254F">
      <w:pPr>
        <w:tabs>
          <w:tab w:val="left" w:pos="3962"/>
        </w:tabs>
        <w:spacing w:after="0" w:line="360" w:lineRule="auto"/>
      </w:pPr>
    </w:p>
    <w:p w:rsidR="00F9254F" w:rsidRDefault="001236B9">
      <w:pPr>
        <w:spacing w:after="0" w:line="360" w:lineRule="auto"/>
        <w:ind w:left="567" w:right="567"/>
        <w:rPr>
          <w:i/>
          <w:sz w:val="20"/>
          <w:szCs w:val="20"/>
        </w:rPr>
      </w:pPr>
      <w:r>
        <w:rPr>
          <w:b/>
          <w:i/>
          <w:sz w:val="20"/>
          <w:szCs w:val="20"/>
        </w:rPr>
        <w:t xml:space="preserve">“PRESUNCIÓN DE INOCENCIA. ALCANCES DE ESE PRINCIPIO CONSTITUCIONAL. </w:t>
      </w:r>
      <w:r>
        <w:rPr>
          <w:i/>
          <w:sz w:val="20"/>
          <w:szCs w:val="20"/>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F9254F" w:rsidRDefault="00F9254F">
      <w:pPr>
        <w:tabs>
          <w:tab w:val="left" w:pos="3962"/>
        </w:tabs>
        <w:spacing w:after="0" w:line="360" w:lineRule="auto"/>
      </w:pPr>
    </w:p>
    <w:p w:rsidR="00F9254F" w:rsidRDefault="001236B9">
      <w:pPr>
        <w:tabs>
          <w:tab w:val="left" w:pos="3962"/>
        </w:tabs>
        <w:spacing w:after="0" w:line="360" w:lineRule="auto"/>
      </w:pPr>
      <w: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rsidR="00F9254F" w:rsidRDefault="00F9254F">
      <w:pPr>
        <w:tabs>
          <w:tab w:val="left" w:pos="3962"/>
        </w:tabs>
        <w:spacing w:after="0" w:line="360" w:lineRule="auto"/>
      </w:pPr>
    </w:p>
    <w:p w:rsidR="00F9254F" w:rsidRDefault="001236B9">
      <w:pPr>
        <w:tabs>
          <w:tab w:val="left" w:pos="3962"/>
        </w:tabs>
        <w:spacing w:after="0" w:line="360" w:lineRule="auto"/>
      </w:pPr>
      <w:r>
        <w:lastRenderedPageBreak/>
        <w:t>Conforme a lo anterior, proporcionar el nombre de un ex servidor que tenga un procedimiento en trámite, se daría a conocer que la existencia de una investigación por probable responsabilidad, y la ciudadanía podría generar un juicio negativo, en contra de algún servidor público, sin que se haya determinado si son responsables, con lo cual, se vería afectado de manera directa, su honor y derecho a la presunción de inocencia.</w:t>
      </w:r>
    </w:p>
    <w:p w:rsidR="00F9254F" w:rsidRDefault="00F9254F">
      <w:pPr>
        <w:tabs>
          <w:tab w:val="left" w:pos="3962"/>
        </w:tabs>
        <w:spacing w:after="0" w:line="360" w:lineRule="auto"/>
      </w:pPr>
    </w:p>
    <w:p w:rsidR="00F9254F" w:rsidRDefault="001236B9">
      <w:pPr>
        <w:tabs>
          <w:tab w:val="left" w:pos="3962"/>
        </w:tabs>
        <w:spacing w:after="0" w:line="360" w:lineRule="auto"/>
      </w:pPr>
      <w:r>
        <w:t>Así, toda vez que proporcionar el nombre de ex</w:t>
      </w:r>
      <w:r w:rsidR="00CF36BD">
        <w:t xml:space="preserve"> </w:t>
      </w:r>
      <w:bookmarkStart w:id="1" w:name="_GoBack"/>
      <w:bookmarkEnd w:id="1"/>
      <w:r>
        <w:t>servidores públicos de procedimientos de responsabilidad administrativa no grave, al identificarlos de manera directa afectaría el derecho al honor, buena imagen y presunción de inocencia de estos, se considera que procede la clasificación en términos del artículo 143, fracción I, de la Ley de Transparencia y Acceso a la Información Pública del Estado de México y Municipios.</w:t>
      </w:r>
    </w:p>
    <w:p w:rsidR="00F9254F" w:rsidRDefault="00F9254F">
      <w:pPr>
        <w:spacing w:after="0" w:line="360" w:lineRule="auto"/>
        <w:ind w:right="-28"/>
        <w:rPr>
          <w:color w:val="000000"/>
        </w:rPr>
      </w:pPr>
    </w:p>
    <w:p w:rsidR="00F9254F" w:rsidRDefault="001236B9">
      <w:pPr>
        <w:tabs>
          <w:tab w:val="left" w:pos="4962"/>
        </w:tabs>
        <w:spacing w:after="0" w:line="360" w:lineRule="auto"/>
      </w:pPr>
      <w:r>
        <w:t xml:space="preserve">Conforme a lo expuesto, se logró vislumbrar que durante la sustanciación del medio de impugnación aclaró su respuesta y proporcionó la información con la que contaba al diecinueve de septiembre de dos mil veinticuatro y daba cuenta de lo solicitado; </w:t>
      </w:r>
      <w:r>
        <w:rPr>
          <w:color w:val="000000"/>
        </w:rPr>
        <w:t>d</w:t>
      </w:r>
      <w:r>
        <w:t>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F9254F" w:rsidRDefault="00F9254F">
      <w:pPr>
        <w:tabs>
          <w:tab w:val="left" w:pos="4962"/>
        </w:tabs>
        <w:spacing w:after="0" w:line="360" w:lineRule="auto"/>
      </w:pPr>
    </w:p>
    <w:p w:rsidR="00F9254F" w:rsidRDefault="001236B9">
      <w:pPr>
        <w:spacing w:after="0" w:line="360" w:lineRule="auto"/>
      </w:pPr>
      <w:r>
        <w:t xml:space="preserve">De esta manera, el derecho de acceso a la información pública se satisface en aquellos casos en que se entregue el soporte documental en el que conste la información solicitada, sin necesidad de elaborar documentos </w:t>
      </w:r>
      <w:r>
        <w:rPr>
          <w:i/>
        </w:rPr>
        <w:t>ad hoc</w:t>
      </w:r>
      <w:r>
        <w:t xml:space="preserve">, situación que toma sustento, toma sustento en el artículo 160 de la Ley de Transparencia y Acceso a la Información Pública del Estado de </w:t>
      </w:r>
      <w:r>
        <w:lastRenderedPageBreak/>
        <w:t>México y Municipios, el cual refiere que los sujetos obligados únicamente deberán entregar la información que obre en sus archivos.</w:t>
      </w:r>
    </w:p>
    <w:p w:rsidR="00F9254F" w:rsidRDefault="00F9254F">
      <w:pPr>
        <w:spacing w:after="0" w:line="360" w:lineRule="auto"/>
        <w:ind w:right="-28"/>
      </w:pPr>
    </w:p>
    <w:p w:rsidR="00F9254F" w:rsidRDefault="001236B9">
      <w:pPr>
        <w:spacing w:after="0" w:line="360" w:lineRule="auto"/>
        <w:rPr>
          <w:b/>
        </w:rPr>
      </w:pPr>
      <w: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 documento donde constaba el significado de las nomenclaturas localizadas en las relaciones entregadas en respuesta, por lo que, </w:t>
      </w:r>
      <w:r>
        <w:rPr>
          <w:b/>
        </w:rPr>
        <w:t>se considera que la impugnación que se dirime ha quedado sin materia.</w:t>
      </w:r>
    </w:p>
    <w:p w:rsidR="00F9254F" w:rsidRDefault="00F9254F">
      <w:pPr>
        <w:spacing w:after="0" w:line="360" w:lineRule="auto"/>
        <w:jc w:val="center"/>
        <w:rPr>
          <w:color w:val="000000"/>
        </w:rPr>
      </w:pPr>
    </w:p>
    <w:p w:rsidR="00F9254F" w:rsidRDefault="00330F65">
      <w:pPr>
        <w:spacing w:after="0" w:line="360" w:lineRule="auto"/>
        <w:rPr>
          <w:color w:val="000000"/>
        </w:rPr>
      </w:pPr>
      <w:r>
        <w:rPr>
          <w:b/>
        </w:rPr>
        <w:t>CUARTO. Decisión</w:t>
      </w:r>
    </w:p>
    <w:p w:rsidR="00F9254F" w:rsidRDefault="00F9254F">
      <w:pPr>
        <w:spacing w:after="0" w:line="360" w:lineRule="auto"/>
        <w:rPr>
          <w:b/>
        </w:rPr>
      </w:pPr>
    </w:p>
    <w:p w:rsidR="00F9254F" w:rsidRDefault="001236B9">
      <w:pPr>
        <w:widowControl w:val="0"/>
        <w:spacing w:after="0" w:line="360" w:lineRule="auto"/>
      </w:pPr>
      <w:r>
        <w:t xml:space="preserve">Con fundamento en lo dispuesto en el artículo 186, fracción I, de la Ley de Transparencia y Acceso a la Información Pública del Estado de México y Municipios, se considera procedente </w:t>
      </w:r>
      <w:r>
        <w:rPr>
          <w:b/>
        </w:rPr>
        <w:t xml:space="preserve">SOBRESEER </w:t>
      </w:r>
      <w:r>
        <w:t>el Recurso de Revisión, en virtud de que se actualiza la hipótesis normativa prevista en la fracción III, del artículo 192, del citado ordenamiento legal.</w:t>
      </w:r>
    </w:p>
    <w:p w:rsidR="00F9254F" w:rsidRDefault="00F9254F">
      <w:pPr>
        <w:spacing w:after="0" w:line="360" w:lineRule="auto"/>
      </w:pPr>
    </w:p>
    <w:p w:rsidR="00F9254F" w:rsidRDefault="001236B9">
      <w:pPr>
        <w:spacing w:after="0" w:line="360" w:lineRule="auto"/>
        <w:rPr>
          <w:b/>
        </w:rPr>
      </w:pPr>
      <w:r>
        <w:rPr>
          <w:b/>
        </w:rPr>
        <w:t>Términos de la Resolución p</w:t>
      </w:r>
      <w:r w:rsidR="00330F65">
        <w:rPr>
          <w:b/>
        </w:rPr>
        <w:t>ara conocimiento del Particular</w:t>
      </w:r>
    </w:p>
    <w:p w:rsidR="00F9254F" w:rsidRDefault="00F9254F">
      <w:pPr>
        <w:spacing w:after="0" w:line="360" w:lineRule="auto"/>
        <w:rPr>
          <w:b/>
        </w:rPr>
      </w:pPr>
    </w:p>
    <w:p w:rsidR="00F9254F" w:rsidRDefault="001236B9">
      <w:pPr>
        <w:spacing w:after="0" w:line="360" w:lineRule="auto"/>
        <w:rPr>
          <w:color w:val="000000"/>
        </w:rPr>
      </w:pPr>
      <w:r>
        <w:t xml:space="preserve">Se le hace del conocimiento al Particular, que si bien, en el presente caso se le daba la razón, lo cierto es que, durante la sustanciación del Medio de Impugnación, el Sujeto Obligado con el fin de satisfacer la solicitud aclaró que al diecinueve de septiembre de dos mil veinticuatro únicamente contaba con procedimientos administrativos en trámite de las personas ex servidoras públicas por faltas no graves, motivo por el cual no podía hacer entrega de los nombres. </w:t>
      </w:r>
      <w:r>
        <w:rPr>
          <w:color w:val="000000"/>
        </w:rPr>
        <w:t xml:space="preserve">Finalmente, se le informa que la labor del Instituto de Transparencia, Acceso a la Información Pública y Protección de Datos Personales del Estado de México y Municipios, </w:t>
      </w:r>
      <w:r>
        <w:rPr>
          <w:color w:val="000000"/>
        </w:rPr>
        <w:lastRenderedPageBreak/>
        <w:t>por una parte, es apoyar a la población a acceder a la información pública y, por otra parte, es garantizar la protección de los datos personales.</w:t>
      </w:r>
    </w:p>
    <w:p w:rsidR="00F9254F" w:rsidRDefault="00F9254F">
      <w:pPr>
        <w:spacing w:after="0" w:line="360" w:lineRule="auto"/>
      </w:pPr>
    </w:p>
    <w:p w:rsidR="00F9254F" w:rsidRDefault="001236B9">
      <w:pPr>
        <w:spacing w:after="0" w:line="360" w:lineRule="auto"/>
      </w:pPr>
      <w:r>
        <w:t>Por lo expuesto y fundado, este Pleno:</w:t>
      </w:r>
    </w:p>
    <w:p w:rsidR="00F9254F" w:rsidRDefault="00F9254F">
      <w:pPr>
        <w:spacing w:after="0" w:line="360" w:lineRule="auto"/>
        <w:ind w:right="-91"/>
        <w:jc w:val="left"/>
        <w:rPr>
          <w:b/>
        </w:rPr>
      </w:pPr>
    </w:p>
    <w:p w:rsidR="00F9254F" w:rsidRDefault="00330F65">
      <w:pPr>
        <w:spacing w:after="0" w:line="360" w:lineRule="auto"/>
        <w:ind w:right="-91"/>
        <w:jc w:val="center"/>
        <w:rPr>
          <w:b/>
        </w:rPr>
      </w:pPr>
      <w:r>
        <w:rPr>
          <w:b/>
        </w:rPr>
        <w:t>RESUELVE</w:t>
      </w:r>
    </w:p>
    <w:p w:rsidR="00F9254F" w:rsidRDefault="00F9254F">
      <w:pPr>
        <w:spacing w:after="0" w:line="360" w:lineRule="auto"/>
        <w:rPr>
          <w:b/>
          <w:color w:val="000000"/>
        </w:rPr>
      </w:pPr>
    </w:p>
    <w:p w:rsidR="00F9254F" w:rsidRDefault="001236B9">
      <w:pPr>
        <w:spacing w:after="0" w:line="360" w:lineRule="auto"/>
        <w:rPr>
          <w:color w:val="000000"/>
        </w:rPr>
      </w:pPr>
      <w:r>
        <w:rPr>
          <w:b/>
          <w:color w:val="000000"/>
        </w:rPr>
        <w:t xml:space="preserve">PRIMERO. </w:t>
      </w:r>
      <w:r>
        <w:rPr>
          <w:color w:val="000000"/>
        </w:rPr>
        <w:t xml:space="preserve">Se </w:t>
      </w:r>
      <w:r>
        <w:rPr>
          <w:b/>
          <w:color w:val="000000"/>
        </w:rPr>
        <w:t xml:space="preserve">SOBRESEE </w:t>
      </w:r>
      <w:r>
        <w:rPr>
          <w:color w:val="000000"/>
        </w:rPr>
        <w:t>el Recurso de Revisión 06231/INFOEM/IP/RR/2024, en términos del artículo 192, fracción III, de la Ley de Transparencia y Acceso a la Información Pública del Estado de México y Municipios, porque el Sujeto Obligado al modificar la respuesta de la solicitud de acceso a la información, el Medio de Impugnación, quedó sin materia, en términos de los Considerandos TERCERO y CUARTO de la presente Resolución.</w:t>
      </w:r>
    </w:p>
    <w:p w:rsidR="00F9254F" w:rsidRDefault="00F9254F">
      <w:pPr>
        <w:spacing w:after="0" w:line="360" w:lineRule="auto"/>
        <w:rPr>
          <w:color w:val="000000"/>
        </w:rPr>
      </w:pPr>
    </w:p>
    <w:p w:rsidR="00F9254F" w:rsidRDefault="001236B9">
      <w:pPr>
        <w:spacing w:after="0" w:line="360" w:lineRule="auto"/>
        <w:rPr>
          <w:color w:val="000000"/>
        </w:rPr>
      </w:pPr>
      <w:r>
        <w:rPr>
          <w:b/>
          <w:color w:val="000000"/>
        </w:rPr>
        <w:t>SEGUNDO.</w:t>
      </w:r>
      <w:r>
        <w:rPr>
          <w:color w:val="000000"/>
        </w:rPr>
        <w:t xml:space="preserve"> </w:t>
      </w:r>
      <w:r>
        <w:rPr>
          <w:b/>
          <w:color w:val="000000"/>
        </w:rPr>
        <w:t>NOTIFÍSQUESE POR SAIMEX</w:t>
      </w:r>
      <w:r>
        <w:rPr>
          <w:color w:val="000000"/>
        </w:rPr>
        <w:t xml:space="preserve"> la presente resolución al Titular de la Unidad de Transparencia del Sujeto Obligado.</w:t>
      </w:r>
    </w:p>
    <w:p w:rsidR="00F9254F" w:rsidRDefault="00F9254F">
      <w:pPr>
        <w:spacing w:after="0" w:line="360" w:lineRule="auto"/>
        <w:rPr>
          <w:color w:val="000000"/>
        </w:rPr>
      </w:pPr>
    </w:p>
    <w:p w:rsidR="00F9254F" w:rsidRDefault="001236B9">
      <w:pPr>
        <w:spacing w:after="0" w:line="360" w:lineRule="auto"/>
        <w:rPr>
          <w:color w:val="000000"/>
        </w:rPr>
      </w:pPr>
      <w:r>
        <w:rPr>
          <w:b/>
          <w:color w:val="000000"/>
        </w:rPr>
        <w:t>TERCERO.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F9254F" w:rsidRDefault="00F9254F">
      <w:pPr>
        <w:spacing w:after="0" w:line="360" w:lineRule="auto"/>
        <w:rPr>
          <w:color w:val="000000"/>
        </w:rPr>
      </w:pPr>
    </w:p>
    <w:p w:rsidR="00F9254F" w:rsidRDefault="001236B9">
      <w:pPr>
        <w:spacing w:after="0" w:line="360" w:lineRule="auto"/>
        <w:rPr>
          <w:b/>
        </w:rPr>
      </w:pPr>
      <w:r>
        <w:t>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lastRenderedPageBreak/>
        <w:t>NORIEGA Y GUADALUPE RAMÍREZ PEÑA, EN LA TRIGÉSIMA OCTAVA SESIÓN ORDINARIA, CELEBRADA EL SEIS DE NOVIEMBRE DE DOS MIL VEINTICUATRO, ANTE EL SECRETARIO TÉCNICO DEL PLENO, ALEXIS TAPIA RAMÍREZ</w:t>
      </w:r>
    </w:p>
    <w:p w:rsidR="00F9254F" w:rsidRDefault="001236B9">
      <w:pPr>
        <w:spacing w:after="0"/>
      </w:pPr>
      <w:r>
        <w:br w:type="page"/>
      </w:r>
    </w:p>
    <w:p w:rsidR="00F9254F" w:rsidRDefault="00F9254F">
      <w:pPr>
        <w:spacing w:after="0" w:line="360" w:lineRule="auto"/>
      </w:pPr>
    </w:p>
    <w:sectPr w:rsidR="00F9254F">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90" w:rsidRDefault="00496C90">
      <w:pPr>
        <w:spacing w:after="0" w:line="240" w:lineRule="auto"/>
      </w:pPr>
      <w:r>
        <w:separator/>
      </w:r>
    </w:p>
  </w:endnote>
  <w:endnote w:type="continuationSeparator" w:id="0">
    <w:p w:rsidR="00496C90" w:rsidRDefault="0049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1236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75F0E">
      <w:rPr>
        <w:b/>
        <w:noProof/>
        <w:color w:val="000000"/>
        <w:sz w:val="24"/>
        <w:szCs w:val="24"/>
      </w:rPr>
      <w:t>27</w:t>
    </w:r>
    <w:r>
      <w:rPr>
        <w:b/>
        <w:color w:val="000000"/>
        <w:sz w:val="24"/>
        <w:szCs w:val="24"/>
      </w:rPr>
      <w:fldChar w:fldCharType="end"/>
    </w:r>
  </w:p>
  <w:p w:rsidR="00F9254F" w:rsidRDefault="00F9254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1236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F36BD">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F36BD">
      <w:rPr>
        <w:b/>
        <w:noProof/>
        <w:color w:val="000000"/>
        <w:sz w:val="24"/>
        <w:szCs w:val="24"/>
      </w:rPr>
      <w:t>27</w:t>
    </w:r>
    <w:r>
      <w:rPr>
        <w:b/>
        <w:color w:val="000000"/>
        <w:sz w:val="24"/>
        <w:szCs w:val="24"/>
      </w:rPr>
      <w:fldChar w:fldCharType="end"/>
    </w:r>
  </w:p>
  <w:p w:rsidR="00F9254F" w:rsidRDefault="00F9254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1236B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F36B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F36BD">
      <w:rPr>
        <w:b/>
        <w:noProof/>
        <w:color w:val="000000"/>
        <w:sz w:val="24"/>
        <w:szCs w:val="24"/>
      </w:rPr>
      <w:t>27</w:t>
    </w:r>
    <w:r>
      <w:rPr>
        <w:b/>
        <w:color w:val="000000"/>
        <w:sz w:val="24"/>
        <w:szCs w:val="24"/>
      </w:rPr>
      <w:fldChar w:fldCharType="end"/>
    </w:r>
  </w:p>
  <w:p w:rsidR="00F9254F" w:rsidRDefault="00F9254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90" w:rsidRDefault="00496C90">
      <w:pPr>
        <w:spacing w:after="0" w:line="240" w:lineRule="auto"/>
      </w:pPr>
      <w:r>
        <w:separator/>
      </w:r>
    </w:p>
  </w:footnote>
  <w:footnote w:type="continuationSeparator" w:id="0">
    <w:p w:rsidR="00496C90" w:rsidRDefault="00496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F9254F">
    <w:pPr>
      <w:widowControl w:val="0"/>
      <w:pBdr>
        <w:top w:val="nil"/>
        <w:left w:val="nil"/>
        <w:bottom w:val="nil"/>
        <w:right w:val="nil"/>
        <w:between w:val="nil"/>
      </w:pBdr>
      <w:spacing w:after="0" w:line="276" w:lineRule="auto"/>
      <w:jc w:val="left"/>
      <w:rPr>
        <w:color w:val="000000"/>
      </w:rPr>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F9254F">
      <w:trPr>
        <w:trHeight w:val="132"/>
      </w:trPr>
      <w:tc>
        <w:tcPr>
          <w:tcW w:w="0" w:type="auto"/>
        </w:tcPr>
        <w:p w:rsidR="00F9254F" w:rsidRDefault="001236B9">
          <w:pPr>
            <w:tabs>
              <w:tab w:val="right" w:pos="8838"/>
            </w:tabs>
            <w:ind w:right="-105"/>
            <w:rPr>
              <w:b/>
            </w:rPr>
          </w:pPr>
          <w:r>
            <w:rPr>
              <w:b/>
            </w:rPr>
            <w:t>Recurso de Revisión:</w:t>
          </w:r>
        </w:p>
      </w:tc>
      <w:tc>
        <w:tcPr>
          <w:tcW w:w="0" w:type="auto"/>
        </w:tcPr>
        <w:p w:rsidR="00F9254F" w:rsidRDefault="001236B9">
          <w:pPr>
            <w:tabs>
              <w:tab w:val="right" w:pos="8838"/>
            </w:tabs>
            <w:ind w:left="-28" w:right="-32"/>
          </w:pPr>
          <w:r>
            <w:t>03846/INFOEM/IP/RR/2020</w:t>
          </w:r>
        </w:p>
      </w:tc>
    </w:tr>
    <w:tr w:rsidR="00F9254F">
      <w:trPr>
        <w:trHeight w:val="261"/>
      </w:trPr>
      <w:tc>
        <w:tcPr>
          <w:tcW w:w="0" w:type="auto"/>
        </w:tcPr>
        <w:p w:rsidR="00F9254F" w:rsidRDefault="001236B9">
          <w:pPr>
            <w:tabs>
              <w:tab w:val="right" w:pos="8838"/>
            </w:tabs>
            <w:ind w:right="-105"/>
            <w:rPr>
              <w:b/>
            </w:rPr>
          </w:pPr>
          <w:r>
            <w:rPr>
              <w:b/>
            </w:rPr>
            <w:t>Sujeto Obligado:</w:t>
          </w:r>
        </w:p>
      </w:tc>
      <w:tc>
        <w:tcPr>
          <w:tcW w:w="0" w:type="auto"/>
        </w:tcPr>
        <w:p w:rsidR="00F9254F" w:rsidRDefault="001236B9">
          <w:pPr>
            <w:tabs>
              <w:tab w:val="right" w:pos="8838"/>
            </w:tabs>
            <w:ind w:right="-32"/>
          </w:pPr>
          <w:r>
            <w:t xml:space="preserve">Ayuntamiento de </w:t>
          </w:r>
          <w:proofErr w:type="spellStart"/>
          <w:r>
            <w:t>Temascalcingo</w:t>
          </w:r>
          <w:proofErr w:type="spellEnd"/>
        </w:p>
      </w:tc>
    </w:tr>
    <w:tr w:rsidR="00F9254F">
      <w:trPr>
        <w:trHeight w:val="261"/>
      </w:trPr>
      <w:tc>
        <w:tcPr>
          <w:tcW w:w="0" w:type="auto"/>
        </w:tcPr>
        <w:p w:rsidR="00F9254F" w:rsidRDefault="001236B9">
          <w:pPr>
            <w:tabs>
              <w:tab w:val="right" w:pos="8838"/>
            </w:tabs>
            <w:ind w:right="-105"/>
            <w:rPr>
              <w:b/>
            </w:rPr>
          </w:pPr>
          <w:r>
            <w:rPr>
              <w:b/>
            </w:rPr>
            <w:t>Comisionado Ponente:</w:t>
          </w:r>
        </w:p>
      </w:tc>
      <w:tc>
        <w:tcPr>
          <w:tcW w:w="0" w:type="auto"/>
        </w:tcPr>
        <w:p w:rsidR="00F9254F" w:rsidRDefault="001236B9">
          <w:pPr>
            <w:tabs>
              <w:tab w:val="right" w:pos="8838"/>
            </w:tabs>
            <w:ind w:right="-32"/>
            <w:rPr>
              <w:b/>
            </w:rPr>
          </w:pPr>
          <w:r>
            <w:t>Luis Gustavo Parra Noriega</w:t>
          </w:r>
        </w:p>
      </w:tc>
    </w:tr>
  </w:tbl>
  <w:p w:rsidR="00F9254F" w:rsidRDefault="00496C9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496C90">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6378"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F9254F">
      <w:trPr>
        <w:trHeight w:val="138"/>
      </w:trPr>
      <w:tc>
        <w:tcPr>
          <w:tcW w:w="2693" w:type="dxa"/>
          <w:vAlign w:val="center"/>
        </w:tcPr>
        <w:p w:rsidR="00F9254F" w:rsidRDefault="00F9254F">
          <w:pPr>
            <w:tabs>
              <w:tab w:val="right" w:pos="8838"/>
            </w:tabs>
            <w:ind w:left="-108" w:right="-105"/>
            <w:jc w:val="left"/>
            <w:rPr>
              <w:b/>
            </w:rPr>
          </w:pPr>
        </w:p>
        <w:p w:rsidR="00F9254F" w:rsidRDefault="001236B9">
          <w:pPr>
            <w:tabs>
              <w:tab w:val="right" w:pos="8838"/>
            </w:tabs>
            <w:ind w:left="-108" w:right="-105"/>
            <w:jc w:val="left"/>
            <w:rPr>
              <w:b/>
            </w:rPr>
          </w:pPr>
          <w:r>
            <w:rPr>
              <w:b/>
            </w:rPr>
            <w:t>Recurso de Revisión:</w:t>
          </w:r>
        </w:p>
      </w:tc>
      <w:tc>
        <w:tcPr>
          <w:tcW w:w="3685" w:type="dxa"/>
        </w:tcPr>
        <w:p w:rsidR="00F9254F" w:rsidRDefault="00F9254F">
          <w:pPr>
            <w:tabs>
              <w:tab w:val="right" w:pos="8838"/>
            </w:tabs>
            <w:ind w:right="57"/>
          </w:pPr>
        </w:p>
        <w:p w:rsidR="00F9254F" w:rsidRDefault="001236B9">
          <w:pPr>
            <w:tabs>
              <w:tab w:val="right" w:pos="8838"/>
            </w:tabs>
            <w:ind w:right="57"/>
          </w:pPr>
          <w:r>
            <w:t>06231/INFOEM/IP/RR/2024</w:t>
          </w:r>
        </w:p>
      </w:tc>
    </w:tr>
    <w:tr w:rsidR="00F9254F">
      <w:trPr>
        <w:trHeight w:val="273"/>
      </w:trPr>
      <w:tc>
        <w:tcPr>
          <w:tcW w:w="2693" w:type="dxa"/>
        </w:tcPr>
        <w:p w:rsidR="00F9254F" w:rsidRDefault="001236B9">
          <w:pPr>
            <w:tabs>
              <w:tab w:val="right" w:pos="8838"/>
            </w:tabs>
            <w:ind w:left="-108" w:right="-105"/>
            <w:rPr>
              <w:b/>
            </w:rPr>
          </w:pPr>
          <w:r>
            <w:rPr>
              <w:b/>
            </w:rPr>
            <w:t>Sujeto Obligado:</w:t>
          </w:r>
        </w:p>
      </w:tc>
      <w:tc>
        <w:tcPr>
          <w:tcW w:w="3685" w:type="dxa"/>
        </w:tcPr>
        <w:p w:rsidR="00F9254F" w:rsidRDefault="001236B9">
          <w:pPr>
            <w:tabs>
              <w:tab w:val="right" w:pos="8838"/>
            </w:tabs>
            <w:ind w:right="33"/>
          </w:pPr>
          <w:r>
            <w:t>Instituto Electoral del Estado de México</w:t>
          </w:r>
        </w:p>
      </w:tc>
    </w:tr>
    <w:tr w:rsidR="00F9254F">
      <w:trPr>
        <w:trHeight w:val="273"/>
      </w:trPr>
      <w:tc>
        <w:tcPr>
          <w:tcW w:w="2693" w:type="dxa"/>
        </w:tcPr>
        <w:p w:rsidR="00F9254F" w:rsidRDefault="001236B9">
          <w:pPr>
            <w:tabs>
              <w:tab w:val="right" w:pos="8838"/>
            </w:tabs>
            <w:ind w:left="-108" w:right="-105"/>
            <w:rPr>
              <w:b/>
            </w:rPr>
          </w:pPr>
          <w:r>
            <w:rPr>
              <w:b/>
            </w:rPr>
            <w:t>Comisionado Ponente:</w:t>
          </w:r>
        </w:p>
      </w:tc>
      <w:tc>
        <w:tcPr>
          <w:tcW w:w="3685" w:type="dxa"/>
        </w:tcPr>
        <w:p w:rsidR="00F9254F" w:rsidRDefault="001236B9">
          <w:pPr>
            <w:tabs>
              <w:tab w:val="right" w:pos="8838"/>
            </w:tabs>
            <w:ind w:right="-170"/>
          </w:pPr>
          <w:r>
            <w:t>Luis Gustavo Parra Noriega</w:t>
          </w:r>
        </w:p>
        <w:p w:rsidR="00F9254F" w:rsidRDefault="00F9254F">
          <w:pPr>
            <w:tabs>
              <w:tab w:val="right" w:pos="8838"/>
            </w:tabs>
            <w:ind w:right="-170"/>
            <w:rPr>
              <w:b/>
            </w:rPr>
          </w:pPr>
        </w:p>
      </w:tc>
    </w:tr>
  </w:tbl>
  <w:p w:rsidR="00F9254F" w:rsidRDefault="00F9254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4F" w:rsidRDefault="00F9254F">
    <w:pPr>
      <w:widowControl w:val="0"/>
      <w:pBdr>
        <w:top w:val="nil"/>
        <w:left w:val="nil"/>
        <w:bottom w:val="nil"/>
        <w:right w:val="nil"/>
        <w:between w:val="nil"/>
      </w:pBdr>
      <w:spacing w:after="0" w:line="276" w:lineRule="auto"/>
      <w:jc w:val="left"/>
      <w:rPr>
        <w:color w:val="000000"/>
      </w:rPr>
    </w:pPr>
  </w:p>
  <w:tbl>
    <w:tblPr>
      <w:tblStyle w:val="a1"/>
      <w:tblW w:w="6096"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5"/>
    </w:tblGrid>
    <w:tr w:rsidR="00F9254F">
      <w:trPr>
        <w:trHeight w:val="132"/>
      </w:trPr>
      <w:tc>
        <w:tcPr>
          <w:tcW w:w="2551" w:type="dxa"/>
        </w:tcPr>
        <w:p w:rsidR="00F9254F" w:rsidRDefault="001236B9">
          <w:pPr>
            <w:tabs>
              <w:tab w:val="right" w:pos="8838"/>
            </w:tabs>
            <w:ind w:right="-105"/>
            <w:rPr>
              <w:b/>
            </w:rPr>
          </w:pPr>
          <w:r>
            <w:rPr>
              <w:b/>
            </w:rPr>
            <w:t>Recurso de Revisión:</w:t>
          </w:r>
        </w:p>
      </w:tc>
      <w:tc>
        <w:tcPr>
          <w:tcW w:w="3545" w:type="dxa"/>
        </w:tcPr>
        <w:p w:rsidR="00F9254F" w:rsidRDefault="001236B9">
          <w:r>
            <w:t>06231/INFOEM/IP/RR/2024</w:t>
          </w:r>
        </w:p>
      </w:tc>
    </w:tr>
    <w:tr w:rsidR="00F9254F">
      <w:trPr>
        <w:trHeight w:val="132"/>
      </w:trPr>
      <w:tc>
        <w:tcPr>
          <w:tcW w:w="2551" w:type="dxa"/>
          <w:shd w:val="clear" w:color="auto" w:fill="auto"/>
        </w:tcPr>
        <w:p w:rsidR="00F9254F" w:rsidRDefault="001236B9">
          <w:pPr>
            <w:tabs>
              <w:tab w:val="left" w:pos="1875"/>
            </w:tabs>
            <w:ind w:right="-105"/>
            <w:rPr>
              <w:b/>
            </w:rPr>
          </w:pPr>
          <w:r>
            <w:rPr>
              <w:b/>
            </w:rPr>
            <w:t>Recurrente:</w:t>
          </w:r>
          <w:r>
            <w:rPr>
              <w:b/>
            </w:rPr>
            <w:tab/>
          </w:r>
        </w:p>
      </w:tc>
      <w:tc>
        <w:tcPr>
          <w:tcW w:w="3545" w:type="dxa"/>
          <w:shd w:val="clear" w:color="auto" w:fill="auto"/>
        </w:tcPr>
        <w:p w:rsidR="00F9254F" w:rsidRDefault="001236B9" w:rsidP="00F81BF5">
          <w:pPr>
            <w:tabs>
              <w:tab w:val="right" w:pos="8838"/>
            </w:tabs>
            <w:ind w:left="-113"/>
          </w:pPr>
          <w:r>
            <w:t xml:space="preserve">  </w:t>
          </w:r>
          <w:r w:rsidR="00F81BF5" w:rsidRPr="00F81BF5">
            <w:rPr>
              <w:highlight w:val="black"/>
            </w:rPr>
            <w:t>XXXXXXXXXXXXXXX</w:t>
          </w:r>
        </w:p>
      </w:tc>
    </w:tr>
    <w:tr w:rsidR="00F9254F">
      <w:trPr>
        <w:trHeight w:val="261"/>
      </w:trPr>
      <w:tc>
        <w:tcPr>
          <w:tcW w:w="2551" w:type="dxa"/>
        </w:tcPr>
        <w:p w:rsidR="00F9254F" w:rsidRDefault="001236B9">
          <w:pPr>
            <w:tabs>
              <w:tab w:val="right" w:pos="8838"/>
            </w:tabs>
            <w:ind w:right="-105"/>
            <w:rPr>
              <w:b/>
            </w:rPr>
          </w:pPr>
          <w:r>
            <w:rPr>
              <w:b/>
            </w:rPr>
            <w:t>Sujeto Obligado:</w:t>
          </w:r>
        </w:p>
      </w:tc>
      <w:tc>
        <w:tcPr>
          <w:tcW w:w="3545" w:type="dxa"/>
        </w:tcPr>
        <w:p w:rsidR="00F9254F" w:rsidRDefault="001236B9">
          <w:r>
            <w:t>Instituto Electoral del Estado de México</w:t>
          </w:r>
        </w:p>
      </w:tc>
    </w:tr>
    <w:tr w:rsidR="00F9254F">
      <w:trPr>
        <w:trHeight w:val="261"/>
      </w:trPr>
      <w:tc>
        <w:tcPr>
          <w:tcW w:w="2551" w:type="dxa"/>
        </w:tcPr>
        <w:p w:rsidR="00F9254F" w:rsidRDefault="001236B9">
          <w:pPr>
            <w:tabs>
              <w:tab w:val="right" w:pos="8838"/>
            </w:tabs>
            <w:ind w:right="-105"/>
            <w:rPr>
              <w:b/>
            </w:rPr>
          </w:pPr>
          <w:r>
            <w:rPr>
              <w:b/>
            </w:rPr>
            <w:t>Comisionado Ponente:</w:t>
          </w:r>
        </w:p>
      </w:tc>
      <w:tc>
        <w:tcPr>
          <w:tcW w:w="3545" w:type="dxa"/>
        </w:tcPr>
        <w:p w:rsidR="00F9254F" w:rsidRDefault="001236B9">
          <w:pPr>
            <w:tabs>
              <w:tab w:val="right" w:pos="8838"/>
            </w:tabs>
            <w:ind w:right="-32"/>
            <w:rPr>
              <w:b/>
            </w:rPr>
          </w:pPr>
          <w:r>
            <w:t>Luis Gustavo Parra Noriega</w:t>
          </w:r>
        </w:p>
      </w:tc>
    </w:tr>
  </w:tbl>
  <w:p w:rsidR="00F9254F" w:rsidRDefault="00496C9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9FA"/>
    <w:multiLevelType w:val="multilevel"/>
    <w:tmpl w:val="41CA4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A572D"/>
    <w:multiLevelType w:val="multilevel"/>
    <w:tmpl w:val="30967B8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56A1213"/>
    <w:multiLevelType w:val="multilevel"/>
    <w:tmpl w:val="1410F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26A0A"/>
    <w:multiLevelType w:val="multilevel"/>
    <w:tmpl w:val="AD703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873895"/>
    <w:multiLevelType w:val="multilevel"/>
    <w:tmpl w:val="CA4C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741051"/>
    <w:multiLevelType w:val="multilevel"/>
    <w:tmpl w:val="5D9A3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B55C0F"/>
    <w:multiLevelType w:val="multilevel"/>
    <w:tmpl w:val="C4880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4F"/>
    <w:rsid w:val="000137F7"/>
    <w:rsid w:val="00075F0E"/>
    <w:rsid w:val="001236B9"/>
    <w:rsid w:val="00330F65"/>
    <w:rsid w:val="00496C90"/>
    <w:rsid w:val="0059518F"/>
    <w:rsid w:val="009548D9"/>
    <w:rsid w:val="00CF36BD"/>
    <w:rsid w:val="00EC2140"/>
    <w:rsid w:val="00F81BF5"/>
    <w:rsid w:val="00F92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8B1501-1901-4211-B697-65EEFBCF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DB277C"/>
    <w:rPr>
      <w:color w:val="605E5C"/>
      <w:shd w:val="clear" w:color="auto" w:fill="E1DFDD"/>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9NonPen3lEiLOoL8s6+Vt7i9Q==">CgMxLjAyCWguMzBqMHpsbDgAciExbURZSGZGYlowRWQtdXhRekNrUkpyNjQzUHZ5NjMwVHk=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6512</Words>
  <Characters>35821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INFOEM415</cp:lastModifiedBy>
  <cp:revision>6</cp:revision>
  <cp:lastPrinted>2024-11-08T16:05:00Z</cp:lastPrinted>
  <dcterms:created xsi:type="dcterms:W3CDTF">2024-11-08T15:26:00Z</dcterms:created>
  <dcterms:modified xsi:type="dcterms:W3CDTF">2025-02-07T21:02:00Z</dcterms:modified>
</cp:coreProperties>
</file>