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6A92F"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w:t>
      </w:r>
      <w:r w:rsidRPr="00CA75DE">
        <w:rPr>
          <w:rFonts w:ascii="Palatino Linotype" w:eastAsia="Times New Roman" w:hAnsi="Palatino Linotype" w:cs="Palatino Linotype"/>
          <w:color w:val="000000"/>
          <w:sz w:val="24"/>
          <w:szCs w:val="24"/>
          <w:lang w:val="es-ES_tradnl" w:eastAsia="es-MX"/>
        </w:rPr>
        <w:t xml:space="preserve">a </w:t>
      </w:r>
      <w:r w:rsidR="00E96F7E">
        <w:rPr>
          <w:rFonts w:ascii="Palatino Linotype" w:eastAsia="Times New Roman" w:hAnsi="Palatino Linotype" w:cs="Palatino Linotype"/>
          <w:color w:val="000000"/>
          <w:sz w:val="24"/>
          <w:szCs w:val="24"/>
          <w:lang w:val="es-ES_tradnl" w:eastAsia="es-MX"/>
        </w:rPr>
        <w:t>tres</w:t>
      </w:r>
      <w:r>
        <w:rPr>
          <w:rFonts w:ascii="Palatino Linotype" w:eastAsia="Times New Roman" w:hAnsi="Palatino Linotype" w:cs="Palatino Linotype"/>
          <w:color w:val="000000"/>
          <w:sz w:val="24"/>
          <w:szCs w:val="24"/>
          <w:lang w:val="es-ES_tradnl" w:eastAsia="es-MX"/>
        </w:rPr>
        <w:t xml:space="preserve"> de </w:t>
      </w:r>
      <w:r w:rsidR="008D1BD7">
        <w:rPr>
          <w:rFonts w:ascii="Palatino Linotype" w:eastAsia="Times New Roman" w:hAnsi="Palatino Linotype" w:cs="Palatino Linotype"/>
          <w:color w:val="000000"/>
          <w:sz w:val="24"/>
          <w:szCs w:val="24"/>
          <w:lang w:val="es-ES_tradnl" w:eastAsia="es-MX"/>
        </w:rPr>
        <w:t>abril d</w:t>
      </w:r>
      <w:r w:rsidRPr="00CA75DE">
        <w:rPr>
          <w:rFonts w:ascii="Palatino Linotype" w:eastAsia="Times New Roman" w:hAnsi="Palatino Linotype" w:cs="Palatino Linotype"/>
          <w:color w:val="000000"/>
          <w:sz w:val="24"/>
          <w:szCs w:val="24"/>
          <w:lang w:val="es-ES_tradnl" w:eastAsia="es-MX"/>
        </w:rPr>
        <w:t>e dos mil veinticuatro.</w:t>
      </w:r>
    </w:p>
    <w:p w14:paraId="09C557C7"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2C52FC0" w14:textId="7BFCCCCC" w:rsidR="0033283B"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b/>
          <w:color w:val="000000"/>
          <w:sz w:val="24"/>
          <w:szCs w:val="24"/>
          <w:lang w:val="es-ES_tradnl" w:eastAsia="es-MX"/>
        </w:rPr>
        <w:t>VISTO</w:t>
      </w:r>
      <w:r w:rsidRPr="00F444C4">
        <w:rPr>
          <w:rFonts w:ascii="Palatino Linotype" w:eastAsia="Times New Roman" w:hAnsi="Palatino Linotype" w:cs="Palatino Linotype"/>
          <w:color w:val="000000"/>
          <w:sz w:val="24"/>
          <w:szCs w:val="24"/>
          <w:lang w:val="es-ES_tradnl" w:eastAsia="es-MX"/>
        </w:rPr>
        <w:t xml:space="preserve"> el expediente electrónico formado con motivo del recurso de revisión número </w:t>
      </w:r>
      <w:bookmarkStart w:id="0" w:name="_GoBack"/>
      <w:r>
        <w:rPr>
          <w:rFonts w:ascii="Palatino Linotype" w:eastAsia="Times New Roman" w:hAnsi="Palatino Linotype" w:cs="Palatino Linotype"/>
          <w:b/>
          <w:color w:val="000000"/>
          <w:sz w:val="24"/>
          <w:szCs w:val="24"/>
          <w:lang w:val="es-ES_tradnl" w:eastAsia="es-MX"/>
        </w:rPr>
        <w:t>00230/INFOEM/IP/RR/2024</w:t>
      </w:r>
      <w:bookmarkEnd w:id="0"/>
      <w:r>
        <w:rPr>
          <w:rFonts w:ascii="Palatino Linotype" w:eastAsia="Times New Roman" w:hAnsi="Palatino Linotype" w:cs="Palatino Linotype"/>
          <w:color w:val="000000"/>
          <w:sz w:val="24"/>
          <w:szCs w:val="24"/>
          <w:lang w:val="es-ES_tradnl" w:eastAsia="es-MX"/>
        </w:rPr>
        <w:t>, interpuesto por</w:t>
      </w:r>
      <w:r w:rsidR="00DE6E8E">
        <w:rPr>
          <w:rFonts w:ascii="Palatino Linotype" w:eastAsia="Times New Roman" w:hAnsi="Palatino Linotype" w:cs="Palatino Linotype"/>
          <w:b/>
          <w:color w:val="000000"/>
          <w:sz w:val="24"/>
          <w:szCs w:val="24"/>
          <w:lang w:val="es-ES_tradnl" w:eastAsia="es-MX"/>
        </w:rPr>
        <w:t xml:space="preserve"> </w:t>
      </w:r>
      <w:r w:rsidR="0004154D">
        <w:rPr>
          <w:rFonts w:ascii="Palatino Linotype" w:eastAsia="Times New Roman" w:hAnsi="Palatino Linotype" w:cs="Palatino Linotype"/>
          <w:b/>
          <w:color w:val="000000"/>
          <w:sz w:val="24"/>
          <w:szCs w:val="24"/>
          <w:lang w:val="es-ES_tradnl" w:eastAsia="es-MX"/>
        </w:rPr>
        <w:t>XXXXXXXXXXXXXXXXXXXXXX</w:t>
      </w:r>
      <w:r>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 xml:space="preserve">en lo sucesivo el </w:t>
      </w:r>
      <w:r w:rsidRPr="00F444C4">
        <w:rPr>
          <w:rFonts w:ascii="Palatino Linotype" w:eastAsia="Times New Roman" w:hAnsi="Palatino Linotype" w:cs="Palatino Linotype"/>
          <w:b/>
          <w:color w:val="000000"/>
          <w:sz w:val="24"/>
          <w:szCs w:val="24"/>
          <w:lang w:val="es-ES_tradnl" w:eastAsia="es-MX"/>
        </w:rPr>
        <w:t>Recurrente</w:t>
      </w:r>
      <w:r w:rsidRPr="00F444C4">
        <w:rPr>
          <w:rFonts w:ascii="Palatino Linotype" w:eastAsia="Times New Roman" w:hAnsi="Palatino Linotype" w:cs="Palatino Linotype"/>
          <w:color w:val="000000"/>
          <w:sz w:val="24"/>
          <w:szCs w:val="24"/>
          <w:lang w:val="es-ES_tradnl" w:eastAsia="es-MX"/>
        </w:rPr>
        <w:t xml:space="preserve">, en contra de la respuesta del </w:t>
      </w:r>
      <w:r w:rsidRPr="0033283B">
        <w:rPr>
          <w:rFonts w:ascii="Palatino Linotype" w:hAnsi="Palatino Linotype"/>
          <w:b/>
          <w:bCs/>
          <w:color w:val="000000"/>
          <w:sz w:val="24"/>
          <w:szCs w:val="24"/>
        </w:rPr>
        <w:t>Organismo Público Descentralizado para la Prestación de Los Servicios de Agua Potable Alcantarillado y Saneamiento del Municipio de Tlalnepantla de Baz</w:t>
      </w:r>
      <w:r w:rsidRPr="00F444C4">
        <w:rPr>
          <w:rFonts w:ascii="Palatino Linotype" w:eastAsia="Times New Roman" w:hAnsi="Palatino Linotype" w:cs="Palatino Linotype"/>
          <w:color w:val="000000"/>
          <w:sz w:val="24"/>
          <w:szCs w:val="24"/>
          <w:lang w:val="es-ES_tradnl" w:eastAsia="es-MX"/>
        </w:rPr>
        <w:t>, en lo subsecuente</w:t>
      </w:r>
      <w:r w:rsidRPr="00F444C4">
        <w:rPr>
          <w:rFonts w:ascii="Palatino Linotype" w:eastAsia="Times New Roman" w:hAnsi="Palatino Linotype" w:cs="Palatino Linotype"/>
          <w:b/>
          <w:color w:val="000000"/>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el</w:t>
      </w:r>
      <w:r w:rsidRPr="00F444C4">
        <w:rPr>
          <w:rFonts w:ascii="Palatino Linotype" w:eastAsia="Times New Roman" w:hAnsi="Palatino Linotype" w:cs="Palatino Linotype"/>
          <w:b/>
          <w:color w:val="000000"/>
          <w:sz w:val="24"/>
          <w:szCs w:val="24"/>
          <w:lang w:val="es-ES_tradnl" w:eastAsia="es-MX"/>
        </w:rPr>
        <w:t xml:space="preserve"> Sujeto Obligado, </w:t>
      </w:r>
      <w:r w:rsidRPr="00F444C4">
        <w:rPr>
          <w:rFonts w:ascii="Palatino Linotype" w:eastAsia="Times New Roman" w:hAnsi="Palatino Linotype" w:cs="Palatino Linotype"/>
          <w:color w:val="000000"/>
          <w:sz w:val="24"/>
          <w:szCs w:val="24"/>
          <w:lang w:val="es-ES_tradnl" w:eastAsia="es-MX"/>
        </w:rPr>
        <w:t>se procede a dictar la presente resolución.</w:t>
      </w:r>
    </w:p>
    <w:p w14:paraId="11C5DD60"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6ECA72D4" w14:textId="77777777" w:rsidR="0033283B" w:rsidRPr="00F444C4" w:rsidRDefault="0033283B" w:rsidP="0033283B">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A N T E C E D E N T E S</w:t>
      </w:r>
    </w:p>
    <w:p w14:paraId="67A42FBE"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20C86843"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Solicitud de Información.</w:t>
      </w:r>
    </w:p>
    <w:p w14:paraId="43549CD2"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Con fecha</w:t>
      </w:r>
      <w:r>
        <w:rPr>
          <w:rFonts w:ascii="Palatino Linotype" w:eastAsia="Times New Roman" w:hAnsi="Palatino Linotype" w:cs="Palatino Linotype"/>
          <w:color w:val="000000"/>
          <w:sz w:val="24"/>
          <w:szCs w:val="24"/>
          <w:lang w:val="es-ES_tradnl" w:eastAsia="es-MX"/>
        </w:rPr>
        <w:t xml:space="preserve"> siete de diciembre de dos mil veintitrés</w:t>
      </w:r>
      <w:r w:rsidRPr="00F444C4">
        <w:rPr>
          <w:rFonts w:ascii="Palatino Linotype" w:eastAsia="Times New Roman" w:hAnsi="Palatino Linotype" w:cs="Palatino Linotype"/>
          <w:color w:val="000000"/>
          <w:sz w:val="24"/>
          <w:szCs w:val="24"/>
          <w:lang w:val="es-ES_tradnl" w:eastAsia="es-MX"/>
        </w:rPr>
        <w:t xml:space="preserve">, el Recurrente presentó mediante el Sistema de Acceso a la Información Mexiquense (SAIMEX), solicitud de información registrada con el número de </w:t>
      </w:r>
      <w:r w:rsidRPr="00F444C4">
        <w:rPr>
          <w:rFonts w:ascii="Palatino Linotype" w:eastAsia="Times New Roman" w:hAnsi="Palatino Linotype" w:cs="Palatino Linotype"/>
          <w:sz w:val="24"/>
          <w:szCs w:val="24"/>
          <w:lang w:val="es-ES_tradnl" w:eastAsia="es-MX"/>
        </w:rPr>
        <w:t>expediente</w:t>
      </w:r>
      <w:r>
        <w:rPr>
          <w:rFonts w:ascii="Palatino Linotype" w:eastAsia="Times New Roman" w:hAnsi="Palatino Linotype" w:cs="Palatino Linotype"/>
          <w:sz w:val="24"/>
          <w:szCs w:val="24"/>
          <w:lang w:val="es-ES_tradnl" w:eastAsia="es-MX"/>
        </w:rPr>
        <w:t xml:space="preserve"> </w:t>
      </w:r>
      <w:r w:rsidRPr="0033283B">
        <w:rPr>
          <w:rFonts w:ascii="Palatino Linotype" w:hAnsi="Palatino Linotype"/>
          <w:b/>
          <w:bCs/>
          <w:sz w:val="24"/>
          <w:szCs w:val="24"/>
        </w:rPr>
        <w:t>00183/OASTLALNE/IP/2023</w:t>
      </w:r>
      <w:r w:rsidRPr="00A916EF">
        <w:rPr>
          <w:rFonts w:ascii="Palatino Linotype" w:eastAsia="Times New Roman" w:hAnsi="Palatino Linotype" w:cs="Palatino Linotype"/>
          <w:sz w:val="24"/>
          <w:szCs w:val="24"/>
          <w:lang w:val="es-ES_tradnl" w:eastAsia="es-MX"/>
        </w:rPr>
        <w:t>,</w:t>
      </w:r>
      <w:r w:rsidRPr="00A916EF">
        <w:rPr>
          <w:rFonts w:ascii="Palatino Linotype" w:eastAsia="Times New Roman" w:hAnsi="Palatino Linotype" w:cs="Palatino Linotype"/>
          <w:b/>
          <w:sz w:val="24"/>
          <w:szCs w:val="24"/>
          <w:lang w:val="es-ES_tradnl" w:eastAsia="es-MX"/>
        </w:rPr>
        <w:t xml:space="preserve"> </w:t>
      </w:r>
      <w:r w:rsidRPr="00F444C4">
        <w:rPr>
          <w:rFonts w:ascii="Palatino Linotype" w:eastAsia="Times New Roman" w:hAnsi="Palatino Linotype" w:cs="Palatino Linotype"/>
          <w:color w:val="000000"/>
          <w:sz w:val="24"/>
          <w:szCs w:val="24"/>
          <w:lang w:val="es-ES_tradnl" w:eastAsia="es-MX"/>
        </w:rPr>
        <w:t>mediante la cual solicitó información en el tenor siguiente:</w:t>
      </w:r>
    </w:p>
    <w:p w14:paraId="2010ECE6" w14:textId="77777777" w:rsidR="0033283B" w:rsidRPr="00F70BDE" w:rsidRDefault="0033283B" w:rsidP="0033283B">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445CE768" w14:textId="77777777" w:rsidR="0033283B" w:rsidRDefault="0033283B" w:rsidP="0033283B">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r w:rsidRPr="0033283B">
        <w:rPr>
          <w:rFonts w:ascii="Palatino Linotype" w:eastAsia="Times New Roman" w:hAnsi="Palatino Linotype" w:cs="Palatino Linotype"/>
          <w:i/>
          <w:iCs/>
          <w:color w:val="000000"/>
          <w:sz w:val="24"/>
          <w:szCs w:val="24"/>
          <w:lang w:val="es-ES_tradnl" w:eastAsia="es-MX"/>
        </w:rPr>
        <w:t>“</w:t>
      </w:r>
      <w:r w:rsidRPr="0033283B">
        <w:rPr>
          <w:rFonts w:ascii="Palatino Linotype" w:hAnsi="Palatino Linotype"/>
          <w:i/>
          <w:color w:val="000000"/>
          <w:sz w:val="24"/>
          <w:szCs w:val="24"/>
        </w:rPr>
        <w:t>Solicito la nómina, conciliación de nómina, dispersión de nómina y estados de cuenta donde se refleje los movimientos de nómina de la primera quincena de octubre”</w:t>
      </w:r>
      <w:r>
        <w:rPr>
          <w:rFonts w:ascii="Verdana" w:hAnsi="Verdana"/>
          <w:color w:val="000000"/>
          <w:sz w:val="14"/>
          <w:szCs w:val="14"/>
        </w:rPr>
        <w:t xml:space="preserve"> </w:t>
      </w:r>
      <w:r w:rsidRPr="00F444C4">
        <w:rPr>
          <w:rFonts w:ascii="Palatino Linotype" w:eastAsia="Times New Roman" w:hAnsi="Palatino Linotype" w:cs="Palatino Linotype"/>
          <w:i/>
          <w:color w:val="000000"/>
          <w:szCs w:val="24"/>
          <w:lang w:val="es-ES_tradnl" w:eastAsia="es-MX"/>
        </w:rPr>
        <w:t xml:space="preserve"> (Sic)</w:t>
      </w:r>
    </w:p>
    <w:p w14:paraId="3B264EEF" w14:textId="77777777" w:rsidR="0033283B" w:rsidRPr="0033283B" w:rsidRDefault="0033283B" w:rsidP="0033283B">
      <w:pPr>
        <w:spacing w:after="0" w:line="360" w:lineRule="auto"/>
        <w:ind w:left="567" w:right="567"/>
        <w:contextualSpacing/>
        <w:jc w:val="both"/>
        <w:rPr>
          <w:rFonts w:ascii="Palatino Linotype" w:eastAsia="Times New Roman" w:hAnsi="Palatino Linotype" w:cs="Palatino Linotype"/>
          <w:i/>
          <w:color w:val="000000"/>
          <w:szCs w:val="24"/>
          <w:lang w:val="es-ES_tradnl" w:eastAsia="es-MX"/>
        </w:rPr>
      </w:pPr>
    </w:p>
    <w:p w14:paraId="47AEEB9C" w14:textId="77777777" w:rsidR="0033283B" w:rsidRPr="00F444C4" w:rsidRDefault="0033283B" w:rsidP="0033283B">
      <w:pPr>
        <w:spacing w:after="0" w:line="360" w:lineRule="auto"/>
        <w:contextualSpacing/>
        <w:jc w:val="both"/>
        <w:rPr>
          <w:rFonts w:ascii="Palatino Linotype" w:eastAsia="Times New Roman" w:hAnsi="Palatino Linotype" w:cs="Palatino Linotype"/>
          <w:b/>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 xml:space="preserve">Modalidad de entrega: </w:t>
      </w:r>
      <w:r w:rsidRPr="00F444C4">
        <w:rPr>
          <w:rFonts w:ascii="Palatino Linotype" w:eastAsia="Times New Roman" w:hAnsi="Palatino Linotype" w:cs="Palatino Linotype"/>
          <w:b/>
          <w:color w:val="000000"/>
          <w:sz w:val="24"/>
          <w:szCs w:val="24"/>
          <w:lang w:val="es-ES_tradnl" w:eastAsia="es-MX"/>
        </w:rPr>
        <w:t>A través del SAIMEX</w:t>
      </w:r>
      <w:r w:rsidRPr="00F444C4">
        <w:rPr>
          <w:rFonts w:ascii="Palatino Linotype" w:eastAsia="Times New Roman" w:hAnsi="Palatino Linotype" w:cs="Palatino Linotype"/>
          <w:color w:val="000000"/>
          <w:sz w:val="24"/>
          <w:szCs w:val="24"/>
          <w:lang w:val="es-ES_tradnl" w:eastAsia="es-MX"/>
        </w:rPr>
        <w:t>.</w:t>
      </w:r>
    </w:p>
    <w:p w14:paraId="1C918FC6"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17455914"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SEGUNDO. De la</w:t>
      </w:r>
      <w:r>
        <w:rPr>
          <w:rFonts w:ascii="Palatino Linotype" w:eastAsia="Times New Roman" w:hAnsi="Palatino Linotype" w:cs="Times New Roman"/>
          <w:b/>
          <w:color w:val="000000" w:themeColor="text1"/>
          <w:sz w:val="26"/>
          <w:szCs w:val="26"/>
          <w:lang w:val="es-ES_tradnl" w:eastAsia="es-MX"/>
        </w:rPr>
        <w:t xml:space="preserve"> </w:t>
      </w:r>
      <w:r w:rsidRPr="00F444C4">
        <w:rPr>
          <w:rFonts w:ascii="Palatino Linotype" w:eastAsia="Times New Roman" w:hAnsi="Palatino Linotype" w:cs="Times New Roman"/>
          <w:b/>
          <w:color w:val="000000" w:themeColor="text1"/>
          <w:sz w:val="26"/>
          <w:szCs w:val="26"/>
          <w:lang w:val="es-ES_tradnl" w:eastAsia="es-MX"/>
        </w:rPr>
        <w:t>respuesta del Sujeto Obligado.</w:t>
      </w:r>
    </w:p>
    <w:p w14:paraId="5A7705F1" w14:textId="77777777" w:rsidR="0033283B"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De las constancias que obran en el expediente electrónico, se observa que el</w:t>
      </w:r>
      <w:r>
        <w:rPr>
          <w:rFonts w:ascii="Palatino Linotype" w:eastAsia="Times New Roman" w:hAnsi="Palatino Linotype" w:cs="Palatino Linotype"/>
          <w:color w:val="000000"/>
          <w:sz w:val="24"/>
          <w:szCs w:val="24"/>
          <w:lang w:val="es-ES_tradnl" w:eastAsia="es-MX"/>
        </w:rPr>
        <w:t xml:space="preserve"> dieciocho de enero de dos mil veinticuatro</w:t>
      </w:r>
      <w:r w:rsidRPr="00F444C4">
        <w:rPr>
          <w:rFonts w:ascii="Palatino Linotype" w:eastAsia="Times New Roman" w:hAnsi="Palatino Linotype" w:cs="Palatino Linotype"/>
          <w:color w:val="000000"/>
          <w:sz w:val="24"/>
          <w:szCs w:val="24"/>
          <w:lang w:val="es-ES_tradnl" w:eastAsia="es-MX"/>
        </w:rPr>
        <w:t>, el Sujeto Obligado dio respuesta a la solicitud de información manifestando lo siguiente:</w:t>
      </w:r>
    </w:p>
    <w:p w14:paraId="232BD8CD" w14:textId="77777777" w:rsidR="00E96F7E" w:rsidRPr="00F444C4" w:rsidRDefault="00E96F7E"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tbl>
      <w:tblPr>
        <w:tblW w:w="8219" w:type="dxa"/>
        <w:jc w:val="center"/>
        <w:tblCellSpacing w:w="0" w:type="dxa"/>
        <w:tblCellMar>
          <w:left w:w="0" w:type="dxa"/>
          <w:right w:w="0" w:type="dxa"/>
        </w:tblCellMar>
        <w:tblLook w:val="04A0" w:firstRow="1" w:lastRow="0" w:firstColumn="1" w:lastColumn="0" w:noHBand="0" w:noVBand="1"/>
      </w:tblPr>
      <w:tblGrid>
        <w:gridCol w:w="8219"/>
      </w:tblGrid>
      <w:tr w:rsidR="0033283B" w:rsidRPr="0033283B" w14:paraId="12FF4D73" w14:textId="77777777" w:rsidTr="0033283B">
        <w:trPr>
          <w:trHeight w:val="310"/>
          <w:tblCellSpacing w:w="0" w:type="dxa"/>
          <w:jc w:val="center"/>
        </w:trPr>
        <w:tc>
          <w:tcPr>
            <w:tcW w:w="0" w:type="auto"/>
            <w:vAlign w:val="center"/>
            <w:hideMark/>
          </w:tcPr>
          <w:p w14:paraId="6428F9AD" w14:textId="77777777" w:rsidR="0033283B" w:rsidRPr="0033283B" w:rsidRDefault="003155D5" w:rsidP="0033283B">
            <w:pPr>
              <w:spacing w:after="0" w:line="240" w:lineRule="auto"/>
              <w:jc w:val="right"/>
              <w:rPr>
                <w:rFonts w:ascii="Palatino Linotype" w:eastAsia="Times New Roman" w:hAnsi="Palatino Linotype" w:cs="Times New Roman"/>
                <w:i/>
                <w:lang w:eastAsia="es-MX"/>
              </w:rPr>
            </w:pPr>
            <w:r>
              <w:rPr>
                <w:rFonts w:ascii="Palatino Linotype" w:eastAsia="Times New Roman" w:hAnsi="Palatino Linotype" w:cs="Times New Roman"/>
                <w:i/>
                <w:lang w:eastAsia="es-MX"/>
              </w:rPr>
              <w:t>Organism</w:t>
            </w:r>
            <w:r w:rsidR="0033283B" w:rsidRPr="0033283B">
              <w:rPr>
                <w:rFonts w:ascii="Palatino Linotype" w:eastAsia="Times New Roman" w:hAnsi="Palatino Linotype" w:cs="Times New Roman"/>
                <w:i/>
                <w:lang w:eastAsia="es-MX"/>
              </w:rPr>
              <w:t>o Descentralizado para la Prestación de Los Servicios de Agua Potable Alcantarillado y Saneamiento del Municipio de Tlalnepantla de Baz, México a 18 de Enero de 2024</w:t>
            </w:r>
          </w:p>
        </w:tc>
      </w:tr>
      <w:tr w:rsidR="0033283B" w:rsidRPr="0033283B" w14:paraId="3ECB6226" w14:textId="77777777" w:rsidTr="0033283B">
        <w:trPr>
          <w:trHeight w:val="310"/>
          <w:tblCellSpacing w:w="0" w:type="dxa"/>
          <w:jc w:val="center"/>
        </w:trPr>
        <w:tc>
          <w:tcPr>
            <w:tcW w:w="0" w:type="auto"/>
            <w:vAlign w:val="center"/>
            <w:hideMark/>
          </w:tcPr>
          <w:p w14:paraId="674AE1F5" w14:textId="77777777" w:rsidR="0033283B" w:rsidRPr="0033283B" w:rsidRDefault="0033283B" w:rsidP="0033283B">
            <w:pPr>
              <w:spacing w:after="0" w:line="240" w:lineRule="auto"/>
              <w:jc w:val="right"/>
              <w:rPr>
                <w:rFonts w:ascii="Palatino Linotype" w:eastAsia="Times New Roman" w:hAnsi="Palatino Linotype" w:cs="Times New Roman"/>
                <w:i/>
                <w:lang w:eastAsia="es-MX"/>
              </w:rPr>
            </w:pPr>
            <w:r w:rsidRPr="0033283B">
              <w:rPr>
                <w:rFonts w:ascii="Palatino Linotype" w:eastAsia="Times New Roman" w:hAnsi="Palatino Linotype" w:cs="Times New Roman"/>
                <w:i/>
                <w:lang w:eastAsia="es-MX"/>
              </w:rPr>
              <w:t>Nombre del solicitante: C. Solicitante</w:t>
            </w:r>
          </w:p>
        </w:tc>
      </w:tr>
      <w:tr w:rsidR="0033283B" w:rsidRPr="0033283B" w14:paraId="449F3BD6" w14:textId="77777777" w:rsidTr="0033283B">
        <w:trPr>
          <w:trHeight w:val="310"/>
          <w:tblCellSpacing w:w="0" w:type="dxa"/>
          <w:jc w:val="center"/>
        </w:trPr>
        <w:tc>
          <w:tcPr>
            <w:tcW w:w="0" w:type="auto"/>
            <w:vAlign w:val="center"/>
            <w:hideMark/>
          </w:tcPr>
          <w:p w14:paraId="1B812619" w14:textId="77777777" w:rsidR="0033283B" w:rsidRPr="0033283B" w:rsidRDefault="0033283B" w:rsidP="0033283B">
            <w:pPr>
              <w:spacing w:after="0" w:line="240" w:lineRule="auto"/>
              <w:jc w:val="right"/>
              <w:rPr>
                <w:rFonts w:ascii="Palatino Linotype" w:eastAsia="Times New Roman" w:hAnsi="Palatino Linotype" w:cs="Times New Roman"/>
                <w:i/>
                <w:lang w:eastAsia="es-MX"/>
              </w:rPr>
            </w:pPr>
            <w:r w:rsidRPr="0033283B">
              <w:rPr>
                <w:rFonts w:ascii="Palatino Linotype" w:eastAsia="Times New Roman" w:hAnsi="Palatino Linotype" w:cs="Times New Roman"/>
                <w:i/>
                <w:lang w:eastAsia="es-MX"/>
              </w:rPr>
              <w:t>Folio de la solicitud: 00183/OASTLALNE/IP/2023</w:t>
            </w:r>
          </w:p>
        </w:tc>
      </w:tr>
      <w:tr w:rsidR="0033283B" w:rsidRPr="0033283B" w14:paraId="1BE4C10B" w14:textId="77777777" w:rsidTr="0033283B">
        <w:trPr>
          <w:trHeight w:val="465"/>
          <w:tblCellSpacing w:w="0" w:type="dxa"/>
          <w:jc w:val="center"/>
        </w:trPr>
        <w:tc>
          <w:tcPr>
            <w:tcW w:w="0" w:type="auto"/>
            <w:vAlign w:val="center"/>
            <w:hideMark/>
          </w:tcPr>
          <w:p w14:paraId="2BC767C5" w14:textId="77777777" w:rsidR="0033283B" w:rsidRPr="0033283B" w:rsidRDefault="0033283B" w:rsidP="0033283B">
            <w:pPr>
              <w:spacing w:after="0" w:line="240" w:lineRule="auto"/>
              <w:jc w:val="right"/>
              <w:rPr>
                <w:rFonts w:ascii="Palatino Linotype" w:eastAsia="Times New Roman" w:hAnsi="Palatino Linotype" w:cs="Times New Roman"/>
                <w:i/>
                <w:lang w:eastAsia="es-MX"/>
              </w:rPr>
            </w:pPr>
          </w:p>
        </w:tc>
      </w:tr>
      <w:tr w:rsidR="0033283B" w:rsidRPr="0033283B" w14:paraId="591C8C32" w14:textId="77777777" w:rsidTr="0033283B">
        <w:trPr>
          <w:trHeight w:val="155"/>
          <w:tblCellSpacing w:w="0" w:type="dxa"/>
          <w:jc w:val="center"/>
        </w:trPr>
        <w:tc>
          <w:tcPr>
            <w:tcW w:w="0" w:type="auto"/>
            <w:vAlign w:val="center"/>
            <w:hideMark/>
          </w:tcPr>
          <w:p w14:paraId="31CE799F" w14:textId="77777777" w:rsidR="0033283B" w:rsidRPr="0033283B" w:rsidRDefault="0033283B" w:rsidP="0033283B">
            <w:pPr>
              <w:spacing w:after="0" w:line="240" w:lineRule="auto"/>
              <w:jc w:val="both"/>
              <w:rPr>
                <w:rFonts w:ascii="Palatino Linotype" w:eastAsia="Times New Roman" w:hAnsi="Palatino Linotype" w:cs="Times New Roman"/>
                <w:i/>
                <w:lang w:eastAsia="es-MX"/>
              </w:rPr>
            </w:pPr>
            <w:r w:rsidRPr="0033283B">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bl>
    <w:p w14:paraId="373B4649" w14:textId="77777777" w:rsidR="0033283B" w:rsidRPr="00A47ACD" w:rsidRDefault="0033283B" w:rsidP="0033283B">
      <w:pPr>
        <w:spacing w:after="0" w:line="360" w:lineRule="auto"/>
        <w:contextualSpacing/>
        <w:jc w:val="both"/>
        <w:rPr>
          <w:rFonts w:ascii="Palatino Linotype" w:eastAsia="Times New Roman" w:hAnsi="Palatino Linotype" w:cs="Palatino Linotype"/>
          <w:i/>
          <w:color w:val="000000"/>
          <w:lang w:val="es-ES_tradnl" w:eastAsia="es-MX"/>
        </w:rPr>
      </w:pPr>
    </w:p>
    <w:p w14:paraId="78043C7A" w14:textId="77777777" w:rsidR="0033283B" w:rsidRPr="00A47ACD" w:rsidRDefault="0033283B" w:rsidP="0033283B">
      <w:pPr>
        <w:spacing w:after="0" w:line="360" w:lineRule="auto"/>
        <w:contextualSpacing/>
        <w:jc w:val="both"/>
        <w:rPr>
          <w:rFonts w:ascii="Palatino Linotype" w:eastAsia="Times New Roman" w:hAnsi="Palatino Linotype" w:cs="Palatino Linotype"/>
          <w:i/>
          <w:color w:val="000000"/>
          <w:lang w:val="es-ES_tradnl" w:eastAsia="es-MX"/>
        </w:rPr>
      </w:pPr>
    </w:p>
    <w:p w14:paraId="55910BFB" w14:textId="77777777" w:rsidR="0033283B" w:rsidRDefault="0033283B" w:rsidP="0033283B">
      <w:pPr>
        <w:spacing w:after="0" w:line="360" w:lineRule="auto"/>
        <w:contextualSpacing/>
        <w:jc w:val="both"/>
        <w:rPr>
          <w:rFonts w:ascii="Palatino Linotype" w:hAnsi="Palatino Linotype"/>
          <w:sz w:val="24"/>
          <w:szCs w:val="24"/>
        </w:rPr>
      </w:pPr>
      <w:r w:rsidRPr="00F444C4">
        <w:rPr>
          <w:rFonts w:ascii="Palatino Linotype" w:eastAsia="Times New Roman" w:hAnsi="Palatino Linotype" w:cs="Palatino Linotype"/>
          <w:color w:val="000000"/>
          <w:sz w:val="24"/>
          <w:szCs w:val="24"/>
          <w:lang w:val="es-ES_tradnl" w:eastAsia="es-MX"/>
        </w:rPr>
        <w:t xml:space="preserve">El Sujeto Obligado </w:t>
      </w:r>
      <w:r>
        <w:rPr>
          <w:rFonts w:ascii="Palatino Linotype" w:eastAsia="Times New Roman" w:hAnsi="Palatino Linotype" w:cs="Palatino Linotype"/>
          <w:color w:val="000000"/>
          <w:sz w:val="24"/>
          <w:szCs w:val="24"/>
          <w:lang w:val="es-ES_tradnl" w:eastAsia="es-MX"/>
        </w:rPr>
        <w:t xml:space="preserve">adjuntó a su respuesta los documentos denominados </w:t>
      </w:r>
      <w:r w:rsidRPr="00C069FB">
        <w:rPr>
          <w:rFonts w:ascii="Palatino Linotype" w:eastAsia="Times New Roman" w:hAnsi="Palatino Linotype" w:cs="Palatino Linotype"/>
          <w:i/>
          <w:sz w:val="24"/>
          <w:szCs w:val="24"/>
          <w:lang w:val="es-ES_tradnl" w:eastAsia="es-MX"/>
        </w:rPr>
        <w:t>“</w:t>
      </w:r>
      <w:r w:rsidRPr="00716464">
        <w:rPr>
          <w:rFonts w:ascii="Palatino Linotype" w:hAnsi="Palatino Linotype" w:cs="Arial"/>
          <w:b/>
          <w:bCs/>
          <w:sz w:val="24"/>
          <w:szCs w:val="24"/>
        </w:rPr>
        <w:t>RESP SAIMEX 183.pdf</w:t>
      </w:r>
      <w:r w:rsidR="00716464">
        <w:rPr>
          <w:rFonts w:ascii="Palatino Linotype" w:hAnsi="Palatino Linotype"/>
          <w:sz w:val="24"/>
          <w:szCs w:val="24"/>
        </w:rPr>
        <w:t>”, “</w:t>
      </w:r>
      <w:r w:rsidRPr="00716464">
        <w:rPr>
          <w:rFonts w:ascii="Palatino Linotype" w:hAnsi="Palatino Linotype" w:cs="Arial"/>
          <w:b/>
          <w:bCs/>
          <w:sz w:val="24"/>
          <w:szCs w:val="24"/>
        </w:rPr>
        <w:t>NOMINA 1° QUINCENA DE OCTUBRE 2023.xlsx</w:t>
      </w:r>
      <w:r w:rsidR="00716464">
        <w:rPr>
          <w:rFonts w:ascii="Palatino Linotype" w:hAnsi="Palatino Linotype" w:cs="Arial"/>
          <w:b/>
          <w:bCs/>
          <w:sz w:val="24"/>
          <w:szCs w:val="24"/>
        </w:rPr>
        <w:t>”</w:t>
      </w:r>
      <w:r w:rsidR="00716464">
        <w:rPr>
          <w:rFonts w:ascii="Palatino Linotype" w:hAnsi="Palatino Linotype"/>
          <w:sz w:val="24"/>
          <w:szCs w:val="24"/>
        </w:rPr>
        <w:t>, “</w:t>
      </w:r>
      <w:hyperlink r:id="rId7" w:tgtFrame="_blank" w:history="1">
        <w:r w:rsidRPr="00716464">
          <w:rPr>
            <w:rStyle w:val="Hipervnculo"/>
            <w:rFonts w:ascii="Palatino Linotype" w:hAnsi="Palatino Linotype" w:cs="Arial"/>
            <w:b/>
            <w:bCs/>
            <w:color w:val="auto"/>
            <w:sz w:val="24"/>
            <w:szCs w:val="24"/>
          </w:rPr>
          <w:t>1 RA ACTA ORD CMTE TRANSP.pdf</w:t>
        </w:r>
      </w:hyperlink>
      <w:r w:rsidR="00716464">
        <w:rPr>
          <w:rFonts w:ascii="Palatino Linotype" w:hAnsi="Palatino Linotype"/>
          <w:sz w:val="24"/>
          <w:szCs w:val="24"/>
        </w:rPr>
        <w:t>” y “</w:t>
      </w:r>
      <w:hyperlink r:id="rId8" w:tgtFrame="_blank" w:history="1">
        <w:r w:rsidRPr="00716464">
          <w:rPr>
            <w:rStyle w:val="Hipervnculo"/>
            <w:rFonts w:ascii="Palatino Linotype" w:hAnsi="Palatino Linotype" w:cs="Arial"/>
            <w:b/>
            <w:bCs/>
            <w:color w:val="auto"/>
            <w:sz w:val="24"/>
            <w:szCs w:val="24"/>
          </w:rPr>
          <w:t>RESP SAIMEX 183 ADMON.pdf</w:t>
        </w:r>
      </w:hyperlink>
      <w:r w:rsidR="00716464">
        <w:rPr>
          <w:rFonts w:ascii="Palatino Linotype" w:hAnsi="Palatino Linotype"/>
          <w:sz w:val="24"/>
          <w:szCs w:val="24"/>
        </w:rPr>
        <w:t>”</w:t>
      </w:r>
      <w:r w:rsidRPr="00F70BDE">
        <w:rPr>
          <w:rFonts w:ascii="Palatino Linotype" w:eastAsia="Times New Roman" w:hAnsi="Palatino Linotype" w:cs="Palatino Linotype"/>
          <w:i/>
          <w:iCs/>
          <w:sz w:val="24"/>
          <w:szCs w:val="24"/>
          <w:lang w:val="es-ES_tradnl" w:eastAsia="es-MX"/>
        </w:rPr>
        <w:t>,</w:t>
      </w:r>
      <w:r w:rsidRPr="00F70BDE">
        <w:rPr>
          <w:rFonts w:ascii="Palatino Linotype" w:eastAsia="Times New Roman" w:hAnsi="Palatino Linotype" w:cs="Palatino Linotype"/>
          <w:sz w:val="24"/>
          <w:szCs w:val="24"/>
          <w:lang w:val="es-ES_tradnl" w:eastAsia="es-MX"/>
        </w:rPr>
        <w:t xml:space="preserve"> </w:t>
      </w:r>
      <w:r>
        <w:rPr>
          <w:rFonts w:ascii="Palatino Linotype" w:eastAsia="Times New Roman" w:hAnsi="Palatino Linotype" w:cs="Palatino Linotype"/>
          <w:color w:val="000000"/>
          <w:sz w:val="24"/>
          <w:szCs w:val="24"/>
          <w:lang w:val="es-ES_tradnl" w:eastAsia="es-MX"/>
        </w:rPr>
        <w:t>los cuales no se reproducen</w:t>
      </w:r>
      <w:r w:rsidRPr="00F444C4">
        <w:rPr>
          <w:rFonts w:ascii="Palatino Linotype" w:eastAsia="Times New Roman" w:hAnsi="Palatino Linotype" w:cs="Palatino Linotype"/>
          <w:color w:val="000000"/>
          <w:sz w:val="24"/>
          <w:szCs w:val="24"/>
          <w:lang w:val="es-ES_tradnl" w:eastAsia="es-MX"/>
        </w:rPr>
        <w:t xml:space="preserve"> por ser del conocimiento de las partes; no obstante, su contenido será motivo de análisis en el estudio correspondiente.</w:t>
      </w:r>
    </w:p>
    <w:p w14:paraId="3885792C" w14:textId="77777777" w:rsidR="0033283B" w:rsidRDefault="0033283B" w:rsidP="0033283B">
      <w:pPr>
        <w:spacing w:after="0" w:line="360" w:lineRule="auto"/>
        <w:contextualSpacing/>
        <w:jc w:val="both"/>
        <w:rPr>
          <w:rFonts w:ascii="Palatino Linotype" w:hAnsi="Palatino Linotype"/>
          <w:sz w:val="24"/>
          <w:szCs w:val="24"/>
        </w:rPr>
      </w:pPr>
    </w:p>
    <w:p w14:paraId="7386506B" w14:textId="77777777" w:rsidR="0033283B" w:rsidRPr="00C069FB" w:rsidRDefault="0033283B" w:rsidP="0033283B">
      <w:pPr>
        <w:spacing w:after="0" w:line="360" w:lineRule="auto"/>
        <w:contextualSpacing/>
        <w:jc w:val="both"/>
        <w:rPr>
          <w:rFonts w:ascii="Palatino Linotype" w:hAnsi="Palatino Linotype"/>
          <w:sz w:val="24"/>
          <w:szCs w:val="24"/>
        </w:rPr>
      </w:pPr>
    </w:p>
    <w:p w14:paraId="02C804FF"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lastRenderedPageBreak/>
        <w:t>TERCERO. Del recurso de revisión.</w:t>
      </w:r>
    </w:p>
    <w:p w14:paraId="4E74624F" w14:textId="77777777" w:rsidR="0033283B"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Inconforme con la respuesta emitida por el Sujeto Obligado, el Recurrente interpuso el presente recurso de revisión el día</w:t>
      </w:r>
      <w:r w:rsidR="00716464">
        <w:rPr>
          <w:rFonts w:ascii="Palatino Linotype" w:eastAsia="Times New Roman" w:hAnsi="Palatino Linotype" w:cs="Palatino Linotype"/>
          <w:color w:val="000000"/>
          <w:sz w:val="24"/>
          <w:szCs w:val="24"/>
          <w:lang w:val="es-ES_tradnl" w:eastAsia="es-MX"/>
        </w:rPr>
        <w:t xml:space="preserve"> veinticinco</w:t>
      </w:r>
      <w:r>
        <w:rPr>
          <w:rFonts w:ascii="Palatino Linotype" w:eastAsia="Times New Roman" w:hAnsi="Palatino Linotype" w:cs="Palatino Linotype"/>
          <w:color w:val="000000"/>
          <w:sz w:val="24"/>
          <w:szCs w:val="24"/>
          <w:lang w:val="es-ES_tradnl" w:eastAsia="es-MX"/>
        </w:rPr>
        <w:t xml:space="preserve"> de enero de dos mil veinticuatro, </w:t>
      </w:r>
      <w:r w:rsidRPr="00F444C4">
        <w:rPr>
          <w:rFonts w:ascii="Palatino Linotype" w:eastAsia="Times New Roman" w:hAnsi="Palatino Linotype" w:cs="Palatino Linotype"/>
          <w:color w:val="000000"/>
          <w:sz w:val="24"/>
          <w:szCs w:val="24"/>
          <w:lang w:val="es-ES_tradnl" w:eastAsia="es-MX"/>
        </w:rPr>
        <w:t xml:space="preserve">el cual se registró con el expediente número </w:t>
      </w:r>
      <w:r w:rsidR="00716464">
        <w:rPr>
          <w:rFonts w:ascii="Palatino Linotype" w:eastAsia="Times New Roman" w:hAnsi="Palatino Linotype" w:cs="Palatino Linotype"/>
          <w:b/>
          <w:color w:val="000000"/>
          <w:sz w:val="24"/>
          <w:szCs w:val="24"/>
          <w:lang w:val="es-ES_tradnl" w:eastAsia="es-MX"/>
        </w:rPr>
        <w:t>00230</w:t>
      </w:r>
      <w:r>
        <w:rPr>
          <w:rFonts w:ascii="Palatino Linotype" w:eastAsia="Times New Roman" w:hAnsi="Palatino Linotype" w:cs="Palatino Linotype"/>
          <w:b/>
          <w:color w:val="000000"/>
          <w:sz w:val="24"/>
          <w:szCs w:val="24"/>
          <w:lang w:val="es-ES_tradnl" w:eastAsia="es-MX"/>
        </w:rPr>
        <w:t>/INFOEM/IP/RR/2024</w:t>
      </w:r>
      <w:r w:rsidRPr="00F444C4">
        <w:rPr>
          <w:rFonts w:ascii="Palatino Linotype" w:eastAsia="Times New Roman" w:hAnsi="Palatino Linotype" w:cs="Palatino Linotype"/>
          <w:color w:val="000000"/>
          <w:sz w:val="24"/>
          <w:szCs w:val="24"/>
          <w:lang w:val="es-ES_tradnl" w:eastAsia="es-MX"/>
        </w:rPr>
        <w:t>, manifestando lo siguiente:</w:t>
      </w:r>
    </w:p>
    <w:p w14:paraId="61EC48F7"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0B81B86" w14:textId="77777777" w:rsidR="0033283B" w:rsidRDefault="0033283B" w:rsidP="0033283B">
      <w:pPr>
        <w:spacing w:after="0" w:line="240" w:lineRule="auto"/>
        <w:ind w:left="567" w:right="567"/>
        <w:contextualSpacing/>
        <w:jc w:val="both"/>
        <w:rPr>
          <w:rFonts w:ascii="Palatino Linotype" w:eastAsia="Times New Roman" w:hAnsi="Palatino Linotype" w:cs="Palatino Linotype"/>
          <w:b/>
          <w:sz w:val="24"/>
          <w:lang w:val="es-ES_tradnl" w:eastAsia="es-MX"/>
        </w:rPr>
      </w:pPr>
      <w:r>
        <w:rPr>
          <w:rFonts w:ascii="Palatino Linotype" w:eastAsia="Times New Roman" w:hAnsi="Palatino Linotype" w:cs="Palatino Linotype"/>
          <w:b/>
          <w:sz w:val="24"/>
          <w:lang w:val="es-ES_tradnl" w:eastAsia="es-MX"/>
        </w:rPr>
        <w:t xml:space="preserve">Acto Impugnado </w:t>
      </w:r>
    </w:p>
    <w:p w14:paraId="7204BDD1" w14:textId="77777777" w:rsidR="0033283B" w:rsidRPr="00A916EF" w:rsidRDefault="00716464" w:rsidP="0033283B">
      <w:pPr>
        <w:spacing w:after="0" w:line="240" w:lineRule="auto"/>
        <w:ind w:left="567" w:right="567"/>
        <w:contextualSpacing/>
        <w:jc w:val="both"/>
        <w:rPr>
          <w:rFonts w:ascii="Palatino Linotype" w:eastAsia="Times New Roman" w:hAnsi="Palatino Linotype" w:cs="Palatino Linotype"/>
          <w:b/>
          <w:i/>
          <w:sz w:val="24"/>
          <w:szCs w:val="24"/>
          <w:lang w:val="es-ES_tradnl" w:eastAsia="es-MX"/>
        </w:rPr>
      </w:pPr>
      <w:r>
        <w:rPr>
          <w:rFonts w:ascii="Palatino Linotype" w:hAnsi="Palatino Linotype"/>
          <w:i/>
          <w:color w:val="000000"/>
          <w:sz w:val="24"/>
          <w:szCs w:val="24"/>
        </w:rPr>
        <w:t>“</w:t>
      </w:r>
      <w:r w:rsidR="0033283B" w:rsidRPr="00A916EF">
        <w:rPr>
          <w:rFonts w:ascii="Palatino Linotype" w:hAnsi="Palatino Linotype"/>
          <w:i/>
          <w:color w:val="000000"/>
          <w:sz w:val="24"/>
          <w:szCs w:val="24"/>
        </w:rPr>
        <w:t>respuesta”</w:t>
      </w:r>
      <w:r w:rsidR="0033283B">
        <w:rPr>
          <w:rFonts w:ascii="Palatino Linotype" w:hAnsi="Palatino Linotype"/>
          <w:i/>
          <w:color w:val="000000"/>
          <w:sz w:val="24"/>
          <w:szCs w:val="24"/>
        </w:rPr>
        <w:t xml:space="preserve"> </w:t>
      </w:r>
      <w:r w:rsidR="0033283B">
        <w:rPr>
          <w:rFonts w:ascii="Palatino Linotype" w:eastAsia="Times New Roman" w:hAnsi="Palatino Linotype" w:cs="Palatino Linotype"/>
          <w:i/>
          <w:color w:val="000000"/>
          <w:sz w:val="24"/>
          <w:szCs w:val="24"/>
          <w:lang w:val="es-ES_tradnl" w:eastAsia="es-MX"/>
        </w:rPr>
        <w:t>(</w:t>
      </w:r>
      <w:r w:rsidR="0033283B" w:rsidRPr="00C069FB">
        <w:rPr>
          <w:rFonts w:ascii="Palatino Linotype" w:eastAsia="Times New Roman" w:hAnsi="Palatino Linotype" w:cs="Palatino Linotype"/>
          <w:i/>
          <w:color w:val="000000"/>
          <w:sz w:val="24"/>
          <w:szCs w:val="24"/>
          <w:lang w:val="es-ES_tradnl" w:eastAsia="es-MX"/>
        </w:rPr>
        <w:t>Sic</w:t>
      </w:r>
      <w:r w:rsidR="0033283B" w:rsidRPr="00F444C4">
        <w:rPr>
          <w:rFonts w:ascii="Palatino Linotype" w:eastAsia="Times New Roman" w:hAnsi="Palatino Linotype" w:cs="Palatino Linotype"/>
          <w:i/>
          <w:color w:val="000000"/>
          <w:lang w:val="es-ES_tradnl" w:eastAsia="es-MX"/>
        </w:rPr>
        <w:t>)</w:t>
      </w:r>
    </w:p>
    <w:p w14:paraId="3AF2E879" w14:textId="77777777" w:rsidR="0033283B" w:rsidRDefault="0033283B" w:rsidP="0033283B">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13CD3304" w14:textId="77777777" w:rsidR="0033283B" w:rsidRDefault="0033283B" w:rsidP="0033283B">
      <w:pPr>
        <w:spacing w:after="0" w:line="240" w:lineRule="auto"/>
        <w:ind w:left="567" w:right="567"/>
        <w:contextualSpacing/>
        <w:jc w:val="both"/>
        <w:rPr>
          <w:rFonts w:ascii="Palatino Linotype" w:eastAsia="Times New Roman" w:hAnsi="Palatino Linotype" w:cs="Palatino Linotype"/>
          <w:b/>
          <w:sz w:val="24"/>
          <w:lang w:val="es-ES_tradnl" w:eastAsia="es-MX"/>
        </w:rPr>
      </w:pPr>
      <w:r w:rsidRPr="00F444C4">
        <w:rPr>
          <w:rFonts w:ascii="Palatino Linotype" w:eastAsia="Times New Roman" w:hAnsi="Palatino Linotype" w:cs="Palatino Linotype"/>
          <w:b/>
          <w:sz w:val="24"/>
          <w:lang w:val="es-ES_tradnl" w:eastAsia="es-MX"/>
        </w:rPr>
        <w:t>Razones o Motivos de Inconformidad</w:t>
      </w:r>
    </w:p>
    <w:p w14:paraId="422AD7C0" w14:textId="77777777" w:rsidR="0033283B" w:rsidRPr="00F444C4" w:rsidRDefault="0033283B" w:rsidP="0033283B">
      <w:pPr>
        <w:spacing w:after="0" w:line="240" w:lineRule="auto"/>
        <w:ind w:left="567" w:right="567"/>
        <w:contextualSpacing/>
        <w:jc w:val="both"/>
        <w:rPr>
          <w:rFonts w:ascii="Palatino Linotype" w:eastAsia="Times New Roman" w:hAnsi="Palatino Linotype" w:cs="Palatino Linotype"/>
          <w:b/>
          <w:sz w:val="24"/>
          <w:lang w:val="es-ES_tradnl" w:eastAsia="es-MX"/>
        </w:rPr>
      </w:pPr>
    </w:p>
    <w:p w14:paraId="00A3BC8B" w14:textId="77777777" w:rsidR="0033283B" w:rsidRPr="00716464" w:rsidRDefault="0033283B" w:rsidP="00716464">
      <w:pPr>
        <w:spacing w:after="0" w:line="240" w:lineRule="auto"/>
        <w:ind w:left="567" w:right="567"/>
        <w:contextualSpacing/>
        <w:jc w:val="both"/>
        <w:rPr>
          <w:rFonts w:ascii="Verdana" w:hAnsi="Verdana"/>
          <w:color w:val="000000"/>
          <w:sz w:val="14"/>
          <w:szCs w:val="14"/>
        </w:rPr>
      </w:pPr>
      <w:r w:rsidRPr="00716464">
        <w:rPr>
          <w:rFonts w:ascii="Palatino Linotype" w:eastAsia="Times New Roman" w:hAnsi="Palatino Linotype" w:cs="Palatino Linotype"/>
          <w:i/>
          <w:color w:val="000000"/>
          <w:sz w:val="24"/>
          <w:szCs w:val="24"/>
          <w:lang w:val="es-ES_tradnl" w:eastAsia="es-MX"/>
        </w:rPr>
        <w:t>“</w:t>
      </w:r>
      <w:r w:rsidR="00716464" w:rsidRPr="00716464">
        <w:rPr>
          <w:rFonts w:ascii="Palatino Linotype" w:hAnsi="Palatino Linotype"/>
          <w:i/>
          <w:color w:val="000000"/>
          <w:sz w:val="24"/>
          <w:szCs w:val="24"/>
        </w:rPr>
        <w:t xml:space="preserve">testan </w:t>
      </w:r>
      <w:proofErr w:type="spellStart"/>
      <w:r w:rsidR="00716464" w:rsidRPr="00716464">
        <w:rPr>
          <w:rFonts w:ascii="Palatino Linotype" w:hAnsi="Palatino Linotype"/>
          <w:i/>
          <w:color w:val="000000"/>
          <w:sz w:val="24"/>
          <w:szCs w:val="24"/>
        </w:rPr>
        <w:t>informacion</w:t>
      </w:r>
      <w:proofErr w:type="spellEnd"/>
      <w:r w:rsidR="00716464" w:rsidRPr="00716464">
        <w:rPr>
          <w:rFonts w:ascii="Palatino Linotype" w:hAnsi="Palatino Linotype"/>
          <w:i/>
          <w:color w:val="000000"/>
          <w:sz w:val="24"/>
          <w:szCs w:val="24"/>
        </w:rPr>
        <w:t xml:space="preserve"> publica como la cuenta del organismo, testan descripciones en el estado de cuenta del organismo, toda vez que son recursos </w:t>
      </w:r>
      <w:proofErr w:type="spellStart"/>
      <w:r w:rsidR="00716464" w:rsidRPr="00716464">
        <w:rPr>
          <w:rFonts w:ascii="Palatino Linotype" w:hAnsi="Palatino Linotype"/>
          <w:i/>
          <w:color w:val="000000"/>
          <w:sz w:val="24"/>
          <w:szCs w:val="24"/>
        </w:rPr>
        <w:t>publicos</w:t>
      </w:r>
      <w:proofErr w:type="spellEnd"/>
      <w:r w:rsidR="00716464" w:rsidRPr="00716464">
        <w:rPr>
          <w:rFonts w:ascii="Palatino Linotype" w:hAnsi="Palatino Linotype"/>
          <w:i/>
          <w:color w:val="000000"/>
          <w:sz w:val="24"/>
          <w:szCs w:val="24"/>
        </w:rPr>
        <w:t xml:space="preserve"> por lo que no favorece a </w:t>
      </w:r>
      <w:proofErr w:type="spellStart"/>
      <w:r w:rsidR="00716464" w:rsidRPr="00716464">
        <w:rPr>
          <w:rFonts w:ascii="Palatino Linotype" w:hAnsi="Palatino Linotype"/>
          <w:i/>
          <w:color w:val="000000"/>
          <w:sz w:val="24"/>
          <w:szCs w:val="24"/>
        </w:rPr>
        <w:t>rendicion</w:t>
      </w:r>
      <w:proofErr w:type="spellEnd"/>
      <w:r w:rsidR="00716464" w:rsidRPr="00716464">
        <w:rPr>
          <w:rFonts w:ascii="Palatino Linotype" w:hAnsi="Palatino Linotype"/>
          <w:i/>
          <w:color w:val="000000"/>
          <w:sz w:val="24"/>
          <w:szCs w:val="24"/>
        </w:rPr>
        <w:t xml:space="preserve"> de cuentas ni </w:t>
      </w:r>
      <w:proofErr w:type="spellStart"/>
      <w:r w:rsidR="00716464" w:rsidRPr="00716464">
        <w:rPr>
          <w:rFonts w:ascii="Palatino Linotype" w:hAnsi="Palatino Linotype"/>
          <w:i/>
          <w:color w:val="000000"/>
          <w:sz w:val="24"/>
          <w:szCs w:val="24"/>
        </w:rPr>
        <w:t>anticorruocupcion</w:t>
      </w:r>
      <w:proofErr w:type="spellEnd"/>
      <w:r w:rsidR="00716464" w:rsidRPr="00716464">
        <w:rPr>
          <w:rFonts w:ascii="Palatino Linotype" w:hAnsi="Palatino Linotype"/>
          <w:i/>
          <w:color w:val="000000"/>
          <w:sz w:val="24"/>
          <w:szCs w:val="24"/>
        </w:rPr>
        <w:t xml:space="preserve">, por lo que solo deben testar la cuenta del </w:t>
      </w:r>
      <w:proofErr w:type="spellStart"/>
      <w:r w:rsidR="00716464" w:rsidRPr="00716464">
        <w:rPr>
          <w:rFonts w:ascii="Palatino Linotype" w:hAnsi="Palatino Linotype"/>
          <w:i/>
          <w:color w:val="000000"/>
          <w:sz w:val="24"/>
          <w:szCs w:val="24"/>
        </w:rPr>
        <w:t>servdor</w:t>
      </w:r>
      <w:proofErr w:type="spellEnd"/>
      <w:r w:rsidR="00716464" w:rsidRPr="00716464">
        <w:rPr>
          <w:rFonts w:ascii="Palatino Linotype" w:hAnsi="Palatino Linotype"/>
          <w:i/>
          <w:color w:val="000000"/>
          <w:sz w:val="24"/>
          <w:szCs w:val="24"/>
        </w:rPr>
        <w:t xml:space="preserve"> </w:t>
      </w:r>
      <w:proofErr w:type="spellStart"/>
      <w:r w:rsidR="00716464" w:rsidRPr="00716464">
        <w:rPr>
          <w:rFonts w:ascii="Palatino Linotype" w:hAnsi="Palatino Linotype"/>
          <w:i/>
          <w:color w:val="000000"/>
          <w:sz w:val="24"/>
          <w:szCs w:val="24"/>
        </w:rPr>
        <w:t>publico</w:t>
      </w:r>
      <w:proofErr w:type="spellEnd"/>
      <w:r w:rsidR="00716464" w:rsidRPr="00716464">
        <w:rPr>
          <w:rFonts w:ascii="Palatino Linotype" w:hAnsi="Palatino Linotype"/>
          <w:i/>
          <w:color w:val="000000"/>
          <w:sz w:val="24"/>
          <w:szCs w:val="24"/>
        </w:rPr>
        <w:t xml:space="preserve">, todo lo </w:t>
      </w:r>
      <w:proofErr w:type="spellStart"/>
      <w:r w:rsidR="00716464" w:rsidRPr="00716464">
        <w:rPr>
          <w:rFonts w:ascii="Palatino Linotype" w:hAnsi="Palatino Linotype"/>
          <w:i/>
          <w:color w:val="000000"/>
          <w:sz w:val="24"/>
          <w:szCs w:val="24"/>
        </w:rPr>
        <w:t>demas</w:t>
      </w:r>
      <w:proofErr w:type="spellEnd"/>
      <w:r w:rsidR="00716464" w:rsidRPr="00716464">
        <w:rPr>
          <w:rFonts w:ascii="Palatino Linotype" w:hAnsi="Palatino Linotype"/>
          <w:i/>
          <w:color w:val="000000"/>
          <w:sz w:val="24"/>
          <w:szCs w:val="24"/>
        </w:rPr>
        <w:t xml:space="preserve"> es </w:t>
      </w:r>
      <w:proofErr w:type="spellStart"/>
      <w:r w:rsidR="00716464" w:rsidRPr="00716464">
        <w:rPr>
          <w:rFonts w:ascii="Palatino Linotype" w:hAnsi="Palatino Linotype"/>
          <w:i/>
          <w:color w:val="000000"/>
          <w:sz w:val="24"/>
          <w:szCs w:val="24"/>
        </w:rPr>
        <w:t>publico</w:t>
      </w:r>
      <w:proofErr w:type="spellEnd"/>
      <w:r w:rsidR="00716464" w:rsidRPr="00716464">
        <w:rPr>
          <w:rFonts w:ascii="Palatino Linotype" w:hAnsi="Palatino Linotype"/>
          <w:i/>
          <w:color w:val="000000"/>
          <w:sz w:val="24"/>
          <w:szCs w:val="24"/>
        </w:rPr>
        <w:t xml:space="preserve">. </w:t>
      </w:r>
      <w:proofErr w:type="gramStart"/>
      <w:r w:rsidR="00716464" w:rsidRPr="00716464">
        <w:rPr>
          <w:rFonts w:ascii="Palatino Linotype" w:hAnsi="Palatino Linotype"/>
          <w:i/>
          <w:color w:val="000000"/>
          <w:sz w:val="24"/>
          <w:szCs w:val="24"/>
        </w:rPr>
        <w:t>solicito</w:t>
      </w:r>
      <w:proofErr w:type="gramEnd"/>
      <w:r w:rsidR="00716464" w:rsidRPr="00716464">
        <w:rPr>
          <w:rFonts w:ascii="Palatino Linotype" w:hAnsi="Palatino Linotype"/>
          <w:i/>
          <w:color w:val="000000"/>
          <w:sz w:val="24"/>
          <w:szCs w:val="24"/>
        </w:rPr>
        <w:t xml:space="preserve"> remitan la </w:t>
      </w:r>
      <w:proofErr w:type="spellStart"/>
      <w:r w:rsidR="00716464" w:rsidRPr="00716464">
        <w:rPr>
          <w:rFonts w:ascii="Palatino Linotype" w:hAnsi="Palatino Linotype"/>
          <w:i/>
          <w:color w:val="000000"/>
          <w:sz w:val="24"/>
          <w:szCs w:val="24"/>
        </w:rPr>
        <w:t>informacion</w:t>
      </w:r>
      <w:proofErr w:type="spellEnd"/>
      <w:r w:rsidR="00716464" w:rsidRPr="00716464">
        <w:rPr>
          <w:rFonts w:ascii="Palatino Linotype" w:hAnsi="Palatino Linotype"/>
          <w:i/>
          <w:color w:val="000000"/>
          <w:sz w:val="24"/>
          <w:szCs w:val="24"/>
        </w:rPr>
        <w:t xml:space="preserve"> solicitada sin que hagan versiones publicas ocultado </w:t>
      </w:r>
      <w:proofErr w:type="spellStart"/>
      <w:r w:rsidR="00716464" w:rsidRPr="00716464">
        <w:rPr>
          <w:rFonts w:ascii="Palatino Linotype" w:hAnsi="Palatino Linotype"/>
          <w:i/>
          <w:color w:val="000000"/>
          <w:sz w:val="24"/>
          <w:szCs w:val="24"/>
        </w:rPr>
        <w:t>informacion</w:t>
      </w:r>
      <w:proofErr w:type="spellEnd"/>
      <w:r w:rsidR="00716464" w:rsidRPr="00716464">
        <w:rPr>
          <w:rFonts w:ascii="Palatino Linotype" w:hAnsi="Palatino Linotype"/>
          <w:i/>
          <w:color w:val="000000"/>
          <w:sz w:val="24"/>
          <w:szCs w:val="24"/>
        </w:rPr>
        <w:t xml:space="preserve"> de manera dolosa</w:t>
      </w:r>
      <w:r w:rsidRPr="00C069FB">
        <w:rPr>
          <w:rFonts w:ascii="Palatino Linotype" w:eastAsia="Times New Roman" w:hAnsi="Palatino Linotype" w:cs="Palatino Linotype"/>
          <w:i/>
          <w:color w:val="000000"/>
          <w:sz w:val="24"/>
          <w:szCs w:val="24"/>
          <w:lang w:val="es-ES_tradnl" w:eastAsia="es-MX"/>
        </w:rPr>
        <w:t xml:space="preserve">” </w:t>
      </w:r>
      <w:r>
        <w:rPr>
          <w:rFonts w:ascii="Palatino Linotype" w:eastAsia="Times New Roman" w:hAnsi="Palatino Linotype" w:cs="Palatino Linotype"/>
          <w:i/>
          <w:color w:val="000000"/>
          <w:sz w:val="24"/>
          <w:szCs w:val="24"/>
          <w:lang w:val="es-ES_tradnl" w:eastAsia="es-MX"/>
        </w:rPr>
        <w:t>(</w:t>
      </w:r>
      <w:r w:rsidRPr="00C069FB">
        <w:rPr>
          <w:rFonts w:ascii="Palatino Linotype" w:eastAsia="Times New Roman" w:hAnsi="Palatino Linotype" w:cs="Palatino Linotype"/>
          <w:i/>
          <w:color w:val="000000"/>
          <w:sz w:val="24"/>
          <w:szCs w:val="24"/>
          <w:lang w:val="es-ES_tradnl" w:eastAsia="es-MX"/>
        </w:rPr>
        <w:t>Sic</w:t>
      </w:r>
      <w:r w:rsidRPr="00F444C4">
        <w:rPr>
          <w:rFonts w:ascii="Palatino Linotype" w:eastAsia="Times New Roman" w:hAnsi="Palatino Linotype" w:cs="Palatino Linotype"/>
          <w:i/>
          <w:color w:val="000000"/>
          <w:lang w:val="es-ES_tradnl" w:eastAsia="es-MX"/>
        </w:rPr>
        <w:t>)</w:t>
      </w:r>
      <w:r w:rsidRPr="00C069FB">
        <w:rPr>
          <w:rFonts w:ascii="Palatino Linotype" w:eastAsia="Times New Roman" w:hAnsi="Palatino Linotype" w:cs="Palatino Linotype"/>
          <w:b/>
          <w:sz w:val="24"/>
          <w:lang w:val="es-ES_tradnl" w:eastAsia="es-MX"/>
        </w:rPr>
        <w:t xml:space="preserve"> </w:t>
      </w:r>
    </w:p>
    <w:p w14:paraId="2484C12B" w14:textId="77777777" w:rsidR="0033283B" w:rsidRDefault="0033283B" w:rsidP="0033283B">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13F34998" w14:textId="77777777" w:rsidR="0033283B" w:rsidRPr="008033E1" w:rsidRDefault="0033283B" w:rsidP="0033283B">
      <w:pPr>
        <w:spacing w:after="0" w:line="240" w:lineRule="auto"/>
        <w:ind w:left="567" w:right="567"/>
        <w:contextualSpacing/>
        <w:jc w:val="both"/>
        <w:rPr>
          <w:rFonts w:ascii="Palatino Linotype" w:eastAsia="Times New Roman" w:hAnsi="Palatino Linotype" w:cs="Palatino Linotype"/>
          <w:b/>
          <w:i/>
          <w:color w:val="000000"/>
          <w:lang w:val="es-ES_tradnl" w:eastAsia="es-MX"/>
        </w:rPr>
      </w:pPr>
    </w:p>
    <w:p w14:paraId="775B0952"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CUARTO. Del turno y admisión del recurso de revisión.</w:t>
      </w:r>
    </w:p>
    <w:p w14:paraId="7A8180B7"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Medio de impugnación que le fue turnado al </w:t>
      </w:r>
      <w:r w:rsidRPr="00F444C4">
        <w:rPr>
          <w:rFonts w:ascii="Palatino Linotype" w:eastAsia="Times New Roman" w:hAnsi="Palatino Linotype" w:cs="Palatino Linotype"/>
          <w:b/>
          <w:color w:val="000000"/>
          <w:sz w:val="24"/>
          <w:szCs w:val="24"/>
          <w:lang w:val="es-ES_tradnl" w:eastAsia="es-MX"/>
        </w:rPr>
        <w:t>Comisionado Presidente José Martínez Vilchis</w:t>
      </w:r>
      <w:r w:rsidRPr="00F444C4">
        <w:rPr>
          <w:rFonts w:ascii="Palatino Linotype" w:eastAsia="Times New Roman" w:hAnsi="Palatino Linotype" w:cs="Palatino Linotype"/>
          <w:color w:val="000000"/>
          <w:sz w:val="24"/>
          <w:szCs w:val="24"/>
          <w:lang w:val="es-ES_tradnl" w:eastAsia="es-MX"/>
        </w:rPr>
        <w:t>, por medio del sistema electrónico en términos del numeral 185 fracción I de la Ley de Transparencia y Acceso a la información Pública del Estado de México y Municipios, al cual recayó acuerdo de admisión de fecha</w:t>
      </w:r>
      <w:r>
        <w:rPr>
          <w:rFonts w:ascii="Palatino Linotype" w:eastAsia="Times New Roman" w:hAnsi="Palatino Linotype" w:cs="Palatino Linotype"/>
          <w:b/>
          <w:color w:val="000000"/>
          <w:sz w:val="24"/>
          <w:szCs w:val="24"/>
          <w:lang w:val="es-ES_tradnl" w:eastAsia="es-MX"/>
        </w:rPr>
        <w:t xml:space="preserve"> </w:t>
      </w:r>
      <w:r w:rsidR="00716464">
        <w:rPr>
          <w:rFonts w:ascii="Palatino Linotype" w:eastAsia="Times New Roman" w:hAnsi="Palatino Linotype" w:cs="Palatino Linotype"/>
          <w:b/>
          <w:color w:val="000000"/>
          <w:sz w:val="24"/>
          <w:szCs w:val="24"/>
          <w:lang w:val="es-ES_tradnl" w:eastAsia="es-MX"/>
        </w:rPr>
        <w:t xml:space="preserve">treinta de enero </w:t>
      </w:r>
      <w:r>
        <w:rPr>
          <w:rFonts w:ascii="Palatino Linotype" w:eastAsia="Times New Roman" w:hAnsi="Palatino Linotype" w:cs="Palatino Linotype"/>
          <w:b/>
          <w:color w:val="000000"/>
          <w:sz w:val="24"/>
          <w:szCs w:val="24"/>
          <w:lang w:val="es-ES_tradnl" w:eastAsia="es-MX"/>
        </w:rPr>
        <w:t>de dos mil veinticuatro</w:t>
      </w:r>
      <w:r w:rsidRPr="00F444C4">
        <w:rPr>
          <w:rFonts w:ascii="Palatino Linotype" w:eastAsia="Times New Roman" w:hAnsi="Palatino Linotype" w:cs="Palatino Linotype"/>
          <w:color w:val="000000"/>
          <w:sz w:val="24"/>
          <w:szCs w:val="24"/>
          <w:lang w:val="es-ES_tradnl" w:eastAsia="es-MX"/>
        </w:rPr>
        <w:t xml:space="preserve">, </w:t>
      </w:r>
      <w:r w:rsidRPr="00F444C4">
        <w:rPr>
          <w:rFonts w:ascii="Palatino Linotype" w:eastAsia="Times New Roman" w:hAnsi="Palatino Linotype" w:cs="Palatino Linotype"/>
          <w:sz w:val="24"/>
          <w:szCs w:val="24"/>
          <w:lang w:val="es-ES_tradnl" w:eastAsia="es-MX"/>
        </w:rPr>
        <w:t>otorgándose</w:t>
      </w:r>
      <w:r w:rsidRPr="00F444C4">
        <w:rPr>
          <w:rFonts w:ascii="Palatino Linotype" w:eastAsia="Times New Roman" w:hAnsi="Palatino Linotype" w:cs="Palatino Linotype"/>
          <w:color w:val="000000"/>
          <w:sz w:val="24"/>
          <w:szCs w:val="24"/>
          <w:lang w:val="es-ES_tradnl" w:eastAsia="es-MX"/>
        </w:rPr>
        <w:t xml:space="preserve"> en él un plazo de siete días para que las partes manifestaran lo que a su derecho corresponda en términos del numeral ya citado.</w:t>
      </w:r>
    </w:p>
    <w:p w14:paraId="5533E0B1"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23FDC03"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QUINTO. De la etapa de instrucción.</w:t>
      </w:r>
    </w:p>
    <w:p w14:paraId="26E846A5" w14:textId="77777777" w:rsidR="0071646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Una vez abierta la etapa de instrucción, el Sujeto Obligado </w:t>
      </w:r>
      <w:r>
        <w:rPr>
          <w:rFonts w:ascii="Palatino Linotype" w:eastAsia="Times New Roman" w:hAnsi="Palatino Linotype" w:cs="Palatino Linotype"/>
          <w:color w:val="000000"/>
          <w:sz w:val="24"/>
          <w:szCs w:val="24"/>
          <w:lang w:val="es-ES_tradnl" w:eastAsia="es-MX"/>
        </w:rPr>
        <w:t>rindió</w:t>
      </w:r>
      <w:r w:rsidRPr="00F444C4">
        <w:rPr>
          <w:rFonts w:ascii="Palatino Linotype" w:eastAsia="Times New Roman" w:hAnsi="Palatino Linotype" w:cs="Palatino Linotype"/>
          <w:color w:val="000000"/>
          <w:sz w:val="24"/>
          <w:szCs w:val="24"/>
          <w:lang w:val="es-ES_tradnl" w:eastAsia="es-MX"/>
        </w:rPr>
        <w:t xml:space="preserve"> su Informe Justificado</w:t>
      </w:r>
      <w:r>
        <w:rPr>
          <w:rFonts w:ascii="Palatino Linotype" w:eastAsia="Times New Roman" w:hAnsi="Palatino Linotype" w:cs="Palatino Linotype"/>
          <w:color w:val="000000"/>
          <w:sz w:val="24"/>
          <w:szCs w:val="24"/>
          <w:lang w:val="es-ES_tradnl" w:eastAsia="es-MX"/>
        </w:rPr>
        <w:t xml:space="preserve"> por medio del documento electrónico denominado “</w:t>
      </w:r>
      <w:r w:rsidR="00716464" w:rsidRPr="00716464">
        <w:rPr>
          <w:rFonts w:ascii="Palatino Linotype" w:hAnsi="Palatino Linotype" w:cs="Arial"/>
          <w:b/>
          <w:bCs/>
          <w:sz w:val="24"/>
          <w:szCs w:val="24"/>
        </w:rPr>
        <w:t>RESP RR 183.pdf</w:t>
      </w:r>
      <w:r>
        <w:rPr>
          <w:rFonts w:ascii="Palatino Linotype" w:hAnsi="Palatino Linotype"/>
          <w:sz w:val="24"/>
          <w:szCs w:val="24"/>
        </w:rPr>
        <w:t>”</w:t>
      </w:r>
      <w:r>
        <w:rPr>
          <w:rFonts w:ascii="Palatino Linotype" w:eastAsia="Times New Roman" w:hAnsi="Palatino Linotype" w:cs="Palatino Linotype"/>
          <w:color w:val="000000"/>
          <w:sz w:val="24"/>
          <w:szCs w:val="24"/>
          <w:lang w:val="es-ES_tradnl" w:eastAsia="es-MX"/>
        </w:rPr>
        <w:t>, mismo que fue puesto a la vista del recurrente</w:t>
      </w:r>
      <w:r w:rsidR="00716464">
        <w:rPr>
          <w:rFonts w:ascii="Palatino Linotype" w:eastAsia="Times New Roman" w:hAnsi="Palatino Linotype" w:cs="Palatino Linotype"/>
          <w:color w:val="000000"/>
          <w:sz w:val="24"/>
          <w:szCs w:val="24"/>
          <w:lang w:val="es-ES_tradnl" w:eastAsia="es-MX"/>
        </w:rPr>
        <w:t xml:space="preserve">. Por su parte, el Recurrente </w:t>
      </w:r>
      <w:r w:rsidRPr="00F444C4">
        <w:rPr>
          <w:rFonts w:ascii="Palatino Linotype" w:eastAsia="Times New Roman" w:hAnsi="Palatino Linotype" w:cs="Palatino Linotype"/>
          <w:color w:val="000000"/>
          <w:sz w:val="24"/>
          <w:szCs w:val="24"/>
          <w:lang w:val="es-ES_tradnl" w:eastAsia="es-MX"/>
        </w:rPr>
        <w:t xml:space="preserve"> realizó manifestaciones</w:t>
      </w:r>
      <w:r w:rsidR="00716464">
        <w:rPr>
          <w:rFonts w:ascii="Palatino Linotype" w:eastAsia="Times New Roman" w:hAnsi="Palatino Linotype" w:cs="Palatino Linotype"/>
          <w:color w:val="000000"/>
          <w:sz w:val="24"/>
          <w:szCs w:val="24"/>
          <w:lang w:val="es-ES_tradnl" w:eastAsia="es-MX"/>
        </w:rPr>
        <w:t xml:space="preserve"> por medio del archivo electrónico denominado</w:t>
      </w:r>
      <w:r w:rsidR="00716464" w:rsidRPr="00716464">
        <w:rPr>
          <w:rFonts w:ascii="Palatino Linotype" w:eastAsia="Times New Roman" w:hAnsi="Palatino Linotype" w:cs="Palatino Linotype"/>
          <w:sz w:val="24"/>
          <w:szCs w:val="24"/>
          <w:lang w:val="es-ES_tradnl" w:eastAsia="es-MX"/>
        </w:rPr>
        <w:t xml:space="preserve"> </w:t>
      </w:r>
      <w:r w:rsidR="00716464" w:rsidRPr="00716464">
        <w:rPr>
          <w:rFonts w:ascii="Palatino Linotype" w:hAnsi="Palatino Linotype" w:cs="Arial"/>
          <w:b/>
          <w:bCs/>
          <w:sz w:val="24"/>
          <w:szCs w:val="24"/>
        </w:rPr>
        <w:t>RESP SAIMEX 183.pdf</w:t>
      </w:r>
      <w:r w:rsidR="00716464">
        <w:rPr>
          <w:rFonts w:ascii="Palatino Linotype" w:eastAsia="Times New Roman" w:hAnsi="Palatino Linotype" w:cs="Palatino Linotype"/>
          <w:color w:val="000000"/>
          <w:sz w:val="24"/>
          <w:szCs w:val="24"/>
          <w:lang w:val="es-ES_tradnl" w:eastAsia="es-MX"/>
        </w:rPr>
        <w:t xml:space="preserve">, mismos que serán analizado en el considerando respectivo. </w:t>
      </w:r>
    </w:p>
    <w:p w14:paraId="37EADC78" w14:textId="77777777" w:rsidR="00716464" w:rsidRPr="00F444C4" w:rsidRDefault="00716464"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818A7BB"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SEXTO. Del cierre de instrucción.</w:t>
      </w:r>
    </w:p>
    <w:p w14:paraId="74E79D5A" w14:textId="77777777" w:rsidR="0033283B"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una vez transcurrido el término legal, se decretó e</w:t>
      </w:r>
      <w:r>
        <w:rPr>
          <w:rFonts w:ascii="Palatino Linotype" w:eastAsia="Times New Roman" w:hAnsi="Palatino Linotype" w:cs="Palatino Linotype"/>
          <w:color w:val="000000"/>
          <w:sz w:val="24"/>
          <w:szCs w:val="24"/>
          <w:lang w:val="es-ES_tradnl" w:eastAsia="es-MX"/>
        </w:rPr>
        <w:t>l cierre de instrucción en fecha</w:t>
      </w:r>
      <w:r>
        <w:rPr>
          <w:rFonts w:ascii="Palatino Linotype" w:eastAsia="Times New Roman" w:hAnsi="Palatino Linotype" w:cs="Palatino Linotype"/>
          <w:b/>
          <w:color w:val="000000"/>
          <w:sz w:val="24"/>
          <w:szCs w:val="24"/>
          <w:lang w:val="es-ES_tradnl" w:eastAsia="es-MX"/>
        </w:rPr>
        <w:t xml:space="preserve"> v</w:t>
      </w:r>
      <w:r w:rsidR="00716464">
        <w:rPr>
          <w:rFonts w:ascii="Palatino Linotype" w:eastAsia="Times New Roman" w:hAnsi="Palatino Linotype" w:cs="Palatino Linotype"/>
          <w:b/>
          <w:color w:val="000000"/>
          <w:sz w:val="24"/>
          <w:szCs w:val="24"/>
          <w:lang w:val="es-ES_tradnl" w:eastAsia="es-MX"/>
        </w:rPr>
        <w:t>eintisiete</w:t>
      </w:r>
      <w:r>
        <w:rPr>
          <w:rFonts w:ascii="Palatino Linotype" w:eastAsia="Times New Roman" w:hAnsi="Palatino Linotype" w:cs="Palatino Linotype"/>
          <w:b/>
          <w:color w:val="000000"/>
          <w:sz w:val="24"/>
          <w:szCs w:val="24"/>
          <w:lang w:val="es-ES_tradnl" w:eastAsia="es-MX"/>
        </w:rPr>
        <w:t xml:space="preserve"> de febrero de dos mil veinticuatro</w:t>
      </w:r>
      <w:r w:rsidRPr="00F444C4">
        <w:rPr>
          <w:rFonts w:ascii="Palatino Linotype" w:eastAsia="Times New Roman" w:hAnsi="Palatino Linotype" w:cs="Palatino Linotype"/>
          <w:color w:val="000000"/>
          <w:sz w:val="24"/>
          <w:szCs w:val="24"/>
          <w:lang w:val="es-ES_tradnl" w:eastAsia="es-MX"/>
        </w:rPr>
        <w:t>, en términos del artículo 185 fracción VI de la Ley de Transparencia y Acceso a la Información Pública del Estado de México y Municipios, iniciando el término legal para dictar resolución definitiva del asunto.</w:t>
      </w:r>
    </w:p>
    <w:p w14:paraId="748C7F87" w14:textId="77777777" w:rsidR="00716464" w:rsidRDefault="00716464"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D05455E" w14:textId="77777777" w:rsidR="00716464" w:rsidRPr="00C8247B" w:rsidRDefault="00716464" w:rsidP="00716464">
      <w:pPr>
        <w:spacing w:line="360" w:lineRule="auto"/>
        <w:jc w:val="both"/>
        <w:rPr>
          <w:rFonts w:ascii="Palatino Linotype" w:hAnsi="Palatino Linotype" w:cs="Arial"/>
          <w:b/>
          <w:sz w:val="28"/>
          <w:szCs w:val="28"/>
          <w:lang w:val="es-419"/>
        </w:rPr>
      </w:pPr>
      <w:r>
        <w:rPr>
          <w:rFonts w:ascii="Palatino Linotype" w:hAnsi="Palatino Linotype" w:cs="Arial"/>
          <w:b/>
          <w:sz w:val="28"/>
          <w:szCs w:val="28"/>
        </w:rPr>
        <w:t>SÉPTIMO</w:t>
      </w:r>
      <w:r w:rsidRPr="00C8247B">
        <w:rPr>
          <w:rFonts w:ascii="Palatino Linotype" w:hAnsi="Palatino Linotype" w:cs="Arial"/>
          <w:b/>
          <w:sz w:val="28"/>
          <w:szCs w:val="28"/>
        </w:rPr>
        <w:t>. Ampliación del término para resolver</w:t>
      </w:r>
      <w:r>
        <w:rPr>
          <w:rFonts w:ascii="Palatino Linotype" w:hAnsi="Palatino Linotype" w:cs="Arial"/>
          <w:b/>
          <w:sz w:val="28"/>
          <w:szCs w:val="28"/>
          <w:lang w:val="es-419"/>
        </w:rPr>
        <w:t>.</w:t>
      </w:r>
    </w:p>
    <w:p w14:paraId="5E431391" w14:textId="77777777" w:rsidR="00716464" w:rsidRPr="00716464" w:rsidRDefault="00716464" w:rsidP="00716464">
      <w:pPr>
        <w:spacing w:line="360" w:lineRule="auto"/>
        <w:jc w:val="both"/>
        <w:rPr>
          <w:rFonts w:ascii="Palatino Linotype" w:hAnsi="Palatino Linotype" w:cs="Arial"/>
          <w:sz w:val="24"/>
          <w:szCs w:val="24"/>
        </w:rPr>
      </w:pPr>
      <w:r w:rsidRPr="00716464">
        <w:rPr>
          <w:rFonts w:ascii="Palatino Linotype" w:hAnsi="Palatino Linotype" w:cs="Arial"/>
          <w:sz w:val="24"/>
          <w:szCs w:val="24"/>
        </w:rPr>
        <w:t>Posteriormente, en fecha</w:t>
      </w:r>
      <w:r>
        <w:rPr>
          <w:rFonts w:ascii="Palatino Linotype" w:hAnsi="Palatino Linotype" w:cs="Arial"/>
          <w:b/>
          <w:sz w:val="24"/>
          <w:szCs w:val="24"/>
        </w:rPr>
        <w:t xml:space="preserve"> doce de marzo de dos mil veinticuatro</w:t>
      </w:r>
      <w:r w:rsidRPr="00716464">
        <w:rPr>
          <w:rFonts w:ascii="Palatino Linotype" w:hAnsi="Palatino Linotype" w:cs="Arial"/>
          <w:sz w:val="24"/>
          <w:szCs w:val="24"/>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4E529B82"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 xml:space="preserve">Este organismo garante no pasa por alto justificar, que la dilación en la resolución del presente asunto encuentra justificación en el alto número de recursos de revisión </w:t>
      </w:r>
      <w:r w:rsidRPr="00716464">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224B167"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4B69AD3"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C5E8BC2"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2247C06"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lastRenderedPageBreak/>
        <w:t xml:space="preserve">Por ello, excepcionalmente, si un asunto es resuelto con posterioridad a los plazos señalados por la norma debe analizarse la razonabilidad de dicha dilación atendiendo a los siguientes criterios:   </w:t>
      </w:r>
    </w:p>
    <w:p w14:paraId="2CB6D742" w14:textId="77777777" w:rsidR="00716464" w:rsidRPr="00716464" w:rsidRDefault="00716464" w:rsidP="00716464">
      <w:pPr>
        <w:spacing w:line="360" w:lineRule="auto"/>
        <w:jc w:val="both"/>
        <w:rPr>
          <w:rFonts w:ascii="Palatino Linotype" w:hAnsi="Palatino Linotype"/>
          <w:sz w:val="24"/>
          <w:szCs w:val="24"/>
        </w:rPr>
      </w:pPr>
    </w:p>
    <w:p w14:paraId="7D6CDA16" w14:textId="77777777" w:rsidR="00716464" w:rsidRPr="00716464" w:rsidRDefault="00716464" w:rsidP="00716464">
      <w:pPr>
        <w:pStyle w:val="Prrafodelista"/>
        <w:numPr>
          <w:ilvl w:val="0"/>
          <w:numId w:val="21"/>
        </w:numPr>
        <w:contextualSpacing/>
      </w:pPr>
      <w:r w:rsidRPr="00716464">
        <w:rPr>
          <w:b/>
        </w:rPr>
        <w:t>Complejidad del Asunto:</w:t>
      </w:r>
      <w:r w:rsidRPr="00716464">
        <w:t xml:space="preserve"> La complejidad de la prueba, la pluralidad de sujetos procesales, el tiempo transcurrido, las características y contexto del recurso.</w:t>
      </w:r>
    </w:p>
    <w:p w14:paraId="53F77966" w14:textId="77777777" w:rsidR="00716464" w:rsidRPr="00716464" w:rsidRDefault="00716464" w:rsidP="00716464">
      <w:pPr>
        <w:pStyle w:val="Prrafodelista"/>
        <w:numPr>
          <w:ilvl w:val="0"/>
          <w:numId w:val="21"/>
        </w:numPr>
        <w:contextualSpacing/>
      </w:pPr>
      <w:r w:rsidRPr="00716464">
        <w:rPr>
          <w:b/>
        </w:rPr>
        <w:t>Actividad Procesal del interesado.</w:t>
      </w:r>
      <w:r w:rsidRPr="00716464">
        <w:t xml:space="preserve"> Acciones u omisiones del interesado.</w:t>
      </w:r>
    </w:p>
    <w:p w14:paraId="57F91E30" w14:textId="77777777" w:rsidR="00716464" w:rsidRPr="00716464" w:rsidRDefault="00716464" w:rsidP="00716464">
      <w:pPr>
        <w:pStyle w:val="Prrafodelista"/>
        <w:numPr>
          <w:ilvl w:val="0"/>
          <w:numId w:val="21"/>
        </w:numPr>
        <w:contextualSpacing/>
      </w:pPr>
      <w:r w:rsidRPr="00716464">
        <w:rPr>
          <w:b/>
        </w:rPr>
        <w:t>Conducta de la Autoridad:</w:t>
      </w:r>
      <w:r w:rsidRPr="00716464">
        <w:t xml:space="preserve"> Las Acciones u omisiones realizadas en el procedimiento. Así como si la autoridad actuó con la debida diligencia.</w:t>
      </w:r>
    </w:p>
    <w:p w14:paraId="0B07F301" w14:textId="77777777" w:rsidR="00716464" w:rsidRPr="00716464" w:rsidRDefault="00716464" w:rsidP="00716464">
      <w:pPr>
        <w:pStyle w:val="Prrafodelista"/>
        <w:numPr>
          <w:ilvl w:val="0"/>
          <w:numId w:val="21"/>
        </w:numPr>
        <w:contextualSpacing/>
      </w:pPr>
      <w:r w:rsidRPr="00716464">
        <w:rPr>
          <w:b/>
        </w:rPr>
        <w:t>La afectación generada en la situación jurídica de la persona involucrada en el proceso:</w:t>
      </w:r>
      <w:r w:rsidRPr="00716464">
        <w:t xml:space="preserve"> Violación a sus derechos humanos.</w:t>
      </w:r>
    </w:p>
    <w:p w14:paraId="4B021F7D" w14:textId="77777777" w:rsidR="00716464" w:rsidRPr="00716464" w:rsidRDefault="00716464" w:rsidP="00716464">
      <w:pPr>
        <w:spacing w:line="360" w:lineRule="auto"/>
        <w:jc w:val="both"/>
        <w:rPr>
          <w:rFonts w:ascii="Palatino Linotype" w:hAnsi="Palatino Linotype"/>
          <w:sz w:val="24"/>
          <w:szCs w:val="24"/>
        </w:rPr>
      </w:pPr>
    </w:p>
    <w:p w14:paraId="2B7EEC1B"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349EA7" w14:textId="77777777" w:rsidR="00716464" w:rsidRPr="004E7151" w:rsidRDefault="00716464" w:rsidP="00716464">
      <w:pPr>
        <w:spacing w:line="360" w:lineRule="auto"/>
        <w:jc w:val="both"/>
        <w:rPr>
          <w:rFonts w:ascii="Palatino Linotype" w:hAnsi="Palatino Linotype"/>
          <w:b/>
          <w:sz w:val="24"/>
          <w:szCs w:val="24"/>
        </w:rPr>
      </w:pPr>
      <w:r w:rsidRPr="00716464">
        <w:rPr>
          <w:rFonts w:ascii="Palatino Linotype" w:hAnsi="Palatino Linotype"/>
          <w:sz w:val="24"/>
          <w:szCs w:val="24"/>
        </w:rPr>
        <w:t>Argumento que encuentra sustento en la jurisprudencia P</w:t>
      </w:r>
      <w:proofErr w:type="gramStart"/>
      <w:r w:rsidRPr="00716464">
        <w:rPr>
          <w:rFonts w:ascii="Palatino Linotype" w:hAnsi="Palatino Linotype"/>
          <w:sz w:val="24"/>
          <w:szCs w:val="24"/>
        </w:rPr>
        <w:t>./</w:t>
      </w:r>
      <w:proofErr w:type="gramEnd"/>
      <w:r w:rsidRPr="00716464">
        <w:rPr>
          <w:rFonts w:ascii="Palatino Linotype" w:hAnsi="Palatino Linotype"/>
          <w:sz w:val="24"/>
          <w:szCs w:val="24"/>
        </w:rPr>
        <w:t xml:space="preserve">J. 32/92 emitida por el Pleno de la Suprema Corte de Justicia de la Nación de rubro </w:t>
      </w:r>
      <w:r w:rsidRPr="00716464">
        <w:rPr>
          <w:rFonts w:ascii="Palatino Linotype" w:hAnsi="Palatino Linotype"/>
          <w:i/>
          <w:sz w:val="24"/>
          <w:szCs w:val="24"/>
        </w:rPr>
        <w:t xml:space="preserve">“TÉRMINOS PROCESALES. PARA DETERMINAR SI UN FUNCIONARIO JUDICIAL ACTUÓ INDEBIDAMENTE POR NO RESPETARLOS SE DEBE ATENDER AL PRESUPUESTO QUE CONSIDERÓ EL </w:t>
      </w:r>
      <w:r w:rsidRPr="00716464">
        <w:rPr>
          <w:rFonts w:ascii="Palatino Linotype" w:hAnsi="Palatino Linotype"/>
          <w:i/>
          <w:sz w:val="24"/>
          <w:szCs w:val="24"/>
        </w:rPr>
        <w:lastRenderedPageBreak/>
        <w:t>LEGISLADOR AL FIJARLOS Y LAS CARACTERÍSTICAS DEL CASO.”</w:t>
      </w:r>
      <w:r w:rsidRPr="00716464">
        <w:rPr>
          <w:rFonts w:ascii="Palatino Linotype" w:hAnsi="Palatino Linotype"/>
          <w:sz w:val="24"/>
          <w:szCs w:val="24"/>
        </w:rPr>
        <w:t>, visible en la Gaceta del Seminario Judicial de la Federación con el registro digital 205635.</w:t>
      </w:r>
    </w:p>
    <w:p w14:paraId="60B73426"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F587A95"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30638BBC"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75F46A75" w14:textId="77777777" w:rsidR="00716464" w:rsidRPr="00716464" w:rsidRDefault="00716464" w:rsidP="00716464">
      <w:pPr>
        <w:spacing w:line="360" w:lineRule="auto"/>
        <w:jc w:val="both"/>
        <w:rPr>
          <w:rFonts w:ascii="Palatino Linotype" w:hAnsi="Palatino Linotype"/>
          <w:sz w:val="24"/>
          <w:szCs w:val="24"/>
        </w:rPr>
      </w:pPr>
      <w:r w:rsidRPr="00716464">
        <w:rPr>
          <w:rFonts w:ascii="Palatino Linotype" w:hAnsi="Palatino Linotype"/>
          <w:i/>
          <w:sz w:val="24"/>
          <w:szCs w:val="24"/>
        </w:rPr>
        <w:t>“PLAZO RAZONABLE PARA RESOLVER. DIMENSIÓN Y EFECTOS DE ESTE CONCEPTO CUANDO SE ADUCE EXCESIVA CARGA DE TRABAJO.”</w:t>
      </w:r>
      <w:r w:rsidRPr="00716464">
        <w:rPr>
          <w:rFonts w:ascii="Palatino Linotype" w:hAnsi="Palatino Linotype"/>
          <w:sz w:val="24"/>
          <w:szCs w:val="24"/>
        </w:rPr>
        <w:t xml:space="preserve"> consultable en el Seminario Judicial de la Federación y su gaceta, con el registro digital 2002351.</w:t>
      </w:r>
    </w:p>
    <w:p w14:paraId="3CA50F6D" w14:textId="77777777" w:rsidR="0033283B" w:rsidRPr="004E7151" w:rsidRDefault="00716464" w:rsidP="004E7151">
      <w:pPr>
        <w:spacing w:line="360" w:lineRule="auto"/>
        <w:jc w:val="both"/>
        <w:rPr>
          <w:rFonts w:ascii="Palatino Linotype" w:hAnsi="Palatino Linotype"/>
          <w:sz w:val="24"/>
          <w:szCs w:val="24"/>
        </w:rPr>
      </w:pPr>
      <w:r w:rsidRPr="00716464">
        <w:rPr>
          <w:rFonts w:ascii="Palatino Linotype" w:hAnsi="Palatino Linotype"/>
          <w:i/>
          <w:sz w:val="24"/>
          <w:szCs w:val="24"/>
        </w:rPr>
        <w:lastRenderedPageBreak/>
        <w:t>“PLAZO RAZONABLE PARA RESOLVER. CONCEPTO Y ELEMENTOS QUE LO INTEGRAN A LA LUZ DEL DERECHO INTERNACIONAL DE LOS DERECHOS HUMANOS.”</w:t>
      </w:r>
      <w:r w:rsidRPr="00716464">
        <w:rPr>
          <w:rFonts w:ascii="Palatino Linotype" w:hAnsi="Palatino Linotype"/>
          <w:sz w:val="24"/>
          <w:szCs w:val="24"/>
        </w:rPr>
        <w:t>, visible en el Seminario Judicial de la Federación y su gaceta, con el registro digital 2002350, y,</w:t>
      </w:r>
    </w:p>
    <w:p w14:paraId="234DAB6E" w14:textId="77777777" w:rsidR="0033283B" w:rsidRPr="00F444C4" w:rsidRDefault="0033283B" w:rsidP="0033283B">
      <w:pPr>
        <w:keepNext/>
        <w:keepLines/>
        <w:spacing w:after="0" w:line="360" w:lineRule="auto"/>
        <w:jc w:val="center"/>
        <w:outlineLvl w:val="0"/>
        <w:rPr>
          <w:rFonts w:ascii="Palatino Linotype" w:eastAsia="Times New Roman" w:hAnsi="Palatino Linotype" w:cs="Times New Roman"/>
          <w:b/>
          <w:color w:val="000000" w:themeColor="text1"/>
          <w:sz w:val="28"/>
          <w:szCs w:val="32"/>
          <w:lang w:val="es-ES_tradnl" w:eastAsia="es-ES"/>
        </w:rPr>
      </w:pPr>
      <w:r w:rsidRPr="00F444C4">
        <w:rPr>
          <w:rFonts w:ascii="Palatino Linotype" w:eastAsia="Times New Roman" w:hAnsi="Palatino Linotype" w:cs="Times New Roman"/>
          <w:b/>
          <w:color w:val="000000" w:themeColor="text1"/>
          <w:sz w:val="28"/>
          <w:szCs w:val="32"/>
          <w:lang w:val="es-ES_tradnl" w:eastAsia="es-ES"/>
        </w:rPr>
        <w:t>C O N S I D E R A N D O</w:t>
      </w:r>
    </w:p>
    <w:p w14:paraId="75B664D6"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714769B0"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PRIMERO. De la competencia.</w:t>
      </w:r>
    </w:p>
    <w:p w14:paraId="5BAE8031"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078D05C"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45DE3D3A" w14:textId="77777777" w:rsidR="0033283B" w:rsidRPr="00F444C4" w:rsidRDefault="0033283B" w:rsidP="0033283B">
      <w:pPr>
        <w:keepNext/>
        <w:keepLines/>
        <w:spacing w:after="0" w:line="360" w:lineRule="auto"/>
        <w:jc w:val="both"/>
        <w:outlineLvl w:val="1"/>
        <w:rPr>
          <w:rFonts w:ascii="Palatino Linotype" w:eastAsia="Times New Roman" w:hAnsi="Palatino Linotype" w:cs="Times New Roman"/>
          <w:b/>
          <w:color w:val="000000" w:themeColor="text1"/>
          <w:sz w:val="26"/>
          <w:szCs w:val="26"/>
          <w:lang w:val="es-ES_tradnl" w:eastAsia="es-MX"/>
        </w:rPr>
      </w:pPr>
      <w:r w:rsidRPr="00F444C4">
        <w:rPr>
          <w:rFonts w:ascii="Palatino Linotype" w:eastAsia="Times New Roman" w:hAnsi="Palatino Linotype" w:cs="Times New Roman"/>
          <w:b/>
          <w:color w:val="000000" w:themeColor="text1"/>
          <w:sz w:val="26"/>
          <w:szCs w:val="26"/>
          <w:lang w:val="es-ES_tradnl" w:eastAsia="es-MX"/>
        </w:rPr>
        <w:t xml:space="preserve">SEGUNDO. Sobre los alcances del recurso de revisión. </w:t>
      </w:r>
    </w:p>
    <w:p w14:paraId="79DFB1CF"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r w:rsidRPr="00F444C4">
        <w:rPr>
          <w:rFonts w:ascii="Palatino Linotype" w:eastAsia="Times New Roman" w:hAnsi="Palatino Linotype" w:cs="Calibri"/>
          <w:sz w:val="24"/>
          <w:lang w:val="es-ES_tradnl" w:eastAsia="es-MX"/>
        </w:rPr>
        <w:t xml:space="preserve">Derivado de la impugnación realizada, es menester señalar que el recurso de revisión inmerso en la Ley de Transparencia vigente en la entidad, tiene el fin y alcance que </w:t>
      </w:r>
      <w:r w:rsidRPr="00F444C4">
        <w:rPr>
          <w:rFonts w:ascii="Palatino Linotype" w:eastAsia="Times New Roman" w:hAnsi="Palatino Linotype" w:cs="Calibri"/>
          <w:sz w:val="24"/>
          <w:lang w:val="es-ES_tradnl" w:eastAsia="es-MX"/>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5B546F1"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p>
    <w:p w14:paraId="666F3F06" w14:textId="77777777" w:rsidR="0033283B" w:rsidRPr="00716464" w:rsidRDefault="0033283B" w:rsidP="00716464">
      <w:pPr>
        <w:autoSpaceDE w:val="0"/>
        <w:autoSpaceDN w:val="0"/>
        <w:adjustRightInd w:val="0"/>
        <w:spacing w:before="240" w:line="240" w:lineRule="auto"/>
        <w:rPr>
          <w:rFonts w:ascii="Times New Roman" w:eastAsia="Times New Roman" w:hAnsi="Times New Roman" w:cs="Arial"/>
          <w:b/>
          <w:sz w:val="28"/>
          <w:szCs w:val="24"/>
          <w:lang w:val="es-ES" w:eastAsia="es-ES"/>
        </w:rPr>
      </w:pPr>
      <w:r>
        <w:rPr>
          <w:rFonts w:ascii="Palatino Linotype" w:eastAsia="Times New Roman" w:hAnsi="Palatino Linotype" w:cs="Times New Roman"/>
          <w:b/>
          <w:color w:val="000000" w:themeColor="text1"/>
          <w:sz w:val="26"/>
          <w:szCs w:val="26"/>
          <w:lang w:val="es-ES_tradnl" w:eastAsia="es-MX"/>
        </w:rPr>
        <w:t>TERCERO</w:t>
      </w:r>
      <w:r w:rsidRPr="00F444C4">
        <w:rPr>
          <w:rFonts w:ascii="Palatino Linotype" w:eastAsia="Times New Roman" w:hAnsi="Palatino Linotype" w:cs="Times New Roman"/>
          <w:b/>
          <w:color w:val="000000" w:themeColor="text1"/>
          <w:sz w:val="26"/>
          <w:szCs w:val="26"/>
          <w:lang w:val="es-ES_tradnl" w:eastAsia="es-MX"/>
        </w:rPr>
        <w:t>. De las causas de improcedencia.</w:t>
      </w:r>
    </w:p>
    <w:p w14:paraId="54D1C137"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En el procedimiento de acceso a la información y de los medios de impugnación de la materia, se advierten diversos supuestos de </w:t>
      </w:r>
      <w:proofErr w:type="spellStart"/>
      <w:r w:rsidRPr="00F444C4">
        <w:rPr>
          <w:rFonts w:ascii="Palatino Linotype" w:eastAsia="Times New Roman" w:hAnsi="Palatino Linotype" w:cs="Palatino Linotype"/>
          <w:color w:val="000000"/>
          <w:sz w:val="24"/>
          <w:szCs w:val="24"/>
          <w:lang w:val="es-ES_tradnl" w:eastAsia="es-MX"/>
        </w:rPr>
        <w:t>procedibilidad</w:t>
      </w:r>
      <w:proofErr w:type="spellEnd"/>
      <w:r w:rsidRPr="00F444C4">
        <w:rPr>
          <w:rFonts w:ascii="Palatino Linotype" w:eastAsia="Times New Roman" w:hAnsi="Palatino Linotype" w:cs="Palatino Linotype"/>
          <w:color w:val="000000"/>
          <w:sz w:val="24"/>
          <w:szCs w:val="24"/>
          <w:lang w:val="es-ES_tradnl" w:eastAsia="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DEE3460"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65BEEBE"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 xml:space="preserve">Por lo anterior, es una facultad legal entrar al estudio de las causas de improcedencia que hagan valer las partes o que se adviertan de oficio por este </w:t>
      </w:r>
      <w:proofErr w:type="spellStart"/>
      <w:r w:rsidRPr="00F444C4">
        <w:rPr>
          <w:rFonts w:ascii="Palatino Linotype" w:eastAsia="Times New Roman" w:hAnsi="Palatino Linotype" w:cs="Palatino Linotype"/>
          <w:color w:val="000000"/>
          <w:sz w:val="24"/>
          <w:szCs w:val="24"/>
          <w:lang w:val="es-ES_tradnl" w:eastAsia="es-MX"/>
        </w:rPr>
        <w:t>Resolutor</w:t>
      </w:r>
      <w:proofErr w:type="spellEnd"/>
      <w:r w:rsidRPr="00F444C4">
        <w:rPr>
          <w:rFonts w:ascii="Palatino Linotype" w:eastAsia="Times New Roman" w:hAnsi="Palatino Linotype" w:cs="Palatino Linotype"/>
          <w:color w:val="000000"/>
          <w:sz w:val="24"/>
          <w:szCs w:val="24"/>
          <w:lang w:val="es-ES_tradnl" w:eastAsia="es-MX"/>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444C4">
        <w:rPr>
          <w:rFonts w:ascii="Palatino Linotype" w:eastAsia="Times New Roman" w:hAnsi="Palatino Linotype" w:cs="Palatino Linotype"/>
          <w:color w:val="000000"/>
          <w:sz w:val="24"/>
          <w:szCs w:val="24"/>
          <w:vertAlign w:val="superscript"/>
          <w:lang w:val="es-ES_tradnl" w:eastAsia="es-MX"/>
        </w:rPr>
        <w:footnoteReference w:id="1"/>
      </w:r>
      <w:r w:rsidRPr="00F444C4">
        <w:rPr>
          <w:rFonts w:ascii="Palatino Linotype" w:eastAsia="Times New Roman" w:hAnsi="Palatino Linotype" w:cs="Palatino Linotype"/>
          <w:color w:val="000000"/>
          <w:sz w:val="24"/>
          <w:szCs w:val="24"/>
          <w:lang w:val="es-ES_tradnl" w:eastAsia="es-MX"/>
        </w:rPr>
        <w:t xml:space="preserve">, la cual permite dilucidar alguna </w:t>
      </w:r>
      <w:r w:rsidRPr="00F444C4">
        <w:rPr>
          <w:rFonts w:ascii="Palatino Linotype" w:eastAsia="Times New Roman" w:hAnsi="Palatino Linotype" w:cs="Palatino Linotype"/>
          <w:color w:val="000000"/>
          <w:sz w:val="24"/>
          <w:szCs w:val="24"/>
          <w:lang w:val="es-ES_tradnl" w:eastAsia="es-MX"/>
        </w:rPr>
        <w:lastRenderedPageBreak/>
        <w:t>causal que impida el estudio y resolución, cuando una vez admitido el recurso de revisión se advierta una causa de improcedencia que permita sobreseerlo, sin estudiar el fondo del asunto.</w:t>
      </w:r>
    </w:p>
    <w:p w14:paraId="0FE2946A"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0264727D" w14:textId="77777777" w:rsidR="004E7151" w:rsidRDefault="0033283B" w:rsidP="004E7151">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288DFED" w14:textId="77777777" w:rsidR="004E7151" w:rsidRDefault="004E7151" w:rsidP="004E7151">
      <w:pPr>
        <w:spacing w:after="0" w:line="360" w:lineRule="auto"/>
        <w:contextualSpacing/>
        <w:jc w:val="both"/>
        <w:rPr>
          <w:rFonts w:ascii="Palatino Linotype" w:eastAsia="Times New Roman" w:hAnsi="Palatino Linotype" w:cs="Palatino Linotype"/>
          <w:color w:val="000000"/>
          <w:sz w:val="24"/>
          <w:szCs w:val="24"/>
          <w:lang w:val="es-ES_tradnl" w:eastAsia="es-MX"/>
        </w:rPr>
      </w:pPr>
    </w:p>
    <w:p w14:paraId="380381FC" w14:textId="77777777" w:rsidR="0033283B" w:rsidRPr="004E7151" w:rsidRDefault="00716464" w:rsidP="004E7151">
      <w:pPr>
        <w:spacing w:after="0" w:line="360" w:lineRule="auto"/>
        <w:contextualSpacing/>
        <w:jc w:val="both"/>
        <w:rPr>
          <w:rFonts w:ascii="Palatino Linotype" w:eastAsia="Times New Roman" w:hAnsi="Palatino Linotype" w:cs="Palatino Linotype"/>
          <w:color w:val="000000"/>
          <w:sz w:val="24"/>
          <w:szCs w:val="24"/>
          <w:lang w:val="es-ES_tradnl" w:eastAsia="es-MX"/>
        </w:rPr>
      </w:pPr>
      <w:r>
        <w:rPr>
          <w:rFonts w:ascii="Palatino Linotype" w:eastAsia="Times New Roman" w:hAnsi="Palatino Linotype" w:cs="Times New Roman"/>
          <w:b/>
          <w:color w:val="000000" w:themeColor="text1"/>
          <w:sz w:val="26"/>
          <w:szCs w:val="26"/>
          <w:lang w:val="es-ES_tradnl" w:eastAsia="es-MX"/>
        </w:rPr>
        <w:t>CUAR</w:t>
      </w:r>
      <w:r w:rsidR="0033283B" w:rsidRPr="00F444C4">
        <w:rPr>
          <w:rFonts w:ascii="Palatino Linotype" w:eastAsia="Times New Roman" w:hAnsi="Palatino Linotype" w:cs="Times New Roman"/>
          <w:b/>
          <w:color w:val="000000" w:themeColor="text1"/>
          <w:sz w:val="26"/>
          <w:szCs w:val="26"/>
          <w:lang w:val="es-ES_tradnl" w:eastAsia="es-MX"/>
        </w:rPr>
        <w:t>TO. Estudio y resolución del asunto.</w:t>
      </w:r>
    </w:p>
    <w:p w14:paraId="799E66D4"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CDBBB64"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tanto, es conveniente recordar que el hoy Recurrente requirió del Sujeto Obligado, de la actual administración, lo siguiente:</w:t>
      </w:r>
    </w:p>
    <w:p w14:paraId="24B0C638" w14:textId="77777777" w:rsidR="0033283B" w:rsidRPr="00CC5AA1" w:rsidRDefault="0033283B" w:rsidP="0033283B">
      <w:pPr>
        <w:spacing w:after="0" w:line="360" w:lineRule="auto"/>
        <w:contextualSpacing/>
        <w:jc w:val="both"/>
        <w:rPr>
          <w:rFonts w:ascii="Palatino Linotype" w:eastAsia="Times New Roman" w:hAnsi="Palatino Linotype" w:cs="Palatino Linotype"/>
          <w:i/>
          <w:iCs/>
          <w:color w:val="000000"/>
          <w:sz w:val="24"/>
          <w:szCs w:val="24"/>
          <w:lang w:val="es-ES_tradnl" w:eastAsia="es-MX"/>
        </w:rPr>
      </w:pPr>
    </w:p>
    <w:p w14:paraId="2CB1127C" w14:textId="77777777" w:rsidR="0033283B" w:rsidRPr="00CC5AA1" w:rsidRDefault="00716464" w:rsidP="0033283B">
      <w:pPr>
        <w:pStyle w:val="Prrafodelista"/>
        <w:numPr>
          <w:ilvl w:val="0"/>
          <w:numId w:val="1"/>
        </w:numPr>
        <w:contextualSpacing/>
        <w:rPr>
          <w:rFonts w:cs="Palatino Linotype"/>
          <w:i/>
          <w:iCs/>
          <w:color w:val="000000"/>
        </w:rPr>
      </w:pPr>
      <w:r>
        <w:rPr>
          <w:rFonts w:cs="Palatino Linotype"/>
          <w:i/>
          <w:iCs/>
          <w:color w:val="000000"/>
        </w:rPr>
        <w:t>Nomina, conciliación de nómina, dispersión de nómina y estados de cuenta donde se reflejen los movimientos de nómina de la primer quincena de octubre</w:t>
      </w:r>
    </w:p>
    <w:p w14:paraId="201EE51B" w14:textId="77777777" w:rsidR="0033283B" w:rsidRPr="00CC5AA1" w:rsidRDefault="0033283B" w:rsidP="0033283B">
      <w:pPr>
        <w:pStyle w:val="Prrafodelista"/>
        <w:ind w:left="1429"/>
        <w:contextualSpacing/>
        <w:rPr>
          <w:rFonts w:cs="Palatino Linotype"/>
          <w:color w:val="000000"/>
        </w:rPr>
      </w:pPr>
    </w:p>
    <w:p w14:paraId="5C481047" w14:textId="77777777" w:rsidR="0033283B" w:rsidRDefault="0033283B" w:rsidP="0033283B">
      <w:pPr>
        <w:spacing w:after="0" w:line="360" w:lineRule="auto"/>
        <w:contextualSpacing/>
        <w:jc w:val="both"/>
        <w:rPr>
          <w:rFonts w:ascii="Palatino Linotype" w:eastAsia="Times New Roman" w:hAnsi="Palatino Linotype" w:cs="Palatino Linotype"/>
          <w:color w:val="000000"/>
          <w:sz w:val="24"/>
          <w:szCs w:val="24"/>
          <w:lang w:val="es-ES_tradnl" w:eastAsia="es-MX"/>
        </w:rPr>
      </w:pPr>
      <w:r w:rsidRPr="00F444C4">
        <w:rPr>
          <w:rFonts w:ascii="Palatino Linotype" w:eastAsia="Times New Roman" w:hAnsi="Palatino Linotype" w:cs="Palatino Linotype"/>
          <w:color w:val="000000"/>
          <w:sz w:val="24"/>
          <w:szCs w:val="24"/>
          <w:lang w:val="es-ES_tradnl" w:eastAsia="es-MX"/>
        </w:rPr>
        <w:t>Por lo que atento a la solicitud de información el Sujeto Obligado hizo entrega de</w:t>
      </w:r>
      <w:r>
        <w:rPr>
          <w:rFonts w:ascii="Palatino Linotype" w:eastAsia="Times New Roman" w:hAnsi="Palatino Linotype" w:cs="Palatino Linotype"/>
          <w:color w:val="000000"/>
          <w:sz w:val="24"/>
          <w:szCs w:val="24"/>
          <w:lang w:val="es-ES_tradnl" w:eastAsia="es-MX"/>
        </w:rPr>
        <w:t xml:space="preserve"> los </w:t>
      </w:r>
      <w:r w:rsidRPr="00F444C4">
        <w:rPr>
          <w:rFonts w:ascii="Palatino Linotype" w:eastAsia="Times New Roman" w:hAnsi="Palatino Linotype" w:cs="Palatino Linotype"/>
          <w:color w:val="000000"/>
          <w:sz w:val="24"/>
          <w:szCs w:val="24"/>
          <w:lang w:val="es-ES_tradnl" w:eastAsia="es-MX"/>
        </w:rPr>
        <w:t>siguient</w:t>
      </w:r>
      <w:r>
        <w:rPr>
          <w:rFonts w:ascii="Palatino Linotype" w:eastAsia="Times New Roman" w:hAnsi="Palatino Linotype" w:cs="Palatino Linotype"/>
          <w:color w:val="000000"/>
          <w:sz w:val="24"/>
          <w:szCs w:val="24"/>
          <w:lang w:val="es-ES_tradnl" w:eastAsia="es-MX"/>
        </w:rPr>
        <w:t>es</w:t>
      </w:r>
      <w:r w:rsidRPr="00F444C4">
        <w:rPr>
          <w:rFonts w:ascii="Palatino Linotype" w:eastAsia="Times New Roman" w:hAnsi="Palatino Linotype" w:cs="Palatino Linotype"/>
          <w:color w:val="000000"/>
          <w:sz w:val="24"/>
          <w:szCs w:val="24"/>
          <w:lang w:val="es-ES_tradnl" w:eastAsia="es-MX"/>
        </w:rPr>
        <w:t xml:space="preserve"> archivo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 xml:space="preserve"> electrónico</w:t>
      </w:r>
      <w:r>
        <w:rPr>
          <w:rFonts w:ascii="Palatino Linotype" w:eastAsia="Times New Roman" w:hAnsi="Palatino Linotype" w:cs="Palatino Linotype"/>
          <w:color w:val="000000"/>
          <w:sz w:val="24"/>
          <w:szCs w:val="24"/>
          <w:lang w:val="es-ES_tradnl" w:eastAsia="es-MX"/>
        </w:rPr>
        <w:t>s</w:t>
      </w:r>
      <w:r w:rsidRPr="00F444C4">
        <w:rPr>
          <w:rFonts w:ascii="Palatino Linotype" w:eastAsia="Times New Roman" w:hAnsi="Palatino Linotype" w:cs="Palatino Linotype"/>
          <w:color w:val="000000"/>
          <w:sz w:val="24"/>
          <w:szCs w:val="24"/>
          <w:lang w:val="es-ES_tradnl" w:eastAsia="es-MX"/>
        </w:rPr>
        <w:t>:</w:t>
      </w:r>
    </w:p>
    <w:p w14:paraId="53A55AF8" w14:textId="77777777" w:rsidR="00716464" w:rsidRPr="00716464" w:rsidRDefault="00716464" w:rsidP="00716464">
      <w:pPr>
        <w:pStyle w:val="Prrafodelista"/>
        <w:ind w:left="720"/>
        <w:contextualSpacing/>
      </w:pPr>
    </w:p>
    <w:p w14:paraId="099FBA82" w14:textId="77777777" w:rsidR="00716464" w:rsidRPr="00716464" w:rsidRDefault="00716464" w:rsidP="00716464">
      <w:pPr>
        <w:pStyle w:val="Prrafodelista"/>
        <w:numPr>
          <w:ilvl w:val="0"/>
          <w:numId w:val="22"/>
        </w:numPr>
        <w:contextualSpacing/>
      </w:pPr>
      <w:r w:rsidRPr="00716464">
        <w:rPr>
          <w:rFonts w:cs="Arial"/>
          <w:b/>
          <w:bCs/>
        </w:rPr>
        <w:t>RESP SAIMEX 183.pdf</w:t>
      </w:r>
      <w:r>
        <w:rPr>
          <w:rFonts w:cs="Arial"/>
          <w:b/>
          <w:bCs/>
        </w:rPr>
        <w:t xml:space="preserve">: </w:t>
      </w:r>
      <w:r>
        <w:rPr>
          <w:rFonts w:cs="Arial"/>
          <w:bCs/>
        </w:rPr>
        <w:t>Documento que consta de nueve fojas en formato PDF con número de oficio OPDM/</w:t>
      </w:r>
      <w:proofErr w:type="spellStart"/>
      <w:r>
        <w:rPr>
          <w:rFonts w:cs="Arial"/>
          <w:bCs/>
        </w:rPr>
        <w:t>DAFyC</w:t>
      </w:r>
      <w:proofErr w:type="spellEnd"/>
      <w:r>
        <w:rPr>
          <w:rFonts w:cs="Arial"/>
          <w:bCs/>
        </w:rPr>
        <w:t xml:space="preserve">/SF/DT/0071/2024 de fecha dieciocho de enero de dos mil veinticuatro </w:t>
      </w:r>
      <w:r w:rsidR="00B1374E">
        <w:rPr>
          <w:rFonts w:cs="Arial"/>
          <w:bCs/>
        </w:rPr>
        <w:t xml:space="preserve">por medio del cual el jefe del departamento de la Tesorería Municipal envía </w:t>
      </w:r>
      <w:r w:rsidR="00E843A3">
        <w:rPr>
          <w:rFonts w:cs="Arial"/>
          <w:bCs/>
        </w:rPr>
        <w:t xml:space="preserve">en versión pública </w:t>
      </w:r>
      <w:r w:rsidR="00B1374E">
        <w:rPr>
          <w:rFonts w:cs="Arial"/>
          <w:bCs/>
        </w:rPr>
        <w:t xml:space="preserve">los estados de cuenta bancarios donde se refleja la dispersión de nómina correspondiente a la primer quincena de </w:t>
      </w:r>
      <w:r w:rsidR="00B1374E">
        <w:rPr>
          <w:rFonts w:cs="Arial"/>
          <w:bCs/>
        </w:rPr>
        <w:lastRenderedPageBreak/>
        <w:t>octubre en los cuales se testo el número de cuenta bancaria, el número de cliente y el número de referencia bancaria conforme el acuerdo CT/04/01-SO/2024</w:t>
      </w:r>
      <w:r w:rsidR="00E96F7E">
        <w:rPr>
          <w:rFonts w:cs="Arial"/>
          <w:bCs/>
        </w:rPr>
        <w:t>.</w:t>
      </w:r>
    </w:p>
    <w:p w14:paraId="4FC2BB9B" w14:textId="77777777" w:rsidR="00716464" w:rsidRDefault="00716464" w:rsidP="00716464">
      <w:pPr>
        <w:pStyle w:val="Prrafodelista"/>
        <w:ind w:left="720"/>
        <w:contextualSpacing/>
      </w:pPr>
    </w:p>
    <w:p w14:paraId="7CA413DA" w14:textId="77777777" w:rsidR="00716464" w:rsidRPr="00B1374E" w:rsidRDefault="00716464" w:rsidP="00716464">
      <w:pPr>
        <w:pStyle w:val="Prrafodelista"/>
        <w:numPr>
          <w:ilvl w:val="0"/>
          <w:numId w:val="22"/>
        </w:numPr>
        <w:contextualSpacing/>
      </w:pPr>
      <w:r w:rsidRPr="00716464">
        <w:rPr>
          <w:rFonts w:cs="Arial"/>
          <w:b/>
          <w:bCs/>
        </w:rPr>
        <w:t>NOMINA 1° QUINCENA DE OCTUBRE 2023.xlsx</w:t>
      </w:r>
      <w:r w:rsidR="00B1374E">
        <w:rPr>
          <w:rFonts w:cs="Arial"/>
          <w:b/>
          <w:bCs/>
        </w:rPr>
        <w:t xml:space="preserve">: </w:t>
      </w:r>
      <w:r w:rsidR="00B1374E">
        <w:rPr>
          <w:rFonts w:cs="Arial"/>
          <w:bCs/>
        </w:rPr>
        <w:t xml:space="preserve">Documento que consta de un archivo en formato EXCEL que contiene </w:t>
      </w:r>
      <w:r w:rsidR="00E843A3">
        <w:rPr>
          <w:rFonts w:cs="Arial"/>
          <w:bCs/>
        </w:rPr>
        <w:t xml:space="preserve">en versión pública </w:t>
      </w:r>
      <w:r w:rsidR="00B1374E">
        <w:rPr>
          <w:rFonts w:cs="Arial"/>
          <w:bCs/>
        </w:rPr>
        <w:t xml:space="preserve">los pagos por concepto de la primer quincena de octubre con los siguientes rubros; </w:t>
      </w:r>
    </w:p>
    <w:p w14:paraId="3D9A9DA3" w14:textId="77777777" w:rsidR="00B1374E" w:rsidRDefault="00B1374E" w:rsidP="00B1374E">
      <w:pPr>
        <w:pStyle w:val="Prrafodelista"/>
      </w:pPr>
    </w:p>
    <w:p w14:paraId="6F9E5166" w14:textId="77777777" w:rsidR="00B1374E" w:rsidRDefault="00B1374E" w:rsidP="00B1374E">
      <w:pPr>
        <w:pStyle w:val="Prrafodelista"/>
        <w:numPr>
          <w:ilvl w:val="0"/>
          <w:numId w:val="23"/>
        </w:numPr>
        <w:contextualSpacing/>
      </w:pPr>
      <w:r>
        <w:t>Clave (No. de empleado), se encuentra testado.</w:t>
      </w:r>
    </w:p>
    <w:p w14:paraId="27A5B86F" w14:textId="77777777" w:rsidR="00B1374E" w:rsidRDefault="00B1374E" w:rsidP="00B1374E">
      <w:pPr>
        <w:pStyle w:val="Prrafodelista"/>
        <w:numPr>
          <w:ilvl w:val="0"/>
          <w:numId w:val="23"/>
        </w:numPr>
        <w:contextualSpacing/>
      </w:pPr>
      <w:r>
        <w:t>Nombre del trabajador</w:t>
      </w:r>
    </w:p>
    <w:p w14:paraId="1BA12FE7" w14:textId="77777777" w:rsidR="00B1374E" w:rsidRDefault="00B1374E" w:rsidP="00B1374E">
      <w:pPr>
        <w:pStyle w:val="Prrafodelista"/>
        <w:numPr>
          <w:ilvl w:val="0"/>
          <w:numId w:val="23"/>
        </w:numPr>
        <w:contextualSpacing/>
      </w:pPr>
      <w:r>
        <w:t xml:space="preserve">Departamento </w:t>
      </w:r>
    </w:p>
    <w:p w14:paraId="11B75F87" w14:textId="77777777" w:rsidR="00B1374E" w:rsidRDefault="00B1374E" w:rsidP="00B1374E">
      <w:pPr>
        <w:pStyle w:val="Prrafodelista"/>
        <w:numPr>
          <w:ilvl w:val="0"/>
          <w:numId w:val="23"/>
        </w:numPr>
        <w:contextualSpacing/>
      </w:pPr>
      <w:r>
        <w:t>Puesto</w:t>
      </w:r>
    </w:p>
    <w:p w14:paraId="42D870C5" w14:textId="77777777" w:rsidR="00B1374E" w:rsidRDefault="00B1374E" w:rsidP="00B1374E">
      <w:pPr>
        <w:pStyle w:val="Prrafodelista"/>
        <w:numPr>
          <w:ilvl w:val="0"/>
          <w:numId w:val="23"/>
        </w:numPr>
        <w:contextualSpacing/>
      </w:pPr>
      <w:r>
        <w:t xml:space="preserve">Clasificación </w:t>
      </w:r>
    </w:p>
    <w:p w14:paraId="046B0E49" w14:textId="77777777" w:rsidR="00B1374E" w:rsidRPr="00716464" w:rsidRDefault="00B1374E" w:rsidP="00B1374E">
      <w:pPr>
        <w:pStyle w:val="Prrafodelista"/>
        <w:numPr>
          <w:ilvl w:val="0"/>
          <w:numId w:val="23"/>
        </w:numPr>
        <w:contextualSpacing/>
      </w:pPr>
      <w:r>
        <w:t xml:space="preserve">Sueldo quincenal </w:t>
      </w:r>
    </w:p>
    <w:p w14:paraId="1A0FBC65" w14:textId="77777777" w:rsidR="00716464" w:rsidRPr="00716464" w:rsidRDefault="00716464" w:rsidP="0017067E">
      <w:pPr>
        <w:tabs>
          <w:tab w:val="left" w:pos="1524"/>
        </w:tabs>
        <w:contextualSpacing/>
      </w:pPr>
    </w:p>
    <w:p w14:paraId="68BB392B" w14:textId="77777777" w:rsidR="00716464" w:rsidRPr="00716464" w:rsidRDefault="00716464" w:rsidP="00CB71E8">
      <w:pPr>
        <w:pStyle w:val="Prrafodelista"/>
        <w:numPr>
          <w:ilvl w:val="0"/>
          <w:numId w:val="22"/>
        </w:numPr>
        <w:contextualSpacing/>
      </w:pPr>
      <w:r w:rsidRPr="00716464">
        <w:rPr>
          <w:rFonts w:cs="Arial"/>
          <w:b/>
          <w:bCs/>
        </w:rPr>
        <w:t>1 RA ACTA ORD CMTE TRANSP.pdf</w:t>
      </w:r>
      <w:r w:rsidR="0017067E">
        <w:rPr>
          <w:rFonts w:cs="Arial"/>
          <w:b/>
          <w:bCs/>
        </w:rPr>
        <w:t xml:space="preserve">: </w:t>
      </w:r>
      <w:r w:rsidR="0017067E">
        <w:rPr>
          <w:rFonts w:cs="Arial"/>
          <w:bCs/>
        </w:rPr>
        <w:t>Documento que consta de veinticuatro fojas que contienen</w:t>
      </w:r>
      <w:r w:rsidR="00CB71E8">
        <w:rPr>
          <w:rFonts w:cs="Arial"/>
          <w:bCs/>
        </w:rPr>
        <w:t xml:space="preserve"> la primera sesión ordinaria del comité de transparencia de fecha diecisiete de enero de dos mil veinticuatro, por medio de la cual se clasifica como confidencial la información que contienen los estados de cuenta bancarios donde se refleja la dispersión de nómina del personal</w:t>
      </w:r>
      <w:r w:rsidR="00CB71E8" w:rsidRPr="00CB71E8">
        <w:rPr>
          <w:rFonts w:cs="Arial"/>
          <w:bCs/>
        </w:rPr>
        <w:t xml:space="preserve"> </w:t>
      </w:r>
      <w:r w:rsidR="00CB71E8">
        <w:rPr>
          <w:rFonts w:cs="Arial"/>
          <w:bCs/>
        </w:rPr>
        <w:t>correspondiente a la primer quincena del mes de octubre de 2023, la base de datos de la nómina general del personal</w:t>
      </w:r>
      <w:r w:rsidR="00CB71E8" w:rsidRPr="00CB71E8">
        <w:rPr>
          <w:rFonts w:cs="Arial"/>
          <w:bCs/>
        </w:rPr>
        <w:t xml:space="preserve"> </w:t>
      </w:r>
      <w:r w:rsidR="00CB71E8">
        <w:rPr>
          <w:rFonts w:cs="Arial"/>
          <w:bCs/>
        </w:rPr>
        <w:t xml:space="preserve">correspondiente a la primer quincena del mes de octubre de 2023 así </w:t>
      </w:r>
      <w:r w:rsidR="00CB71E8">
        <w:rPr>
          <w:rFonts w:cs="Arial"/>
          <w:bCs/>
        </w:rPr>
        <w:lastRenderedPageBreak/>
        <w:t xml:space="preserve">como los documentos de referencia para dar cumplimiento a la solicitud de información pública </w:t>
      </w:r>
      <w:r w:rsidR="00CB71E8" w:rsidRPr="00CB71E8">
        <w:rPr>
          <w:rFonts w:ascii="Verdana" w:hAnsi="Verdana"/>
          <w:b/>
          <w:bCs/>
          <w:color w:val="FF0000"/>
        </w:rPr>
        <w:t> </w:t>
      </w:r>
      <w:r w:rsidR="00CB71E8" w:rsidRPr="00CB71E8">
        <w:rPr>
          <w:b/>
          <w:bCs/>
        </w:rPr>
        <w:t>00183/OASTLALNE/IP/2023</w:t>
      </w:r>
      <w:r w:rsidR="00E96F7E">
        <w:rPr>
          <w:b/>
          <w:bCs/>
        </w:rPr>
        <w:t>.</w:t>
      </w:r>
    </w:p>
    <w:p w14:paraId="718D1596" w14:textId="77777777" w:rsidR="00716464" w:rsidRDefault="00716464" w:rsidP="00716464">
      <w:pPr>
        <w:contextualSpacing/>
      </w:pPr>
    </w:p>
    <w:p w14:paraId="4C821C12" w14:textId="77777777" w:rsidR="0033283B" w:rsidRPr="00E342C0" w:rsidRDefault="00E342C0" w:rsidP="00716464">
      <w:pPr>
        <w:pStyle w:val="Prrafodelista"/>
        <w:numPr>
          <w:ilvl w:val="0"/>
          <w:numId w:val="22"/>
        </w:numPr>
        <w:contextualSpacing/>
      </w:pPr>
      <w:r w:rsidRPr="00E342C0">
        <w:rPr>
          <w:rStyle w:val="Hipervnculo"/>
          <w:rFonts w:cs="Arial"/>
          <w:b/>
          <w:bCs/>
          <w:color w:val="auto"/>
          <w:u w:val="none"/>
        </w:rPr>
        <w:t>RESP SAIMEX 183 ADMON.pdf</w:t>
      </w:r>
      <w:r>
        <w:rPr>
          <w:rStyle w:val="Hipervnculo"/>
          <w:rFonts w:cs="Arial"/>
          <w:b/>
          <w:bCs/>
          <w:color w:val="auto"/>
          <w:u w:val="none"/>
        </w:rPr>
        <w:t xml:space="preserve">: </w:t>
      </w:r>
      <w:r>
        <w:rPr>
          <w:rStyle w:val="Hipervnculo"/>
          <w:rFonts w:cs="Arial"/>
          <w:bCs/>
          <w:color w:val="auto"/>
          <w:u w:val="none"/>
        </w:rPr>
        <w:t>Documento que consta de dos fojas en formato PDF con número de oficio OPDM/SA/01-019/2023 de fecha diecisiete de enero de dos mil veinticuatro por medio del cual el subdirector de administración entrega el soporte electrónico de la base de datos en versión pública  de la nómina general del personal del Organismo Público Descentralizado para la prestación de los Servicios de Agua Potable, Alcantarillado y Saneamiento de Tlalnepantla correspondiente a la primera quincena del mes de octubre de 2023</w:t>
      </w:r>
      <w:r w:rsidR="00E96F7E">
        <w:rPr>
          <w:rStyle w:val="Hipervnculo"/>
          <w:rFonts w:cs="Arial"/>
          <w:bCs/>
          <w:color w:val="auto"/>
          <w:u w:val="none"/>
        </w:rPr>
        <w:t>.</w:t>
      </w:r>
    </w:p>
    <w:p w14:paraId="367BACB1" w14:textId="77777777" w:rsidR="00716464" w:rsidRDefault="00716464" w:rsidP="0033283B">
      <w:pPr>
        <w:contextualSpacing/>
        <w:rPr>
          <w:rFonts w:ascii="Palatino Linotype" w:hAnsi="Palatino Linotype"/>
          <w:sz w:val="24"/>
          <w:szCs w:val="24"/>
        </w:rPr>
      </w:pPr>
    </w:p>
    <w:p w14:paraId="419CC716" w14:textId="77777777" w:rsidR="00716464" w:rsidRPr="00590FAC" w:rsidRDefault="00716464" w:rsidP="0033283B">
      <w:pPr>
        <w:contextualSpacing/>
        <w:rPr>
          <w:rFonts w:cs="Arial"/>
          <w:b/>
          <w:bCs/>
        </w:rPr>
      </w:pPr>
    </w:p>
    <w:p w14:paraId="368E6717" w14:textId="77777777" w:rsidR="0033283B" w:rsidRPr="00600A61" w:rsidRDefault="0033283B" w:rsidP="0033283B">
      <w:pPr>
        <w:spacing w:after="0" w:line="360" w:lineRule="auto"/>
        <w:contextualSpacing/>
        <w:jc w:val="both"/>
        <w:rPr>
          <w:rFonts w:ascii="Palatino Linotype" w:eastAsia="Times New Roman" w:hAnsi="Palatino Linotype" w:cs="Palatino Linotype"/>
          <w:color w:val="000000"/>
          <w:sz w:val="24"/>
          <w:lang w:val="es-ES_tradnl" w:eastAsia="es-MX"/>
        </w:rPr>
      </w:pPr>
      <w:r w:rsidRPr="00F444C4">
        <w:rPr>
          <w:rFonts w:ascii="Palatino Linotype" w:eastAsia="Times New Roman" w:hAnsi="Palatino Linotype" w:cs="Palatino Linotype"/>
          <w:color w:val="000000"/>
          <w:sz w:val="24"/>
          <w:lang w:val="es-ES_tradnl" w:eastAsia="es-MX"/>
        </w:rPr>
        <w:t xml:space="preserve">Ante la respuesta emitida por el Sujeto Obligado, el Recurrente consideró que su derecho a la información pública había sido conculcado, por lo que interpuso el recurso de revisión al rubro citado, señalando como acto impugnado </w:t>
      </w:r>
      <w:r w:rsidR="00600A61">
        <w:rPr>
          <w:rFonts w:ascii="Palatino Linotype" w:eastAsia="Times New Roman" w:hAnsi="Palatino Linotype" w:cs="Palatino Linotype"/>
          <w:i/>
          <w:color w:val="000000"/>
          <w:sz w:val="24"/>
          <w:szCs w:val="24"/>
          <w:lang w:val="es-ES_tradnl" w:eastAsia="es-MX"/>
        </w:rPr>
        <w:t>“</w:t>
      </w:r>
      <w:r w:rsidR="00600A61">
        <w:rPr>
          <w:rFonts w:ascii="Palatino Linotype" w:hAnsi="Palatino Linotype"/>
          <w:i/>
          <w:color w:val="000000"/>
          <w:sz w:val="24"/>
          <w:szCs w:val="24"/>
        </w:rPr>
        <w:t>respuesta</w:t>
      </w:r>
      <w:r w:rsidRPr="00381837">
        <w:rPr>
          <w:rFonts w:ascii="Palatino Linotype" w:eastAsia="Times New Roman" w:hAnsi="Palatino Linotype" w:cs="Palatino Linotype"/>
          <w:i/>
          <w:color w:val="000000"/>
          <w:sz w:val="24"/>
          <w:szCs w:val="24"/>
          <w:lang w:val="es-ES_tradnl" w:eastAsia="es-MX"/>
        </w:rPr>
        <w:t xml:space="preserve">“ </w:t>
      </w:r>
      <w:r w:rsidRPr="00F444C4">
        <w:rPr>
          <w:rFonts w:ascii="Palatino Linotype" w:eastAsia="Times New Roman" w:hAnsi="Palatino Linotype" w:cs="Palatino Linotype"/>
          <w:color w:val="000000"/>
          <w:sz w:val="24"/>
          <w:lang w:val="es-ES_tradnl" w:eastAsia="es-MX"/>
        </w:rPr>
        <w:t>y motivos de inconformidad</w:t>
      </w:r>
      <w:r>
        <w:rPr>
          <w:rFonts w:ascii="Palatino Linotype" w:eastAsia="Times New Roman" w:hAnsi="Palatino Linotype" w:cs="Palatino Linotype"/>
          <w:color w:val="000000"/>
          <w:sz w:val="24"/>
          <w:lang w:val="es-ES_tradnl" w:eastAsia="es-MX"/>
        </w:rPr>
        <w:t xml:space="preserve"> que “</w:t>
      </w:r>
      <w:r w:rsidR="00600A61" w:rsidRPr="00600A61">
        <w:rPr>
          <w:rFonts w:ascii="Palatino Linotype" w:hAnsi="Palatino Linotype"/>
          <w:i/>
          <w:color w:val="000000"/>
          <w:sz w:val="24"/>
          <w:szCs w:val="24"/>
        </w:rPr>
        <w:t xml:space="preserve">testan </w:t>
      </w:r>
      <w:proofErr w:type="spellStart"/>
      <w:r w:rsidR="00600A61" w:rsidRPr="00600A61">
        <w:rPr>
          <w:rFonts w:ascii="Palatino Linotype" w:hAnsi="Palatino Linotype"/>
          <w:i/>
          <w:color w:val="000000"/>
          <w:sz w:val="24"/>
          <w:szCs w:val="24"/>
        </w:rPr>
        <w:t>informacion</w:t>
      </w:r>
      <w:proofErr w:type="spellEnd"/>
      <w:r w:rsidR="00600A61" w:rsidRPr="00600A61">
        <w:rPr>
          <w:rFonts w:ascii="Palatino Linotype" w:hAnsi="Palatino Linotype"/>
          <w:i/>
          <w:color w:val="000000"/>
          <w:sz w:val="24"/>
          <w:szCs w:val="24"/>
        </w:rPr>
        <w:t xml:space="preserve"> publica como la cuenta del organismo, testan descripciones en el estado de cuenta del organismo, toda vez que son recursos </w:t>
      </w:r>
      <w:proofErr w:type="spellStart"/>
      <w:r w:rsidR="00600A61" w:rsidRPr="00600A61">
        <w:rPr>
          <w:rFonts w:ascii="Palatino Linotype" w:hAnsi="Palatino Linotype"/>
          <w:i/>
          <w:color w:val="000000"/>
          <w:sz w:val="24"/>
          <w:szCs w:val="24"/>
        </w:rPr>
        <w:t>publicos</w:t>
      </w:r>
      <w:proofErr w:type="spellEnd"/>
      <w:r w:rsidR="00600A61" w:rsidRPr="00600A61">
        <w:rPr>
          <w:rFonts w:ascii="Palatino Linotype" w:hAnsi="Palatino Linotype"/>
          <w:i/>
          <w:color w:val="000000"/>
          <w:sz w:val="24"/>
          <w:szCs w:val="24"/>
        </w:rPr>
        <w:t xml:space="preserve"> por lo que no favorece a </w:t>
      </w:r>
      <w:proofErr w:type="spellStart"/>
      <w:r w:rsidR="00600A61" w:rsidRPr="00600A61">
        <w:rPr>
          <w:rFonts w:ascii="Palatino Linotype" w:hAnsi="Palatino Linotype"/>
          <w:i/>
          <w:color w:val="000000"/>
          <w:sz w:val="24"/>
          <w:szCs w:val="24"/>
        </w:rPr>
        <w:t>rendicion</w:t>
      </w:r>
      <w:proofErr w:type="spellEnd"/>
      <w:r w:rsidR="00600A61" w:rsidRPr="00600A61">
        <w:rPr>
          <w:rFonts w:ascii="Palatino Linotype" w:hAnsi="Palatino Linotype"/>
          <w:i/>
          <w:color w:val="000000"/>
          <w:sz w:val="24"/>
          <w:szCs w:val="24"/>
        </w:rPr>
        <w:t xml:space="preserve"> de cuentas ni </w:t>
      </w:r>
      <w:proofErr w:type="spellStart"/>
      <w:r w:rsidR="00600A61" w:rsidRPr="00600A61">
        <w:rPr>
          <w:rFonts w:ascii="Palatino Linotype" w:hAnsi="Palatino Linotype"/>
          <w:i/>
          <w:color w:val="000000"/>
          <w:sz w:val="24"/>
          <w:szCs w:val="24"/>
        </w:rPr>
        <w:t>anticorruocupcion</w:t>
      </w:r>
      <w:proofErr w:type="spellEnd"/>
      <w:r w:rsidR="00600A61" w:rsidRPr="00600A61">
        <w:rPr>
          <w:rFonts w:ascii="Palatino Linotype" w:hAnsi="Palatino Linotype"/>
          <w:i/>
          <w:color w:val="000000"/>
          <w:sz w:val="24"/>
          <w:szCs w:val="24"/>
        </w:rPr>
        <w:t xml:space="preserve">, por lo que solo deben testar la cuenta del </w:t>
      </w:r>
      <w:proofErr w:type="spellStart"/>
      <w:r w:rsidR="00600A61" w:rsidRPr="00600A61">
        <w:rPr>
          <w:rFonts w:ascii="Palatino Linotype" w:hAnsi="Palatino Linotype"/>
          <w:i/>
          <w:color w:val="000000"/>
          <w:sz w:val="24"/>
          <w:szCs w:val="24"/>
        </w:rPr>
        <w:t>servdor</w:t>
      </w:r>
      <w:proofErr w:type="spellEnd"/>
      <w:r w:rsidR="00600A61" w:rsidRPr="00600A61">
        <w:rPr>
          <w:rFonts w:ascii="Palatino Linotype" w:hAnsi="Palatino Linotype"/>
          <w:i/>
          <w:color w:val="000000"/>
          <w:sz w:val="24"/>
          <w:szCs w:val="24"/>
        </w:rPr>
        <w:t xml:space="preserve"> </w:t>
      </w:r>
      <w:proofErr w:type="spellStart"/>
      <w:r w:rsidR="00600A61" w:rsidRPr="00600A61">
        <w:rPr>
          <w:rFonts w:ascii="Palatino Linotype" w:hAnsi="Palatino Linotype"/>
          <w:i/>
          <w:color w:val="000000"/>
          <w:sz w:val="24"/>
          <w:szCs w:val="24"/>
        </w:rPr>
        <w:t>publico</w:t>
      </w:r>
      <w:proofErr w:type="spellEnd"/>
      <w:r w:rsidR="00600A61" w:rsidRPr="00600A61">
        <w:rPr>
          <w:rFonts w:ascii="Palatino Linotype" w:hAnsi="Palatino Linotype"/>
          <w:i/>
          <w:color w:val="000000"/>
          <w:sz w:val="24"/>
          <w:szCs w:val="24"/>
        </w:rPr>
        <w:t xml:space="preserve">, todo lo </w:t>
      </w:r>
      <w:proofErr w:type="spellStart"/>
      <w:r w:rsidR="00600A61" w:rsidRPr="00600A61">
        <w:rPr>
          <w:rFonts w:ascii="Palatino Linotype" w:hAnsi="Palatino Linotype"/>
          <w:i/>
          <w:color w:val="000000"/>
          <w:sz w:val="24"/>
          <w:szCs w:val="24"/>
        </w:rPr>
        <w:t>demas</w:t>
      </w:r>
      <w:proofErr w:type="spellEnd"/>
      <w:r w:rsidR="00600A61" w:rsidRPr="00600A61">
        <w:rPr>
          <w:rFonts w:ascii="Palatino Linotype" w:hAnsi="Palatino Linotype"/>
          <w:i/>
          <w:color w:val="000000"/>
          <w:sz w:val="24"/>
          <w:szCs w:val="24"/>
        </w:rPr>
        <w:t xml:space="preserve"> es </w:t>
      </w:r>
      <w:proofErr w:type="spellStart"/>
      <w:r w:rsidR="00600A61" w:rsidRPr="00600A61">
        <w:rPr>
          <w:rFonts w:ascii="Palatino Linotype" w:hAnsi="Palatino Linotype"/>
          <w:i/>
          <w:color w:val="000000"/>
          <w:sz w:val="24"/>
          <w:szCs w:val="24"/>
        </w:rPr>
        <w:t>publico</w:t>
      </w:r>
      <w:proofErr w:type="spellEnd"/>
      <w:r w:rsidR="00600A61" w:rsidRPr="00600A61">
        <w:rPr>
          <w:rFonts w:ascii="Palatino Linotype" w:hAnsi="Palatino Linotype"/>
          <w:i/>
          <w:color w:val="000000"/>
          <w:sz w:val="24"/>
          <w:szCs w:val="24"/>
        </w:rPr>
        <w:t xml:space="preserve">. </w:t>
      </w:r>
      <w:proofErr w:type="gramStart"/>
      <w:r w:rsidR="00600A61" w:rsidRPr="00600A61">
        <w:rPr>
          <w:rFonts w:ascii="Palatino Linotype" w:hAnsi="Palatino Linotype"/>
          <w:i/>
          <w:color w:val="000000"/>
          <w:sz w:val="24"/>
          <w:szCs w:val="24"/>
        </w:rPr>
        <w:t>solicito</w:t>
      </w:r>
      <w:proofErr w:type="gramEnd"/>
      <w:r w:rsidR="00600A61" w:rsidRPr="00600A61">
        <w:rPr>
          <w:rFonts w:ascii="Palatino Linotype" w:hAnsi="Palatino Linotype"/>
          <w:i/>
          <w:color w:val="000000"/>
          <w:sz w:val="24"/>
          <w:szCs w:val="24"/>
        </w:rPr>
        <w:t xml:space="preserve"> remitan la </w:t>
      </w:r>
      <w:proofErr w:type="spellStart"/>
      <w:r w:rsidR="00600A61" w:rsidRPr="00600A61">
        <w:rPr>
          <w:rFonts w:ascii="Palatino Linotype" w:hAnsi="Palatino Linotype"/>
          <w:i/>
          <w:color w:val="000000"/>
          <w:sz w:val="24"/>
          <w:szCs w:val="24"/>
        </w:rPr>
        <w:t>informacion</w:t>
      </w:r>
      <w:proofErr w:type="spellEnd"/>
      <w:r w:rsidR="00600A61" w:rsidRPr="00600A61">
        <w:rPr>
          <w:rFonts w:ascii="Palatino Linotype" w:hAnsi="Palatino Linotype"/>
          <w:i/>
          <w:color w:val="000000"/>
          <w:sz w:val="24"/>
          <w:szCs w:val="24"/>
        </w:rPr>
        <w:t xml:space="preserve"> solicitada sin que hagan versiones publicas ocultado </w:t>
      </w:r>
      <w:proofErr w:type="spellStart"/>
      <w:r w:rsidR="00600A61" w:rsidRPr="00600A61">
        <w:rPr>
          <w:rFonts w:ascii="Palatino Linotype" w:hAnsi="Palatino Linotype"/>
          <w:i/>
          <w:color w:val="000000"/>
          <w:sz w:val="24"/>
          <w:szCs w:val="24"/>
        </w:rPr>
        <w:t>informacion</w:t>
      </w:r>
      <w:proofErr w:type="spellEnd"/>
      <w:r w:rsidR="00600A61" w:rsidRPr="00600A61">
        <w:rPr>
          <w:rFonts w:ascii="Palatino Linotype" w:hAnsi="Palatino Linotype"/>
          <w:i/>
          <w:color w:val="000000"/>
          <w:sz w:val="24"/>
          <w:szCs w:val="24"/>
        </w:rPr>
        <w:t xml:space="preserve"> de manera dolosa</w:t>
      </w:r>
      <w:r>
        <w:rPr>
          <w:rFonts w:ascii="Palatino Linotype" w:hAnsi="Palatino Linotype"/>
          <w:i/>
          <w:color w:val="000000"/>
          <w:sz w:val="24"/>
          <w:szCs w:val="24"/>
        </w:rPr>
        <w:t>”</w:t>
      </w:r>
      <w:r w:rsidRPr="00F444C4">
        <w:rPr>
          <w:rFonts w:ascii="Palatino Linotype" w:eastAsia="Times New Roman" w:hAnsi="Palatino Linotype" w:cs="Palatino Linotype"/>
          <w:i/>
          <w:color w:val="000000"/>
          <w:sz w:val="24"/>
          <w:lang w:val="es-ES_tradnl" w:eastAsia="es-MX"/>
        </w:rPr>
        <w:t>,</w:t>
      </w:r>
      <w:r w:rsidRPr="00F444C4">
        <w:rPr>
          <w:rFonts w:ascii="Palatino Linotype" w:eastAsia="Times New Roman" w:hAnsi="Palatino Linotype" w:cs="Palatino Linotype"/>
          <w:i/>
          <w:color w:val="000000"/>
          <w:lang w:val="es-ES_tradnl" w:eastAsia="es-MX"/>
        </w:rPr>
        <w:t xml:space="preserve"> </w:t>
      </w:r>
      <w:r w:rsidRPr="00F444C4">
        <w:rPr>
          <w:rFonts w:ascii="Palatino Linotype" w:eastAsia="Times New Roman" w:hAnsi="Palatino Linotype" w:cs="Palatino Linotype"/>
          <w:color w:val="000000"/>
          <w:sz w:val="24"/>
          <w:lang w:val="es-ES_tradnl" w:eastAsia="es-MX"/>
        </w:rPr>
        <w:t xml:space="preserve">en este sentido el Recurrente considero que el </w:t>
      </w:r>
      <w:r w:rsidR="00600A61" w:rsidRPr="00600A61">
        <w:rPr>
          <w:rFonts w:ascii="Palatino Linotype" w:hAnsi="Palatino Linotype"/>
          <w:bCs/>
          <w:color w:val="000000"/>
          <w:sz w:val="24"/>
          <w:szCs w:val="24"/>
        </w:rPr>
        <w:t>Organismo Público Descentralizado para la Prestación de Los Servicios de Agua Potable Alcantarillado y Saneamiento del Municipio de Tlalnepantla de Baz</w:t>
      </w:r>
      <w:r w:rsidR="00600A61">
        <w:rPr>
          <w:rFonts w:ascii="Palatino Linotype" w:hAnsi="Palatino Linotype"/>
          <w:bCs/>
          <w:color w:val="000000"/>
          <w:sz w:val="24"/>
          <w:szCs w:val="24"/>
        </w:rPr>
        <w:t xml:space="preserve"> no </w:t>
      </w:r>
      <w:r w:rsidR="00600A61">
        <w:rPr>
          <w:rFonts w:ascii="Palatino Linotype" w:hAnsi="Palatino Linotype"/>
          <w:bCs/>
          <w:color w:val="000000"/>
          <w:sz w:val="24"/>
          <w:szCs w:val="24"/>
        </w:rPr>
        <w:lastRenderedPageBreak/>
        <w:t>le brindo la nómina, la conciliación de nómina, dispersión de nómina y estados de cuenta donde se reflejen los movimientos de nómina de la primer quincena de octubre.</w:t>
      </w:r>
    </w:p>
    <w:p w14:paraId="1015BDDE" w14:textId="77777777" w:rsidR="0033283B" w:rsidRDefault="0033283B" w:rsidP="0033283B">
      <w:pPr>
        <w:spacing w:after="0" w:line="360" w:lineRule="auto"/>
        <w:jc w:val="both"/>
        <w:rPr>
          <w:rFonts w:ascii="Palatino Linotype" w:eastAsia="Times New Roman" w:hAnsi="Palatino Linotype" w:cs="Calibri"/>
          <w:sz w:val="24"/>
          <w:szCs w:val="24"/>
          <w:lang w:val="es-ES_tradnl" w:eastAsia="es-MX"/>
        </w:rPr>
      </w:pPr>
    </w:p>
    <w:p w14:paraId="2D219F54" w14:textId="77777777" w:rsidR="0033283B" w:rsidRDefault="0033283B" w:rsidP="0033283B">
      <w:pPr>
        <w:spacing w:line="360" w:lineRule="auto"/>
        <w:jc w:val="both"/>
        <w:rPr>
          <w:rFonts w:ascii="Palatino Linotype" w:hAnsi="Palatino Linotype" w:cs="Arial"/>
          <w:bCs/>
          <w:sz w:val="24"/>
          <w:szCs w:val="24"/>
        </w:rPr>
      </w:pPr>
      <w:r>
        <w:rPr>
          <w:rFonts w:ascii="Palatino Linotype" w:hAnsi="Palatino Linotype"/>
          <w:sz w:val="24"/>
          <w:szCs w:val="24"/>
        </w:rPr>
        <w:t xml:space="preserve">Se debe resaltar que el Sujeto Obligado rindió informe justificado mediante el archivo electrónico </w:t>
      </w:r>
      <w:r w:rsidR="00600A61" w:rsidRPr="00600A61">
        <w:rPr>
          <w:rFonts w:ascii="Palatino Linotype" w:hAnsi="Palatino Linotype" w:cs="Arial"/>
          <w:b/>
          <w:bCs/>
          <w:sz w:val="24"/>
          <w:szCs w:val="24"/>
        </w:rPr>
        <w:t>RESP RR 183.pdf</w:t>
      </w:r>
      <w:r w:rsidR="00600A61">
        <w:rPr>
          <w:rFonts w:ascii="Palatino Linotype" w:hAnsi="Palatino Linotype" w:cs="Arial"/>
          <w:b/>
          <w:bCs/>
          <w:i/>
          <w:sz w:val="24"/>
          <w:szCs w:val="24"/>
        </w:rPr>
        <w:t xml:space="preserve"> </w:t>
      </w:r>
      <w:r w:rsidR="00600A61">
        <w:rPr>
          <w:rFonts w:ascii="Palatino Linotype" w:hAnsi="Palatino Linotype" w:cs="Arial"/>
          <w:bCs/>
          <w:sz w:val="24"/>
          <w:szCs w:val="24"/>
        </w:rPr>
        <w:t xml:space="preserve">por medio del cual </w:t>
      </w:r>
      <w:r>
        <w:rPr>
          <w:rFonts w:ascii="Palatino Linotype" w:hAnsi="Palatino Linotype" w:cs="Arial"/>
          <w:bCs/>
          <w:sz w:val="24"/>
          <w:szCs w:val="24"/>
        </w:rPr>
        <w:t>establece que se dio contestación a la solicitud de información.</w:t>
      </w:r>
      <w:r w:rsidR="00600A61">
        <w:rPr>
          <w:rFonts w:ascii="Palatino Linotype" w:hAnsi="Palatino Linotype" w:cs="Arial"/>
          <w:bCs/>
          <w:sz w:val="24"/>
          <w:szCs w:val="24"/>
        </w:rPr>
        <w:t xml:space="preserve"> Por su parte el recurrente realizo sus manifestaciones por medio del archivo electrónico </w:t>
      </w:r>
      <w:r w:rsidR="00600A61" w:rsidRPr="00600A61">
        <w:rPr>
          <w:rFonts w:ascii="Palatino Linotype" w:hAnsi="Palatino Linotype" w:cs="Arial"/>
          <w:b/>
          <w:bCs/>
          <w:sz w:val="24"/>
          <w:szCs w:val="24"/>
        </w:rPr>
        <w:t>RESP SAIMEX 183.pdf</w:t>
      </w:r>
      <w:r w:rsidR="00600A61">
        <w:rPr>
          <w:rFonts w:ascii="Palatino Linotype" w:hAnsi="Palatino Linotype" w:cs="Arial"/>
          <w:bCs/>
          <w:sz w:val="24"/>
          <w:szCs w:val="24"/>
        </w:rPr>
        <w:t xml:space="preserve"> el cual contiene el archivo electrónico remitido </w:t>
      </w:r>
      <w:r w:rsidR="00003CA8">
        <w:rPr>
          <w:rFonts w:ascii="Palatino Linotype" w:hAnsi="Palatino Linotype" w:cs="Arial"/>
          <w:bCs/>
          <w:sz w:val="24"/>
          <w:szCs w:val="24"/>
        </w:rPr>
        <w:t xml:space="preserve">por el Sujeto Obligado </w:t>
      </w:r>
      <w:r w:rsidR="00600A61">
        <w:rPr>
          <w:rFonts w:ascii="Palatino Linotype" w:hAnsi="Palatino Linotype" w:cs="Arial"/>
          <w:bCs/>
          <w:sz w:val="24"/>
          <w:szCs w:val="24"/>
        </w:rPr>
        <w:t xml:space="preserve">en respuesta primigenia </w:t>
      </w:r>
      <w:r w:rsidR="00CC7F20">
        <w:rPr>
          <w:rFonts w:ascii="Palatino Linotype" w:hAnsi="Palatino Linotype" w:cs="Arial"/>
          <w:bCs/>
          <w:sz w:val="24"/>
          <w:szCs w:val="24"/>
        </w:rPr>
        <w:t xml:space="preserve">realizando en el apartado de “comentarios” lo siguiente; </w:t>
      </w:r>
    </w:p>
    <w:p w14:paraId="7DEA1D66" w14:textId="77777777" w:rsidR="0033283B" w:rsidRDefault="00CC7F20" w:rsidP="00CC7F20">
      <w:pPr>
        <w:spacing w:line="360" w:lineRule="auto"/>
        <w:ind w:left="708"/>
        <w:jc w:val="both"/>
        <w:rPr>
          <w:rFonts w:ascii="Palatino Linotype" w:hAnsi="Palatino Linotype" w:cs="Arial"/>
          <w:bCs/>
          <w:i/>
        </w:rPr>
      </w:pPr>
      <w:r>
        <w:rPr>
          <w:rFonts w:ascii="Palatino Linotype" w:hAnsi="Palatino Linotype" w:cs="Arial"/>
          <w:i/>
          <w:color w:val="333333"/>
        </w:rPr>
        <w:t>“</w:t>
      </w:r>
      <w:r w:rsidRPr="00CC7F20">
        <w:rPr>
          <w:rFonts w:ascii="Palatino Linotype" w:hAnsi="Palatino Linotype" w:cs="Arial"/>
          <w:i/>
          <w:color w:val="333333"/>
        </w:rPr>
        <w:t xml:space="preserve">Sr titular de transparencia, porque testa </w:t>
      </w:r>
      <w:proofErr w:type="spellStart"/>
      <w:r w:rsidRPr="00CC7F20">
        <w:rPr>
          <w:rFonts w:ascii="Palatino Linotype" w:hAnsi="Palatino Linotype" w:cs="Arial"/>
          <w:i/>
          <w:color w:val="333333"/>
        </w:rPr>
        <w:t>numeros</w:t>
      </w:r>
      <w:proofErr w:type="spellEnd"/>
      <w:r w:rsidRPr="00CC7F20">
        <w:rPr>
          <w:rFonts w:ascii="Palatino Linotype" w:hAnsi="Palatino Linotype" w:cs="Arial"/>
          <w:i/>
          <w:color w:val="333333"/>
        </w:rPr>
        <w:t xml:space="preserve"> de cuenta de su sujeto obligado, </w:t>
      </w:r>
      <w:proofErr w:type="spellStart"/>
      <w:r w:rsidRPr="00CC7F20">
        <w:rPr>
          <w:rFonts w:ascii="Palatino Linotype" w:hAnsi="Palatino Linotype" w:cs="Arial"/>
          <w:i/>
          <w:color w:val="333333"/>
        </w:rPr>
        <w:t>numeros</w:t>
      </w:r>
      <w:proofErr w:type="spellEnd"/>
      <w:r w:rsidRPr="00CC7F20">
        <w:rPr>
          <w:rFonts w:ascii="Palatino Linotype" w:hAnsi="Palatino Linotype" w:cs="Arial"/>
          <w:i/>
          <w:color w:val="333333"/>
        </w:rPr>
        <w:t xml:space="preserve"> de clientes de sus sujeto obligado, montos, saldos, tipos de cambio, </w:t>
      </w:r>
      <w:proofErr w:type="spellStart"/>
      <w:r w:rsidRPr="00CC7F20">
        <w:rPr>
          <w:rFonts w:ascii="Palatino Linotype" w:hAnsi="Palatino Linotype" w:cs="Arial"/>
          <w:i/>
          <w:color w:val="333333"/>
        </w:rPr>
        <w:t>depositos</w:t>
      </w:r>
      <w:proofErr w:type="spellEnd"/>
      <w:r w:rsidRPr="00CC7F20">
        <w:rPr>
          <w:rFonts w:ascii="Palatino Linotype" w:hAnsi="Palatino Linotype" w:cs="Arial"/>
          <w:i/>
          <w:color w:val="333333"/>
        </w:rPr>
        <w:t xml:space="preserve"> excedentes e incluso en la </w:t>
      </w:r>
      <w:proofErr w:type="spellStart"/>
      <w:r w:rsidRPr="00CC7F20">
        <w:rPr>
          <w:rFonts w:ascii="Palatino Linotype" w:hAnsi="Palatino Linotype" w:cs="Arial"/>
          <w:i/>
          <w:color w:val="333333"/>
        </w:rPr>
        <w:t>pagina</w:t>
      </w:r>
      <w:proofErr w:type="spellEnd"/>
      <w:r w:rsidRPr="00CC7F20">
        <w:rPr>
          <w:rFonts w:ascii="Palatino Linotype" w:hAnsi="Palatino Linotype" w:cs="Arial"/>
          <w:i/>
          <w:color w:val="333333"/>
        </w:rPr>
        <w:t xml:space="preserve"> 9 en </w:t>
      </w:r>
      <w:proofErr w:type="spellStart"/>
      <w:r w:rsidRPr="00CC7F20">
        <w:rPr>
          <w:rFonts w:ascii="Palatino Linotype" w:hAnsi="Palatino Linotype" w:cs="Arial"/>
          <w:i/>
          <w:color w:val="333333"/>
        </w:rPr>
        <w:t>descripcion</w:t>
      </w:r>
      <w:proofErr w:type="spellEnd"/>
      <w:r w:rsidRPr="00CC7F20">
        <w:rPr>
          <w:rFonts w:ascii="Palatino Linotype" w:hAnsi="Palatino Linotype" w:cs="Arial"/>
          <w:i/>
          <w:color w:val="333333"/>
        </w:rPr>
        <w:t xml:space="preserve">/establecimiento, testan toda una leyenda que no corresponde a un documento confidencial </w:t>
      </w:r>
      <w:proofErr w:type="spellStart"/>
      <w:r w:rsidRPr="00CC7F20">
        <w:rPr>
          <w:rFonts w:ascii="Palatino Linotype" w:hAnsi="Palatino Linotype" w:cs="Arial"/>
          <w:i/>
          <w:color w:val="333333"/>
        </w:rPr>
        <w:t>segun</w:t>
      </w:r>
      <w:proofErr w:type="spellEnd"/>
      <w:r w:rsidRPr="00CC7F20">
        <w:rPr>
          <w:rFonts w:ascii="Palatino Linotype" w:hAnsi="Palatino Linotype" w:cs="Arial"/>
          <w:i/>
          <w:color w:val="333333"/>
        </w:rPr>
        <w:t xml:space="preserve"> su acuerdo, aunado a que los </w:t>
      </w:r>
      <w:proofErr w:type="spellStart"/>
      <w:r w:rsidRPr="00CC7F20">
        <w:rPr>
          <w:rFonts w:ascii="Palatino Linotype" w:hAnsi="Palatino Linotype" w:cs="Arial"/>
          <w:i/>
          <w:color w:val="333333"/>
        </w:rPr>
        <w:t>numeros</w:t>
      </w:r>
      <w:proofErr w:type="spellEnd"/>
      <w:r w:rsidRPr="00CC7F20">
        <w:rPr>
          <w:rFonts w:ascii="Palatino Linotype" w:hAnsi="Palatino Linotype" w:cs="Arial"/>
          <w:i/>
          <w:color w:val="333333"/>
        </w:rPr>
        <w:t xml:space="preserve"> de servidores </w:t>
      </w:r>
      <w:proofErr w:type="spellStart"/>
      <w:r w:rsidRPr="00CC7F20">
        <w:rPr>
          <w:rFonts w:ascii="Palatino Linotype" w:hAnsi="Palatino Linotype" w:cs="Arial"/>
          <w:i/>
          <w:color w:val="333333"/>
        </w:rPr>
        <w:t>publicos</w:t>
      </w:r>
      <w:proofErr w:type="spellEnd"/>
      <w:r w:rsidRPr="00CC7F20">
        <w:rPr>
          <w:rFonts w:ascii="Palatino Linotype" w:hAnsi="Palatino Linotype" w:cs="Arial"/>
          <w:i/>
          <w:color w:val="333333"/>
        </w:rPr>
        <w:t xml:space="preserve"> no cuadran con los remitidos en los </w:t>
      </w:r>
      <w:proofErr w:type="spellStart"/>
      <w:r w:rsidRPr="00CC7F20">
        <w:rPr>
          <w:rFonts w:ascii="Palatino Linotype" w:hAnsi="Palatino Linotype" w:cs="Arial"/>
          <w:i/>
          <w:color w:val="333333"/>
        </w:rPr>
        <w:t>demas</w:t>
      </w:r>
      <w:proofErr w:type="spellEnd"/>
      <w:r w:rsidRPr="00CC7F20">
        <w:rPr>
          <w:rFonts w:ascii="Palatino Linotype" w:hAnsi="Palatino Linotype" w:cs="Arial"/>
          <w:i/>
          <w:color w:val="333333"/>
        </w:rPr>
        <w:t xml:space="preserve"> documentos</w:t>
      </w:r>
      <w:r>
        <w:rPr>
          <w:rFonts w:ascii="Palatino Linotype" w:hAnsi="Palatino Linotype" w:cs="Arial"/>
          <w:i/>
          <w:color w:val="333333"/>
        </w:rPr>
        <w:t>”</w:t>
      </w:r>
    </w:p>
    <w:p w14:paraId="1976C1A0" w14:textId="77777777" w:rsidR="00CC7F20" w:rsidRPr="00CC7F20" w:rsidRDefault="00CC7F20" w:rsidP="00CC7F20">
      <w:pPr>
        <w:spacing w:line="360" w:lineRule="auto"/>
        <w:ind w:left="708"/>
        <w:jc w:val="both"/>
        <w:rPr>
          <w:rFonts w:ascii="Palatino Linotype" w:hAnsi="Palatino Linotype" w:cs="Arial"/>
          <w:bCs/>
          <w:i/>
        </w:rPr>
      </w:pPr>
    </w:p>
    <w:p w14:paraId="7BEEDC6E" w14:textId="77777777" w:rsidR="0033283B" w:rsidRPr="00F444C4" w:rsidRDefault="0033283B" w:rsidP="0033283B">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 lo anterior se debe señalar que el artículo 4, párrafo segundo de la Ley de Transparencia y Acceso a la Información Pública del Estado de México y Municipios, dispone:</w:t>
      </w:r>
    </w:p>
    <w:p w14:paraId="158B68D7" w14:textId="77777777" w:rsidR="0033283B" w:rsidRPr="00F444C4" w:rsidRDefault="0033283B" w:rsidP="0033283B">
      <w:pPr>
        <w:spacing w:after="0" w:line="240" w:lineRule="auto"/>
        <w:rPr>
          <w:rFonts w:ascii="Times New Roman" w:eastAsia="Times New Roman" w:hAnsi="Times New Roman" w:cs="Times New Roman"/>
          <w:sz w:val="24"/>
          <w:szCs w:val="24"/>
          <w:lang w:eastAsia="es-ES"/>
        </w:rPr>
      </w:pPr>
    </w:p>
    <w:p w14:paraId="2041C3C5" w14:textId="77777777" w:rsidR="0033283B" w:rsidRPr="00F444C4"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4. </w:t>
      </w:r>
      <w:r w:rsidRPr="00F444C4">
        <w:rPr>
          <w:rFonts w:ascii="Palatino Linotype" w:eastAsia="Times New Roman" w:hAnsi="Palatino Linotype" w:cs="Arial"/>
          <w:i/>
          <w:lang w:val="es-ES_tradnl" w:eastAsia="es-MX"/>
        </w:rPr>
        <w:t xml:space="preserve">… </w:t>
      </w:r>
    </w:p>
    <w:p w14:paraId="160010DF" w14:textId="77777777" w:rsidR="0033283B" w:rsidRPr="00F444C4"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 xml:space="preserve"> Toda la información generada, obtenida, adquirida, transformada, administrada o en posesión de los sujetos obligados es pública y accesible de manera permanente a cualquier persona, en </w:t>
      </w:r>
      <w:r w:rsidRPr="00F444C4">
        <w:rPr>
          <w:rFonts w:ascii="Palatino Linotype" w:eastAsia="Times New Roman" w:hAnsi="Palatino Linotype" w:cs="Arial"/>
          <w:i/>
          <w:lang w:val="es-ES_tradnl" w:eastAsia="es-MX"/>
        </w:rPr>
        <w:lastRenderedPageBreak/>
        <w:t>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93E63F" w14:textId="77777777" w:rsidR="0033283B" w:rsidRPr="00F444C4" w:rsidRDefault="0033283B" w:rsidP="0033283B">
      <w:pPr>
        <w:tabs>
          <w:tab w:val="left" w:pos="709"/>
        </w:tabs>
        <w:spacing w:after="0" w:line="360" w:lineRule="auto"/>
        <w:contextualSpacing/>
        <w:jc w:val="both"/>
        <w:rPr>
          <w:rFonts w:ascii="Palatino Linotype" w:eastAsia="Times New Roman" w:hAnsi="Palatino Linotype" w:cs="Arial"/>
          <w:sz w:val="24"/>
          <w:lang w:val="es-ES_tradnl" w:eastAsia="es-MX"/>
        </w:rPr>
      </w:pPr>
    </w:p>
    <w:p w14:paraId="13F4D150" w14:textId="77777777" w:rsidR="0033283B" w:rsidRPr="00F444C4" w:rsidRDefault="0033283B" w:rsidP="0033283B">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20E960C" w14:textId="77777777" w:rsidR="0033283B" w:rsidRPr="00F444C4" w:rsidRDefault="0033283B" w:rsidP="0033283B">
      <w:pPr>
        <w:tabs>
          <w:tab w:val="left" w:pos="709"/>
        </w:tabs>
        <w:spacing w:after="0" w:line="360" w:lineRule="auto"/>
        <w:contextualSpacing/>
        <w:jc w:val="both"/>
        <w:rPr>
          <w:rFonts w:ascii="Palatino Linotype" w:eastAsia="Times New Roman" w:hAnsi="Palatino Linotype" w:cs="Arial"/>
          <w:sz w:val="24"/>
          <w:lang w:val="es-ES_tradnl" w:eastAsia="es-MX"/>
        </w:rPr>
      </w:pPr>
    </w:p>
    <w:p w14:paraId="749F15BC" w14:textId="77777777" w:rsidR="0033283B" w:rsidRPr="00F444C4" w:rsidRDefault="0033283B" w:rsidP="0033283B">
      <w:pPr>
        <w:tabs>
          <w:tab w:val="left" w:pos="709"/>
        </w:tabs>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sz w:val="24"/>
          <w:lang w:val="es-ES_tradnl" w:eastAsia="es-MX"/>
        </w:rPr>
        <w:t xml:space="preserve">En esta misma tesitura, el derecho de acceso a la información pública, consiste en que la información solicitada conste en un soporte documental en cualquiera de sus formas, a saber: </w:t>
      </w:r>
      <w:r w:rsidRPr="00F444C4">
        <w:rPr>
          <w:rFonts w:ascii="Palatino Linotype" w:eastAsia="Times New Roman" w:hAnsi="Palatino Linotype" w:cs="Arial"/>
          <w:b/>
          <w:sz w:val="24"/>
          <w:u w:val="single"/>
          <w:lang w:val="es-ES_tradnl"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444C4">
        <w:rPr>
          <w:rFonts w:ascii="Palatino Linotype" w:eastAsia="Times New Roman" w:hAnsi="Palatino Linotype" w:cs="Arial"/>
          <w:sz w:val="24"/>
          <w:lang w:val="es-ES_tradnl" w:eastAsia="es-MX"/>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1611C329" w14:textId="77777777" w:rsidR="0033283B" w:rsidRPr="00F444C4" w:rsidRDefault="0033283B" w:rsidP="0033283B">
      <w:pPr>
        <w:spacing w:after="0" w:line="240" w:lineRule="auto"/>
        <w:rPr>
          <w:rFonts w:ascii="Times New Roman" w:eastAsia="Times New Roman" w:hAnsi="Times New Roman" w:cs="Times New Roman"/>
          <w:sz w:val="24"/>
          <w:szCs w:val="24"/>
          <w:lang w:eastAsia="es-ES"/>
        </w:rPr>
      </w:pPr>
    </w:p>
    <w:p w14:paraId="4278CB18" w14:textId="77777777" w:rsidR="0033283B" w:rsidRPr="00F444C4"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r w:rsidRPr="00F444C4">
        <w:rPr>
          <w:rFonts w:ascii="Palatino Linotype" w:eastAsia="Times New Roman" w:hAnsi="Palatino Linotype" w:cs="Arial"/>
          <w:b/>
          <w:i/>
          <w:lang w:val="es-ES_tradnl" w:eastAsia="es-MX"/>
        </w:rPr>
        <w:t xml:space="preserve">Artículo 3. </w:t>
      </w:r>
      <w:r w:rsidRPr="00F444C4">
        <w:rPr>
          <w:rFonts w:ascii="Palatino Linotype" w:eastAsia="Times New Roman" w:hAnsi="Palatino Linotype" w:cs="Arial"/>
          <w:i/>
          <w:lang w:val="es-ES_tradnl" w:eastAsia="es-MX"/>
        </w:rPr>
        <w:t>Para los efectos de la presente Ley se entenderá por:</w:t>
      </w:r>
    </w:p>
    <w:p w14:paraId="2F143156" w14:textId="77777777" w:rsidR="0033283B" w:rsidRPr="00F444C4"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34B56D03" w14:textId="77777777" w:rsidR="0033283B" w:rsidRPr="00F444C4"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lastRenderedPageBreak/>
        <w:t>XI. Documento:</w:t>
      </w:r>
      <w:r w:rsidRPr="00F444C4">
        <w:rPr>
          <w:rFonts w:ascii="Palatino Linotype" w:eastAsia="Times New Roman" w:hAnsi="Palatino Linotype" w:cs="Arial"/>
          <w:i/>
          <w:lang w:val="es-ES_tradnl" w:eastAsia="es-MX"/>
        </w:rPr>
        <w:t xml:space="preserve"> Los expedientes, reportes, estudios, actas, resoluciones, oficios, correspondencia, acuerdos, directivas, directrices, circulares, contratos, convenios, instructivos, notas, memorandos, estadísticas o bien, cualquier otro </w:t>
      </w:r>
      <w:r w:rsidRPr="00F444C4">
        <w:rPr>
          <w:rFonts w:ascii="Palatino Linotype" w:eastAsia="Times New Roman" w:hAnsi="Palatino Linotype" w:cs="Arial"/>
          <w:b/>
          <w:i/>
          <w:u w:val="single"/>
          <w:lang w:val="es-ES_tradnl" w:eastAsia="es-MX"/>
        </w:rPr>
        <w:t>registro que documente el ejercicio de las facultades, funciones y competencias de los sujetos obligados</w:t>
      </w:r>
      <w:r w:rsidRPr="00F444C4">
        <w:rPr>
          <w:rFonts w:ascii="Palatino Linotype" w:eastAsia="Times New Roman" w:hAnsi="Palatino Linotype" w:cs="Arial"/>
          <w:i/>
          <w:u w:val="single"/>
          <w:lang w:val="es-ES_tradnl" w:eastAsia="es-MX"/>
        </w:rPr>
        <w:t>,</w:t>
      </w:r>
      <w:r w:rsidRPr="00F444C4">
        <w:rPr>
          <w:rFonts w:ascii="Palatino Linotype" w:eastAsia="Times New Roman" w:hAnsi="Palatino Linotype" w:cs="Arial"/>
          <w:i/>
          <w:lang w:val="es-ES_tradnl" w:eastAsia="es-MX"/>
        </w:rPr>
        <w:t xml:space="preserve"> sus servidores públicos e integrantes, </w:t>
      </w:r>
      <w:r w:rsidRPr="00F444C4">
        <w:rPr>
          <w:rFonts w:ascii="Palatino Linotype" w:eastAsia="Times New Roman" w:hAnsi="Palatino Linotype" w:cs="Arial"/>
          <w:b/>
          <w:i/>
          <w:u w:val="single"/>
          <w:lang w:val="es-ES_tradnl" w:eastAsia="es-MX"/>
        </w:rPr>
        <w:t>sin importar su fuente o fecha de elaboración.</w:t>
      </w:r>
      <w:r w:rsidRPr="00F444C4">
        <w:rPr>
          <w:rFonts w:ascii="Palatino Linotype" w:eastAsia="Times New Roman" w:hAnsi="Palatino Linotype" w:cs="Arial"/>
          <w:i/>
          <w:lang w:val="es-ES_tradnl" w:eastAsia="es-MX"/>
        </w:rPr>
        <w:t xml:space="preserve"> Los documentos podrán estar en cualquier medio, sea escrito, impreso, sonoro, visual, electrónico, informático u holográfico;</w:t>
      </w:r>
    </w:p>
    <w:p w14:paraId="2F23CB7B" w14:textId="77777777" w:rsidR="0033283B" w:rsidRDefault="0033283B" w:rsidP="0033283B">
      <w:pPr>
        <w:spacing w:after="0" w:line="360" w:lineRule="auto"/>
        <w:ind w:left="567" w:right="616"/>
        <w:jc w:val="both"/>
        <w:rPr>
          <w:rFonts w:ascii="Palatino Linotype" w:eastAsia="Times New Roman" w:hAnsi="Palatino Linotype" w:cs="Arial"/>
          <w:i/>
          <w:lang w:val="es-ES_tradnl" w:eastAsia="es-MX"/>
        </w:rPr>
      </w:pPr>
      <w:r w:rsidRPr="00F444C4">
        <w:rPr>
          <w:rFonts w:ascii="Palatino Linotype" w:eastAsia="Times New Roman" w:hAnsi="Palatino Linotype" w:cs="Arial"/>
          <w:i/>
          <w:lang w:val="es-ES_tradnl" w:eastAsia="es-MX"/>
        </w:rPr>
        <w:t>(…)”</w:t>
      </w:r>
    </w:p>
    <w:p w14:paraId="0B41FACA" w14:textId="77777777" w:rsidR="0033283B" w:rsidRPr="00452B4D" w:rsidRDefault="0033283B" w:rsidP="0033283B">
      <w:pPr>
        <w:spacing w:after="0" w:line="360" w:lineRule="auto"/>
        <w:ind w:left="567" w:right="616"/>
        <w:jc w:val="both"/>
        <w:rPr>
          <w:rFonts w:ascii="Palatino Linotype" w:eastAsia="Times New Roman" w:hAnsi="Palatino Linotype" w:cs="Arial"/>
          <w:i/>
          <w:lang w:val="es-ES_tradnl" w:eastAsia="es-MX"/>
        </w:rPr>
      </w:pPr>
    </w:p>
    <w:p w14:paraId="7D3EC755" w14:textId="77777777" w:rsidR="0033283B" w:rsidRPr="00F444C4" w:rsidRDefault="0033283B" w:rsidP="0033283B">
      <w:pPr>
        <w:spacing w:before="240" w:after="240" w:line="360" w:lineRule="auto"/>
        <w:ind w:right="49"/>
        <w:contextualSpacing/>
        <w:jc w:val="both"/>
        <w:rPr>
          <w:rFonts w:ascii="Palatino Linotype" w:eastAsia="MS Mincho" w:hAnsi="Palatino Linotype" w:cs="Calibri"/>
          <w:sz w:val="24"/>
          <w:lang w:val="es-ES_tradnl" w:eastAsia="es-MX"/>
        </w:rPr>
      </w:pPr>
      <w:r w:rsidRPr="00F444C4">
        <w:rPr>
          <w:rFonts w:ascii="Palatino Linotype" w:eastAsia="Times New Roman" w:hAnsi="Palatino Linotype" w:cs="Arial"/>
          <w:sz w:val="24"/>
          <w:lang w:val="es-ES_tradnl" w:eastAsia="es-MX"/>
        </w:rPr>
        <w:t xml:space="preserve">Además, </w:t>
      </w:r>
      <w:r w:rsidRPr="00F444C4">
        <w:rPr>
          <w:rFonts w:ascii="Palatino Linotype" w:eastAsia="MS Mincho" w:hAnsi="Palatino Linotype" w:cs="Calibri"/>
          <w:sz w:val="24"/>
          <w:lang w:val="es-ES_tradnl" w:eastAsia="es-MX"/>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7211AB" w14:textId="77777777" w:rsidR="0033283B" w:rsidRPr="00AA7641" w:rsidRDefault="0033283B" w:rsidP="00CC7F20">
      <w:pPr>
        <w:spacing w:after="0" w:line="360" w:lineRule="auto"/>
        <w:ind w:right="616"/>
        <w:contextualSpacing/>
        <w:jc w:val="both"/>
        <w:rPr>
          <w:rFonts w:ascii="Palatino Linotype" w:eastAsia="Times New Roman" w:hAnsi="Palatino Linotype" w:cs="Arial"/>
          <w:i/>
          <w:lang w:val="es-ES_tradnl" w:eastAsia="gl-ES"/>
        </w:rPr>
      </w:pPr>
    </w:p>
    <w:p w14:paraId="6F1CCED2" w14:textId="77777777" w:rsidR="0033283B" w:rsidRPr="00F444C4" w:rsidRDefault="0033283B" w:rsidP="0033283B">
      <w:pPr>
        <w:spacing w:after="0" w:line="360" w:lineRule="auto"/>
        <w:contextualSpacing/>
        <w:jc w:val="both"/>
        <w:rPr>
          <w:rFonts w:ascii="Palatino Linotype" w:eastAsia="Times New Roman" w:hAnsi="Palatino Linotype" w:cs="Arial"/>
          <w:sz w:val="24"/>
          <w:lang w:val="es-ES_tradnl" w:eastAsia="es-MX"/>
        </w:rPr>
      </w:pPr>
      <w:r w:rsidRPr="00F444C4">
        <w:rPr>
          <w:rFonts w:ascii="Palatino Linotype" w:eastAsia="Times New Roman" w:hAnsi="Palatino Linotype" w:cs="Arial"/>
          <w:bCs/>
          <w:sz w:val="24"/>
          <w:lang w:val="es-ES_tradnl" w:eastAsia="es-MX"/>
        </w:rPr>
        <w:t xml:space="preserve">Además, </w:t>
      </w:r>
      <w:r w:rsidRPr="00F444C4">
        <w:rPr>
          <w:rFonts w:ascii="Palatino Linotype" w:eastAsia="Times New Roman" w:hAnsi="Palatino Linotype" w:cs="Arial"/>
          <w:sz w:val="24"/>
          <w:lang w:val="es-ES_tradnl" w:eastAsia="es-MX"/>
        </w:rPr>
        <w:t xml:space="preserve">a Ley de Transparencia y Acceso a la Información Pública del Estado de México y Municipios, prevé en su artículo 23, fracción IV, que son Sujetos Obligados a </w:t>
      </w:r>
      <w:r w:rsidRPr="00F444C4">
        <w:rPr>
          <w:rFonts w:ascii="Palatino Linotype" w:eastAsia="Times New Roman" w:hAnsi="Palatino Linotype" w:cs="Arial"/>
          <w:sz w:val="24"/>
          <w:lang w:val="es-ES_tradnl" w:eastAsia="es-MX"/>
        </w:rPr>
        <w:lastRenderedPageBreak/>
        <w:t>Transparentar y permitir el acceso a su información y proteger los datos que obren en su poder:</w:t>
      </w:r>
    </w:p>
    <w:p w14:paraId="3F373850" w14:textId="77777777" w:rsidR="0033283B" w:rsidRPr="00F444C4" w:rsidRDefault="0033283B" w:rsidP="0033283B">
      <w:pPr>
        <w:spacing w:after="0" w:line="240" w:lineRule="auto"/>
        <w:rPr>
          <w:rFonts w:ascii="Times New Roman" w:eastAsia="Times New Roman" w:hAnsi="Times New Roman" w:cs="Times New Roman"/>
          <w:sz w:val="24"/>
          <w:szCs w:val="24"/>
          <w:lang w:eastAsia="es-ES"/>
        </w:rPr>
      </w:pPr>
    </w:p>
    <w:p w14:paraId="44782FCD" w14:textId="77777777" w:rsidR="0033283B" w:rsidRPr="00F444C4" w:rsidRDefault="0033283B" w:rsidP="0033283B">
      <w:pPr>
        <w:spacing w:after="0" w:line="360" w:lineRule="auto"/>
        <w:ind w:left="567" w:right="616"/>
        <w:contextualSpacing/>
        <w:jc w:val="both"/>
        <w:rPr>
          <w:rFonts w:ascii="Palatino Linotype" w:eastAsia="Times New Roman" w:hAnsi="Palatino Linotype" w:cs="Arial"/>
          <w:i/>
          <w:lang w:val="es-ES_tradnl" w:eastAsia="es-MX"/>
        </w:rPr>
      </w:pPr>
      <w:r w:rsidRPr="00F444C4">
        <w:rPr>
          <w:rFonts w:ascii="Palatino Linotype" w:eastAsia="Times New Roman" w:hAnsi="Palatino Linotype" w:cs="Arial"/>
          <w:b/>
          <w:i/>
          <w:lang w:val="es-ES_tradnl" w:eastAsia="es-MX"/>
        </w:rPr>
        <w:t>Artículo 23.</w:t>
      </w:r>
      <w:r w:rsidRPr="00F444C4">
        <w:rPr>
          <w:rFonts w:ascii="Palatino Linotype" w:eastAsia="Times New Roman" w:hAnsi="Palatino Linotype" w:cs="Arial"/>
          <w:i/>
          <w:lang w:val="es-ES_tradnl" w:eastAsia="es-MX"/>
        </w:rPr>
        <w:t xml:space="preserve"> Son sujetos obligados a transparentar y permitir el acceso a su información y proteger los datos personales que obren en su poder:</w:t>
      </w:r>
    </w:p>
    <w:p w14:paraId="51CEA40A" w14:textId="77777777" w:rsidR="0033283B" w:rsidRPr="00F444C4" w:rsidRDefault="0033283B" w:rsidP="0033283B">
      <w:pPr>
        <w:spacing w:after="0" w:line="360" w:lineRule="auto"/>
        <w:ind w:left="567" w:right="616"/>
        <w:contextualSpacing/>
        <w:jc w:val="both"/>
        <w:rPr>
          <w:rFonts w:ascii="Palatino Linotype" w:eastAsia="Times New Roman" w:hAnsi="Palatino Linotype" w:cs="Arial"/>
          <w:b/>
          <w:i/>
          <w:lang w:val="es-ES_tradnl" w:eastAsia="es-MX"/>
        </w:rPr>
      </w:pPr>
    </w:p>
    <w:p w14:paraId="7F77E1EE" w14:textId="77777777" w:rsidR="0033283B" w:rsidRPr="00F444C4" w:rsidRDefault="0033283B" w:rsidP="0033283B">
      <w:pPr>
        <w:spacing w:after="0" w:line="360" w:lineRule="auto"/>
        <w:ind w:left="567" w:right="616"/>
        <w:contextualSpacing/>
        <w:jc w:val="both"/>
        <w:rPr>
          <w:rFonts w:ascii="Palatino Linotype" w:eastAsia="Times New Roman" w:hAnsi="Palatino Linotype" w:cs="Arial"/>
          <w:bCs/>
          <w:i/>
          <w:lang w:val="es-ES_tradnl" w:eastAsia="es-MX"/>
        </w:rPr>
      </w:pPr>
      <w:r w:rsidRPr="00F444C4">
        <w:rPr>
          <w:rFonts w:ascii="Palatino Linotype" w:eastAsia="Times New Roman" w:hAnsi="Palatino Linotype" w:cs="Arial"/>
          <w:b/>
          <w:i/>
          <w:lang w:val="es-ES_tradnl" w:eastAsia="es-MX"/>
        </w:rPr>
        <w:t xml:space="preserve">IV. </w:t>
      </w:r>
      <w:r w:rsidRPr="00F444C4">
        <w:rPr>
          <w:rFonts w:ascii="Palatino Linotype" w:eastAsia="Times New Roman" w:hAnsi="Palatino Linotype" w:cs="Arial"/>
          <w:bCs/>
          <w:i/>
          <w:lang w:val="es-ES_tradnl" w:eastAsia="es-MX"/>
        </w:rPr>
        <w:t>Los ayuntamientos y las dependencias, organismos, órganos y entidades de la administración municipal;</w:t>
      </w:r>
    </w:p>
    <w:p w14:paraId="3523608C" w14:textId="77777777" w:rsidR="001F296A" w:rsidRDefault="001F296A" w:rsidP="00CC7F20">
      <w:pPr>
        <w:spacing w:after="0" w:line="360" w:lineRule="auto"/>
        <w:jc w:val="both"/>
        <w:rPr>
          <w:rFonts w:ascii="Palatino Linotype" w:hAnsi="Palatino Linotype"/>
          <w:sz w:val="24"/>
          <w:szCs w:val="24"/>
        </w:rPr>
      </w:pPr>
    </w:p>
    <w:p w14:paraId="293BA2B8" w14:textId="77777777" w:rsidR="001F296A" w:rsidRPr="00F774FB" w:rsidRDefault="001F296A" w:rsidP="001F296A">
      <w:pPr>
        <w:spacing w:line="360" w:lineRule="auto"/>
        <w:jc w:val="both"/>
        <w:rPr>
          <w:rFonts w:ascii="Palatino Linotype" w:hAnsi="Palatino Linotype"/>
          <w:sz w:val="24"/>
          <w:szCs w:val="24"/>
        </w:rPr>
      </w:pPr>
      <w:r w:rsidRPr="0044218A">
        <w:rPr>
          <w:rFonts w:ascii="Palatino Linotype" w:hAnsi="Palatino Linotype"/>
          <w:sz w:val="24"/>
          <w:szCs w:val="24"/>
        </w:rPr>
        <w:t>De lo anterior, se procede a realizar un análisis de la información proporcionada por el Sujeto Obligado</w:t>
      </w:r>
      <w:r w:rsidRPr="0044218A">
        <w:rPr>
          <w:rFonts w:ascii="Palatino Linotype" w:hAnsi="Palatino Linotype"/>
          <w:color w:val="000000"/>
          <w:sz w:val="24"/>
          <w:szCs w:val="24"/>
        </w:rPr>
        <w:t>, cabe señalar que este, turnó la solicitud de información, a la Dirección de Administración</w:t>
      </w:r>
      <w:r>
        <w:rPr>
          <w:rFonts w:ascii="Palatino Linotype" w:hAnsi="Palatino Linotype"/>
          <w:sz w:val="24"/>
          <w:szCs w:val="24"/>
        </w:rPr>
        <w:t xml:space="preserve"> </w:t>
      </w:r>
      <w:r w:rsidRPr="0044218A">
        <w:rPr>
          <w:rFonts w:ascii="Palatino Linotype" w:hAnsi="Palatino Linotype"/>
          <w:color w:val="000000"/>
          <w:sz w:val="24"/>
          <w:szCs w:val="24"/>
        </w:rPr>
        <w:t>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FDE27BC" w14:textId="77777777" w:rsidR="001F296A" w:rsidRPr="0044218A" w:rsidRDefault="001F296A" w:rsidP="001F296A">
      <w:pPr>
        <w:spacing w:after="0" w:line="360" w:lineRule="auto"/>
        <w:ind w:right="-93"/>
        <w:jc w:val="both"/>
        <w:rPr>
          <w:rFonts w:ascii="Palatino Linotype" w:hAnsi="Palatino Linotype"/>
          <w:color w:val="000000"/>
          <w:sz w:val="24"/>
          <w:szCs w:val="24"/>
        </w:rPr>
      </w:pPr>
    </w:p>
    <w:p w14:paraId="38A74EA9" w14:textId="77777777" w:rsidR="001F296A" w:rsidRPr="0044218A" w:rsidRDefault="001F296A" w:rsidP="001F296A">
      <w:pPr>
        <w:numPr>
          <w:ilvl w:val="0"/>
          <w:numId w:val="26"/>
        </w:numPr>
        <w:pBdr>
          <w:top w:val="nil"/>
          <w:left w:val="nil"/>
          <w:bottom w:val="nil"/>
          <w:right w:val="nil"/>
          <w:between w:val="nil"/>
        </w:pBdr>
        <w:spacing w:after="0" w:line="360" w:lineRule="auto"/>
        <w:ind w:right="-93"/>
        <w:jc w:val="both"/>
        <w:rPr>
          <w:rFonts w:ascii="Palatino Linotype" w:hAnsi="Palatino Linotype"/>
          <w:color w:val="000000"/>
          <w:sz w:val="24"/>
          <w:szCs w:val="24"/>
        </w:rPr>
      </w:pPr>
      <w:r w:rsidRPr="0044218A">
        <w:rPr>
          <w:rFonts w:ascii="Palatino Linotype" w:hAnsi="Palatino Linotype"/>
          <w:color w:val="000000"/>
          <w:sz w:val="24"/>
          <w:szCs w:val="24"/>
        </w:rPr>
        <w:t xml:space="preserve">Las Unidades de Transparencia garantizarán que las solicitudes de acceso a la información se turnen a todas las áreas competentes que cuenten con </w:t>
      </w:r>
      <w:r w:rsidR="00DE6E8E">
        <w:rPr>
          <w:rFonts w:ascii="Palatino Linotype" w:hAnsi="Palatino Linotype"/>
          <w:color w:val="000000"/>
          <w:sz w:val="24"/>
          <w:szCs w:val="24"/>
        </w:rPr>
        <w:t xml:space="preserve">la información o deban tenerla </w:t>
      </w:r>
      <w:r w:rsidRPr="0044218A">
        <w:rPr>
          <w:rFonts w:ascii="Palatino Linotype" w:hAnsi="Palatino Linotype"/>
          <w:color w:val="000000"/>
          <w:sz w:val="24"/>
          <w:szCs w:val="24"/>
        </w:rPr>
        <w:t>de acuerdo a las facul</w:t>
      </w:r>
      <w:r>
        <w:rPr>
          <w:rFonts w:ascii="Palatino Linotype" w:hAnsi="Palatino Linotype"/>
          <w:color w:val="000000"/>
          <w:sz w:val="24"/>
          <w:szCs w:val="24"/>
        </w:rPr>
        <w:t>tades, competencias y funciones</w:t>
      </w:r>
      <w:r w:rsidRPr="0044218A">
        <w:rPr>
          <w:rFonts w:ascii="Palatino Linotype" w:hAnsi="Palatino Linotype"/>
          <w:color w:val="000000"/>
          <w:sz w:val="24"/>
          <w:szCs w:val="24"/>
        </w:rPr>
        <w:t xml:space="preserve">, con el objeto de que dichas áreas realicen una búsqueda exhaustiva y razonable de la información requerida, y </w:t>
      </w:r>
    </w:p>
    <w:p w14:paraId="05816A83" w14:textId="77777777" w:rsidR="001F296A" w:rsidRPr="0044218A" w:rsidRDefault="001F296A" w:rsidP="001F296A">
      <w:pPr>
        <w:pBdr>
          <w:top w:val="nil"/>
          <w:left w:val="nil"/>
          <w:bottom w:val="nil"/>
          <w:right w:val="nil"/>
          <w:between w:val="nil"/>
        </w:pBdr>
        <w:spacing w:after="0" w:line="360" w:lineRule="auto"/>
        <w:ind w:left="720" w:right="-93"/>
        <w:jc w:val="both"/>
        <w:rPr>
          <w:rFonts w:ascii="Palatino Linotype" w:hAnsi="Palatino Linotype"/>
          <w:color w:val="000000"/>
          <w:sz w:val="24"/>
          <w:szCs w:val="24"/>
        </w:rPr>
      </w:pPr>
    </w:p>
    <w:p w14:paraId="50DFD125" w14:textId="77777777" w:rsidR="001F296A" w:rsidRPr="0044218A" w:rsidRDefault="001F296A" w:rsidP="001F296A">
      <w:pPr>
        <w:numPr>
          <w:ilvl w:val="0"/>
          <w:numId w:val="26"/>
        </w:numPr>
        <w:pBdr>
          <w:top w:val="nil"/>
          <w:left w:val="nil"/>
          <w:bottom w:val="nil"/>
          <w:right w:val="nil"/>
          <w:between w:val="nil"/>
        </w:pBdr>
        <w:spacing w:after="0" w:line="360" w:lineRule="auto"/>
        <w:ind w:right="-93"/>
        <w:jc w:val="both"/>
        <w:rPr>
          <w:rFonts w:ascii="Palatino Linotype" w:hAnsi="Palatino Linotype"/>
          <w:color w:val="000000"/>
          <w:sz w:val="24"/>
          <w:szCs w:val="24"/>
        </w:rPr>
      </w:pPr>
      <w:r w:rsidRPr="0044218A">
        <w:rPr>
          <w:rFonts w:ascii="Palatino Linotype" w:hAnsi="Palatino Linotype"/>
          <w:color w:val="000000"/>
          <w:sz w:val="24"/>
          <w:szCs w:val="24"/>
        </w:rPr>
        <w:lastRenderedPageBreak/>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35676311" w14:textId="77777777" w:rsidR="001F296A" w:rsidRDefault="001F296A" w:rsidP="001F296A">
      <w:pPr>
        <w:spacing w:line="360" w:lineRule="auto"/>
        <w:jc w:val="both"/>
        <w:rPr>
          <w:rFonts w:ascii="Palatino Linotype" w:hAnsi="Palatino Linotype"/>
          <w:sz w:val="24"/>
          <w:szCs w:val="24"/>
        </w:rPr>
      </w:pPr>
    </w:p>
    <w:p w14:paraId="5A5048DC" w14:textId="77777777" w:rsidR="001F296A" w:rsidRDefault="001F296A" w:rsidP="001F296A">
      <w:pPr>
        <w:spacing w:after="0" w:line="360" w:lineRule="auto"/>
        <w:ind w:right="-93"/>
        <w:jc w:val="both"/>
        <w:rPr>
          <w:rFonts w:ascii="Palatino Linotype" w:hAnsi="Palatino Linotype"/>
          <w:sz w:val="24"/>
          <w:szCs w:val="24"/>
        </w:rPr>
      </w:pPr>
      <w:r w:rsidRPr="00F774FB">
        <w:rPr>
          <w:rFonts w:ascii="Palatino Linotype" w:hAnsi="Palatino Linotype"/>
          <w:color w:val="000000"/>
          <w:sz w:val="24"/>
          <w:szCs w:val="24"/>
        </w:rPr>
        <w:t>Atendiendo a lo dispuesto en los preceptos legales de referencia, a efecto de determinar si el Sujeto Obligado cumplió con el procedimiento de búsqueda, resulta necesario traer a colación el artículo</w:t>
      </w:r>
      <w:r>
        <w:rPr>
          <w:rFonts w:ascii="Palatino Linotype" w:hAnsi="Palatino Linotype"/>
          <w:color w:val="000000"/>
          <w:sz w:val="24"/>
          <w:szCs w:val="24"/>
        </w:rPr>
        <w:t xml:space="preserve"> 39 fracciones I, X, XIII y XV del </w:t>
      </w:r>
      <w:r w:rsidR="004261FD">
        <w:rPr>
          <w:rFonts w:ascii="Palatino Linotype" w:hAnsi="Palatino Linotype"/>
          <w:color w:val="000000"/>
          <w:sz w:val="24"/>
          <w:szCs w:val="24"/>
        </w:rPr>
        <w:t xml:space="preserve"> </w:t>
      </w:r>
      <w:r w:rsidRPr="004261FD">
        <w:rPr>
          <w:rFonts w:ascii="Palatino Linotype" w:hAnsi="Palatino Linotype"/>
          <w:sz w:val="24"/>
          <w:szCs w:val="24"/>
        </w:rPr>
        <w:t>Reglamento Interior Organismo Público Descentralizado para la Prestación de los Servicios de Agua Potable Alcantarillado y Saneamiento del Municipio de Tlalnepantla</w:t>
      </w:r>
      <w:r w:rsidR="004261FD" w:rsidRPr="004261FD">
        <w:rPr>
          <w:rFonts w:ascii="Palatino Linotype" w:hAnsi="Palatino Linotype"/>
          <w:sz w:val="24"/>
          <w:szCs w:val="24"/>
        </w:rPr>
        <w:t xml:space="preserve"> de Baz</w:t>
      </w:r>
      <w:r w:rsidRPr="00F774FB">
        <w:rPr>
          <w:rFonts w:ascii="Palatino Linotype" w:hAnsi="Palatino Linotype"/>
          <w:color w:val="000000"/>
          <w:sz w:val="24"/>
          <w:szCs w:val="24"/>
        </w:rPr>
        <w:t>, el cual establece que la Dirección de Administración</w:t>
      </w:r>
      <w:r>
        <w:rPr>
          <w:rFonts w:ascii="Palatino Linotype" w:hAnsi="Palatino Linotype"/>
          <w:color w:val="000000"/>
          <w:sz w:val="24"/>
          <w:szCs w:val="24"/>
        </w:rPr>
        <w:t>, Finanzas y Comercialización es el área encargada de establecer acciones administrativas encaminadas a una óptima y eficaz administración de los recursos teniendo como atribución la vigilancia, administración y control de</w:t>
      </w:r>
      <w:r w:rsidR="004261FD">
        <w:rPr>
          <w:rFonts w:ascii="Palatino Linotype" w:hAnsi="Palatino Linotype"/>
          <w:color w:val="000000"/>
          <w:sz w:val="24"/>
          <w:szCs w:val="24"/>
        </w:rPr>
        <w:t xml:space="preserve"> </w:t>
      </w:r>
      <w:r>
        <w:rPr>
          <w:rFonts w:ascii="Palatino Linotype" w:hAnsi="Palatino Linotype"/>
          <w:color w:val="000000"/>
          <w:sz w:val="24"/>
          <w:szCs w:val="24"/>
        </w:rPr>
        <w:t xml:space="preserve">los recursos humanos así como </w:t>
      </w:r>
      <w:r w:rsidR="004261FD">
        <w:rPr>
          <w:rFonts w:ascii="Palatino Linotype" w:hAnsi="Palatino Linotype"/>
          <w:sz w:val="24"/>
          <w:szCs w:val="24"/>
        </w:rPr>
        <w:t>i</w:t>
      </w:r>
      <w:r w:rsidRPr="002B67AE">
        <w:rPr>
          <w:rFonts w:ascii="Palatino Linotype" w:hAnsi="Palatino Linotype"/>
          <w:sz w:val="24"/>
          <w:szCs w:val="24"/>
        </w:rPr>
        <w:t>ntegrar, administrar, vigilar y controlar los presupuestos de ingresos y egresos</w:t>
      </w:r>
      <w:r>
        <w:rPr>
          <w:rFonts w:ascii="Palatino Linotype" w:hAnsi="Palatino Linotype"/>
          <w:sz w:val="24"/>
          <w:szCs w:val="24"/>
        </w:rPr>
        <w:t xml:space="preserve">, conforme lo siguiente; </w:t>
      </w:r>
    </w:p>
    <w:p w14:paraId="5507F6EA" w14:textId="77777777" w:rsidR="001F296A" w:rsidRPr="00782B28" w:rsidRDefault="001F296A" w:rsidP="001F296A">
      <w:pPr>
        <w:spacing w:after="0" w:line="360" w:lineRule="auto"/>
        <w:ind w:right="-93"/>
        <w:jc w:val="both"/>
        <w:rPr>
          <w:rFonts w:ascii="Palatino Linotype" w:hAnsi="Palatino Linotype"/>
          <w:color w:val="000000"/>
          <w:sz w:val="24"/>
          <w:szCs w:val="24"/>
        </w:rPr>
      </w:pPr>
    </w:p>
    <w:p w14:paraId="2D98446D" w14:textId="77777777" w:rsidR="001F296A" w:rsidRPr="00782B28" w:rsidRDefault="001F296A" w:rsidP="001F296A">
      <w:pPr>
        <w:spacing w:line="360" w:lineRule="auto"/>
        <w:ind w:left="708"/>
        <w:jc w:val="center"/>
        <w:rPr>
          <w:rFonts w:ascii="Palatino Linotype" w:hAnsi="Palatino Linotype"/>
          <w:i/>
        </w:rPr>
      </w:pPr>
      <w:r>
        <w:rPr>
          <w:rFonts w:ascii="Palatino Linotype" w:hAnsi="Palatino Linotype"/>
          <w:i/>
        </w:rPr>
        <w:t>“</w:t>
      </w:r>
      <w:r w:rsidRPr="00782B28">
        <w:rPr>
          <w:rFonts w:ascii="Palatino Linotype" w:hAnsi="Palatino Linotype"/>
          <w:b/>
          <w:i/>
        </w:rPr>
        <w:t>DIRECCIÓN DE ADMINISTRACIÓN, FINANZAS Y COMERCIALIZACIÓN</w:t>
      </w:r>
    </w:p>
    <w:p w14:paraId="4585E622" w14:textId="77777777" w:rsidR="001F296A" w:rsidRPr="00782B28" w:rsidRDefault="001F296A" w:rsidP="001F296A">
      <w:pPr>
        <w:spacing w:line="360" w:lineRule="auto"/>
        <w:ind w:left="708"/>
        <w:jc w:val="both"/>
        <w:rPr>
          <w:rFonts w:ascii="Palatino Linotype" w:hAnsi="Palatino Linotype"/>
          <w:i/>
        </w:rPr>
      </w:pPr>
      <w:r w:rsidRPr="00782B28">
        <w:rPr>
          <w:rFonts w:ascii="Palatino Linotype" w:hAnsi="Palatino Linotype"/>
          <w:i/>
        </w:rPr>
        <w:t xml:space="preserve"> </w:t>
      </w:r>
      <w:r w:rsidRPr="00782B28">
        <w:rPr>
          <w:rFonts w:ascii="Palatino Linotype" w:hAnsi="Palatino Linotype"/>
          <w:b/>
          <w:i/>
        </w:rPr>
        <w:t>Artículo 39.</w:t>
      </w:r>
      <w:r w:rsidRPr="00782B28">
        <w:rPr>
          <w:rFonts w:ascii="Palatino Linotype" w:hAnsi="Palatino Linotype"/>
          <w:i/>
        </w:rPr>
        <w:t>- Conducir estratégicamente las acciones administrativas, financieras y económicas del Organismo Público Descentralizado para la Prestación de los Servicios de Agua Potable, Alcantarillado y Saneamiento del Municipio de Tlalnepantla, México; induciendo la óptima comercialización de los servicios y eficaz administración de los recursos, procurando en todo momento el equilibrio financiero. Y tendrá las siguientes atribuciones y facultades:</w:t>
      </w:r>
    </w:p>
    <w:p w14:paraId="3CDA8CB4" w14:textId="77777777" w:rsidR="001F296A" w:rsidRPr="00782B28" w:rsidRDefault="001F296A" w:rsidP="001F296A">
      <w:pPr>
        <w:pStyle w:val="Prrafodelista"/>
        <w:numPr>
          <w:ilvl w:val="0"/>
          <w:numId w:val="31"/>
        </w:numPr>
        <w:rPr>
          <w:i/>
          <w:sz w:val="22"/>
          <w:szCs w:val="22"/>
        </w:rPr>
      </w:pPr>
      <w:r w:rsidRPr="00782B28">
        <w:rPr>
          <w:i/>
          <w:sz w:val="22"/>
          <w:szCs w:val="22"/>
        </w:rPr>
        <w:lastRenderedPageBreak/>
        <w:t xml:space="preserve">Planificar, </w:t>
      </w:r>
      <w:r w:rsidRPr="00782B28">
        <w:rPr>
          <w:b/>
          <w:i/>
          <w:sz w:val="22"/>
          <w:szCs w:val="22"/>
        </w:rPr>
        <w:t>organizar y controlar las actividades económicas</w:t>
      </w:r>
      <w:r w:rsidRPr="00782B28">
        <w:rPr>
          <w:i/>
          <w:sz w:val="22"/>
          <w:szCs w:val="22"/>
        </w:rPr>
        <w:t xml:space="preserve"> del organismo;</w:t>
      </w:r>
    </w:p>
    <w:p w14:paraId="2754B3E1" w14:textId="77777777" w:rsidR="001F296A" w:rsidRPr="00782B28" w:rsidRDefault="001F296A" w:rsidP="001F296A">
      <w:pPr>
        <w:pStyle w:val="Prrafodelista"/>
        <w:ind w:left="2136"/>
        <w:rPr>
          <w:i/>
          <w:sz w:val="22"/>
          <w:szCs w:val="22"/>
        </w:rPr>
      </w:pPr>
      <w:r w:rsidRPr="00782B28">
        <w:rPr>
          <w:i/>
          <w:sz w:val="22"/>
          <w:szCs w:val="22"/>
        </w:rPr>
        <w:t>(…)</w:t>
      </w:r>
    </w:p>
    <w:p w14:paraId="77857416" w14:textId="77777777" w:rsidR="001F296A" w:rsidRPr="00782B28" w:rsidRDefault="001F296A" w:rsidP="001F296A">
      <w:pPr>
        <w:ind w:left="708" w:firstLine="708"/>
        <w:rPr>
          <w:rFonts w:ascii="Palatino Linotype" w:hAnsi="Palatino Linotype"/>
          <w:i/>
        </w:rPr>
      </w:pPr>
      <w:r w:rsidRPr="00782B28">
        <w:rPr>
          <w:rFonts w:ascii="Palatino Linotype" w:hAnsi="Palatino Linotype"/>
          <w:b/>
          <w:i/>
        </w:rPr>
        <w:t xml:space="preserve">X. </w:t>
      </w:r>
      <w:r w:rsidRPr="00782B28">
        <w:rPr>
          <w:rFonts w:ascii="Palatino Linotype" w:hAnsi="Palatino Linotype"/>
          <w:b/>
          <w:i/>
        </w:rPr>
        <w:tab/>
        <w:t xml:space="preserve"> Administrar, vigilar y controlar los recursos humanos</w:t>
      </w:r>
      <w:r w:rsidRPr="00782B28">
        <w:rPr>
          <w:rFonts w:ascii="Palatino Linotype" w:hAnsi="Palatino Linotype"/>
          <w:i/>
        </w:rPr>
        <w:t xml:space="preserve">; </w:t>
      </w:r>
    </w:p>
    <w:p w14:paraId="55C3566B" w14:textId="77777777" w:rsidR="001F296A" w:rsidRPr="00782B28" w:rsidRDefault="001F296A" w:rsidP="001F296A">
      <w:pPr>
        <w:pStyle w:val="Prrafodelista"/>
        <w:ind w:left="2136"/>
        <w:rPr>
          <w:i/>
          <w:sz w:val="22"/>
          <w:szCs w:val="22"/>
        </w:rPr>
      </w:pPr>
      <w:r w:rsidRPr="00782B28">
        <w:rPr>
          <w:b/>
          <w:i/>
          <w:sz w:val="22"/>
          <w:szCs w:val="22"/>
        </w:rPr>
        <w:t>(</w:t>
      </w:r>
      <w:r w:rsidRPr="00782B28">
        <w:rPr>
          <w:i/>
          <w:sz w:val="22"/>
          <w:szCs w:val="22"/>
        </w:rPr>
        <w:t>…)</w:t>
      </w:r>
    </w:p>
    <w:p w14:paraId="41D72C66" w14:textId="77777777" w:rsidR="001F296A" w:rsidRPr="00782B28" w:rsidRDefault="001F296A" w:rsidP="001F296A">
      <w:pPr>
        <w:ind w:left="2124" w:hanging="708"/>
        <w:rPr>
          <w:rFonts w:ascii="Palatino Linotype" w:hAnsi="Palatino Linotype"/>
          <w:i/>
        </w:rPr>
      </w:pPr>
      <w:r w:rsidRPr="00782B28">
        <w:rPr>
          <w:rFonts w:ascii="Palatino Linotype" w:hAnsi="Palatino Linotype"/>
          <w:b/>
          <w:i/>
        </w:rPr>
        <w:t xml:space="preserve">XIII. </w:t>
      </w:r>
      <w:r w:rsidRPr="00782B28">
        <w:rPr>
          <w:rFonts w:ascii="Palatino Linotype" w:hAnsi="Palatino Linotype"/>
          <w:b/>
          <w:i/>
        </w:rPr>
        <w:tab/>
        <w:t>Integrar, administrar, vigilar y controlar los presupuestos de ingresos y egresos de conformidad con las disposiciones legales aplicables</w:t>
      </w:r>
      <w:r w:rsidRPr="00782B28">
        <w:rPr>
          <w:rFonts w:ascii="Palatino Linotype" w:hAnsi="Palatino Linotype"/>
          <w:i/>
        </w:rPr>
        <w:t xml:space="preserve">; </w:t>
      </w:r>
    </w:p>
    <w:p w14:paraId="76CF239C" w14:textId="77777777" w:rsidR="001F296A" w:rsidRPr="00782B28" w:rsidRDefault="001F296A" w:rsidP="001F296A">
      <w:pPr>
        <w:pStyle w:val="Prrafodelista"/>
        <w:ind w:left="2136"/>
        <w:rPr>
          <w:i/>
          <w:sz w:val="22"/>
          <w:szCs w:val="22"/>
        </w:rPr>
      </w:pPr>
      <w:r w:rsidRPr="00782B28">
        <w:rPr>
          <w:i/>
          <w:sz w:val="22"/>
          <w:szCs w:val="22"/>
        </w:rPr>
        <w:t>(…)</w:t>
      </w:r>
    </w:p>
    <w:p w14:paraId="039620B8" w14:textId="77777777" w:rsidR="001F296A" w:rsidRPr="00782B28" w:rsidRDefault="001F296A" w:rsidP="001F296A">
      <w:pPr>
        <w:pStyle w:val="Prrafodelista"/>
        <w:numPr>
          <w:ilvl w:val="0"/>
          <w:numId w:val="32"/>
        </w:numPr>
        <w:rPr>
          <w:i/>
          <w:sz w:val="22"/>
          <w:szCs w:val="22"/>
        </w:rPr>
      </w:pPr>
      <w:r w:rsidRPr="00782B28">
        <w:rPr>
          <w:b/>
          <w:i/>
          <w:sz w:val="22"/>
          <w:szCs w:val="22"/>
        </w:rPr>
        <w:t>Abrir, administrar y en su caso cancelar cuentas bancarias</w:t>
      </w:r>
      <w:r w:rsidRPr="00782B28">
        <w:rPr>
          <w:i/>
          <w:sz w:val="22"/>
          <w:szCs w:val="22"/>
        </w:rPr>
        <w:t>;</w:t>
      </w:r>
    </w:p>
    <w:p w14:paraId="3171EEDD" w14:textId="77777777" w:rsidR="001F296A" w:rsidRPr="00F774FB" w:rsidRDefault="001F296A" w:rsidP="001F296A">
      <w:pPr>
        <w:spacing w:line="360" w:lineRule="auto"/>
        <w:jc w:val="both"/>
        <w:rPr>
          <w:rFonts w:ascii="Palatino Linotype" w:hAnsi="Palatino Linotype"/>
          <w:sz w:val="24"/>
          <w:szCs w:val="24"/>
        </w:rPr>
      </w:pPr>
    </w:p>
    <w:p w14:paraId="7AE55AB7" w14:textId="77777777" w:rsidR="001F296A" w:rsidRPr="009D18F4" w:rsidRDefault="001F296A" w:rsidP="001F296A">
      <w:pPr>
        <w:spacing w:line="360" w:lineRule="auto"/>
        <w:jc w:val="both"/>
        <w:rPr>
          <w:rFonts w:ascii="Palatino Linotype" w:hAnsi="Palatino Linotype"/>
          <w:color w:val="000000"/>
          <w:sz w:val="24"/>
          <w:szCs w:val="24"/>
        </w:rPr>
      </w:pPr>
      <w:r>
        <w:rPr>
          <w:rFonts w:ascii="Palatino Linotype" w:hAnsi="Palatino Linotype"/>
          <w:sz w:val="24"/>
          <w:szCs w:val="24"/>
        </w:rPr>
        <w:t xml:space="preserve">Conforme lo descrito con anterioridad es de precisarse que la </w:t>
      </w:r>
      <w:r w:rsidRPr="00F774FB">
        <w:rPr>
          <w:rFonts w:ascii="Palatino Linotype" w:hAnsi="Palatino Linotype"/>
          <w:color w:val="000000"/>
          <w:sz w:val="24"/>
          <w:szCs w:val="24"/>
        </w:rPr>
        <w:t>Dirección de Administración</w:t>
      </w:r>
      <w:r>
        <w:rPr>
          <w:rFonts w:ascii="Palatino Linotype" w:hAnsi="Palatino Linotype"/>
          <w:color w:val="000000"/>
          <w:sz w:val="24"/>
          <w:szCs w:val="24"/>
        </w:rPr>
        <w:t xml:space="preserve">, Finanzas y Comercialización a su vez se auxilia de diversas subdirecciones entre las cuales es de nuestro interés la Subdirección de Administración la cual conforme el articulo 41 </w:t>
      </w:r>
      <w:r w:rsidRPr="002B67AE">
        <w:rPr>
          <w:rFonts w:ascii="Palatino Linotype" w:hAnsi="Palatino Linotype" w:cs="Arial"/>
          <w:color w:val="333333"/>
          <w:sz w:val="24"/>
          <w:szCs w:val="24"/>
          <w:shd w:val="clear" w:color="auto" w:fill="FFFFFF"/>
        </w:rPr>
        <w:t>Reglamento Interior</w:t>
      </w:r>
      <w:r>
        <w:rPr>
          <w:rFonts w:ascii="Palatino Linotype" w:hAnsi="Palatino Linotype" w:cs="Arial"/>
          <w:color w:val="333333"/>
          <w:sz w:val="24"/>
          <w:szCs w:val="24"/>
          <w:shd w:val="clear" w:color="auto" w:fill="FFFFFF"/>
        </w:rPr>
        <w:t xml:space="preserve"> del Sujeto Obligado</w:t>
      </w:r>
      <w:r>
        <w:rPr>
          <w:rFonts w:ascii="Palatino Linotype" w:hAnsi="Palatino Linotype"/>
          <w:color w:val="000000"/>
          <w:sz w:val="24"/>
          <w:szCs w:val="24"/>
        </w:rPr>
        <w:t xml:space="preserve"> dirige, planea y coordina el área de recursos humanos con la finalidad de implementar proyectos dirigidos a la eficaz administración de los recursos materiales y humanos por lo que p</w:t>
      </w:r>
      <w:r w:rsidR="004261FD">
        <w:rPr>
          <w:rFonts w:ascii="Palatino Linotype" w:hAnsi="Palatino Linotype"/>
          <w:color w:val="000000"/>
          <w:sz w:val="24"/>
          <w:szCs w:val="24"/>
        </w:rPr>
        <w:t>ara su eficiencia  de acuerdo a los</w:t>
      </w:r>
      <w:r>
        <w:rPr>
          <w:rFonts w:ascii="Palatino Linotype" w:hAnsi="Palatino Linotype"/>
          <w:color w:val="000000"/>
          <w:sz w:val="24"/>
          <w:szCs w:val="24"/>
        </w:rPr>
        <w:t xml:space="preserve"> artículo</w:t>
      </w:r>
      <w:r w:rsidR="004261FD">
        <w:rPr>
          <w:rFonts w:ascii="Palatino Linotype" w:hAnsi="Palatino Linotype"/>
          <w:color w:val="000000"/>
          <w:sz w:val="24"/>
          <w:szCs w:val="24"/>
        </w:rPr>
        <w:t>s</w:t>
      </w:r>
      <w:r>
        <w:rPr>
          <w:rFonts w:ascii="Palatino Linotype" w:hAnsi="Palatino Linotype"/>
          <w:color w:val="000000"/>
          <w:sz w:val="24"/>
          <w:szCs w:val="24"/>
        </w:rPr>
        <w:t xml:space="preserve"> 42 y 43 se auxiliara del Departamento de Recursos Humanos </w:t>
      </w:r>
      <w:r>
        <w:rPr>
          <w:rFonts w:ascii="Palatino Linotype" w:hAnsi="Palatino Linotype"/>
          <w:sz w:val="24"/>
          <w:szCs w:val="24"/>
        </w:rPr>
        <w:t>el cual planea y supervisa</w:t>
      </w:r>
      <w:r w:rsidRPr="00F067A6">
        <w:rPr>
          <w:rFonts w:ascii="Palatino Linotype" w:hAnsi="Palatino Linotype"/>
          <w:sz w:val="24"/>
          <w:szCs w:val="24"/>
        </w:rPr>
        <w:t xml:space="preserve"> las funciones y actividades</w:t>
      </w:r>
      <w:r>
        <w:rPr>
          <w:rFonts w:ascii="Palatino Linotype" w:hAnsi="Palatino Linotype"/>
          <w:sz w:val="24"/>
          <w:szCs w:val="24"/>
        </w:rPr>
        <w:t xml:space="preserve"> de las unidades administrativa, e</w:t>
      </w:r>
      <w:r w:rsidRPr="00F067A6">
        <w:rPr>
          <w:rFonts w:ascii="Palatino Linotype" w:hAnsi="Palatino Linotype"/>
          <w:sz w:val="24"/>
          <w:szCs w:val="24"/>
        </w:rPr>
        <w:t xml:space="preserve">laboración, tramitación y pago oportuno de las </w:t>
      </w:r>
      <w:r>
        <w:rPr>
          <w:rFonts w:ascii="Palatino Linotype" w:hAnsi="Palatino Linotype"/>
          <w:sz w:val="24"/>
          <w:szCs w:val="24"/>
        </w:rPr>
        <w:t>remuneraciones de los empleados, c</w:t>
      </w:r>
      <w:r w:rsidRPr="00F067A6">
        <w:rPr>
          <w:rFonts w:ascii="Palatino Linotype" w:hAnsi="Palatino Linotype"/>
          <w:sz w:val="24"/>
          <w:szCs w:val="24"/>
        </w:rPr>
        <w:t>oordinar las actividades de sus unidades administrativas y verificar que estas se lleven a cabo de manera adecuada, a fin de lograr el cumplimiento de las metas establecidas en el P</w:t>
      </w:r>
      <w:r>
        <w:rPr>
          <w:rFonts w:ascii="Palatino Linotype" w:hAnsi="Palatino Linotype"/>
          <w:sz w:val="24"/>
          <w:szCs w:val="24"/>
        </w:rPr>
        <w:t xml:space="preserve">lan de Desarrollo del Organismo en los términos siguientes; </w:t>
      </w:r>
    </w:p>
    <w:p w14:paraId="4BD614CB" w14:textId="77777777" w:rsidR="001F296A" w:rsidRPr="00F067A6" w:rsidRDefault="001F296A" w:rsidP="001F296A">
      <w:pPr>
        <w:spacing w:line="360" w:lineRule="auto"/>
        <w:jc w:val="both"/>
        <w:rPr>
          <w:rFonts w:ascii="Palatino Linotype" w:hAnsi="Palatino Linotype"/>
          <w:sz w:val="24"/>
          <w:szCs w:val="24"/>
        </w:rPr>
      </w:pPr>
    </w:p>
    <w:p w14:paraId="6EE88264" w14:textId="77777777" w:rsidR="001F296A" w:rsidRPr="00F067A6" w:rsidRDefault="004261FD" w:rsidP="001F296A">
      <w:pPr>
        <w:spacing w:line="360" w:lineRule="auto"/>
        <w:ind w:firstLine="708"/>
        <w:jc w:val="center"/>
        <w:rPr>
          <w:rFonts w:ascii="Palatino Linotype" w:hAnsi="Palatino Linotype"/>
          <w:b/>
          <w:i/>
        </w:rPr>
      </w:pPr>
      <w:r>
        <w:rPr>
          <w:rFonts w:ascii="Palatino Linotype" w:hAnsi="Palatino Linotype"/>
          <w:b/>
          <w:i/>
        </w:rPr>
        <w:lastRenderedPageBreak/>
        <w:t>“</w:t>
      </w:r>
      <w:r w:rsidR="001F296A" w:rsidRPr="00F067A6">
        <w:rPr>
          <w:rFonts w:ascii="Palatino Linotype" w:hAnsi="Palatino Linotype"/>
          <w:b/>
          <w:i/>
        </w:rPr>
        <w:t>DE LA SUBDIRECCIÓN DE ADMINISTRACIÓN</w:t>
      </w:r>
    </w:p>
    <w:p w14:paraId="68DF1D94" w14:textId="77777777" w:rsidR="001F296A" w:rsidRPr="00F067A6" w:rsidRDefault="001F296A" w:rsidP="001F296A">
      <w:pPr>
        <w:spacing w:line="360" w:lineRule="auto"/>
        <w:ind w:left="708"/>
        <w:jc w:val="both"/>
        <w:rPr>
          <w:rFonts w:ascii="Palatino Linotype" w:hAnsi="Palatino Linotype"/>
          <w:i/>
        </w:rPr>
      </w:pPr>
      <w:r w:rsidRPr="00F067A6">
        <w:rPr>
          <w:rFonts w:ascii="Palatino Linotype" w:hAnsi="Palatino Linotype"/>
          <w:b/>
          <w:i/>
        </w:rPr>
        <w:t>Artículo 41.- Dirigir, planear y coordinar las áreas de</w:t>
      </w:r>
      <w:r w:rsidRPr="00F067A6">
        <w:rPr>
          <w:rFonts w:ascii="Palatino Linotype" w:hAnsi="Palatino Linotype"/>
          <w:i/>
        </w:rPr>
        <w:t xml:space="preserve"> Adquisiciones, Patrimonio y Servicios Generales, y </w:t>
      </w:r>
      <w:r w:rsidRPr="00F067A6">
        <w:rPr>
          <w:rFonts w:ascii="Palatino Linotype" w:hAnsi="Palatino Linotype"/>
          <w:b/>
          <w:i/>
        </w:rPr>
        <w:t>Recursos Humanos; para implementar proyectos dirigidos a la eficaz administración de los recursos materiales y humanos de la organización.</w:t>
      </w:r>
      <w:r w:rsidRPr="00F067A6">
        <w:rPr>
          <w:rFonts w:ascii="Palatino Linotype" w:hAnsi="Palatino Linotype"/>
          <w:i/>
        </w:rPr>
        <w:t xml:space="preserve"> Planear y supervisar las funciones y actividades de las unidades administrativas que integran la Subdirección de Administración, para el logro eficaz del objetivo general de esta dependencia. Coordinar las actividades de esas unidades y verificar que estas se lleven a cabo de manera adecuada, a fin de lograr el cumplimiento de las metas establecidas en el Plan de Desarrollo del Organismo. Y tendrá las siguientes atribuciones y facultades:</w:t>
      </w:r>
    </w:p>
    <w:p w14:paraId="527E9C4B" w14:textId="77777777" w:rsidR="001F296A" w:rsidRPr="00F067A6" w:rsidRDefault="001F296A" w:rsidP="001F296A">
      <w:pPr>
        <w:pStyle w:val="Prrafodelista"/>
        <w:numPr>
          <w:ilvl w:val="0"/>
          <w:numId w:val="33"/>
        </w:numPr>
        <w:rPr>
          <w:i/>
          <w:sz w:val="22"/>
          <w:szCs w:val="22"/>
        </w:rPr>
      </w:pPr>
      <w:r w:rsidRPr="00F067A6">
        <w:rPr>
          <w:i/>
          <w:sz w:val="22"/>
          <w:szCs w:val="22"/>
        </w:rPr>
        <w:t xml:space="preserve">Consolidar los requerimientos de bienes y servicios de las unidades administrativas, en base a su programación; </w:t>
      </w:r>
    </w:p>
    <w:p w14:paraId="5E3EC7CE" w14:textId="77777777" w:rsidR="001F296A" w:rsidRPr="00F067A6" w:rsidRDefault="001F296A" w:rsidP="001F296A">
      <w:pPr>
        <w:pStyle w:val="Prrafodelista"/>
        <w:numPr>
          <w:ilvl w:val="0"/>
          <w:numId w:val="33"/>
        </w:numPr>
        <w:rPr>
          <w:b/>
          <w:bCs/>
          <w:i/>
          <w:iCs/>
          <w:sz w:val="22"/>
          <w:szCs w:val="22"/>
          <w:u w:val="single"/>
        </w:rPr>
      </w:pPr>
      <w:r w:rsidRPr="00F067A6">
        <w:rPr>
          <w:i/>
          <w:sz w:val="22"/>
          <w:szCs w:val="22"/>
        </w:rPr>
        <w:t xml:space="preserve">Establecer e implementar los procedimientos para adquirir, recibir, almacenar, registrar, controlar y distribuir los bienes y servicios; </w:t>
      </w:r>
    </w:p>
    <w:p w14:paraId="29840C85" w14:textId="77777777" w:rsidR="001F296A" w:rsidRPr="00F067A6" w:rsidRDefault="001F296A" w:rsidP="001F296A">
      <w:pPr>
        <w:pStyle w:val="Prrafodelista"/>
        <w:numPr>
          <w:ilvl w:val="0"/>
          <w:numId w:val="33"/>
        </w:numPr>
        <w:rPr>
          <w:b/>
          <w:bCs/>
          <w:i/>
          <w:iCs/>
          <w:sz w:val="22"/>
          <w:szCs w:val="22"/>
          <w:u w:val="single"/>
        </w:rPr>
      </w:pPr>
      <w:r w:rsidRPr="00F067A6">
        <w:rPr>
          <w:i/>
          <w:sz w:val="22"/>
          <w:szCs w:val="22"/>
        </w:rPr>
        <w:t xml:space="preserve">Asegurar el funcionamiento y actualización de los equipos móviles de radiocomunicación; </w:t>
      </w:r>
    </w:p>
    <w:p w14:paraId="49E10642" w14:textId="77777777" w:rsidR="001F296A" w:rsidRPr="00F067A6" w:rsidRDefault="001F296A" w:rsidP="001F296A">
      <w:pPr>
        <w:pStyle w:val="Prrafodelista"/>
        <w:numPr>
          <w:ilvl w:val="0"/>
          <w:numId w:val="33"/>
        </w:numPr>
        <w:rPr>
          <w:b/>
          <w:bCs/>
          <w:i/>
          <w:iCs/>
          <w:sz w:val="22"/>
          <w:szCs w:val="22"/>
          <w:u w:val="single"/>
        </w:rPr>
      </w:pPr>
      <w:r w:rsidRPr="00F067A6">
        <w:rPr>
          <w:b/>
          <w:i/>
          <w:sz w:val="22"/>
          <w:szCs w:val="22"/>
        </w:rPr>
        <w:t xml:space="preserve">Atender las relaciones laborales del Organismo; </w:t>
      </w:r>
    </w:p>
    <w:p w14:paraId="58B9F7CE" w14:textId="77777777" w:rsidR="001F296A" w:rsidRPr="00F067A6" w:rsidRDefault="001F296A" w:rsidP="001F296A">
      <w:pPr>
        <w:pStyle w:val="Prrafodelista"/>
        <w:numPr>
          <w:ilvl w:val="0"/>
          <w:numId w:val="33"/>
        </w:numPr>
        <w:rPr>
          <w:b/>
          <w:bCs/>
          <w:i/>
          <w:iCs/>
          <w:sz w:val="22"/>
          <w:szCs w:val="22"/>
          <w:u w:val="single"/>
        </w:rPr>
      </w:pPr>
      <w:r w:rsidRPr="00F067A6">
        <w:rPr>
          <w:i/>
          <w:sz w:val="22"/>
          <w:szCs w:val="22"/>
        </w:rPr>
        <w:t xml:space="preserve">Fomentar el desarrollo profesional y personal de todos los empleados del Organismo; </w:t>
      </w:r>
    </w:p>
    <w:p w14:paraId="71646DE7" w14:textId="77777777" w:rsidR="001F296A" w:rsidRPr="00F067A6" w:rsidRDefault="001F296A" w:rsidP="001F296A">
      <w:pPr>
        <w:pStyle w:val="Prrafodelista"/>
        <w:numPr>
          <w:ilvl w:val="0"/>
          <w:numId w:val="33"/>
        </w:numPr>
        <w:rPr>
          <w:b/>
          <w:bCs/>
          <w:i/>
          <w:iCs/>
          <w:sz w:val="22"/>
          <w:szCs w:val="22"/>
          <w:u w:val="single"/>
        </w:rPr>
      </w:pPr>
      <w:r w:rsidRPr="00F067A6">
        <w:rPr>
          <w:b/>
          <w:i/>
          <w:sz w:val="22"/>
          <w:szCs w:val="22"/>
        </w:rPr>
        <w:t xml:space="preserve">Administrar, vigilar y controlar los recursos humanos; </w:t>
      </w:r>
    </w:p>
    <w:p w14:paraId="34D92F7B" w14:textId="77777777" w:rsidR="001F296A" w:rsidRPr="00F067A6" w:rsidRDefault="001F296A" w:rsidP="001F296A">
      <w:pPr>
        <w:pStyle w:val="Prrafodelista"/>
        <w:numPr>
          <w:ilvl w:val="0"/>
          <w:numId w:val="33"/>
        </w:numPr>
        <w:rPr>
          <w:b/>
          <w:bCs/>
          <w:i/>
          <w:iCs/>
          <w:sz w:val="22"/>
          <w:szCs w:val="22"/>
          <w:u w:val="single"/>
        </w:rPr>
      </w:pPr>
      <w:proofErr w:type="spellStart"/>
      <w:r w:rsidRPr="00F067A6">
        <w:rPr>
          <w:i/>
          <w:sz w:val="22"/>
          <w:szCs w:val="22"/>
        </w:rPr>
        <w:t>Eficientar</w:t>
      </w:r>
      <w:proofErr w:type="spellEnd"/>
      <w:r w:rsidRPr="00F067A6">
        <w:rPr>
          <w:i/>
          <w:sz w:val="22"/>
          <w:szCs w:val="22"/>
        </w:rPr>
        <w:t xml:space="preserve"> el registro, destino, administración, control, posesión, uso, aprovechamiento, conservación, mantenimiento y desincorporación de los bienes muebles e inmuebles, propiedad del Organismo; y</w:t>
      </w:r>
    </w:p>
    <w:p w14:paraId="0AFF3F34" w14:textId="77777777" w:rsidR="001F296A" w:rsidRPr="00F067A6" w:rsidRDefault="001F296A" w:rsidP="001F296A">
      <w:pPr>
        <w:pStyle w:val="Prrafodelista"/>
        <w:numPr>
          <w:ilvl w:val="0"/>
          <w:numId w:val="33"/>
        </w:numPr>
        <w:rPr>
          <w:b/>
          <w:bCs/>
          <w:i/>
          <w:iCs/>
          <w:sz w:val="22"/>
          <w:szCs w:val="22"/>
          <w:u w:val="single"/>
        </w:rPr>
      </w:pPr>
      <w:r w:rsidRPr="00F067A6">
        <w:rPr>
          <w:i/>
          <w:sz w:val="22"/>
          <w:szCs w:val="22"/>
        </w:rPr>
        <w:lastRenderedPageBreak/>
        <w:t>Las que le confieran otros ordenamientos legales y las que le encomiende el Director de Administració</w:t>
      </w:r>
      <w:r w:rsidR="004261FD">
        <w:rPr>
          <w:i/>
          <w:sz w:val="22"/>
          <w:szCs w:val="22"/>
        </w:rPr>
        <w:t>n, Finanzas y Comercialización.”</w:t>
      </w:r>
    </w:p>
    <w:p w14:paraId="7D28663C" w14:textId="77777777" w:rsidR="001F296A" w:rsidRPr="00F067A6" w:rsidRDefault="001F296A" w:rsidP="001F296A">
      <w:pPr>
        <w:pStyle w:val="Prrafodelista"/>
        <w:ind w:left="2181"/>
        <w:rPr>
          <w:b/>
          <w:bCs/>
          <w:i/>
          <w:iCs/>
          <w:sz w:val="22"/>
          <w:szCs w:val="22"/>
          <w:u w:val="single"/>
        </w:rPr>
      </w:pPr>
    </w:p>
    <w:p w14:paraId="11E6FC6B" w14:textId="77777777" w:rsidR="001F296A" w:rsidRPr="00F067A6" w:rsidRDefault="004261FD" w:rsidP="001F296A">
      <w:pPr>
        <w:ind w:left="708"/>
        <w:jc w:val="both"/>
        <w:rPr>
          <w:rFonts w:ascii="Palatino Linotype" w:hAnsi="Palatino Linotype"/>
          <w:i/>
        </w:rPr>
      </w:pPr>
      <w:r>
        <w:rPr>
          <w:rFonts w:ascii="Palatino Linotype" w:hAnsi="Palatino Linotype"/>
          <w:b/>
          <w:i/>
        </w:rPr>
        <w:t>“</w:t>
      </w:r>
      <w:r w:rsidR="001F296A" w:rsidRPr="00F067A6">
        <w:rPr>
          <w:rFonts w:ascii="Palatino Linotype" w:hAnsi="Palatino Linotype"/>
          <w:b/>
          <w:i/>
        </w:rPr>
        <w:t xml:space="preserve">Artículo 42.- Para el despacho de los asuntos de su competencia, la Subdirección de Administración, se auxiliará del Departamento de Recursos Humanos, </w:t>
      </w:r>
      <w:r w:rsidR="001F296A" w:rsidRPr="00F067A6">
        <w:rPr>
          <w:rFonts w:ascii="Palatino Linotype" w:hAnsi="Palatino Linotype"/>
          <w:i/>
        </w:rPr>
        <w:t>Departamento de Patrimonio y Servicios Generales y Departamento de Adquisiciones</w:t>
      </w:r>
      <w:r>
        <w:rPr>
          <w:rFonts w:ascii="Palatino Linotype" w:hAnsi="Palatino Linotype"/>
          <w:i/>
        </w:rPr>
        <w:t>”</w:t>
      </w:r>
      <w:r w:rsidR="001F296A" w:rsidRPr="00F067A6">
        <w:rPr>
          <w:rFonts w:ascii="Palatino Linotype" w:hAnsi="Palatino Linotype"/>
          <w:i/>
        </w:rPr>
        <w:t xml:space="preserve"> </w:t>
      </w:r>
    </w:p>
    <w:p w14:paraId="656E48A5" w14:textId="77777777" w:rsidR="001F296A" w:rsidRPr="00F067A6" w:rsidRDefault="001F296A" w:rsidP="001F296A">
      <w:pPr>
        <w:ind w:left="708"/>
        <w:jc w:val="both"/>
        <w:rPr>
          <w:rFonts w:ascii="Palatino Linotype" w:hAnsi="Palatino Linotype"/>
          <w:i/>
        </w:rPr>
      </w:pPr>
    </w:p>
    <w:p w14:paraId="52E5CF7C" w14:textId="77777777" w:rsidR="001F296A" w:rsidRPr="00F067A6" w:rsidRDefault="004261FD" w:rsidP="001F296A">
      <w:pPr>
        <w:ind w:left="708"/>
        <w:jc w:val="center"/>
        <w:rPr>
          <w:rFonts w:ascii="Palatino Linotype" w:hAnsi="Palatino Linotype"/>
          <w:b/>
          <w:i/>
        </w:rPr>
      </w:pPr>
      <w:r>
        <w:rPr>
          <w:rFonts w:ascii="Palatino Linotype" w:hAnsi="Palatino Linotype"/>
          <w:b/>
          <w:i/>
        </w:rPr>
        <w:t>“</w:t>
      </w:r>
      <w:r w:rsidR="001F296A" w:rsidRPr="00F067A6">
        <w:rPr>
          <w:rFonts w:ascii="Palatino Linotype" w:hAnsi="Palatino Linotype"/>
          <w:b/>
          <w:i/>
        </w:rPr>
        <w:t>DEL DEPARTAMENTO DE RECURSOS HUMANOS</w:t>
      </w:r>
    </w:p>
    <w:p w14:paraId="5555B750" w14:textId="77777777" w:rsidR="001F296A" w:rsidRPr="00F067A6" w:rsidRDefault="001F296A" w:rsidP="001F296A">
      <w:pPr>
        <w:ind w:left="708"/>
        <w:jc w:val="both"/>
        <w:rPr>
          <w:rFonts w:ascii="Palatino Linotype" w:hAnsi="Palatino Linotype"/>
          <w:i/>
        </w:rPr>
      </w:pPr>
      <w:r w:rsidRPr="00F067A6">
        <w:rPr>
          <w:rFonts w:ascii="Palatino Linotype" w:hAnsi="Palatino Linotype"/>
          <w:b/>
          <w:i/>
        </w:rPr>
        <w:t>Artículo 43.- Planear y supervisar las funciones y actividades de las unidades administrativas que integran al Departamento de Recursos Humanos del Organismo, para el logro eficaz del objetivo general de esta dependencia.</w:t>
      </w:r>
      <w:r w:rsidRPr="00F067A6">
        <w:rPr>
          <w:rFonts w:ascii="Palatino Linotype" w:hAnsi="Palatino Linotype"/>
          <w:i/>
        </w:rPr>
        <w:t xml:space="preserve"> Elaboración, tramitación y pago oportuno de las remuneraciones de los empleados del Organismo. Coordinar las actividades de sus unidades administrativas y verificar que estas se lleven a cabo de manera adecuada, a fin de lograr el cumplimiento de las metas establecidas en el Plan de Desarrollo del Organismo. Y tendrá las siguientes atribuciones y facultades:</w:t>
      </w:r>
    </w:p>
    <w:p w14:paraId="54666E26" w14:textId="77777777" w:rsidR="001F296A" w:rsidRPr="00F067A6" w:rsidRDefault="001F296A" w:rsidP="001F296A">
      <w:pPr>
        <w:pStyle w:val="Prrafodelista"/>
        <w:numPr>
          <w:ilvl w:val="0"/>
          <w:numId w:val="34"/>
        </w:numPr>
        <w:rPr>
          <w:i/>
          <w:sz w:val="22"/>
          <w:szCs w:val="22"/>
        </w:rPr>
      </w:pPr>
      <w:r w:rsidRPr="00F067A6">
        <w:rPr>
          <w:i/>
          <w:sz w:val="22"/>
          <w:szCs w:val="22"/>
        </w:rPr>
        <w:t xml:space="preserve">Instrumentar la participación de las unidades administrativas en los programas de capacitación y desarrollo del personal, coordinar los estudios necesarios sobre análisis y evaluación de puestos, políticas de sueldos, salarios e incentivos; </w:t>
      </w:r>
    </w:p>
    <w:p w14:paraId="789C8BD5" w14:textId="77777777" w:rsidR="001F296A" w:rsidRPr="00F067A6" w:rsidRDefault="001F296A" w:rsidP="001F296A">
      <w:pPr>
        <w:pStyle w:val="Prrafodelista"/>
        <w:numPr>
          <w:ilvl w:val="0"/>
          <w:numId w:val="34"/>
        </w:numPr>
        <w:rPr>
          <w:b/>
          <w:bCs/>
          <w:i/>
          <w:iCs/>
          <w:sz w:val="22"/>
          <w:szCs w:val="22"/>
          <w:u w:val="single"/>
        </w:rPr>
      </w:pPr>
      <w:r w:rsidRPr="00F067A6">
        <w:rPr>
          <w:i/>
          <w:sz w:val="22"/>
          <w:szCs w:val="22"/>
        </w:rPr>
        <w:t xml:space="preserve">Realizar los movimientos de personal, previa aprobación del director general; </w:t>
      </w:r>
    </w:p>
    <w:p w14:paraId="28AD5707" w14:textId="77777777" w:rsidR="001F296A" w:rsidRPr="00F067A6" w:rsidRDefault="001F296A" w:rsidP="001F296A">
      <w:pPr>
        <w:pStyle w:val="Prrafodelista"/>
        <w:numPr>
          <w:ilvl w:val="0"/>
          <w:numId w:val="34"/>
        </w:numPr>
        <w:rPr>
          <w:b/>
          <w:bCs/>
          <w:i/>
          <w:iCs/>
          <w:sz w:val="22"/>
          <w:szCs w:val="22"/>
          <w:u w:val="single"/>
        </w:rPr>
      </w:pPr>
      <w:r w:rsidRPr="00F067A6">
        <w:rPr>
          <w:i/>
          <w:sz w:val="22"/>
          <w:szCs w:val="22"/>
        </w:rPr>
        <w:t xml:space="preserve">Integrar el registro de los expedientes del personal que labora en el Organismo; </w:t>
      </w:r>
    </w:p>
    <w:p w14:paraId="1CF069B5" w14:textId="77777777" w:rsidR="001F296A" w:rsidRPr="00F067A6" w:rsidRDefault="001F296A" w:rsidP="001F296A">
      <w:pPr>
        <w:pStyle w:val="Prrafodelista"/>
        <w:numPr>
          <w:ilvl w:val="0"/>
          <w:numId w:val="34"/>
        </w:numPr>
        <w:rPr>
          <w:b/>
          <w:bCs/>
          <w:i/>
          <w:iCs/>
          <w:sz w:val="22"/>
          <w:szCs w:val="22"/>
          <w:u w:val="single"/>
        </w:rPr>
      </w:pPr>
      <w:r w:rsidRPr="00F067A6">
        <w:rPr>
          <w:b/>
          <w:i/>
          <w:sz w:val="22"/>
          <w:szCs w:val="22"/>
        </w:rPr>
        <w:t xml:space="preserve">Operar el sistema de remuneraciones y efectuar el pago del salario de los servidores públicos; </w:t>
      </w:r>
    </w:p>
    <w:p w14:paraId="4E140724" w14:textId="77777777" w:rsidR="001F296A" w:rsidRPr="00F067A6" w:rsidRDefault="001F296A" w:rsidP="001F296A">
      <w:pPr>
        <w:pStyle w:val="Prrafodelista"/>
        <w:numPr>
          <w:ilvl w:val="0"/>
          <w:numId w:val="34"/>
        </w:numPr>
        <w:rPr>
          <w:b/>
          <w:bCs/>
          <w:i/>
          <w:iCs/>
          <w:sz w:val="22"/>
          <w:szCs w:val="22"/>
          <w:u w:val="single"/>
        </w:rPr>
      </w:pPr>
      <w:r w:rsidRPr="00F067A6">
        <w:rPr>
          <w:b/>
          <w:i/>
          <w:sz w:val="22"/>
          <w:szCs w:val="22"/>
        </w:rPr>
        <w:t xml:space="preserve">Coadyuvar con la Subdirección de Administración, en la atención de las relaciones laborales del Organismo, así como en la administración, vigilancia y control de sus recursos humanos; y </w:t>
      </w:r>
    </w:p>
    <w:p w14:paraId="7162C75E" w14:textId="77777777" w:rsidR="001F296A" w:rsidRPr="00F067A6" w:rsidRDefault="001F296A" w:rsidP="001F296A">
      <w:pPr>
        <w:pStyle w:val="Prrafodelista"/>
        <w:numPr>
          <w:ilvl w:val="0"/>
          <w:numId w:val="34"/>
        </w:numPr>
        <w:rPr>
          <w:b/>
          <w:bCs/>
          <w:i/>
          <w:iCs/>
          <w:sz w:val="22"/>
          <w:szCs w:val="22"/>
          <w:u w:val="single"/>
        </w:rPr>
      </w:pPr>
      <w:r w:rsidRPr="00F067A6">
        <w:rPr>
          <w:i/>
          <w:sz w:val="22"/>
          <w:szCs w:val="22"/>
        </w:rPr>
        <w:lastRenderedPageBreak/>
        <w:t xml:space="preserve"> </w:t>
      </w:r>
      <w:r w:rsidRPr="00F067A6">
        <w:rPr>
          <w:b/>
          <w:i/>
          <w:sz w:val="22"/>
          <w:szCs w:val="22"/>
        </w:rPr>
        <w:t>Las que le confieran otros ordenamientos legales y las que le encomiende el Subdirector de Administración.</w:t>
      </w:r>
      <w:r w:rsidR="004261FD">
        <w:rPr>
          <w:b/>
          <w:i/>
          <w:sz w:val="22"/>
          <w:szCs w:val="22"/>
        </w:rPr>
        <w:t>”</w:t>
      </w:r>
    </w:p>
    <w:p w14:paraId="75875270" w14:textId="77777777" w:rsidR="001F296A" w:rsidRDefault="001F296A" w:rsidP="001F296A">
      <w:pPr>
        <w:spacing w:line="360" w:lineRule="auto"/>
        <w:jc w:val="both"/>
        <w:rPr>
          <w:rFonts w:ascii="Palatino Linotype" w:eastAsia="Times New Roman" w:hAnsi="Palatino Linotype" w:cs="Times New Roman"/>
          <w:b/>
          <w:bCs/>
          <w:iCs/>
          <w:sz w:val="24"/>
          <w:szCs w:val="24"/>
          <w:u w:val="single"/>
        </w:rPr>
      </w:pPr>
    </w:p>
    <w:p w14:paraId="6372851A" w14:textId="77777777" w:rsidR="001F296A" w:rsidRDefault="001F296A" w:rsidP="004261FD">
      <w:pPr>
        <w:tabs>
          <w:tab w:val="center" w:pos="4522"/>
        </w:tabs>
        <w:spacing w:after="0" w:line="360" w:lineRule="auto"/>
        <w:jc w:val="both"/>
        <w:rPr>
          <w:rFonts w:ascii="Palatino Linotype" w:hAnsi="Palatino Linotype"/>
          <w:color w:val="000000"/>
          <w:sz w:val="24"/>
          <w:szCs w:val="24"/>
        </w:rPr>
      </w:pPr>
      <w:r w:rsidRPr="009D18F4">
        <w:rPr>
          <w:rFonts w:ascii="Palatino Linotype" w:hAnsi="Palatino Linotype"/>
          <w:color w:val="000000"/>
          <w:sz w:val="24"/>
          <w:szCs w:val="24"/>
        </w:rPr>
        <w:t xml:space="preserve">Así, se advierte que el Sujeto Obligado cumplió con el procedimiento de búsqueda referido, al turnar la solicitud de información a las áreas competentes para conocer sobre el procesamiento de las nóminas quincenales para efectuar el pago de los servidores públicos. </w:t>
      </w:r>
      <w:r w:rsidRPr="0044218A">
        <w:rPr>
          <w:rFonts w:ascii="Palatino Linotype" w:hAnsi="Palatino Linotype"/>
          <w:color w:val="000000"/>
          <w:sz w:val="24"/>
          <w:szCs w:val="24"/>
        </w:rPr>
        <w:t>Conforme a lo anterior, se logra vislumbrar que la pretensión d</w:t>
      </w:r>
      <w:r w:rsidR="004261FD">
        <w:rPr>
          <w:rFonts w:ascii="Palatino Linotype" w:hAnsi="Palatino Linotype"/>
          <w:color w:val="000000"/>
          <w:sz w:val="24"/>
          <w:szCs w:val="24"/>
        </w:rPr>
        <w:t>el ahora recurrente es obtener:</w:t>
      </w:r>
    </w:p>
    <w:p w14:paraId="3B691E5F" w14:textId="77777777" w:rsidR="004261FD" w:rsidRPr="0044218A" w:rsidRDefault="004261FD" w:rsidP="004261FD">
      <w:pPr>
        <w:tabs>
          <w:tab w:val="center" w:pos="4522"/>
        </w:tabs>
        <w:spacing w:after="0" w:line="360" w:lineRule="auto"/>
        <w:jc w:val="both"/>
        <w:rPr>
          <w:rFonts w:ascii="Palatino Linotype" w:hAnsi="Palatino Linotype"/>
          <w:color w:val="000000"/>
          <w:sz w:val="24"/>
          <w:szCs w:val="24"/>
        </w:rPr>
      </w:pPr>
    </w:p>
    <w:p w14:paraId="4ABEF9E1" w14:textId="77777777" w:rsidR="001F296A" w:rsidRDefault="001F296A" w:rsidP="001F296A">
      <w:pPr>
        <w:numPr>
          <w:ilvl w:val="0"/>
          <w:numId w:val="25"/>
        </w:numPr>
        <w:pBdr>
          <w:top w:val="nil"/>
          <w:left w:val="nil"/>
          <w:bottom w:val="nil"/>
          <w:right w:val="nil"/>
          <w:between w:val="nil"/>
        </w:pBdr>
        <w:tabs>
          <w:tab w:val="center" w:pos="4522"/>
        </w:tabs>
        <w:spacing w:after="0" w:line="360" w:lineRule="auto"/>
        <w:jc w:val="both"/>
        <w:rPr>
          <w:rFonts w:ascii="Palatino Linotype" w:hAnsi="Palatino Linotype"/>
          <w:color w:val="000000"/>
          <w:sz w:val="24"/>
          <w:szCs w:val="24"/>
        </w:rPr>
      </w:pPr>
      <w:bookmarkStart w:id="1" w:name="_heading=h.1fob9te" w:colFirst="0" w:colLast="0"/>
      <w:bookmarkEnd w:id="1"/>
      <w:r>
        <w:rPr>
          <w:rFonts w:ascii="Palatino Linotype" w:hAnsi="Palatino Linotype"/>
          <w:color w:val="000000"/>
          <w:sz w:val="24"/>
          <w:szCs w:val="24"/>
        </w:rPr>
        <w:t>Nómina de todo el personal, de la primera quincena de octubre de dos mil veintitrés;</w:t>
      </w:r>
    </w:p>
    <w:p w14:paraId="1B84FEA3" w14:textId="77777777" w:rsidR="001F296A" w:rsidRDefault="001F296A" w:rsidP="004261FD">
      <w:pPr>
        <w:pBdr>
          <w:top w:val="nil"/>
          <w:left w:val="nil"/>
          <w:bottom w:val="nil"/>
          <w:right w:val="nil"/>
          <w:between w:val="nil"/>
        </w:pBdr>
        <w:tabs>
          <w:tab w:val="center" w:pos="4522"/>
        </w:tabs>
        <w:spacing w:after="0" w:line="360" w:lineRule="auto"/>
        <w:ind w:left="360"/>
        <w:jc w:val="both"/>
        <w:rPr>
          <w:rFonts w:ascii="Palatino Linotype" w:hAnsi="Palatino Linotype"/>
          <w:color w:val="000000"/>
          <w:sz w:val="24"/>
          <w:szCs w:val="24"/>
        </w:rPr>
      </w:pPr>
    </w:p>
    <w:p w14:paraId="58297B25" w14:textId="77777777" w:rsidR="001F296A" w:rsidRPr="0044218A" w:rsidRDefault="001F296A" w:rsidP="001F296A">
      <w:pPr>
        <w:numPr>
          <w:ilvl w:val="0"/>
          <w:numId w:val="25"/>
        </w:numPr>
        <w:pBdr>
          <w:top w:val="nil"/>
          <w:left w:val="nil"/>
          <w:bottom w:val="nil"/>
          <w:right w:val="nil"/>
          <w:between w:val="nil"/>
        </w:pBdr>
        <w:tabs>
          <w:tab w:val="center" w:pos="4522"/>
        </w:tabs>
        <w:spacing w:after="0" w:line="360" w:lineRule="auto"/>
        <w:jc w:val="both"/>
        <w:rPr>
          <w:rFonts w:ascii="Palatino Linotype" w:hAnsi="Palatino Linotype"/>
          <w:color w:val="000000"/>
          <w:sz w:val="24"/>
          <w:szCs w:val="24"/>
        </w:rPr>
      </w:pPr>
      <w:r w:rsidRPr="0044218A">
        <w:rPr>
          <w:rFonts w:ascii="Palatino Linotype" w:hAnsi="Palatino Linotype"/>
          <w:color w:val="000000"/>
          <w:sz w:val="24"/>
          <w:szCs w:val="24"/>
        </w:rPr>
        <w:t>Conciliación de nómina</w:t>
      </w:r>
      <w:r>
        <w:rPr>
          <w:rFonts w:ascii="Palatino Linotype" w:hAnsi="Palatino Linotype"/>
          <w:color w:val="000000"/>
          <w:sz w:val="24"/>
          <w:szCs w:val="24"/>
        </w:rPr>
        <w:t xml:space="preserve"> de todo el personal</w:t>
      </w:r>
      <w:r w:rsidRPr="0044218A">
        <w:rPr>
          <w:rFonts w:ascii="Palatino Linotype" w:hAnsi="Palatino Linotype"/>
          <w:color w:val="000000"/>
          <w:sz w:val="24"/>
          <w:szCs w:val="24"/>
        </w:rPr>
        <w:t>, de la primera quincena de octubre de dos mil veintitrés;</w:t>
      </w:r>
    </w:p>
    <w:p w14:paraId="4A6622AB" w14:textId="77777777" w:rsidR="001F296A" w:rsidRPr="0044218A" w:rsidRDefault="001F296A" w:rsidP="001F296A">
      <w:pPr>
        <w:pBdr>
          <w:top w:val="nil"/>
          <w:left w:val="nil"/>
          <w:bottom w:val="nil"/>
          <w:right w:val="nil"/>
          <w:between w:val="nil"/>
        </w:pBdr>
        <w:spacing w:after="0" w:line="360" w:lineRule="auto"/>
        <w:ind w:left="720"/>
        <w:jc w:val="both"/>
        <w:rPr>
          <w:rFonts w:ascii="Palatino Linotype" w:hAnsi="Palatino Linotype"/>
          <w:color w:val="000000"/>
          <w:sz w:val="24"/>
          <w:szCs w:val="24"/>
        </w:rPr>
      </w:pPr>
    </w:p>
    <w:p w14:paraId="4B4CC6FF" w14:textId="77777777" w:rsidR="001F296A" w:rsidRPr="0044218A" w:rsidRDefault="001F296A" w:rsidP="001F296A">
      <w:pPr>
        <w:numPr>
          <w:ilvl w:val="0"/>
          <w:numId w:val="25"/>
        </w:numPr>
        <w:pBdr>
          <w:top w:val="nil"/>
          <w:left w:val="nil"/>
          <w:bottom w:val="nil"/>
          <w:right w:val="nil"/>
          <w:between w:val="nil"/>
        </w:pBdr>
        <w:tabs>
          <w:tab w:val="center" w:pos="4522"/>
        </w:tabs>
        <w:spacing w:after="0" w:line="360" w:lineRule="auto"/>
        <w:jc w:val="both"/>
        <w:rPr>
          <w:rFonts w:ascii="Palatino Linotype" w:hAnsi="Palatino Linotype"/>
          <w:color w:val="000000"/>
          <w:sz w:val="24"/>
          <w:szCs w:val="24"/>
        </w:rPr>
      </w:pPr>
      <w:r w:rsidRPr="0044218A">
        <w:rPr>
          <w:rFonts w:ascii="Palatino Linotype" w:hAnsi="Palatino Linotype"/>
          <w:color w:val="000000"/>
          <w:sz w:val="24"/>
          <w:szCs w:val="24"/>
        </w:rPr>
        <w:t>Comprobante Bancario de la Dispersión de nómina</w:t>
      </w:r>
      <w:r w:rsidR="004261FD">
        <w:rPr>
          <w:rFonts w:ascii="Palatino Linotype" w:hAnsi="Palatino Linotype"/>
          <w:color w:val="000000"/>
          <w:sz w:val="24"/>
          <w:szCs w:val="24"/>
        </w:rPr>
        <w:t xml:space="preserve"> de todo el personal</w:t>
      </w:r>
      <w:r w:rsidRPr="0044218A">
        <w:rPr>
          <w:rFonts w:ascii="Palatino Linotype" w:hAnsi="Palatino Linotype"/>
          <w:color w:val="000000"/>
          <w:sz w:val="24"/>
          <w:szCs w:val="24"/>
        </w:rPr>
        <w:t>, de la primera quincena de octubre de dos mil veintitrés, y</w:t>
      </w:r>
    </w:p>
    <w:p w14:paraId="5B7B0C69" w14:textId="77777777" w:rsidR="001F296A" w:rsidRPr="0044218A" w:rsidRDefault="001F296A" w:rsidP="001F296A">
      <w:pPr>
        <w:pBdr>
          <w:top w:val="nil"/>
          <w:left w:val="nil"/>
          <w:bottom w:val="nil"/>
          <w:right w:val="nil"/>
          <w:between w:val="nil"/>
        </w:pBdr>
        <w:tabs>
          <w:tab w:val="center" w:pos="4522"/>
        </w:tabs>
        <w:spacing w:after="0" w:line="360" w:lineRule="auto"/>
        <w:ind w:left="720"/>
        <w:jc w:val="both"/>
        <w:rPr>
          <w:rFonts w:ascii="Palatino Linotype" w:hAnsi="Palatino Linotype"/>
          <w:color w:val="000000"/>
          <w:sz w:val="24"/>
          <w:szCs w:val="24"/>
        </w:rPr>
      </w:pPr>
    </w:p>
    <w:p w14:paraId="1A9807F1" w14:textId="77777777" w:rsidR="001F296A" w:rsidRPr="0044218A" w:rsidRDefault="004261FD" w:rsidP="001F296A">
      <w:pPr>
        <w:numPr>
          <w:ilvl w:val="0"/>
          <w:numId w:val="25"/>
        </w:numPr>
        <w:pBdr>
          <w:top w:val="nil"/>
          <w:left w:val="nil"/>
          <w:bottom w:val="nil"/>
          <w:right w:val="nil"/>
          <w:between w:val="nil"/>
        </w:pBdr>
        <w:tabs>
          <w:tab w:val="center" w:pos="4522"/>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El e</w:t>
      </w:r>
      <w:r w:rsidR="001F296A" w:rsidRPr="0044218A">
        <w:rPr>
          <w:rFonts w:ascii="Palatino Linotype" w:hAnsi="Palatino Linotype"/>
          <w:color w:val="000000"/>
          <w:sz w:val="24"/>
          <w:szCs w:val="24"/>
        </w:rPr>
        <w:t>stado de cuenta bancario que refleje el pago de nómina de la primera quincena de octubre de dos mil veintitrés.</w:t>
      </w:r>
    </w:p>
    <w:p w14:paraId="55755C53" w14:textId="77777777" w:rsidR="001F296A" w:rsidRPr="009D18F4" w:rsidRDefault="001F296A" w:rsidP="001F296A">
      <w:pPr>
        <w:spacing w:after="0" w:line="360" w:lineRule="auto"/>
        <w:ind w:right="-93"/>
        <w:jc w:val="both"/>
        <w:rPr>
          <w:rFonts w:ascii="Palatino Linotype" w:hAnsi="Palatino Linotype"/>
          <w:color w:val="000000"/>
          <w:sz w:val="24"/>
          <w:szCs w:val="24"/>
        </w:rPr>
      </w:pPr>
    </w:p>
    <w:p w14:paraId="1263C9B3" w14:textId="77777777" w:rsidR="00CC7F20" w:rsidRPr="00CC7F20" w:rsidRDefault="00CC7F20" w:rsidP="00CC7F20">
      <w:pPr>
        <w:spacing w:after="0" w:line="360" w:lineRule="auto"/>
        <w:jc w:val="both"/>
        <w:rPr>
          <w:rFonts w:ascii="Palatino Linotype" w:hAnsi="Palatino Linotype"/>
          <w:sz w:val="24"/>
          <w:szCs w:val="24"/>
        </w:rPr>
      </w:pPr>
      <w:r w:rsidRPr="00CC7F20">
        <w:rPr>
          <w:rFonts w:ascii="Palatino Linotype" w:hAnsi="Palatino Linotype"/>
          <w:sz w:val="24"/>
          <w:szCs w:val="24"/>
        </w:rPr>
        <w:lastRenderedPageBreak/>
        <w:t>Al respecto, es necesario traer a colación el artículo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w:t>
      </w:r>
    </w:p>
    <w:p w14:paraId="193DA0EF" w14:textId="77777777" w:rsidR="00CC7F20" w:rsidRPr="00CC7F20" w:rsidRDefault="00CC7F20" w:rsidP="00CC7F20">
      <w:pPr>
        <w:spacing w:after="0" w:line="360" w:lineRule="auto"/>
        <w:jc w:val="both"/>
        <w:rPr>
          <w:rFonts w:ascii="Palatino Linotype" w:hAnsi="Palatino Linotype"/>
          <w:sz w:val="24"/>
          <w:szCs w:val="24"/>
        </w:rPr>
      </w:pPr>
    </w:p>
    <w:p w14:paraId="6C53C08C" w14:textId="77777777" w:rsidR="00CC7F20" w:rsidRPr="00CC7F20" w:rsidRDefault="00CC7F20" w:rsidP="00CC7F20">
      <w:pPr>
        <w:spacing w:after="0" w:line="360" w:lineRule="auto"/>
        <w:jc w:val="both"/>
        <w:rPr>
          <w:rFonts w:ascii="Palatino Linotype" w:hAnsi="Palatino Linotype"/>
          <w:color w:val="000000"/>
          <w:sz w:val="24"/>
          <w:szCs w:val="24"/>
        </w:rPr>
      </w:pPr>
      <w:r w:rsidRPr="00CC7F20">
        <w:rPr>
          <w:rFonts w:ascii="Palatino Linotype" w:hAnsi="Palatino Linotype"/>
          <w:color w:val="000000"/>
          <w:sz w:val="24"/>
          <w:szCs w:val="24"/>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40E9EE3" w14:textId="77777777" w:rsidR="00CC7F20" w:rsidRPr="00CC7F20" w:rsidRDefault="00CC7F20" w:rsidP="00CC7F20">
      <w:pPr>
        <w:spacing w:after="0" w:line="360" w:lineRule="auto"/>
        <w:jc w:val="both"/>
        <w:rPr>
          <w:rFonts w:ascii="Palatino Linotype" w:hAnsi="Palatino Linotype"/>
          <w:color w:val="000000"/>
          <w:sz w:val="24"/>
          <w:szCs w:val="24"/>
        </w:rPr>
      </w:pPr>
    </w:p>
    <w:p w14:paraId="1FF25730" w14:textId="77777777" w:rsidR="00CC7F20" w:rsidRPr="00CC7F20" w:rsidRDefault="00CC7F20" w:rsidP="00CC7F20">
      <w:pPr>
        <w:spacing w:after="0" w:line="360" w:lineRule="auto"/>
        <w:jc w:val="both"/>
        <w:rPr>
          <w:rFonts w:ascii="Palatino Linotype" w:hAnsi="Palatino Linotype"/>
          <w:color w:val="000000"/>
          <w:sz w:val="24"/>
          <w:szCs w:val="24"/>
        </w:rPr>
      </w:pPr>
      <w:r w:rsidRPr="00CC7F20">
        <w:rPr>
          <w:rFonts w:ascii="Palatino Linotype" w:hAnsi="Palatino Linotype"/>
          <w:color w:val="000000"/>
          <w:sz w:val="24"/>
          <w:szCs w:val="24"/>
        </w:rPr>
        <w:t>De la misma manera, el Anexo IV.5 Glosario de Términos, del Manual para la Planeación, Programación y Presupuesto de Egresos Municipal para el ejercicio fiscal dos mil veintidós, establece que la remuneración es la percepción de un trabajador o retribución monetaria que se da en pago por su servicio o actividad desarrollada.</w:t>
      </w:r>
    </w:p>
    <w:p w14:paraId="2F07956B" w14:textId="77777777" w:rsidR="00CC7F20" w:rsidRPr="00CC7F20" w:rsidRDefault="00CC7F20" w:rsidP="00CC7F20">
      <w:pPr>
        <w:spacing w:after="0" w:line="360" w:lineRule="auto"/>
        <w:jc w:val="both"/>
        <w:rPr>
          <w:rFonts w:ascii="Palatino Linotype" w:hAnsi="Palatino Linotype"/>
          <w:color w:val="000000"/>
          <w:sz w:val="24"/>
          <w:szCs w:val="24"/>
        </w:rPr>
      </w:pPr>
    </w:p>
    <w:p w14:paraId="50FC0090" w14:textId="77777777" w:rsidR="00CC7F20" w:rsidRPr="00CC7F20" w:rsidRDefault="00CC7F20" w:rsidP="00CC7F20">
      <w:pPr>
        <w:spacing w:after="0" w:line="360" w:lineRule="auto"/>
        <w:jc w:val="both"/>
        <w:rPr>
          <w:rFonts w:ascii="Palatino Linotype" w:hAnsi="Palatino Linotype"/>
          <w:color w:val="000000"/>
          <w:sz w:val="24"/>
          <w:szCs w:val="24"/>
        </w:rPr>
      </w:pPr>
      <w:r w:rsidRPr="00CC7F20">
        <w:rPr>
          <w:rFonts w:ascii="Palatino Linotype" w:hAnsi="Palatino Linotype"/>
          <w:color w:val="000000"/>
          <w:sz w:val="24"/>
          <w:szCs w:val="24"/>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w:t>
      </w:r>
      <w:r w:rsidRPr="00CC7F20">
        <w:rPr>
          <w:rFonts w:ascii="Palatino Linotype" w:hAnsi="Palatino Linotype"/>
          <w:color w:val="000000"/>
          <w:sz w:val="24"/>
          <w:szCs w:val="24"/>
        </w:rPr>
        <w:lastRenderedPageBreak/>
        <w:t>percepciones, entre las cuales, se encuentran los sueldos, prestaciones, gratificaciones, primas, comisiones, dietas, bonos, estímulos, ingresos, entre otros.</w:t>
      </w:r>
    </w:p>
    <w:p w14:paraId="6EAE7438" w14:textId="77777777" w:rsidR="00CC7F20" w:rsidRPr="00CC7F20" w:rsidRDefault="00CC7F20" w:rsidP="00CC7F20">
      <w:pPr>
        <w:spacing w:after="0" w:line="360" w:lineRule="auto"/>
        <w:jc w:val="both"/>
        <w:rPr>
          <w:rFonts w:ascii="Palatino Linotype" w:hAnsi="Palatino Linotype"/>
          <w:color w:val="000000"/>
          <w:sz w:val="24"/>
          <w:szCs w:val="24"/>
        </w:rPr>
      </w:pPr>
    </w:p>
    <w:p w14:paraId="35AD755E" w14:textId="77777777" w:rsidR="00CC7F20" w:rsidRPr="00CC7F20" w:rsidRDefault="00CC7F20" w:rsidP="00CC7F20">
      <w:pPr>
        <w:spacing w:after="0" w:line="360" w:lineRule="auto"/>
        <w:jc w:val="both"/>
        <w:rPr>
          <w:rFonts w:ascii="Palatino Linotype" w:hAnsi="Palatino Linotype"/>
          <w:color w:val="000000"/>
          <w:sz w:val="24"/>
          <w:szCs w:val="24"/>
        </w:rPr>
      </w:pPr>
      <w:r w:rsidRPr="00CC7F20">
        <w:rPr>
          <w:rFonts w:ascii="Palatino Linotype" w:hAnsi="Palatino Linotype"/>
          <w:sz w:val="24"/>
          <w:szCs w:val="24"/>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CC7F20">
        <w:rPr>
          <w:rFonts w:ascii="Palatino Linotype" w:hAnsi="Palatino Linotype"/>
          <w:b/>
          <w:sz w:val="24"/>
          <w:szCs w:val="24"/>
        </w:rPr>
        <w:t>1000 Servicios Personales</w:t>
      </w:r>
      <w:r w:rsidRPr="00CC7F20">
        <w:rPr>
          <w:rFonts w:ascii="Palatino Linotype" w:hAnsi="Palatino Linotype"/>
          <w:sz w:val="24"/>
          <w:szCs w:val="24"/>
        </w:rPr>
        <w:t>,</w:t>
      </w:r>
      <w:r w:rsidRPr="00CC7F20">
        <w:rPr>
          <w:rFonts w:ascii="Palatino Linotype" w:hAnsi="Palatino Linotype"/>
          <w:b/>
          <w:sz w:val="24"/>
          <w:szCs w:val="24"/>
        </w:rPr>
        <w:t xml:space="preserve"> que agrupa las remuneraciones del personal al servicio de los entes públicos, tales como el sueldo, salarios, dietas, honorarios, prestaciones, aguinaldo, obligaciones laborales, entre otras</w:t>
      </w:r>
      <w:r w:rsidR="00E96F7E">
        <w:rPr>
          <w:rFonts w:ascii="Palatino Linotype" w:hAnsi="Palatino Linotype"/>
          <w:b/>
          <w:sz w:val="24"/>
          <w:szCs w:val="24"/>
        </w:rPr>
        <w:t>.</w:t>
      </w:r>
    </w:p>
    <w:p w14:paraId="5A7C55B6" w14:textId="77777777" w:rsidR="00CC7F20" w:rsidRDefault="00CC7F20" w:rsidP="0033283B">
      <w:pPr>
        <w:pBdr>
          <w:top w:val="nil"/>
          <w:left w:val="nil"/>
          <w:bottom w:val="nil"/>
          <w:right w:val="nil"/>
          <w:between w:val="nil"/>
        </w:pBdr>
        <w:spacing w:line="360" w:lineRule="auto"/>
        <w:ind w:right="-150"/>
        <w:jc w:val="both"/>
        <w:rPr>
          <w:rFonts w:ascii="Palatino Linotype" w:hAnsi="Palatino Linotype"/>
          <w:sz w:val="24"/>
          <w:szCs w:val="24"/>
        </w:rPr>
      </w:pPr>
    </w:p>
    <w:p w14:paraId="6EF11AA7" w14:textId="77777777" w:rsidR="00CC7F20" w:rsidRPr="00CC7F20" w:rsidRDefault="00CC7F20" w:rsidP="00CC7F20">
      <w:pPr>
        <w:spacing w:line="360" w:lineRule="auto"/>
        <w:jc w:val="both"/>
        <w:rPr>
          <w:rFonts w:ascii="Times New Roman" w:eastAsia="Times New Roman" w:hAnsi="Times New Roman" w:cs="Times New Roman"/>
          <w:sz w:val="24"/>
          <w:szCs w:val="24"/>
          <w:lang w:eastAsia="es-MX"/>
        </w:rPr>
      </w:pPr>
      <w:r>
        <w:rPr>
          <w:rFonts w:ascii="Palatino Linotype" w:eastAsia="Times New Roman" w:hAnsi="Palatino Linotype" w:cs="Times New Roman"/>
          <w:color w:val="000000"/>
          <w:sz w:val="24"/>
          <w:szCs w:val="24"/>
          <w:lang w:eastAsia="es-MX"/>
        </w:rPr>
        <w:t>A</w:t>
      </w:r>
      <w:r w:rsidRPr="00CC7F20">
        <w:rPr>
          <w:rFonts w:ascii="Palatino Linotype" w:eastAsia="Times New Roman" w:hAnsi="Palatino Linotype" w:cs="Times New Roman"/>
          <w:color w:val="000000"/>
          <w:sz w:val="24"/>
          <w:szCs w:val="24"/>
          <w:lang w:eastAsia="es-MX"/>
        </w:rPr>
        <w:t xml:space="preserve">sí mismo, la </w:t>
      </w:r>
      <w:r w:rsidRPr="00CC7F20">
        <w:rPr>
          <w:rFonts w:ascii="Palatino Linotype" w:eastAsia="Times New Roman" w:hAnsi="Palatino Linotype" w:cs="Times New Roman"/>
          <w:b/>
          <w:bCs/>
          <w:color w:val="000000"/>
          <w:sz w:val="24"/>
          <w:szCs w:val="24"/>
          <w:lang w:eastAsia="es-MX"/>
        </w:rPr>
        <w:t>Ley del Trabajo de los Servidores Públicos del Estado y Municipios</w:t>
      </w:r>
      <w:r w:rsidRPr="00CC7F20">
        <w:rPr>
          <w:rFonts w:ascii="Palatino Linotype" w:eastAsia="Times New Roman" w:hAnsi="Palatino Linotype" w:cs="Times New Roman"/>
          <w:color w:val="000000"/>
          <w:sz w:val="24"/>
          <w:szCs w:val="24"/>
          <w:lang w:eastAsia="es-MX"/>
        </w:rPr>
        <w:t>, en su artículo 220-K fracciones II y IV y último párrafo, establecen lo siguiente:</w:t>
      </w:r>
    </w:p>
    <w:p w14:paraId="32987C51" w14:textId="77777777" w:rsidR="00CC7F20" w:rsidRPr="00CC7F20" w:rsidRDefault="00CC7F20" w:rsidP="00CC7F20">
      <w:pPr>
        <w:spacing w:after="0" w:line="360" w:lineRule="auto"/>
        <w:jc w:val="both"/>
        <w:rPr>
          <w:rFonts w:ascii="Times New Roman" w:eastAsia="Times New Roman" w:hAnsi="Times New Roman" w:cs="Times New Roman"/>
          <w:sz w:val="24"/>
          <w:szCs w:val="24"/>
          <w:lang w:eastAsia="es-MX"/>
        </w:rPr>
      </w:pPr>
    </w:p>
    <w:p w14:paraId="1EE60ED0" w14:textId="77777777" w:rsidR="00CC7F20" w:rsidRPr="00CC7F20" w:rsidRDefault="00CC7F20" w:rsidP="00CC7F20">
      <w:pPr>
        <w:spacing w:line="360" w:lineRule="auto"/>
        <w:ind w:left="708" w:firstLine="60"/>
        <w:jc w:val="both"/>
        <w:rPr>
          <w:rFonts w:ascii="Times New Roman" w:eastAsia="Times New Roman" w:hAnsi="Times New Roman" w:cs="Times New Roman"/>
          <w:lang w:eastAsia="es-MX"/>
        </w:rPr>
      </w:pPr>
      <w:r w:rsidRPr="00CC7F20">
        <w:rPr>
          <w:rFonts w:ascii="Palatino Linotype" w:eastAsia="Times New Roman" w:hAnsi="Palatino Linotype" w:cs="Times New Roman"/>
          <w:i/>
          <w:iCs/>
          <w:color w:val="000000"/>
          <w:lang w:eastAsia="es-MX"/>
        </w:rPr>
        <w:t>ARTÍCULO 220 K.- La institución o dependencia pública tiene la obligación de conservar y exhibir en el proceso los documentos que a continuación se precisan: </w:t>
      </w:r>
    </w:p>
    <w:p w14:paraId="7AD2FDCD" w14:textId="77777777" w:rsidR="00CC7F20" w:rsidRPr="00CC7F20" w:rsidRDefault="00CC7F20" w:rsidP="00CC7F20">
      <w:pPr>
        <w:spacing w:line="360" w:lineRule="auto"/>
        <w:ind w:left="708" w:firstLine="60"/>
        <w:jc w:val="both"/>
        <w:rPr>
          <w:rFonts w:ascii="Times New Roman" w:eastAsia="Times New Roman" w:hAnsi="Times New Roman" w:cs="Times New Roman"/>
          <w:lang w:eastAsia="es-MX"/>
        </w:rPr>
      </w:pPr>
      <w:r w:rsidRPr="00CC7F20">
        <w:rPr>
          <w:rFonts w:ascii="Palatino Linotype" w:eastAsia="Times New Roman" w:hAnsi="Palatino Linotype" w:cs="Times New Roman"/>
          <w:i/>
          <w:iCs/>
          <w:color w:val="000000"/>
          <w:lang w:eastAsia="es-MX"/>
        </w:rPr>
        <w:t xml:space="preserve">II. </w:t>
      </w:r>
      <w:r w:rsidRPr="00CC7F20">
        <w:rPr>
          <w:rFonts w:ascii="Palatino Linotype" w:eastAsia="Times New Roman" w:hAnsi="Palatino Linotype" w:cs="Times New Roman"/>
          <w:b/>
          <w:bCs/>
          <w:i/>
          <w:iCs/>
          <w:color w:val="000000"/>
          <w:lang w:eastAsia="es-MX"/>
        </w:rPr>
        <w:t>Recibos de pagos de salarios</w:t>
      </w:r>
      <w:r w:rsidRPr="00CC7F20">
        <w:rPr>
          <w:rFonts w:ascii="Palatino Linotype" w:eastAsia="Times New Roman" w:hAnsi="Palatino Linotype" w:cs="Times New Roman"/>
          <w:i/>
          <w:iCs/>
          <w:color w:val="000000"/>
          <w:lang w:eastAsia="es-MX"/>
        </w:rPr>
        <w:t xml:space="preserve"> o las constancias documentales del pago de salario cuando sea por depósito o mediante información electrónica; (…) </w:t>
      </w:r>
    </w:p>
    <w:p w14:paraId="0B5FA32D" w14:textId="77777777" w:rsidR="00CC7F20" w:rsidRPr="00CC7F20" w:rsidRDefault="00CC7F20" w:rsidP="00CC7F20">
      <w:pPr>
        <w:spacing w:line="360" w:lineRule="auto"/>
        <w:ind w:left="708" w:firstLine="60"/>
        <w:jc w:val="both"/>
        <w:rPr>
          <w:rFonts w:ascii="Times New Roman" w:eastAsia="Times New Roman" w:hAnsi="Times New Roman" w:cs="Times New Roman"/>
          <w:lang w:eastAsia="es-MX"/>
        </w:rPr>
      </w:pPr>
      <w:r w:rsidRPr="00CC7F20">
        <w:rPr>
          <w:rFonts w:ascii="Palatino Linotype" w:eastAsia="Times New Roman" w:hAnsi="Palatino Linotype" w:cs="Times New Roman"/>
          <w:i/>
          <w:iCs/>
          <w:color w:val="000000"/>
          <w:lang w:eastAsia="es-MX"/>
        </w:rPr>
        <w:t xml:space="preserve">IV.  </w:t>
      </w:r>
      <w:r w:rsidRPr="00CC7F20">
        <w:rPr>
          <w:rFonts w:ascii="Palatino Linotype" w:eastAsia="Times New Roman" w:hAnsi="Palatino Linotype" w:cs="Times New Roman"/>
          <w:b/>
          <w:bCs/>
          <w:i/>
          <w:iCs/>
          <w:color w:val="000000"/>
          <w:lang w:eastAsia="es-MX"/>
        </w:rPr>
        <w:t>Recibos o las constancias de depósito o del medio de información magnética o electrónica que sean utilizadas para el pago de salarios, prima vacacional, aguinaldo y demás prestaciones establecidas en la presente ley; y </w:t>
      </w:r>
    </w:p>
    <w:p w14:paraId="6F03B901" w14:textId="77777777" w:rsidR="00CC7F20" w:rsidRPr="00CC7F20" w:rsidRDefault="00CC7F20" w:rsidP="00CC7F20">
      <w:pPr>
        <w:spacing w:line="360" w:lineRule="auto"/>
        <w:ind w:left="708" w:firstLine="60"/>
        <w:jc w:val="both"/>
        <w:rPr>
          <w:rFonts w:ascii="Times New Roman" w:eastAsia="Times New Roman" w:hAnsi="Times New Roman" w:cs="Times New Roman"/>
          <w:lang w:eastAsia="es-MX"/>
        </w:rPr>
      </w:pPr>
      <w:r w:rsidRPr="00CC7F20">
        <w:rPr>
          <w:rFonts w:ascii="Palatino Linotype" w:eastAsia="Times New Roman" w:hAnsi="Palatino Linotype" w:cs="Times New Roman"/>
          <w:b/>
          <w:bCs/>
          <w:i/>
          <w:iCs/>
          <w:color w:val="000000"/>
          <w:lang w:eastAsia="es-MX"/>
        </w:rPr>
        <w:lastRenderedPageBreak/>
        <w:t>Los documentos señalados en la fracción I de este artículo, deberán conservarse mientras dure la relación laboral y hasta un año después</w:t>
      </w:r>
      <w:r w:rsidRPr="00CC7F20">
        <w:rPr>
          <w:rFonts w:ascii="Palatino Linotype" w:eastAsia="Times New Roman" w:hAnsi="Palatino Linotype" w:cs="Times New Roman"/>
          <w:i/>
          <w:iCs/>
          <w:color w:val="000000"/>
          <w:lang w:eastAsia="es-MX"/>
        </w:rPr>
        <w:t>; los señalados por las fracciones II, III, IV durante el último año y un año después de que se extinga la relación laboral, y los mencionados en la fracción V, conforme lo señalen las leyes que los rijan.</w:t>
      </w:r>
    </w:p>
    <w:p w14:paraId="7CDD5C63" w14:textId="77777777" w:rsidR="00CC7F20" w:rsidRPr="00CC7F20" w:rsidRDefault="00CC7F20" w:rsidP="00CC7F20">
      <w:pPr>
        <w:spacing w:after="0" w:line="360" w:lineRule="auto"/>
        <w:jc w:val="both"/>
        <w:rPr>
          <w:rFonts w:ascii="Times New Roman" w:eastAsia="Times New Roman" w:hAnsi="Times New Roman" w:cs="Times New Roman"/>
          <w:lang w:eastAsia="es-MX"/>
        </w:rPr>
      </w:pPr>
    </w:p>
    <w:p w14:paraId="532E3A13" w14:textId="77777777" w:rsidR="00CC7F20" w:rsidRPr="00CC7F20" w:rsidRDefault="00CC7F20" w:rsidP="00CC7F20">
      <w:pPr>
        <w:spacing w:line="360" w:lineRule="auto"/>
        <w:ind w:left="708"/>
        <w:jc w:val="both"/>
        <w:rPr>
          <w:rFonts w:ascii="Times New Roman" w:eastAsia="Times New Roman" w:hAnsi="Times New Roman" w:cs="Times New Roman"/>
          <w:lang w:eastAsia="es-MX"/>
        </w:rPr>
      </w:pPr>
      <w:r w:rsidRPr="00CC7F20">
        <w:rPr>
          <w:rFonts w:ascii="Palatino Linotype" w:eastAsia="Times New Roman" w:hAnsi="Palatino Linotype" w:cs="Times New Roman"/>
          <w:b/>
          <w:bCs/>
          <w:i/>
          <w:iCs/>
          <w:color w:val="000000"/>
          <w:u w:val="single"/>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w:t>
      </w:r>
      <w:r w:rsidRPr="00CC7F20">
        <w:rPr>
          <w:rFonts w:ascii="Palatino Linotype" w:eastAsia="Times New Roman" w:hAnsi="Palatino Linotype" w:cs="Times New Roman"/>
          <w:i/>
          <w:iCs/>
          <w:color w:val="000000"/>
          <w:lang w:eastAsia="es-MX"/>
        </w:rPr>
        <w:t>, harán prueba plena. El incumplimiento por lo dispuesto por este artículo, establecerá la presunción de ser ciertos los hechos que el actor exprese en su demanda, en relación con tales documentos, salvo prueba en contrario</w:t>
      </w:r>
    </w:p>
    <w:p w14:paraId="2F76CB56" w14:textId="77777777" w:rsidR="00CC7F20" w:rsidRPr="00CC7F20" w:rsidRDefault="00CC7F20" w:rsidP="00CC7F20">
      <w:pPr>
        <w:spacing w:after="0" w:line="360" w:lineRule="auto"/>
        <w:jc w:val="both"/>
        <w:rPr>
          <w:rFonts w:ascii="Times New Roman" w:eastAsia="Times New Roman" w:hAnsi="Times New Roman" w:cs="Times New Roman"/>
          <w:sz w:val="24"/>
          <w:szCs w:val="24"/>
          <w:lang w:eastAsia="es-MX"/>
        </w:rPr>
      </w:pPr>
    </w:p>
    <w:p w14:paraId="7B637350" w14:textId="77777777" w:rsidR="00CC7F20" w:rsidRPr="00CC7F20" w:rsidRDefault="00CC7F20" w:rsidP="00CC7F20">
      <w:pPr>
        <w:spacing w:line="360" w:lineRule="auto"/>
        <w:jc w:val="both"/>
        <w:rPr>
          <w:rFonts w:ascii="Times New Roman" w:eastAsia="Times New Roman" w:hAnsi="Times New Roman" w:cs="Times New Roman"/>
          <w:sz w:val="24"/>
          <w:szCs w:val="24"/>
          <w:lang w:eastAsia="es-MX"/>
        </w:rPr>
      </w:pPr>
      <w:r w:rsidRPr="00CC7F20">
        <w:rPr>
          <w:rFonts w:ascii="Palatino Linotype" w:eastAsia="Times New Roman" w:hAnsi="Palatino Linotype" w:cs="Times New Roman"/>
          <w:color w:val="000000"/>
          <w:sz w:val="24"/>
          <w:szCs w:val="24"/>
          <w:lang w:eastAsia="es-MX"/>
        </w:rPr>
        <w:t>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314BB26F" w14:textId="77777777" w:rsidR="0033283B" w:rsidRPr="00CC5AA1" w:rsidRDefault="0033283B" w:rsidP="00CC7F20">
      <w:pPr>
        <w:spacing w:after="0" w:line="360" w:lineRule="auto"/>
        <w:jc w:val="both"/>
        <w:rPr>
          <w:rFonts w:ascii="Palatino Linotype" w:eastAsia="Times New Roman" w:hAnsi="Palatino Linotype" w:cs="Calibri"/>
          <w:sz w:val="24"/>
          <w:lang w:val="es-ES_tradnl" w:eastAsia="es-MX"/>
        </w:rPr>
      </w:pPr>
    </w:p>
    <w:p w14:paraId="4009153B" w14:textId="77777777" w:rsidR="0033283B" w:rsidRPr="004261FD" w:rsidRDefault="00CC7F20" w:rsidP="004261FD">
      <w:pPr>
        <w:pStyle w:val="NormalWeb"/>
        <w:spacing w:before="0" w:beforeAutospacing="0" w:after="160" w:afterAutospacing="0" w:line="360" w:lineRule="auto"/>
        <w:jc w:val="both"/>
      </w:pPr>
      <w:r>
        <w:rPr>
          <w:rFonts w:ascii="Palatino Linotype" w:hAnsi="Palatino Linotype"/>
          <w:color w:val="000000"/>
        </w:rPr>
        <w:t xml:space="preserve">Además, la </w:t>
      </w:r>
      <w:r>
        <w:rPr>
          <w:rFonts w:ascii="Palatino Linotype" w:hAnsi="Palatino Linotype"/>
          <w:b/>
          <w:bCs/>
          <w:color w:val="000000"/>
        </w:rPr>
        <w:t>Ley Orgánica Municipal del Estado de México</w:t>
      </w:r>
      <w:r>
        <w:rPr>
          <w:rFonts w:ascii="Palatino Linotype" w:hAnsi="Palatino Linotype"/>
          <w:color w:val="000000"/>
        </w:rPr>
        <w:t xml:space="preserve"> en el artículo 31 fracción XIX establece como atribución de los Ayuntamientos aprobar su </w:t>
      </w:r>
      <w:r>
        <w:rPr>
          <w:rFonts w:ascii="Palatino Linotype" w:hAnsi="Palatino Linotype"/>
          <w:b/>
          <w:bCs/>
          <w:color w:val="000000"/>
          <w:u w:val="single"/>
        </w:rPr>
        <w:t>Presupuesto de Egresos</w:t>
      </w:r>
      <w:r>
        <w:rPr>
          <w:rFonts w:ascii="Palatino Linotype" w:hAnsi="Palatino Linotype"/>
          <w:color w:val="000000"/>
        </w:rPr>
        <w:t xml:space="preserve">, y </w:t>
      </w:r>
      <w:r>
        <w:rPr>
          <w:rFonts w:ascii="Palatino Linotype" w:hAnsi="Palatino Linotype"/>
          <w:color w:val="000000"/>
        </w:rPr>
        <w:lastRenderedPageBreak/>
        <w:t>al hacerlo deberán señalar “</w:t>
      </w:r>
      <w:r>
        <w:rPr>
          <w:rFonts w:ascii="Palatino Linotype" w:hAnsi="Palatino Linotype"/>
          <w:b/>
          <w:bCs/>
          <w:i/>
          <w:iCs/>
          <w:color w:val="000000"/>
          <w:u w:val="single"/>
        </w:rPr>
        <w:t>la remuneración</w:t>
      </w:r>
      <w:r>
        <w:rPr>
          <w:rFonts w:ascii="Palatino Linotype" w:hAnsi="Palatino Linotype"/>
          <w:i/>
          <w:iCs/>
          <w:color w:val="000000"/>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Pr>
          <w:rFonts w:ascii="Palatino Linotype" w:hAnsi="Palatino Linotype"/>
          <w:color w:val="000000"/>
        </w:rPr>
        <w:t>“ y además “</w:t>
      </w:r>
      <w:r>
        <w:rPr>
          <w:rFonts w:ascii="Palatino Linotype" w:hAnsi="Palatino Linotype"/>
          <w:i/>
          <w:iCs/>
          <w:color w:val="000000"/>
        </w:rPr>
        <w:t xml:space="preserve">las remuneraciones de todo tipo del Presidente Municipal, Síndicos, Regidores y servidores públicos en general, incluyendo mandos medios y superiores de la administración municipal, </w:t>
      </w:r>
      <w:r>
        <w:rPr>
          <w:rFonts w:ascii="Palatino Linotype" w:hAnsi="Palatino Linotype"/>
          <w:b/>
          <w:bCs/>
          <w:i/>
          <w:iCs/>
          <w:color w:val="000000"/>
        </w:rPr>
        <w:t>serán determinadas anualmente en el presupuesto de egresos</w:t>
      </w:r>
      <w:r>
        <w:rPr>
          <w:rFonts w:ascii="Palatino Linotype" w:hAnsi="Palatino Linotype"/>
          <w:i/>
          <w:iCs/>
          <w:color w:val="000000"/>
        </w:rPr>
        <w:t xml:space="preserve"> correspondiente y se sujetarán a los lineamientos legales establecidos para todos los servidores públicos municipales</w:t>
      </w:r>
      <w:r>
        <w:rPr>
          <w:rFonts w:ascii="Palatino Linotype" w:hAnsi="Palatino Linotype"/>
          <w:color w:val="000000"/>
        </w:rPr>
        <w:t>”.</w:t>
      </w:r>
      <w:r>
        <w:rPr>
          <w:rFonts w:ascii="Palatino Linotype" w:hAnsi="Palatino Linotype"/>
          <w:i/>
          <w:iCs/>
          <w:color w:val="000000"/>
        </w:rPr>
        <w:t>(…)</w:t>
      </w:r>
    </w:p>
    <w:p w14:paraId="37804828" w14:textId="77777777" w:rsidR="00CC7F20" w:rsidRPr="00CC7F20" w:rsidRDefault="00CC7F20" w:rsidP="00CC7F20">
      <w:pPr>
        <w:spacing w:line="360" w:lineRule="auto"/>
        <w:jc w:val="both"/>
        <w:rPr>
          <w:rFonts w:ascii="Times New Roman" w:eastAsia="Times New Roman" w:hAnsi="Times New Roman" w:cs="Times New Roman"/>
          <w:sz w:val="24"/>
          <w:szCs w:val="24"/>
          <w:lang w:eastAsia="es-MX"/>
        </w:rPr>
      </w:pPr>
      <w:r w:rsidRPr="00CC7F20">
        <w:rPr>
          <w:rFonts w:ascii="Palatino Linotype" w:eastAsia="Times New Roman" w:hAnsi="Palatino Linotype" w:cs="Times New Roman"/>
          <w:color w:val="000000"/>
          <w:sz w:val="24"/>
          <w:szCs w:val="24"/>
          <w:lang w:eastAsia="es-MX"/>
        </w:rPr>
        <w:t>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 </w:t>
      </w:r>
    </w:p>
    <w:p w14:paraId="4F5D0A8F" w14:textId="77777777" w:rsidR="00CC7F20" w:rsidRPr="00CC7F20" w:rsidRDefault="00CC7F20" w:rsidP="00CC7F20">
      <w:pPr>
        <w:spacing w:after="0" w:line="360" w:lineRule="auto"/>
        <w:rPr>
          <w:rFonts w:ascii="Times New Roman" w:eastAsia="Times New Roman" w:hAnsi="Times New Roman" w:cs="Times New Roman"/>
          <w:sz w:val="24"/>
          <w:szCs w:val="24"/>
          <w:lang w:eastAsia="es-MX"/>
        </w:rPr>
      </w:pPr>
    </w:p>
    <w:p w14:paraId="3F6AFC98" w14:textId="77777777" w:rsidR="00CC7F20" w:rsidRPr="00CC7F20" w:rsidRDefault="00CC7F20" w:rsidP="00CC7F20">
      <w:pPr>
        <w:spacing w:line="360" w:lineRule="auto"/>
        <w:jc w:val="both"/>
        <w:rPr>
          <w:rFonts w:ascii="Times New Roman" w:eastAsia="Times New Roman" w:hAnsi="Times New Roman" w:cs="Times New Roman"/>
          <w:sz w:val="24"/>
          <w:szCs w:val="24"/>
          <w:lang w:eastAsia="es-MX"/>
        </w:rPr>
      </w:pPr>
      <w:r w:rsidRPr="00CC7F20">
        <w:rPr>
          <w:rFonts w:ascii="Palatino Linotype" w:eastAsia="Times New Roman" w:hAnsi="Palatino Linotype" w:cs="Times New Roman"/>
          <w:color w:val="000000"/>
          <w:sz w:val="24"/>
          <w:szCs w:val="24"/>
          <w:lang w:eastAsia="es-MX"/>
        </w:rPr>
        <w:t xml:space="preserve">Bajo dichas consideraciones, </w:t>
      </w:r>
      <w:r w:rsidRPr="00CC7F20">
        <w:rPr>
          <w:rFonts w:ascii="Palatino Linotype" w:eastAsia="Times New Roman" w:hAnsi="Palatino Linotype" w:cs="Times New Roman"/>
          <w:color w:val="000000"/>
          <w:sz w:val="24"/>
          <w:szCs w:val="24"/>
          <w:u w:val="single"/>
          <w:lang w:eastAsia="es-MX"/>
        </w:rPr>
        <w:t>se reitera que la nómina</w:t>
      </w:r>
      <w:r w:rsidRPr="00CC7F20">
        <w:rPr>
          <w:rFonts w:ascii="Palatino Linotype" w:eastAsia="Times New Roman" w:hAnsi="Palatino Linotype" w:cs="Times New Roman"/>
          <w:color w:val="000000"/>
          <w:sz w:val="24"/>
          <w:szCs w:val="24"/>
          <w:lang w:eastAsia="es-MX"/>
        </w:rPr>
        <w:t xml:space="preserve"> o recibos de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w:t>
      </w:r>
    </w:p>
    <w:p w14:paraId="06693B99" w14:textId="77777777" w:rsidR="00CC7F20" w:rsidRPr="00CC7F20" w:rsidRDefault="00CC7F20" w:rsidP="00CC7F20">
      <w:pPr>
        <w:spacing w:after="0" w:line="360" w:lineRule="auto"/>
        <w:rPr>
          <w:rFonts w:ascii="Times New Roman" w:eastAsia="Times New Roman" w:hAnsi="Times New Roman" w:cs="Times New Roman"/>
          <w:sz w:val="24"/>
          <w:szCs w:val="24"/>
          <w:lang w:eastAsia="es-MX"/>
        </w:rPr>
      </w:pPr>
    </w:p>
    <w:p w14:paraId="0E201109" w14:textId="77777777" w:rsidR="00CC7F20" w:rsidRPr="00CC7F20" w:rsidRDefault="00CC7F20" w:rsidP="00CC7F20">
      <w:pPr>
        <w:spacing w:line="360" w:lineRule="auto"/>
        <w:ind w:left="708"/>
        <w:rPr>
          <w:rFonts w:ascii="Times New Roman" w:eastAsia="Times New Roman" w:hAnsi="Times New Roman" w:cs="Times New Roman"/>
          <w:sz w:val="24"/>
          <w:szCs w:val="24"/>
          <w:lang w:eastAsia="es-MX"/>
        </w:rPr>
      </w:pPr>
      <w:r w:rsidRPr="00CC7F20">
        <w:rPr>
          <w:rFonts w:ascii="Palatino Linotype" w:eastAsia="Times New Roman" w:hAnsi="Palatino Linotype" w:cs="Times New Roman"/>
          <w:i/>
          <w:iCs/>
          <w:color w:val="000000"/>
          <w:sz w:val="24"/>
          <w:szCs w:val="24"/>
          <w:lang w:eastAsia="es-MX"/>
        </w:rPr>
        <w:t>19. Percepciones: Se anotarán las percepciones que se le hacen llegar al empleado solamente. </w:t>
      </w:r>
    </w:p>
    <w:p w14:paraId="7F3A3F70" w14:textId="77777777" w:rsidR="00CC7F20" w:rsidRPr="00CC7F20" w:rsidRDefault="00CC7F20" w:rsidP="00CC7F20">
      <w:pPr>
        <w:spacing w:line="360" w:lineRule="auto"/>
        <w:ind w:left="708"/>
        <w:rPr>
          <w:rFonts w:ascii="Times New Roman" w:eastAsia="Times New Roman" w:hAnsi="Times New Roman" w:cs="Times New Roman"/>
          <w:sz w:val="24"/>
          <w:szCs w:val="24"/>
          <w:lang w:eastAsia="es-MX"/>
        </w:rPr>
      </w:pPr>
      <w:r w:rsidRPr="00CC7F20">
        <w:rPr>
          <w:rFonts w:ascii="Palatino Linotype" w:eastAsia="Times New Roman" w:hAnsi="Palatino Linotype" w:cs="Times New Roman"/>
          <w:i/>
          <w:iCs/>
          <w:color w:val="000000"/>
          <w:sz w:val="24"/>
          <w:szCs w:val="24"/>
          <w:lang w:eastAsia="es-MX"/>
        </w:rPr>
        <w:t>20. Deducciones: Se anotarán las deducciones correspondientes al empleado solamente.</w:t>
      </w:r>
    </w:p>
    <w:p w14:paraId="78A09C3A" w14:textId="77777777" w:rsidR="00CC7F20" w:rsidRDefault="00CC7F20" w:rsidP="00CC7F20">
      <w:pPr>
        <w:spacing w:after="0" w:line="360" w:lineRule="auto"/>
        <w:rPr>
          <w:rFonts w:ascii="Palatino Linotype" w:hAnsi="Palatino Linotype"/>
          <w:color w:val="000000"/>
          <w:sz w:val="24"/>
          <w:szCs w:val="24"/>
        </w:rPr>
      </w:pPr>
    </w:p>
    <w:p w14:paraId="449656AE" w14:textId="77777777" w:rsidR="00CC7F20" w:rsidRPr="00CC7F20" w:rsidRDefault="00CC7F20" w:rsidP="001F296A">
      <w:pPr>
        <w:spacing w:after="0" w:line="360" w:lineRule="auto"/>
        <w:jc w:val="both"/>
        <w:rPr>
          <w:rFonts w:ascii="Palatino Linotype" w:hAnsi="Palatino Linotype"/>
          <w:b/>
          <w:color w:val="000000"/>
          <w:sz w:val="24"/>
          <w:szCs w:val="24"/>
        </w:rPr>
      </w:pPr>
      <w:r w:rsidRPr="00CC7F20">
        <w:rPr>
          <w:rFonts w:ascii="Palatino Linotype" w:hAnsi="Palatino Linotype"/>
          <w:color w:val="000000"/>
          <w:sz w:val="24"/>
          <w:szCs w:val="24"/>
        </w:rPr>
        <w:t>De la misma manera, el Glosario de términos más usuales en la Administración Pública Federal, emitido por la Secretaría de Hacienda y Crédito Público (</w:t>
      </w:r>
      <w:hyperlink r:id="rId9">
        <w:r w:rsidRPr="00CC7F20">
          <w:rPr>
            <w:rFonts w:ascii="Palatino Linotype" w:hAnsi="Palatino Linotype"/>
            <w:color w:val="0563C1"/>
            <w:sz w:val="24"/>
            <w:szCs w:val="24"/>
            <w:u w:val="single"/>
          </w:rPr>
          <w:t>http://www.apartados.hacienda.gob.mx/contabilidad/documentos/informe_cuenta/1998/cuenta_publica/Glosario/n.htm</w:t>
        </w:r>
      </w:hyperlink>
      <w:r w:rsidRPr="00CC7F20">
        <w:rPr>
          <w:rFonts w:ascii="Palatino Linotype" w:hAnsi="Palatino Linotype"/>
          <w:color w:val="000000"/>
          <w:sz w:val="24"/>
          <w:szCs w:val="24"/>
        </w:rPr>
        <w:t xml:space="preserve">), establece que la </w:t>
      </w:r>
      <w:r w:rsidRPr="00CC7F20">
        <w:rPr>
          <w:rFonts w:ascii="Palatino Linotype" w:hAnsi="Palatino Linotype"/>
          <w:b/>
          <w:color w:val="000000"/>
          <w:sz w:val="24"/>
          <w:szCs w:val="24"/>
          <w:u w:val="single"/>
        </w:rPr>
        <w:t>nómina es un listado general</w:t>
      </w:r>
      <w:r w:rsidRPr="00CC7F20">
        <w:rPr>
          <w:rFonts w:ascii="Palatino Linotype" w:hAnsi="Palatino Linotype"/>
          <w:b/>
          <w:color w:val="000000"/>
          <w:sz w:val="24"/>
          <w:szCs w:val="24"/>
        </w:rPr>
        <w:t xml:space="preserve"> de los trabajadores de una institución, en el cual se asientan las percepciones brutas, deducciones y alcance neto de las mismas.</w:t>
      </w:r>
    </w:p>
    <w:p w14:paraId="5688238E" w14:textId="77777777" w:rsidR="00CC7F20" w:rsidRPr="00CC7F20" w:rsidRDefault="00CC7F20" w:rsidP="00CC7F20">
      <w:pPr>
        <w:spacing w:after="0" w:line="360" w:lineRule="auto"/>
        <w:rPr>
          <w:rFonts w:ascii="Palatino Linotype" w:hAnsi="Palatino Linotype"/>
          <w:color w:val="000000"/>
          <w:sz w:val="24"/>
          <w:szCs w:val="24"/>
        </w:rPr>
      </w:pPr>
    </w:p>
    <w:p w14:paraId="3FC8F054" w14:textId="77777777" w:rsidR="00CC7F20" w:rsidRPr="00CC7F20" w:rsidRDefault="00CC7F20" w:rsidP="00CC7F20">
      <w:pPr>
        <w:spacing w:after="0" w:line="360" w:lineRule="auto"/>
        <w:rPr>
          <w:rFonts w:ascii="Palatino Linotype" w:hAnsi="Palatino Linotype"/>
          <w:color w:val="000000"/>
          <w:sz w:val="24"/>
          <w:szCs w:val="24"/>
        </w:rPr>
      </w:pPr>
      <w:r w:rsidRPr="00CC7F20">
        <w:rPr>
          <w:rFonts w:ascii="Palatino Linotype" w:hAnsi="Palatino Linotype"/>
          <w:color w:val="000000"/>
          <w:sz w:val="24"/>
          <w:szCs w:val="24"/>
        </w:rPr>
        <w:t>Conforme a lo anterior, se puede advertir que la nómina se puede referir a lo siguiente:</w:t>
      </w:r>
    </w:p>
    <w:p w14:paraId="1AB89604" w14:textId="77777777" w:rsidR="00CC7F20" w:rsidRPr="00CC7F20" w:rsidRDefault="00CC7F20" w:rsidP="00CC7F20">
      <w:pPr>
        <w:spacing w:after="0" w:line="360" w:lineRule="auto"/>
        <w:rPr>
          <w:rFonts w:ascii="Palatino Linotype" w:hAnsi="Palatino Linotype"/>
          <w:color w:val="000000"/>
          <w:sz w:val="24"/>
          <w:szCs w:val="24"/>
        </w:rPr>
      </w:pPr>
    </w:p>
    <w:p w14:paraId="365FE694" w14:textId="77777777" w:rsidR="00CC7F20" w:rsidRPr="00CC7F20" w:rsidRDefault="00CC7F20" w:rsidP="00CC7F20">
      <w:pPr>
        <w:numPr>
          <w:ilvl w:val="0"/>
          <w:numId w:val="24"/>
        </w:numPr>
        <w:spacing w:after="0" w:line="360" w:lineRule="auto"/>
        <w:rPr>
          <w:rFonts w:ascii="Palatino Linotype" w:hAnsi="Palatino Linotype"/>
          <w:color w:val="000000"/>
          <w:sz w:val="24"/>
          <w:szCs w:val="24"/>
        </w:rPr>
      </w:pPr>
      <w:r w:rsidRPr="00CC7F20">
        <w:rPr>
          <w:rFonts w:ascii="Palatino Linotype" w:hAnsi="Palatino Linotype"/>
          <w:color w:val="000000"/>
          <w:sz w:val="24"/>
          <w:szCs w:val="24"/>
        </w:rPr>
        <w:t>Relación de trabajadores con las percepciones monetarias de cada uno.</w:t>
      </w:r>
    </w:p>
    <w:p w14:paraId="181D8E6A" w14:textId="77777777" w:rsidR="00CC7F20" w:rsidRPr="00CC7F20" w:rsidRDefault="00CC7F20" w:rsidP="00CC7F20">
      <w:pPr>
        <w:spacing w:after="0" w:line="360" w:lineRule="auto"/>
        <w:ind w:left="720"/>
        <w:rPr>
          <w:rFonts w:ascii="Palatino Linotype" w:hAnsi="Palatino Linotype"/>
          <w:color w:val="000000"/>
          <w:sz w:val="24"/>
          <w:szCs w:val="24"/>
        </w:rPr>
      </w:pPr>
    </w:p>
    <w:p w14:paraId="40ED3965" w14:textId="77777777" w:rsidR="00CC7F20" w:rsidRPr="00CC7F20" w:rsidRDefault="00CC7F20" w:rsidP="00CC7F20">
      <w:pPr>
        <w:numPr>
          <w:ilvl w:val="0"/>
          <w:numId w:val="24"/>
        </w:numPr>
        <w:spacing w:after="0" w:line="360" w:lineRule="auto"/>
        <w:rPr>
          <w:rFonts w:ascii="Palatino Linotype" w:hAnsi="Palatino Linotype"/>
          <w:color w:val="000000"/>
          <w:sz w:val="24"/>
          <w:szCs w:val="24"/>
        </w:rPr>
      </w:pPr>
      <w:r w:rsidRPr="00CC7F20">
        <w:rPr>
          <w:rFonts w:ascii="Palatino Linotype" w:hAnsi="Palatino Linotype"/>
          <w:color w:val="000000"/>
          <w:sz w:val="24"/>
          <w:szCs w:val="24"/>
        </w:rPr>
        <w:t>Recibo individual que contiene las prestaciones y deducciones de un trabajador.</w:t>
      </w:r>
    </w:p>
    <w:p w14:paraId="67BFBD11" w14:textId="77777777" w:rsidR="00CC7F20" w:rsidRPr="00CC7F20" w:rsidRDefault="00CC7F20" w:rsidP="00CC7F20">
      <w:pPr>
        <w:pBdr>
          <w:top w:val="nil"/>
          <w:left w:val="nil"/>
          <w:bottom w:val="nil"/>
          <w:right w:val="nil"/>
          <w:between w:val="nil"/>
        </w:pBdr>
        <w:spacing w:after="0" w:line="360" w:lineRule="auto"/>
        <w:ind w:left="720"/>
        <w:rPr>
          <w:rFonts w:ascii="Palatino Linotype" w:hAnsi="Palatino Linotype"/>
          <w:color w:val="000000"/>
          <w:sz w:val="24"/>
          <w:szCs w:val="24"/>
        </w:rPr>
      </w:pPr>
    </w:p>
    <w:p w14:paraId="41C52C2A" w14:textId="77777777" w:rsidR="00CC7F20" w:rsidRPr="00CC7F20" w:rsidRDefault="00CC7F20" w:rsidP="00CC7F20">
      <w:pPr>
        <w:numPr>
          <w:ilvl w:val="0"/>
          <w:numId w:val="24"/>
        </w:numPr>
        <w:spacing w:after="0" w:line="360" w:lineRule="auto"/>
        <w:rPr>
          <w:rFonts w:ascii="Palatino Linotype" w:hAnsi="Palatino Linotype"/>
          <w:b/>
          <w:color w:val="000000"/>
          <w:sz w:val="24"/>
          <w:szCs w:val="24"/>
        </w:rPr>
      </w:pPr>
      <w:r w:rsidRPr="00CC7F20">
        <w:rPr>
          <w:rFonts w:ascii="Palatino Linotype" w:hAnsi="Palatino Linotype"/>
          <w:b/>
          <w:color w:val="000000"/>
          <w:sz w:val="24"/>
          <w:szCs w:val="24"/>
        </w:rPr>
        <w:t>Listado general de los servidores públicos de una institución o dependencia, en el cual se asientan las percepciones brutas, deducciones y alcance neto de las mismas.</w:t>
      </w:r>
    </w:p>
    <w:p w14:paraId="443C0BD1" w14:textId="77777777" w:rsidR="001F296A" w:rsidRDefault="001F296A" w:rsidP="001F296A">
      <w:pPr>
        <w:spacing w:line="360" w:lineRule="auto"/>
        <w:jc w:val="both"/>
        <w:rPr>
          <w:rFonts w:ascii="Palatino Linotype" w:hAnsi="Palatino Linotype"/>
          <w:sz w:val="24"/>
          <w:szCs w:val="24"/>
        </w:rPr>
      </w:pPr>
    </w:p>
    <w:p w14:paraId="4E9E327B" w14:textId="77777777" w:rsidR="00007512" w:rsidRPr="00E847E0" w:rsidRDefault="001F296A" w:rsidP="00F46EAC">
      <w:pPr>
        <w:spacing w:line="360" w:lineRule="auto"/>
        <w:jc w:val="both"/>
        <w:rPr>
          <w:rFonts w:ascii="Palatino Linotype" w:hAnsi="Palatino Linotype"/>
          <w:sz w:val="24"/>
          <w:szCs w:val="24"/>
        </w:rPr>
      </w:pPr>
      <w:r>
        <w:rPr>
          <w:rFonts w:ascii="Palatino Linotype" w:hAnsi="Palatino Linotype"/>
          <w:sz w:val="24"/>
          <w:szCs w:val="24"/>
        </w:rPr>
        <w:lastRenderedPageBreak/>
        <w:t>Por lo que conforme al análisis de la documental enviada por el Sujeto Obligado al no tratarse del documento en el que consten los requerimientos anteriormente plantea</w:t>
      </w:r>
      <w:r w:rsidR="00F8360B">
        <w:rPr>
          <w:rFonts w:ascii="Palatino Linotype" w:hAnsi="Palatino Linotype"/>
          <w:sz w:val="24"/>
          <w:szCs w:val="24"/>
        </w:rPr>
        <w:t>d</w:t>
      </w:r>
      <w:r w:rsidR="000C3D2D">
        <w:rPr>
          <w:rFonts w:ascii="Palatino Linotype" w:hAnsi="Palatino Linotype"/>
          <w:sz w:val="24"/>
          <w:szCs w:val="24"/>
        </w:rPr>
        <w:t>os no se</w:t>
      </w:r>
      <w:r w:rsidR="00484A72">
        <w:rPr>
          <w:rFonts w:ascii="Palatino Linotype" w:hAnsi="Palatino Linotype"/>
          <w:sz w:val="24"/>
          <w:szCs w:val="24"/>
        </w:rPr>
        <w:t xml:space="preserve"> </w:t>
      </w:r>
      <w:r w:rsidR="00F46EAC">
        <w:rPr>
          <w:rFonts w:ascii="Palatino Linotype" w:hAnsi="Palatino Linotype"/>
          <w:sz w:val="24"/>
          <w:szCs w:val="24"/>
        </w:rPr>
        <w:t xml:space="preserve"> tiene por colmado el documento Excel enviado en respuesta primigenia.</w:t>
      </w:r>
      <w:r w:rsidR="00007512">
        <w:rPr>
          <w:rFonts w:ascii="Palatino Linotype" w:hAnsi="Palatino Linotype"/>
          <w:sz w:val="24"/>
          <w:szCs w:val="24"/>
        </w:rPr>
        <w:t xml:space="preserve"> </w:t>
      </w:r>
      <w:r w:rsidR="00007512" w:rsidRPr="00EB429C">
        <w:rPr>
          <w:rFonts w:ascii="Palatino Linotype" w:hAnsi="Palatino Linotype"/>
          <w:sz w:val="24"/>
          <w:szCs w:val="24"/>
          <w:highlight w:val="yellow"/>
        </w:rPr>
        <w:t xml:space="preserve">Del mismo modo este </w:t>
      </w:r>
      <w:r w:rsidR="000141E4" w:rsidRPr="00EB429C">
        <w:rPr>
          <w:rFonts w:ascii="Palatino Linotype" w:hAnsi="Palatino Linotype"/>
          <w:sz w:val="24"/>
          <w:szCs w:val="24"/>
          <w:highlight w:val="yellow"/>
        </w:rPr>
        <w:t>Ó</w:t>
      </w:r>
      <w:r w:rsidR="00007512" w:rsidRPr="00EB429C">
        <w:rPr>
          <w:rFonts w:ascii="Palatino Linotype" w:hAnsi="Palatino Linotype"/>
          <w:sz w:val="24"/>
          <w:szCs w:val="24"/>
          <w:highlight w:val="yellow"/>
        </w:rPr>
        <w:t>rgano Garante advierte que respecto al requerimiento de la “nómina” en uso de sus atribuciones establecidas en el artículo 181 de la Ley de Transparencia Local determinó establecer que</w:t>
      </w:r>
      <w:r w:rsidR="000141E4" w:rsidRPr="00EB429C">
        <w:rPr>
          <w:rFonts w:ascii="Palatino Linotype" w:hAnsi="Palatino Linotype"/>
          <w:sz w:val="24"/>
          <w:szCs w:val="24"/>
          <w:highlight w:val="yellow"/>
        </w:rPr>
        <w:t xml:space="preserve"> ordenar</w:t>
      </w:r>
      <w:r w:rsidR="00007512" w:rsidRPr="00EB429C">
        <w:rPr>
          <w:rFonts w:ascii="Palatino Linotype" w:hAnsi="Palatino Linotype"/>
          <w:sz w:val="24"/>
          <w:szCs w:val="24"/>
          <w:highlight w:val="yellow"/>
        </w:rPr>
        <w:t xml:space="preserve"> la conciliación de nómina </w:t>
      </w:r>
      <w:r w:rsidR="000141E4" w:rsidRPr="00EB429C">
        <w:rPr>
          <w:rFonts w:ascii="Palatino Linotype" w:hAnsi="Palatino Linotype"/>
          <w:sz w:val="24"/>
          <w:szCs w:val="24"/>
          <w:highlight w:val="yellow"/>
        </w:rPr>
        <w:t xml:space="preserve">cumpliría con lo requerido por el particular y al mismo tiempo </w:t>
      </w:r>
      <w:proofErr w:type="spellStart"/>
      <w:r w:rsidR="000141E4" w:rsidRPr="00EB429C">
        <w:rPr>
          <w:rFonts w:ascii="Palatino Linotype" w:hAnsi="Palatino Linotype"/>
          <w:sz w:val="24"/>
          <w:szCs w:val="24"/>
          <w:highlight w:val="yellow"/>
        </w:rPr>
        <w:t>satisfacería</w:t>
      </w:r>
      <w:proofErr w:type="spellEnd"/>
      <w:r w:rsidR="000141E4" w:rsidRPr="00EB429C">
        <w:rPr>
          <w:rFonts w:ascii="Palatino Linotype" w:hAnsi="Palatino Linotype"/>
          <w:sz w:val="24"/>
          <w:szCs w:val="24"/>
          <w:highlight w:val="yellow"/>
        </w:rPr>
        <w:t xml:space="preserve"> dicho </w:t>
      </w:r>
      <w:r w:rsidR="00007512" w:rsidRPr="00EB429C">
        <w:rPr>
          <w:rFonts w:ascii="Palatino Linotype" w:hAnsi="Palatino Linotype"/>
          <w:sz w:val="24"/>
          <w:szCs w:val="24"/>
          <w:highlight w:val="yellow"/>
        </w:rPr>
        <w:t>requerimiento.</w:t>
      </w:r>
    </w:p>
    <w:p w14:paraId="2603858E" w14:textId="77777777" w:rsidR="00B54D7A" w:rsidRDefault="001F296A" w:rsidP="0044218A">
      <w:pPr>
        <w:spacing w:line="360" w:lineRule="auto"/>
        <w:jc w:val="both"/>
        <w:rPr>
          <w:rFonts w:ascii="Palatino Linotype" w:hAnsi="Palatino Linotype"/>
          <w:sz w:val="24"/>
          <w:szCs w:val="24"/>
        </w:rPr>
      </w:pPr>
      <w:r w:rsidRPr="001F296A">
        <w:rPr>
          <w:rFonts w:ascii="Palatino Linotype" w:hAnsi="Palatino Linotype"/>
          <w:sz w:val="24"/>
          <w:szCs w:val="24"/>
        </w:rPr>
        <w:t xml:space="preserve">En ese contexto, los Lineamientos para la Integración y Entrega del Informe Trimestral Municipal, dos mil veintitrés, emitidos por el Órgano Superior de Fiscalización del Estado de México, el cual precisa que los Ayuntamientos deben de proporcionar, para su fiscalización, diversos documentos, entre los cuales se encuentran aquellos del </w:t>
      </w:r>
      <w:r w:rsidRPr="001F296A">
        <w:rPr>
          <w:rFonts w:ascii="Palatino Linotype" w:hAnsi="Palatino Linotype"/>
          <w:b/>
          <w:sz w:val="24"/>
          <w:szCs w:val="24"/>
        </w:rPr>
        <w:t>Módulo 4</w:t>
      </w:r>
      <w:r w:rsidRPr="001F296A">
        <w:rPr>
          <w:rFonts w:ascii="Palatino Linotype" w:hAnsi="Palatino Linotype"/>
          <w:sz w:val="24"/>
          <w:szCs w:val="24"/>
        </w:rPr>
        <w:t xml:space="preserve">, que contienen la </w:t>
      </w:r>
      <w:r w:rsidRPr="00EA2EB3">
        <w:rPr>
          <w:rFonts w:ascii="Palatino Linotype" w:hAnsi="Palatino Linotype"/>
          <w:sz w:val="24"/>
          <w:szCs w:val="24"/>
        </w:rPr>
        <w:t>Conciliación de Nómina</w:t>
      </w:r>
      <w:r w:rsidRPr="00EA2EB3">
        <w:rPr>
          <w:rFonts w:ascii="Palatino Linotype" w:hAnsi="Palatino Linotype"/>
          <w:sz w:val="24"/>
          <w:szCs w:val="24"/>
          <w:u w:val="single"/>
        </w:rPr>
        <w:t xml:space="preserve"> y</w:t>
      </w:r>
      <w:r w:rsidRPr="001F296A">
        <w:rPr>
          <w:rFonts w:ascii="Palatino Linotype" w:hAnsi="Palatino Linotype"/>
          <w:b/>
          <w:sz w:val="24"/>
          <w:szCs w:val="24"/>
          <w:u w:val="single"/>
        </w:rPr>
        <w:t xml:space="preserve"> el Comprobante Bancario de Dispersión de Nómina</w:t>
      </w:r>
      <w:r w:rsidRPr="001F296A">
        <w:rPr>
          <w:rFonts w:ascii="Palatino Linotype" w:hAnsi="Palatino Linotype"/>
          <w:b/>
          <w:sz w:val="24"/>
          <w:szCs w:val="24"/>
        </w:rPr>
        <w:t xml:space="preserve">, </w:t>
      </w:r>
      <w:r w:rsidRPr="001F296A">
        <w:rPr>
          <w:rFonts w:ascii="Palatino Linotype" w:hAnsi="Palatino Linotype"/>
          <w:sz w:val="24"/>
          <w:szCs w:val="24"/>
        </w:rPr>
        <w:t>el cual se conforma de del listado de servidores públicos, con todas sus percepciones y deducciones, mismo que se genera de manera quincenal.</w:t>
      </w:r>
    </w:p>
    <w:p w14:paraId="70276F80" w14:textId="77777777" w:rsidR="00007512" w:rsidRPr="0044218A" w:rsidRDefault="00007512" w:rsidP="0044218A">
      <w:pPr>
        <w:spacing w:line="360" w:lineRule="auto"/>
        <w:jc w:val="both"/>
        <w:rPr>
          <w:rFonts w:ascii="Palatino Linotype" w:hAnsi="Palatino Linotype"/>
          <w:sz w:val="24"/>
          <w:szCs w:val="24"/>
        </w:rPr>
      </w:pPr>
    </w:p>
    <w:p w14:paraId="33ED7650" w14:textId="77777777" w:rsidR="0044218A" w:rsidRDefault="001F296A" w:rsidP="0044218A">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Conforme lo anterior</w:t>
      </w:r>
      <w:r w:rsidR="0044218A" w:rsidRPr="0044218A">
        <w:rPr>
          <w:rFonts w:ascii="Palatino Linotype" w:hAnsi="Palatino Linotype"/>
          <w:color w:val="000000"/>
          <w:sz w:val="24"/>
          <w:szCs w:val="24"/>
        </w:rPr>
        <w:t xml:space="preserve">, </w:t>
      </w:r>
      <w:r w:rsidR="0044218A" w:rsidRPr="0044218A">
        <w:rPr>
          <w:rFonts w:ascii="Palatino Linotype" w:hAnsi="Palatino Linotype"/>
          <w:color w:val="000000"/>
          <w:sz w:val="24"/>
          <w:szCs w:val="24"/>
          <w:u w:val="single"/>
        </w:rPr>
        <w:t>la Conciliación de Nómina tiene como fin presentar el concentrado quincenal de las cifras derivadas de todas las erogaciones realizadas por concepto de remuneraciones al trabajo, registradas en la nómina, contra las contenidas en los registros contables, por concepto de remuneraciones al trabajo de personal</w:t>
      </w:r>
      <w:r w:rsidR="0044218A" w:rsidRPr="0044218A">
        <w:rPr>
          <w:rFonts w:ascii="Palatino Linotype" w:hAnsi="Palatino Linotype"/>
          <w:color w:val="000000"/>
          <w:sz w:val="24"/>
          <w:szCs w:val="24"/>
        </w:rPr>
        <w:t xml:space="preserve">. Por su parte, </w:t>
      </w:r>
      <w:r w:rsidR="0044218A" w:rsidRPr="003B3898">
        <w:rPr>
          <w:rFonts w:ascii="Palatino Linotype" w:hAnsi="Palatino Linotype"/>
          <w:color w:val="000000"/>
          <w:sz w:val="24"/>
          <w:szCs w:val="24"/>
          <w:u w:val="single"/>
        </w:rPr>
        <w:t>el Comprobante Bancario</w:t>
      </w:r>
      <w:r w:rsidR="0044218A" w:rsidRPr="0044218A">
        <w:rPr>
          <w:rFonts w:ascii="Palatino Linotype" w:hAnsi="Palatino Linotype"/>
          <w:color w:val="000000"/>
          <w:sz w:val="24"/>
          <w:szCs w:val="24"/>
        </w:rPr>
        <w:t xml:space="preserve">, consiste en el comprobante que emite la institución bancaria por </w:t>
      </w:r>
      <w:r w:rsidR="0044218A" w:rsidRPr="0044218A">
        <w:rPr>
          <w:rFonts w:ascii="Palatino Linotype" w:hAnsi="Palatino Linotype"/>
          <w:color w:val="000000"/>
          <w:sz w:val="24"/>
          <w:szCs w:val="24"/>
        </w:rPr>
        <w:lastRenderedPageBreak/>
        <w:t>la transferencia realizada del pago de las remuneraciones de cada servidor del Ente Público por cada quincena.</w:t>
      </w:r>
    </w:p>
    <w:p w14:paraId="37E0BBCC" w14:textId="77777777" w:rsidR="00B54D7A" w:rsidRDefault="00B54D7A" w:rsidP="0044218A">
      <w:pPr>
        <w:spacing w:after="0" w:line="360" w:lineRule="auto"/>
        <w:jc w:val="both"/>
        <w:rPr>
          <w:rFonts w:ascii="Palatino Linotype" w:hAnsi="Palatino Linotype"/>
          <w:color w:val="000000"/>
          <w:sz w:val="24"/>
          <w:szCs w:val="24"/>
        </w:rPr>
      </w:pPr>
    </w:p>
    <w:p w14:paraId="439147B1" w14:textId="77777777" w:rsidR="0044218A" w:rsidRDefault="0044218A" w:rsidP="0044218A">
      <w:pPr>
        <w:spacing w:after="0" w:line="360" w:lineRule="auto"/>
        <w:jc w:val="both"/>
        <w:rPr>
          <w:rFonts w:ascii="Palatino Linotype" w:hAnsi="Palatino Linotype"/>
          <w:color w:val="000000"/>
          <w:sz w:val="24"/>
          <w:szCs w:val="24"/>
        </w:rPr>
      </w:pPr>
      <w:r w:rsidRPr="0044218A">
        <w:rPr>
          <w:rFonts w:ascii="Palatino Linotype" w:hAnsi="Palatino Linotype"/>
          <w:color w:val="000000"/>
          <w:sz w:val="24"/>
          <w:szCs w:val="24"/>
        </w:rPr>
        <w:t xml:space="preserve">Ahora bien, </w:t>
      </w:r>
      <w:r w:rsidRPr="0044218A">
        <w:rPr>
          <w:rFonts w:ascii="Palatino Linotype" w:hAnsi="Palatino Linotype"/>
          <w:sz w:val="24"/>
          <w:szCs w:val="24"/>
        </w:rPr>
        <w:t xml:space="preserve">los Lineamientos para la Integración y Entrega del Informe Trimestral Municipal, dos mil veintitrés, emitidos por el Órgano Superior de Fiscalización del Estado de México, precisa que los Ayuntamientos deben de proporcionar en el </w:t>
      </w:r>
      <w:r w:rsidRPr="0044218A">
        <w:rPr>
          <w:rFonts w:ascii="Palatino Linotype" w:hAnsi="Palatino Linotype"/>
          <w:b/>
          <w:sz w:val="24"/>
          <w:szCs w:val="24"/>
        </w:rPr>
        <w:t xml:space="preserve">Módulo 1, </w:t>
      </w:r>
      <w:r w:rsidRPr="0044218A">
        <w:rPr>
          <w:rFonts w:ascii="Palatino Linotype" w:hAnsi="Palatino Linotype"/>
          <w:sz w:val="24"/>
          <w:szCs w:val="24"/>
        </w:rPr>
        <w:t>las Conciliaciones Bancarias, cuya finalidad es emitir información de los movimientos bancarios realizados a detalle, los cuales se hayan realizado en cierto periodo de tiempo</w:t>
      </w:r>
      <w:r w:rsidRPr="0044218A">
        <w:rPr>
          <w:rFonts w:ascii="Palatino Linotype" w:hAnsi="Palatino Linotype"/>
          <w:color w:val="000000"/>
          <w:sz w:val="24"/>
          <w:szCs w:val="24"/>
        </w:rPr>
        <w:t>, por lo que, se deberán remitir los estados de cuenta bancarios y de inversión digitalizados en todas y cada una de las páginas.</w:t>
      </w:r>
    </w:p>
    <w:p w14:paraId="37782F30" w14:textId="77777777" w:rsidR="00B54D7A" w:rsidRPr="0044218A" w:rsidRDefault="00B54D7A" w:rsidP="0044218A">
      <w:pPr>
        <w:spacing w:after="0" w:line="360" w:lineRule="auto"/>
        <w:jc w:val="both"/>
        <w:rPr>
          <w:rFonts w:ascii="Palatino Linotype" w:hAnsi="Palatino Linotype"/>
          <w:color w:val="000000"/>
          <w:sz w:val="24"/>
          <w:szCs w:val="24"/>
        </w:rPr>
      </w:pPr>
    </w:p>
    <w:p w14:paraId="18B70EC5" w14:textId="77777777" w:rsidR="00DE4B30" w:rsidRDefault="00F8360B" w:rsidP="0033283B">
      <w:pPr>
        <w:spacing w:line="360" w:lineRule="auto"/>
        <w:jc w:val="both"/>
        <w:rPr>
          <w:rFonts w:ascii="Palatino Linotype" w:hAnsi="Palatino Linotype"/>
          <w:sz w:val="24"/>
          <w:szCs w:val="24"/>
        </w:rPr>
      </w:pPr>
      <w:r>
        <w:rPr>
          <w:rFonts w:ascii="Palatino Linotype" w:hAnsi="Palatino Linotype"/>
          <w:sz w:val="24"/>
          <w:szCs w:val="24"/>
        </w:rPr>
        <w:t xml:space="preserve">Por lo que, conforme lo anterior el Sujeto Obligado </w:t>
      </w:r>
      <w:r w:rsidR="00DE4B30">
        <w:rPr>
          <w:rFonts w:ascii="Palatino Linotype" w:hAnsi="Palatino Linotype"/>
          <w:sz w:val="24"/>
          <w:szCs w:val="24"/>
        </w:rPr>
        <w:t>envió</w:t>
      </w:r>
      <w:r>
        <w:rPr>
          <w:rFonts w:ascii="Palatino Linotype" w:hAnsi="Palatino Linotype"/>
          <w:sz w:val="24"/>
          <w:szCs w:val="24"/>
        </w:rPr>
        <w:t xml:space="preserve"> </w:t>
      </w:r>
      <w:r w:rsidR="003B3898">
        <w:rPr>
          <w:rFonts w:ascii="Palatino Linotype" w:hAnsi="Palatino Linotype"/>
          <w:sz w:val="24"/>
          <w:szCs w:val="24"/>
        </w:rPr>
        <w:t xml:space="preserve">los estados bancarios donde consta el pago de la </w:t>
      </w:r>
      <w:r w:rsidR="00484A72">
        <w:rPr>
          <w:rFonts w:ascii="Palatino Linotype" w:hAnsi="Palatino Linotype"/>
          <w:sz w:val="24"/>
          <w:szCs w:val="24"/>
        </w:rPr>
        <w:t xml:space="preserve">nómina </w:t>
      </w:r>
      <w:r>
        <w:rPr>
          <w:rFonts w:ascii="Palatino Linotype" w:hAnsi="Palatino Linotype"/>
          <w:sz w:val="24"/>
          <w:szCs w:val="24"/>
        </w:rPr>
        <w:t xml:space="preserve">correspondientes </w:t>
      </w:r>
      <w:r w:rsidR="00484A72">
        <w:rPr>
          <w:rFonts w:ascii="Palatino Linotype" w:hAnsi="Palatino Linotype"/>
          <w:sz w:val="24"/>
          <w:szCs w:val="24"/>
        </w:rPr>
        <w:t xml:space="preserve">a </w:t>
      </w:r>
      <w:r w:rsidR="00DE4B30">
        <w:rPr>
          <w:rFonts w:ascii="Palatino Linotype" w:hAnsi="Palatino Linotype"/>
          <w:sz w:val="24"/>
          <w:szCs w:val="24"/>
        </w:rPr>
        <w:t xml:space="preserve">la primera quincena de octubre de dos mil veintitrés </w:t>
      </w:r>
      <w:r w:rsidR="00484A72">
        <w:rPr>
          <w:rFonts w:ascii="Palatino Linotype" w:hAnsi="Palatino Linotype"/>
          <w:sz w:val="24"/>
          <w:szCs w:val="24"/>
        </w:rPr>
        <w:t xml:space="preserve"> de los cuales se insertan imágenes ilustrativas a continuación</w:t>
      </w:r>
      <w:r w:rsidR="00DE4B30">
        <w:rPr>
          <w:rFonts w:ascii="Palatino Linotype" w:hAnsi="Palatino Linotype"/>
          <w:sz w:val="24"/>
          <w:szCs w:val="24"/>
        </w:rPr>
        <w:t xml:space="preserve">; </w:t>
      </w:r>
    </w:p>
    <w:p w14:paraId="41BE563C" w14:textId="77777777" w:rsidR="00DE4B30" w:rsidRDefault="00DE4B30" w:rsidP="003B3898">
      <w:pPr>
        <w:spacing w:line="360" w:lineRule="auto"/>
        <w:jc w:val="center"/>
        <w:rPr>
          <w:rFonts w:ascii="Palatino Linotype" w:eastAsia="Times New Roman" w:hAnsi="Palatino Linotype" w:cs="Times New Roman"/>
          <w:b/>
          <w:bCs/>
          <w:iCs/>
          <w:sz w:val="24"/>
          <w:szCs w:val="24"/>
          <w:u w:val="single"/>
        </w:rPr>
      </w:pPr>
      <w:r w:rsidRPr="00DE4B30">
        <w:rPr>
          <w:rFonts w:ascii="Palatino Linotype" w:eastAsia="Times New Roman" w:hAnsi="Palatino Linotype" w:cs="Times New Roman"/>
          <w:b/>
          <w:bCs/>
          <w:iCs/>
          <w:noProof/>
          <w:sz w:val="24"/>
          <w:szCs w:val="24"/>
          <w:u w:val="single"/>
          <w:lang w:eastAsia="es-MX"/>
        </w:rPr>
        <w:drawing>
          <wp:inline distT="0" distB="0" distL="0" distR="0" wp14:anchorId="5E43082C" wp14:editId="4C9D6570">
            <wp:extent cx="5791200" cy="4140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200" cy="414020"/>
                    </a:xfrm>
                    <a:prstGeom prst="rect">
                      <a:avLst/>
                    </a:prstGeom>
                  </pic:spPr>
                </pic:pic>
              </a:graphicData>
            </a:graphic>
          </wp:inline>
        </w:drawing>
      </w:r>
      <w:r w:rsidRPr="00DE4B30">
        <w:rPr>
          <w:rFonts w:ascii="Palatino Linotype" w:eastAsia="Times New Roman" w:hAnsi="Palatino Linotype" w:cs="Times New Roman"/>
          <w:b/>
          <w:bCs/>
          <w:iCs/>
          <w:noProof/>
          <w:sz w:val="24"/>
          <w:szCs w:val="24"/>
          <w:u w:val="single"/>
          <w:lang w:eastAsia="es-MX"/>
        </w:rPr>
        <w:drawing>
          <wp:inline distT="0" distB="0" distL="0" distR="0" wp14:anchorId="4D495147" wp14:editId="10BFF799">
            <wp:extent cx="5667375" cy="158940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7375" cy="1589405"/>
                    </a:xfrm>
                    <a:prstGeom prst="rect">
                      <a:avLst/>
                    </a:prstGeom>
                  </pic:spPr>
                </pic:pic>
              </a:graphicData>
            </a:graphic>
          </wp:inline>
        </w:drawing>
      </w:r>
    </w:p>
    <w:p w14:paraId="3DFF1E41" w14:textId="77777777" w:rsidR="0044218A" w:rsidRDefault="00DE4B30" w:rsidP="00DE4B30">
      <w:pPr>
        <w:spacing w:line="360" w:lineRule="auto"/>
        <w:jc w:val="center"/>
        <w:rPr>
          <w:rFonts w:ascii="Palatino Linotype" w:eastAsia="Times New Roman" w:hAnsi="Palatino Linotype" w:cs="Times New Roman"/>
          <w:b/>
          <w:bCs/>
          <w:iCs/>
          <w:sz w:val="24"/>
          <w:szCs w:val="24"/>
          <w:u w:val="single"/>
        </w:rPr>
      </w:pPr>
      <w:r w:rsidRPr="00DE4B30">
        <w:rPr>
          <w:rFonts w:ascii="Palatino Linotype" w:eastAsia="Times New Roman" w:hAnsi="Palatino Linotype" w:cs="Times New Roman"/>
          <w:b/>
          <w:bCs/>
          <w:iCs/>
          <w:noProof/>
          <w:sz w:val="24"/>
          <w:szCs w:val="24"/>
          <w:u w:val="single"/>
          <w:lang w:eastAsia="es-MX"/>
        </w:rPr>
        <w:lastRenderedPageBreak/>
        <w:drawing>
          <wp:inline distT="0" distB="0" distL="0" distR="0" wp14:anchorId="2F8A6427" wp14:editId="6B30EF27">
            <wp:extent cx="5437704" cy="279495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0338" cy="2811733"/>
                    </a:xfrm>
                    <a:prstGeom prst="rect">
                      <a:avLst/>
                    </a:prstGeom>
                  </pic:spPr>
                </pic:pic>
              </a:graphicData>
            </a:graphic>
          </wp:inline>
        </w:drawing>
      </w:r>
    </w:p>
    <w:p w14:paraId="7F387103" w14:textId="77777777" w:rsidR="0044218A" w:rsidRDefault="0044218A" w:rsidP="0033283B">
      <w:pPr>
        <w:spacing w:line="360" w:lineRule="auto"/>
        <w:jc w:val="both"/>
        <w:rPr>
          <w:rFonts w:ascii="Palatino Linotype" w:eastAsia="Times New Roman" w:hAnsi="Palatino Linotype" w:cs="Times New Roman"/>
          <w:b/>
          <w:bCs/>
          <w:iCs/>
          <w:sz w:val="24"/>
          <w:szCs w:val="24"/>
          <w:u w:val="single"/>
        </w:rPr>
      </w:pPr>
    </w:p>
    <w:p w14:paraId="33547248" w14:textId="77777777" w:rsidR="0044218A" w:rsidRDefault="00DE4B30" w:rsidP="0033283B">
      <w:pPr>
        <w:spacing w:line="360" w:lineRule="auto"/>
        <w:jc w:val="both"/>
        <w:rPr>
          <w:rFonts w:ascii="Palatino Linotype" w:eastAsia="Times New Roman" w:hAnsi="Palatino Linotype" w:cs="Times New Roman"/>
          <w:b/>
          <w:bCs/>
          <w:iCs/>
          <w:sz w:val="24"/>
          <w:szCs w:val="24"/>
          <w:u w:val="single"/>
        </w:rPr>
      </w:pPr>
      <w:r>
        <w:rPr>
          <w:rFonts w:ascii="Palatino Linotype" w:eastAsia="Times New Roman" w:hAnsi="Palatino Linotype" w:cs="Times New Roman"/>
          <w:b/>
          <w:bCs/>
          <w:iCs/>
          <w:noProof/>
          <w:sz w:val="24"/>
          <w:szCs w:val="24"/>
          <w:u w:val="single"/>
          <w:lang w:eastAsia="es-MX"/>
        </w:rPr>
        <w:lastRenderedPageBreak/>
        <mc:AlternateContent>
          <mc:Choice Requires="wps">
            <w:drawing>
              <wp:anchor distT="0" distB="0" distL="114300" distR="114300" simplePos="0" relativeHeight="251664384" behindDoc="0" locked="0" layoutInCell="1" allowOverlap="1" wp14:anchorId="4F5393D8" wp14:editId="545B95DE">
                <wp:simplePos x="0" y="0"/>
                <wp:positionH relativeFrom="column">
                  <wp:posOffset>87630</wp:posOffset>
                </wp:positionH>
                <wp:positionV relativeFrom="paragraph">
                  <wp:posOffset>4615180</wp:posOffset>
                </wp:positionV>
                <wp:extent cx="4752975" cy="2000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7529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404F9E" id="Rectángulo 11" o:spid="_x0000_s1026" style="position:absolute;margin-left:6.9pt;margin-top:363.4pt;width:374.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" filled="f" strokecolor="red" strokeweight="3pt"/>
            </w:pict>
          </mc:Fallback>
        </mc:AlternateContent>
      </w:r>
      <w:r>
        <w:rPr>
          <w:rFonts w:ascii="Palatino Linotype" w:eastAsia="Times New Roman" w:hAnsi="Palatino Linotype" w:cs="Times New Roman"/>
          <w:b/>
          <w:bCs/>
          <w:iCs/>
          <w:noProof/>
          <w:sz w:val="24"/>
          <w:szCs w:val="24"/>
          <w:u w:val="single"/>
          <w:lang w:eastAsia="es-MX"/>
        </w:rPr>
        <mc:AlternateContent>
          <mc:Choice Requires="wps">
            <w:drawing>
              <wp:anchor distT="0" distB="0" distL="114300" distR="114300" simplePos="0" relativeHeight="251662336" behindDoc="0" locked="0" layoutInCell="1" allowOverlap="1" wp14:anchorId="58913BAA" wp14:editId="56AAD6AD">
                <wp:simplePos x="0" y="0"/>
                <wp:positionH relativeFrom="margin">
                  <wp:posOffset>268605</wp:posOffset>
                </wp:positionH>
                <wp:positionV relativeFrom="paragraph">
                  <wp:posOffset>24130</wp:posOffset>
                </wp:positionV>
                <wp:extent cx="4905375" cy="76200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4905375"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C6AE87" id="Rectángulo 10" o:spid="_x0000_s1026" style="position:absolute;margin-left:21.15pt;margin-top:1.9pt;width:386.25pt;height:6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" filled="f" strokecolor="red" strokeweight="3pt">
                <w10:wrap anchorx="margin"/>
              </v:rect>
            </w:pict>
          </mc:Fallback>
        </mc:AlternateContent>
      </w:r>
      <w:r>
        <w:rPr>
          <w:rFonts w:ascii="Palatino Linotype" w:eastAsia="Times New Roman" w:hAnsi="Palatino Linotype" w:cs="Times New Roman"/>
          <w:b/>
          <w:bCs/>
          <w:iCs/>
          <w:noProof/>
          <w:sz w:val="24"/>
          <w:szCs w:val="24"/>
          <w:u w:val="single"/>
          <w:lang w:eastAsia="es-MX"/>
        </w:rPr>
        <mc:AlternateContent>
          <mc:Choice Requires="wps">
            <w:drawing>
              <wp:anchor distT="0" distB="0" distL="114300" distR="114300" simplePos="0" relativeHeight="251660288" behindDoc="0" locked="0" layoutInCell="1" allowOverlap="1" wp14:anchorId="72FA9697" wp14:editId="127026B4">
                <wp:simplePos x="0" y="0"/>
                <wp:positionH relativeFrom="column">
                  <wp:posOffset>116205</wp:posOffset>
                </wp:positionH>
                <wp:positionV relativeFrom="paragraph">
                  <wp:posOffset>3453130</wp:posOffset>
                </wp:positionV>
                <wp:extent cx="4752975" cy="7620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4752975" cy="762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FC6694" id="Rectángulo 9" o:spid="_x0000_s1026" style="position:absolute;margin-left:9.15pt;margin-top:271.9pt;width:374.2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" filled="f" strokecolor="red" strokeweight="3pt"/>
            </w:pict>
          </mc:Fallback>
        </mc:AlternateContent>
      </w:r>
      <w:r w:rsidRPr="00DE4B30">
        <w:rPr>
          <w:rFonts w:ascii="Palatino Linotype" w:eastAsia="Times New Roman" w:hAnsi="Palatino Linotype" w:cs="Times New Roman"/>
          <w:b/>
          <w:bCs/>
          <w:iCs/>
          <w:noProof/>
          <w:sz w:val="24"/>
          <w:szCs w:val="24"/>
          <w:u w:val="single"/>
          <w:lang w:eastAsia="es-MX"/>
        </w:rPr>
        <w:drawing>
          <wp:inline distT="0" distB="0" distL="0" distR="0" wp14:anchorId="73898700" wp14:editId="7E0D135E">
            <wp:extent cx="5770880" cy="741172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0880" cy="7411720"/>
                    </a:xfrm>
                    <a:prstGeom prst="rect">
                      <a:avLst/>
                    </a:prstGeom>
                  </pic:spPr>
                </pic:pic>
              </a:graphicData>
            </a:graphic>
          </wp:inline>
        </w:drawing>
      </w:r>
    </w:p>
    <w:p w14:paraId="49B1071A" w14:textId="77777777" w:rsidR="00DE4B30" w:rsidRDefault="007E3CE8" w:rsidP="007E3CE8">
      <w:pPr>
        <w:spacing w:line="360" w:lineRule="auto"/>
        <w:jc w:val="center"/>
        <w:rPr>
          <w:rFonts w:ascii="Palatino Linotype" w:eastAsia="Times New Roman" w:hAnsi="Palatino Linotype" w:cs="Times New Roman"/>
          <w:b/>
          <w:bCs/>
          <w:iCs/>
          <w:sz w:val="24"/>
          <w:szCs w:val="24"/>
          <w:u w:val="single"/>
        </w:rPr>
      </w:pPr>
      <w:r>
        <w:rPr>
          <w:rFonts w:ascii="Palatino Linotype" w:eastAsia="Times New Roman" w:hAnsi="Palatino Linotype" w:cs="Times New Roman"/>
          <w:b/>
          <w:bCs/>
          <w:iCs/>
          <w:noProof/>
          <w:sz w:val="24"/>
          <w:szCs w:val="24"/>
          <w:u w:val="single"/>
          <w:lang w:eastAsia="es-MX"/>
        </w:rPr>
        <w:lastRenderedPageBreak/>
        <mc:AlternateContent>
          <mc:Choice Requires="wps">
            <w:drawing>
              <wp:anchor distT="0" distB="0" distL="114300" distR="114300" simplePos="0" relativeHeight="251670528" behindDoc="0" locked="0" layoutInCell="1" allowOverlap="1" wp14:anchorId="56ACED77" wp14:editId="431ED2DC">
                <wp:simplePos x="0" y="0"/>
                <wp:positionH relativeFrom="page">
                  <wp:posOffset>1741021</wp:posOffset>
                </wp:positionH>
                <wp:positionV relativeFrom="paragraph">
                  <wp:posOffset>1447193</wp:posOffset>
                </wp:positionV>
                <wp:extent cx="4781550" cy="2480553"/>
                <wp:effectExtent l="19050" t="19050" r="19050" b="15240"/>
                <wp:wrapNone/>
                <wp:docPr id="17" name="Rectángulo 17"/>
                <wp:cNvGraphicFramePr/>
                <a:graphic xmlns:a="http://schemas.openxmlformats.org/drawingml/2006/main">
                  <a:graphicData uri="http://schemas.microsoft.com/office/word/2010/wordprocessingShape">
                    <wps:wsp>
                      <wps:cNvSpPr/>
                      <wps:spPr>
                        <a:xfrm>
                          <a:off x="0" y="0"/>
                          <a:ext cx="4781550" cy="248055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9C22FD" id="Rectángulo 17" o:spid="_x0000_s1026" style="position:absolute;margin-left:137.1pt;margin-top:113.95pt;width:376.5pt;height:195.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" filled="f" strokecolor="red" strokeweight="3pt">
                <w10:wrap anchorx="page"/>
              </v:rect>
            </w:pict>
          </mc:Fallback>
        </mc:AlternateContent>
      </w:r>
      <w:r w:rsidRPr="007E3CE8">
        <w:rPr>
          <w:rFonts w:ascii="Palatino Linotype" w:eastAsia="Times New Roman" w:hAnsi="Palatino Linotype" w:cs="Times New Roman"/>
          <w:b/>
          <w:bCs/>
          <w:iCs/>
          <w:noProof/>
          <w:sz w:val="24"/>
          <w:szCs w:val="24"/>
          <w:u w:val="single"/>
          <w:lang w:eastAsia="es-MX"/>
        </w:rPr>
        <w:drawing>
          <wp:inline distT="0" distB="0" distL="0" distR="0" wp14:anchorId="108C1997" wp14:editId="69BE7D43">
            <wp:extent cx="5117248" cy="4863829"/>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6824" cy="4872931"/>
                    </a:xfrm>
                    <a:prstGeom prst="rect">
                      <a:avLst/>
                    </a:prstGeom>
                  </pic:spPr>
                </pic:pic>
              </a:graphicData>
            </a:graphic>
          </wp:inline>
        </w:drawing>
      </w:r>
      <w:r w:rsidR="00DE4B30">
        <w:rPr>
          <w:rFonts w:ascii="Palatino Linotype" w:eastAsia="Times New Roman" w:hAnsi="Palatino Linotype" w:cs="Times New Roman"/>
          <w:b/>
          <w:bCs/>
          <w:iCs/>
          <w:noProof/>
          <w:sz w:val="24"/>
          <w:szCs w:val="24"/>
          <w:u w:val="single"/>
          <w:lang w:eastAsia="es-MX"/>
        </w:rPr>
        <w:lastRenderedPageBreak/>
        <mc:AlternateContent>
          <mc:Choice Requires="wps">
            <w:drawing>
              <wp:anchor distT="0" distB="0" distL="114300" distR="114300" simplePos="0" relativeHeight="251668480" behindDoc="0" locked="0" layoutInCell="1" allowOverlap="1" wp14:anchorId="4BD85126" wp14:editId="44AE0887">
                <wp:simplePos x="0" y="0"/>
                <wp:positionH relativeFrom="margin">
                  <wp:posOffset>344805</wp:posOffset>
                </wp:positionH>
                <wp:positionV relativeFrom="paragraph">
                  <wp:posOffset>3453131</wp:posOffset>
                </wp:positionV>
                <wp:extent cx="5257800" cy="17145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52578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57C5C5A" id="Rectángulo 15" o:spid="_x0000_s1026" style="position:absolute;margin-left:27.15pt;margin-top:271.9pt;width:414pt;height: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" filled="f" strokecolor="red" strokeweight="3pt">
                <w10:wrap anchorx="margin"/>
              </v:rect>
            </w:pict>
          </mc:Fallback>
        </mc:AlternateContent>
      </w:r>
      <w:r w:rsidR="00DE4B30">
        <w:rPr>
          <w:rFonts w:ascii="Palatino Linotype" w:eastAsia="Times New Roman" w:hAnsi="Palatino Linotype" w:cs="Times New Roman"/>
          <w:b/>
          <w:bCs/>
          <w:iCs/>
          <w:noProof/>
          <w:sz w:val="24"/>
          <w:szCs w:val="24"/>
          <w:u w:val="single"/>
          <w:lang w:eastAsia="es-MX"/>
        </w:rPr>
        <mc:AlternateContent>
          <mc:Choice Requires="wps">
            <w:drawing>
              <wp:anchor distT="0" distB="0" distL="114300" distR="114300" simplePos="0" relativeHeight="251666432" behindDoc="0" locked="0" layoutInCell="1" allowOverlap="1" wp14:anchorId="638A0832" wp14:editId="4169483F">
                <wp:simplePos x="0" y="0"/>
                <wp:positionH relativeFrom="page">
                  <wp:posOffset>1476376</wp:posOffset>
                </wp:positionH>
                <wp:positionV relativeFrom="paragraph">
                  <wp:posOffset>1424305</wp:posOffset>
                </wp:positionV>
                <wp:extent cx="4781550" cy="7810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4781550" cy="781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8FEBC9" id="Rectángulo 14" o:spid="_x0000_s1026" style="position:absolute;margin-left:116.25pt;margin-top:112.15pt;width:376.5pt;height:6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" filled="f" strokecolor="red" strokeweight="3pt">
                <w10:wrap anchorx="page"/>
              </v:rect>
            </w:pict>
          </mc:Fallback>
        </mc:AlternateContent>
      </w:r>
      <w:r w:rsidR="00DE4B30" w:rsidRPr="00DE4B30">
        <w:rPr>
          <w:rFonts w:ascii="Palatino Linotype" w:eastAsia="Times New Roman" w:hAnsi="Palatino Linotype" w:cs="Times New Roman"/>
          <w:b/>
          <w:bCs/>
          <w:iCs/>
          <w:noProof/>
          <w:sz w:val="24"/>
          <w:szCs w:val="24"/>
          <w:u w:val="single"/>
          <w:lang w:eastAsia="es-MX"/>
        </w:rPr>
        <w:drawing>
          <wp:inline distT="0" distB="0" distL="0" distR="0" wp14:anchorId="7F0569CE" wp14:editId="0DB90AA3">
            <wp:extent cx="5706271" cy="4134427"/>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6271" cy="4134427"/>
                    </a:xfrm>
                    <a:prstGeom prst="rect">
                      <a:avLst/>
                    </a:prstGeom>
                  </pic:spPr>
                </pic:pic>
              </a:graphicData>
            </a:graphic>
          </wp:inline>
        </w:drawing>
      </w:r>
    </w:p>
    <w:p w14:paraId="276A4D35" w14:textId="77777777" w:rsidR="006C130D" w:rsidRPr="006C130D" w:rsidRDefault="006C130D" w:rsidP="006C130D">
      <w:pPr>
        <w:spacing w:after="0" w:line="360" w:lineRule="auto"/>
        <w:jc w:val="both"/>
        <w:rPr>
          <w:rFonts w:ascii="Palatino Linotype" w:hAnsi="Palatino Linotype"/>
          <w:color w:val="000000"/>
          <w:sz w:val="24"/>
          <w:szCs w:val="24"/>
        </w:rPr>
      </w:pPr>
      <w:r w:rsidRPr="006C130D">
        <w:rPr>
          <w:rFonts w:ascii="Palatino Linotype" w:eastAsia="Times New Roman" w:hAnsi="Palatino Linotype" w:cs="Times New Roman"/>
          <w:bCs/>
          <w:iCs/>
          <w:sz w:val="24"/>
          <w:szCs w:val="24"/>
        </w:rPr>
        <w:t xml:space="preserve">Conforme la respuesta del Sujeto Obligado es de destacar que los documentos solicitados daría cuenta del ejercicio de los recursos públicos, los cuales conforme </w:t>
      </w:r>
      <w:r w:rsidRPr="006C130D">
        <w:rPr>
          <w:rFonts w:ascii="Palatino Linotype" w:hAnsi="Palatino Linotype"/>
          <w:color w:val="000000"/>
          <w:sz w:val="24"/>
          <w:szCs w:val="24"/>
        </w:rPr>
        <w:t xml:space="preserve">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6C130D">
        <w:rPr>
          <w:rFonts w:ascii="Palatino Linotype" w:hAnsi="Palatino Linotype"/>
          <w:b/>
          <w:color w:val="000000"/>
          <w:sz w:val="24"/>
          <w:szCs w:val="24"/>
        </w:rPr>
        <w:t xml:space="preserve">transparencia </w:t>
      </w:r>
      <w:r w:rsidRPr="006C130D">
        <w:rPr>
          <w:rFonts w:ascii="Palatino Linotype" w:hAnsi="Palatino Linotype"/>
          <w:color w:val="000000"/>
          <w:sz w:val="24"/>
          <w:szCs w:val="24"/>
        </w:rPr>
        <w:t>y honradez; sobre lo referido,  la Tesis número 1a.CXLV/2009, Novena Época, publicada en el Semanario Judicial de la Federación, Tomo XXX, de septiembre de dos mil nueve, (p. 2712), establece lo siguiente:</w:t>
      </w:r>
    </w:p>
    <w:p w14:paraId="3420BF26" w14:textId="77777777" w:rsidR="006C130D" w:rsidRPr="006C130D" w:rsidRDefault="006C130D" w:rsidP="006C130D">
      <w:pPr>
        <w:spacing w:after="0" w:line="360" w:lineRule="auto"/>
        <w:jc w:val="both"/>
        <w:rPr>
          <w:rFonts w:ascii="Palatino Linotype" w:hAnsi="Palatino Linotype"/>
          <w:color w:val="000000"/>
          <w:sz w:val="24"/>
          <w:szCs w:val="24"/>
        </w:rPr>
      </w:pPr>
    </w:p>
    <w:p w14:paraId="6751E6ED" w14:textId="77777777" w:rsidR="006C130D" w:rsidRPr="006C130D" w:rsidRDefault="006C130D" w:rsidP="006C130D">
      <w:pPr>
        <w:spacing w:after="0" w:line="360" w:lineRule="auto"/>
        <w:ind w:left="567" w:right="567"/>
        <w:jc w:val="both"/>
        <w:rPr>
          <w:rFonts w:ascii="Palatino Linotype" w:hAnsi="Palatino Linotype"/>
          <w:i/>
          <w:color w:val="000000"/>
        </w:rPr>
      </w:pPr>
      <w:r w:rsidRPr="006C130D">
        <w:rPr>
          <w:rFonts w:ascii="Palatino Linotype" w:hAnsi="Palatino Linotype"/>
          <w:b/>
          <w:i/>
          <w:color w:val="000000"/>
        </w:rPr>
        <w:t xml:space="preserve">“GASTO PÚBLICO. EL ARTÍCULO 134 DE LA CONSTITUCIÓN POLÍTICA DE LOS ESTADOS UNIDOS MEXICANOS ELEVA A RANGO CONSTITUCIONAL LOS PRINCIPIOS DE LEGALIDAD, EFICIENCIA, EFICACIA, ECONOMÍA, TRANSPARENCIA Y HONRADEZ EN ESTA MATERIA. </w:t>
      </w:r>
      <w:r w:rsidRPr="006C130D">
        <w:rPr>
          <w:rFonts w:ascii="Palatino Linotype" w:hAnsi="Palatino Linotype"/>
          <w:i/>
          <w:color w:val="000000"/>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14:paraId="4C14EEEF" w14:textId="77777777" w:rsidR="006C130D" w:rsidRPr="006C130D" w:rsidRDefault="006C130D" w:rsidP="006C130D">
      <w:pPr>
        <w:spacing w:after="0" w:line="360" w:lineRule="auto"/>
        <w:jc w:val="both"/>
        <w:rPr>
          <w:rFonts w:ascii="Palatino Linotype" w:hAnsi="Palatino Linotype"/>
          <w:color w:val="000000"/>
          <w:sz w:val="24"/>
          <w:szCs w:val="24"/>
        </w:rPr>
      </w:pPr>
    </w:p>
    <w:p w14:paraId="5A1F22AF" w14:textId="77777777" w:rsidR="006C130D" w:rsidRDefault="006C130D" w:rsidP="006C130D">
      <w:pPr>
        <w:spacing w:after="0" w:line="360" w:lineRule="auto"/>
        <w:jc w:val="both"/>
        <w:rPr>
          <w:rFonts w:ascii="Palatino Linotype" w:hAnsi="Palatino Linotype"/>
          <w:color w:val="000000"/>
          <w:sz w:val="24"/>
          <w:szCs w:val="24"/>
        </w:rPr>
      </w:pPr>
      <w:r w:rsidRPr="006C130D">
        <w:rPr>
          <w:rFonts w:ascii="Palatino Linotype" w:hAnsi="Palatino Linotype"/>
          <w:color w:val="000000"/>
          <w:sz w:val="24"/>
          <w:szCs w:val="24"/>
        </w:rPr>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778287EF" w14:textId="77777777" w:rsidR="006C130D" w:rsidRPr="006C130D" w:rsidRDefault="006C130D" w:rsidP="006C130D">
      <w:pPr>
        <w:spacing w:after="0" w:line="360" w:lineRule="auto"/>
        <w:jc w:val="both"/>
        <w:rPr>
          <w:rFonts w:ascii="Palatino Linotype" w:hAnsi="Palatino Linotype"/>
          <w:color w:val="000000"/>
          <w:sz w:val="24"/>
          <w:szCs w:val="24"/>
        </w:rPr>
      </w:pPr>
    </w:p>
    <w:p w14:paraId="65A5DF65" w14:textId="77777777" w:rsidR="006C130D" w:rsidRPr="006C130D" w:rsidRDefault="006C130D" w:rsidP="006C130D">
      <w:pPr>
        <w:spacing w:after="0" w:line="360" w:lineRule="auto"/>
        <w:jc w:val="both"/>
        <w:rPr>
          <w:rFonts w:ascii="Palatino Linotype" w:hAnsi="Palatino Linotype"/>
          <w:color w:val="000000"/>
          <w:sz w:val="24"/>
          <w:szCs w:val="24"/>
        </w:rPr>
      </w:pPr>
      <w:r w:rsidRPr="006C130D">
        <w:rPr>
          <w:rFonts w:ascii="Palatino Linotype" w:eastAsia="Times New Roman" w:hAnsi="Palatino Linotype" w:cs="Times New Roman"/>
          <w:bCs/>
          <w:iCs/>
          <w:sz w:val="24"/>
          <w:szCs w:val="24"/>
        </w:rPr>
        <w:lastRenderedPageBreak/>
        <w:t xml:space="preserve"> </w:t>
      </w:r>
      <w:r w:rsidRPr="006C130D">
        <w:rPr>
          <w:rFonts w:ascii="Palatino Linotype" w:hAnsi="Palatino Linotype"/>
          <w:color w:val="000000"/>
          <w:sz w:val="24"/>
          <w:szCs w:val="24"/>
        </w:rPr>
        <w:t>Además, de manera de referencia, el artículo 6°, fracción XXXVIII, de la Ley de Transparencia, Acceso a la Información Pública y Rendición de Cuentas de la Ciudad de México, establece que la rendición de cuentas, vista desde la perspectiva de la transparencia y acceso a la información, consiste en la potestad del individuo para exigir al poder público, informe y ponga a disposición, las acciones y decisiones emprendidas, así como los indicadores que permitan el conocimiento y la forma en que se llevaron a cabo, que incluya los resultados obtenidos.</w:t>
      </w:r>
    </w:p>
    <w:p w14:paraId="27782466" w14:textId="77777777" w:rsidR="00DE4B30" w:rsidRPr="006C130D" w:rsidRDefault="00DE4B30" w:rsidP="0033283B">
      <w:pPr>
        <w:spacing w:line="360" w:lineRule="auto"/>
        <w:jc w:val="both"/>
        <w:rPr>
          <w:rFonts w:ascii="Palatino Linotype" w:eastAsia="Times New Roman" w:hAnsi="Palatino Linotype" w:cs="Times New Roman"/>
          <w:bCs/>
          <w:iCs/>
          <w:sz w:val="24"/>
          <w:szCs w:val="24"/>
        </w:rPr>
      </w:pPr>
    </w:p>
    <w:p w14:paraId="47191673" w14:textId="77777777" w:rsidR="006C130D" w:rsidRPr="006C130D" w:rsidRDefault="006C130D" w:rsidP="006C130D">
      <w:pPr>
        <w:spacing w:after="0" w:line="360" w:lineRule="auto"/>
        <w:ind w:right="-93"/>
        <w:jc w:val="both"/>
        <w:rPr>
          <w:rFonts w:ascii="Palatino Linotype" w:hAnsi="Palatino Linotype"/>
          <w:color w:val="000000"/>
          <w:sz w:val="24"/>
          <w:szCs w:val="24"/>
        </w:rPr>
      </w:pPr>
      <w:r w:rsidRPr="006C130D">
        <w:rPr>
          <w:rFonts w:ascii="Palatino Linotype" w:hAnsi="Palatino Linotype"/>
          <w:color w:val="000000"/>
          <w:sz w:val="24"/>
          <w:szCs w:val="24"/>
        </w:rPr>
        <w:t>Conforme a lo anterior, se logra vislumbrar que, en el presente caso, la información solicitada rinde cuentas del ejercicio de recursos públicos y la forma en que se utilizaron, pues da a conocer cuánto se le paga a cada servidor público, en una determinada quincena, por realizar sus respectivas funciones.</w:t>
      </w:r>
    </w:p>
    <w:p w14:paraId="287F18DD" w14:textId="77777777" w:rsidR="00DE4B30" w:rsidRDefault="00DE4B30" w:rsidP="0033283B">
      <w:pPr>
        <w:spacing w:line="360" w:lineRule="auto"/>
        <w:jc w:val="both"/>
        <w:rPr>
          <w:rFonts w:ascii="Palatino Linotype" w:eastAsia="Times New Roman" w:hAnsi="Palatino Linotype" w:cs="Times New Roman"/>
          <w:b/>
          <w:bCs/>
          <w:iCs/>
          <w:sz w:val="24"/>
          <w:szCs w:val="24"/>
          <w:u w:val="single"/>
        </w:rPr>
      </w:pPr>
    </w:p>
    <w:p w14:paraId="2EE99D05" w14:textId="77777777" w:rsidR="00F9517F" w:rsidRPr="00CA179E" w:rsidRDefault="00F9517F" w:rsidP="00F9517F">
      <w:pPr>
        <w:spacing w:after="0" w:line="360" w:lineRule="auto"/>
        <w:jc w:val="both"/>
        <w:rPr>
          <w:rFonts w:ascii="Palatino Linotype" w:eastAsia="Calibri" w:hAnsi="Palatino Linotype" w:cs="Times New Roman"/>
          <w:color w:val="000000"/>
          <w:sz w:val="24"/>
        </w:rPr>
      </w:pPr>
      <w:r w:rsidRPr="00CA179E">
        <w:rPr>
          <w:rFonts w:ascii="Palatino Linotype" w:eastAsia="Calibri" w:hAnsi="Palatino Linotype" w:cs="Times New Roman"/>
          <w:color w:val="000000"/>
          <w:sz w:val="24"/>
        </w:rPr>
        <w:t xml:space="preserve">Asimismo, el artículo 2°, fracción III, de la Ley General de Títulos y Operaciones de Crédito establece que los actos y las operaciones que regula esta Ley General, se regirán por los </w:t>
      </w:r>
      <w:r w:rsidRPr="00CA179E">
        <w:rPr>
          <w:rFonts w:ascii="Palatino Linotype" w:eastAsia="Calibri" w:hAnsi="Palatino Linotype" w:cs="Times New Roman"/>
          <w:b/>
          <w:bCs/>
          <w:color w:val="000000"/>
          <w:sz w:val="24"/>
        </w:rPr>
        <w:t>usos bancarios y mercantiles</w:t>
      </w:r>
      <w:r w:rsidRPr="00CA179E">
        <w:rPr>
          <w:rFonts w:ascii="Palatino Linotype" w:eastAsia="Calibri" w:hAnsi="Palatino Linotype" w:cs="Times New Roman"/>
          <w:color w:val="000000"/>
          <w:sz w:val="24"/>
        </w:rPr>
        <w:t xml:space="preserve">, es así que, a manera de contextualización la cuenta bancaria y estado de cuenta se definen como: </w:t>
      </w:r>
    </w:p>
    <w:p w14:paraId="53398E46" w14:textId="77777777" w:rsidR="00F9517F" w:rsidRPr="00CA179E" w:rsidRDefault="00F9517F" w:rsidP="00F9517F">
      <w:pPr>
        <w:spacing w:after="0" w:line="360" w:lineRule="auto"/>
        <w:jc w:val="both"/>
        <w:rPr>
          <w:rFonts w:ascii="Palatino Linotype" w:eastAsia="Calibri" w:hAnsi="Palatino Linotype" w:cs="Times New Roman"/>
          <w:color w:val="000000"/>
        </w:rPr>
      </w:pPr>
    </w:p>
    <w:p w14:paraId="6213FBE1" w14:textId="77777777" w:rsidR="00F9517F" w:rsidRPr="00CA179E" w:rsidRDefault="00F9517F" w:rsidP="00F9517F">
      <w:pPr>
        <w:numPr>
          <w:ilvl w:val="0"/>
          <w:numId w:val="41"/>
        </w:numPr>
        <w:spacing w:after="0" w:line="360" w:lineRule="auto"/>
        <w:contextualSpacing/>
        <w:jc w:val="both"/>
        <w:rPr>
          <w:rFonts w:ascii="Palatino Linotype" w:eastAsia="Times New Roman" w:hAnsi="Palatino Linotype" w:cs="Times New Roman"/>
          <w:color w:val="000000"/>
          <w:sz w:val="24"/>
          <w:szCs w:val="24"/>
          <w:lang w:eastAsia="es-ES"/>
        </w:rPr>
      </w:pPr>
      <w:r w:rsidRPr="00E847E0">
        <w:rPr>
          <w:rFonts w:ascii="Palatino Linotype" w:eastAsia="Times New Roman" w:hAnsi="Palatino Linotype" w:cs="Times New Roman"/>
          <w:b/>
          <w:bCs/>
          <w:color w:val="000000"/>
          <w:sz w:val="24"/>
          <w:szCs w:val="24"/>
          <w:highlight w:val="yellow"/>
          <w:lang w:eastAsia="es-ES"/>
        </w:rPr>
        <w:t>Cuenta bancaria:</w:t>
      </w:r>
      <w:r w:rsidRPr="00CA179E">
        <w:rPr>
          <w:rFonts w:ascii="Palatino Linotype" w:eastAsia="Times New Roman" w:hAnsi="Palatino Linotype" w:cs="Times New Roman"/>
          <w:color w:val="000000"/>
          <w:sz w:val="24"/>
          <w:szCs w:val="24"/>
          <w:lang w:eastAsia="es-ES"/>
        </w:rPr>
        <w:t xml:space="preserve"> </w:t>
      </w:r>
      <w:r w:rsidRPr="00335F8C">
        <w:rPr>
          <w:rFonts w:ascii="Palatino Linotype" w:eastAsia="Times New Roman" w:hAnsi="Palatino Linotype" w:cs="Times New Roman"/>
          <w:color w:val="000000"/>
          <w:sz w:val="24"/>
          <w:szCs w:val="24"/>
          <w:u w:val="single"/>
          <w:lang w:eastAsia="es-ES"/>
        </w:rPr>
        <w:t>Una cuenta bancaria es un registro que mantiene un banco, en el que guarda dinero y contabiliza todas las entradas y salidas de efectivo, así como los créditos en curso, inversiones y productos relacionados.</w:t>
      </w:r>
    </w:p>
    <w:p w14:paraId="33B2C885" w14:textId="77777777" w:rsidR="00F9517F" w:rsidRPr="00CA179E" w:rsidRDefault="00F9517F" w:rsidP="00F9517F">
      <w:pPr>
        <w:spacing w:after="0" w:line="360" w:lineRule="auto"/>
        <w:ind w:left="720"/>
        <w:contextualSpacing/>
        <w:jc w:val="both"/>
        <w:rPr>
          <w:rFonts w:ascii="Palatino Linotype" w:eastAsia="Times New Roman" w:hAnsi="Palatino Linotype" w:cs="Times New Roman"/>
          <w:color w:val="000000"/>
          <w:sz w:val="24"/>
          <w:szCs w:val="24"/>
          <w:lang w:eastAsia="es-ES"/>
        </w:rPr>
      </w:pPr>
    </w:p>
    <w:p w14:paraId="6CC371BA" w14:textId="77777777" w:rsidR="00F9517F" w:rsidRPr="00335F8C" w:rsidRDefault="00F9517F" w:rsidP="00F9517F">
      <w:pPr>
        <w:numPr>
          <w:ilvl w:val="0"/>
          <w:numId w:val="41"/>
        </w:numPr>
        <w:spacing w:after="0" w:line="360" w:lineRule="auto"/>
        <w:contextualSpacing/>
        <w:jc w:val="both"/>
        <w:rPr>
          <w:rFonts w:ascii="Palatino Linotype" w:eastAsia="Times New Roman" w:hAnsi="Palatino Linotype" w:cs="Times New Roman"/>
          <w:color w:val="000000"/>
          <w:sz w:val="24"/>
          <w:szCs w:val="24"/>
          <w:u w:val="single"/>
          <w:lang w:eastAsia="es-ES"/>
        </w:rPr>
      </w:pPr>
      <w:r w:rsidRPr="00E847E0">
        <w:rPr>
          <w:rFonts w:ascii="Palatino Linotype" w:eastAsia="Times New Roman" w:hAnsi="Palatino Linotype" w:cs="Times New Roman"/>
          <w:b/>
          <w:bCs/>
          <w:color w:val="000000"/>
          <w:sz w:val="24"/>
          <w:szCs w:val="24"/>
          <w:highlight w:val="yellow"/>
          <w:lang w:eastAsia="es-ES"/>
        </w:rPr>
        <w:lastRenderedPageBreak/>
        <w:t>Estado de cuenta:</w:t>
      </w:r>
      <w:r w:rsidRPr="00CA179E">
        <w:rPr>
          <w:rFonts w:ascii="Palatino Linotype" w:eastAsia="Times New Roman" w:hAnsi="Palatino Linotype" w:cs="Times New Roman"/>
          <w:color w:val="000000"/>
          <w:sz w:val="24"/>
          <w:szCs w:val="24"/>
          <w:lang w:eastAsia="es-ES"/>
        </w:rPr>
        <w:t xml:space="preserve"> </w:t>
      </w:r>
      <w:r w:rsidRPr="00335F8C">
        <w:rPr>
          <w:rFonts w:ascii="Palatino Linotype" w:eastAsia="Times New Roman" w:hAnsi="Palatino Linotype" w:cs="Times New Roman"/>
          <w:color w:val="000000"/>
          <w:sz w:val="24"/>
          <w:szCs w:val="24"/>
          <w:u w:val="single"/>
          <w:lang w:eastAsia="es-ES"/>
        </w:rPr>
        <w:t>Un estado de cuenta bancario es un documento oficial, generalmente mensual, emitido por la institución bancaria con la que tiene la cuenta. Este documento contiene todos los movimientos de la cuenta realizados en el mes, además de contener datos como número de cuenta, de tarjeta, saldo al corte, fecha de pago, monto mínimo a pagar, tasa de interés, en caso de ser tarjeta de crédito, entre otros datos relevantes y confidenciales para el usuario.</w:t>
      </w:r>
    </w:p>
    <w:p w14:paraId="20EEDD7D" w14:textId="77777777" w:rsidR="00F9517F" w:rsidRPr="00335F8C" w:rsidRDefault="00F9517F" w:rsidP="00F9517F">
      <w:pPr>
        <w:spacing w:after="0" w:line="360" w:lineRule="auto"/>
        <w:contextualSpacing/>
        <w:jc w:val="both"/>
        <w:rPr>
          <w:rFonts w:ascii="Palatino Linotype" w:eastAsia="Palatino Linotype" w:hAnsi="Palatino Linotype" w:cs="Palatino Linotype"/>
          <w:sz w:val="24"/>
          <w:szCs w:val="24"/>
          <w:u w:val="single"/>
          <w:lang w:val="es-ES_tradnl" w:eastAsia="es-MX"/>
        </w:rPr>
      </w:pPr>
    </w:p>
    <w:p w14:paraId="06B3D410" w14:textId="77777777" w:rsidR="00F9517F" w:rsidRPr="00CA179E" w:rsidRDefault="00F9517F" w:rsidP="00F9517F">
      <w:pPr>
        <w:spacing w:after="0" w:line="360" w:lineRule="auto"/>
        <w:jc w:val="both"/>
        <w:rPr>
          <w:rFonts w:ascii="Palatino Linotype" w:eastAsia="Times New Roman" w:hAnsi="Palatino Linotype" w:cs="Tahoma"/>
          <w:bCs/>
          <w:sz w:val="24"/>
          <w:lang w:eastAsia="es-ES"/>
        </w:rPr>
      </w:pPr>
      <w:r w:rsidRPr="00CA179E">
        <w:rPr>
          <w:rFonts w:ascii="Palatino Linotype" w:eastAsia="Times New Roman" w:hAnsi="Palatino Linotype" w:cs="Tahoma"/>
          <w:bCs/>
          <w:sz w:val="24"/>
          <w:lang w:eastAsia="es-ES"/>
        </w:rPr>
        <w:t xml:space="preserve">Adicionalmente, el artículo 8°, fracciones XI y XIV, de Ley de Fiscalización Superior del Estado de México, establece que el Órgano Superior de Fiscalización del Estado de México, será el encargado de establecer los </w:t>
      </w:r>
      <w:r w:rsidRPr="00CA179E">
        <w:rPr>
          <w:rFonts w:ascii="Palatino Linotype" w:eastAsia="Times New Roman" w:hAnsi="Palatino Linotype" w:cs="Tahoma"/>
          <w:b/>
          <w:sz w:val="24"/>
          <w:lang w:eastAsia="es-ES"/>
        </w:rPr>
        <w:t xml:space="preserve">lineamientos </w:t>
      </w:r>
      <w:r w:rsidRPr="00CA179E">
        <w:rPr>
          <w:rFonts w:ascii="Palatino Linotype" w:eastAsia="Times New Roman" w:hAnsi="Palatino Linotype" w:cs="Tahoma"/>
          <w:bCs/>
          <w:sz w:val="24"/>
          <w:lang w:eastAsia="es-ES"/>
        </w:rPr>
        <w:t xml:space="preserve">necesarios </w:t>
      </w:r>
      <w:r w:rsidRPr="00CA179E">
        <w:rPr>
          <w:rFonts w:ascii="Palatino Linotype" w:eastAsia="Times New Roman" w:hAnsi="Palatino Linotype" w:cs="Tahoma"/>
          <w:b/>
          <w:sz w:val="24"/>
          <w:lang w:eastAsia="es-ES"/>
        </w:rPr>
        <w:t>para la elaboración de los informes trimestrales</w:t>
      </w:r>
      <w:r w:rsidRPr="00CA179E">
        <w:rPr>
          <w:rFonts w:ascii="Palatino Linotype" w:eastAsia="Times New Roman" w:hAnsi="Palatino Linotype" w:cs="Tahoma"/>
          <w:bCs/>
          <w:sz w:val="24"/>
          <w:lang w:eastAsia="es-ES"/>
        </w:rPr>
        <w:t>; además que verificará que dichos informes hayan sido presentados conforme a la normatividad aplicable.</w:t>
      </w:r>
    </w:p>
    <w:p w14:paraId="3BDB2083" w14:textId="77777777" w:rsidR="00F9517F" w:rsidRDefault="00F9517F" w:rsidP="0033283B">
      <w:pPr>
        <w:spacing w:line="360" w:lineRule="auto"/>
        <w:jc w:val="both"/>
        <w:rPr>
          <w:rFonts w:ascii="Palatino Linotype" w:eastAsia="Times New Roman" w:hAnsi="Palatino Linotype" w:cs="Times New Roman"/>
          <w:b/>
          <w:bCs/>
          <w:iCs/>
          <w:sz w:val="24"/>
          <w:szCs w:val="24"/>
          <w:u w:val="single"/>
        </w:rPr>
      </w:pPr>
    </w:p>
    <w:p w14:paraId="607B0BFE" w14:textId="77777777" w:rsidR="006C130D" w:rsidRDefault="006C130D" w:rsidP="006C130D">
      <w:pPr>
        <w:spacing w:after="0" w:line="360" w:lineRule="auto"/>
        <w:ind w:right="-28"/>
        <w:jc w:val="both"/>
        <w:rPr>
          <w:rFonts w:ascii="Palatino Linotype" w:hAnsi="Palatino Linotype"/>
          <w:color w:val="000000"/>
          <w:sz w:val="24"/>
          <w:szCs w:val="24"/>
        </w:rPr>
      </w:pPr>
      <w:r w:rsidRPr="006C130D">
        <w:rPr>
          <w:rFonts w:ascii="Palatino Linotype" w:hAnsi="Palatino Linotype"/>
          <w:color w:val="000000"/>
          <w:sz w:val="24"/>
          <w:szCs w:val="24"/>
        </w:rPr>
        <w:t>Ahora bien, del análisis del documento entregado en respuesta, se logra vislumbrar que el Sujeto Obligado clasificó los siguientes datos:</w:t>
      </w:r>
    </w:p>
    <w:p w14:paraId="6B87F746" w14:textId="77777777" w:rsidR="006C130D" w:rsidRPr="006C130D" w:rsidRDefault="006C130D" w:rsidP="006C130D">
      <w:pPr>
        <w:pStyle w:val="Prrafodelista"/>
        <w:numPr>
          <w:ilvl w:val="0"/>
          <w:numId w:val="23"/>
        </w:numPr>
        <w:ind w:right="-28"/>
        <w:rPr>
          <w:color w:val="000000"/>
        </w:rPr>
      </w:pPr>
      <w:r>
        <w:rPr>
          <w:color w:val="000000"/>
        </w:rPr>
        <w:t>Estados de cuenta</w:t>
      </w:r>
    </w:p>
    <w:p w14:paraId="5A2616C3" w14:textId="77777777" w:rsidR="007241C6" w:rsidRPr="007241C6" w:rsidRDefault="007241C6" w:rsidP="007241C6">
      <w:pPr>
        <w:pStyle w:val="Prrafodelista"/>
        <w:numPr>
          <w:ilvl w:val="0"/>
          <w:numId w:val="22"/>
        </w:numPr>
        <w:rPr>
          <w:b/>
          <w:bCs/>
          <w:iCs/>
        </w:rPr>
      </w:pPr>
      <w:r>
        <w:rPr>
          <w:b/>
          <w:bCs/>
          <w:iCs/>
        </w:rPr>
        <w:t>Código de descripción</w:t>
      </w:r>
    </w:p>
    <w:p w14:paraId="02442B0F" w14:textId="77777777" w:rsidR="006C130D" w:rsidRPr="00FE1E9F" w:rsidRDefault="006C130D" w:rsidP="006C130D">
      <w:pPr>
        <w:pStyle w:val="Prrafodelista"/>
        <w:numPr>
          <w:ilvl w:val="0"/>
          <w:numId w:val="22"/>
        </w:numPr>
        <w:rPr>
          <w:bCs/>
          <w:iCs/>
        </w:rPr>
      </w:pPr>
      <w:r w:rsidRPr="00FE1E9F">
        <w:rPr>
          <w:bCs/>
          <w:iCs/>
        </w:rPr>
        <w:t>No. De cuenta</w:t>
      </w:r>
    </w:p>
    <w:p w14:paraId="0C34875D" w14:textId="77777777" w:rsidR="006C130D" w:rsidRPr="00FE1E9F" w:rsidRDefault="006C130D" w:rsidP="006C130D">
      <w:pPr>
        <w:pStyle w:val="Prrafodelista"/>
        <w:numPr>
          <w:ilvl w:val="0"/>
          <w:numId w:val="22"/>
        </w:numPr>
        <w:rPr>
          <w:bCs/>
          <w:iCs/>
        </w:rPr>
      </w:pPr>
      <w:r w:rsidRPr="00FE1E9F">
        <w:rPr>
          <w:bCs/>
          <w:iCs/>
        </w:rPr>
        <w:t>No. De Cliente</w:t>
      </w:r>
    </w:p>
    <w:p w14:paraId="5639B501" w14:textId="77777777" w:rsidR="007B0CBF" w:rsidRPr="00FE1E9F" w:rsidRDefault="007B0CBF" w:rsidP="006C130D">
      <w:pPr>
        <w:pStyle w:val="Prrafodelista"/>
        <w:numPr>
          <w:ilvl w:val="0"/>
          <w:numId w:val="22"/>
        </w:numPr>
        <w:rPr>
          <w:bCs/>
          <w:iCs/>
        </w:rPr>
      </w:pPr>
      <w:r w:rsidRPr="00FE1E9F">
        <w:rPr>
          <w:bCs/>
          <w:iCs/>
        </w:rPr>
        <w:t>Referencia</w:t>
      </w:r>
    </w:p>
    <w:p w14:paraId="7EE1DD5D" w14:textId="77777777" w:rsidR="007B0CBF" w:rsidRPr="00FE1E9F" w:rsidRDefault="007B0CBF" w:rsidP="006C130D">
      <w:pPr>
        <w:pStyle w:val="Prrafodelista"/>
        <w:numPr>
          <w:ilvl w:val="0"/>
          <w:numId w:val="22"/>
        </w:numPr>
        <w:rPr>
          <w:bCs/>
          <w:iCs/>
        </w:rPr>
      </w:pPr>
      <w:r w:rsidRPr="00FE1E9F">
        <w:rPr>
          <w:bCs/>
          <w:iCs/>
        </w:rPr>
        <w:t>Cargos</w:t>
      </w:r>
    </w:p>
    <w:p w14:paraId="39F62CED" w14:textId="77777777" w:rsidR="007B0CBF" w:rsidRPr="00FE1E9F" w:rsidRDefault="007B0CBF" w:rsidP="006C130D">
      <w:pPr>
        <w:pStyle w:val="Prrafodelista"/>
        <w:numPr>
          <w:ilvl w:val="0"/>
          <w:numId w:val="22"/>
        </w:numPr>
        <w:rPr>
          <w:bCs/>
          <w:iCs/>
        </w:rPr>
      </w:pPr>
      <w:r w:rsidRPr="00FE1E9F">
        <w:rPr>
          <w:bCs/>
          <w:iCs/>
        </w:rPr>
        <w:t>Abonos</w:t>
      </w:r>
    </w:p>
    <w:p w14:paraId="3426488E" w14:textId="77777777" w:rsidR="007B0CBF" w:rsidRPr="00FE1E9F" w:rsidRDefault="007B0CBF" w:rsidP="006C130D">
      <w:pPr>
        <w:pStyle w:val="Prrafodelista"/>
        <w:numPr>
          <w:ilvl w:val="0"/>
          <w:numId w:val="22"/>
        </w:numPr>
        <w:rPr>
          <w:bCs/>
          <w:iCs/>
        </w:rPr>
      </w:pPr>
      <w:r w:rsidRPr="00FE1E9F">
        <w:rPr>
          <w:bCs/>
          <w:iCs/>
        </w:rPr>
        <w:lastRenderedPageBreak/>
        <w:t>Operación</w:t>
      </w:r>
    </w:p>
    <w:p w14:paraId="3BBA3BDD" w14:textId="77777777" w:rsidR="007B0CBF" w:rsidRPr="00FE1E9F" w:rsidRDefault="007B0CBF" w:rsidP="006C130D">
      <w:pPr>
        <w:pStyle w:val="Prrafodelista"/>
        <w:numPr>
          <w:ilvl w:val="0"/>
          <w:numId w:val="22"/>
        </w:numPr>
        <w:rPr>
          <w:bCs/>
          <w:iCs/>
        </w:rPr>
      </w:pPr>
      <w:r w:rsidRPr="00FE1E9F">
        <w:rPr>
          <w:bCs/>
          <w:iCs/>
        </w:rPr>
        <w:t>Liquidación</w:t>
      </w:r>
    </w:p>
    <w:p w14:paraId="729763AD" w14:textId="77777777" w:rsidR="007E414A" w:rsidRDefault="007E414A" w:rsidP="00644C52">
      <w:pPr>
        <w:spacing w:after="0" w:line="360" w:lineRule="auto"/>
        <w:jc w:val="both"/>
        <w:rPr>
          <w:rFonts w:ascii="Palatino Linotype" w:hAnsi="Palatino Linotype"/>
          <w:bCs/>
          <w:iCs/>
        </w:rPr>
      </w:pPr>
    </w:p>
    <w:p w14:paraId="34D7CE3F" w14:textId="77777777" w:rsidR="00644C52" w:rsidRDefault="00657653" w:rsidP="00644C52">
      <w:pPr>
        <w:spacing w:after="0" w:line="360" w:lineRule="auto"/>
        <w:jc w:val="both"/>
        <w:rPr>
          <w:rFonts w:ascii="Palatino Linotype" w:hAnsi="Palatino Linotype"/>
          <w:color w:val="000000"/>
          <w:sz w:val="24"/>
          <w:szCs w:val="24"/>
        </w:rPr>
      </w:pPr>
      <w:r w:rsidRPr="00657653">
        <w:rPr>
          <w:rFonts w:ascii="Palatino Linotype" w:hAnsi="Palatino Linotype"/>
          <w:color w:val="000000"/>
          <w:sz w:val="24"/>
          <w:szCs w:val="24"/>
        </w:rPr>
        <w:t>Acorde con lo anterior,</w:t>
      </w:r>
      <w:r w:rsidR="00644C52">
        <w:rPr>
          <w:rFonts w:ascii="Palatino Linotype" w:hAnsi="Palatino Linotype"/>
          <w:color w:val="000000"/>
          <w:sz w:val="24"/>
          <w:szCs w:val="24"/>
        </w:rPr>
        <w:t xml:space="preserve"> atendiendo a que el Recurrente manifestó inconformidad de lo siguiente; “</w:t>
      </w:r>
      <w:r w:rsidR="00644C52" w:rsidRPr="00FE1E9F">
        <w:rPr>
          <w:rFonts w:ascii="Palatino Linotype" w:hAnsi="Palatino Linotype"/>
          <w:b/>
          <w:i/>
          <w:color w:val="000000"/>
          <w:sz w:val="24"/>
          <w:szCs w:val="24"/>
        </w:rPr>
        <w:t xml:space="preserve">testan </w:t>
      </w:r>
      <w:proofErr w:type="spellStart"/>
      <w:r w:rsidR="00644C52" w:rsidRPr="00FE1E9F">
        <w:rPr>
          <w:rFonts w:ascii="Palatino Linotype" w:hAnsi="Palatino Linotype"/>
          <w:b/>
          <w:i/>
          <w:color w:val="000000"/>
          <w:sz w:val="24"/>
          <w:szCs w:val="24"/>
        </w:rPr>
        <w:t>informacion</w:t>
      </w:r>
      <w:proofErr w:type="spellEnd"/>
      <w:r w:rsidR="00644C52" w:rsidRPr="00FE1E9F">
        <w:rPr>
          <w:rFonts w:ascii="Palatino Linotype" w:hAnsi="Palatino Linotype"/>
          <w:b/>
          <w:i/>
          <w:color w:val="000000"/>
          <w:sz w:val="24"/>
          <w:szCs w:val="24"/>
        </w:rPr>
        <w:t xml:space="preserve"> publica como la cuenta del organismo</w:t>
      </w:r>
      <w:r w:rsidR="00644C52" w:rsidRPr="00644C52">
        <w:rPr>
          <w:rFonts w:ascii="Palatino Linotype" w:hAnsi="Palatino Linotype"/>
          <w:i/>
          <w:color w:val="000000"/>
          <w:sz w:val="24"/>
          <w:szCs w:val="24"/>
        </w:rPr>
        <w:t xml:space="preserve">, </w:t>
      </w:r>
      <w:r w:rsidR="00644C52" w:rsidRPr="00644C52">
        <w:rPr>
          <w:rFonts w:ascii="Palatino Linotype" w:hAnsi="Palatino Linotype"/>
          <w:b/>
          <w:i/>
          <w:color w:val="000000"/>
          <w:sz w:val="24"/>
          <w:szCs w:val="24"/>
        </w:rPr>
        <w:t>testan descripciones en el estado de cuenta del organismo</w:t>
      </w:r>
      <w:r w:rsidR="00644C52" w:rsidRPr="00644C52">
        <w:rPr>
          <w:rFonts w:ascii="Palatino Linotype" w:hAnsi="Palatino Linotype"/>
          <w:i/>
          <w:color w:val="000000"/>
          <w:sz w:val="24"/>
          <w:szCs w:val="24"/>
        </w:rPr>
        <w:t xml:space="preserve">, toda vez que son recursos </w:t>
      </w:r>
      <w:proofErr w:type="spellStart"/>
      <w:r w:rsidR="00644C52" w:rsidRPr="00644C52">
        <w:rPr>
          <w:rFonts w:ascii="Palatino Linotype" w:hAnsi="Palatino Linotype"/>
          <w:i/>
          <w:color w:val="000000"/>
          <w:sz w:val="24"/>
          <w:szCs w:val="24"/>
        </w:rPr>
        <w:t>publicos</w:t>
      </w:r>
      <w:proofErr w:type="spellEnd"/>
      <w:r w:rsidR="00644C52" w:rsidRPr="00644C52">
        <w:rPr>
          <w:rFonts w:ascii="Palatino Linotype" w:hAnsi="Palatino Linotype"/>
          <w:i/>
          <w:color w:val="000000"/>
          <w:sz w:val="24"/>
          <w:szCs w:val="24"/>
        </w:rPr>
        <w:t xml:space="preserve"> por lo que no favorece a </w:t>
      </w:r>
      <w:proofErr w:type="spellStart"/>
      <w:r w:rsidR="00644C52" w:rsidRPr="00644C52">
        <w:rPr>
          <w:rFonts w:ascii="Palatino Linotype" w:hAnsi="Palatino Linotype"/>
          <w:i/>
          <w:color w:val="000000"/>
          <w:sz w:val="24"/>
          <w:szCs w:val="24"/>
        </w:rPr>
        <w:t>rendicion</w:t>
      </w:r>
      <w:proofErr w:type="spellEnd"/>
      <w:r w:rsidR="00644C52" w:rsidRPr="00644C52">
        <w:rPr>
          <w:rFonts w:ascii="Palatino Linotype" w:hAnsi="Palatino Linotype"/>
          <w:i/>
          <w:color w:val="000000"/>
          <w:sz w:val="24"/>
          <w:szCs w:val="24"/>
        </w:rPr>
        <w:t xml:space="preserve"> de cuentas ni </w:t>
      </w:r>
      <w:proofErr w:type="spellStart"/>
      <w:r w:rsidR="00644C52" w:rsidRPr="00644C52">
        <w:rPr>
          <w:rFonts w:ascii="Palatino Linotype" w:hAnsi="Palatino Linotype"/>
          <w:i/>
          <w:color w:val="000000"/>
          <w:sz w:val="24"/>
          <w:szCs w:val="24"/>
        </w:rPr>
        <w:t>anticorruocupcion</w:t>
      </w:r>
      <w:proofErr w:type="spellEnd"/>
      <w:r w:rsidR="00644C52" w:rsidRPr="00644C52">
        <w:rPr>
          <w:rFonts w:ascii="Palatino Linotype" w:hAnsi="Palatino Linotype"/>
          <w:i/>
          <w:color w:val="000000"/>
          <w:sz w:val="24"/>
          <w:szCs w:val="24"/>
        </w:rPr>
        <w:t xml:space="preserve">, por lo que solo deben testar la cuenta del </w:t>
      </w:r>
      <w:proofErr w:type="spellStart"/>
      <w:r w:rsidR="00644C52" w:rsidRPr="00644C52">
        <w:rPr>
          <w:rFonts w:ascii="Palatino Linotype" w:hAnsi="Palatino Linotype"/>
          <w:i/>
          <w:color w:val="000000"/>
          <w:sz w:val="24"/>
          <w:szCs w:val="24"/>
        </w:rPr>
        <w:t>servdor</w:t>
      </w:r>
      <w:proofErr w:type="spellEnd"/>
      <w:r w:rsidR="00644C52" w:rsidRPr="00644C52">
        <w:rPr>
          <w:rFonts w:ascii="Palatino Linotype" w:hAnsi="Palatino Linotype"/>
          <w:i/>
          <w:color w:val="000000"/>
          <w:sz w:val="24"/>
          <w:szCs w:val="24"/>
        </w:rPr>
        <w:t xml:space="preserve"> </w:t>
      </w:r>
      <w:proofErr w:type="spellStart"/>
      <w:r w:rsidR="00644C52" w:rsidRPr="00644C52">
        <w:rPr>
          <w:rFonts w:ascii="Palatino Linotype" w:hAnsi="Palatino Linotype"/>
          <w:i/>
          <w:color w:val="000000"/>
          <w:sz w:val="24"/>
          <w:szCs w:val="24"/>
        </w:rPr>
        <w:t>publico</w:t>
      </w:r>
      <w:proofErr w:type="spellEnd"/>
      <w:r w:rsidR="00644C52" w:rsidRPr="00644C52">
        <w:rPr>
          <w:rFonts w:ascii="Palatino Linotype" w:hAnsi="Palatino Linotype"/>
          <w:i/>
          <w:color w:val="000000"/>
          <w:sz w:val="24"/>
          <w:szCs w:val="24"/>
        </w:rPr>
        <w:t xml:space="preserve">, todo lo </w:t>
      </w:r>
      <w:proofErr w:type="spellStart"/>
      <w:r w:rsidR="00644C52" w:rsidRPr="00644C52">
        <w:rPr>
          <w:rFonts w:ascii="Palatino Linotype" w:hAnsi="Palatino Linotype"/>
          <w:i/>
          <w:color w:val="000000"/>
          <w:sz w:val="24"/>
          <w:szCs w:val="24"/>
        </w:rPr>
        <w:t>demas</w:t>
      </w:r>
      <w:proofErr w:type="spellEnd"/>
      <w:r w:rsidR="00644C52" w:rsidRPr="00644C52">
        <w:rPr>
          <w:rFonts w:ascii="Palatino Linotype" w:hAnsi="Palatino Linotype"/>
          <w:i/>
          <w:color w:val="000000"/>
          <w:sz w:val="24"/>
          <w:szCs w:val="24"/>
        </w:rPr>
        <w:t xml:space="preserve"> es </w:t>
      </w:r>
      <w:proofErr w:type="spellStart"/>
      <w:r w:rsidR="00644C52" w:rsidRPr="00644C52">
        <w:rPr>
          <w:rFonts w:ascii="Palatino Linotype" w:hAnsi="Palatino Linotype"/>
          <w:i/>
          <w:color w:val="000000"/>
          <w:sz w:val="24"/>
          <w:szCs w:val="24"/>
        </w:rPr>
        <w:t>publico</w:t>
      </w:r>
      <w:proofErr w:type="spellEnd"/>
      <w:r w:rsidR="00644C52" w:rsidRPr="00644C52">
        <w:rPr>
          <w:rFonts w:ascii="Palatino Linotype" w:hAnsi="Palatino Linotype"/>
          <w:i/>
          <w:color w:val="000000"/>
          <w:sz w:val="24"/>
          <w:szCs w:val="24"/>
        </w:rPr>
        <w:t xml:space="preserve">. </w:t>
      </w:r>
      <w:proofErr w:type="gramStart"/>
      <w:r w:rsidR="00644C52" w:rsidRPr="00644C52">
        <w:rPr>
          <w:rFonts w:ascii="Palatino Linotype" w:hAnsi="Palatino Linotype"/>
          <w:i/>
          <w:color w:val="000000"/>
          <w:sz w:val="24"/>
          <w:szCs w:val="24"/>
        </w:rPr>
        <w:t>solicito</w:t>
      </w:r>
      <w:proofErr w:type="gramEnd"/>
      <w:r w:rsidR="00644C52" w:rsidRPr="00644C52">
        <w:rPr>
          <w:rFonts w:ascii="Palatino Linotype" w:hAnsi="Palatino Linotype"/>
          <w:i/>
          <w:color w:val="000000"/>
          <w:sz w:val="24"/>
          <w:szCs w:val="24"/>
        </w:rPr>
        <w:t xml:space="preserve"> remitan la </w:t>
      </w:r>
      <w:proofErr w:type="spellStart"/>
      <w:r w:rsidR="00644C52" w:rsidRPr="00644C52">
        <w:rPr>
          <w:rFonts w:ascii="Palatino Linotype" w:hAnsi="Palatino Linotype"/>
          <w:i/>
          <w:color w:val="000000"/>
          <w:sz w:val="24"/>
          <w:szCs w:val="24"/>
        </w:rPr>
        <w:t>informacion</w:t>
      </w:r>
      <w:proofErr w:type="spellEnd"/>
      <w:r w:rsidR="00644C52" w:rsidRPr="00644C52">
        <w:rPr>
          <w:rFonts w:ascii="Palatino Linotype" w:hAnsi="Palatino Linotype"/>
          <w:i/>
          <w:color w:val="000000"/>
          <w:sz w:val="24"/>
          <w:szCs w:val="24"/>
        </w:rPr>
        <w:t xml:space="preserve"> solicitada sin que hagan versiones publicas ocultado </w:t>
      </w:r>
      <w:proofErr w:type="spellStart"/>
      <w:r w:rsidR="00644C52" w:rsidRPr="00644C52">
        <w:rPr>
          <w:rFonts w:ascii="Palatino Linotype" w:hAnsi="Palatino Linotype"/>
          <w:i/>
          <w:color w:val="000000"/>
          <w:sz w:val="24"/>
          <w:szCs w:val="24"/>
        </w:rPr>
        <w:t>informacion</w:t>
      </w:r>
      <w:proofErr w:type="spellEnd"/>
      <w:r w:rsidR="00644C52" w:rsidRPr="00644C52">
        <w:rPr>
          <w:rFonts w:ascii="Palatino Linotype" w:hAnsi="Palatino Linotype"/>
          <w:i/>
          <w:color w:val="000000"/>
          <w:sz w:val="24"/>
          <w:szCs w:val="24"/>
        </w:rPr>
        <w:t xml:space="preserve"> de manera dolosa</w:t>
      </w:r>
      <w:r w:rsidR="000C3D2D">
        <w:rPr>
          <w:rFonts w:ascii="Palatino Linotype" w:hAnsi="Palatino Linotype"/>
          <w:i/>
          <w:color w:val="000000"/>
          <w:sz w:val="24"/>
          <w:szCs w:val="24"/>
        </w:rPr>
        <w:t xml:space="preserve">”. </w:t>
      </w:r>
      <w:r w:rsidR="000C3D2D">
        <w:rPr>
          <w:rFonts w:ascii="Palatino Linotype" w:hAnsi="Palatino Linotype"/>
          <w:color w:val="000000"/>
          <w:sz w:val="24"/>
          <w:szCs w:val="24"/>
        </w:rPr>
        <w:t>En primer</w:t>
      </w:r>
      <w:r w:rsidR="00264C36">
        <w:rPr>
          <w:rFonts w:ascii="Palatino Linotype" w:hAnsi="Palatino Linotype"/>
          <w:color w:val="000000"/>
          <w:sz w:val="24"/>
          <w:szCs w:val="24"/>
        </w:rPr>
        <w:t xml:space="preserve"> término, </w:t>
      </w:r>
      <w:r w:rsidR="00644C52">
        <w:rPr>
          <w:rFonts w:ascii="Palatino Linotype" w:hAnsi="Palatino Linotype"/>
          <w:color w:val="000000"/>
          <w:sz w:val="24"/>
          <w:szCs w:val="24"/>
        </w:rPr>
        <w:t xml:space="preserve">el Recurrente se inconformo particularmente de las descripciones de los estados de cuenta la cual conforme el acuerdo </w:t>
      </w:r>
      <w:r w:rsidR="00644C52" w:rsidRPr="00644C52">
        <w:rPr>
          <w:rFonts w:ascii="Palatino Linotype" w:hAnsi="Palatino Linotype"/>
          <w:b/>
          <w:color w:val="000000"/>
          <w:sz w:val="24"/>
          <w:szCs w:val="24"/>
        </w:rPr>
        <w:t>CT/04/01-SO/2024</w:t>
      </w:r>
      <w:r w:rsidR="0061033D">
        <w:rPr>
          <w:rFonts w:ascii="Palatino Linotype" w:hAnsi="Palatino Linotype"/>
          <w:b/>
          <w:color w:val="000000"/>
          <w:sz w:val="24"/>
          <w:szCs w:val="24"/>
        </w:rPr>
        <w:t xml:space="preserve"> </w:t>
      </w:r>
      <w:r w:rsidR="0061033D">
        <w:rPr>
          <w:rFonts w:ascii="Palatino Linotype" w:hAnsi="Palatino Linotype"/>
          <w:color w:val="000000"/>
          <w:sz w:val="24"/>
          <w:szCs w:val="24"/>
        </w:rPr>
        <w:t xml:space="preserve">emitido en la primera sesión ordinaria del Comité de Transparencia </w:t>
      </w:r>
      <w:r w:rsidR="00644C52" w:rsidRPr="00644C52">
        <w:rPr>
          <w:rFonts w:ascii="Palatino Linotype" w:hAnsi="Palatino Linotype"/>
          <w:b/>
          <w:color w:val="000000"/>
          <w:sz w:val="24"/>
          <w:szCs w:val="24"/>
        </w:rPr>
        <w:t xml:space="preserve"> </w:t>
      </w:r>
      <w:r w:rsidR="00644C52">
        <w:rPr>
          <w:rFonts w:ascii="Palatino Linotype" w:hAnsi="Palatino Linotype"/>
          <w:color w:val="000000"/>
          <w:sz w:val="24"/>
          <w:szCs w:val="24"/>
        </w:rPr>
        <w:t xml:space="preserve">fue clasificada como información confidencial </w:t>
      </w:r>
      <w:r w:rsidR="0061033D">
        <w:rPr>
          <w:rFonts w:ascii="Palatino Linotype" w:hAnsi="Palatino Linotype"/>
          <w:color w:val="000000"/>
          <w:sz w:val="24"/>
          <w:szCs w:val="24"/>
        </w:rPr>
        <w:t xml:space="preserve">en virtud que la información que forma parte de la documental que contiene la información del recurrente integra datos personales concerniente a personas físicas, identificadas o identificables y solo pueden tener acceso a ellas los titulares de la misma, sus representantes y los servidores públicos facultados para ello. </w:t>
      </w:r>
    </w:p>
    <w:p w14:paraId="56101E07" w14:textId="77777777" w:rsidR="0061033D" w:rsidRDefault="0061033D" w:rsidP="00644C52">
      <w:pPr>
        <w:spacing w:after="0" w:line="360" w:lineRule="auto"/>
        <w:jc w:val="both"/>
        <w:rPr>
          <w:rFonts w:ascii="Palatino Linotype" w:hAnsi="Palatino Linotype"/>
          <w:color w:val="000000"/>
          <w:sz w:val="24"/>
          <w:szCs w:val="24"/>
        </w:rPr>
      </w:pPr>
    </w:p>
    <w:p w14:paraId="435CD5E6" w14:textId="77777777" w:rsidR="00F9517F" w:rsidRPr="00902954" w:rsidRDefault="0061033D" w:rsidP="00F9517F">
      <w:pPr>
        <w:spacing w:after="0" w:line="360" w:lineRule="auto"/>
        <w:ind w:right="51"/>
        <w:jc w:val="both"/>
        <w:rPr>
          <w:rFonts w:ascii="Palatino Linotype" w:eastAsiaTheme="minorEastAsia" w:hAnsi="Palatino Linotype" w:cs="Arial"/>
          <w:sz w:val="24"/>
          <w:szCs w:val="24"/>
          <w:lang w:eastAsia="es-ES"/>
        </w:rPr>
      </w:pPr>
      <w:r>
        <w:rPr>
          <w:rFonts w:ascii="Palatino Linotype" w:hAnsi="Palatino Linotype"/>
          <w:color w:val="000000"/>
          <w:sz w:val="24"/>
          <w:szCs w:val="24"/>
        </w:rPr>
        <w:t xml:space="preserve">Por lo que, el Sujeto Obligado al atender lo dispuesto en los artículo 122  y 143 testo de manera congruente </w:t>
      </w:r>
      <w:r w:rsidR="00891DE5">
        <w:rPr>
          <w:rFonts w:ascii="Palatino Linotype" w:hAnsi="Palatino Linotype"/>
          <w:color w:val="000000"/>
          <w:sz w:val="24"/>
          <w:szCs w:val="24"/>
        </w:rPr>
        <w:t>la información que no formaba parte de lo solicitado por el recurrente de tal forma que atendió en todo momento su derecho al acceso a la información pública</w:t>
      </w:r>
      <w:r w:rsidR="007241C6">
        <w:rPr>
          <w:rFonts w:ascii="Palatino Linotype" w:hAnsi="Palatino Linotype"/>
          <w:color w:val="000000"/>
          <w:sz w:val="24"/>
          <w:szCs w:val="24"/>
        </w:rPr>
        <w:t xml:space="preserve"> así como el procedimiento descrito por el artículo 168 de la le</w:t>
      </w:r>
      <w:r w:rsidR="00E847E0">
        <w:rPr>
          <w:rFonts w:ascii="Palatino Linotype" w:hAnsi="Palatino Linotype"/>
          <w:color w:val="000000"/>
          <w:sz w:val="24"/>
          <w:szCs w:val="24"/>
        </w:rPr>
        <w:t>y</w:t>
      </w:r>
      <w:r w:rsidR="007241C6">
        <w:rPr>
          <w:rFonts w:ascii="Palatino Linotype" w:hAnsi="Palatino Linotype"/>
          <w:color w:val="000000"/>
          <w:sz w:val="24"/>
          <w:szCs w:val="24"/>
        </w:rPr>
        <w:t xml:space="preserve"> de Transparencia Local</w:t>
      </w:r>
      <w:r w:rsidR="00891DE5">
        <w:rPr>
          <w:rFonts w:ascii="Palatino Linotype" w:hAnsi="Palatino Linotype"/>
          <w:color w:val="000000"/>
          <w:sz w:val="24"/>
          <w:szCs w:val="24"/>
        </w:rPr>
        <w:t xml:space="preserve"> </w:t>
      </w:r>
      <w:r>
        <w:rPr>
          <w:rFonts w:ascii="Palatino Linotype" w:hAnsi="Palatino Linotype"/>
          <w:color w:val="000000"/>
          <w:sz w:val="24"/>
          <w:szCs w:val="24"/>
        </w:rPr>
        <w:t xml:space="preserve">adecuando lo solicitado por el Recurrente siendo el Comité de </w:t>
      </w:r>
      <w:r>
        <w:rPr>
          <w:rFonts w:ascii="Palatino Linotype" w:hAnsi="Palatino Linotype"/>
          <w:color w:val="000000"/>
          <w:sz w:val="24"/>
          <w:szCs w:val="24"/>
        </w:rPr>
        <w:lastRenderedPageBreak/>
        <w:t xml:space="preserve">Transparencia la autoridad máxima </w:t>
      </w:r>
      <w:r w:rsidRPr="00007512">
        <w:rPr>
          <w:rFonts w:ascii="Palatino Linotype" w:hAnsi="Palatino Linotype"/>
          <w:b/>
          <w:color w:val="000000"/>
          <w:sz w:val="24"/>
          <w:szCs w:val="24"/>
        </w:rPr>
        <w:t>al</w:t>
      </w:r>
      <w:r>
        <w:rPr>
          <w:rFonts w:ascii="Palatino Linotype" w:hAnsi="Palatino Linotype"/>
          <w:color w:val="000000"/>
          <w:sz w:val="24"/>
          <w:szCs w:val="24"/>
        </w:rPr>
        <w:t xml:space="preserve"> interior del Sujeto Obligado en materia de Derecho al Acceso de </w:t>
      </w:r>
      <w:r w:rsidR="00891DE5">
        <w:rPr>
          <w:rFonts w:ascii="Palatino Linotype" w:hAnsi="Palatino Linotype"/>
          <w:color w:val="000000"/>
          <w:sz w:val="24"/>
          <w:szCs w:val="24"/>
        </w:rPr>
        <w:t>información</w:t>
      </w:r>
      <w:r w:rsidR="00322813">
        <w:rPr>
          <w:rFonts w:ascii="Palatino Linotype" w:hAnsi="Palatino Linotype"/>
          <w:color w:val="000000"/>
          <w:sz w:val="24"/>
          <w:szCs w:val="24"/>
        </w:rPr>
        <w:t>.</w:t>
      </w:r>
      <w:r w:rsidR="000C3D2D">
        <w:rPr>
          <w:rFonts w:ascii="Palatino Linotype" w:hAnsi="Palatino Linotype"/>
          <w:color w:val="000000"/>
          <w:sz w:val="24"/>
          <w:szCs w:val="24"/>
        </w:rPr>
        <w:t xml:space="preserve"> </w:t>
      </w:r>
      <w:r w:rsidR="000C3D2D" w:rsidRPr="004D04EC">
        <w:rPr>
          <w:rFonts w:ascii="Palatino Linotype" w:hAnsi="Palatino Linotype"/>
          <w:color w:val="000000"/>
          <w:sz w:val="24"/>
          <w:szCs w:val="24"/>
          <w:highlight w:val="yellow"/>
        </w:rPr>
        <w:t>Sin embargo</w:t>
      </w:r>
      <w:r w:rsidR="00F9517F" w:rsidRPr="004D04EC">
        <w:rPr>
          <w:rFonts w:ascii="Palatino Linotype" w:eastAsiaTheme="minorEastAsia" w:hAnsi="Palatino Linotype" w:cs="Arial"/>
          <w:sz w:val="24"/>
          <w:szCs w:val="24"/>
          <w:highlight w:val="yellow"/>
          <w:lang w:val="es-ES_tradnl" w:eastAsia="es-ES"/>
        </w:rPr>
        <w:t xml:space="preserve">, no pasa desapercibido el criterio de interpretación número </w:t>
      </w:r>
      <w:r w:rsidR="00F9517F" w:rsidRPr="004D04EC">
        <w:rPr>
          <w:rFonts w:ascii="Palatino Linotype" w:eastAsiaTheme="minorEastAsia" w:hAnsi="Palatino Linotype" w:cs="Arial"/>
          <w:b/>
          <w:sz w:val="24"/>
          <w:szCs w:val="24"/>
          <w:highlight w:val="yellow"/>
          <w:lang w:val="es-ES_tradnl" w:eastAsia="es-ES"/>
        </w:rPr>
        <w:t>11/17</w:t>
      </w:r>
      <w:r w:rsidR="00F9517F" w:rsidRPr="004D04EC">
        <w:rPr>
          <w:rFonts w:ascii="Palatino Linotype" w:eastAsiaTheme="minorEastAsia" w:hAnsi="Palatino Linotype" w:cs="Arial"/>
          <w:sz w:val="24"/>
          <w:szCs w:val="24"/>
          <w:highlight w:val="yellow"/>
          <w:lang w:val="es-ES_tradnl" w:eastAsia="es-ES"/>
        </w:rPr>
        <w:t xml:space="preserve"> emitido por el Instituto Nacional de Transparencia, Acceso a la Información y Protección de Datos Personales, denominado</w:t>
      </w:r>
      <w:r w:rsidR="00F9517F" w:rsidRPr="00902954">
        <w:rPr>
          <w:rFonts w:ascii="Palatino Linotype" w:eastAsiaTheme="minorEastAsia" w:hAnsi="Palatino Linotype" w:cs="Arial"/>
          <w:sz w:val="24"/>
          <w:szCs w:val="24"/>
          <w:lang w:val="es-ES_tradnl" w:eastAsia="es-ES"/>
        </w:rPr>
        <w:t xml:space="preserve"> </w:t>
      </w:r>
      <w:r w:rsidR="00F9517F" w:rsidRPr="00F9517F">
        <w:rPr>
          <w:rFonts w:ascii="Palatino Linotype" w:eastAsiaTheme="minorEastAsia" w:hAnsi="Palatino Linotype" w:cs="Arial"/>
          <w:b/>
          <w:sz w:val="24"/>
          <w:szCs w:val="24"/>
          <w:highlight w:val="yellow"/>
          <w:lang w:val="es-ES_tradnl" w:eastAsia="es-ES"/>
        </w:rPr>
        <w:t>“</w:t>
      </w:r>
      <w:r w:rsidR="00F9517F" w:rsidRPr="00F9517F">
        <w:rPr>
          <w:rFonts w:ascii="Palatino Linotype" w:eastAsiaTheme="minorEastAsia" w:hAnsi="Palatino Linotype" w:cs="Arial"/>
          <w:b/>
          <w:sz w:val="24"/>
          <w:szCs w:val="24"/>
          <w:highlight w:val="yellow"/>
          <w:lang w:eastAsia="es-ES"/>
        </w:rPr>
        <w:t>Cuentas bancarias y/o CLABE interbancaria de sujetos obligados que reciben y/o transfieren recursos públicos, son información pública.</w:t>
      </w:r>
      <w:r w:rsidR="00F9517F" w:rsidRPr="00F9517F">
        <w:rPr>
          <w:rFonts w:ascii="Palatino Linotype" w:eastAsiaTheme="minorEastAsia" w:hAnsi="Palatino Linotype" w:cs="Arial"/>
          <w:sz w:val="24"/>
          <w:szCs w:val="24"/>
          <w:highlight w:val="yellow"/>
          <w:lang w:eastAsia="es-ES"/>
        </w:rPr>
        <w:t>”,</w:t>
      </w:r>
      <w:r w:rsidR="00F9517F" w:rsidRPr="00902954">
        <w:rPr>
          <w:rFonts w:ascii="Palatino Linotype" w:eastAsiaTheme="minorEastAsia" w:hAnsi="Palatino Linotype" w:cs="Arial"/>
          <w:sz w:val="24"/>
          <w:szCs w:val="24"/>
          <w:lang w:eastAsia="es-ES"/>
        </w:rPr>
        <w:t xml:space="preserve"> que establece lo siguiente:</w:t>
      </w:r>
    </w:p>
    <w:p w14:paraId="5B86ACD9" w14:textId="77777777" w:rsidR="00F9517F" w:rsidRPr="00902954" w:rsidRDefault="00F9517F" w:rsidP="00F9517F">
      <w:pPr>
        <w:spacing w:after="0" w:line="360" w:lineRule="auto"/>
        <w:ind w:right="51"/>
        <w:jc w:val="both"/>
        <w:rPr>
          <w:rFonts w:ascii="Palatino Linotype" w:eastAsiaTheme="minorEastAsia" w:hAnsi="Palatino Linotype" w:cs="Arial"/>
          <w:sz w:val="24"/>
          <w:szCs w:val="24"/>
          <w:lang w:eastAsia="es-ES"/>
        </w:rPr>
      </w:pPr>
    </w:p>
    <w:p w14:paraId="58A1E7EF" w14:textId="77777777" w:rsidR="00F9517F" w:rsidRPr="004D04EC" w:rsidRDefault="00F9517F" w:rsidP="00F9517F">
      <w:pPr>
        <w:spacing w:after="0" w:line="360" w:lineRule="auto"/>
        <w:ind w:left="567" w:right="567"/>
        <w:jc w:val="both"/>
        <w:rPr>
          <w:rFonts w:ascii="Palatino Linotype" w:eastAsiaTheme="minorEastAsia" w:hAnsi="Palatino Linotype" w:cs="Arial"/>
          <w:i/>
          <w:szCs w:val="24"/>
          <w:highlight w:val="yellow"/>
          <w:lang w:val="es-ES_tradnl" w:eastAsia="es-ES"/>
        </w:rPr>
      </w:pPr>
      <w:r w:rsidRPr="00902954">
        <w:rPr>
          <w:rFonts w:ascii="Palatino Linotype" w:eastAsiaTheme="minorEastAsia" w:hAnsi="Palatino Linotype" w:cs="Arial"/>
          <w:i/>
          <w:szCs w:val="24"/>
          <w:lang w:val="es-ES_tradnl" w:eastAsia="es-ES"/>
        </w:rPr>
        <w:t>“</w:t>
      </w:r>
      <w:r w:rsidRPr="004D04EC">
        <w:rPr>
          <w:rFonts w:ascii="Palatino Linotype" w:eastAsiaTheme="minorEastAsia" w:hAnsi="Palatino Linotype" w:cs="Arial"/>
          <w:i/>
          <w:szCs w:val="24"/>
          <w:highlight w:val="yellow"/>
          <w:lang w:val="es-ES_tradnl" w:eastAsia="es-ES"/>
        </w:rPr>
        <w:t>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64B9344" w14:textId="77777777" w:rsidR="00F9517F" w:rsidRPr="004D04EC" w:rsidRDefault="00F9517F" w:rsidP="00F9517F">
      <w:pPr>
        <w:spacing w:after="0" w:line="360" w:lineRule="auto"/>
        <w:ind w:left="567" w:right="567"/>
        <w:jc w:val="both"/>
        <w:rPr>
          <w:rFonts w:ascii="Palatino Linotype" w:eastAsiaTheme="minorEastAsia" w:hAnsi="Palatino Linotype" w:cs="Arial"/>
          <w:i/>
          <w:szCs w:val="24"/>
          <w:highlight w:val="yellow"/>
          <w:lang w:val="es-ES_tradnl" w:eastAsia="es-ES"/>
        </w:rPr>
      </w:pPr>
    </w:p>
    <w:p w14:paraId="2C5D7092" w14:textId="77777777" w:rsidR="00F9517F" w:rsidRPr="004D04EC" w:rsidRDefault="00F9517F" w:rsidP="00F9517F">
      <w:pPr>
        <w:spacing w:after="0" w:line="360" w:lineRule="auto"/>
        <w:ind w:right="51"/>
        <w:jc w:val="both"/>
        <w:rPr>
          <w:rFonts w:ascii="Palatino Linotype" w:hAnsi="Palatino Linotype"/>
          <w:sz w:val="24"/>
          <w:szCs w:val="24"/>
          <w:highlight w:val="yellow"/>
        </w:rPr>
      </w:pPr>
      <w:r w:rsidRPr="004D04EC">
        <w:rPr>
          <w:rFonts w:ascii="Palatino Linotype" w:eastAsiaTheme="minorEastAsia" w:hAnsi="Palatino Linotype" w:cs="Arial"/>
          <w:sz w:val="24"/>
          <w:szCs w:val="24"/>
          <w:highlight w:val="yellow"/>
          <w:lang w:val="es-ES_tradnl" w:eastAsia="es-ES"/>
        </w:rPr>
        <w:t xml:space="preserve">Por otra parte, los citados </w:t>
      </w:r>
      <w:r w:rsidRPr="004D04EC">
        <w:rPr>
          <w:rFonts w:ascii="Palatino Linotype" w:hAnsi="Palatino Linotype"/>
          <w:sz w:val="24"/>
          <w:szCs w:val="24"/>
          <w:highlight w:val="yellow"/>
        </w:rPr>
        <w:t>Lineamientos de Control Financiero y Administrativo para las Entidades Fiscalizables Municipales del Estado de México, establece en su apartado de los BANCOS, lo siguiente:</w:t>
      </w:r>
    </w:p>
    <w:p w14:paraId="17B454DA" w14:textId="77777777" w:rsidR="00F9517F" w:rsidRPr="004D04EC" w:rsidRDefault="00F9517F" w:rsidP="00F9517F">
      <w:pPr>
        <w:spacing w:after="0" w:line="360" w:lineRule="auto"/>
        <w:ind w:right="51"/>
        <w:jc w:val="both"/>
        <w:rPr>
          <w:rFonts w:ascii="Palatino Linotype" w:hAnsi="Palatino Linotype"/>
          <w:sz w:val="24"/>
          <w:szCs w:val="24"/>
          <w:highlight w:val="yellow"/>
        </w:rPr>
      </w:pPr>
    </w:p>
    <w:p w14:paraId="7C27F16E"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ES_tradnl" w:eastAsia="es-ES"/>
        </w:rPr>
      </w:pPr>
      <w:r w:rsidRPr="004D04EC">
        <w:rPr>
          <w:rFonts w:ascii="Palatino Linotype" w:eastAsiaTheme="minorEastAsia" w:hAnsi="Palatino Linotype" w:cs="Arial"/>
          <w:i/>
          <w:szCs w:val="24"/>
          <w:highlight w:val="yellow"/>
          <w:lang w:val="es-ES_tradnl" w:eastAsia="es-ES"/>
        </w:rPr>
        <w:t>“</w:t>
      </w:r>
      <w:r w:rsidRPr="004D04EC">
        <w:rPr>
          <w:rFonts w:ascii="Palatino Linotype" w:eastAsiaTheme="minorEastAsia" w:hAnsi="Palatino Linotype" w:cs="Arial"/>
          <w:b/>
          <w:i/>
          <w:szCs w:val="24"/>
          <w:highlight w:val="yellow"/>
          <w:lang w:val="es-ES_tradnl" w:eastAsia="es-ES"/>
        </w:rPr>
        <w:t>BANCOS</w:t>
      </w:r>
      <w:r w:rsidRPr="004D04EC">
        <w:rPr>
          <w:rFonts w:ascii="Palatino Linotype" w:eastAsiaTheme="minorEastAsia" w:hAnsi="Palatino Linotype" w:cs="Arial"/>
          <w:i/>
          <w:szCs w:val="24"/>
          <w:highlight w:val="yellow"/>
          <w:lang w:val="es-ES_tradnl" w:eastAsia="es-ES"/>
        </w:rPr>
        <w:t xml:space="preserve"> Son obligaciones del Presidente y Tesorero: </w:t>
      </w:r>
    </w:p>
    <w:p w14:paraId="2365F8AE"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ES_tradnl" w:eastAsia="es-ES"/>
        </w:rPr>
      </w:pPr>
      <w:r w:rsidRPr="004D04EC">
        <w:rPr>
          <w:rFonts w:ascii="Palatino Linotype" w:eastAsiaTheme="minorEastAsia" w:hAnsi="Palatino Linotype" w:cs="Arial"/>
          <w:b/>
          <w:i/>
          <w:szCs w:val="24"/>
          <w:highlight w:val="yellow"/>
          <w:lang w:val="es-ES_tradnl" w:eastAsia="es-ES"/>
        </w:rPr>
        <w:t>23.</w:t>
      </w:r>
      <w:r w:rsidRPr="004D04EC">
        <w:rPr>
          <w:rFonts w:ascii="Palatino Linotype" w:eastAsiaTheme="minorEastAsia" w:hAnsi="Palatino Linotype" w:cs="Arial"/>
          <w:i/>
          <w:szCs w:val="24"/>
          <w:highlight w:val="yellow"/>
          <w:lang w:val="es-ES_tradnl" w:eastAsia="es-ES"/>
        </w:rPr>
        <w:t xml:space="preserve"> El presidente y tesorero o equivalente deberán </w:t>
      </w:r>
      <w:proofErr w:type="spellStart"/>
      <w:r w:rsidRPr="004D04EC">
        <w:rPr>
          <w:rFonts w:ascii="Palatino Linotype" w:eastAsiaTheme="minorEastAsia" w:hAnsi="Palatino Linotype" w:cs="Arial"/>
          <w:i/>
          <w:szCs w:val="24"/>
          <w:highlight w:val="yellow"/>
          <w:lang w:val="es-ES_tradnl" w:eastAsia="es-ES"/>
        </w:rPr>
        <w:t>aperturar</w:t>
      </w:r>
      <w:proofErr w:type="spellEnd"/>
      <w:r w:rsidRPr="004D04EC">
        <w:rPr>
          <w:rFonts w:ascii="Palatino Linotype" w:eastAsiaTheme="minorEastAsia" w:hAnsi="Palatino Linotype" w:cs="Arial"/>
          <w:i/>
          <w:szCs w:val="24"/>
          <w:highlight w:val="yellow"/>
          <w:lang w:val="es-ES_tradnl" w:eastAsia="es-ES"/>
        </w:rPr>
        <w:t xml:space="preserve"> las cuentas bancarias como personas jurídicas colectivas con fines no lucrativos o entes gubernamentales con firmas mancomunadas, a nombre de la entidad fiscalizable municipal, con el nombre del programa o recurso y el contrato respectivo por cada uno de los recursos federales, estatales o municipales. </w:t>
      </w:r>
    </w:p>
    <w:p w14:paraId="1A01FE75"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ES_tradnl" w:eastAsia="es-ES"/>
        </w:rPr>
      </w:pPr>
      <w:r w:rsidRPr="004D04EC">
        <w:rPr>
          <w:rFonts w:ascii="Palatino Linotype" w:eastAsiaTheme="minorEastAsia" w:hAnsi="Palatino Linotype" w:cs="Arial"/>
          <w:i/>
          <w:szCs w:val="24"/>
          <w:highlight w:val="yellow"/>
          <w:lang w:val="es-ES_tradnl" w:eastAsia="es-ES"/>
        </w:rPr>
        <w:t xml:space="preserve">Lo propio </w:t>
      </w:r>
      <w:proofErr w:type="gramStart"/>
      <w:r w:rsidRPr="004D04EC">
        <w:rPr>
          <w:rFonts w:ascii="Palatino Linotype" w:eastAsiaTheme="minorEastAsia" w:hAnsi="Palatino Linotype" w:cs="Arial"/>
          <w:i/>
          <w:szCs w:val="24"/>
          <w:highlight w:val="yellow"/>
          <w:lang w:val="es-ES_tradnl" w:eastAsia="es-ES"/>
        </w:rPr>
        <w:t>harán</w:t>
      </w:r>
      <w:proofErr w:type="gramEnd"/>
      <w:r w:rsidRPr="004D04EC">
        <w:rPr>
          <w:rFonts w:ascii="Palatino Linotype" w:eastAsiaTheme="minorEastAsia" w:hAnsi="Palatino Linotype" w:cs="Arial"/>
          <w:i/>
          <w:szCs w:val="24"/>
          <w:highlight w:val="yellow"/>
          <w:lang w:val="es-ES_tradnl" w:eastAsia="es-ES"/>
        </w:rPr>
        <w:t xml:space="preserve"> en el ámbito de su respectiva competencia los servidores públicos de los organismos públicos descentralizados y fideicomisos públicos.</w:t>
      </w:r>
    </w:p>
    <w:p w14:paraId="598BA0C6"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ES_tradnl" w:eastAsia="es-ES"/>
        </w:rPr>
      </w:pPr>
    </w:p>
    <w:p w14:paraId="5CA3B6B3"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ES_tradnl" w:eastAsia="es-ES"/>
        </w:rPr>
      </w:pPr>
      <w:r w:rsidRPr="004D04EC">
        <w:rPr>
          <w:rFonts w:ascii="Palatino Linotype" w:eastAsiaTheme="minorEastAsia" w:hAnsi="Palatino Linotype" w:cs="Arial"/>
          <w:b/>
          <w:i/>
          <w:szCs w:val="24"/>
          <w:highlight w:val="yellow"/>
          <w:lang w:val="es-ES_tradnl" w:eastAsia="es-ES"/>
        </w:rPr>
        <w:t>24.</w:t>
      </w:r>
      <w:r w:rsidRPr="004D04EC">
        <w:rPr>
          <w:rFonts w:ascii="Palatino Linotype" w:eastAsiaTheme="minorEastAsia" w:hAnsi="Palatino Linotype" w:cs="Arial"/>
          <w:i/>
          <w:szCs w:val="24"/>
          <w:highlight w:val="yellow"/>
          <w:lang w:val="es-ES_tradnl" w:eastAsia="es-ES"/>
        </w:rPr>
        <w:t xml:space="preserve"> Abstenerse de mezclar tanto en las cuentas bancarias como en sus registros contables, los ingresos provenientes de recursos federales, estatales o municipales entre sí, incluyendo los de financiamiento a corto y largo plazo y deberán contabilizar individualmente en una cuenta específica cada uno de ellos. </w:t>
      </w:r>
    </w:p>
    <w:p w14:paraId="0FA4EB04" w14:textId="77777777" w:rsidR="00F9517F" w:rsidRPr="004D04EC" w:rsidRDefault="00F9517F" w:rsidP="00F9517F">
      <w:pPr>
        <w:spacing w:after="0" w:line="240" w:lineRule="auto"/>
        <w:ind w:left="567" w:right="567"/>
        <w:jc w:val="both"/>
        <w:rPr>
          <w:rFonts w:ascii="Palatino Linotype" w:eastAsiaTheme="minorEastAsia" w:hAnsi="Palatino Linotype" w:cs="Arial"/>
          <w:i/>
          <w:szCs w:val="24"/>
          <w:highlight w:val="yellow"/>
          <w:lang w:val="es-US" w:eastAsia="es-ES"/>
        </w:rPr>
      </w:pPr>
      <w:r w:rsidRPr="004D04EC">
        <w:rPr>
          <w:rFonts w:ascii="Palatino Linotype" w:eastAsiaTheme="minorEastAsia" w:hAnsi="Palatino Linotype" w:cs="Arial"/>
          <w:i/>
          <w:szCs w:val="24"/>
          <w:highlight w:val="yellow"/>
          <w:lang w:val="es-ES_tradnl" w:eastAsia="es-ES"/>
        </w:rPr>
        <w:lastRenderedPageBreak/>
        <w:t>Misma obligación tendrán en el ámbito de su respectiva competencia los servidores públicos de los organismos públicos descentralizados y fideicomisos públicos.”</w:t>
      </w:r>
    </w:p>
    <w:p w14:paraId="44D8A0D7" w14:textId="77777777" w:rsidR="00F9517F" w:rsidRPr="004D04EC" w:rsidRDefault="00F9517F" w:rsidP="00F9517F">
      <w:pPr>
        <w:spacing w:after="0" w:line="360" w:lineRule="auto"/>
        <w:ind w:right="51"/>
        <w:jc w:val="both"/>
        <w:rPr>
          <w:rFonts w:ascii="Palatino Linotype" w:eastAsiaTheme="minorEastAsia" w:hAnsi="Palatino Linotype" w:cs="Arial"/>
          <w:sz w:val="24"/>
          <w:szCs w:val="24"/>
          <w:highlight w:val="yellow"/>
          <w:lang w:val="es-ES_tradnl" w:eastAsia="es-ES"/>
        </w:rPr>
      </w:pPr>
    </w:p>
    <w:p w14:paraId="459F2E46" w14:textId="77777777" w:rsidR="00F9517F" w:rsidRDefault="00F9517F" w:rsidP="00F9517F">
      <w:pPr>
        <w:spacing w:after="0" w:line="360" w:lineRule="auto"/>
        <w:ind w:right="51"/>
        <w:jc w:val="both"/>
        <w:rPr>
          <w:rFonts w:ascii="Palatino Linotype" w:eastAsiaTheme="minorEastAsia" w:hAnsi="Palatino Linotype" w:cs="Arial"/>
          <w:sz w:val="24"/>
          <w:szCs w:val="24"/>
          <w:lang w:val="es-ES_tradnl" w:eastAsia="es-ES"/>
        </w:rPr>
      </w:pPr>
      <w:r w:rsidRPr="004D04EC">
        <w:rPr>
          <w:rFonts w:ascii="Palatino Linotype" w:eastAsiaTheme="minorEastAsia" w:hAnsi="Palatino Linotype" w:cs="Arial"/>
          <w:sz w:val="24"/>
          <w:szCs w:val="24"/>
          <w:highlight w:val="yellow"/>
          <w:lang w:val="es-ES_tradnl" w:eastAsia="es-ES"/>
        </w:rPr>
        <w:t xml:space="preserve">Ordenamientos que consagran la obligación de </w:t>
      </w:r>
      <w:proofErr w:type="spellStart"/>
      <w:r w:rsidRPr="004D04EC">
        <w:rPr>
          <w:rFonts w:ascii="Palatino Linotype" w:eastAsiaTheme="minorEastAsia" w:hAnsi="Palatino Linotype" w:cs="Arial"/>
          <w:sz w:val="24"/>
          <w:szCs w:val="24"/>
          <w:highlight w:val="yellow"/>
          <w:lang w:val="es-ES_tradnl" w:eastAsia="es-ES"/>
        </w:rPr>
        <w:t>aperturar</w:t>
      </w:r>
      <w:proofErr w:type="spellEnd"/>
      <w:r w:rsidRPr="004D04EC">
        <w:rPr>
          <w:rFonts w:ascii="Palatino Linotype" w:eastAsiaTheme="minorEastAsia" w:hAnsi="Palatino Linotype" w:cs="Arial"/>
          <w:sz w:val="24"/>
          <w:szCs w:val="24"/>
          <w:highlight w:val="yellow"/>
          <w:lang w:val="es-ES_tradnl" w:eastAsia="es-ES"/>
        </w:rPr>
        <w:t xml:space="preserve"> las cuentas antes instituciones bancarias, a nombre del Sujeto Obligado, las cuales deben ser independientes sin mezclarse con otros recursos, consecuentemente, tiene atribuciones para tener identificada e individualizada la información.</w:t>
      </w:r>
    </w:p>
    <w:p w14:paraId="06BF08ED" w14:textId="77777777" w:rsidR="00F9517F" w:rsidRDefault="00F9517F" w:rsidP="00644C52">
      <w:pPr>
        <w:spacing w:after="0" w:line="360" w:lineRule="auto"/>
        <w:jc w:val="both"/>
        <w:rPr>
          <w:rFonts w:ascii="Palatino Linotype" w:hAnsi="Palatino Linotype"/>
          <w:color w:val="000000"/>
          <w:sz w:val="24"/>
          <w:szCs w:val="24"/>
        </w:rPr>
      </w:pPr>
    </w:p>
    <w:p w14:paraId="69C6293D" w14:textId="77777777" w:rsidR="00322813" w:rsidRDefault="00F9517F" w:rsidP="00644C52">
      <w:pPr>
        <w:spacing w:after="0" w:line="360" w:lineRule="auto"/>
        <w:jc w:val="both"/>
        <w:rPr>
          <w:rFonts w:ascii="Palatino Linotype" w:hAnsi="Palatino Linotype"/>
          <w:color w:val="000000"/>
          <w:sz w:val="24"/>
          <w:szCs w:val="24"/>
        </w:rPr>
      </w:pPr>
      <w:r w:rsidRPr="004D04EC">
        <w:rPr>
          <w:rFonts w:ascii="Palatino Linotype" w:hAnsi="Palatino Linotype"/>
          <w:color w:val="000000"/>
          <w:sz w:val="24"/>
          <w:szCs w:val="24"/>
          <w:highlight w:val="yellow"/>
        </w:rPr>
        <w:t>De lo anterior se colige que l</w:t>
      </w:r>
      <w:r w:rsidR="000C3D2D" w:rsidRPr="004D04EC">
        <w:rPr>
          <w:rFonts w:ascii="Palatino Linotype" w:hAnsi="Palatino Linotype"/>
          <w:color w:val="000000"/>
          <w:sz w:val="24"/>
          <w:szCs w:val="24"/>
          <w:highlight w:val="yellow"/>
        </w:rPr>
        <w:t xml:space="preserve">os números de cuenta del ayuntamiento son considerados como públicos toda vez que servirían como datos para la rendición de cuentas, por lo que conforme lo establecido en líneas anteriores es procedente ordenar la conciliación de nómina, dispersión de nómina y estados de cuenta donde se refleje los movimientos de nómina de la primera quincena de octubre </w:t>
      </w:r>
      <w:r w:rsidRPr="004D04EC">
        <w:rPr>
          <w:rFonts w:ascii="Palatino Linotype" w:hAnsi="Palatino Linotype"/>
          <w:color w:val="000000"/>
          <w:sz w:val="24"/>
          <w:szCs w:val="24"/>
          <w:highlight w:val="yellow"/>
        </w:rPr>
        <w:t xml:space="preserve"> del dos mil veintitrés </w:t>
      </w:r>
      <w:r w:rsidR="000C3D2D" w:rsidRPr="004D04EC">
        <w:rPr>
          <w:rFonts w:ascii="Palatino Linotype" w:hAnsi="Palatino Linotype"/>
          <w:color w:val="000000"/>
          <w:sz w:val="24"/>
          <w:szCs w:val="24"/>
          <w:highlight w:val="yellow"/>
        </w:rPr>
        <w:t xml:space="preserve">del personal adscrito al </w:t>
      </w:r>
      <w:r w:rsidR="000C3D2D" w:rsidRPr="004D04EC">
        <w:rPr>
          <w:rFonts w:ascii="Palatino Linotype" w:hAnsi="Palatino Linotype"/>
          <w:bCs/>
          <w:color w:val="000000"/>
          <w:sz w:val="24"/>
          <w:szCs w:val="24"/>
          <w:highlight w:val="yellow"/>
        </w:rPr>
        <w:t>Organismo Público Descentralizado para la Prestación de Los Servicios de Agua Potable Alcantarillado y Saneamiento del Municipio de Tlalnepantla de Baz en correcta versión pública.</w:t>
      </w:r>
    </w:p>
    <w:p w14:paraId="7228EB63" w14:textId="77777777" w:rsidR="00264C36" w:rsidRDefault="00264C36" w:rsidP="00644C52">
      <w:pPr>
        <w:spacing w:after="0" w:line="360" w:lineRule="auto"/>
        <w:jc w:val="both"/>
        <w:rPr>
          <w:rFonts w:ascii="Palatino Linotype" w:hAnsi="Palatino Linotype"/>
          <w:color w:val="000000"/>
          <w:sz w:val="24"/>
          <w:szCs w:val="24"/>
        </w:rPr>
      </w:pPr>
    </w:p>
    <w:p w14:paraId="26DB3A30" w14:textId="77777777" w:rsidR="0061033D" w:rsidRDefault="00322813" w:rsidP="00644C5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Respecto a lo que respecta a las manifestaciones subjetivas realizadas por el Recurrente</w:t>
      </w:r>
      <w:r w:rsidR="0061033D">
        <w:rPr>
          <w:rFonts w:ascii="Palatino Linotype" w:hAnsi="Palatino Linotype"/>
          <w:color w:val="000000"/>
          <w:sz w:val="24"/>
          <w:szCs w:val="24"/>
        </w:rPr>
        <w:t xml:space="preserve"> </w:t>
      </w:r>
      <w:r>
        <w:rPr>
          <w:rFonts w:ascii="Palatino Linotype" w:hAnsi="Palatino Linotype"/>
          <w:color w:val="000000"/>
          <w:sz w:val="24"/>
          <w:szCs w:val="24"/>
        </w:rPr>
        <w:t xml:space="preserve">este órgano Garante se posiciona respecto a que en todo momento el derecho al acceso a la información debe hacerse de forma respetuosa, por lo que se le incita a que en futuras solicitudes de información se guía con respeto. </w:t>
      </w:r>
    </w:p>
    <w:p w14:paraId="43541BC7" w14:textId="77777777" w:rsidR="000C3D2D" w:rsidRDefault="000C3D2D" w:rsidP="00644C52">
      <w:pPr>
        <w:spacing w:after="0" w:line="360" w:lineRule="auto"/>
        <w:jc w:val="both"/>
        <w:rPr>
          <w:rFonts w:ascii="Palatino Linotype" w:hAnsi="Palatino Linotype"/>
          <w:color w:val="000000"/>
          <w:sz w:val="24"/>
          <w:szCs w:val="24"/>
        </w:rPr>
      </w:pPr>
    </w:p>
    <w:p w14:paraId="0CBA810E" w14:textId="77777777" w:rsidR="000C3D2D" w:rsidRPr="004D04EC" w:rsidRDefault="000C3D2D" w:rsidP="000C3D2D">
      <w:pPr>
        <w:autoSpaceDE w:val="0"/>
        <w:autoSpaceDN w:val="0"/>
        <w:adjustRightInd w:val="0"/>
        <w:spacing w:after="0" w:line="360" w:lineRule="auto"/>
        <w:contextualSpacing/>
        <w:jc w:val="both"/>
        <w:rPr>
          <w:rFonts w:ascii="Palatino Linotype" w:eastAsia="Times New Roman" w:hAnsi="Palatino Linotype" w:cs="Arial"/>
          <w:b/>
          <w:i/>
          <w:sz w:val="28"/>
          <w:szCs w:val="24"/>
          <w:highlight w:val="yellow"/>
          <w:lang w:val="es-ES" w:eastAsia="es-ES"/>
        </w:rPr>
      </w:pPr>
      <w:r w:rsidRPr="004D04EC">
        <w:rPr>
          <w:rFonts w:ascii="Palatino Linotype" w:eastAsia="Times New Roman" w:hAnsi="Palatino Linotype" w:cs="Arial"/>
          <w:b/>
          <w:i/>
          <w:sz w:val="28"/>
          <w:szCs w:val="24"/>
          <w:highlight w:val="yellow"/>
          <w:lang w:val="es-ES" w:eastAsia="es-ES"/>
        </w:rPr>
        <w:t>De la versión pública</w:t>
      </w:r>
    </w:p>
    <w:p w14:paraId="69F5AECE"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lastRenderedPageBreak/>
        <w:t xml:space="preserve">Toda vez que los documentos referidos anteriormente son elaborados por quincenas y atendiendo al requerimiento del ciudadano, este Órgano Garante determina ordenar que la entrega de la información al </w:t>
      </w:r>
      <w:r w:rsidRPr="004D04EC">
        <w:rPr>
          <w:rFonts w:ascii="Palatino Linotype" w:hAnsi="Palatino Linotype" w:cs="Arial"/>
          <w:b/>
          <w:sz w:val="24"/>
          <w:szCs w:val="24"/>
          <w:highlight w:val="yellow"/>
        </w:rPr>
        <w:t>Recurrente</w:t>
      </w:r>
      <w:r w:rsidRPr="004D04EC">
        <w:rPr>
          <w:rFonts w:ascii="Palatino Linotype" w:hAnsi="Palatino Linotype" w:cs="Arial"/>
          <w:sz w:val="24"/>
          <w:szCs w:val="24"/>
          <w:highlight w:val="yellow"/>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14001EF" w14:textId="77777777" w:rsidR="000C3D2D" w:rsidRPr="004D04EC" w:rsidRDefault="000C3D2D" w:rsidP="000C3D2D">
      <w:pPr>
        <w:spacing w:line="360" w:lineRule="auto"/>
        <w:jc w:val="both"/>
        <w:rPr>
          <w:rFonts w:ascii="Palatino Linotype" w:hAnsi="Palatino Linotype" w:cs="Arial"/>
          <w:sz w:val="24"/>
          <w:szCs w:val="24"/>
          <w:highlight w:val="yellow"/>
        </w:rPr>
      </w:pPr>
    </w:p>
    <w:p w14:paraId="5F96F348"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A este respecto, los artículos 3, fracciones IX, XX, XXI y XLV; 51 y 52, de la Ley de Transparencia y Acceso a la Información Pública del Estado de México y Municipios establecen:</w:t>
      </w:r>
    </w:p>
    <w:p w14:paraId="3CFFF99B"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r w:rsidRPr="004D04EC">
        <w:rPr>
          <w:rFonts w:ascii="Palatino Linotype" w:hAnsi="Palatino Linotype" w:cs="Arial"/>
          <w:b/>
          <w:i/>
          <w:szCs w:val="24"/>
          <w:highlight w:val="yellow"/>
        </w:rPr>
        <w:t>Artículo 3.</w:t>
      </w:r>
      <w:r w:rsidRPr="004D04EC">
        <w:rPr>
          <w:rFonts w:ascii="Palatino Linotype" w:hAnsi="Palatino Linotype" w:cs="Arial"/>
          <w:i/>
          <w:szCs w:val="24"/>
          <w:highlight w:val="yellow"/>
        </w:rPr>
        <w:t xml:space="preserve"> Para los efectos de la presente Ley se entenderá por: </w:t>
      </w:r>
    </w:p>
    <w:p w14:paraId="43179117"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p>
    <w:p w14:paraId="7A25FAC4"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IX</w:t>
      </w:r>
      <w:r w:rsidRPr="004D04EC">
        <w:rPr>
          <w:rFonts w:ascii="Palatino Linotype" w:hAnsi="Palatino Linotype" w:cs="Arial"/>
          <w:i/>
          <w:szCs w:val="24"/>
          <w:highlight w:val="yellow"/>
        </w:rPr>
        <w:t xml:space="preserve">. </w:t>
      </w:r>
      <w:r w:rsidRPr="004D04EC">
        <w:rPr>
          <w:rFonts w:ascii="Palatino Linotype" w:hAnsi="Palatino Linotype" w:cs="Arial"/>
          <w:b/>
          <w:i/>
          <w:szCs w:val="24"/>
          <w:highlight w:val="yellow"/>
        </w:rPr>
        <w:t>Datos personales:</w:t>
      </w:r>
      <w:r w:rsidRPr="004D04EC">
        <w:rPr>
          <w:rFonts w:ascii="Palatino Linotype" w:hAnsi="Palatino Linotype" w:cs="Arial"/>
          <w:i/>
          <w:szCs w:val="24"/>
          <w:highlight w:val="yellow"/>
        </w:rPr>
        <w:t xml:space="preserve"> La información concerniente a una persona, identificada o identificable según lo dispuesto por la Ley de Protección de Datos Personales del Estado de México; </w:t>
      </w:r>
    </w:p>
    <w:p w14:paraId="1E12221F"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38B3CEE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XX. Información clasificada:</w:t>
      </w:r>
      <w:r w:rsidRPr="004D04EC">
        <w:rPr>
          <w:rFonts w:ascii="Palatino Linotype" w:hAnsi="Palatino Linotype" w:cs="Arial"/>
          <w:i/>
          <w:szCs w:val="24"/>
          <w:highlight w:val="yellow"/>
        </w:rPr>
        <w:t xml:space="preserve"> Aquella considerada por la presente Ley como reservada o confidencial; </w:t>
      </w:r>
    </w:p>
    <w:p w14:paraId="65159DB4"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094FF32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XXI. Información confidencial:</w:t>
      </w:r>
      <w:r w:rsidRPr="004D04EC">
        <w:rPr>
          <w:rFonts w:ascii="Palatino Linotype" w:hAnsi="Palatino Linotype" w:cs="Arial"/>
          <w:i/>
          <w:szCs w:val="24"/>
          <w:highlight w:val="yellow"/>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B302D88"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lastRenderedPageBreak/>
        <w:t>XLV. Versión pública:</w:t>
      </w:r>
      <w:r w:rsidRPr="004D04EC">
        <w:rPr>
          <w:rFonts w:ascii="Palatino Linotype" w:hAnsi="Palatino Linotype" w:cs="Arial"/>
          <w:i/>
          <w:szCs w:val="24"/>
          <w:highlight w:val="yellow"/>
        </w:rPr>
        <w:t xml:space="preserve"> Documento en el que se elimine, suprime o borra la información clasificada como reservada o confidencial para permitir su acceso. </w:t>
      </w:r>
    </w:p>
    <w:p w14:paraId="624F98B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22A37EC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 xml:space="preserve">Artículo 51. </w:t>
      </w:r>
      <w:r w:rsidRPr="004D04EC">
        <w:rPr>
          <w:rFonts w:ascii="Palatino Linotype" w:hAnsi="Palatino Linotype" w:cs="Arial"/>
          <w:i/>
          <w:szCs w:val="24"/>
          <w:highlight w:val="yellow"/>
        </w:rPr>
        <w:t xml:space="preserve">Los sujetos obligados designaran a un responsable para atender la Unidad de Transparencia, quien fungirá como enlace entre éstos y los solicitantes. Dicha Unidad será la encargada de tramitar internamente la solicitud de información </w:t>
      </w:r>
      <w:r w:rsidRPr="004D04EC">
        <w:rPr>
          <w:rFonts w:ascii="Palatino Linotype" w:hAnsi="Palatino Linotype" w:cs="Arial"/>
          <w:b/>
          <w:i/>
          <w:szCs w:val="24"/>
          <w:highlight w:val="yellow"/>
        </w:rPr>
        <w:t>y tendrá la responsabilidad de verificar en cada caso que la misma no sea confidencial o reservada</w:t>
      </w:r>
      <w:r w:rsidRPr="004D04EC">
        <w:rPr>
          <w:rFonts w:ascii="Palatino Linotype" w:hAnsi="Palatino Linotype" w:cs="Arial"/>
          <w:i/>
          <w:szCs w:val="24"/>
          <w:highlight w:val="yellow"/>
        </w:rPr>
        <w:t xml:space="preserve">. Dicha Unidad contará con las facultades internas necesarias para gestionar la atención a las solicitudes de información en los términos de la Ley General y la presente Ley. </w:t>
      </w:r>
    </w:p>
    <w:p w14:paraId="754446C7"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575C24FF"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Artículo 52.</w:t>
      </w:r>
      <w:r w:rsidRPr="004D04EC">
        <w:rPr>
          <w:rFonts w:ascii="Palatino Linotype" w:hAnsi="Palatino Linotype" w:cs="Arial"/>
          <w:i/>
          <w:szCs w:val="24"/>
          <w:highlight w:val="yellow"/>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05042946" w14:textId="77777777" w:rsidR="000C3D2D" w:rsidRPr="004D04EC" w:rsidRDefault="000C3D2D" w:rsidP="000C3D2D">
      <w:pPr>
        <w:spacing w:line="360" w:lineRule="auto"/>
        <w:jc w:val="both"/>
        <w:rPr>
          <w:rFonts w:ascii="Palatino Linotype" w:hAnsi="Palatino Linotype" w:cs="Arial"/>
          <w:sz w:val="24"/>
          <w:szCs w:val="24"/>
          <w:highlight w:val="yellow"/>
        </w:rPr>
      </w:pPr>
    </w:p>
    <w:p w14:paraId="0BB025B8"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FA3BBA9"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7634EF6"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r w:rsidRPr="004D04EC">
        <w:rPr>
          <w:rFonts w:ascii="Palatino Linotype" w:hAnsi="Palatino Linotype" w:cs="Arial"/>
          <w:b/>
          <w:i/>
          <w:szCs w:val="24"/>
          <w:highlight w:val="yellow"/>
        </w:rPr>
        <w:t>Artículo 22.</w:t>
      </w:r>
      <w:r w:rsidRPr="004D04EC">
        <w:rPr>
          <w:rFonts w:ascii="Palatino Linotype" w:hAnsi="Palatino Linotype" w:cs="Arial"/>
          <w:i/>
          <w:szCs w:val="24"/>
          <w:highlight w:val="yellow"/>
        </w:rPr>
        <w:t xml:space="preserve"> Todo tratamiento de datos personales que efectúe el responsable deberá estar justificado por finalidades concretas, lícitas, explícitas y legítimas, relacionadas con las atribuciones que la normatividad aplicable les confiera.</w:t>
      </w:r>
    </w:p>
    <w:p w14:paraId="47D903EA"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6B780BF6"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El responsable podrá tratar datos personales para finalidades distintas a aquéllas establecidas en el aviso de privacidad, en los casos siguientes:</w:t>
      </w:r>
    </w:p>
    <w:p w14:paraId="776FC20B"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15740C92"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I. Cuente con atribuciones conferidas en ley y medie el consentimiento del titular.</w:t>
      </w:r>
    </w:p>
    <w:p w14:paraId="2012F82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II. Se trate de una persona reportada como desaparecida, en los términos previstos en la presente Ley y demás disposiciones legales aplicables...</w:t>
      </w:r>
    </w:p>
    <w:p w14:paraId="12C6FC7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76CF095C"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Artículo 38.</w:t>
      </w:r>
      <w:r w:rsidRPr="004D04EC">
        <w:rPr>
          <w:rFonts w:ascii="Palatino Linotype" w:hAnsi="Palatino Linotype" w:cs="Arial"/>
          <w:i/>
          <w:szCs w:val="24"/>
          <w:highlight w:val="yellow"/>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FA702DB"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5259640"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4D04EC">
        <w:rPr>
          <w:rFonts w:ascii="Palatino Linotype" w:hAnsi="Palatino Linotype" w:cs="Arial"/>
          <w:sz w:val="24"/>
          <w:szCs w:val="24"/>
          <w:highlight w:val="yellow"/>
        </w:rPr>
        <w:lastRenderedPageBreak/>
        <w:t xml:space="preserve">particulares y de los servidores públicos toda vez que ésta tiene por objeto proteger datos personales, entendiéndose por tales, aquéllos que hacen identificable a una persona. </w:t>
      </w:r>
    </w:p>
    <w:p w14:paraId="4E01F77B" w14:textId="77777777" w:rsidR="000C3D2D" w:rsidRPr="004D04EC" w:rsidRDefault="000C3D2D" w:rsidP="000C3D2D">
      <w:pPr>
        <w:spacing w:line="360" w:lineRule="auto"/>
        <w:jc w:val="both"/>
        <w:rPr>
          <w:rFonts w:ascii="Palatino Linotype" w:hAnsi="Palatino Linotype" w:cs="Arial"/>
          <w:sz w:val="24"/>
          <w:szCs w:val="24"/>
          <w:highlight w:val="yellow"/>
        </w:rPr>
      </w:pPr>
    </w:p>
    <w:p w14:paraId="3C80088B"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16D494B1" w14:textId="77777777" w:rsidR="000C3D2D" w:rsidRPr="004D04EC" w:rsidRDefault="000C3D2D" w:rsidP="000C3D2D">
      <w:pPr>
        <w:spacing w:line="360" w:lineRule="auto"/>
        <w:jc w:val="both"/>
        <w:rPr>
          <w:rFonts w:ascii="Palatino Linotype" w:hAnsi="Palatino Linotype" w:cs="Arial"/>
          <w:sz w:val="24"/>
          <w:szCs w:val="24"/>
          <w:highlight w:val="yellow"/>
        </w:rPr>
      </w:pPr>
    </w:p>
    <w:p w14:paraId="7458F5C2"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Asimismo, de la versión pública deberá dejarse a la vista del </w:t>
      </w:r>
      <w:r w:rsidRPr="004D04EC">
        <w:rPr>
          <w:rFonts w:ascii="Palatino Linotype" w:hAnsi="Palatino Linotype" w:cs="Arial"/>
          <w:b/>
          <w:sz w:val="24"/>
          <w:szCs w:val="24"/>
          <w:highlight w:val="yellow"/>
        </w:rPr>
        <w:t>Recurrente</w:t>
      </w:r>
      <w:r w:rsidRPr="004D04EC">
        <w:rPr>
          <w:rFonts w:ascii="Palatino Linotype" w:hAnsi="Palatino Linotype" w:cs="Arial"/>
          <w:sz w:val="24"/>
          <w:szCs w:val="24"/>
          <w:highlight w:val="yellow"/>
        </w:rPr>
        <w:t xml:space="preserve"> los siguientes elementos de información pública: monto total del sueldo neto y bruto, compensaciones, prestaciones, aguinaldos, bonos, pagos por concepto de gasolina, de servicio de telefonía celular, el </w:t>
      </w:r>
      <w:r w:rsidRPr="004D04EC">
        <w:rPr>
          <w:rFonts w:ascii="Palatino Linotype" w:hAnsi="Palatino Linotype" w:cs="Arial"/>
          <w:b/>
          <w:sz w:val="24"/>
          <w:szCs w:val="24"/>
          <w:highlight w:val="yellow"/>
        </w:rPr>
        <w:t>nombre del servidor público</w:t>
      </w:r>
      <w:r w:rsidRPr="004D04EC">
        <w:rPr>
          <w:rFonts w:ascii="Palatino Linotype" w:hAnsi="Palatino Linotype" w:cs="Arial"/>
          <w:sz w:val="24"/>
          <w:szCs w:val="24"/>
          <w:highlight w:val="yellow"/>
        </w:rPr>
        <w:t xml:space="preserve">, el cargo que desempeña, área de adscripción, número de empleado (sólo en caso de no arrojar datos personales) y el período de la nómina respectiva, básicamente.  </w:t>
      </w:r>
    </w:p>
    <w:p w14:paraId="13D8FACE" w14:textId="77777777" w:rsidR="000C3D2D" w:rsidRPr="004D04EC" w:rsidRDefault="000C3D2D" w:rsidP="000C3D2D">
      <w:pPr>
        <w:spacing w:line="360" w:lineRule="auto"/>
        <w:jc w:val="both"/>
        <w:rPr>
          <w:rFonts w:ascii="Palatino Linotype" w:hAnsi="Palatino Linotype" w:cs="Arial"/>
          <w:sz w:val="24"/>
          <w:szCs w:val="24"/>
          <w:highlight w:val="yellow"/>
        </w:rPr>
      </w:pPr>
    </w:p>
    <w:p w14:paraId="061A76E6"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05002A9" w14:textId="77777777" w:rsidR="000C3D2D" w:rsidRPr="004D04EC" w:rsidRDefault="000C3D2D" w:rsidP="000C3D2D">
      <w:pPr>
        <w:spacing w:line="360" w:lineRule="auto"/>
        <w:jc w:val="both"/>
        <w:rPr>
          <w:rFonts w:ascii="Palatino Linotype" w:hAnsi="Palatino Linotype" w:cs="Arial"/>
          <w:sz w:val="24"/>
          <w:szCs w:val="24"/>
          <w:highlight w:val="yellow"/>
        </w:rPr>
      </w:pPr>
    </w:p>
    <w:p w14:paraId="5882F492" w14:textId="77777777" w:rsidR="000C3D2D" w:rsidRPr="004D04EC" w:rsidRDefault="000C3D2D" w:rsidP="000C3D2D">
      <w:pPr>
        <w:spacing w:line="360"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r w:rsidRPr="004D04EC">
        <w:rPr>
          <w:rFonts w:ascii="Palatino Linotype" w:hAnsi="Palatino Linotype" w:cs="Arial"/>
          <w:b/>
          <w:i/>
          <w:szCs w:val="24"/>
          <w:highlight w:val="yellow"/>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D04EC">
        <w:rPr>
          <w:rFonts w:ascii="Palatino Linotype" w:hAnsi="Palatino Linotype" w:cs="Arial"/>
          <w:i/>
          <w:szCs w:val="24"/>
          <w:highlight w:val="yellow"/>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2ED6373" w14:textId="77777777" w:rsidR="000C3D2D" w:rsidRPr="004D04EC" w:rsidRDefault="000C3D2D" w:rsidP="000C3D2D">
      <w:pPr>
        <w:spacing w:line="360" w:lineRule="auto"/>
        <w:jc w:val="both"/>
        <w:rPr>
          <w:rFonts w:ascii="Palatino Linotype" w:hAnsi="Palatino Linotype" w:cs="Arial"/>
          <w:sz w:val="24"/>
          <w:szCs w:val="24"/>
          <w:highlight w:val="yellow"/>
        </w:rPr>
      </w:pPr>
    </w:p>
    <w:p w14:paraId="580D0785"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Por ende, en el presente caso el Sujeto Obligado sólo podrá testar los datos referidos con antelación, clasificación que tiene que efectuar mediante las formalidades que la Ley </w:t>
      </w:r>
      <w:r w:rsidRPr="004D04EC">
        <w:rPr>
          <w:rFonts w:ascii="Palatino Linotype" w:hAnsi="Palatino Linotype" w:cs="Arial"/>
          <w:sz w:val="24"/>
          <w:szCs w:val="24"/>
          <w:highlight w:val="yellow"/>
        </w:rPr>
        <w:lastRenderedPageBreak/>
        <w:t xml:space="preserve">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D04EC">
        <w:rPr>
          <w:rFonts w:ascii="Palatino Linotype" w:hAnsi="Palatino Linotype" w:cs="Arial"/>
          <w:b/>
          <w:sz w:val="24"/>
          <w:szCs w:val="24"/>
          <w:highlight w:val="yellow"/>
        </w:rPr>
        <w:t>Lineamientos Generales en Materia de Clasificación y Desclasificación de la Información, así como para la Elaboración de Versiones Públicas</w:t>
      </w:r>
      <w:r w:rsidRPr="004D04EC">
        <w:rPr>
          <w:rFonts w:ascii="Palatino Linotype" w:hAnsi="Palatino Linotype" w:cs="Arial"/>
          <w:sz w:val="24"/>
          <w:szCs w:val="24"/>
          <w:highlight w:val="yellow"/>
        </w:rPr>
        <w:t>, publicados en el Diario Oficial de la Federación en fecha quince de abril del año dos mil dieciséis, mediante Acuerdo del Consejo Nacional del Sistema Nacional de Transparencia, Acceso a la Información Pública y Protección de Datos Personales.</w:t>
      </w:r>
    </w:p>
    <w:p w14:paraId="06E663DE"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F91FA5D"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2E3E9CE6"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Arial"/>
          <w:sz w:val="24"/>
          <w:szCs w:val="24"/>
          <w:highlight w:val="yellow"/>
          <w:lang w:eastAsia="es-MX"/>
        </w:rPr>
        <w:t xml:space="preserve">En el mismo sentido, en el </w:t>
      </w:r>
      <w:r w:rsidRPr="004D04EC">
        <w:rPr>
          <w:rFonts w:ascii="Palatino Linotype" w:eastAsia="Calibri" w:hAnsi="Palatino Linotype" w:cs="Calibri"/>
          <w:sz w:val="24"/>
          <w:szCs w:val="24"/>
          <w:highlight w:val="yellow"/>
          <w:lang w:eastAsia="es-MX"/>
        </w:rPr>
        <w:t xml:space="preserve">caso específico, </w:t>
      </w:r>
      <w:r w:rsidRPr="004D04EC">
        <w:rPr>
          <w:rFonts w:ascii="Palatino Linotype" w:eastAsia="Calibri" w:hAnsi="Palatino Linotype" w:cs="Arial"/>
          <w:sz w:val="24"/>
          <w:szCs w:val="24"/>
          <w:highlight w:val="yellow"/>
          <w:lang w:eastAsia="es-MX"/>
        </w:rPr>
        <w:t xml:space="preserve">se advierte que </w:t>
      </w:r>
      <w:r w:rsidRPr="004D04EC">
        <w:rPr>
          <w:rFonts w:ascii="Palatino Linotype" w:eastAsia="Calibri" w:hAnsi="Palatino Linotype" w:cs="Calibri"/>
          <w:sz w:val="24"/>
          <w:szCs w:val="24"/>
          <w:highlight w:val="yellow"/>
          <w:lang w:eastAsia="es-MX"/>
        </w:rPr>
        <w:t xml:space="preserve">en los documentos solicitados obran datos que son considerados confidenciales, cuyo acceso debe ser restringido, los cuales deben testarse al momento de la elaboración de versiones públicas, como es el caso del </w:t>
      </w:r>
      <w:r w:rsidRPr="004D04EC">
        <w:rPr>
          <w:rFonts w:ascii="Palatino Linotype" w:eastAsia="Calibri" w:hAnsi="Palatino Linotype" w:cs="Calibri"/>
          <w:b/>
          <w:sz w:val="24"/>
          <w:szCs w:val="24"/>
          <w:highlight w:val="yellow"/>
          <w:lang w:eastAsia="es-MX"/>
        </w:rPr>
        <w:t>Registro Federal de Contribuyentes</w:t>
      </w:r>
      <w:r w:rsidRPr="004D04EC">
        <w:rPr>
          <w:rFonts w:ascii="Palatino Linotype" w:eastAsia="Calibri" w:hAnsi="Palatino Linotype" w:cs="Calibri"/>
          <w:sz w:val="24"/>
          <w:szCs w:val="24"/>
          <w:highlight w:val="yellow"/>
          <w:lang w:eastAsia="es-MX"/>
        </w:rPr>
        <w:t xml:space="preserve"> (RFC), la </w:t>
      </w:r>
      <w:r w:rsidRPr="004D04EC">
        <w:rPr>
          <w:rFonts w:ascii="Palatino Linotype" w:eastAsia="Calibri" w:hAnsi="Palatino Linotype" w:cs="Calibri"/>
          <w:b/>
          <w:sz w:val="24"/>
          <w:szCs w:val="24"/>
          <w:highlight w:val="yellow"/>
          <w:lang w:eastAsia="es-MX"/>
        </w:rPr>
        <w:t>Clave Única de Registro de Población</w:t>
      </w:r>
      <w:r w:rsidRPr="004D04EC">
        <w:rPr>
          <w:rFonts w:ascii="Palatino Linotype" w:eastAsia="Calibri" w:hAnsi="Palatino Linotype" w:cs="Calibri"/>
          <w:sz w:val="24"/>
          <w:szCs w:val="24"/>
          <w:highlight w:val="yellow"/>
          <w:lang w:eastAsia="es-MX"/>
        </w:rPr>
        <w:t xml:space="preserve"> (CURP), la </w:t>
      </w:r>
      <w:r w:rsidRPr="004D04EC">
        <w:rPr>
          <w:rFonts w:ascii="Palatino Linotype" w:eastAsia="Calibri" w:hAnsi="Palatino Linotype" w:cs="Calibri"/>
          <w:b/>
          <w:sz w:val="24"/>
          <w:szCs w:val="24"/>
          <w:highlight w:val="yellow"/>
          <w:lang w:eastAsia="es-MX"/>
        </w:rPr>
        <w:t>Clave de cualquier tipo de seguridad social</w:t>
      </w:r>
      <w:r w:rsidRPr="004D04EC">
        <w:rPr>
          <w:rFonts w:ascii="Palatino Linotype" w:eastAsia="Calibri" w:hAnsi="Palatino Linotype" w:cs="Calibri"/>
          <w:sz w:val="24"/>
          <w:szCs w:val="24"/>
          <w:highlight w:val="yellow"/>
          <w:lang w:eastAsia="es-MX"/>
        </w:rPr>
        <w:t xml:space="preserve"> (ISSEMYM, u otros), así como, los </w:t>
      </w:r>
      <w:r w:rsidRPr="004D04EC">
        <w:rPr>
          <w:rFonts w:ascii="Palatino Linotype" w:eastAsia="Calibri" w:hAnsi="Palatino Linotype" w:cs="Calibri"/>
          <w:b/>
          <w:sz w:val="24"/>
          <w:szCs w:val="24"/>
          <w:highlight w:val="yellow"/>
          <w:lang w:eastAsia="es-MX"/>
        </w:rPr>
        <w:t xml:space="preserve">préstamos o descuentos </w:t>
      </w:r>
      <w:r w:rsidRPr="004D04EC">
        <w:rPr>
          <w:rFonts w:ascii="Palatino Linotype" w:eastAsia="Calibri" w:hAnsi="Palatino Linotype" w:cs="Calibri"/>
          <w:sz w:val="24"/>
          <w:szCs w:val="24"/>
          <w:highlight w:val="yellow"/>
          <w:lang w:eastAsia="es-MX"/>
        </w:rPr>
        <w:t xml:space="preserve">que se le hagan al servidor público, que no se encuentren relacionados con </w:t>
      </w:r>
      <w:r w:rsidRPr="004D04EC">
        <w:rPr>
          <w:rFonts w:ascii="Palatino Linotype" w:eastAsia="Calibri" w:hAnsi="Palatino Linotype" w:cs="Calibri"/>
          <w:b/>
          <w:sz w:val="24"/>
          <w:szCs w:val="24"/>
          <w:highlight w:val="yellow"/>
          <w:lang w:eastAsia="es-MX"/>
        </w:rPr>
        <w:t xml:space="preserve">los impuestos o las cuotas por seguridad social, sellos digitales del </w:t>
      </w:r>
      <w:r w:rsidRPr="004D04EC">
        <w:rPr>
          <w:rFonts w:ascii="Palatino Linotype" w:eastAsia="Calibri" w:hAnsi="Palatino Linotype" w:cs="Calibri"/>
          <w:b/>
          <w:sz w:val="24"/>
          <w:szCs w:val="24"/>
          <w:highlight w:val="yellow"/>
          <w:lang w:eastAsia="es-MX"/>
        </w:rPr>
        <w:lastRenderedPageBreak/>
        <w:t>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4D04EC">
        <w:rPr>
          <w:rFonts w:ascii="Palatino Linotype" w:eastAsia="Calibri" w:hAnsi="Palatino Linotype" w:cs="Calibri"/>
          <w:sz w:val="24"/>
          <w:szCs w:val="24"/>
          <w:highlight w:val="yellow"/>
          <w:lang w:eastAsia="es-MX"/>
        </w:rPr>
        <w:t>, cuando de estos se desprendan o sean visibles datos personales correspondientes a los servidores públicos.</w:t>
      </w:r>
    </w:p>
    <w:p w14:paraId="3315F899"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6CEEE5A3"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b/>
          <w:sz w:val="24"/>
          <w:szCs w:val="24"/>
          <w:highlight w:val="yellow"/>
          <w:lang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4D04EC">
        <w:rPr>
          <w:rFonts w:ascii="Palatino Linotype" w:eastAsia="Calibri" w:hAnsi="Palatino Linotype" w:cs="Calibri"/>
          <w:sz w:val="24"/>
          <w:szCs w:val="24"/>
          <w:highlight w:val="yellow"/>
          <w:lang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3EC992D"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46BD09AC"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Por cuanto hace al </w:t>
      </w:r>
      <w:r w:rsidRPr="004D04EC">
        <w:rPr>
          <w:rFonts w:ascii="Palatino Linotype" w:eastAsia="Calibri" w:hAnsi="Palatino Linotype" w:cs="Calibri"/>
          <w:b/>
          <w:sz w:val="24"/>
          <w:szCs w:val="24"/>
          <w:highlight w:val="yellow"/>
          <w:lang w:eastAsia="es-MX"/>
        </w:rPr>
        <w:t>Registro Federal de Contribuyentes</w:t>
      </w:r>
      <w:r w:rsidRPr="004D04EC">
        <w:rPr>
          <w:rFonts w:ascii="Palatino Linotype" w:eastAsia="Calibri" w:hAnsi="Palatino Linotype" w:cs="Calibri"/>
          <w:sz w:val="24"/>
          <w:szCs w:val="24"/>
          <w:highlight w:val="yellow"/>
          <w:lang w:eastAsia="es-MX"/>
        </w:rPr>
        <w:t xml:space="preserve"> </w:t>
      </w:r>
      <w:r w:rsidRPr="004D04EC">
        <w:rPr>
          <w:rFonts w:ascii="Palatino Linotype" w:eastAsia="Calibri" w:hAnsi="Palatino Linotype" w:cs="Calibri"/>
          <w:b/>
          <w:sz w:val="24"/>
          <w:szCs w:val="24"/>
          <w:highlight w:val="yellow"/>
          <w:lang w:eastAsia="es-MX"/>
        </w:rPr>
        <w:t>de las personas físicas</w:t>
      </w:r>
      <w:r w:rsidRPr="004D04EC">
        <w:rPr>
          <w:rFonts w:ascii="Palatino Linotype" w:eastAsia="Calibri" w:hAnsi="Palatino Linotype" w:cs="Calibri"/>
          <w:sz w:val="24"/>
          <w:szCs w:val="24"/>
          <w:highlight w:val="yellow"/>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w:t>
      </w:r>
      <w:r w:rsidRPr="004D04EC">
        <w:rPr>
          <w:rFonts w:ascii="Palatino Linotype" w:eastAsia="Calibri" w:hAnsi="Palatino Linotype" w:cs="Calibri"/>
          <w:sz w:val="24"/>
          <w:szCs w:val="24"/>
          <w:highlight w:val="yellow"/>
          <w:lang w:eastAsia="es-MX"/>
        </w:rPr>
        <w:lastRenderedPageBreak/>
        <w:t xml:space="preserve">apellido; seguida de la primera letra del segundo apellido y por último la primera letra del nombre, posterior la fecha de nacimiento año/mes/día y finalmente la </w:t>
      </w:r>
      <w:proofErr w:type="spellStart"/>
      <w:r w:rsidRPr="004D04EC">
        <w:rPr>
          <w:rFonts w:ascii="Palatino Linotype" w:eastAsia="Calibri" w:hAnsi="Palatino Linotype" w:cs="Calibri"/>
          <w:sz w:val="24"/>
          <w:szCs w:val="24"/>
          <w:highlight w:val="yellow"/>
          <w:lang w:eastAsia="es-MX"/>
        </w:rPr>
        <w:t>homoclave</w:t>
      </w:r>
      <w:proofErr w:type="spellEnd"/>
      <w:r w:rsidRPr="004D04EC">
        <w:rPr>
          <w:rFonts w:ascii="Palatino Linotype" w:eastAsia="Calibri" w:hAnsi="Palatino Linotype" w:cs="Calibri"/>
          <w:sz w:val="24"/>
          <w:szCs w:val="24"/>
          <w:highlight w:val="yellow"/>
          <w:lang w:eastAsia="es-MX"/>
        </w:rPr>
        <w:t>; la cual para su obtención es necesario acreditar personalidad, fecha de nacimiento entre otros con documentos oficiales.</w:t>
      </w:r>
    </w:p>
    <w:p w14:paraId="5D28D969"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03296764"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Al respecto, el Instituto Nacional Transparencia, Acceso a la Información y Protección de Datos Personales (INAI) a través del Criterio 19/17, señala literalmente lo siguiente:</w:t>
      </w:r>
    </w:p>
    <w:p w14:paraId="66701D6D" w14:textId="77777777" w:rsidR="000C3D2D" w:rsidRPr="004D04EC" w:rsidRDefault="000C3D2D" w:rsidP="000C3D2D">
      <w:pPr>
        <w:spacing w:after="0" w:line="360" w:lineRule="auto"/>
        <w:ind w:left="567" w:right="616"/>
        <w:jc w:val="both"/>
        <w:rPr>
          <w:rFonts w:ascii="Palatino Linotype" w:eastAsia="Calibri" w:hAnsi="Palatino Linotype" w:cs="Calibri"/>
          <w:i/>
          <w:sz w:val="24"/>
          <w:szCs w:val="24"/>
          <w:highlight w:val="yellow"/>
          <w:lang w:eastAsia="es-MX"/>
        </w:rPr>
      </w:pPr>
    </w:p>
    <w:p w14:paraId="7625BDFB" w14:textId="77777777" w:rsidR="000C3D2D" w:rsidRPr="004D04EC" w:rsidRDefault="000C3D2D" w:rsidP="000C3D2D">
      <w:pPr>
        <w:spacing w:after="0" w:line="240" w:lineRule="auto"/>
        <w:ind w:left="567" w:right="616"/>
        <w:jc w:val="both"/>
        <w:rPr>
          <w:rFonts w:ascii="Palatino Linotype" w:eastAsia="Calibri" w:hAnsi="Palatino Linotype" w:cs="Calibri"/>
          <w:i/>
          <w:highlight w:val="yellow"/>
          <w:lang w:eastAsia="es-MX"/>
        </w:rPr>
      </w:pPr>
      <w:r w:rsidRPr="004D04EC">
        <w:rPr>
          <w:rFonts w:ascii="Palatino Linotype" w:eastAsia="Calibri" w:hAnsi="Palatino Linotype" w:cs="Calibri"/>
          <w:b/>
          <w:i/>
          <w:highlight w:val="yellow"/>
          <w:lang w:eastAsia="es-MX"/>
        </w:rPr>
        <w:t>Registro Federal de Contribuyentes (RFC) de personas físicas</w:t>
      </w:r>
      <w:r w:rsidRPr="004D04EC">
        <w:rPr>
          <w:rFonts w:ascii="Palatino Linotype" w:eastAsia="Calibri" w:hAnsi="Palatino Linotype" w:cs="Calibri"/>
          <w:i/>
          <w:highlight w:val="yellow"/>
          <w:lang w:eastAsia="es-MX"/>
        </w:rPr>
        <w:t xml:space="preserve">. El RFC es una clave de carácter fiscal, </w:t>
      </w:r>
      <w:proofErr w:type="gramStart"/>
      <w:r w:rsidRPr="004D04EC">
        <w:rPr>
          <w:rFonts w:ascii="Palatino Linotype" w:eastAsia="Calibri" w:hAnsi="Palatino Linotype" w:cs="Calibri"/>
          <w:i/>
          <w:highlight w:val="yellow"/>
          <w:lang w:eastAsia="es-MX"/>
        </w:rPr>
        <w:t>única</w:t>
      </w:r>
      <w:proofErr w:type="gramEnd"/>
      <w:r w:rsidRPr="004D04EC">
        <w:rPr>
          <w:rFonts w:ascii="Palatino Linotype" w:eastAsia="Calibri" w:hAnsi="Palatino Linotype" w:cs="Calibri"/>
          <w:i/>
          <w:highlight w:val="yellow"/>
          <w:lang w:eastAsia="es-MX"/>
        </w:rPr>
        <w:t xml:space="preserve"> e irrepetible, que permite identificar al titular, su edad y fecha de nacimiento, por lo que es un dato personal de carácter confidencial.</w:t>
      </w:r>
    </w:p>
    <w:p w14:paraId="20F63FCB"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21FA2118"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De lo anterior, se desprende que el Registro Federal de Contribuyentes se vincula al nombre de su titular, permitiendo identificar la edad de la persona, fecha de nacimiento, así como su </w:t>
      </w:r>
      <w:proofErr w:type="spellStart"/>
      <w:r w:rsidRPr="004D04EC">
        <w:rPr>
          <w:rFonts w:ascii="Palatino Linotype" w:eastAsia="Calibri" w:hAnsi="Palatino Linotype" w:cs="Calibri"/>
          <w:sz w:val="24"/>
          <w:szCs w:val="24"/>
          <w:highlight w:val="yellow"/>
          <w:lang w:eastAsia="es-MX"/>
        </w:rPr>
        <w:t>homoclave</w:t>
      </w:r>
      <w:proofErr w:type="spellEnd"/>
      <w:r w:rsidRPr="004D04EC">
        <w:rPr>
          <w:rFonts w:ascii="Palatino Linotype" w:eastAsia="Calibri" w:hAnsi="Palatino Linotype" w:cs="Calibri"/>
          <w:sz w:val="24"/>
          <w:szCs w:val="24"/>
          <w:highlight w:val="yellow"/>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D04EC">
        <w:rPr>
          <w:rFonts w:ascii="Palatino Linotype" w:eastAsia="Arial Unicode MS" w:hAnsi="Palatino Linotype" w:cs="Calibri"/>
          <w:sz w:val="24"/>
          <w:szCs w:val="24"/>
          <w:highlight w:val="yellow"/>
          <w:lang w:eastAsia="es-MX"/>
        </w:rPr>
        <w:t>4 fracción XI de la Ley de Protección de Datos Personales en Posesión de los Sujetos Obligados del Estado de México y Municipios</w:t>
      </w:r>
      <w:r w:rsidRPr="004D04EC">
        <w:rPr>
          <w:rFonts w:ascii="Palatino Linotype" w:eastAsia="Calibri" w:hAnsi="Palatino Linotype" w:cs="Calibri"/>
          <w:sz w:val="24"/>
          <w:szCs w:val="24"/>
          <w:highlight w:val="yellow"/>
          <w:lang w:eastAsia="es-MX"/>
        </w:rPr>
        <w:t>.</w:t>
      </w:r>
    </w:p>
    <w:p w14:paraId="13D4611A"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559DCB94"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Por cuanto hace a la </w:t>
      </w:r>
      <w:r w:rsidRPr="004D04EC">
        <w:rPr>
          <w:rFonts w:ascii="Palatino Linotype" w:eastAsia="Calibri" w:hAnsi="Palatino Linotype" w:cs="Calibri"/>
          <w:b/>
          <w:sz w:val="24"/>
          <w:szCs w:val="24"/>
          <w:highlight w:val="yellow"/>
          <w:lang w:eastAsia="es-MX"/>
        </w:rPr>
        <w:t xml:space="preserve">Clave Única de Registro de Población, </w:t>
      </w:r>
      <w:r w:rsidRPr="004D04EC">
        <w:rPr>
          <w:rFonts w:ascii="Palatino Linotype" w:eastAsia="Calibri" w:hAnsi="Palatino Linotype" w:cs="Calibri"/>
          <w:sz w:val="24"/>
          <w:szCs w:val="24"/>
          <w:highlight w:val="yellow"/>
          <w:lang w:eastAsia="es-MX"/>
        </w:rPr>
        <w:t xml:space="preserve">constituye un dato personal, ya que tiene como finalidad registrar a cada una de las personas que integran la población </w:t>
      </w:r>
      <w:r w:rsidRPr="004D04EC">
        <w:rPr>
          <w:rFonts w:ascii="Palatino Linotype" w:eastAsia="Calibri" w:hAnsi="Palatino Linotype" w:cs="Calibri"/>
          <w:sz w:val="24"/>
          <w:szCs w:val="24"/>
          <w:highlight w:val="yellow"/>
          <w:lang w:eastAsia="es-MX"/>
        </w:rPr>
        <w:lastRenderedPageBreak/>
        <w:t>del país, con los datos que permitan certificar y acreditar fehacientemente su identidad, la cual servirá para identificarla de manera individual.</w:t>
      </w:r>
    </w:p>
    <w:p w14:paraId="2197E241"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5ACFAA42"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Lo anterior, tiene sustento en los artículos 86 y 91, de la Ley General de Población, la cual señala lo siguiente:</w:t>
      </w:r>
    </w:p>
    <w:p w14:paraId="6BC38D3A" w14:textId="77777777" w:rsidR="000C3D2D" w:rsidRPr="004D04EC" w:rsidRDefault="000C3D2D" w:rsidP="000C3D2D">
      <w:pPr>
        <w:spacing w:after="0" w:line="360" w:lineRule="auto"/>
        <w:ind w:left="709" w:right="757"/>
        <w:jc w:val="both"/>
        <w:rPr>
          <w:rFonts w:ascii="Palatino Linotype" w:eastAsia="Calibri" w:hAnsi="Palatino Linotype" w:cs="Arial,Bold"/>
          <w:b/>
          <w:bCs/>
          <w:i/>
          <w:sz w:val="24"/>
          <w:szCs w:val="24"/>
          <w:highlight w:val="yellow"/>
          <w:lang w:eastAsia="es-MX"/>
        </w:rPr>
      </w:pPr>
    </w:p>
    <w:p w14:paraId="480DCF73" w14:textId="77777777" w:rsidR="000C3D2D" w:rsidRPr="004D04EC" w:rsidRDefault="000C3D2D" w:rsidP="000C3D2D">
      <w:pPr>
        <w:spacing w:after="0" w:line="240" w:lineRule="auto"/>
        <w:ind w:left="709" w:right="757"/>
        <w:jc w:val="both"/>
        <w:rPr>
          <w:rFonts w:ascii="Palatino Linotype" w:eastAsia="Calibri" w:hAnsi="Palatino Linotype" w:cs="Arial"/>
          <w:i/>
          <w:highlight w:val="yellow"/>
          <w:lang w:eastAsia="es-MX"/>
        </w:rPr>
      </w:pPr>
      <w:r w:rsidRPr="004D04EC">
        <w:rPr>
          <w:rFonts w:ascii="Palatino Linotype" w:eastAsia="Calibri" w:hAnsi="Palatino Linotype" w:cs="Arial,Bold"/>
          <w:b/>
          <w:bCs/>
          <w:i/>
          <w:highlight w:val="yellow"/>
          <w:lang w:eastAsia="es-MX"/>
        </w:rPr>
        <w:t xml:space="preserve">Artículo 86. </w:t>
      </w:r>
      <w:r w:rsidRPr="004D04EC">
        <w:rPr>
          <w:rFonts w:ascii="Palatino Linotype" w:eastAsia="Calibri" w:hAnsi="Palatino Linotype" w:cs="Arial"/>
          <w:i/>
          <w:highlight w:val="yellow"/>
          <w:lang w:eastAsia="es-MX"/>
        </w:rPr>
        <w:t>El Registro Nacional de Población tiene como finalidad registrar a cada una de las personas que integran la población del país, con los datos que permitan certificar y acreditar fehacientemente su identidad.</w:t>
      </w:r>
    </w:p>
    <w:p w14:paraId="54DC3F79" w14:textId="77777777" w:rsidR="000C3D2D" w:rsidRPr="004D04EC" w:rsidRDefault="000C3D2D" w:rsidP="000C3D2D">
      <w:pPr>
        <w:spacing w:after="0" w:line="240" w:lineRule="auto"/>
        <w:ind w:left="709" w:right="757"/>
        <w:jc w:val="both"/>
        <w:rPr>
          <w:rFonts w:ascii="Palatino Linotype" w:eastAsia="Calibri" w:hAnsi="Palatino Linotype" w:cs="Arial"/>
          <w:i/>
          <w:highlight w:val="yellow"/>
          <w:lang w:eastAsia="es-MX"/>
        </w:rPr>
      </w:pPr>
    </w:p>
    <w:p w14:paraId="207BF6DA" w14:textId="77777777" w:rsidR="000C3D2D" w:rsidRPr="004D04EC" w:rsidRDefault="000C3D2D" w:rsidP="000C3D2D">
      <w:pPr>
        <w:spacing w:after="0" w:line="240" w:lineRule="auto"/>
        <w:ind w:left="709" w:right="757"/>
        <w:jc w:val="both"/>
        <w:rPr>
          <w:rFonts w:ascii="Palatino Linotype" w:eastAsia="Calibri" w:hAnsi="Palatino Linotype" w:cs="Arial"/>
          <w:i/>
          <w:highlight w:val="yellow"/>
          <w:lang w:eastAsia="es-MX"/>
        </w:rPr>
      </w:pPr>
      <w:r w:rsidRPr="004D04EC">
        <w:rPr>
          <w:rFonts w:ascii="Palatino Linotype" w:eastAsia="Calibri" w:hAnsi="Palatino Linotype" w:cs="Arial,Bold"/>
          <w:b/>
          <w:bCs/>
          <w:i/>
          <w:highlight w:val="yellow"/>
          <w:lang w:eastAsia="es-MX"/>
        </w:rPr>
        <w:t xml:space="preserve">Artículo 91. </w:t>
      </w:r>
      <w:r w:rsidRPr="004D04EC">
        <w:rPr>
          <w:rFonts w:ascii="Palatino Linotype" w:eastAsia="Calibri" w:hAnsi="Palatino Linotype" w:cs="Arial"/>
          <w:i/>
          <w:highlight w:val="yellow"/>
          <w:lang w:eastAsia="es-MX"/>
        </w:rPr>
        <w:t>Al incorporar a una persona en el Registro Nacional de Población, se le asignará una clave que se denominará Clave Única de Registro de Población. Esta servirá para registrarla e identificarla en forma individual.</w:t>
      </w:r>
    </w:p>
    <w:p w14:paraId="4EB9C044"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4711DDF3"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37C86AD"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2B4754B2"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lastRenderedPageBreak/>
        <w:t>Al respecto, el Instituto Nacional de Transparencia, Acceso a la Información y Protección de Datos Personales (INAI) a través del Criterio 18/17, señala literalmente lo siguiente:</w:t>
      </w:r>
    </w:p>
    <w:p w14:paraId="6A88ECD4"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21F27BC0" w14:textId="77777777" w:rsidR="000C3D2D" w:rsidRPr="004D04EC" w:rsidRDefault="000C3D2D" w:rsidP="000C3D2D">
      <w:pPr>
        <w:spacing w:after="0" w:line="240" w:lineRule="auto"/>
        <w:ind w:left="567" w:right="616"/>
        <w:jc w:val="both"/>
        <w:rPr>
          <w:rFonts w:ascii="Palatino Linotype" w:eastAsia="Calibri" w:hAnsi="Palatino Linotype" w:cs="Calibri"/>
          <w:i/>
          <w:highlight w:val="yellow"/>
          <w:lang w:eastAsia="es-MX"/>
        </w:rPr>
      </w:pPr>
      <w:r w:rsidRPr="004D04EC">
        <w:rPr>
          <w:rFonts w:ascii="Palatino Linotype" w:eastAsia="Calibri" w:hAnsi="Palatino Linotype" w:cs="Calibri"/>
          <w:b/>
          <w:i/>
          <w:highlight w:val="yellow"/>
          <w:lang w:eastAsia="es-MX"/>
        </w:rPr>
        <w:t>Clave Única de Registro de Población (CURP)</w:t>
      </w:r>
      <w:r w:rsidRPr="004D04EC">
        <w:rPr>
          <w:rFonts w:ascii="Palatino Linotype" w:eastAsia="Calibri" w:hAnsi="Palatino Linotype" w:cs="Calibri"/>
          <w:i/>
          <w:highlight w:val="yellow"/>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E823C74" w14:textId="77777777" w:rsidR="000C3D2D" w:rsidRPr="004D04EC" w:rsidRDefault="000C3D2D" w:rsidP="000C3D2D">
      <w:pPr>
        <w:spacing w:after="0" w:line="360" w:lineRule="auto"/>
        <w:ind w:right="616"/>
        <w:jc w:val="both"/>
        <w:rPr>
          <w:rFonts w:ascii="Palatino Linotype" w:eastAsia="Calibri" w:hAnsi="Palatino Linotype" w:cs="Arial"/>
          <w:bCs/>
          <w:i/>
          <w:sz w:val="24"/>
          <w:szCs w:val="24"/>
          <w:highlight w:val="yellow"/>
          <w:lang w:eastAsia="es-MX"/>
        </w:rPr>
      </w:pPr>
    </w:p>
    <w:p w14:paraId="155627D4"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542A2E5"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086FEB7C"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Por cuanto hace a la </w:t>
      </w:r>
      <w:r w:rsidRPr="004D04EC">
        <w:rPr>
          <w:rFonts w:ascii="Palatino Linotype" w:eastAsia="Calibri" w:hAnsi="Palatino Linotype" w:cs="Calibri"/>
          <w:b/>
          <w:sz w:val="24"/>
          <w:szCs w:val="24"/>
          <w:highlight w:val="yellow"/>
          <w:lang w:eastAsia="es-MX"/>
        </w:rPr>
        <w:t>Clave de cualquier tipo de seguridad social</w:t>
      </w:r>
      <w:r w:rsidRPr="004D04EC">
        <w:rPr>
          <w:rFonts w:ascii="Palatino Linotype" w:eastAsia="Calibri" w:hAnsi="Palatino Linotype" w:cs="Calibri"/>
          <w:sz w:val="24"/>
          <w:szCs w:val="24"/>
          <w:highlight w:val="yellow"/>
          <w:lang w:eastAsia="es-MX"/>
        </w:rPr>
        <w:t xml:space="preserve"> (ISSEMYM u otros), está integrado por una </w:t>
      </w:r>
      <w:r w:rsidRPr="004D04EC">
        <w:rPr>
          <w:rFonts w:ascii="Palatino Linotype" w:eastAsia="Calibri" w:hAnsi="Palatino Linotype" w:cs="Calibri"/>
          <w:bCs/>
          <w:sz w:val="24"/>
          <w:szCs w:val="24"/>
          <w:highlight w:val="yellow"/>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D04EC">
        <w:rPr>
          <w:rFonts w:ascii="Palatino Linotype" w:eastAsia="Calibri" w:hAnsi="Palatino Linotype" w:cs="Calibri"/>
          <w:sz w:val="24"/>
          <w:szCs w:val="24"/>
          <w:highlight w:val="yellow"/>
          <w:lang w:eastAsia="es-MX"/>
        </w:rPr>
        <w:t xml:space="preserve">dato que únicamente le atañe al servidor público, por lo que constituye un dato personal que concierne a una persona física identificada e identificable en términos </w:t>
      </w:r>
      <w:r w:rsidRPr="004D04EC">
        <w:rPr>
          <w:rFonts w:ascii="Palatino Linotype" w:eastAsia="Calibri" w:hAnsi="Palatino Linotype" w:cs="Calibri"/>
          <w:sz w:val="24"/>
          <w:szCs w:val="24"/>
          <w:highlight w:val="yellow"/>
          <w:lang w:eastAsia="es-MX"/>
        </w:rPr>
        <w:lastRenderedPageBreak/>
        <w:t xml:space="preserve">de los artículos 2 fracción II de la Ley de Transparencia y Acceso a la Información Pública del Estado de México y Municipios y  </w:t>
      </w:r>
      <w:r w:rsidRPr="004D04EC">
        <w:rPr>
          <w:rFonts w:ascii="Palatino Linotype" w:eastAsia="Arial Unicode MS" w:hAnsi="Palatino Linotype" w:cs="Calibri"/>
          <w:sz w:val="24"/>
          <w:szCs w:val="24"/>
          <w:highlight w:val="yellow"/>
          <w:lang w:eastAsia="es-MX"/>
        </w:rPr>
        <w:t>4 fracción XI de la Ley de Protección de Datos Personales en Posesión de Sujetos Obligados del Estado de México y Municipios</w:t>
      </w:r>
      <w:r w:rsidRPr="004D04EC">
        <w:rPr>
          <w:rFonts w:ascii="Palatino Linotype" w:eastAsia="Calibri" w:hAnsi="Palatino Linotype" w:cs="Calibri"/>
          <w:sz w:val="24"/>
          <w:szCs w:val="24"/>
          <w:highlight w:val="yellow"/>
          <w:lang w:eastAsia="es-MX"/>
        </w:rPr>
        <w:t>.</w:t>
      </w:r>
    </w:p>
    <w:p w14:paraId="48A9A1AE"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2EAC5B71"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Respecto de los </w:t>
      </w:r>
      <w:r w:rsidRPr="004D04EC">
        <w:rPr>
          <w:rFonts w:ascii="Palatino Linotype" w:eastAsia="Calibri" w:hAnsi="Palatino Linotype" w:cs="Calibri"/>
          <w:b/>
          <w:sz w:val="24"/>
          <w:szCs w:val="24"/>
          <w:highlight w:val="yellow"/>
          <w:lang w:eastAsia="es-MX"/>
        </w:rPr>
        <w:t>préstamos o descuentos</w:t>
      </w:r>
      <w:r w:rsidRPr="004D04EC">
        <w:rPr>
          <w:rFonts w:ascii="Palatino Linotype" w:eastAsia="Calibri" w:hAnsi="Palatino Linotype" w:cs="Calibri"/>
          <w:sz w:val="24"/>
          <w:szCs w:val="24"/>
          <w:highlight w:val="yellow"/>
          <w:lang w:eastAsia="es-MX"/>
        </w:rPr>
        <w:t xml:space="preserve"> </w:t>
      </w:r>
      <w:r w:rsidRPr="004D04EC">
        <w:rPr>
          <w:rFonts w:ascii="Palatino Linotype" w:eastAsia="Calibri" w:hAnsi="Palatino Linotype" w:cs="Calibri"/>
          <w:b/>
          <w:sz w:val="24"/>
          <w:szCs w:val="24"/>
          <w:highlight w:val="yellow"/>
          <w:lang w:eastAsia="es-MX"/>
        </w:rPr>
        <w:t>de carácter personal</w:t>
      </w:r>
      <w:r w:rsidRPr="004D04EC">
        <w:rPr>
          <w:rFonts w:ascii="Palatino Linotype" w:eastAsia="Calibri" w:hAnsi="Palatino Linotype" w:cs="Calibri"/>
          <w:sz w:val="24"/>
          <w:szCs w:val="24"/>
          <w:highlight w:val="yellow"/>
          <w:lang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53CBF9D"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268FC167"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Por su parte, el artículo 84 de la Ley del Trabajo de los Servidores Públicos del Estado y Municipios, señala:</w:t>
      </w:r>
    </w:p>
    <w:p w14:paraId="73FB5E50"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0D5E115C"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b/>
          <w:i/>
          <w:noProof/>
          <w:highlight w:val="yellow"/>
          <w:lang w:eastAsia="es-MX"/>
        </w:rPr>
        <w:t>ARTÍCULO 84.</w:t>
      </w:r>
      <w:r w:rsidRPr="004D04EC">
        <w:rPr>
          <w:rFonts w:ascii="Palatino Linotype" w:eastAsia="Calibri" w:hAnsi="Palatino Linotype" w:cs="Calibri"/>
          <w:i/>
          <w:noProof/>
          <w:highlight w:val="yellow"/>
          <w:lang w:eastAsia="es-MX"/>
        </w:rPr>
        <w:t xml:space="preserve"> Sólo podrán hacerse retenciones, descuentos o deducciones al sueldo de los servidores públicos por concepto de:</w:t>
      </w:r>
    </w:p>
    <w:p w14:paraId="6CCCB848"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04C69566"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 Gravámenes fiscales relacionados con el sueldo;</w:t>
      </w:r>
    </w:p>
    <w:p w14:paraId="515E2B9E"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II. Deudas contraídas con las instituciones públicas o dependencias por concepto de anticipos de sueldo, pagos hechos con exceso, errores o pérdidas debidamente comprobados;</w:t>
      </w:r>
    </w:p>
    <w:p w14:paraId="24BC23C4"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III. Cuotas sindicales;</w:t>
      </w:r>
    </w:p>
    <w:p w14:paraId="60B4E819"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IV. Cuotas de aportación a fondos para la constitución de cooperativas y de cajas de ahorro, siempre que el servidor público hubiese manifestado previamente, de manera expresa, su conformidad;</w:t>
      </w:r>
    </w:p>
    <w:p w14:paraId="1738F561"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V. Descuentos ordenados por el Instituto de Seguridad Social del Estado de México y Municipios, con motivo de cuotas y obligaciones contraídas con éste por los servidores públicos;</w:t>
      </w:r>
    </w:p>
    <w:p w14:paraId="7F2A4C19"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lastRenderedPageBreak/>
        <w:t>VI. Obligaciones a cargo del servidor público con las que haya consentido, derivadas de la adquisición o del uso de habitaciones consideradas como de interés social;</w:t>
      </w:r>
    </w:p>
    <w:p w14:paraId="14B64E53"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VII. Faltas de puntualidad o de asistencia injustificadas;</w:t>
      </w:r>
    </w:p>
    <w:p w14:paraId="30E787B7"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VIII. Pensiones alimenticias ordenadas por la autoridad judicial; o</w:t>
      </w:r>
    </w:p>
    <w:p w14:paraId="3D4E4ED9"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IX. Cualquier otro convenido con instituciones de servicios y aceptado por el servidor público.</w:t>
      </w:r>
    </w:p>
    <w:p w14:paraId="0033ACBC"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597649DD" w14:textId="77777777" w:rsidR="000C3D2D" w:rsidRPr="004D04EC" w:rsidRDefault="000C3D2D" w:rsidP="000C3D2D">
      <w:pPr>
        <w:spacing w:after="0" w:line="240" w:lineRule="auto"/>
        <w:ind w:left="567" w:right="616"/>
        <w:jc w:val="both"/>
        <w:rPr>
          <w:rFonts w:ascii="Palatino Linotype" w:eastAsia="Calibri" w:hAnsi="Palatino Linotype" w:cs="Calibri"/>
          <w:highlight w:val="yellow"/>
          <w:lang w:eastAsia="es-MX"/>
        </w:rPr>
      </w:pPr>
      <w:r w:rsidRPr="004D04EC">
        <w:rPr>
          <w:rFonts w:ascii="Palatino Linotype" w:eastAsia="Calibri" w:hAnsi="Palatino Linotype" w:cs="Calibri"/>
          <w:i/>
          <w:noProof/>
          <w:highlight w:val="yellow"/>
          <w:lang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9FC8B83"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5880FBDA"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74ABD2C"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39483F2A"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No obstante, el denominado </w:t>
      </w:r>
      <w:r w:rsidRPr="004D04EC">
        <w:rPr>
          <w:rFonts w:ascii="Palatino Linotype" w:eastAsia="Calibri" w:hAnsi="Palatino Linotype" w:cs="Calibri"/>
          <w:b/>
          <w:sz w:val="24"/>
          <w:szCs w:val="24"/>
          <w:highlight w:val="yellow"/>
          <w:lang w:eastAsia="es-MX"/>
        </w:rPr>
        <w:t>Sistema de Capitalización Individual</w:t>
      </w:r>
      <w:r w:rsidRPr="004D04EC">
        <w:rPr>
          <w:rFonts w:ascii="Palatino Linotype" w:eastAsia="Calibri" w:hAnsi="Palatino Linotype" w:cs="Calibri"/>
          <w:sz w:val="24"/>
          <w:szCs w:val="24"/>
          <w:highlight w:val="yellow"/>
          <w:lang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23AC039A"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19130084"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Arial Unicode MS" w:hAnsi="Palatino Linotype" w:cs="Calibri"/>
          <w:sz w:val="24"/>
          <w:szCs w:val="24"/>
          <w:highlight w:val="yellow"/>
          <w:lang w:eastAsia="es-MX"/>
        </w:rPr>
        <w:t xml:space="preserve">Por otra parte, </w:t>
      </w:r>
      <w:r w:rsidRPr="004D04EC">
        <w:rPr>
          <w:rFonts w:ascii="Palatino Linotype" w:eastAsia="Calibri" w:hAnsi="Palatino Linotype" w:cs="Calibri"/>
          <w:sz w:val="24"/>
          <w:szCs w:val="24"/>
          <w:highlight w:val="yellow"/>
          <w:lang w:eastAsia="es-MX"/>
        </w:rPr>
        <w:t xml:space="preserve">las </w:t>
      </w:r>
      <w:r w:rsidRPr="004D04EC">
        <w:rPr>
          <w:rFonts w:ascii="Palatino Linotype" w:eastAsia="Calibri" w:hAnsi="Palatino Linotype" w:cs="Calibri"/>
          <w:b/>
          <w:sz w:val="24"/>
          <w:szCs w:val="24"/>
          <w:highlight w:val="yellow"/>
          <w:lang w:eastAsia="es-MX"/>
        </w:rPr>
        <w:t xml:space="preserve">Cadenas Originales </w:t>
      </w:r>
      <w:r w:rsidRPr="004D04EC">
        <w:rPr>
          <w:rFonts w:ascii="Palatino Linotype" w:eastAsia="Calibri" w:hAnsi="Palatino Linotype" w:cs="Calibri"/>
          <w:sz w:val="24"/>
          <w:szCs w:val="24"/>
          <w:highlight w:val="yellow"/>
          <w:lang w:eastAsia="es-MX"/>
        </w:rPr>
        <w:t xml:space="preserve">y </w:t>
      </w:r>
      <w:r w:rsidRPr="004D04EC">
        <w:rPr>
          <w:rFonts w:ascii="Palatino Linotype" w:eastAsia="Calibri" w:hAnsi="Palatino Linotype" w:cs="Calibri"/>
          <w:b/>
          <w:sz w:val="24"/>
          <w:szCs w:val="24"/>
          <w:highlight w:val="yellow"/>
          <w:lang w:eastAsia="es-MX"/>
        </w:rPr>
        <w:t>Sellos</w:t>
      </w:r>
      <w:r w:rsidRPr="004D04EC">
        <w:rPr>
          <w:rFonts w:ascii="Palatino Linotype" w:eastAsia="Calibri" w:hAnsi="Palatino Linotype" w:cs="Calibri"/>
          <w:sz w:val="24"/>
          <w:szCs w:val="24"/>
          <w:highlight w:val="yellow"/>
          <w:lang w:eastAsia="es-MX"/>
        </w:rPr>
        <w:t xml:space="preserve"> </w:t>
      </w:r>
      <w:r w:rsidRPr="004D04EC">
        <w:rPr>
          <w:rFonts w:ascii="Palatino Linotype" w:eastAsia="Calibri" w:hAnsi="Palatino Linotype" w:cs="Calibri"/>
          <w:b/>
          <w:sz w:val="24"/>
          <w:szCs w:val="24"/>
          <w:highlight w:val="yellow"/>
          <w:lang w:eastAsia="es-MX"/>
        </w:rPr>
        <w:t>Digitales</w:t>
      </w:r>
      <w:r w:rsidRPr="004D04EC">
        <w:rPr>
          <w:rFonts w:ascii="Palatino Linotype" w:eastAsia="Calibri" w:hAnsi="Palatino Linotype" w:cs="Calibri"/>
          <w:sz w:val="24"/>
          <w:szCs w:val="24"/>
          <w:highlight w:val="yellow"/>
          <w:lang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4D04EC">
        <w:rPr>
          <w:rFonts w:ascii="Palatino Linotype" w:eastAsia="Calibri" w:hAnsi="Palatino Linotype" w:cs="Calibri"/>
          <w:b/>
          <w:sz w:val="24"/>
          <w:szCs w:val="24"/>
          <w:highlight w:val="yellow"/>
          <w:lang w:eastAsia="es-MX"/>
        </w:rPr>
        <w:t xml:space="preserve">vinculación </w:t>
      </w:r>
      <w:r w:rsidRPr="004D04EC">
        <w:rPr>
          <w:rFonts w:ascii="Palatino Linotype" w:eastAsia="Calibri" w:hAnsi="Palatino Linotype" w:cs="Calibri"/>
          <w:sz w:val="24"/>
          <w:szCs w:val="24"/>
          <w:highlight w:val="yellow"/>
          <w:lang w:eastAsia="es-MX"/>
        </w:rPr>
        <w:t xml:space="preserve">entre la </w:t>
      </w:r>
      <w:r w:rsidRPr="004D04EC">
        <w:rPr>
          <w:rFonts w:ascii="Palatino Linotype" w:eastAsia="Calibri" w:hAnsi="Palatino Linotype" w:cs="Calibri"/>
          <w:b/>
          <w:sz w:val="24"/>
          <w:szCs w:val="24"/>
          <w:highlight w:val="yellow"/>
          <w:lang w:eastAsia="es-MX"/>
        </w:rPr>
        <w:t>identidad de un sujeto o entidad</w:t>
      </w:r>
      <w:r w:rsidRPr="004D04EC">
        <w:rPr>
          <w:rFonts w:ascii="Palatino Linotype" w:eastAsia="Calibri" w:hAnsi="Palatino Linotype" w:cs="Calibri"/>
          <w:sz w:val="24"/>
          <w:szCs w:val="24"/>
          <w:highlight w:val="yellow"/>
          <w:lang w:eastAsia="es-MX"/>
        </w:rPr>
        <w:t xml:space="preserve"> con su clave pública, lo que hace identificable a una persona o entidad, además de que dichos certificados tienen como finalidad o propósito específico firmar digitalmente las facturas electrónicas </w:t>
      </w:r>
      <w:r w:rsidRPr="004D04EC">
        <w:rPr>
          <w:rFonts w:ascii="Palatino Linotype" w:eastAsia="Calibri" w:hAnsi="Palatino Linotype" w:cs="Calibri"/>
          <w:b/>
          <w:sz w:val="24"/>
          <w:szCs w:val="24"/>
          <w:highlight w:val="yellow"/>
          <w:lang w:eastAsia="es-MX"/>
        </w:rPr>
        <w:t>para acreditar la autoría de los comprobantes fiscales digitales</w:t>
      </w:r>
      <w:r w:rsidRPr="004D04EC">
        <w:rPr>
          <w:rFonts w:ascii="Palatino Linotype" w:eastAsia="Calibri" w:hAnsi="Palatino Linotype" w:cs="Calibri"/>
          <w:sz w:val="24"/>
          <w:szCs w:val="24"/>
          <w:highlight w:val="yellow"/>
          <w:lang w:eastAsia="es-MX"/>
        </w:rPr>
        <w:t>. En ese tenor se transcriben los artículos señalados con antelación para mejor ilustración:</w:t>
      </w:r>
    </w:p>
    <w:p w14:paraId="09078C11" w14:textId="77777777" w:rsidR="000C3D2D" w:rsidRPr="004D04EC" w:rsidRDefault="000C3D2D" w:rsidP="000C3D2D">
      <w:pPr>
        <w:spacing w:after="0" w:line="360" w:lineRule="auto"/>
        <w:rPr>
          <w:rFonts w:ascii="Palatino Linotype" w:eastAsia="Calibri" w:hAnsi="Palatino Linotype" w:cs="Calibri"/>
          <w:sz w:val="24"/>
          <w:szCs w:val="24"/>
          <w:highlight w:val="yellow"/>
          <w:lang w:eastAsia="es-MX"/>
        </w:rPr>
      </w:pPr>
    </w:p>
    <w:p w14:paraId="01951FED"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b/>
          <w:i/>
          <w:noProof/>
          <w:highlight w:val="yellow"/>
          <w:lang w:eastAsia="es-MX"/>
        </w:rPr>
        <w:t xml:space="preserve">Artículo 17-G.- </w:t>
      </w:r>
      <w:r w:rsidRPr="004D04EC">
        <w:rPr>
          <w:rFonts w:ascii="Palatino Linotype" w:eastAsia="Calibri" w:hAnsi="Palatino Linotype" w:cs="Calibri"/>
          <w:i/>
          <w:noProof/>
          <w:highlight w:val="yellow"/>
          <w:lang w:eastAsia="es-MX"/>
        </w:rPr>
        <w:t xml:space="preserve">Los certificados que emita el Servicio de Administración Tributaria para ser considerados válidos deberán contener los datos siguientes: </w:t>
      </w:r>
    </w:p>
    <w:p w14:paraId="50F67FF8"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1B9821C4"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 La mención de que se expiden como tales. Tratándose de certificados de sellos digitales, se deberán especificar las limitantes que tengan para su uso.</w:t>
      </w:r>
    </w:p>
    <w:p w14:paraId="365424E2" w14:textId="77777777" w:rsidR="000C3D2D" w:rsidRPr="004D04EC" w:rsidRDefault="000C3D2D" w:rsidP="000C3D2D">
      <w:pPr>
        <w:spacing w:after="0" w:line="240" w:lineRule="auto"/>
        <w:ind w:left="1422" w:right="616"/>
        <w:jc w:val="both"/>
        <w:rPr>
          <w:rFonts w:ascii="Palatino Linotype" w:eastAsia="Calibri" w:hAnsi="Palatino Linotype" w:cs="Calibri"/>
          <w:i/>
          <w:noProof/>
          <w:highlight w:val="yellow"/>
          <w:lang w:eastAsia="es-MX"/>
        </w:rPr>
      </w:pPr>
    </w:p>
    <w:p w14:paraId="5517D348"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b/>
          <w:i/>
          <w:noProof/>
          <w:highlight w:val="yellow"/>
          <w:lang w:eastAsia="es-MX"/>
        </w:rPr>
        <w:t>Artículo 29.</w:t>
      </w:r>
      <w:r w:rsidRPr="004D04EC">
        <w:rPr>
          <w:rFonts w:ascii="Palatino Linotype" w:eastAsia="Calibri" w:hAnsi="Palatino Linotype" w:cs="Calibri"/>
          <w:i/>
          <w:noProof/>
          <w:highlight w:val="yellow"/>
          <w:lang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E11618D"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4BD82362"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Los contribuyentes a que se refiere el párrafo anterior deberán cumplir con las obligaciones siguientes:</w:t>
      </w:r>
    </w:p>
    <w:p w14:paraId="3DD2332E"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4402379D"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w:t>
      </w:r>
    </w:p>
    <w:p w14:paraId="241C5BF3"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r w:rsidRPr="004D04EC">
        <w:rPr>
          <w:rFonts w:ascii="Palatino Linotype" w:eastAsia="Calibri" w:hAnsi="Palatino Linotype" w:cs="Calibri"/>
          <w:i/>
          <w:noProof/>
          <w:highlight w:val="yellow"/>
          <w:lang w:eastAsia="es-MX"/>
        </w:rPr>
        <w:t>II. Tramitar ante el Servicio de Administración Tributaria el certificado para el uso de los sellos digitales.</w:t>
      </w:r>
    </w:p>
    <w:p w14:paraId="6F0051EA" w14:textId="77777777" w:rsidR="000C3D2D" w:rsidRPr="004D04EC" w:rsidRDefault="000C3D2D" w:rsidP="000C3D2D">
      <w:pPr>
        <w:spacing w:after="0" w:line="240" w:lineRule="auto"/>
        <w:ind w:left="567" w:right="616"/>
        <w:jc w:val="both"/>
        <w:rPr>
          <w:rFonts w:ascii="Palatino Linotype" w:eastAsia="Calibri" w:hAnsi="Palatino Linotype" w:cs="Calibri"/>
          <w:i/>
          <w:noProof/>
          <w:highlight w:val="yellow"/>
          <w:lang w:eastAsia="es-MX"/>
        </w:rPr>
      </w:pPr>
    </w:p>
    <w:p w14:paraId="7A5379A3" w14:textId="77777777" w:rsidR="000C3D2D" w:rsidRPr="004D04EC" w:rsidRDefault="000C3D2D" w:rsidP="000C3D2D">
      <w:pPr>
        <w:spacing w:after="0" w:line="240" w:lineRule="auto"/>
        <w:ind w:left="567" w:right="616"/>
        <w:jc w:val="both"/>
        <w:rPr>
          <w:rFonts w:ascii="Palatino Linotype" w:eastAsia="Calibri" w:hAnsi="Palatino Linotype" w:cs="Calibri"/>
          <w:noProof/>
          <w:highlight w:val="yellow"/>
          <w:lang w:eastAsia="es-MX"/>
        </w:rPr>
      </w:pPr>
      <w:r w:rsidRPr="004D04EC">
        <w:rPr>
          <w:rFonts w:ascii="Palatino Linotype" w:eastAsia="Calibri" w:hAnsi="Palatino Linotype" w:cs="Calibri"/>
          <w:i/>
          <w:noProof/>
          <w:highlight w:val="yellow"/>
          <w:lang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F6E5753"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p>
    <w:p w14:paraId="771907C1" w14:textId="77777777" w:rsidR="000C3D2D" w:rsidRPr="004D04EC" w:rsidRDefault="000C3D2D" w:rsidP="000C3D2D">
      <w:pPr>
        <w:spacing w:after="0" w:line="360" w:lineRule="auto"/>
        <w:jc w:val="both"/>
        <w:rPr>
          <w:rFonts w:ascii="Palatino Linotype" w:eastAsia="Calibri" w:hAnsi="Palatino Linotype" w:cs="Calibri"/>
          <w:sz w:val="24"/>
          <w:szCs w:val="24"/>
          <w:highlight w:val="yellow"/>
          <w:lang w:eastAsia="es-MX"/>
        </w:rPr>
      </w:pPr>
      <w:r w:rsidRPr="004D04EC">
        <w:rPr>
          <w:rFonts w:ascii="Palatino Linotype" w:eastAsia="Calibri" w:hAnsi="Palatino Linotype" w:cs="Calibri"/>
          <w:sz w:val="24"/>
          <w:szCs w:val="24"/>
          <w:highlight w:val="yellow"/>
          <w:lang w:eastAsia="es-MX"/>
        </w:rPr>
        <w:t xml:space="preserve">Por lo que hace a los </w:t>
      </w:r>
      <w:r w:rsidRPr="004D04EC">
        <w:rPr>
          <w:rFonts w:ascii="Palatino Linotype" w:eastAsia="Calibri" w:hAnsi="Palatino Linotype" w:cs="Calibri"/>
          <w:b/>
          <w:sz w:val="24"/>
          <w:szCs w:val="24"/>
          <w:highlight w:val="yellow"/>
          <w:lang w:eastAsia="es-MX"/>
        </w:rPr>
        <w:t>Códigos Bidimensionales</w:t>
      </w:r>
      <w:r w:rsidRPr="004D04EC">
        <w:rPr>
          <w:rFonts w:ascii="Palatino Linotype" w:eastAsia="Calibri" w:hAnsi="Palatino Linotype" w:cs="Calibri"/>
          <w:sz w:val="24"/>
          <w:szCs w:val="24"/>
          <w:highlight w:val="yellow"/>
          <w:lang w:eastAsia="es-MX"/>
        </w:rPr>
        <w:t xml:space="preserve"> y los denominados </w:t>
      </w:r>
      <w:r w:rsidRPr="004D04EC">
        <w:rPr>
          <w:rFonts w:ascii="Palatino Linotype" w:eastAsia="Calibri" w:hAnsi="Palatino Linotype" w:cs="Calibri"/>
          <w:b/>
          <w:sz w:val="24"/>
          <w:szCs w:val="24"/>
          <w:highlight w:val="yellow"/>
          <w:lang w:eastAsia="es-MX"/>
        </w:rPr>
        <w:t>Códigos QR</w:t>
      </w:r>
      <w:r w:rsidRPr="004D04EC">
        <w:rPr>
          <w:rFonts w:ascii="Palatino Linotype" w:eastAsia="Calibri" w:hAnsi="Palatino Linotype" w:cs="Calibri"/>
          <w:sz w:val="24"/>
          <w:szCs w:val="24"/>
          <w:highlight w:val="yellow"/>
          <w:lang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4D04EC">
        <w:rPr>
          <w:rFonts w:ascii="Palatino Linotype" w:eastAsia="Calibri" w:hAnsi="Palatino Linotype" w:cs="Calibri"/>
          <w:b/>
          <w:sz w:val="24"/>
          <w:szCs w:val="24"/>
          <w:highlight w:val="yellow"/>
          <w:lang w:eastAsia="es-MX"/>
        </w:rPr>
        <w:t>Registro Federal de Contribuyentes</w:t>
      </w:r>
      <w:r w:rsidRPr="004D04EC">
        <w:rPr>
          <w:rFonts w:ascii="Palatino Linotype" w:eastAsia="Calibri" w:hAnsi="Palatino Linotype" w:cs="Calibri"/>
          <w:sz w:val="24"/>
          <w:szCs w:val="24"/>
          <w:highlight w:val="yellow"/>
          <w:lang w:eastAsia="es-MX"/>
        </w:rPr>
        <w:t xml:space="preserve"> (RFC) y la </w:t>
      </w:r>
      <w:r w:rsidRPr="004D04EC">
        <w:rPr>
          <w:rFonts w:ascii="Palatino Linotype" w:eastAsia="Calibri" w:hAnsi="Palatino Linotype" w:cs="Calibri"/>
          <w:b/>
          <w:sz w:val="24"/>
          <w:szCs w:val="24"/>
          <w:highlight w:val="yellow"/>
          <w:lang w:eastAsia="es-MX"/>
        </w:rPr>
        <w:t>Clave Única de Registro de Población</w:t>
      </w:r>
      <w:r w:rsidRPr="004D04EC">
        <w:rPr>
          <w:rFonts w:ascii="Palatino Linotype" w:eastAsia="Calibri" w:hAnsi="Palatino Linotype" w:cs="Calibri"/>
          <w:sz w:val="24"/>
          <w:szCs w:val="24"/>
          <w:highlight w:val="yellow"/>
          <w:lang w:eastAsia="es-MX"/>
        </w:rPr>
        <w:t xml:space="preserve"> (CURP), por lo cual, deberán ser protegidos.</w:t>
      </w:r>
    </w:p>
    <w:p w14:paraId="164B7A04" w14:textId="77777777" w:rsidR="000C3D2D" w:rsidRPr="004D04EC" w:rsidRDefault="000C3D2D" w:rsidP="000C3D2D">
      <w:pPr>
        <w:spacing w:line="360" w:lineRule="auto"/>
        <w:jc w:val="both"/>
        <w:rPr>
          <w:rFonts w:ascii="Palatino Linotype" w:hAnsi="Palatino Linotype" w:cs="Arial"/>
          <w:sz w:val="24"/>
          <w:szCs w:val="24"/>
          <w:highlight w:val="yellow"/>
        </w:rPr>
      </w:pPr>
    </w:p>
    <w:p w14:paraId="6894AB84"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w:t>
      </w:r>
      <w:r w:rsidRPr="004D04EC">
        <w:rPr>
          <w:rFonts w:ascii="Palatino Linotype" w:hAnsi="Palatino Linotype" w:cs="Arial"/>
          <w:sz w:val="24"/>
          <w:szCs w:val="24"/>
          <w:highlight w:val="yellow"/>
        </w:rPr>
        <w:lastRenderedPageBreak/>
        <w:t>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A84CC68"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3A2895F"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D7CE850"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BE926FE"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4D04EC">
        <w:rPr>
          <w:rFonts w:ascii="Palatino Linotype" w:hAnsi="Palatino Linotype" w:cs="Arial"/>
          <w:sz w:val="24"/>
          <w:szCs w:val="24"/>
          <w:highlight w:val="yellow"/>
        </w:rPr>
        <w:lastRenderedPageBreak/>
        <w:t>Desclasificación de la Información, así como para la elaboración de Versiones Públicas, que literalmente expresan:</w:t>
      </w:r>
    </w:p>
    <w:p w14:paraId="4A89C79F" w14:textId="77777777" w:rsidR="000C3D2D" w:rsidRPr="004D04EC" w:rsidRDefault="000C3D2D" w:rsidP="000C3D2D">
      <w:pPr>
        <w:spacing w:line="360" w:lineRule="auto"/>
        <w:jc w:val="both"/>
        <w:rPr>
          <w:rFonts w:ascii="Palatino Linotype" w:hAnsi="Palatino Linotype" w:cs="Arial"/>
          <w:sz w:val="24"/>
          <w:szCs w:val="24"/>
          <w:highlight w:val="yellow"/>
        </w:rPr>
      </w:pPr>
    </w:p>
    <w:p w14:paraId="22BC077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r w:rsidRPr="004D04EC">
        <w:rPr>
          <w:rFonts w:ascii="Palatino Linotype" w:hAnsi="Palatino Linotype" w:cs="Arial"/>
          <w:b/>
          <w:i/>
          <w:szCs w:val="24"/>
          <w:highlight w:val="yellow"/>
        </w:rPr>
        <w:t>Artículo 49.</w:t>
      </w:r>
      <w:r w:rsidRPr="004D04EC">
        <w:rPr>
          <w:rFonts w:ascii="Palatino Linotype" w:hAnsi="Palatino Linotype" w:cs="Arial"/>
          <w:i/>
          <w:szCs w:val="24"/>
          <w:highlight w:val="yellow"/>
        </w:rPr>
        <w:t xml:space="preserve"> Los Comités de Transparencia tendrán las siguientes atribuciones:</w:t>
      </w:r>
    </w:p>
    <w:p w14:paraId="22762403"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p>
    <w:p w14:paraId="29505624"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VIII</w:t>
      </w:r>
      <w:r w:rsidRPr="004D04EC">
        <w:rPr>
          <w:rFonts w:ascii="Palatino Linotype" w:hAnsi="Palatino Linotype" w:cs="Arial"/>
          <w:i/>
          <w:szCs w:val="24"/>
          <w:highlight w:val="yellow"/>
        </w:rPr>
        <w:t>. Aprobar, modificar o revocar la clasificación de la información;</w:t>
      </w:r>
    </w:p>
    <w:p w14:paraId="0A056EC2"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Artículo 132.</w:t>
      </w:r>
      <w:r w:rsidRPr="004D04EC">
        <w:rPr>
          <w:rFonts w:ascii="Palatino Linotype" w:hAnsi="Palatino Linotype" w:cs="Arial"/>
          <w:i/>
          <w:szCs w:val="24"/>
          <w:highlight w:val="yellow"/>
        </w:rPr>
        <w:t xml:space="preserve"> La clasificación de la información se llevará a cabo en el momento en que:</w:t>
      </w:r>
    </w:p>
    <w:p w14:paraId="0D76CD7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I. Se reciba una solicitud de acceso a la información;</w:t>
      </w:r>
    </w:p>
    <w:p w14:paraId="21B5F30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II. Se determine mediante resolución de autoridad competente; o</w:t>
      </w:r>
    </w:p>
    <w:p w14:paraId="5C3A0DDE"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III. Se generen versiones públicas para dar cumplimiento a las obligaciones de transparencia previstas en esta Ley.”</w:t>
      </w:r>
    </w:p>
    <w:p w14:paraId="3A32D6D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r w:rsidRPr="004D04EC">
        <w:rPr>
          <w:rFonts w:ascii="Palatino Linotype" w:hAnsi="Palatino Linotype" w:cs="Arial"/>
          <w:b/>
          <w:i/>
          <w:szCs w:val="24"/>
          <w:highlight w:val="yellow"/>
        </w:rPr>
        <w:t>Segundo</w:t>
      </w:r>
      <w:r w:rsidRPr="004D04EC">
        <w:rPr>
          <w:rFonts w:ascii="Palatino Linotype" w:hAnsi="Palatino Linotype" w:cs="Arial"/>
          <w:i/>
          <w:szCs w:val="24"/>
          <w:highlight w:val="yellow"/>
        </w:rPr>
        <w:t>.- Para efectos de los presentes Lineamientos Generales, se entenderá por:</w:t>
      </w:r>
    </w:p>
    <w:p w14:paraId="4B67C93F"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w:t>
      </w:r>
    </w:p>
    <w:p w14:paraId="67A04E0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XVIII</w:t>
      </w:r>
      <w:r w:rsidRPr="004D04EC">
        <w:rPr>
          <w:rFonts w:ascii="Palatino Linotype" w:hAnsi="Palatino Linotype" w:cs="Arial"/>
          <w:i/>
          <w:szCs w:val="24"/>
          <w:highlight w:val="yellow"/>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BDD4738"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Cuarto</w:t>
      </w:r>
      <w:r w:rsidRPr="004D04EC">
        <w:rPr>
          <w:rFonts w:ascii="Palatino Linotype" w:hAnsi="Palatino Linotype" w:cs="Arial"/>
          <w:i/>
          <w:szCs w:val="24"/>
          <w:highlight w:val="yellow"/>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301F46E"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Los Sujetos Obligados deberán aplicar, de manera estricta, las excepciones al derecho de acceso a la información y sólo podrán invocarlas cuando acrediten su procedencia.</w:t>
      </w:r>
    </w:p>
    <w:p w14:paraId="3D0AE592"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6615E20F"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Quinto</w:t>
      </w:r>
      <w:r w:rsidRPr="004D04EC">
        <w:rPr>
          <w:rFonts w:ascii="Palatino Linotype" w:hAnsi="Palatino Linotype" w:cs="Arial"/>
          <w:i/>
          <w:szCs w:val="24"/>
          <w:highlight w:val="yellow"/>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08E595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2006ADDC"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Sexto</w:t>
      </w:r>
      <w:r w:rsidRPr="004D04EC">
        <w:rPr>
          <w:rFonts w:ascii="Palatino Linotype" w:hAnsi="Palatino Linotype" w:cs="Arial"/>
          <w:i/>
          <w:szCs w:val="24"/>
          <w:highlight w:val="yellow"/>
        </w:rPr>
        <w:t>. Los Sujetos Obligados no podrán emitir acuerdos de carácter general ni particular que clasifiquen documentos o expedientes como reservados, ni clasificar documentos antes de que se genere la información o cuando éstos no obren en sus archivos.</w:t>
      </w:r>
    </w:p>
    <w:p w14:paraId="3B489495"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La clasificación de información se realizará conforme a un análisis caso por caso, mediante la aplicación de la prueba de daño y de interés público.</w:t>
      </w:r>
    </w:p>
    <w:p w14:paraId="6A78F2CA"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3D072758"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Séptimo</w:t>
      </w:r>
      <w:r w:rsidRPr="004D04EC">
        <w:rPr>
          <w:rFonts w:ascii="Palatino Linotype" w:hAnsi="Palatino Linotype" w:cs="Arial"/>
          <w:i/>
          <w:szCs w:val="24"/>
          <w:highlight w:val="yellow"/>
        </w:rPr>
        <w:t>. La clasificación de la información se llevará a cabo en el momento en que:</w:t>
      </w:r>
    </w:p>
    <w:p w14:paraId="567D2D64"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I.</w:t>
      </w:r>
      <w:r w:rsidRPr="004D04EC">
        <w:rPr>
          <w:rFonts w:ascii="Palatino Linotype" w:hAnsi="Palatino Linotype" w:cs="Arial"/>
          <w:i/>
          <w:szCs w:val="24"/>
          <w:highlight w:val="yellow"/>
        </w:rPr>
        <w:t xml:space="preserve"> Se reciba una solicitud de acceso a la información;</w:t>
      </w:r>
    </w:p>
    <w:p w14:paraId="1B4327A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II</w:t>
      </w:r>
      <w:r w:rsidRPr="004D04EC">
        <w:rPr>
          <w:rFonts w:ascii="Palatino Linotype" w:hAnsi="Palatino Linotype" w:cs="Arial"/>
          <w:i/>
          <w:szCs w:val="24"/>
          <w:highlight w:val="yellow"/>
        </w:rPr>
        <w:t>. Se determine mediante resolución de autoridad competente, o</w:t>
      </w:r>
    </w:p>
    <w:p w14:paraId="7A55E33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III</w:t>
      </w:r>
      <w:r w:rsidRPr="004D04EC">
        <w:rPr>
          <w:rFonts w:ascii="Palatino Linotype" w:hAnsi="Palatino Linotype" w:cs="Arial"/>
          <w:i/>
          <w:szCs w:val="24"/>
          <w:highlight w:val="yellow"/>
        </w:rPr>
        <w:t>. Se generen versiones públicas para dar cumplimiento a las obligaciones de transparencia previstas en la Ley General, la Ley Federal y las correspondientes de las entidades federativas.</w:t>
      </w:r>
    </w:p>
    <w:p w14:paraId="4BFAF792"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Los titulares de las áreas deberán revisar la clasificación al momento de la recepción de una solicitud de acceso a la información, para verificar si encuadra en una causal de reserva o de confidencialidad.</w:t>
      </w:r>
    </w:p>
    <w:p w14:paraId="75F86B3C"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Octavo</w:t>
      </w:r>
      <w:r w:rsidRPr="004D04EC">
        <w:rPr>
          <w:rFonts w:ascii="Palatino Linotype" w:hAnsi="Palatino Linotype" w:cs="Arial"/>
          <w:i/>
          <w:szCs w:val="24"/>
          <w:highlight w:val="yellow"/>
        </w:rPr>
        <w:t>. Para fundar la clasificación de la información se debe señalar el artículo, fracción, inciso, párrafo o numeral de la ley o tratado internacional suscrito por el Estado mexicano que expresamente le otorga el carácter de reservada o confidencial.</w:t>
      </w:r>
    </w:p>
    <w:p w14:paraId="5636DCC6"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lastRenderedPageBreak/>
        <w:t>Para motivar la clasificación se deberán señalar las razones o circunstancias especiales que lo llevaron a concluir que el caso particular se ajusta al supuesto previsto por la norma legal invocada como fundamento.</w:t>
      </w:r>
    </w:p>
    <w:p w14:paraId="11C07B1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En caso de referirse a información reservada, la motivación de la clasificación también deberá comprender las circunstancias que justifican el establecimiento de determinado plazo de reserva.</w:t>
      </w:r>
    </w:p>
    <w:p w14:paraId="203DD434"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029BFD"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Los documentos contenidos en los archivos históricos y los identificados como históricos confidenciales no serán susceptibles de clasificación como reservados.</w:t>
      </w:r>
    </w:p>
    <w:p w14:paraId="22273598"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553FC54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Noveno</w:t>
      </w:r>
      <w:r w:rsidRPr="004D04EC">
        <w:rPr>
          <w:rFonts w:ascii="Palatino Linotype" w:hAnsi="Palatino Linotype" w:cs="Arial"/>
          <w:i/>
          <w:szCs w:val="24"/>
          <w:highlight w:val="yellow"/>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A805CC9"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797447A2"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Décimo</w:t>
      </w:r>
      <w:r w:rsidRPr="004D04EC">
        <w:rPr>
          <w:rFonts w:ascii="Palatino Linotype" w:hAnsi="Palatino Linotype" w:cs="Arial"/>
          <w:i/>
          <w:szCs w:val="24"/>
          <w:highlight w:val="yellow"/>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CED1007"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2D8CD840"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i/>
          <w:szCs w:val="24"/>
          <w:highlight w:val="yellow"/>
        </w:rPr>
        <w:t>En ausencia de los titulares de las áreas, la información será clasificada o desclasificada por la persona que lo supla, en términos de la normativa que rija la actuación del sujeto obligado.</w:t>
      </w:r>
    </w:p>
    <w:p w14:paraId="0F50E4E5"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p>
    <w:p w14:paraId="2D69F045"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lastRenderedPageBreak/>
        <w:t>Décimo primero.</w:t>
      </w:r>
      <w:r w:rsidRPr="004D04EC">
        <w:rPr>
          <w:rFonts w:ascii="Palatino Linotype" w:hAnsi="Palatino Linotype" w:cs="Arial"/>
          <w:i/>
          <w:szCs w:val="24"/>
          <w:highlight w:val="yellow"/>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433610E" w14:textId="77777777" w:rsidR="000C3D2D" w:rsidRPr="004D04EC" w:rsidRDefault="000C3D2D" w:rsidP="000C3D2D">
      <w:pPr>
        <w:spacing w:line="360" w:lineRule="auto"/>
        <w:jc w:val="both"/>
        <w:rPr>
          <w:rFonts w:ascii="Palatino Linotype" w:hAnsi="Palatino Linotype" w:cs="Arial"/>
          <w:sz w:val="24"/>
          <w:szCs w:val="24"/>
          <w:highlight w:val="yellow"/>
        </w:rPr>
      </w:pPr>
    </w:p>
    <w:p w14:paraId="521F35B2"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25BBED1" w14:textId="77777777" w:rsidR="000C3D2D" w:rsidRPr="004D04EC" w:rsidRDefault="000C3D2D" w:rsidP="000C3D2D">
      <w:pPr>
        <w:spacing w:line="360" w:lineRule="auto"/>
        <w:jc w:val="both"/>
        <w:rPr>
          <w:rFonts w:ascii="Palatino Linotype" w:hAnsi="Palatino Linotype" w:cs="Arial"/>
          <w:sz w:val="24"/>
          <w:szCs w:val="24"/>
          <w:highlight w:val="yellow"/>
        </w:rPr>
      </w:pPr>
    </w:p>
    <w:p w14:paraId="64B40089"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Por tanto, la fundamentación y motivación consiste en la obligación que tiene todo ente público de expresar los preceptos jurídicos aplicables al asunto motivo del acto y las razones o argumentos de su actuar.</w:t>
      </w:r>
    </w:p>
    <w:p w14:paraId="688572D7" w14:textId="77777777" w:rsidR="000C3D2D" w:rsidRPr="004D04EC" w:rsidRDefault="000C3D2D" w:rsidP="000C3D2D">
      <w:pPr>
        <w:spacing w:line="360" w:lineRule="auto"/>
        <w:jc w:val="both"/>
        <w:rPr>
          <w:rFonts w:ascii="Palatino Linotype" w:hAnsi="Palatino Linotype" w:cs="Arial"/>
          <w:sz w:val="24"/>
          <w:szCs w:val="24"/>
          <w:highlight w:val="yellow"/>
        </w:rPr>
      </w:pPr>
    </w:p>
    <w:p w14:paraId="62939199"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lastRenderedPageBreak/>
        <w:t>Al respecto, el máximo tribunal del país ha establecido jurisprudencia respecto a qué debe entenderse por fundamentación y motivación, en los siguientes términos:</w:t>
      </w:r>
    </w:p>
    <w:p w14:paraId="52457F36" w14:textId="77777777" w:rsidR="000C3D2D" w:rsidRPr="004D04EC" w:rsidRDefault="000C3D2D" w:rsidP="000C3D2D">
      <w:pPr>
        <w:spacing w:line="360" w:lineRule="auto"/>
        <w:jc w:val="both"/>
        <w:rPr>
          <w:rFonts w:ascii="Palatino Linotype" w:hAnsi="Palatino Linotype" w:cs="Arial"/>
          <w:sz w:val="24"/>
          <w:szCs w:val="24"/>
          <w:highlight w:val="yellow"/>
        </w:rPr>
      </w:pPr>
    </w:p>
    <w:p w14:paraId="4F2E1248" w14:textId="77777777" w:rsidR="000C3D2D" w:rsidRPr="004D04EC" w:rsidRDefault="000C3D2D" w:rsidP="000C3D2D">
      <w:pPr>
        <w:spacing w:line="276" w:lineRule="auto"/>
        <w:ind w:left="567" w:right="567"/>
        <w:jc w:val="both"/>
        <w:rPr>
          <w:rFonts w:ascii="Palatino Linotype" w:hAnsi="Palatino Linotype" w:cs="Arial"/>
          <w:i/>
          <w:szCs w:val="24"/>
          <w:highlight w:val="yellow"/>
        </w:rPr>
      </w:pPr>
      <w:r w:rsidRPr="004D04EC">
        <w:rPr>
          <w:rFonts w:ascii="Palatino Linotype" w:hAnsi="Palatino Linotype" w:cs="Arial"/>
          <w:b/>
          <w:i/>
          <w:szCs w:val="24"/>
          <w:highlight w:val="yellow"/>
        </w:rPr>
        <w:t>FUNDAMENTACIÓN Y MOTIVACIÓN</w:t>
      </w:r>
      <w:r w:rsidRPr="004D04EC">
        <w:rPr>
          <w:rFonts w:ascii="Palatino Linotype" w:hAnsi="Palatino Linotype" w:cs="Arial"/>
          <w:i/>
          <w:szCs w:val="24"/>
          <w:highlight w:val="yellow"/>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58041ED" w14:textId="77777777" w:rsidR="000C3D2D" w:rsidRPr="004D04EC" w:rsidRDefault="000C3D2D" w:rsidP="000C3D2D">
      <w:pPr>
        <w:spacing w:line="360" w:lineRule="auto"/>
        <w:jc w:val="both"/>
        <w:rPr>
          <w:rFonts w:ascii="Palatino Linotype" w:hAnsi="Palatino Linotype" w:cs="Arial"/>
          <w:sz w:val="24"/>
          <w:szCs w:val="24"/>
          <w:highlight w:val="yellow"/>
        </w:rPr>
      </w:pPr>
    </w:p>
    <w:p w14:paraId="146DFEE9"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AD8F401" w14:textId="77777777" w:rsidR="000C3D2D" w:rsidRPr="004D04EC" w:rsidRDefault="000C3D2D" w:rsidP="000C3D2D">
      <w:pPr>
        <w:spacing w:line="360" w:lineRule="auto"/>
        <w:jc w:val="both"/>
        <w:rPr>
          <w:rFonts w:ascii="Palatino Linotype" w:hAnsi="Palatino Linotype" w:cs="Arial"/>
          <w:sz w:val="24"/>
          <w:szCs w:val="24"/>
          <w:highlight w:val="yellow"/>
        </w:rPr>
      </w:pPr>
    </w:p>
    <w:p w14:paraId="5015AF84"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AFB3D08" w14:textId="77777777" w:rsidR="000C3D2D" w:rsidRPr="004D04EC" w:rsidRDefault="000C3D2D" w:rsidP="000C3D2D">
      <w:pPr>
        <w:spacing w:line="276" w:lineRule="auto"/>
        <w:jc w:val="both"/>
        <w:rPr>
          <w:rFonts w:ascii="Palatino Linotype" w:hAnsi="Palatino Linotype" w:cs="Arial"/>
          <w:szCs w:val="24"/>
          <w:highlight w:val="yellow"/>
        </w:rPr>
      </w:pPr>
    </w:p>
    <w:p w14:paraId="43615331" w14:textId="77777777" w:rsidR="000C3D2D" w:rsidRPr="004D04EC" w:rsidRDefault="000C3D2D" w:rsidP="000C3D2D">
      <w:pPr>
        <w:spacing w:line="276" w:lineRule="auto"/>
        <w:ind w:left="567" w:right="567"/>
        <w:jc w:val="both"/>
        <w:rPr>
          <w:rFonts w:ascii="Palatino Linotype" w:hAnsi="Palatino Linotype" w:cs="Arial"/>
          <w:i/>
          <w:sz w:val="24"/>
          <w:szCs w:val="24"/>
          <w:highlight w:val="yellow"/>
        </w:rPr>
      </w:pPr>
      <w:r w:rsidRPr="004D04EC">
        <w:rPr>
          <w:rFonts w:ascii="Palatino Linotype" w:hAnsi="Palatino Linotype" w:cs="Arial"/>
          <w:b/>
          <w:i/>
          <w:sz w:val="24"/>
          <w:szCs w:val="24"/>
          <w:highlight w:val="yellow"/>
        </w:rPr>
        <w:t>FUNDAMENTACIÓN Y MOTIVACIÓN. EL ASPECTO FORMAL DE LA GARANTÍA Y SU FINALIDAD SE TRADUCEN EN EXPLICAR, JUSTIFICAR, POSIBILITAR LA DEFENSA Y COMUNICAR LA DECISIÓN.</w:t>
      </w:r>
      <w:r w:rsidRPr="004D04EC">
        <w:rPr>
          <w:rFonts w:ascii="Palatino Linotype" w:hAnsi="Palatino Linotype" w:cs="Arial"/>
          <w:i/>
          <w:sz w:val="24"/>
          <w:szCs w:val="24"/>
          <w:highlight w:val="yellow"/>
        </w:rPr>
        <w:t xml:space="preserve"> El contenido formal de la garantía de legalidad prevista en el artículo 16 constitucional </w:t>
      </w:r>
      <w:r w:rsidRPr="004D04EC">
        <w:rPr>
          <w:rFonts w:ascii="Palatino Linotype" w:hAnsi="Palatino Linotype" w:cs="Arial"/>
          <w:i/>
          <w:sz w:val="24"/>
          <w:szCs w:val="24"/>
          <w:highlight w:val="yellow"/>
        </w:rPr>
        <w:lastRenderedPageBreak/>
        <w:t>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7C15F3D" w14:textId="77777777" w:rsidR="000C3D2D" w:rsidRPr="004D04EC" w:rsidRDefault="000C3D2D" w:rsidP="000C3D2D">
      <w:pPr>
        <w:spacing w:line="276" w:lineRule="auto"/>
        <w:jc w:val="both"/>
        <w:rPr>
          <w:rFonts w:ascii="Palatino Linotype" w:hAnsi="Palatino Linotype" w:cs="Arial"/>
          <w:sz w:val="24"/>
          <w:szCs w:val="24"/>
          <w:highlight w:val="yellow"/>
        </w:rPr>
      </w:pPr>
    </w:p>
    <w:p w14:paraId="206F51DF"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9A4A004" w14:textId="77777777" w:rsidR="000C3D2D" w:rsidRPr="004D04EC" w:rsidRDefault="000C3D2D" w:rsidP="000C3D2D">
      <w:pPr>
        <w:spacing w:line="360" w:lineRule="auto"/>
        <w:jc w:val="both"/>
        <w:rPr>
          <w:rFonts w:ascii="Palatino Linotype" w:hAnsi="Palatino Linotype" w:cs="Arial"/>
          <w:sz w:val="24"/>
          <w:szCs w:val="24"/>
          <w:highlight w:val="yellow"/>
        </w:rPr>
      </w:pPr>
    </w:p>
    <w:p w14:paraId="6B9BA8A5" w14:textId="77777777" w:rsidR="000C3D2D" w:rsidRPr="004D04EC" w:rsidRDefault="000C3D2D" w:rsidP="000C3D2D">
      <w:pPr>
        <w:spacing w:line="360" w:lineRule="auto"/>
        <w:jc w:val="both"/>
        <w:rPr>
          <w:rFonts w:ascii="Palatino Linotype" w:hAnsi="Palatino Linotype" w:cs="Arial"/>
          <w:sz w:val="24"/>
          <w:szCs w:val="24"/>
          <w:highlight w:val="yellow"/>
        </w:rPr>
      </w:pPr>
      <w:r w:rsidRPr="004D04EC">
        <w:rPr>
          <w:rFonts w:ascii="Palatino Linotype" w:hAnsi="Palatino Linotype" w:cs="Arial"/>
          <w:sz w:val="24"/>
          <w:szCs w:val="24"/>
          <w:highlight w:val="yellow"/>
        </w:rPr>
        <w:t xml:space="preserve">Por lo tanto, la entrega de documentos en su versión pública debe acompañarse necesariamente del Acuerdo del Comité de Transparencia del Sujeto Obligado que la sustente, en el que se expongan los fundamentos y razones que llevaron a la autoridad a </w:t>
      </w:r>
      <w:r w:rsidRPr="004D04EC">
        <w:rPr>
          <w:rFonts w:ascii="Palatino Linotype" w:hAnsi="Palatino Linotype" w:cs="Arial"/>
          <w:sz w:val="24"/>
          <w:szCs w:val="24"/>
          <w:highlight w:val="yellow"/>
        </w:rPr>
        <w:lastRenderedPageBreak/>
        <w:t>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DA1B10F" w14:textId="77777777" w:rsidR="000C3D2D" w:rsidRPr="004D04EC" w:rsidRDefault="000C3D2D" w:rsidP="000C3D2D">
      <w:pPr>
        <w:spacing w:after="0" w:line="360" w:lineRule="auto"/>
        <w:jc w:val="both"/>
        <w:rPr>
          <w:rFonts w:ascii="Palatino Linotype" w:eastAsia="Times New Roman" w:hAnsi="Palatino Linotype" w:cs="Times New Roman"/>
          <w:sz w:val="24"/>
          <w:szCs w:val="24"/>
          <w:highlight w:val="yellow"/>
          <w:lang w:eastAsia="es-ES"/>
        </w:rPr>
      </w:pPr>
    </w:p>
    <w:p w14:paraId="4F1274AD" w14:textId="77777777" w:rsidR="000C3D2D" w:rsidRPr="004D04EC" w:rsidRDefault="000C3D2D" w:rsidP="000C3D2D">
      <w:pPr>
        <w:spacing w:after="0" w:line="360" w:lineRule="auto"/>
        <w:jc w:val="both"/>
        <w:rPr>
          <w:rFonts w:ascii="Palatino Linotype" w:hAnsi="Palatino Linotype" w:cs="Arial"/>
          <w:sz w:val="24"/>
          <w:szCs w:val="24"/>
          <w:highlight w:val="yellow"/>
        </w:rPr>
      </w:pPr>
      <w:r w:rsidRPr="004D04EC">
        <w:rPr>
          <w:rFonts w:ascii="Palatino Linotype" w:eastAsia="Times New Roman" w:hAnsi="Palatino Linotype" w:cs="Times New Roman"/>
          <w:sz w:val="24"/>
          <w:szCs w:val="24"/>
          <w:highlight w:val="yellow"/>
          <w:lang w:eastAsia="es-ES"/>
        </w:rPr>
        <w:t xml:space="preserve">En mérito de lo expuesto en líneas anteriores, resultan fundados los motivos de inconformidad que arguye </w:t>
      </w:r>
      <w:r w:rsidRPr="004D04EC">
        <w:rPr>
          <w:rFonts w:ascii="Palatino Linotype" w:eastAsia="Times New Roman" w:hAnsi="Palatino Linotype" w:cs="Times New Roman"/>
          <w:bCs/>
          <w:sz w:val="24"/>
          <w:szCs w:val="24"/>
          <w:highlight w:val="yellow"/>
          <w:lang w:eastAsia="es-ES"/>
        </w:rPr>
        <w:t>el</w:t>
      </w:r>
      <w:r w:rsidRPr="004D04EC">
        <w:rPr>
          <w:rFonts w:ascii="Palatino Linotype" w:eastAsia="Times New Roman" w:hAnsi="Palatino Linotype" w:cs="Times New Roman"/>
          <w:b/>
          <w:bCs/>
          <w:sz w:val="24"/>
          <w:szCs w:val="24"/>
          <w:highlight w:val="yellow"/>
          <w:lang w:eastAsia="es-ES"/>
        </w:rPr>
        <w:t xml:space="preserve"> Recurrente </w:t>
      </w:r>
      <w:r w:rsidRPr="004D04EC">
        <w:rPr>
          <w:rFonts w:ascii="Palatino Linotype" w:eastAsia="Times New Roman" w:hAnsi="Palatino Linotype" w:cs="Times New Roman"/>
          <w:sz w:val="24"/>
          <w:szCs w:val="24"/>
          <w:highlight w:val="yellow"/>
          <w:lang w:eastAsia="es-ES"/>
        </w:rPr>
        <w:t xml:space="preserve">en su medio de impugnación que fue materia de estudio, por ello </w:t>
      </w:r>
      <w:r w:rsidRPr="004D04EC">
        <w:rPr>
          <w:rFonts w:ascii="Palatino Linotype" w:eastAsia="Times New Roman" w:hAnsi="Palatino Linotype" w:cs="Arial"/>
          <w:sz w:val="24"/>
          <w:szCs w:val="24"/>
          <w:highlight w:val="yellow"/>
          <w:lang w:eastAsia="es-ES"/>
        </w:rPr>
        <w:t>con fundamento en la</w:t>
      </w:r>
      <w:r w:rsidRPr="004D04EC">
        <w:rPr>
          <w:rFonts w:ascii="Palatino Linotype" w:eastAsia="Times New Roman" w:hAnsi="Palatino Linotype" w:cs="Arial"/>
          <w:b/>
          <w:sz w:val="24"/>
          <w:szCs w:val="24"/>
          <w:highlight w:val="yellow"/>
          <w:lang w:eastAsia="es-ES"/>
        </w:rPr>
        <w:t xml:space="preserve"> </w:t>
      </w:r>
      <w:r w:rsidRPr="004D04EC">
        <w:rPr>
          <w:rFonts w:ascii="Palatino Linotype" w:eastAsia="Times New Roman" w:hAnsi="Palatino Linotype" w:cs="Arial"/>
          <w:b/>
          <w:bCs/>
          <w:i/>
          <w:sz w:val="24"/>
          <w:szCs w:val="24"/>
          <w:highlight w:val="yellow"/>
          <w:lang w:eastAsia="es-ES"/>
        </w:rPr>
        <w:t>segunda hipótesis</w:t>
      </w:r>
      <w:r w:rsidRPr="004D04EC">
        <w:rPr>
          <w:rFonts w:ascii="Palatino Linotype" w:eastAsia="Times New Roman" w:hAnsi="Palatino Linotype" w:cs="Arial"/>
          <w:b/>
          <w:sz w:val="24"/>
          <w:szCs w:val="24"/>
          <w:highlight w:val="yellow"/>
          <w:lang w:eastAsia="es-ES"/>
        </w:rPr>
        <w:t xml:space="preserve"> </w:t>
      </w:r>
      <w:r w:rsidRPr="004D04EC">
        <w:rPr>
          <w:rFonts w:ascii="Palatino Linotype" w:eastAsia="Times New Roman" w:hAnsi="Palatino Linotype" w:cs="Arial"/>
          <w:sz w:val="24"/>
          <w:szCs w:val="24"/>
          <w:highlight w:val="yellow"/>
          <w:lang w:eastAsia="es-ES"/>
        </w:rPr>
        <w:t>de la fracción</w:t>
      </w:r>
      <w:r w:rsidRPr="004D04EC">
        <w:rPr>
          <w:rFonts w:ascii="Palatino Linotype" w:eastAsia="Times New Roman" w:hAnsi="Palatino Linotype" w:cs="Arial"/>
          <w:b/>
          <w:sz w:val="24"/>
          <w:szCs w:val="24"/>
          <w:highlight w:val="yellow"/>
          <w:lang w:eastAsia="es-ES"/>
        </w:rPr>
        <w:t xml:space="preserve"> </w:t>
      </w:r>
      <w:r w:rsidRPr="004D04EC">
        <w:rPr>
          <w:rFonts w:ascii="Palatino Linotype" w:eastAsia="Times New Roman" w:hAnsi="Palatino Linotype" w:cs="Arial"/>
          <w:sz w:val="24"/>
          <w:szCs w:val="24"/>
          <w:highlight w:val="yellow"/>
          <w:lang w:eastAsia="es-ES"/>
        </w:rPr>
        <w:t>III, del artículo 186,</w:t>
      </w:r>
      <w:r w:rsidRPr="004D04EC">
        <w:rPr>
          <w:rFonts w:ascii="Palatino Linotype" w:eastAsia="Times New Roman" w:hAnsi="Palatino Linotype" w:cs="Arial"/>
          <w:b/>
          <w:sz w:val="24"/>
          <w:szCs w:val="24"/>
          <w:highlight w:val="yellow"/>
          <w:lang w:eastAsia="es-ES"/>
        </w:rPr>
        <w:t xml:space="preserve"> </w:t>
      </w:r>
      <w:r w:rsidRPr="004D04EC">
        <w:rPr>
          <w:rFonts w:ascii="Palatino Linotype" w:eastAsia="Times New Roman" w:hAnsi="Palatino Linotype" w:cs="Arial"/>
          <w:sz w:val="24"/>
          <w:szCs w:val="24"/>
          <w:highlight w:val="yellow"/>
          <w:lang w:eastAsia="es-ES"/>
        </w:rPr>
        <w:t xml:space="preserve">de la Ley de Transparencia y Acceso a la Información Pública del Estado de México y Municipios, se </w:t>
      </w:r>
      <w:r w:rsidRPr="004D04EC">
        <w:rPr>
          <w:rFonts w:ascii="Palatino Linotype" w:eastAsia="Times New Roman" w:hAnsi="Palatino Linotype" w:cs="Arial"/>
          <w:b/>
          <w:sz w:val="24"/>
          <w:szCs w:val="24"/>
          <w:highlight w:val="yellow"/>
          <w:lang w:eastAsia="es-ES"/>
        </w:rPr>
        <w:t xml:space="preserve">MODIFICA </w:t>
      </w:r>
      <w:r w:rsidRPr="004D04EC">
        <w:rPr>
          <w:rFonts w:ascii="Palatino Linotype" w:eastAsia="Times New Roman" w:hAnsi="Palatino Linotype" w:cs="Arial"/>
          <w:sz w:val="24"/>
          <w:szCs w:val="24"/>
          <w:highlight w:val="yellow"/>
          <w:lang w:eastAsia="es-ES"/>
        </w:rPr>
        <w:t>la respuesta a la solicitud de información número</w:t>
      </w:r>
      <w:r w:rsidRPr="004D04EC">
        <w:rPr>
          <w:rFonts w:ascii="Palatino Linotype" w:eastAsia="Times New Roman" w:hAnsi="Palatino Linotype" w:cs="Times New Roman"/>
          <w:b/>
          <w:sz w:val="24"/>
          <w:szCs w:val="24"/>
          <w:highlight w:val="yellow"/>
          <w:lang w:eastAsia="es-ES"/>
        </w:rPr>
        <w:t xml:space="preserve"> </w:t>
      </w:r>
      <w:r w:rsidRPr="004D04EC">
        <w:rPr>
          <w:rFonts w:ascii="Palatino Linotype" w:hAnsi="Palatino Linotype"/>
          <w:b/>
          <w:bCs/>
          <w:sz w:val="24"/>
          <w:szCs w:val="24"/>
          <w:highlight w:val="yellow"/>
        </w:rPr>
        <w:t>00183/OASTLALNE/IP/2023</w:t>
      </w:r>
      <w:r w:rsidRPr="004D04EC">
        <w:rPr>
          <w:rFonts w:ascii="Palatino Linotype" w:hAnsi="Palatino Linotype" w:cs="Arial"/>
          <w:sz w:val="24"/>
          <w:szCs w:val="24"/>
          <w:highlight w:val="yellow"/>
        </w:rPr>
        <w:t xml:space="preserve">que  ha sido materia del presente fallo. </w:t>
      </w:r>
    </w:p>
    <w:p w14:paraId="1212DDBA" w14:textId="77777777" w:rsidR="000C3D2D" w:rsidRPr="004D04EC" w:rsidRDefault="000C3D2D" w:rsidP="000C3D2D">
      <w:pPr>
        <w:spacing w:after="0" w:line="360" w:lineRule="auto"/>
        <w:jc w:val="both"/>
        <w:rPr>
          <w:rFonts w:ascii="Palatino Linotype" w:hAnsi="Palatino Linotype" w:cs="Arial"/>
          <w:sz w:val="24"/>
          <w:szCs w:val="24"/>
          <w:highlight w:val="yellow"/>
        </w:rPr>
      </w:pPr>
    </w:p>
    <w:p w14:paraId="78D0E9FB" w14:textId="77777777" w:rsidR="000C3D2D" w:rsidRPr="004D04EC" w:rsidRDefault="000C3D2D" w:rsidP="000C3D2D">
      <w:pPr>
        <w:spacing w:after="0" w:line="360" w:lineRule="auto"/>
        <w:jc w:val="both"/>
        <w:rPr>
          <w:rFonts w:ascii="Palatino Linotype" w:eastAsia="Times New Roman" w:hAnsi="Palatino Linotype" w:cs="Times New Roman"/>
          <w:sz w:val="24"/>
          <w:szCs w:val="24"/>
          <w:highlight w:val="yellow"/>
          <w:lang w:eastAsia="es-ES"/>
        </w:rPr>
      </w:pPr>
      <w:r w:rsidRPr="004D04EC">
        <w:rPr>
          <w:rFonts w:ascii="Palatino Linotype" w:eastAsia="Times New Roman" w:hAnsi="Palatino Linotype" w:cs="Times New Roman"/>
          <w:sz w:val="24"/>
          <w:szCs w:val="24"/>
          <w:highlight w:val="yellow"/>
          <w:lang w:eastAsia="es-ES"/>
        </w:rPr>
        <w:t>Por lo antes expuesto y fundado es de resolverse y,</w:t>
      </w:r>
    </w:p>
    <w:p w14:paraId="01AD31FB" w14:textId="77777777" w:rsidR="000C3D2D" w:rsidRDefault="000C3D2D" w:rsidP="000C3D2D">
      <w:pPr>
        <w:spacing w:line="360" w:lineRule="auto"/>
        <w:contextualSpacing/>
        <w:jc w:val="both"/>
        <w:rPr>
          <w:rFonts w:ascii="Palatino Linotype" w:eastAsia="MS Mincho" w:hAnsi="Palatino Linotype"/>
          <w:highlight w:val="yellow"/>
        </w:rPr>
      </w:pPr>
    </w:p>
    <w:p w14:paraId="6C631DF5" w14:textId="77777777" w:rsidR="004345A0" w:rsidRPr="004D04EC" w:rsidRDefault="004345A0" w:rsidP="000C3D2D">
      <w:pPr>
        <w:spacing w:line="360" w:lineRule="auto"/>
        <w:contextualSpacing/>
        <w:jc w:val="both"/>
        <w:rPr>
          <w:rFonts w:ascii="Palatino Linotype" w:eastAsia="MS Mincho" w:hAnsi="Palatino Linotype"/>
          <w:highlight w:val="yellow"/>
        </w:rPr>
      </w:pPr>
    </w:p>
    <w:p w14:paraId="31812D8D" w14:textId="42A7A235" w:rsidR="000C3D2D" w:rsidRDefault="00462E61" w:rsidP="000C3D2D">
      <w:pPr>
        <w:spacing w:before="240" w:after="240" w:line="360" w:lineRule="auto"/>
        <w:jc w:val="center"/>
        <w:rPr>
          <w:rFonts w:ascii="Palatino Linotype" w:hAnsi="Palatino Linotype"/>
          <w:spacing w:val="60"/>
          <w:sz w:val="28"/>
          <w:szCs w:val="24"/>
          <w:highlight w:val="yellow"/>
        </w:rPr>
      </w:pPr>
      <w:r>
        <w:rPr>
          <w:rFonts w:ascii="Palatino Linotype" w:hAnsi="Palatino Linotype"/>
          <w:spacing w:val="60"/>
          <w:sz w:val="28"/>
          <w:szCs w:val="24"/>
          <w:highlight w:val="yellow"/>
        </w:rPr>
        <w:t>S</w:t>
      </w:r>
      <w:r w:rsidR="000C3D2D" w:rsidRPr="004D04EC">
        <w:rPr>
          <w:rFonts w:ascii="Palatino Linotype" w:hAnsi="Palatino Linotype"/>
          <w:spacing w:val="60"/>
          <w:sz w:val="28"/>
          <w:szCs w:val="24"/>
          <w:highlight w:val="yellow"/>
        </w:rPr>
        <w:t>E RESUELVE</w:t>
      </w:r>
    </w:p>
    <w:p w14:paraId="43BD5A35" w14:textId="77777777" w:rsidR="004345A0" w:rsidRPr="004D04EC" w:rsidRDefault="004345A0" w:rsidP="000C3D2D">
      <w:pPr>
        <w:spacing w:before="240" w:after="240" w:line="360" w:lineRule="auto"/>
        <w:jc w:val="center"/>
        <w:rPr>
          <w:rFonts w:ascii="Palatino Linotype" w:hAnsi="Palatino Linotype"/>
          <w:spacing w:val="60"/>
          <w:sz w:val="28"/>
          <w:szCs w:val="24"/>
          <w:highlight w:val="yellow"/>
        </w:rPr>
      </w:pPr>
    </w:p>
    <w:p w14:paraId="523A70E1" w14:textId="77777777" w:rsidR="000C3D2D" w:rsidRPr="004D04EC" w:rsidRDefault="000C3D2D" w:rsidP="000C3D2D">
      <w:pPr>
        <w:spacing w:line="360" w:lineRule="auto"/>
        <w:jc w:val="both"/>
        <w:rPr>
          <w:rFonts w:ascii="Palatino Linotype" w:hAnsi="Palatino Linotype" w:cs="Arial"/>
          <w:sz w:val="24"/>
          <w:highlight w:val="yellow"/>
        </w:rPr>
      </w:pPr>
      <w:r w:rsidRPr="004D04EC">
        <w:rPr>
          <w:rFonts w:ascii="Palatino Linotype" w:hAnsi="Palatino Linotype" w:cs="Arial"/>
          <w:b/>
          <w:sz w:val="28"/>
          <w:szCs w:val="28"/>
          <w:highlight w:val="yellow"/>
        </w:rPr>
        <w:lastRenderedPageBreak/>
        <w:t>PRIMERO</w:t>
      </w:r>
      <w:r w:rsidRPr="004D04EC">
        <w:rPr>
          <w:rFonts w:ascii="Palatino Linotype" w:hAnsi="Palatino Linotype" w:cs="Arial"/>
          <w:sz w:val="32"/>
          <w:szCs w:val="28"/>
          <w:highlight w:val="yellow"/>
        </w:rPr>
        <w:t>.</w:t>
      </w:r>
      <w:r w:rsidRPr="004D04EC">
        <w:rPr>
          <w:rFonts w:ascii="Palatino Linotype" w:hAnsi="Palatino Linotype" w:cs="Arial"/>
          <w:sz w:val="24"/>
          <w:highlight w:val="yellow"/>
        </w:rPr>
        <w:t xml:space="preserve"> Resultan </w:t>
      </w:r>
      <w:r w:rsidRPr="004D04EC">
        <w:rPr>
          <w:rFonts w:ascii="Palatino Linotype" w:hAnsi="Palatino Linotype" w:cs="Arial"/>
          <w:b/>
          <w:sz w:val="24"/>
          <w:highlight w:val="yellow"/>
        </w:rPr>
        <w:t>fundadas</w:t>
      </w:r>
      <w:r w:rsidRPr="004D04EC">
        <w:rPr>
          <w:rFonts w:ascii="Palatino Linotype" w:hAnsi="Palatino Linotype" w:cs="Arial"/>
          <w:sz w:val="24"/>
          <w:highlight w:val="yellow"/>
        </w:rPr>
        <w:t xml:space="preserve"> las razones o motivos de inconformidad planteadas por </w:t>
      </w:r>
      <w:r w:rsidRPr="004D04EC">
        <w:rPr>
          <w:rFonts w:ascii="Palatino Linotype" w:hAnsi="Palatino Linotype"/>
          <w:b/>
          <w:sz w:val="24"/>
          <w:szCs w:val="17"/>
          <w:highlight w:val="yellow"/>
          <w:lang w:eastAsia="es-ES_tradnl"/>
        </w:rPr>
        <w:t>EL</w:t>
      </w:r>
      <w:r w:rsidRPr="004D04EC">
        <w:rPr>
          <w:rFonts w:ascii="Palatino Linotype" w:hAnsi="Palatino Linotype" w:cs="Arial"/>
          <w:b/>
          <w:sz w:val="24"/>
          <w:highlight w:val="yellow"/>
        </w:rPr>
        <w:t xml:space="preserve"> RECURRENTE</w:t>
      </w:r>
      <w:r w:rsidRPr="004D04EC">
        <w:rPr>
          <w:rFonts w:ascii="Palatino Linotype" w:hAnsi="Palatino Linotype" w:cs="Arial"/>
          <w:sz w:val="24"/>
          <w:highlight w:val="yellow"/>
        </w:rPr>
        <w:t xml:space="preserve">, en términos del Considerando </w:t>
      </w:r>
      <w:r w:rsidRPr="004D04EC">
        <w:rPr>
          <w:rFonts w:ascii="Palatino Linotype" w:hAnsi="Palatino Linotype" w:cs="Arial"/>
          <w:b/>
          <w:sz w:val="24"/>
          <w:highlight w:val="yellow"/>
        </w:rPr>
        <w:t>CUARTO</w:t>
      </w:r>
      <w:r w:rsidRPr="004D04EC">
        <w:rPr>
          <w:rFonts w:ascii="Palatino Linotype" w:hAnsi="Palatino Linotype" w:cs="Arial"/>
          <w:sz w:val="24"/>
          <w:highlight w:val="yellow"/>
        </w:rPr>
        <w:t xml:space="preserve"> de la presente resolución.</w:t>
      </w:r>
    </w:p>
    <w:p w14:paraId="27094879" w14:textId="77777777" w:rsidR="000C3D2D" w:rsidRPr="004D04EC" w:rsidRDefault="000C3D2D" w:rsidP="000C3D2D">
      <w:pPr>
        <w:spacing w:line="360" w:lineRule="auto"/>
        <w:jc w:val="both"/>
        <w:rPr>
          <w:rFonts w:ascii="Palatino Linotype" w:hAnsi="Palatino Linotype" w:cs="Arial"/>
          <w:b/>
          <w:sz w:val="24"/>
          <w:szCs w:val="28"/>
          <w:highlight w:val="yellow"/>
          <w:lang w:val="es-ES"/>
        </w:rPr>
      </w:pPr>
    </w:p>
    <w:p w14:paraId="2A2E108B" w14:textId="77777777" w:rsidR="000C3D2D" w:rsidRPr="004D04EC" w:rsidRDefault="000C3D2D" w:rsidP="000C3D2D">
      <w:pPr>
        <w:spacing w:line="360" w:lineRule="auto"/>
        <w:ind w:right="49"/>
        <w:jc w:val="both"/>
        <w:rPr>
          <w:rFonts w:ascii="Palatino Linotype" w:hAnsi="Palatino Linotype" w:cs="Arial"/>
          <w:color w:val="000000" w:themeColor="text1"/>
          <w:sz w:val="24"/>
          <w:highlight w:val="yellow"/>
        </w:rPr>
      </w:pPr>
      <w:r w:rsidRPr="004D04EC">
        <w:rPr>
          <w:rFonts w:ascii="Palatino Linotype" w:hAnsi="Palatino Linotype" w:cs="Arial"/>
          <w:b/>
          <w:sz w:val="28"/>
          <w:szCs w:val="28"/>
          <w:highlight w:val="yellow"/>
          <w:lang w:val="es-ES"/>
        </w:rPr>
        <w:t>SEGUNDO</w:t>
      </w:r>
      <w:r w:rsidRPr="004D04EC">
        <w:rPr>
          <w:rFonts w:ascii="Palatino Linotype" w:hAnsi="Palatino Linotype" w:cs="Arial"/>
          <w:sz w:val="28"/>
          <w:szCs w:val="28"/>
          <w:highlight w:val="yellow"/>
          <w:lang w:val="es-ES"/>
        </w:rPr>
        <w:t>.</w:t>
      </w:r>
      <w:r w:rsidRPr="004D04EC">
        <w:rPr>
          <w:rFonts w:ascii="Palatino Linotype" w:hAnsi="Palatino Linotype" w:cs="Arial"/>
          <w:highlight w:val="yellow"/>
          <w:lang w:val="es-ES"/>
        </w:rPr>
        <w:t xml:space="preserve"> </w:t>
      </w:r>
      <w:r w:rsidRPr="004D04EC">
        <w:rPr>
          <w:rFonts w:ascii="Palatino Linotype" w:eastAsia="Calibri" w:hAnsi="Palatino Linotype" w:cs="Arial"/>
          <w:sz w:val="24"/>
          <w:szCs w:val="24"/>
          <w:highlight w:val="yellow"/>
        </w:rPr>
        <w:t xml:space="preserve">Se </w:t>
      </w:r>
      <w:r w:rsidRPr="004D04EC">
        <w:rPr>
          <w:rFonts w:ascii="Palatino Linotype" w:eastAsia="Calibri" w:hAnsi="Palatino Linotype" w:cs="Arial"/>
          <w:b/>
          <w:sz w:val="24"/>
          <w:szCs w:val="24"/>
          <w:highlight w:val="yellow"/>
        </w:rPr>
        <w:t xml:space="preserve">MODIFICA </w:t>
      </w:r>
      <w:r w:rsidRPr="004D04EC">
        <w:rPr>
          <w:rFonts w:ascii="Palatino Linotype" w:eastAsia="Calibri" w:hAnsi="Palatino Linotype" w:cs="Arial"/>
          <w:sz w:val="24"/>
          <w:szCs w:val="24"/>
          <w:highlight w:val="yellow"/>
        </w:rPr>
        <w:t xml:space="preserve">la respuesta proporcionada por </w:t>
      </w:r>
      <w:r w:rsidRPr="004D04EC">
        <w:rPr>
          <w:rFonts w:ascii="Palatino Linotype" w:eastAsia="Calibri" w:hAnsi="Palatino Linotype" w:cs="Arial"/>
          <w:b/>
          <w:sz w:val="24"/>
          <w:szCs w:val="24"/>
          <w:highlight w:val="yellow"/>
        </w:rPr>
        <w:t xml:space="preserve">EL SUJETO OBLIGADO </w:t>
      </w:r>
      <w:r w:rsidRPr="004D04EC">
        <w:rPr>
          <w:rFonts w:ascii="Palatino Linotype" w:hAnsi="Palatino Linotype" w:cs="Arial"/>
          <w:sz w:val="24"/>
          <w:szCs w:val="24"/>
          <w:highlight w:val="yellow"/>
        </w:rPr>
        <w:t>en la solicitud de información número</w:t>
      </w:r>
      <w:r w:rsidRPr="004D04EC">
        <w:rPr>
          <w:rFonts w:ascii="Palatino Linotype" w:hAnsi="Palatino Linotype" w:cs="Arial"/>
          <w:b/>
          <w:sz w:val="24"/>
          <w:highlight w:val="yellow"/>
        </w:rPr>
        <w:t xml:space="preserve"> </w:t>
      </w:r>
      <w:r w:rsidRPr="004D04EC">
        <w:rPr>
          <w:rFonts w:ascii="Palatino Linotype" w:hAnsi="Palatino Linotype"/>
          <w:b/>
          <w:bCs/>
          <w:sz w:val="24"/>
          <w:szCs w:val="24"/>
          <w:highlight w:val="yellow"/>
        </w:rPr>
        <w:t xml:space="preserve">00183/OASTLALNE/IP/2023 </w:t>
      </w:r>
      <w:r w:rsidRPr="004D04EC">
        <w:rPr>
          <w:rFonts w:ascii="Palatino Linotype" w:eastAsia="Calibri" w:hAnsi="Palatino Linotype" w:cs="Arial"/>
          <w:sz w:val="24"/>
          <w:szCs w:val="24"/>
          <w:highlight w:val="yellow"/>
        </w:rPr>
        <w:t xml:space="preserve">y se </w:t>
      </w:r>
      <w:r w:rsidRPr="004D04EC">
        <w:rPr>
          <w:rFonts w:ascii="Palatino Linotype" w:eastAsia="Calibri" w:hAnsi="Palatino Linotype" w:cs="Arial"/>
          <w:b/>
          <w:sz w:val="24"/>
          <w:szCs w:val="24"/>
          <w:highlight w:val="yellow"/>
        </w:rPr>
        <w:t>ORDENA</w:t>
      </w:r>
      <w:r w:rsidRPr="004D04EC">
        <w:rPr>
          <w:rFonts w:ascii="Palatino Linotype" w:eastAsia="Calibri" w:hAnsi="Palatino Linotype" w:cs="Arial"/>
          <w:b/>
          <w:sz w:val="28"/>
          <w:szCs w:val="24"/>
          <w:highlight w:val="yellow"/>
        </w:rPr>
        <w:t xml:space="preserve"> </w:t>
      </w:r>
      <w:r w:rsidRPr="004D04EC">
        <w:rPr>
          <w:rFonts w:ascii="Palatino Linotype" w:hAnsi="Palatino Linotype" w:cs="Arial"/>
          <w:sz w:val="24"/>
          <w:highlight w:val="yellow"/>
        </w:rPr>
        <w:t xml:space="preserve">al </w:t>
      </w:r>
      <w:r w:rsidRPr="004D04EC">
        <w:rPr>
          <w:rFonts w:ascii="Palatino Linotype" w:hAnsi="Palatino Linotype" w:cs="Arial"/>
          <w:b/>
          <w:sz w:val="24"/>
          <w:highlight w:val="yellow"/>
        </w:rPr>
        <w:t>Sujeto Obligado</w:t>
      </w:r>
      <w:r w:rsidRPr="004D04EC">
        <w:rPr>
          <w:rFonts w:ascii="Palatino Linotype" w:hAnsi="Palatino Linotype" w:cs="Arial"/>
          <w:sz w:val="24"/>
          <w:highlight w:val="yellow"/>
        </w:rPr>
        <w:t xml:space="preserve">, en términos del considerando </w:t>
      </w:r>
      <w:r w:rsidRPr="004D04EC">
        <w:rPr>
          <w:rFonts w:ascii="Palatino Linotype" w:hAnsi="Palatino Linotype" w:cs="Arial"/>
          <w:b/>
          <w:sz w:val="24"/>
          <w:highlight w:val="yellow"/>
        </w:rPr>
        <w:t xml:space="preserve">CUARTO </w:t>
      </w:r>
      <w:r w:rsidRPr="004D04EC">
        <w:rPr>
          <w:rFonts w:ascii="Palatino Linotype" w:hAnsi="Palatino Linotype" w:cs="Arial"/>
          <w:sz w:val="24"/>
          <w:highlight w:val="yellow"/>
        </w:rPr>
        <w:t>de esta resolución, haga entrega en correcta versión pública de lo siguiente</w:t>
      </w:r>
      <w:r w:rsidRPr="004D04EC">
        <w:rPr>
          <w:rFonts w:ascii="Palatino Linotype" w:hAnsi="Palatino Linotype"/>
          <w:bCs/>
          <w:sz w:val="24"/>
          <w:highlight w:val="yellow"/>
        </w:rPr>
        <w:t>:</w:t>
      </w:r>
    </w:p>
    <w:p w14:paraId="443D5C05" w14:textId="77777777" w:rsidR="000C3D2D" w:rsidRPr="004D04EC" w:rsidRDefault="00F46EAC" w:rsidP="000C3D2D">
      <w:pPr>
        <w:pStyle w:val="Citas"/>
        <w:numPr>
          <w:ilvl w:val="0"/>
          <w:numId w:val="40"/>
        </w:numPr>
        <w:ind w:left="426" w:right="332"/>
        <w:rPr>
          <w:rFonts w:eastAsia="Times New Roman"/>
          <w:bCs/>
          <w:i w:val="0"/>
          <w:sz w:val="24"/>
          <w:szCs w:val="24"/>
          <w:highlight w:val="yellow"/>
          <w:lang w:val="es-ES_tradnl"/>
        </w:rPr>
      </w:pPr>
      <w:r w:rsidRPr="004D04EC">
        <w:rPr>
          <w:color w:val="000000"/>
          <w:sz w:val="24"/>
          <w:szCs w:val="24"/>
          <w:highlight w:val="yellow"/>
        </w:rPr>
        <w:t>L</w:t>
      </w:r>
      <w:r w:rsidR="00007512">
        <w:rPr>
          <w:color w:val="000000"/>
          <w:sz w:val="24"/>
          <w:szCs w:val="24"/>
          <w:highlight w:val="yellow"/>
        </w:rPr>
        <w:t xml:space="preserve">a </w:t>
      </w:r>
      <w:r w:rsidR="000C3D2D" w:rsidRPr="004D04EC">
        <w:rPr>
          <w:color w:val="000000"/>
          <w:sz w:val="24"/>
          <w:szCs w:val="24"/>
          <w:highlight w:val="yellow"/>
        </w:rPr>
        <w:t>conciliación de nómina, dispersión de nómina y estados de cuenta donde se refleje los movimientos de nómina de la primera quincena de octubre</w:t>
      </w:r>
      <w:r w:rsidRPr="004D04EC">
        <w:rPr>
          <w:color w:val="000000"/>
          <w:sz w:val="24"/>
          <w:szCs w:val="24"/>
          <w:highlight w:val="yellow"/>
        </w:rPr>
        <w:t xml:space="preserve"> </w:t>
      </w:r>
      <w:r w:rsidR="004D04EC" w:rsidRPr="004D04EC">
        <w:rPr>
          <w:color w:val="000000"/>
          <w:sz w:val="24"/>
          <w:szCs w:val="24"/>
          <w:highlight w:val="yellow"/>
        </w:rPr>
        <w:t>del dos mil veintitrés</w:t>
      </w:r>
    </w:p>
    <w:p w14:paraId="00FFF626" w14:textId="77777777" w:rsidR="000C3D2D" w:rsidRPr="004D04EC" w:rsidRDefault="000C3D2D" w:rsidP="000C3D2D">
      <w:pPr>
        <w:pStyle w:val="INFOEM"/>
        <w:rPr>
          <w:highlight w:val="yellow"/>
        </w:rPr>
      </w:pPr>
      <w:r w:rsidRPr="004D04EC">
        <w:rPr>
          <w:highlight w:val="yellow"/>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4D04EC">
        <w:rPr>
          <w:b/>
          <w:highlight w:val="yellow"/>
        </w:rPr>
        <w:t>Recurrente</w:t>
      </w:r>
      <w:r w:rsidRPr="004D04EC">
        <w:rPr>
          <w:highlight w:val="yellow"/>
        </w:rPr>
        <w:t>.</w:t>
      </w:r>
    </w:p>
    <w:p w14:paraId="7692CA78" w14:textId="77777777" w:rsidR="000C3D2D" w:rsidRPr="004D04EC" w:rsidRDefault="000C3D2D" w:rsidP="000C3D2D">
      <w:pPr>
        <w:spacing w:line="360" w:lineRule="auto"/>
        <w:jc w:val="both"/>
        <w:rPr>
          <w:rFonts w:ascii="Palatino Linotype" w:hAnsi="Palatino Linotype" w:cs="Arial"/>
          <w:sz w:val="24"/>
          <w:highlight w:val="yellow"/>
        </w:rPr>
      </w:pPr>
    </w:p>
    <w:p w14:paraId="786E6669" w14:textId="77777777" w:rsidR="000C3D2D" w:rsidRPr="004D04EC" w:rsidRDefault="000C3D2D" w:rsidP="000C3D2D">
      <w:pPr>
        <w:autoSpaceDE w:val="0"/>
        <w:autoSpaceDN w:val="0"/>
        <w:adjustRightInd w:val="0"/>
        <w:spacing w:line="360" w:lineRule="auto"/>
        <w:ind w:right="49"/>
        <w:jc w:val="both"/>
        <w:rPr>
          <w:rFonts w:ascii="Palatino Linotype" w:hAnsi="Palatino Linotype" w:cs="Arial"/>
          <w:sz w:val="24"/>
          <w:highlight w:val="yellow"/>
        </w:rPr>
      </w:pPr>
      <w:r w:rsidRPr="004D04EC">
        <w:rPr>
          <w:rFonts w:ascii="Palatino Linotype" w:hAnsi="Palatino Linotype" w:cs="Arial"/>
          <w:b/>
          <w:sz w:val="28"/>
          <w:szCs w:val="28"/>
          <w:highlight w:val="yellow"/>
        </w:rPr>
        <w:t>TERCERO.</w:t>
      </w:r>
      <w:r w:rsidRPr="004D04EC">
        <w:rPr>
          <w:rFonts w:ascii="Palatino Linotype" w:hAnsi="Palatino Linotype" w:cs="Arial"/>
          <w:b/>
          <w:sz w:val="24"/>
          <w:highlight w:val="yellow"/>
        </w:rPr>
        <w:t xml:space="preserve"> NOTIFÍQUESE</w:t>
      </w:r>
      <w:r w:rsidRPr="004D04EC">
        <w:rPr>
          <w:rFonts w:ascii="Palatino Linotype" w:hAnsi="Palatino Linotype" w:cs="Arial"/>
          <w:i/>
          <w:sz w:val="24"/>
          <w:highlight w:val="yellow"/>
        </w:rPr>
        <w:t xml:space="preserve"> </w:t>
      </w:r>
      <w:r w:rsidRPr="004D04EC">
        <w:rPr>
          <w:rFonts w:ascii="Palatino Linotype" w:hAnsi="Palatino Linotype" w:cs="Arial"/>
          <w:sz w:val="24"/>
          <w:highlight w:val="yellow"/>
        </w:rPr>
        <w:t>la presente resolución al Titular de la Unidad de Transparencia del</w:t>
      </w:r>
      <w:r w:rsidRPr="004D04EC">
        <w:rPr>
          <w:rFonts w:ascii="Palatino Linotype" w:hAnsi="Palatino Linotype" w:cs="Arial"/>
          <w:b/>
          <w:sz w:val="24"/>
          <w:highlight w:val="yellow"/>
        </w:rPr>
        <w:t xml:space="preserve"> Sujeto Obligado</w:t>
      </w:r>
      <w:r w:rsidRPr="004D04EC">
        <w:rPr>
          <w:rFonts w:ascii="Palatino Linotype" w:hAnsi="Palatino Linotype" w:cs="Arial"/>
          <w:sz w:val="24"/>
          <w:highlight w:val="yellow"/>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w:t>
      </w:r>
      <w:r w:rsidRPr="004D04EC">
        <w:rPr>
          <w:rFonts w:ascii="Palatino Linotype" w:hAnsi="Palatino Linotype" w:cs="Arial"/>
          <w:sz w:val="24"/>
          <w:highlight w:val="yellow"/>
        </w:rPr>
        <w:lastRenderedPageBreak/>
        <w:t xml:space="preserve">siguientes sobre el cumplimiento dado a la presente </w:t>
      </w:r>
      <w:r w:rsidRPr="004D04EC">
        <w:rPr>
          <w:rFonts w:ascii="Palatino Linotype" w:hAnsi="Palatino Linotype" w:cs="Arial"/>
          <w:b/>
          <w:sz w:val="24"/>
          <w:szCs w:val="32"/>
          <w:highlight w:val="yellow"/>
          <w:lang w:val="es-ES_tradnl"/>
        </w:rPr>
        <w:t>y</w:t>
      </w:r>
      <w:r w:rsidRPr="004D04EC">
        <w:rPr>
          <w:rFonts w:ascii="Palatino Linotype" w:hAnsi="Palatino Linotype" w:cs="Arial"/>
          <w:sz w:val="24"/>
          <w:szCs w:val="32"/>
          <w:highlight w:val="yellow"/>
          <w:lang w:val="es-ES_tradnl"/>
        </w:rPr>
        <w:t xml:space="preserve"> </w:t>
      </w:r>
      <w:r w:rsidRPr="004D04EC">
        <w:rPr>
          <w:rFonts w:ascii="Palatino Linotype" w:eastAsia="Palatino Linotype" w:hAnsi="Palatino Linotype" w:cs="Palatino Linotype"/>
          <w:b/>
          <w:color w:val="000000"/>
          <w:sz w:val="24"/>
          <w:highlight w:val="yellow"/>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5BC973" w14:textId="77777777" w:rsidR="000C3D2D" w:rsidRPr="004D04EC" w:rsidRDefault="000C3D2D" w:rsidP="000C3D2D">
      <w:pPr>
        <w:autoSpaceDE w:val="0"/>
        <w:autoSpaceDN w:val="0"/>
        <w:adjustRightInd w:val="0"/>
        <w:spacing w:line="360" w:lineRule="auto"/>
        <w:ind w:right="49"/>
        <w:jc w:val="both"/>
        <w:rPr>
          <w:rFonts w:ascii="Palatino Linotype" w:hAnsi="Palatino Linotype" w:cs="Arial"/>
          <w:sz w:val="24"/>
          <w:highlight w:val="yellow"/>
        </w:rPr>
      </w:pPr>
    </w:p>
    <w:p w14:paraId="624C0BA1" w14:textId="77777777" w:rsidR="000C3D2D" w:rsidRPr="004D04EC" w:rsidRDefault="000C3D2D" w:rsidP="000C3D2D">
      <w:pPr>
        <w:autoSpaceDE w:val="0"/>
        <w:autoSpaceDN w:val="0"/>
        <w:adjustRightInd w:val="0"/>
        <w:spacing w:line="360" w:lineRule="auto"/>
        <w:jc w:val="both"/>
        <w:rPr>
          <w:rFonts w:ascii="Palatino Linotype" w:hAnsi="Palatino Linotype" w:cs="Arial"/>
          <w:sz w:val="24"/>
          <w:highlight w:val="yellow"/>
        </w:rPr>
      </w:pPr>
      <w:r w:rsidRPr="004D04EC">
        <w:rPr>
          <w:rFonts w:ascii="Palatino Linotype" w:hAnsi="Palatino Linotype" w:cs="Arial"/>
          <w:b/>
          <w:sz w:val="28"/>
          <w:szCs w:val="28"/>
          <w:highlight w:val="yellow"/>
        </w:rPr>
        <w:t>CUARTO.</w:t>
      </w:r>
      <w:r w:rsidRPr="004D04EC">
        <w:rPr>
          <w:rFonts w:ascii="Palatino Linotype" w:hAnsi="Palatino Linotype" w:cs="Arial"/>
          <w:b/>
          <w:sz w:val="24"/>
          <w:highlight w:val="yellow"/>
        </w:rPr>
        <w:t xml:space="preserve"> </w:t>
      </w:r>
      <w:r w:rsidRPr="004D04EC">
        <w:rPr>
          <w:rFonts w:ascii="Palatino Linotype" w:hAnsi="Palatino Linotype" w:cs="Arial"/>
          <w:sz w:val="24"/>
          <w:highlight w:val="yellow"/>
        </w:rPr>
        <w:t xml:space="preserve">De conformidad con el artículo 198 de la Ley de Transparencia y Acceso a la Información Pública del Estado de México y Municipios, de considerarlo procedente, el </w:t>
      </w:r>
      <w:r w:rsidRPr="004D04EC">
        <w:rPr>
          <w:rFonts w:ascii="Palatino Linotype" w:hAnsi="Palatino Linotype" w:cs="Arial"/>
          <w:b/>
          <w:sz w:val="24"/>
          <w:highlight w:val="yellow"/>
        </w:rPr>
        <w:t>Sujeto Obligado</w:t>
      </w:r>
      <w:r w:rsidRPr="004D04EC">
        <w:rPr>
          <w:rFonts w:ascii="Palatino Linotype" w:hAnsi="Palatino Linotype" w:cs="Arial"/>
          <w:sz w:val="24"/>
          <w:highlight w:val="yellow"/>
        </w:rPr>
        <w:t xml:space="preserve"> de manera fundada y motivada, podrá solicitar una ampliación de plazo para el cumplimiento de la presente resolución.</w:t>
      </w:r>
    </w:p>
    <w:p w14:paraId="1A670AF0" w14:textId="77777777" w:rsidR="000C3D2D" w:rsidRPr="004D04EC" w:rsidRDefault="000C3D2D" w:rsidP="000C3D2D">
      <w:pPr>
        <w:autoSpaceDE w:val="0"/>
        <w:autoSpaceDN w:val="0"/>
        <w:adjustRightInd w:val="0"/>
        <w:spacing w:line="360" w:lineRule="auto"/>
        <w:jc w:val="both"/>
        <w:rPr>
          <w:rFonts w:ascii="Palatino Linotype" w:hAnsi="Palatino Linotype" w:cs="Arial"/>
          <w:sz w:val="24"/>
          <w:highlight w:val="yellow"/>
        </w:rPr>
      </w:pPr>
    </w:p>
    <w:p w14:paraId="7E1B5ECB" w14:textId="31476C42" w:rsidR="000C3D2D" w:rsidRDefault="009F2C45" w:rsidP="000C3D2D">
      <w:pPr>
        <w:autoSpaceDE w:val="0"/>
        <w:autoSpaceDN w:val="0"/>
        <w:adjustRightInd w:val="0"/>
        <w:spacing w:line="360" w:lineRule="auto"/>
        <w:jc w:val="both"/>
        <w:rPr>
          <w:rFonts w:ascii="Palatino Linotype" w:hAnsi="Palatino Linotype" w:cs="Arial"/>
          <w:sz w:val="24"/>
        </w:rPr>
      </w:pPr>
      <w:r>
        <w:rPr>
          <w:rFonts w:ascii="Palatino Linotype" w:hAnsi="Palatino Linotype"/>
          <w:b/>
          <w:noProof/>
          <w:sz w:val="28"/>
          <w:szCs w:val="28"/>
          <w:lang w:eastAsia="es-MX"/>
        </w:rPr>
        <mc:AlternateContent>
          <mc:Choice Requires="wps">
            <w:drawing>
              <wp:anchor distT="0" distB="0" distL="114300" distR="114300" simplePos="0" relativeHeight="251671552" behindDoc="0" locked="0" layoutInCell="1" allowOverlap="1" wp14:anchorId="1C10E177" wp14:editId="2F21EE68">
                <wp:simplePos x="0" y="0"/>
                <wp:positionH relativeFrom="column">
                  <wp:posOffset>39385</wp:posOffset>
                </wp:positionH>
                <wp:positionV relativeFrom="paragraph">
                  <wp:posOffset>1581463</wp:posOffset>
                </wp:positionV>
                <wp:extent cx="5759533" cy="2149434"/>
                <wp:effectExtent l="0" t="0" r="31750" b="22860"/>
                <wp:wrapNone/>
                <wp:docPr id="780491803" name="Conector recto 1"/>
                <wp:cNvGraphicFramePr/>
                <a:graphic xmlns:a="http://schemas.openxmlformats.org/drawingml/2006/main">
                  <a:graphicData uri="http://schemas.microsoft.com/office/word/2010/wordprocessingShape">
                    <wps:wsp>
                      <wps:cNvCnPr/>
                      <wps:spPr>
                        <a:xfrm>
                          <a:off x="0" y="0"/>
                          <a:ext cx="5759533" cy="21494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1BFF37" id="Conector recto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1pt,124.5pt" to="456.6pt,2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" strokecolor="#5b9bd5 [3204]" strokeweight=".5pt">
                <v:stroke joinstyle="miter"/>
              </v:line>
            </w:pict>
          </mc:Fallback>
        </mc:AlternateContent>
      </w:r>
      <w:r w:rsidR="000C3D2D" w:rsidRPr="004D04EC">
        <w:rPr>
          <w:rFonts w:ascii="Palatino Linotype" w:hAnsi="Palatino Linotype"/>
          <w:b/>
          <w:sz w:val="28"/>
          <w:szCs w:val="28"/>
          <w:highlight w:val="yellow"/>
        </w:rPr>
        <w:t>QUINTO.</w:t>
      </w:r>
      <w:r w:rsidR="000C3D2D" w:rsidRPr="004D04EC">
        <w:rPr>
          <w:rFonts w:ascii="Palatino Linotype" w:hAnsi="Palatino Linotype"/>
          <w:b/>
          <w:highlight w:val="yellow"/>
        </w:rPr>
        <w:t xml:space="preserve"> </w:t>
      </w:r>
      <w:r w:rsidR="000C3D2D" w:rsidRPr="004D04EC">
        <w:rPr>
          <w:rFonts w:ascii="Palatino Linotype" w:hAnsi="Palatino Linotype" w:cs="Arial"/>
          <w:b/>
          <w:sz w:val="24"/>
          <w:highlight w:val="yellow"/>
        </w:rPr>
        <w:t>NOTIFÍQUESE</w:t>
      </w:r>
      <w:r w:rsidR="000C3D2D" w:rsidRPr="004D04EC">
        <w:rPr>
          <w:rFonts w:ascii="Palatino Linotype" w:hAnsi="Palatino Linotype" w:cs="Arial"/>
          <w:sz w:val="24"/>
          <w:highlight w:val="yellow"/>
        </w:rPr>
        <w:t xml:space="preserve"> a través del Sistema de Acceso a la Información Mexiquense (SAIMEX), al </w:t>
      </w:r>
      <w:r w:rsidR="000C3D2D" w:rsidRPr="004D04EC">
        <w:rPr>
          <w:rFonts w:ascii="Palatino Linotype" w:hAnsi="Palatino Linotype" w:cs="Arial"/>
          <w:b/>
          <w:sz w:val="24"/>
          <w:highlight w:val="yellow"/>
        </w:rPr>
        <w:t>Recurrente</w:t>
      </w:r>
      <w:r w:rsidR="000C3D2D" w:rsidRPr="004D04EC">
        <w:rPr>
          <w:rFonts w:ascii="Palatino Linotype" w:hAnsi="Palatino Linotype" w:cs="Arial"/>
          <w:sz w:val="24"/>
          <w:highlight w:val="yellow"/>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7B108821" w14:textId="77777777" w:rsidR="00322813" w:rsidRDefault="00322813" w:rsidP="0033283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0FD63BDD" w14:textId="77777777" w:rsidR="009F2C45" w:rsidRDefault="009F2C45" w:rsidP="0033283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68AEC6F2" w14:textId="77777777" w:rsidR="009F2C45" w:rsidRDefault="009F2C45" w:rsidP="0033283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3C48FF2C" w14:textId="77777777" w:rsidR="009F2C45" w:rsidRDefault="009F2C45" w:rsidP="0033283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B11FCCE" w14:textId="77777777" w:rsidR="009F2C45" w:rsidRPr="00F76430" w:rsidRDefault="009F2C45" w:rsidP="0033283B">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444359E4" w14:textId="77777777" w:rsidR="0033283B" w:rsidRPr="00F444C4" w:rsidRDefault="0033283B" w:rsidP="0033283B">
      <w:pPr>
        <w:spacing w:after="0" w:line="360" w:lineRule="auto"/>
        <w:jc w:val="both"/>
        <w:rPr>
          <w:rFonts w:ascii="Palatino Linotype" w:eastAsia="Times New Roman" w:hAnsi="Palatino Linotype" w:cs="Arial"/>
          <w:sz w:val="24"/>
          <w:szCs w:val="24"/>
          <w:lang w:eastAsia="es-MX"/>
        </w:rPr>
      </w:pPr>
      <w:r w:rsidRPr="00F444C4">
        <w:rPr>
          <w:rFonts w:ascii="Palatino Linotype" w:eastAsia="Times New Roman" w:hAnsi="Palatino Linotype" w:cs="Arial"/>
          <w:sz w:val="24"/>
          <w:szCs w:val="24"/>
          <w:lang w:val="es-ES_tradnl" w:eastAsia="es-MX"/>
        </w:rPr>
        <w:t>ASÍ LO RESUELVE, POR UNANIMIDAD DE VOTOS EL PLENO DEL</w:t>
      </w:r>
      <w:r w:rsidRPr="00F444C4">
        <w:rPr>
          <w:rFonts w:ascii="Palatino Linotype" w:eastAsia="Arial Unicode MS" w:hAnsi="Palatino Linotype" w:cs="Arial"/>
          <w:sz w:val="24"/>
          <w:szCs w:val="24"/>
          <w:lang w:val="es-ES_tradnl" w:eastAsia="es-MX"/>
        </w:rPr>
        <w:t xml:space="preserve"> INSTITUTO DE TRANSPARENCIA, ACCESO A LA INFORMACIÓN PÚBLICA Y PROTECCIÓN DE DATOS PERSONALES DEL ESTADO DE MÉXICO Y MUNICIPIOS</w:t>
      </w:r>
      <w:r w:rsidRPr="00F444C4">
        <w:rPr>
          <w:rFonts w:ascii="Palatino Linotype" w:eastAsia="Times New Roman" w:hAnsi="Palatino Linotype" w:cs="Arial"/>
          <w:sz w:val="24"/>
          <w:szCs w:val="24"/>
          <w:lang w:val="es-ES_tradnl" w:eastAsia="es-MX"/>
        </w:rPr>
        <w:t>, CONFORMADO POR LOS COMISIONADOS JOSÉ MARTÍNEZ VILCHIS, MARÍA DEL ROSARIO MEJÍA AYALA, SHARON CRISTINA MORALES MARTÍNEZ, LUIS GUSTAVO PARRA NORIEGA Y GUADALUPE RAMÍREZ PEÑA, EN LA</w:t>
      </w:r>
      <w:r w:rsidR="00264C36">
        <w:rPr>
          <w:rFonts w:ascii="Palatino Linotype" w:eastAsia="Times New Roman" w:hAnsi="Palatino Linotype" w:cs="Arial"/>
          <w:sz w:val="24"/>
          <w:szCs w:val="24"/>
          <w:lang w:val="es-419" w:eastAsia="es-MX"/>
        </w:rPr>
        <w:t xml:space="preserve"> DÉCIMA PRIMERA</w:t>
      </w:r>
      <w:r>
        <w:rPr>
          <w:rFonts w:ascii="Palatino Linotype" w:eastAsia="Times New Roman" w:hAnsi="Palatino Linotype" w:cs="Arial"/>
          <w:sz w:val="24"/>
          <w:szCs w:val="24"/>
          <w:lang w:val="es-419" w:eastAsia="es-MX"/>
        </w:rPr>
        <w:t xml:space="preserve"> SESIÓN </w:t>
      </w:r>
      <w:r w:rsidRPr="00F444C4">
        <w:rPr>
          <w:rFonts w:ascii="Palatino Linotype" w:eastAsia="Times New Roman" w:hAnsi="Palatino Linotype" w:cs="Arial"/>
          <w:sz w:val="24"/>
          <w:szCs w:val="24"/>
          <w:lang w:val="es-419" w:eastAsia="es-MX"/>
        </w:rPr>
        <w:t xml:space="preserve">ORDINARIA CELEBRADA EL </w:t>
      </w:r>
      <w:r w:rsidR="00264C36">
        <w:rPr>
          <w:rFonts w:ascii="Palatino Linotype" w:eastAsia="Times New Roman" w:hAnsi="Palatino Linotype" w:cs="Arial"/>
          <w:sz w:val="24"/>
          <w:szCs w:val="24"/>
          <w:lang w:val="es-419" w:eastAsia="es-MX"/>
        </w:rPr>
        <w:t xml:space="preserve">TRES DE ABRIL </w:t>
      </w:r>
      <w:r w:rsidRPr="00F444C4">
        <w:rPr>
          <w:rFonts w:ascii="Palatino Linotype" w:eastAsia="Times New Roman" w:hAnsi="Palatino Linotype" w:cs="Arial"/>
          <w:sz w:val="24"/>
          <w:szCs w:val="24"/>
          <w:lang w:val="es-419" w:eastAsia="es-MX"/>
        </w:rPr>
        <w:t>DE DOS MIL VEINTICUATRO</w:t>
      </w:r>
      <w:r w:rsidRPr="00F444C4">
        <w:rPr>
          <w:rFonts w:ascii="Palatino Linotype" w:eastAsia="Times New Roman" w:hAnsi="Palatino Linotype" w:cs="Arial"/>
          <w:sz w:val="24"/>
          <w:szCs w:val="24"/>
          <w:lang w:val="es-ES_tradnl" w:eastAsia="es-MX"/>
        </w:rPr>
        <w:t xml:space="preserve">, ANTE EL ANTE EL SECRETARIO TÉCNICO DEL PLENO, ALEXIS TAPIA RAMÍREZ. </w:t>
      </w:r>
    </w:p>
    <w:p w14:paraId="66DC5C10" w14:textId="77777777" w:rsidR="0033283B" w:rsidRPr="00F444C4" w:rsidRDefault="0033283B" w:rsidP="0033283B">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w:t>
      </w:r>
    </w:p>
    <w:p w14:paraId="2EC4C2A8" w14:textId="77777777" w:rsidR="0033283B" w:rsidRPr="00F444C4" w:rsidRDefault="0033283B" w:rsidP="0033283B">
      <w:pPr>
        <w:spacing w:after="0" w:line="360" w:lineRule="auto"/>
        <w:jc w:val="both"/>
        <w:rPr>
          <w:rFonts w:ascii="Palatino Linotype" w:eastAsia="Times New Roman" w:hAnsi="Palatino Linotype" w:cs="Arial"/>
          <w:sz w:val="24"/>
          <w:szCs w:val="24"/>
          <w:lang w:val="es-ES_tradnl" w:eastAsia="es-MX"/>
        </w:rPr>
      </w:pPr>
      <w:r w:rsidRPr="00F444C4">
        <w:rPr>
          <w:rFonts w:ascii="Palatino Linotype" w:eastAsia="Times New Roman" w:hAnsi="Palatino Linotype" w:cs="Arial"/>
          <w:sz w:val="24"/>
          <w:szCs w:val="24"/>
          <w:lang w:val="es-ES_tradnl" w:eastAsia="es-MX"/>
        </w:rPr>
        <w:t>---------------------------------------------------------------------------------------------------------------------------------------------------------------------------------------------------------------------------------------------------------------------------------------------------------------------------------------------------------</w:t>
      </w:r>
    </w:p>
    <w:p w14:paraId="4D6C6FA3" w14:textId="77777777" w:rsidR="0033283B" w:rsidRPr="00F444C4" w:rsidRDefault="0033283B" w:rsidP="0033283B">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4"/>
          <w:szCs w:val="24"/>
          <w:lang w:val="es-ES_tradnl" w:eastAsia="es-MX"/>
        </w:rPr>
        <w:t>-------------------------------------------------------------------------------------------------------------------</w:t>
      </w:r>
    </w:p>
    <w:p w14:paraId="54039A6D" w14:textId="77777777" w:rsidR="0033283B" w:rsidRPr="00F444C4" w:rsidRDefault="0033283B" w:rsidP="0033283B">
      <w:pPr>
        <w:spacing w:after="0" w:line="360" w:lineRule="auto"/>
        <w:jc w:val="both"/>
        <w:rPr>
          <w:rFonts w:ascii="Palatino Linotype" w:eastAsia="Times New Roman" w:hAnsi="Palatino Linotype" w:cs="Arial"/>
          <w:sz w:val="20"/>
          <w:lang w:val="es-ES_tradnl" w:eastAsia="es-MX"/>
        </w:rPr>
      </w:pPr>
      <w:r w:rsidRPr="00F444C4">
        <w:rPr>
          <w:rFonts w:ascii="Palatino Linotype" w:eastAsia="Times New Roman" w:hAnsi="Palatino Linotype" w:cs="Arial"/>
          <w:sz w:val="20"/>
          <w:lang w:val="es-ES_tradnl" w:eastAsia="es-MX"/>
        </w:rPr>
        <w:t>JMV/CCR/NJMB</w:t>
      </w:r>
    </w:p>
    <w:p w14:paraId="29483C1D" w14:textId="77777777" w:rsidR="0033283B" w:rsidRPr="00F444C4" w:rsidRDefault="0033283B" w:rsidP="0033283B">
      <w:pPr>
        <w:spacing w:after="0" w:line="360" w:lineRule="auto"/>
        <w:jc w:val="both"/>
        <w:rPr>
          <w:rFonts w:ascii="Palatino Linotype" w:eastAsia="Times New Roman" w:hAnsi="Palatino Linotype" w:cs="Arial"/>
          <w:sz w:val="20"/>
          <w:lang w:val="es-ES_tradnl" w:eastAsia="es-MX"/>
        </w:rPr>
      </w:pPr>
    </w:p>
    <w:p w14:paraId="5336E952" w14:textId="77777777" w:rsidR="0033283B" w:rsidRPr="00F444C4" w:rsidRDefault="0033283B" w:rsidP="0033283B">
      <w:pPr>
        <w:spacing w:after="0" w:line="360" w:lineRule="auto"/>
        <w:jc w:val="both"/>
        <w:rPr>
          <w:rFonts w:ascii="Palatino Linotype" w:eastAsia="Times New Roman" w:hAnsi="Palatino Linotype" w:cs="Arial"/>
          <w:sz w:val="20"/>
          <w:lang w:val="es-ES_tradnl" w:eastAsia="es-MX"/>
        </w:rPr>
      </w:pPr>
    </w:p>
    <w:p w14:paraId="7CA1BEE2"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424EAF8"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77572A7F"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6063462"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17148353"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8FEB3F7"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2E4AAFAC"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02422205"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3E1FC6B3" w14:textId="77777777" w:rsidR="0033283B" w:rsidRPr="00F444C4" w:rsidRDefault="0033283B" w:rsidP="0033283B">
      <w:pPr>
        <w:spacing w:after="0" w:line="360" w:lineRule="auto"/>
        <w:contextualSpacing/>
        <w:jc w:val="both"/>
        <w:rPr>
          <w:rFonts w:ascii="Palatino Linotype" w:eastAsia="Times New Roman" w:hAnsi="Palatino Linotype" w:cs="Palatino Linotype"/>
          <w:color w:val="000000"/>
          <w:sz w:val="20"/>
          <w:szCs w:val="20"/>
          <w:lang w:val="es-ES_tradnl" w:eastAsia="es-MX"/>
        </w:rPr>
      </w:pPr>
    </w:p>
    <w:p w14:paraId="6416934D"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p>
    <w:p w14:paraId="511DCC62"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p>
    <w:p w14:paraId="7F36BC84"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p>
    <w:p w14:paraId="71EB09E3" w14:textId="77777777" w:rsidR="0033283B" w:rsidRPr="00F444C4" w:rsidRDefault="0033283B" w:rsidP="0033283B">
      <w:pPr>
        <w:spacing w:after="0" w:line="360" w:lineRule="auto"/>
        <w:jc w:val="both"/>
        <w:rPr>
          <w:rFonts w:ascii="Palatino Linotype" w:eastAsia="Times New Roman" w:hAnsi="Palatino Linotype" w:cs="Calibri"/>
          <w:sz w:val="24"/>
          <w:lang w:val="es-ES_tradnl" w:eastAsia="es-MX"/>
        </w:rPr>
      </w:pPr>
    </w:p>
    <w:p w14:paraId="60E74612" w14:textId="77777777" w:rsidR="0033283B" w:rsidRDefault="0033283B" w:rsidP="0033283B"/>
    <w:p w14:paraId="2377FD14" w14:textId="77777777" w:rsidR="0033283B" w:rsidRDefault="0033283B" w:rsidP="0033283B"/>
    <w:p w14:paraId="4D34A841" w14:textId="77777777" w:rsidR="0033283B" w:rsidRDefault="0033283B" w:rsidP="0033283B"/>
    <w:p w14:paraId="7827A418" w14:textId="77777777" w:rsidR="0033283B" w:rsidRDefault="0033283B" w:rsidP="0033283B"/>
    <w:p w14:paraId="23CF2ECC" w14:textId="77777777" w:rsidR="006313B9" w:rsidRDefault="006313B9"/>
    <w:sectPr w:rsidR="006313B9" w:rsidSect="0033283B">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6F4B6" w14:textId="77777777" w:rsidR="004E3831" w:rsidRDefault="004E3831" w:rsidP="0033283B">
      <w:pPr>
        <w:spacing w:after="0" w:line="240" w:lineRule="auto"/>
      </w:pPr>
      <w:r>
        <w:separator/>
      </w:r>
    </w:p>
  </w:endnote>
  <w:endnote w:type="continuationSeparator" w:id="0">
    <w:p w14:paraId="23EFF524" w14:textId="77777777" w:rsidR="004E3831" w:rsidRDefault="004E3831" w:rsidP="00332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C161A" w14:textId="77777777" w:rsidR="000C3D2D" w:rsidRPr="00871A91" w:rsidRDefault="000C3D2D" w:rsidP="0033283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4154D">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4154D">
      <w:rPr>
        <w:rFonts w:ascii="Palatino Linotype" w:hAnsi="Palatino Linotype"/>
        <w:b/>
        <w:bCs/>
        <w:noProof/>
        <w:sz w:val="20"/>
      </w:rPr>
      <w:t>65</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48146" w14:textId="77777777" w:rsidR="000C3D2D" w:rsidRPr="00871A91" w:rsidRDefault="000C3D2D" w:rsidP="0033283B">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4154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4154D">
      <w:rPr>
        <w:rFonts w:ascii="Palatino Linotype" w:hAnsi="Palatino Linotype"/>
        <w:b/>
        <w:bCs/>
        <w:noProof/>
        <w:sz w:val="20"/>
      </w:rPr>
      <w:t>65</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160F9" w14:textId="77777777" w:rsidR="004E3831" w:rsidRDefault="004E3831" w:rsidP="0033283B">
      <w:pPr>
        <w:spacing w:after="0" w:line="240" w:lineRule="auto"/>
      </w:pPr>
      <w:r>
        <w:separator/>
      </w:r>
    </w:p>
  </w:footnote>
  <w:footnote w:type="continuationSeparator" w:id="0">
    <w:p w14:paraId="05D6F98A" w14:textId="77777777" w:rsidR="004E3831" w:rsidRDefault="004E3831" w:rsidP="0033283B">
      <w:pPr>
        <w:spacing w:after="0" w:line="240" w:lineRule="auto"/>
      </w:pPr>
      <w:r>
        <w:continuationSeparator/>
      </w:r>
    </w:p>
  </w:footnote>
  <w:footnote w:id="1">
    <w:p w14:paraId="127E1AAF" w14:textId="77777777" w:rsidR="000C3D2D" w:rsidRPr="0031280C" w:rsidRDefault="000C3D2D" w:rsidP="0033283B">
      <w:pPr>
        <w:spacing w:line="240" w:lineRule="auto"/>
        <w:rPr>
          <w:rFonts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AD25B4F" w14:textId="77777777" w:rsidR="000C3D2D" w:rsidRPr="0031280C" w:rsidRDefault="000C3D2D" w:rsidP="0033283B">
      <w:pPr>
        <w:spacing w:line="240" w:lineRule="auto"/>
        <w:rPr>
          <w:rFonts w:cs="Palatino Linotype"/>
          <w:color w:val="000000"/>
          <w:sz w:val="20"/>
          <w:szCs w:val="20"/>
        </w:rPr>
      </w:pPr>
    </w:p>
    <w:p w14:paraId="43058DDC" w14:textId="77777777" w:rsidR="000C3D2D" w:rsidRPr="0031280C" w:rsidRDefault="000C3D2D" w:rsidP="0033283B">
      <w:pPr>
        <w:spacing w:line="240" w:lineRule="auto"/>
        <w:rPr>
          <w:rFonts w:cs="Palatino Linotype"/>
          <w:b/>
          <w:i/>
          <w:sz w:val="20"/>
          <w:szCs w:val="20"/>
        </w:rPr>
      </w:pPr>
      <w:r w:rsidRPr="0031280C">
        <w:rPr>
          <w:rFonts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720188C" w14:textId="77777777" w:rsidR="000C3D2D" w:rsidRPr="00783A97" w:rsidRDefault="000C3D2D" w:rsidP="0033283B">
      <w:pPr>
        <w:spacing w:line="240" w:lineRule="auto"/>
        <w:jc w:val="both"/>
        <w:rPr>
          <w:rFonts w:cs="Palatino Linotype"/>
          <w:i/>
          <w:sz w:val="20"/>
          <w:szCs w:val="20"/>
        </w:rPr>
      </w:pPr>
      <w:r w:rsidRPr="0031280C">
        <w:rPr>
          <w:rFonts w:cs="Palatino Linotype"/>
          <w:i/>
          <w:sz w:val="20"/>
          <w:szCs w:val="20"/>
        </w:rPr>
        <w:t>Del examen de compatibilidad de los artículos</w:t>
      </w:r>
      <w:r>
        <w:rPr>
          <w:rFonts w:cs="Palatino Linotype"/>
          <w:i/>
          <w:sz w:val="20"/>
          <w:szCs w:val="20"/>
        </w:rPr>
        <w:t xml:space="preserve"> </w:t>
      </w:r>
      <w:hyperlink r:id="rId1">
        <w:r w:rsidRPr="0031280C">
          <w:rPr>
            <w:rFonts w:cs="Palatino Linotype"/>
            <w:i/>
            <w:color w:val="000000"/>
            <w:sz w:val="20"/>
            <w:szCs w:val="20"/>
            <w:u w:val="single"/>
          </w:rPr>
          <w:t>73 y 74 de la Ley de Amparo</w:t>
        </w:r>
      </w:hyperlink>
      <w:r>
        <w:rPr>
          <w:rFonts w:cs="Palatino Linotype"/>
          <w:i/>
          <w:sz w:val="20"/>
          <w:szCs w:val="20"/>
        </w:rPr>
        <w:t xml:space="preserve"> </w:t>
      </w:r>
      <w:r w:rsidRPr="0031280C">
        <w:rPr>
          <w:rFonts w:cs="Palatino Linotype"/>
          <w:i/>
          <w:sz w:val="20"/>
          <w:szCs w:val="20"/>
        </w:rPr>
        <w:t>con el artículo</w:t>
      </w:r>
      <w:r>
        <w:rPr>
          <w:rFonts w:cs="Palatino Linotype"/>
          <w:i/>
          <w:sz w:val="20"/>
          <w:szCs w:val="20"/>
        </w:rPr>
        <w:t xml:space="preserve"> </w:t>
      </w:r>
      <w:hyperlink r:id="rId2">
        <w:r w:rsidRPr="0031280C">
          <w:rPr>
            <w:rFonts w:cs="Palatino Linotype"/>
            <w:i/>
            <w:color w:val="000000"/>
            <w:sz w:val="20"/>
            <w:szCs w:val="20"/>
            <w:u w:val="single"/>
          </w:rPr>
          <w:t>25.1 de la Convención Americana sobre Derechos Humanos</w:t>
        </w:r>
      </w:hyperlink>
      <w:r>
        <w:rPr>
          <w:rFonts w:cs="Palatino Linotype"/>
          <w:i/>
          <w:sz w:val="20"/>
          <w:szCs w:val="20"/>
        </w:rPr>
        <w:t xml:space="preserve"> </w:t>
      </w:r>
      <w:r w:rsidRPr="0031280C">
        <w:rPr>
          <w:rFonts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1280C">
        <w:rPr>
          <w:rFonts w:cs="Palatino Linotype"/>
          <w:i/>
          <w:sz w:val="20"/>
          <w:szCs w:val="20"/>
        </w:rPr>
        <w:t>concesoria</w:t>
      </w:r>
      <w:proofErr w:type="spellEnd"/>
      <w:r w:rsidRPr="0031280C">
        <w:rPr>
          <w:rFonts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20A0C" w14:textId="77777777" w:rsidR="000C3D2D" w:rsidRDefault="0004154D">
    <w:pPr>
      <w:pStyle w:val="Encabezado"/>
    </w:pPr>
    <w:r>
      <w:rPr>
        <w:noProof/>
        <w:lang w:val="es-MX" w:eastAsia="es-MX"/>
      </w:rPr>
      <w:pict w14:anchorId="2A3FD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6192;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C3D2D" w:rsidRPr="00B17577" w14:paraId="68011344" w14:textId="77777777" w:rsidTr="0033283B">
      <w:trPr>
        <w:trHeight w:val="227"/>
      </w:trPr>
      <w:tc>
        <w:tcPr>
          <w:tcW w:w="5103" w:type="dxa"/>
          <w:hideMark/>
        </w:tcPr>
        <w:p w14:paraId="03B26427" w14:textId="77777777" w:rsidR="000C3D2D" w:rsidRPr="00F70BDE" w:rsidRDefault="000C3D2D" w:rsidP="0033283B">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6DB8DCF2" w14:textId="77777777" w:rsidR="000C3D2D" w:rsidRPr="00F70BDE" w:rsidRDefault="000C3D2D" w:rsidP="0033283B">
          <w:pPr>
            <w:spacing w:after="120" w:line="240" w:lineRule="auto"/>
            <w:ind w:right="71"/>
            <w:jc w:val="right"/>
            <w:rPr>
              <w:rFonts w:ascii="Palatino Linotype" w:hAnsi="Palatino Linotype" w:cs="Arial"/>
              <w:b/>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0230/INFOEM/IP/RR/2024</w:t>
          </w:r>
        </w:p>
      </w:tc>
    </w:tr>
    <w:tr w:rsidR="000C3D2D" w14:paraId="434CD1E7" w14:textId="77777777" w:rsidTr="0033283B">
      <w:trPr>
        <w:trHeight w:val="242"/>
      </w:trPr>
      <w:tc>
        <w:tcPr>
          <w:tcW w:w="5103" w:type="dxa"/>
          <w:hideMark/>
        </w:tcPr>
        <w:p w14:paraId="0C4D1284" w14:textId="77777777" w:rsidR="000C3D2D" w:rsidRPr="00F70BDE" w:rsidRDefault="000C3D2D" w:rsidP="0033283B">
          <w:pPr>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03CBFA45" w14:textId="77777777" w:rsidR="000C3D2D" w:rsidRPr="00F70BDE" w:rsidRDefault="000C3D2D" w:rsidP="0033283B">
          <w:pPr>
            <w:spacing w:after="120" w:line="240" w:lineRule="auto"/>
            <w:ind w:left="-81" w:right="71"/>
            <w:jc w:val="right"/>
            <w:rPr>
              <w:rFonts w:ascii="Palatino Linotype" w:hAnsi="Palatino Linotype" w:cs="Arial"/>
              <w:sz w:val="24"/>
              <w:szCs w:val="24"/>
            </w:rPr>
          </w:pPr>
          <w:r w:rsidRPr="0033283B">
            <w:rPr>
              <w:rFonts w:ascii="Palatino Linotype" w:hAnsi="Palatino Linotype"/>
              <w:b/>
              <w:bCs/>
              <w:color w:val="000000"/>
              <w:sz w:val="24"/>
              <w:szCs w:val="24"/>
            </w:rPr>
            <w:t>Organismo Público Descentralizado para la Prestación de Los Servicios de Agua Potable Alcantarillado y Saneamiento del Municipio de Tlalnepantla de Baz</w:t>
          </w:r>
        </w:p>
      </w:tc>
    </w:tr>
    <w:tr w:rsidR="000C3D2D" w:rsidRPr="00F63239" w14:paraId="307BB2A7" w14:textId="77777777" w:rsidTr="0033283B">
      <w:trPr>
        <w:trHeight w:val="342"/>
      </w:trPr>
      <w:tc>
        <w:tcPr>
          <w:tcW w:w="5103" w:type="dxa"/>
          <w:hideMark/>
        </w:tcPr>
        <w:p w14:paraId="751D6487" w14:textId="77777777" w:rsidR="000C3D2D" w:rsidRPr="00F70BDE" w:rsidRDefault="000C3D2D" w:rsidP="0033283B">
          <w:pPr>
            <w:tabs>
              <w:tab w:val="left" w:pos="4892"/>
            </w:tabs>
            <w:spacing w:after="120" w:line="240" w:lineRule="auto"/>
            <w:ind w:right="69"/>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03A6988A" w14:textId="77777777" w:rsidR="000C3D2D" w:rsidRPr="00F70BDE" w:rsidRDefault="000C3D2D" w:rsidP="0033283B">
          <w:pPr>
            <w:spacing w:after="120" w:line="240" w:lineRule="auto"/>
            <w:ind w:left="-486" w:right="71"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p w14:paraId="2936A599" w14:textId="77777777" w:rsidR="000C3D2D" w:rsidRPr="00F70BDE" w:rsidRDefault="000C3D2D" w:rsidP="0033283B">
          <w:pPr>
            <w:spacing w:after="120" w:line="240" w:lineRule="auto"/>
            <w:ind w:left="-486" w:right="71" w:firstLine="567"/>
            <w:jc w:val="right"/>
            <w:rPr>
              <w:rFonts w:ascii="Palatino Linotype" w:hAnsi="Palatino Linotype" w:cs="Arial"/>
              <w:sz w:val="24"/>
              <w:szCs w:val="24"/>
            </w:rPr>
          </w:pPr>
        </w:p>
      </w:tc>
    </w:tr>
  </w:tbl>
  <w:p w14:paraId="148182DE" w14:textId="77777777" w:rsidR="000C3D2D" w:rsidRPr="00871A91" w:rsidRDefault="0004154D">
    <w:pPr>
      <w:pStyle w:val="Encabezado"/>
      <w:rPr>
        <w:sz w:val="2"/>
      </w:rPr>
    </w:pPr>
    <w:r>
      <w:rPr>
        <w:noProof/>
        <w:lang w:val="es-MX" w:eastAsia="es-MX"/>
      </w:rPr>
      <w:pict w14:anchorId="6DFFA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55pt;margin-top:-142.95pt;width:609.4pt;height:793.75pt;z-index:-251655168;mso-wrap-edited:f;mso-position-horizontal-relative:margin;mso-position-vertical-relative:margin" o:allowincell="f">
          <v:imagedata r:id="rId1" o:title=""/>
          <w10:wrap anchorx="margin" anchory="margin"/>
        </v:shape>
      </w:pict>
    </w:r>
    <w:r w:rsidR="000C3D2D">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0C3D2D" w:rsidRPr="00F70BDE" w14:paraId="70489F2F" w14:textId="77777777" w:rsidTr="0033283B">
      <w:trPr>
        <w:trHeight w:val="227"/>
      </w:trPr>
      <w:tc>
        <w:tcPr>
          <w:tcW w:w="5103" w:type="dxa"/>
          <w:hideMark/>
        </w:tcPr>
        <w:p w14:paraId="19FAE132" w14:textId="77777777" w:rsidR="000C3D2D" w:rsidRPr="00F70BDE" w:rsidRDefault="000C3D2D" w:rsidP="0033283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Recurso de Revisión:</w:t>
          </w:r>
        </w:p>
      </w:tc>
      <w:tc>
        <w:tcPr>
          <w:tcW w:w="4395" w:type="dxa"/>
          <w:hideMark/>
        </w:tcPr>
        <w:p w14:paraId="489DFEE6" w14:textId="77777777" w:rsidR="000C3D2D" w:rsidRPr="00F70BDE" w:rsidRDefault="000C3D2D" w:rsidP="0033283B">
          <w:pPr>
            <w:spacing w:after="120" w:line="240" w:lineRule="auto"/>
            <w:ind w:left="-486" w:right="68" w:firstLine="558"/>
            <w:jc w:val="right"/>
            <w:rPr>
              <w:rFonts w:ascii="Palatino Linotype" w:hAnsi="Palatino Linotype" w:cs="Arial"/>
              <w:b/>
              <w:bCs/>
              <w:sz w:val="24"/>
              <w:szCs w:val="24"/>
            </w:rPr>
          </w:pPr>
          <w:r w:rsidRPr="00F70BDE">
            <w:rPr>
              <w:rFonts w:ascii="Palatino Linotype" w:hAnsi="Palatino Linotype" w:cs="Arial"/>
              <w:b/>
              <w:bCs/>
              <w:sz w:val="24"/>
              <w:szCs w:val="24"/>
            </w:rPr>
            <w:t>0</w:t>
          </w:r>
          <w:r>
            <w:rPr>
              <w:rFonts w:ascii="Palatino Linotype" w:hAnsi="Palatino Linotype" w:cs="Arial"/>
              <w:b/>
              <w:bCs/>
              <w:sz w:val="24"/>
              <w:szCs w:val="24"/>
            </w:rPr>
            <w:t>0230/INFOEM/IP/RR/2024</w:t>
          </w:r>
        </w:p>
      </w:tc>
    </w:tr>
    <w:tr w:rsidR="000C3D2D" w:rsidRPr="00F70BDE" w14:paraId="19246D68" w14:textId="77777777" w:rsidTr="0033283B">
      <w:trPr>
        <w:trHeight w:val="227"/>
      </w:trPr>
      <w:tc>
        <w:tcPr>
          <w:tcW w:w="5103" w:type="dxa"/>
        </w:tcPr>
        <w:p w14:paraId="2D0FC1EA" w14:textId="77777777" w:rsidR="000C3D2D" w:rsidRPr="00F70BDE" w:rsidRDefault="000C3D2D" w:rsidP="0033283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 xml:space="preserve">Recurrente:     </w:t>
          </w:r>
        </w:p>
      </w:tc>
      <w:tc>
        <w:tcPr>
          <w:tcW w:w="4395" w:type="dxa"/>
        </w:tcPr>
        <w:p w14:paraId="508F00F4" w14:textId="5C74D87E" w:rsidR="000C3D2D" w:rsidRPr="00F70BDE" w:rsidRDefault="0004154D" w:rsidP="0033283B">
          <w:pPr>
            <w:spacing w:after="120" w:line="240" w:lineRule="auto"/>
            <w:ind w:left="-486" w:right="68" w:firstLine="558"/>
            <w:jc w:val="right"/>
            <w:rPr>
              <w:rFonts w:ascii="Palatino Linotype" w:hAnsi="Palatino Linotype" w:cs="Arial"/>
              <w:b/>
              <w:bCs/>
              <w:sz w:val="24"/>
              <w:szCs w:val="24"/>
            </w:rPr>
          </w:pPr>
          <w:r>
            <w:rPr>
              <w:rFonts w:ascii="Palatino Linotype" w:hAnsi="Palatino Linotype" w:cs="Arial"/>
              <w:b/>
              <w:bCs/>
              <w:sz w:val="24"/>
              <w:szCs w:val="24"/>
            </w:rPr>
            <w:t>XXXXXXXXXXXXXXXXXXXXXXX</w:t>
          </w:r>
        </w:p>
      </w:tc>
    </w:tr>
    <w:tr w:rsidR="000C3D2D" w:rsidRPr="00F70BDE" w14:paraId="4F149FE9" w14:textId="77777777" w:rsidTr="0033283B">
      <w:trPr>
        <w:trHeight w:val="242"/>
      </w:trPr>
      <w:tc>
        <w:tcPr>
          <w:tcW w:w="5103" w:type="dxa"/>
          <w:hideMark/>
        </w:tcPr>
        <w:p w14:paraId="2585DD50" w14:textId="77777777" w:rsidR="000C3D2D" w:rsidRPr="00F70BDE" w:rsidRDefault="000C3D2D" w:rsidP="0033283B">
          <w:pPr>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Sujeto Obligado:</w:t>
          </w:r>
        </w:p>
      </w:tc>
      <w:tc>
        <w:tcPr>
          <w:tcW w:w="4395" w:type="dxa"/>
          <w:hideMark/>
        </w:tcPr>
        <w:p w14:paraId="1B881830" w14:textId="77777777" w:rsidR="000C3D2D" w:rsidRPr="0033283B" w:rsidRDefault="000C3D2D" w:rsidP="0033283B">
          <w:pPr>
            <w:spacing w:after="120" w:line="240" w:lineRule="auto"/>
            <w:ind w:left="-70" w:right="68"/>
            <w:jc w:val="right"/>
            <w:rPr>
              <w:rFonts w:ascii="Palatino Linotype" w:hAnsi="Palatino Linotype" w:cs="Arial"/>
              <w:sz w:val="24"/>
              <w:szCs w:val="24"/>
            </w:rPr>
          </w:pPr>
          <w:r w:rsidRPr="0033283B">
            <w:rPr>
              <w:rFonts w:ascii="Palatino Linotype" w:hAnsi="Palatino Linotype"/>
              <w:b/>
              <w:bCs/>
              <w:color w:val="000000"/>
              <w:sz w:val="24"/>
              <w:szCs w:val="24"/>
            </w:rPr>
            <w:t>Organismo Público Descentralizado para la Prestación de Los Servicios de Agua Potable Alcantarillado y Saneamiento del Municipio de Tlalnepantla de Baz</w:t>
          </w:r>
        </w:p>
      </w:tc>
    </w:tr>
    <w:tr w:rsidR="000C3D2D" w:rsidRPr="00F70BDE" w14:paraId="4CF5A448" w14:textId="77777777" w:rsidTr="0033283B">
      <w:trPr>
        <w:trHeight w:val="342"/>
      </w:trPr>
      <w:tc>
        <w:tcPr>
          <w:tcW w:w="5103" w:type="dxa"/>
          <w:hideMark/>
        </w:tcPr>
        <w:p w14:paraId="65478981" w14:textId="77777777" w:rsidR="000C3D2D" w:rsidRPr="00F70BDE" w:rsidRDefault="000C3D2D" w:rsidP="0033283B">
          <w:pPr>
            <w:tabs>
              <w:tab w:val="left" w:pos="4892"/>
            </w:tabs>
            <w:spacing w:after="120" w:line="240" w:lineRule="auto"/>
            <w:ind w:right="68"/>
            <w:jc w:val="right"/>
            <w:rPr>
              <w:rFonts w:ascii="Palatino Linotype" w:hAnsi="Palatino Linotype" w:cs="Arial"/>
              <w:b/>
              <w:sz w:val="24"/>
              <w:szCs w:val="24"/>
            </w:rPr>
          </w:pPr>
          <w:r w:rsidRPr="00F70BDE">
            <w:rPr>
              <w:rFonts w:ascii="Palatino Linotype" w:hAnsi="Palatino Linotype" w:cs="Arial"/>
              <w:b/>
              <w:sz w:val="24"/>
              <w:szCs w:val="24"/>
            </w:rPr>
            <w:t>Comisionado Ponente:</w:t>
          </w:r>
        </w:p>
      </w:tc>
      <w:tc>
        <w:tcPr>
          <w:tcW w:w="4395" w:type="dxa"/>
          <w:hideMark/>
        </w:tcPr>
        <w:p w14:paraId="04730E3B" w14:textId="77777777" w:rsidR="000C3D2D" w:rsidRPr="00F70BDE" w:rsidRDefault="000C3D2D" w:rsidP="0033283B">
          <w:pPr>
            <w:spacing w:after="120" w:line="240" w:lineRule="auto"/>
            <w:ind w:left="-486" w:right="68" w:firstLine="567"/>
            <w:jc w:val="right"/>
            <w:rPr>
              <w:rFonts w:ascii="Palatino Linotype" w:hAnsi="Palatino Linotype" w:cs="Arial"/>
              <w:sz w:val="24"/>
              <w:szCs w:val="24"/>
            </w:rPr>
          </w:pPr>
          <w:r w:rsidRPr="00F70BDE">
            <w:rPr>
              <w:rFonts w:ascii="Palatino Linotype" w:hAnsi="Palatino Linotype" w:cs="Arial"/>
              <w:sz w:val="24"/>
              <w:szCs w:val="24"/>
            </w:rPr>
            <w:t>José Martínez Vilchis</w:t>
          </w:r>
        </w:p>
      </w:tc>
    </w:tr>
  </w:tbl>
  <w:p w14:paraId="06AC3680" w14:textId="77777777" w:rsidR="000C3D2D" w:rsidRPr="00871A91" w:rsidRDefault="000C3D2D">
    <w:pPr>
      <w:pStyle w:val="Encabezado"/>
      <w:rPr>
        <w:sz w:val="2"/>
      </w:rPr>
    </w:pPr>
    <w:r>
      <w:rPr>
        <w:noProof/>
        <w:lang w:val="es-MX" w:eastAsia="es-MX"/>
      </w:rPr>
      <w:drawing>
        <wp:anchor distT="0" distB="0" distL="114300" distR="114300" simplePos="0" relativeHeight="251659264" behindDoc="1" locked="0" layoutInCell="0" allowOverlap="1" wp14:anchorId="049EF3DE" wp14:editId="60FE2FD6">
          <wp:simplePos x="0" y="0"/>
          <wp:positionH relativeFrom="margin">
            <wp:posOffset>-1029970</wp:posOffset>
          </wp:positionH>
          <wp:positionV relativeFrom="margin">
            <wp:posOffset>-1807845</wp:posOffset>
          </wp:positionV>
          <wp:extent cx="7739380" cy="10080625"/>
          <wp:effectExtent l="0" t="0" r="0" b="0"/>
          <wp:wrapNone/>
          <wp:docPr id="1" name="Imagen 1" descr="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0" cy="10080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4D25"/>
    <w:multiLevelType w:val="multilevel"/>
    <w:tmpl w:val="ABE4F524"/>
    <w:lvl w:ilvl="0">
      <w:start w:val="1"/>
      <w:numFmt w:val="low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5FF1"/>
    <w:multiLevelType w:val="hybridMultilevel"/>
    <w:tmpl w:val="78EC7B1A"/>
    <w:lvl w:ilvl="0" w:tplc="23FCE9E4">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D0F27"/>
    <w:multiLevelType w:val="hybridMultilevel"/>
    <w:tmpl w:val="622EE3AA"/>
    <w:lvl w:ilvl="0" w:tplc="8C96DE5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A3B2D23"/>
    <w:multiLevelType w:val="hybridMultilevel"/>
    <w:tmpl w:val="B540D318"/>
    <w:lvl w:ilvl="0" w:tplc="95F0A2A2">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5" w15:restartNumberingAfterBreak="0">
    <w:nsid w:val="0E61580A"/>
    <w:multiLevelType w:val="hybridMultilevel"/>
    <w:tmpl w:val="515CAD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9E91D0C"/>
    <w:multiLevelType w:val="hybridMultilevel"/>
    <w:tmpl w:val="1F4E727C"/>
    <w:lvl w:ilvl="0" w:tplc="52CCC550">
      <w:start w:val="1"/>
      <w:numFmt w:val="upperRoman"/>
      <w:lvlText w:val="%1."/>
      <w:lvlJc w:val="left"/>
      <w:pPr>
        <w:ind w:left="2100" w:hanging="720"/>
      </w:pPr>
      <w:rPr>
        <w:rFonts w:hint="default"/>
      </w:rPr>
    </w:lvl>
    <w:lvl w:ilvl="1" w:tplc="080A0019" w:tentative="1">
      <w:start w:val="1"/>
      <w:numFmt w:val="lowerLetter"/>
      <w:lvlText w:val="%2."/>
      <w:lvlJc w:val="left"/>
      <w:pPr>
        <w:ind w:left="2460" w:hanging="360"/>
      </w:pPr>
    </w:lvl>
    <w:lvl w:ilvl="2" w:tplc="080A001B" w:tentative="1">
      <w:start w:val="1"/>
      <w:numFmt w:val="lowerRoman"/>
      <w:lvlText w:val="%3."/>
      <w:lvlJc w:val="right"/>
      <w:pPr>
        <w:ind w:left="3180" w:hanging="180"/>
      </w:pPr>
    </w:lvl>
    <w:lvl w:ilvl="3" w:tplc="080A000F" w:tentative="1">
      <w:start w:val="1"/>
      <w:numFmt w:val="decimal"/>
      <w:lvlText w:val="%4."/>
      <w:lvlJc w:val="left"/>
      <w:pPr>
        <w:ind w:left="3900" w:hanging="360"/>
      </w:pPr>
    </w:lvl>
    <w:lvl w:ilvl="4" w:tplc="080A0019" w:tentative="1">
      <w:start w:val="1"/>
      <w:numFmt w:val="lowerLetter"/>
      <w:lvlText w:val="%5."/>
      <w:lvlJc w:val="left"/>
      <w:pPr>
        <w:ind w:left="4620" w:hanging="360"/>
      </w:pPr>
    </w:lvl>
    <w:lvl w:ilvl="5" w:tplc="080A001B" w:tentative="1">
      <w:start w:val="1"/>
      <w:numFmt w:val="lowerRoman"/>
      <w:lvlText w:val="%6."/>
      <w:lvlJc w:val="right"/>
      <w:pPr>
        <w:ind w:left="5340" w:hanging="180"/>
      </w:pPr>
    </w:lvl>
    <w:lvl w:ilvl="6" w:tplc="080A000F" w:tentative="1">
      <w:start w:val="1"/>
      <w:numFmt w:val="decimal"/>
      <w:lvlText w:val="%7."/>
      <w:lvlJc w:val="left"/>
      <w:pPr>
        <w:ind w:left="6060" w:hanging="360"/>
      </w:pPr>
    </w:lvl>
    <w:lvl w:ilvl="7" w:tplc="080A0019" w:tentative="1">
      <w:start w:val="1"/>
      <w:numFmt w:val="lowerLetter"/>
      <w:lvlText w:val="%8."/>
      <w:lvlJc w:val="left"/>
      <w:pPr>
        <w:ind w:left="6780" w:hanging="360"/>
      </w:pPr>
    </w:lvl>
    <w:lvl w:ilvl="8" w:tplc="080A001B" w:tentative="1">
      <w:start w:val="1"/>
      <w:numFmt w:val="lowerRoman"/>
      <w:lvlText w:val="%9."/>
      <w:lvlJc w:val="right"/>
      <w:pPr>
        <w:ind w:left="7500" w:hanging="180"/>
      </w:pPr>
    </w:lvl>
  </w:abstractNum>
  <w:abstractNum w:abstractNumId="8" w15:restartNumberingAfterBreak="0">
    <w:nsid w:val="2F7C693D"/>
    <w:multiLevelType w:val="hybridMultilevel"/>
    <w:tmpl w:val="BC5A6642"/>
    <w:lvl w:ilvl="0" w:tplc="00BEF078">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15:restartNumberingAfterBreak="0">
    <w:nsid w:val="30543778"/>
    <w:multiLevelType w:val="hybridMultilevel"/>
    <w:tmpl w:val="E3E0C432"/>
    <w:lvl w:ilvl="0" w:tplc="FF668BFC">
      <w:start w:val="1"/>
      <w:numFmt w:val="upperRoman"/>
      <w:lvlText w:val="%1."/>
      <w:lvlJc w:val="left"/>
      <w:pPr>
        <w:ind w:left="1800" w:hanging="72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0" w15:restartNumberingAfterBreak="0">
    <w:nsid w:val="31FE2552"/>
    <w:multiLevelType w:val="hybridMultilevel"/>
    <w:tmpl w:val="28CC86FA"/>
    <w:lvl w:ilvl="0" w:tplc="A30A1F1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1"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9D6F50"/>
    <w:multiLevelType w:val="hybridMultilevel"/>
    <w:tmpl w:val="FABC816A"/>
    <w:lvl w:ilvl="0" w:tplc="28106C16">
      <w:start w:val="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F26DB9"/>
    <w:multiLevelType w:val="hybridMultilevel"/>
    <w:tmpl w:val="7FB00858"/>
    <w:lvl w:ilvl="0" w:tplc="A7BEA864">
      <w:start w:val="1"/>
      <w:numFmt w:val="lowerLetter"/>
      <w:lvlText w:val="%1."/>
      <w:lvlJc w:val="left"/>
      <w:pPr>
        <w:ind w:left="2484" w:hanging="36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4" w15:restartNumberingAfterBreak="0">
    <w:nsid w:val="3CCF7F89"/>
    <w:multiLevelType w:val="hybridMultilevel"/>
    <w:tmpl w:val="0DA283E4"/>
    <w:lvl w:ilvl="0" w:tplc="2764AA62">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252CA3"/>
    <w:multiLevelType w:val="hybridMultilevel"/>
    <w:tmpl w:val="78EC574E"/>
    <w:lvl w:ilvl="0" w:tplc="40880EA6">
      <w:start w:val="8"/>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3F614008"/>
    <w:multiLevelType w:val="hybridMultilevel"/>
    <w:tmpl w:val="1A549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FA783E"/>
    <w:multiLevelType w:val="hybridMultilevel"/>
    <w:tmpl w:val="21ECD54C"/>
    <w:lvl w:ilvl="0" w:tplc="961ACABC">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8" w15:restartNumberingAfterBreak="0">
    <w:nsid w:val="48245956"/>
    <w:multiLevelType w:val="hybridMultilevel"/>
    <w:tmpl w:val="FA703F66"/>
    <w:lvl w:ilvl="0" w:tplc="5F944678">
      <w:start w:val="4"/>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AD24E3"/>
    <w:multiLevelType w:val="hybridMultilevel"/>
    <w:tmpl w:val="6E2ABA28"/>
    <w:lvl w:ilvl="0" w:tplc="04A0BD0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0" w15:restartNumberingAfterBreak="0">
    <w:nsid w:val="4D811529"/>
    <w:multiLevelType w:val="hybridMultilevel"/>
    <w:tmpl w:val="34D8954A"/>
    <w:lvl w:ilvl="0" w:tplc="CA42C53C">
      <w:start w:val="12"/>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E8054AC"/>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55112817"/>
    <w:multiLevelType w:val="hybridMultilevel"/>
    <w:tmpl w:val="591E544E"/>
    <w:lvl w:ilvl="0" w:tplc="0B6A4B84">
      <w:start w:val="15"/>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3" w15:restartNumberingAfterBreak="0">
    <w:nsid w:val="55DA6277"/>
    <w:multiLevelType w:val="hybridMultilevel"/>
    <w:tmpl w:val="A7B6A338"/>
    <w:lvl w:ilvl="0" w:tplc="2BACEE32">
      <w:start w:val="1"/>
      <w:numFmt w:val="upperRoman"/>
      <w:lvlText w:val="%1."/>
      <w:lvlJc w:val="left"/>
      <w:pPr>
        <w:ind w:left="2856" w:hanging="72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24"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6" w15:restartNumberingAfterBreak="0">
    <w:nsid w:val="65F53423"/>
    <w:multiLevelType w:val="hybridMultilevel"/>
    <w:tmpl w:val="544071EC"/>
    <w:lvl w:ilvl="0" w:tplc="E69EDA46">
      <w:start w:val="1"/>
      <w:numFmt w:val="bullet"/>
      <w:lvlText w:val=""/>
      <w:lvlJc w:val="left"/>
      <w:pPr>
        <w:ind w:left="720" w:hanging="360"/>
      </w:pPr>
      <w:rPr>
        <w:rFonts w:ascii="Symbol" w:eastAsia="Times New Roman"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EC4271"/>
    <w:multiLevelType w:val="hybridMultilevel"/>
    <w:tmpl w:val="355C92B8"/>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8" w15:restartNumberingAfterBreak="0">
    <w:nsid w:val="67376B51"/>
    <w:multiLevelType w:val="hybridMultilevel"/>
    <w:tmpl w:val="BB7E69D4"/>
    <w:lvl w:ilvl="0" w:tplc="C4F21C02">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29" w15:restartNumberingAfterBreak="0">
    <w:nsid w:val="677A0848"/>
    <w:multiLevelType w:val="multilevel"/>
    <w:tmpl w:val="C744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8158D0"/>
    <w:multiLevelType w:val="hybridMultilevel"/>
    <w:tmpl w:val="DCD8D7DA"/>
    <w:lvl w:ilvl="0" w:tplc="7B36308C">
      <w:start w:val="1"/>
      <w:numFmt w:val="decimal"/>
      <w:lvlText w:val="%1."/>
      <w:lvlJc w:val="left"/>
      <w:pPr>
        <w:ind w:left="1429" w:hanging="360"/>
      </w:pPr>
      <w:rPr>
        <w:rFonts w:cs="Times New Roman" w:hint="default"/>
        <w:i/>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15:restartNumberingAfterBreak="0">
    <w:nsid w:val="6D1E5F52"/>
    <w:multiLevelType w:val="hybridMultilevel"/>
    <w:tmpl w:val="0FC68B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6D7B89"/>
    <w:multiLevelType w:val="hybridMultilevel"/>
    <w:tmpl w:val="FD044B4C"/>
    <w:lvl w:ilvl="0" w:tplc="080A000F">
      <w:start w:val="1"/>
      <w:numFmt w:val="decimal"/>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3" w15:restartNumberingAfterBreak="0">
    <w:nsid w:val="700D6120"/>
    <w:multiLevelType w:val="hybridMultilevel"/>
    <w:tmpl w:val="007498AE"/>
    <w:lvl w:ilvl="0" w:tplc="56CC4380">
      <w:start w:val="1"/>
      <w:numFmt w:val="upperRoman"/>
      <w:lvlText w:val="%1."/>
      <w:lvlJc w:val="left"/>
      <w:pPr>
        <w:ind w:left="2181" w:hanging="720"/>
      </w:pPr>
      <w:rPr>
        <w:rFonts w:hint="default"/>
      </w:rPr>
    </w:lvl>
    <w:lvl w:ilvl="1" w:tplc="080A0019" w:tentative="1">
      <w:start w:val="1"/>
      <w:numFmt w:val="lowerLetter"/>
      <w:lvlText w:val="%2."/>
      <w:lvlJc w:val="left"/>
      <w:pPr>
        <w:ind w:left="2541" w:hanging="360"/>
      </w:pPr>
    </w:lvl>
    <w:lvl w:ilvl="2" w:tplc="080A001B" w:tentative="1">
      <w:start w:val="1"/>
      <w:numFmt w:val="lowerRoman"/>
      <w:lvlText w:val="%3."/>
      <w:lvlJc w:val="right"/>
      <w:pPr>
        <w:ind w:left="3261" w:hanging="180"/>
      </w:pPr>
    </w:lvl>
    <w:lvl w:ilvl="3" w:tplc="080A000F" w:tentative="1">
      <w:start w:val="1"/>
      <w:numFmt w:val="decimal"/>
      <w:lvlText w:val="%4."/>
      <w:lvlJc w:val="left"/>
      <w:pPr>
        <w:ind w:left="3981" w:hanging="360"/>
      </w:pPr>
    </w:lvl>
    <w:lvl w:ilvl="4" w:tplc="080A0019" w:tentative="1">
      <w:start w:val="1"/>
      <w:numFmt w:val="lowerLetter"/>
      <w:lvlText w:val="%5."/>
      <w:lvlJc w:val="left"/>
      <w:pPr>
        <w:ind w:left="4701" w:hanging="360"/>
      </w:pPr>
    </w:lvl>
    <w:lvl w:ilvl="5" w:tplc="080A001B" w:tentative="1">
      <w:start w:val="1"/>
      <w:numFmt w:val="lowerRoman"/>
      <w:lvlText w:val="%6."/>
      <w:lvlJc w:val="right"/>
      <w:pPr>
        <w:ind w:left="5421" w:hanging="180"/>
      </w:pPr>
    </w:lvl>
    <w:lvl w:ilvl="6" w:tplc="080A000F" w:tentative="1">
      <w:start w:val="1"/>
      <w:numFmt w:val="decimal"/>
      <w:lvlText w:val="%7."/>
      <w:lvlJc w:val="left"/>
      <w:pPr>
        <w:ind w:left="6141" w:hanging="360"/>
      </w:pPr>
    </w:lvl>
    <w:lvl w:ilvl="7" w:tplc="080A0019" w:tentative="1">
      <w:start w:val="1"/>
      <w:numFmt w:val="lowerLetter"/>
      <w:lvlText w:val="%8."/>
      <w:lvlJc w:val="left"/>
      <w:pPr>
        <w:ind w:left="6861" w:hanging="360"/>
      </w:pPr>
    </w:lvl>
    <w:lvl w:ilvl="8" w:tplc="080A001B" w:tentative="1">
      <w:start w:val="1"/>
      <w:numFmt w:val="lowerRoman"/>
      <w:lvlText w:val="%9."/>
      <w:lvlJc w:val="right"/>
      <w:pPr>
        <w:ind w:left="7581" w:hanging="180"/>
      </w:pPr>
    </w:lvl>
  </w:abstractNum>
  <w:abstractNum w:abstractNumId="34" w15:restartNumberingAfterBreak="0">
    <w:nsid w:val="746E5E8E"/>
    <w:multiLevelType w:val="multilevel"/>
    <w:tmpl w:val="7E027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26141C"/>
    <w:multiLevelType w:val="hybridMultilevel"/>
    <w:tmpl w:val="B732B10A"/>
    <w:lvl w:ilvl="0" w:tplc="524A4D9C">
      <w:start w:val="1"/>
      <w:numFmt w:val="upperRoman"/>
      <w:lvlText w:val="%1."/>
      <w:lvlJc w:val="left"/>
      <w:pPr>
        <w:ind w:left="1428" w:hanging="720"/>
      </w:pPr>
      <w:rPr>
        <w:rFonts w:eastAsia="Calibri" w:cs="Calibri" w:hint="default"/>
        <w:color w:val="auto"/>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79161258"/>
    <w:multiLevelType w:val="hybridMultilevel"/>
    <w:tmpl w:val="69321828"/>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D172E8E"/>
    <w:multiLevelType w:val="multilevel"/>
    <w:tmpl w:val="951835B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612082"/>
    <w:multiLevelType w:val="hybridMultilevel"/>
    <w:tmpl w:val="3886F488"/>
    <w:lvl w:ilvl="0" w:tplc="A2901D9C">
      <w:start w:val="4"/>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F053D48"/>
    <w:multiLevelType w:val="hybridMultilevel"/>
    <w:tmpl w:val="88C09FD6"/>
    <w:lvl w:ilvl="0" w:tplc="85209A1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0"/>
  </w:num>
  <w:num w:numId="2">
    <w:abstractNumId w:val="26"/>
  </w:num>
  <w:num w:numId="3">
    <w:abstractNumId w:val="10"/>
  </w:num>
  <w:num w:numId="4">
    <w:abstractNumId w:val="25"/>
  </w:num>
  <w:num w:numId="5">
    <w:abstractNumId w:val="12"/>
  </w:num>
  <w:num w:numId="6">
    <w:abstractNumId w:val="15"/>
  </w:num>
  <w:num w:numId="7">
    <w:abstractNumId w:val="14"/>
  </w:num>
  <w:num w:numId="8">
    <w:abstractNumId w:val="20"/>
  </w:num>
  <w:num w:numId="9">
    <w:abstractNumId w:val="1"/>
  </w:num>
  <w:num w:numId="10">
    <w:abstractNumId w:val="13"/>
  </w:num>
  <w:num w:numId="11">
    <w:abstractNumId w:val="36"/>
  </w:num>
  <w:num w:numId="12">
    <w:abstractNumId w:val="5"/>
  </w:num>
  <w:num w:numId="13">
    <w:abstractNumId w:val="6"/>
  </w:num>
  <w:num w:numId="14">
    <w:abstractNumId w:val="9"/>
  </w:num>
  <w:num w:numId="15">
    <w:abstractNumId w:val="16"/>
  </w:num>
  <w:num w:numId="16">
    <w:abstractNumId w:val="35"/>
  </w:num>
  <w:num w:numId="17">
    <w:abstractNumId w:val="3"/>
  </w:num>
  <w:num w:numId="18">
    <w:abstractNumId w:val="39"/>
  </w:num>
  <w:num w:numId="19">
    <w:abstractNumId w:val="7"/>
  </w:num>
  <w:num w:numId="20">
    <w:abstractNumId w:val="21"/>
  </w:num>
  <w:num w:numId="21">
    <w:abstractNumId w:val="40"/>
  </w:num>
  <w:num w:numId="22">
    <w:abstractNumId w:val="18"/>
  </w:num>
  <w:num w:numId="23">
    <w:abstractNumId w:val="38"/>
  </w:num>
  <w:num w:numId="24">
    <w:abstractNumId w:val="0"/>
  </w:num>
  <w:num w:numId="25">
    <w:abstractNumId w:val="34"/>
  </w:num>
  <w:num w:numId="26">
    <w:abstractNumId w:val="24"/>
  </w:num>
  <w:num w:numId="27">
    <w:abstractNumId w:val="19"/>
  </w:num>
  <w:num w:numId="28">
    <w:abstractNumId w:val="23"/>
  </w:num>
  <w:num w:numId="29">
    <w:abstractNumId w:val="4"/>
  </w:num>
  <w:num w:numId="30">
    <w:abstractNumId w:val="17"/>
  </w:num>
  <w:num w:numId="31">
    <w:abstractNumId w:val="8"/>
  </w:num>
  <w:num w:numId="32">
    <w:abstractNumId w:val="22"/>
  </w:num>
  <w:num w:numId="33">
    <w:abstractNumId w:val="28"/>
  </w:num>
  <w:num w:numId="34">
    <w:abstractNumId w:val="33"/>
  </w:num>
  <w:num w:numId="35">
    <w:abstractNumId w:val="11"/>
  </w:num>
  <w:num w:numId="36">
    <w:abstractNumId w:val="29"/>
  </w:num>
  <w:num w:numId="37">
    <w:abstractNumId w:val="37"/>
  </w:num>
  <w:num w:numId="38">
    <w:abstractNumId w:val="31"/>
  </w:num>
  <w:num w:numId="39">
    <w:abstractNumId w:val="27"/>
  </w:num>
  <w:num w:numId="40">
    <w:abstractNumId w:val="3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83B"/>
    <w:rsid w:val="00003CA8"/>
    <w:rsid w:val="00007512"/>
    <w:rsid w:val="00011BD1"/>
    <w:rsid w:val="000141E4"/>
    <w:rsid w:val="0004154D"/>
    <w:rsid w:val="000C2D9F"/>
    <w:rsid w:val="000C3D2D"/>
    <w:rsid w:val="001468C7"/>
    <w:rsid w:val="0017067E"/>
    <w:rsid w:val="00186AA3"/>
    <w:rsid w:val="001F296A"/>
    <w:rsid w:val="00264C36"/>
    <w:rsid w:val="002B67AE"/>
    <w:rsid w:val="003155D5"/>
    <w:rsid w:val="00322813"/>
    <w:rsid w:val="0033283B"/>
    <w:rsid w:val="003B3898"/>
    <w:rsid w:val="00404B94"/>
    <w:rsid w:val="004261FD"/>
    <w:rsid w:val="004345A0"/>
    <w:rsid w:val="0044218A"/>
    <w:rsid w:val="00462E61"/>
    <w:rsid w:val="00484A72"/>
    <w:rsid w:val="004A62CD"/>
    <w:rsid w:val="004D04EC"/>
    <w:rsid w:val="004E3831"/>
    <w:rsid w:val="004E7151"/>
    <w:rsid w:val="00517B94"/>
    <w:rsid w:val="0054493C"/>
    <w:rsid w:val="005E117E"/>
    <w:rsid w:val="00600A61"/>
    <w:rsid w:val="0061033D"/>
    <w:rsid w:val="006313B9"/>
    <w:rsid w:val="00644C52"/>
    <w:rsid w:val="00657653"/>
    <w:rsid w:val="006C130D"/>
    <w:rsid w:val="00716464"/>
    <w:rsid w:val="007241C6"/>
    <w:rsid w:val="00782B28"/>
    <w:rsid w:val="007B0CBF"/>
    <w:rsid w:val="007E3CE8"/>
    <w:rsid w:val="007E414A"/>
    <w:rsid w:val="008064E8"/>
    <w:rsid w:val="008604B0"/>
    <w:rsid w:val="00891DE5"/>
    <w:rsid w:val="008D1BD7"/>
    <w:rsid w:val="00937D14"/>
    <w:rsid w:val="009D18F4"/>
    <w:rsid w:val="009F2C45"/>
    <w:rsid w:val="00A06CA9"/>
    <w:rsid w:val="00B1374E"/>
    <w:rsid w:val="00B54D7A"/>
    <w:rsid w:val="00BC4E84"/>
    <w:rsid w:val="00BD71C1"/>
    <w:rsid w:val="00C7783A"/>
    <w:rsid w:val="00CB71E8"/>
    <w:rsid w:val="00CC7F20"/>
    <w:rsid w:val="00CF74C1"/>
    <w:rsid w:val="00D16214"/>
    <w:rsid w:val="00DB78E6"/>
    <w:rsid w:val="00DE4B30"/>
    <w:rsid w:val="00DE6E8E"/>
    <w:rsid w:val="00E342C0"/>
    <w:rsid w:val="00E843A3"/>
    <w:rsid w:val="00E847E0"/>
    <w:rsid w:val="00E96F7E"/>
    <w:rsid w:val="00EA2EB3"/>
    <w:rsid w:val="00EB429C"/>
    <w:rsid w:val="00F067A6"/>
    <w:rsid w:val="00F46EAC"/>
    <w:rsid w:val="00F774FB"/>
    <w:rsid w:val="00F8360B"/>
    <w:rsid w:val="00F9517F"/>
    <w:rsid w:val="00FE1E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C86EB8"/>
  <w15:chartTrackingRefBased/>
  <w15:docId w15:val="{0958E212-F22F-486B-A203-D652D188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8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83B"/>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283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3283B"/>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283B"/>
    <w:rPr>
      <w:rFonts w:ascii="Times New Roman" w:eastAsia="Times New Roman"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283B"/>
    <w:pPr>
      <w:spacing w:after="0" w:line="360" w:lineRule="auto"/>
      <w:ind w:left="709"/>
      <w:jc w:val="both"/>
    </w:pPr>
    <w:rPr>
      <w:rFonts w:ascii="Palatino Linotype" w:eastAsia="Times New Roman" w:hAnsi="Palatino Linotype"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283B"/>
    <w:rPr>
      <w:rFonts w:ascii="Palatino Linotype" w:eastAsia="Times New Roman" w:hAnsi="Palatino Linotype" w:cs="Times New Roman"/>
      <w:sz w:val="24"/>
      <w:szCs w:val="24"/>
      <w:lang w:val="es-ES" w:eastAsia="es-ES"/>
    </w:rPr>
  </w:style>
  <w:style w:type="character" w:styleId="Hipervnculo">
    <w:name w:val="Hyperlink"/>
    <w:aliases w:val="Hipervínculo1,Hipervínculo11,Hipervínculo12,Hipervínculo13,Hipervínculo14,Hipervínculo15"/>
    <w:basedOn w:val="Fuentedeprrafopredeter"/>
    <w:uiPriority w:val="99"/>
    <w:unhideWhenUsed/>
    <w:rsid w:val="0033283B"/>
    <w:rPr>
      <w:rFonts w:cs="Times New Roman"/>
      <w:color w:val="0563C1" w:themeColor="hyperlink"/>
      <w:u w:val="single"/>
    </w:rPr>
  </w:style>
  <w:style w:type="paragraph" w:customStyle="1" w:styleId="Default">
    <w:name w:val="Default"/>
    <w:rsid w:val="0033283B"/>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3328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283B"/>
    <w:rPr>
      <w:sz w:val="20"/>
      <w:szCs w:val="20"/>
    </w:rPr>
  </w:style>
  <w:style w:type="character" w:styleId="Refdenotaalpie">
    <w:name w:val="footnote reference"/>
    <w:basedOn w:val="Fuentedeprrafopredeter"/>
    <w:uiPriority w:val="99"/>
    <w:semiHidden/>
    <w:unhideWhenUsed/>
    <w:rsid w:val="0033283B"/>
    <w:rPr>
      <w:vertAlign w:val="superscript"/>
    </w:rPr>
  </w:style>
  <w:style w:type="table" w:styleId="Tablaconcuadrcula">
    <w:name w:val="Table Grid"/>
    <w:basedOn w:val="Tablanormal"/>
    <w:uiPriority w:val="39"/>
    <w:rsid w:val="0033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semiHidden/>
    <w:rsid w:val="0033283B"/>
    <w:rPr>
      <w:sz w:val="20"/>
      <w:szCs w:val="20"/>
    </w:rPr>
  </w:style>
  <w:style w:type="paragraph" w:styleId="Textocomentario">
    <w:name w:val="annotation text"/>
    <w:basedOn w:val="Normal"/>
    <w:link w:val="TextocomentarioCar"/>
    <w:uiPriority w:val="99"/>
    <w:semiHidden/>
    <w:unhideWhenUsed/>
    <w:rsid w:val="0033283B"/>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33283B"/>
    <w:rPr>
      <w:b/>
      <w:bCs/>
      <w:sz w:val="20"/>
      <w:szCs w:val="20"/>
    </w:rPr>
  </w:style>
  <w:style w:type="paragraph" w:styleId="Asuntodelcomentario">
    <w:name w:val="annotation subject"/>
    <w:basedOn w:val="Textocomentario"/>
    <w:next w:val="Textocomentario"/>
    <w:link w:val="AsuntodelcomentarioCar"/>
    <w:uiPriority w:val="99"/>
    <w:semiHidden/>
    <w:unhideWhenUsed/>
    <w:rsid w:val="0033283B"/>
    <w:rPr>
      <w:b/>
      <w:bCs/>
    </w:rPr>
  </w:style>
  <w:style w:type="character" w:customStyle="1" w:styleId="TextodegloboCar">
    <w:name w:val="Texto de globo Car"/>
    <w:basedOn w:val="Fuentedeprrafopredeter"/>
    <w:link w:val="Textodeglobo"/>
    <w:uiPriority w:val="99"/>
    <w:semiHidden/>
    <w:rsid w:val="0033283B"/>
    <w:rPr>
      <w:rFonts w:ascii="Segoe UI" w:hAnsi="Segoe UI" w:cs="Segoe UI"/>
      <w:sz w:val="18"/>
      <w:szCs w:val="18"/>
    </w:rPr>
  </w:style>
  <w:style w:type="paragraph" w:styleId="Textodeglobo">
    <w:name w:val="Balloon Text"/>
    <w:basedOn w:val="Normal"/>
    <w:link w:val="TextodegloboCar"/>
    <w:uiPriority w:val="99"/>
    <w:semiHidden/>
    <w:unhideWhenUsed/>
    <w:rsid w:val="0033283B"/>
    <w:pPr>
      <w:spacing w:after="0" w:line="240" w:lineRule="auto"/>
    </w:pPr>
    <w:rPr>
      <w:rFonts w:ascii="Segoe UI" w:hAnsi="Segoe UI" w:cs="Segoe UI"/>
      <w:sz w:val="18"/>
      <w:szCs w:val="18"/>
    </w:rPr>
  </w:style>
  <w:style w:type="paragraph" w:customStyle="1" w:styleId="Citas">
    <w:name w:val="Citas"/>
    <w:basedOn w:val="Normal"/>
    <w:qFormat/>
    <w:rsid w:val="0033283B"/>
    <w:pPr>
      <w:spacing w:before="240" w:line="360" w:lineRule="auto"/>
      <w:ind w:left="851" w:right="851"/>
      <w:jc w:val="both"/>
    </w:pPr>
    <w:rPr>
      <w:rFonts w:ascii="Palatino Linotype" w:hAnsi="Palatino Linotype" w:cs="Arial"/>
      <w:i/>
    </w:rPr>
  </w:style>
  <w:style w:type="character" w:customStyle="1" w:styleId="selectable-text">
    <w:name w:val="selectable-text"/>
    <w:basedOn w:val="Fuentedeprrafopredeter"/>
    <w:rsid w:val="0033283B"/>
  </w:style>
  <w:style w:type="paragraph" w:styleId="NormalWeb">
    <w:name w:val="Normal (Web)"/>
    <w:basedOn w:val="Normal"/>
    <w:uiPriority w:val="99"/>
    <w:unhideWhenUsed/>
    <w:rsid w:val="00CC7F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FOEM">
    <w:name w:val="INFOEM"/>
    <w:basedOn w:val="Normal"/>
    <w:qFormat/>
    <w:rsid w:val="000C3D2D"/>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341988">
      <w:bodyDiv w:val="1"/>
      <w:marLeft w:val="0"/>
      <w:marRight w:val="0"/>
      <w:marTop w:val="0"/>
      <w:marBottom w:val="0"/>
      <w:divBdr>
        <w:top w:val="none" w:sz="0" w:space="0" w:color="auto"/>
        <w:left w:val="none" w:sz="0" w:space="0" w:color="auto"/>
        <w:bottom w:val="none" w:sz="0" w:space="0" w:color="auto"/>
        <w:right w:val="none" w:sz="0" w:space="0" w:color="auto"/>
      </w:divBdr>
    </w:div>
    <w:div w:id="798498982">
      <w:bodyDiv w:val="1"/>
      <w:marLeft w:val="0"/>
      <w:marRight w:val="0"/>
      <w:marTop w:val="0"/>
      <w:marBottom w:val="0"/>
      <w:divBdr>
        <w:top w:val="none" w:sz="0" w:space="0" w:color="auto"/>
        <w:left w:val="none" w:sz="0" w:space="0" w:color="auto"/>
        <w:bottom w:val="none" w:sz="0" w:space="0" w:color="auto"/>
        <w:right w:val="none" w:sz="0" w:space="0" w:color="auto"/>
      </w:divBdr>
    </w:div>
    <w:div w:id="1386416041">
      <w:bodyDiv w:val="1"/>
      <w:marLeft w:val="0"/>
      <w:marRight w:val="0"/>
      <w:marTop w:val="0"/>
      <w:marBottom w:val="0"/>
      <w:divBdr>
        <w:top w:val="none" w:sz="0" w:space="0" w:color="auto"/>
        <w:left w:val="none" w:sz="0" w:space="0" w:color="auto"/>
        <w:bottom w:val="none" w:sz="0" w:space="0" w:color="auto"/>
        <w:right w:val="none" w:sz="0" w:space="0" w:color="auto"/>
      </w:divBdr>
    </w:div>
    <w:div w:id="14878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993585.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imex.org.mx/saimex/solicitud/downloadAttach/1993529.page" TargetMode="Externa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65</Pages>
  <Words>13680</Words>
  <Characters>75241</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INFOEM365</dc:creator>
  <cp:keywords/>
  <dc:description/>
  <cp:lastModifiedBy>INFOEM557</cp:lastModifiedBy>
  <cp:revision>5</cp:revision>
  <dcterms:created xsi:type="dcterms:W3CDTF">2024-04-03T21:11:00Z</dcterms:created>
  <dcterms:modified xsi:type="dcterms:W3CDTF">2024-05-02T18:22:00Z</dcterms:modified>
</cp:coreProperties>
</file>