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2320603E" w:rsidR="009B5029" w:rsidRPr="0028758C" w:rsidRDefault="009B5029" w:rsidP="009B5029">
      <w:pPr>
        <w:spacing w:before="240" w:line="360" w:lineRule="auto"/>
        <w:jc w:val="both"/>
        <w:rPr>
          <w:rFonts w:ascii="Palatino Linotype" w:eastAsia="Times New Roman" w:hAnsi="Palatino Linotype" w:cs="Arial"/>
          <w:color w:val="000000"/>
          <w:sz w:val="24"/>
          <w:szCs w:val="24"/>
          <w:lang w:eastAsia="es-MX"/>
        </w:rPr>
      </w:pPr>
      <w:r w:rsidRPr="0028758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04A9E" w:rsidRPr="0028758C">
        <w:rPr>
          <w:rFonts w:ascii="Palatino Linotype" w:eastAsia="Times New Roman" w:hAnsi="Palatino Linotype" w:cs="Arial"/>
          <w:color w:val="000000"/>
          <w:sz w:val="24"/>
          <w:szCs w:val="24"/>
          <w:lang w:eastAsia="es-MX"/>
        </w:rPr>
        <w:t xml:space="preserve">veintiocho de agosto de dos mil veinticuatro. </w:t>
      </w:r>
      <w:r w:rsidR="0091796B" w:rsidRPr="0028758C">
        <w:rPr>
          <w:rFonts w:ascii="Palatino Linotype" w:eastAsia="Times New Roman" w:hAnsi="Palatino Linotype" w:cs="Arial"/>
          <w:color w:val="000000"/>
          <w:sz w:val="24"/>
          <w:szCs w:val="24"/>
          <w:lang w:eastAsia="es-MX"/>
        </w:rPr>
        <w:t xml:space="preserve"> </w:t>
      </w:r>
      <w:r w:rsidR="00B6574D" w:rsidRPr="0028758C">
        <w:rPr>
          <w:rFonts w:ascii="Palatino Linotype" w:eastAsia="Times New Roman" w:hAnsi="Palatino Linotype" w:cs="Arial"/>
          <w:color w:val="000000"/>
          <w:sz w:val="24"/>
          <w:szCs w:val="24"/>
          <w:lang w:eastAsia="es-MX"/>
        </w:rPr>
        <w:t xml:space="preserve"> </w:t>
      </w:r>
      <w:r w:rsidR="00A04BB8" w:rsidRPr="0028758C">
        <w:rPr>
          <w:rFonts w:ascii="Palatino Linotype" w:eastAsia="Times New Roman" w:hAnsi="Palatino Linotype" w:cs="Arial"/>
          <w:color w:val="000000"/>
          <w:sz w:val="24"/>
          <w:szCs w:val="24"/>
          <w:lang w:eastAsia="es-MX"/>
        </w:rPr>
        <w:t xml:space="preserve"> </w:t>
      </w:r>
      <w:r w:rsidR="009B32B6" w:rsidRPr="0028758C">
        <w:rPr>
          <w:rFonts w:ascii="Palatino Linotype" w:eastAsia="Times New Roman" w:hAnsi="Palatino Linotype" w:cs="Arial"/>
          <w:color w:val="000000"/>
          <w:sz w:val="24"/>
          <w:szCs w:val="24"/>
          <w:lang w:eastAsia="es-MX"/>
        </w:rPr>
        <w:t xml:space="preserve"> </w:t>
      </w:r>
      <w:r w:rsidR="0011113A" w:rsidRPr="0028758C">
        <w:rPr>
          <w:rFonts w:ascii="Palatino Linotype" w:eastAsia="Times New Roman" w:hAnsi="Palatino Linotype" w:cs="Arial"/>
          <w:color w:val="000000"/>
          <w:sz w:val="24"/>
          <w:szCs w:val="24"/>
          <w:lang w:eastAsia="es-MX"/>
        </w:rPr>
        <w:t xml:space="preserve"> </w:t>
      </w:r>
      <w:r w:rsidR="00FC2D20" w:rsidRPr="0028758C">
        <w:rPr>
          <w:rFonts w:ascii="Palatino Linotype" w:eastAsia="Times New Roman" w:hAnsi="Palatino Linotype" w:cs="Arial"/>
          <w:color w:val="000000"/>
          <w:sz w:val="24"/>
          <w:szCs w:val="24"/>
          <w:lang w:eastAsia="es-MX"/>
        </w:rPr>
        <w:t xml:space="preserve"> </w:t>
      </w:r>
      <w:r w:rsidR="00317C14" w:rsidRPr="0028758C">
        <w:rPr>
          <w:rFonts w:ascii="Palatino Linotype" w:eastAsia="Times New Roman" w:hAnsi="Palatino Linotype" w:cs="Arial"/>
          <w:color w:val="000000"/>
          <w:sz w:val="24"/>
          <w:szCs w:val="24"/>
          <w:lang w:eastAsia="es-MX"/>
        </w:rPr>
        <w:t xml:space="preserve"> </w:t>
      </w:r>
      <w:r w:rsidRPr="0028758C">
        <w:rPr>
          <w:rFonts w:ascii="Palatino Linotype" w:eastAsia="Times New Roman" w:hAnsi="Palatino Linotype" w:cs="Arial"/>
          <w:color w:val="000000"/>
          <w:sz w:val="24"/>
          <w:szCs w:val="24"/>
          <w:lang w:eastAsia="es-MX"/>
        </w:rPr>
        <w:t xml:space="preserve">               </w:t>
      </w:r>
    </w:p>
    <w:p w14:paraId="62E78ABB" w14:textId="79AE126F" w:rsidR="00504A9E" w:rsidRPr="0028758C" w:rsidRDefault="009B5029" w:rsidP="009B5029">
      <w:pPr>
        <w:tabs>
          <w:tab w:val="left" w:pos="1701"/>
        </w:tabs>
        <w:spacing w:before="240" w:line="360" w:lineRule="auto"/>
        <w:jc w:val="both"/>
        <w:rPr>
          <w:rFonts w:ascii="Palatino Linotype" w:hAnsi="Palatino Linotype" w:cs="Arial"/>
          <w:sz w:val="24"/>
        </w:rPr>
      </w:pPr>
      <w:r w:rsidRPr="0028758C">
        <w:rPr>
          <w:rFonts w:ascii="Palatino Linotype" w:hAnsi="Palatino Linotype" w:cs="Arial"/>
          <w:b/>
          <w:sz w:val="24"/>
        </w:rPr>
        <w:t>VISTO</w:t>
      </w:r>
      <w:r w:rsidRPr="0028758C">
        <w:rPr>
          <w:rFonts w:ascii="Palatino Linotype" w:hAnsi="Palatino Linotype" w:cs="Arial"/>
          <w:sz w:val="24"/>
        </w:rPr>
        <w:t xml:space="preserve"> el expediente electrónico formado con motivo del recurso de revisión número </w:t>
      </w:r>
      <w:r w:rsidR="00F0571D" w:rsidRPr="0028758C">
        <w:rPr>
          <w:rFonts w:ascii="Palatino Linotype" w:hAnsi="Palatino Linotype" w:cs="Arial"/>
          <w:b/>
          <w:bCs/>
          <w:sz w:val="24"/>
        </w:rPr>
        <w:t>0</w:t>
      </w:r>
      <w:r w:rsidR="00504A9E" w:rsidRPr="0028758C">
        <w:rPr>
          <w:rFonts w:ascii="Palatino Linotype" w:hAnsi="Palatino Linotype" w:cs="Arial"/>
          <w:b/>
          <w:bCs/>
          <w:sz w:val="24"/>
        </w:rPr>
        <w:t>4570</w:t>
      </w:r>
      <w:r w:rsidR="00B6574D" w:rsidRPr="0028758C">
        <w:rPr>
          <w:rFonts w:ascii="Palatino Linotype" w:hAnsi="Palatino Linotype" w:cs="Arial"/>
          <w:b/>
          <w:bCs/>
          <w:sz w:val="24"/>
        </w:rPr>
        <w:t xml:space="preserve">/INFOEM/IP/RR/2024, </w:t>
      </w:r>
      <w:r w:rsidR="00B6574D" w:rsidRPr="0028758C">
        <w:rPr>
          <w:rFonts w:ascii="Palatino Linotype" w:hAnsi="Palatino Linotype" w:cs="Arial"/>
          <w:sz w:val="24"/>
        </w:rPr>
        <w:t xml:space="preserve">interpuesto por el </w:t>
      </w:r>
      <w:r w:rsidR="0091796B" w:rsidRPr="0028758C">
        <w:rPr>
          <w:rFonts w:ascii="Palatino Linotype" w:hAnsi="Palatino Linotype" w:cs="Arial"/>
          <w:b/>
          <w:bCs/>
          <w:sz w:val="24"/>
        </w:rPr>
        <w:t xml:space="preserve">C. </w:t>
      </w:r>
      <w:r w:rsidR="00B849AE" w:rsidRPr="0028758C">
        <w:rPr>
          <w:rFonts w:ascii="Palatino Linotype" w:hAnsi="Palatino Linotype" w:cs="Arial"/>
          <w:b/>
          <w:bCs/>
          <w:sz w:val="24"/>
        </w:rPr>
        <w:t>XXXXXXX</w:t>
      </w:r>
      <w:r w:rsidR="00504A9E" w:rsidRPr="0028758C">
        <w:rPr>
          <w:rFonts w:ascii="Palatino Linotype" w:hAnsi="Palatino Linotype" w:cs="Arial"/>
          <w:b/>
          <w:bCs/>
          <w:sz w:val="24"/>
        </w:rPr>
        <w:t xml:space="preserve">, </w:t>
      </w:r>
      <w:r w:rsidR="00504A9E" w:rsidRPr="0028758C">
        <w:rPr>
          <w:rFonts w:ascii="Palatino Linotype" w:hAnsi="Palatino Linotype" w:cs="Arial"/>
          <w:sz w:val="24"/>
        </w:rPr>
        <w:t xml:space="preserve">en lo sucesivo </w:t>
      </w:r>
      <w:r w:rsidR="00504A9E" w:rsidRPr="0028758C">
        <w:rPr>
          <w:rFonts w:ascii="Palatino Linotype" w:hAnsi="Palatino Linotype" w:cs="Arial"/>
          <w:b/>
          <w:bCs/>
          <w:sz w:val="24"/>
        </w:rPr>
        <w:t xml:space="preserve">El Recurrente, </w:t>
      </w:r>
      <w:r w:rsidR="00504A9E" w:rsidRPr="0028758C">
        <w:rPr>
          <w:rFonts w:ascii="Palatino Linotype" w:hAnsi="Palatino Linotype" w:cs="Arial"/>
          <w:sz w:val="24"/>
        </w:rPr>
        <w:t xml:space="preserve">en contra de la respuesta del </w:t>
      </w:r>
      <w:r w:rsidR="00504A9E" w:rsidRPr="0028758C">
        <w:rPr>
          <w:rFonts w:ascii="Palatino Linotype" w:hAnsi="Palatino Linotype" w:cs="Arial"/>
          <w:b/>
          <w:bCs/>
          <w:sz w:val="24"/>
        </w:rPr>
        <w:t xml:space="preserve">Ayuntamiento de Ocoyoacac, </w:t>
      </w:r>
      <w:r w:rsidR="00504A9E" w:rsidRPr="0028758C">
        <w:rPr>
          <w:rFonts w:ascii="Palatino Linotype" w:hAnsi="Palatino Linotype" w:cs="Arial"/>
          <w:sz w:val="24"/>
        </w:rPr>
        <w:t xml:space="preserve">en lo subsecuente </w:t>
      </w:r>
      <w:r w:rsidR="00504A9E" w:rsidRPr="0028758C">
        <w:rPr>
          <w:rFonts w:ascii="Palatino Linotype" w:hAnsi="Palatino Linotype" w:cs="Arial"/>
          <w:b/>
          <w:bCs/>
          <w:sz w:val="24"/>
        </w:rPr>
        <w:t xml:space="preserve">El Sujeto Obligado, </w:t>
      </w:r>
      <w:r w:rsidR="00504A9E" w:rsidRPr="0028758C">
        <w:rPr>
          <w:rFonts w:ascii="Palatino Linotype" w:hAnsi="Palatino Linotype" w:cs="Arial"/>
          <w:sz w:val="24"/>
        </w:rPr>
        <w:t xml:space="preserve">se procede a dictar la presente resolución. </w:t>
      </w:r>
    </w:p>
    <w:p w14:paraId="2626C057" w14:textId="77777777" w:rsidR="00B6574D" w:rsidRPr="0028758C" w:rsidRDefault="00B6574D" w:rsidP="009B5029">
      <w:pPr>
        <w:pStyle w:val="infoemcitas"/>
        <w:jc w:val="center"/>
        <w:rPr>
          <w:b/>
          <w:bCs/>
          <w:i w:val="0"/>
          <w:iCs/>
          <w:sz w:val="28"/>
          <w:szCs w:val="28"/>
        </w:rPr>
      </w:pPr>
    </w:p>
    <w:p w14:paraId="4BC4461B" w14:textId="5D086565" w:rsidR="009B5029" w:rsidRPr="0028758C" w:rsidRDefault="009B5029" w:rsidP="009B5029">
      <w:pPr>
        <w:pStyle w:val="infoemcitas"/>
        <w:jc w:val="center"/>
        <w:rPr>
          <w:b/>
          <w:bCs/>
          <w:i w:val="0"/>
          <w:iCs/>
          <w:sz w:val="28"/>
          <w:szCs w:val="28"/>
        </w:rPr>
      </w:pPr>
      <w:r w:rsidRPr="0028758C">
        <w:rPr>
          <w:b/>
          <w:bCs/>
          <w:i w:val="0"/>
          <w:iCs/>
          <w:sz w:val="28"/>
          <w:szCs w:val="28"/>
        </w:rPr>
        <w:t>A N T E C E D E N T E S   D E L   A S U N T O</w:t>
      </w:r>
    </w:p>
    <w:p w14:paraId="43C252D3" w14:textId="77777777" w:rsidR="009B5029" w:rsidRPr="0028758C" w:rsidRDefault="009B5029" w:rsidP="009B5029">
      <w:pPr>
        <w:spacing w:before="240" w:after="240" w:line="360" w:lineRule="auto"/>
        <w:jc w:val="both"/>
        <w:rPr>
          <w:rFonts w:ascii="Palatino Linotype" w:hAnsi="Palatino Linotype"/>
        </w:rPr>
      </w:pPr>
      <w:r w:rsidRPr="0028758C">
        <w:rPr>
          <w:rFonts w:ascii="Palatino Linotype" w:hAnsi="Palatino Linotype" w:cs="Arial"/>
          <w:b/>
          <w:sz w:val="28"/>
        </w:rPr>
        <w:t>PRIMERO.</w:t>
      </w:r>
      <w:r w:rsidRPr="0028758C">
        <w:rPr>
          <w:rFonts w:ascii="Palatino Linotype" w:hAnsi="Palatino Linotype" w:cs="Arial"/>
        </w:rPr>
        <w:t xml:space="preserve"> </w:t>
      </w:r>
      <w:r w:rsidRPr="0028758C">
        <w:rPr>
          <w:rFonts w:ascii="Palatino Linotype" w:hAnsi="Palatino Linotype"/>
          <w:b/>
          <w:sz w:val="28"/>
          <w:szCs w:val="28"/>
        </w:rPr>
        <w:t>De la Solicitud de Información.</w:t>
      </w:r>
    </w:p>
    <w:p w14:paraId="723F104C" w14:textId="5D3964E5" w:rsidR="00504A9E" w:rsidRPr="0028758C" w:rsidRDefault="009B5029" w:rsidP="00504A9E">
      <w:pPr>
        <w:spacing w:before="240" w:line="360" w:lineRule="auto"/>
        <w:jc w:val="both"/>
        <w:rPr>
          <w:rFonts w:ascii="Palatino Linotype" w:eastAsia="Calibri" w:hAnsi="Palatino Linotype" w:cs="Arial"/>
          <w:sz w:val="24"/>
          <w:szCs w:val="24"/>
          <w:lang w:val="es-ES"/>
        </w:rPr>
      </w:pPr>
      <w:r w:rsidRPr="0028758C">
        <w:rPr>
          <w:rFonts w:ascii="Palatino Linotype" w:hAnsi="Palatino Linotype" w:cs="Arial"/>
          <w:sz w:val="24"/>
        </w:rPr>
        <w:t>Con fecha</w:t>
      </w:r>
      <w:r w:rsidR="0091796B" w:rsidRPr="0028758C">
        <w:rPr>
          <w:rFonts w:ascii="Palatino Linotype" w:hAnsi="Palatino Linotype" w:cs="Arial"/>
          <w:sz w:val="24"/>
        </w:rPr>
        <w:t xml:space="preserve"> </w:t>
      </w:r>
      <w:r w:rsidR="00504A9E" w:rsidRPr="0028758C">
        <w:rPr>
          <w:rFonts w:ascii="Palatino Linotype" w:hAnsi="Palatino Linotype" w:cs="Arial"/>
          <w:b/>
          <w:bCs/>
          <w:sz w:val="24"/>
        </w:rPr>
        <w:t xml:space="preserve">cuatro de julio de dos mil veinticuatro, El Recurrente, </w:t>
      </w:r>
      <w:r w:rsidR="00504A9E" w:rsidRPr="0028758C">
        <w:rPr>
          <w:rFonts w:ascii="Palatino Linotype" w:hAnsi="Palatino Linotype" w:cs="Arial"/>
          <w:sz w:val="24"/>
        </w:rPr>
        <w:t xml:space="preserve">presentó </w:t>
      </w:r>
      <w:r w:rsidR="00504A9E" w:rsidRPr="0028758C">
        <w:rPr>
          <w:rFonts w:ascii="Palatino Linotype" w:hAnsi="Palatino Linotype" w:cs="Arial"/>
          <w:sz w:val="24"/>
          <w:szCs w:val="24"/>
        </w:rPr>
        <w:t xml:space="preserve">ante </w:t>
      </w:r>
      <w:r w:rsidR="00504A9E" w:rsidRPr="0028758C">
        <w:rPr>
          <w:rFonts w:ascii="Palatino Linotype" w:hAnsi="Palatino Linotype" w:cs="Arial"/>
          <w:b/>
          <w:bCs/>
          <w:sz w:val="24"/>
          <w:szCs w:val="24"/>
        </w:rPr>
        <w:t xml:space="preserve">El Sujeto Obligado </w:t>
      </w:r>
      <w:r w:rsidR="00504A9E" w:rsidRPr="0028758C">
        <w:rPr>
          <w:rFonts w:ascii="Palatino Linotype" w:hAnsi="Palatino Linotype" w:cs="Arial"/>
          <w:sz w:val="24"/>
          <w:szCs w:val="24"/>
        </w:rPr>
        <w:t xml:space="preserve">vía </w:t>
      </w:r>
      <w:r w:rsidR="00504A9E" w:rsidRPr="0028758C">
        <w:rPr>
          <w:rFonts w:ascii="Palatino Linotype" w:eastAsia="Calibri" w:hAnsi="Palatino Linotype" w:cs="Arial"/>
          <w:sz w:val="24"/>
          <w:szCs w:val="24"/>
        </w:rPr>
        <w:t>Plataforma Nacional de Transparencia (PNT) vinculada a su vez al Sistema de Acceso a la Información Mexiquense (</w:t>
      </w:r>
      <w:r w:rsidR="00504A9E" w:rsidRPr="0028758C">
        <w:rPr>
          <w:rFonts w:ascii="Palatino Linotype" w:eastAsia="Calibri" w:hAnsi="Palatino Linotype" w:cs="Arial"/>
          <w:sz w:val="24"/>
          <w:szCs w:val="24"/>
          <w:lang w:val="es-ES"/>
        </w:rPr>
        <w:t xml:space="preserve">SAIMEX), la solicitud de información pública registrada con el número </w:t>
      </w:r>
      <w:r w:rsidR="00504A9E" w:rsidRPr="0028758C">
        <w:rPr>
          <w:rFonts w:ascii="Palatino Linotype" w:eastAsia="Calibri" w:hAnsi="Palatino Linotype" w:cs="Arial"/>
          <w:b/>
          <w:bCs/>
          <w:sz w:val="24"/>
          <w:szCs w:val="24"/>
          <w:lang w:val="es-ES"/>
        </w:rPr>
        <w:t xml:space="preserve">00092/OCOYOAC/IP/2024, </w:t>
      </w:r>
      <w:r w:rsidR="00504A9E" w:rsidRPr="0028758C">
        <w:rPr>
          <w:rFonts w:ascii="Palatino Linotype" w:eastAsia="Calibri" w:hAnsi="Palatino Linotype" w:cs="Arial"/>
          <w:sz w:val="24"/>
          <w:szCs w:val="24"/>
          <w:lang w:val="es-ES"/>
        </w:rPr>
        <w:t>mediante la cual solicitó la siguiente información:</w:t>
      </w:r>
    </w:p>
    <w:p w14:paraId="2839CA4C" w14:textId="3A4B7935" w:rsidR="00504A9E" w:rsidRPr="0028758C" w:rsidRDefault="00504A9E" w:rsidP="00504A9E">
      <w:pPr>
        <w:pStyle w:val="Citas"/>
        <w:rPr>
          <w:b/>
          <w:bCs/>
        </w:rPr>
      </w:pPr>
      <w:r w:rsidRPr="0028758C">
        <w:t xml:space="preserve">“Solicito información sobre los permisos que se le han dado a la Asociación del Club de Golf los Encinos para talar árboles de distintas especies dentro y fuera del fraccionamiento, la justificación legal para dichos permisos, el nombre del funcionario y cargo que los otorgó, el monto de las multas o cualquier pago que se hayan cobrado por la tala de árboles dentro y fuera del fraccionamiento, los </w:t>
      </w:r>
      <w:r w:rsidRPr="0028758C">
        <w:lastRenderedPageBreak/>
        <w:t xml:space="preserve">compromisos del fraccionamiento para restituir los árboles talados y si han cumplido con en la restitución de árboles talados. Asimsmo, el número y fecha de los árboles talados por el fraccionamiento, dentro y fuera del mismo.Lo anterior en el periodo comprendido entre enero de 2019 y junio de 2024. Solicito información sobre la autorización y cualquier registro que exista sobre el proyecto de ampliación y remodelación de la garita de entrada al fraccionamiento y club de golf los encinos y el estudio de impacto ambiental que de esa obra, los montos pagados para las autorizaciones de esta obra, multas y recargos” </w:t>
      </w:r>
      <w:r w:rsidRPr="0028758C">
        <w:rPr>
          <w:b/>
          <w:bCs/>
        </w:rPr>
        <w:t>(Sic)</w:t>
      </w:r>
    </w:p>
    <w:p w14:paraId="0FDD1B9D" w14:textId="5CF7CEF9" w:rsidR="009B5029" w:rsidRPr="0028758C" w:rsidRDefault="00504A9E" w:rsidP="009B5029">
      <w:pPr>
        <w:spacing w:before="240" w:line="360" w:lineRule="auto"/>
        <w:jc w:val="both"/>
        <w:rPr>
          <w:rFonts w:ascii="Palatino Linotype" w:eastAsia="Times New Roman" w:hAnsi="Palatino Linotype" w:cs="Times New Roman"/>
          <w:sz w:val="24"/>
          <w:szCs w:val="24"/>
          <w:lang w:val="es-ES_tradnl" w:eastAsia="es-ES"/>
        </w:rPr>
      </w:pPr>
      <w:r w:rsidRPr="0028758C">
        <w:rPr>
          <w:rFonts w:ascii="Palatino Linotype" w:hAnsi="Palatino Linotype" w:cs="Arial"/>
          <w:sz w:val="24"/>
        </w:rPr>
        <w:t xml:space="preserve"> </w:t>
      </w:r>
      <w:r w:rsidR="009B5029" w:rsidRPr="0028758C">
        <w:rPr>
          <w:rFonts w:ascii="Palatino Linotype" w:eastAsia="Times New Roman" w:hAnsi="Palatino Linotype" w:cs="Times New Roman"/>
          <w:b/>
          <w:sz w:val="24"/>
          <w:szCs w:val="24"/>
          <w:lang w:val="es-ES_tradnl" w:eastAsia="es-ES"/>
        </w:rPr>
        <w:t>Modalidad de entrega:</w:t>
      </w:r>
      <w:r w:rsidR="009B5029" w:rsidRPr="0028758C">
        <w:rPr>
          <w:rFonts w:ascii="Palatino Linotype" w:eastAsia="Times New Roman" w:hAnsi="Palatino Linotype" w:cs="Times New Roman"/>
          <w:sz w:val="24"/>
          <w:szCs w:val="24"/>
          <w:lang w:val="es-ES_tradnl" w:eastAsia="es-ES"/>
        </w:rPr>
        <w:t xml:space="preserve"> A través del SAIMEX.</w:t>
      </w:r>
    </w:p>
    <w:p w14:paraId="5FBE22B9" w14:textId="77777777" w:rsidR="00317C14" w:rsidRPr="0028758C" w:rsidRDefault="00317C14" w:rsidP="009B5029">
      <w:pPr>
        <w:spacing w:before="240" w:line="360" w:lineRule="auto"/>
        <w:jc w:val="both"/>
        <w:rPr>
          <w:rFonts w:ascii="Palatino Linotype" w:hAnsi="Palatino Linotype" w:cs="Arial"/>
          <w:b/>
          <w:sz w:val="28"/>
        </w:rPr>
      </w:pPr>
    </w:p>
    <w:p w14:paraId="32234D96" w14:textId="57CC9D5F" w:rsidR="009B5029" w:rsidRPr="0028758C" w:rsidRDefault="009B5029" w:rsidP="009B5029">
      <w:pPr>
        <w:spacing w:before="240" w:line="360" w:lineRule="auto"/>
        <w:jc w:val="both"/>
        <w:rPr>
          <w:rFonts w:ascii="Palatino Linotype" w:hAnsi="Palatino Linotype" w:cs="Arial"/>
          <w:b/>
          <w:sz w:val="28"/>
        </w:rPr>
      </w:pPr>
      <w:r w:rsidRPr="0028758C">
        <w:rPr>
          <w:rFonts w:ascii="Palatino Linotype" w:hAnsi="Palatino Linotype" w:cs="Arial"/>
          <w:b/>
          <w:sz w:val="28"/>
        </w:rPr>
        <w:t xml:space="preserve">SEGUNDO. </w:t>
      </w:r>
      <w:r w:rsidRPr="0028758C">
        <w:rPr>
          <w:rFonts w:ascii="Palatino Linotype" w:hAnsi="Palatino Linotype" w:cs="Arial"/>
          <w:b/>
          <w:sz w:val="28"/>
          <w:szCs w:val="20"/>
        </w:rPr>
        <w:t>De la respuesta del Sujeto Obligado.</w:t>
      </w:r>
    </w:p>
    <w:p w14:paraId="155ED0D0" w14:textId="620B16FF" w:rsidR="00504A9E" w:rsidRPr="0028758C" w:rsidRDefault="009B5029" w:rsidP="009B5029">
      <w:pPr>
        <w:spacing w:before="240" w:line="360" w:lineRule="auto"/>
        <w:jc w:val="both"/>
        <w:rPr>
          <w:rFonts w:ascii="Palatino Linotype" w:hAnsi="Palatino Linotype" w:cs="Arial"/>
          <w:sz w:val="24"/>
          <w:szCs w:val="24"/>
        </w:rPr>
      </w:pPr>
      <w:r w:rsidRPr="0028758C">
        <w:rPr>
          <w:rFonts w:ascii="Palatino Linotype" w:hAnsi="Palatino Linotype" w:cs="Arial"/>
          <w:sz w:val="24"/>
          <w:szCs w:val="24"/>
        </w:rPr>
        <w:t xml:space="preserve">En el expediente electrónico </w:t>
      </w:r>
      <w:r w:rsidRPr="0028758C">
        <w:rPr>
          <w:rFonts w:ascii="Palatino Linotype" w:hAnsi="Palatino Linotype" w:cs="Arial"/>
          <w:b/>
          <w:sz w:val="24"/>
          <w:szCs w:val="24"/>
        </w:rPr>
        <w:t xml:space="preserve">SAIMEX, </w:t>
      </w:r>
      <w:r w:rsidRPr="0028758C">
        <w:rPr>
          <w:rFonts w:ascii="Palatino Linotype" w:hAnsi="Palatino Linotype" w:cs="Arial"/>
          <w:sz w:val="24"/>
          <w:szCs w:val="24"/>
        </w:rPr>
        <w:t xml:space="preserve">se aprecia que el </w:t>
      </w:r>
      <w:r w:rsidR="00504A9E" w:rsidRPr="0028758C">
        <w:rPr>
          <w:rFonts w:ascii="Palatino Linotype" w:hAnsi="Palatino Linotype" w:cs="Arial"/>
          <w:b/>
          <w:bCs/>
          <w:sz w:val="24"/>
          <w:szCs w:val="24"/>
        </w:rPr>
        <w:t xml:space="preserve">dieciséis de julio de dos mil veinticuatro, El Sujeto Obligado </w:t>
      </w:r>
      <w:r w:rsidR="00504A9E" w:rsidRPr="0028758C">
        <w:rPr>
          <w:rFonts w:ascii="Palatino Linotype" w:hAnsi="Palatino Linotype" w:cs="Arial"/>
          <w:sz w:val="24"/>
          <w:szCs w:val="24"/>
        </w:rPr>
        <w:t>dio respuesta a la solicitud de información en los siguientes términos:</w:t>
      </w:r>
    </w:p>
    <w:p w14:paraId="2A33F3FD" w14:textId="3CFC2471" w:rsidR="00504A9E" w:rsidRPr="0028758C" w:rsidRDefault="00504A9E" w:rsidP="00504A9E">
      <w:pPr>
        <w:pStyle w:val="Citas"/>
        <w:rPr>
          <w:b/>
          <w:bCs/>
        </w:rPr>
      </w:pPr>
      <w:r w:rsidRPr="0028758C">
        <w:t xml:space="preserve">“Se notifica incompetencia mediante oficio PMO/UT/262/2024, por parte del Titular de la Unidad de Transparencia del Ayuntamiento de Ocoyoacac, México; en virtud de encontrarse fuera de la jurisdicción municipal el objeto material de su requerimiento” </w:t>
      </w:r>
      <w:r w:rsidRPr="0028758C">
        <w:rPr>
          <w:b/>
          <w:bCs/>
        </w:rPr>
        <w:t>(Sic)</w:t>
      </w:r>
    </w:p>
    <w:p w14:paraId="7818F643" w14:textId="6D92A1A7" w:rsidR="00504A9E" w:rsidRPr="0028758C" w:rsidRDefault="00504A9E" w:rsidP="009B5029">
      <w:pPr>
        <w:spacing w:before="240" w:line="360" w:lineRule="auto"/>
        <w:jc w:val="both"/>
        <w:rPr>
          <w:rFonts w:ascii="Palatino Linotype" w:hAnsi="Palatino Linotype" w:cs="Arial"/>
          <w:sz w:val="24"/>
          <w:szCs w:val="24"/>
        </w:rPr>
      </w:pPr>
      <w:r w:rsidRPr="0028758C">
        <w:rPr>
          <w:rFonts w:ascii="Palatino Linotype" w:hAnsi="Palatino Linotype" w:cs="Arial"/>
          <w:sz w:val="24"/>
          <w:szCs w:val="24"/>
        </w:rPr>
        <w:t xml:space="preserve">Adjuntando para tal efecto el documento electrónico </w:t>
      </w:r>
      <w:r w:rsidRPr="0028758C">
        <w:rPr>
          <w:rFonts w:ascii="Palatino Linotype" w:hAnsi="Palatino Linotype" w:cs="Arial"/>
          <w:b/>
          <w:bCs/>
          <w:sz w:val="24"/>
          <w:szCs w:val="24"/>
        </w:rPr>
        <w:t xml:space="preserve">“92-2024 Incompetencia.pdf”, </w:t>
      </w:r>
      <w:r w:rsidRPr="0028758C">
        <w:rPr>
          <w:rFonts w:ascii="Palatino Linotype" w:hAnsi="Palatino Linotype" w:cs="Arial"/>
          <w:sz w:val="24"/>
          <w:szCs w:val="24"/>
        </w:rPr>
        <w:t xml:space="preserve">cuyo contenido será materia de análisis en el considerando respectivo. </w:t>
      </w:r>
    </w:p>
    <w:p w14:paraId="1FC37ECD" w14:textId="77777777" w:rsidR="00504A9E" w:rsidRPr="0028758C" w:rsidRDefault="00504A9E" w:rsidP="009B5029">
      <w:pPr>
        <w:spacing w:before="240" w:line="360" w:lineRule="auto"/>
        <w:jc w:val="both"/>
        <w:rPr>
          <w:rFonts w:ascii="Palatino Linotype" w:hAnsi="Palatino Linotype" w:cs="Arial"/>
          <w:sz w:val="24"/>
          <w:szCs w:val="24"/>
        </w:rPr>
      </w:pPr>
    </w:p>
    <w:p w14:paraId="2C824AC7" w14:textId="77777777" w:rsidR="009B5029" w:rsidRPr="0028758C" w:rsidRDefault="009B5029" w:rsidP="009B5029">
      <w:pPr>
        <w:spacing w:before="240" w:line="360" w:lineRule="auto"/>
        <w:rPr>
          <w:rFonts w:ascii="Palatino Linotype" w:hAnsi="Palatino Linotype" w:cs="Arial"/>
          <w:b/>
          <w:sz w:val="28"/>
        </w:rPr>
      </w:pPr>
      <w:r w:rsidRPr="0028758C">
        <w:rPr>
          <w:rFonts w:ascii="Palatino Linotype" w:hAnsi="Palatino Linotype" w:cs="Arial"/>
          <w:b/>
          <w:sz w:val="28"/>
        </w:rPr>
        <w:lastRenderedPageBreak/>
        <w:t xml:space="preserve">TERCERO. </w:t>
      </w:r>
      <w:r w:rsidRPr="0028758C">
        <w:rPr>
          <w:rFonts w:ascii="Palatino Linotype" w:hAnsi="Palatino Linotype"/>
          <w:b/>
          <w:sz w:val="28"/>
        </w:rPr>
        <w:t>Del recurso de revisión.</w:t>
      </w:r>
    </w:p>
    <w:p w14:paraId="69797F3E" w14:textId="14AE7CE7" w:rsidR="009C0C6F" w:rsidRPr="0028758C" w:rsidRDefault="009B5029" w:rsidP="009B5029">
      <w:pPr>
        <w:spacing w:before="240" w:line="360" w:lineRule="auto"/>
        <w:jc w:val="both"/>
        <w:rPr>
          <w:rFonts w:ascii="Palatino Linotype" w:hAnsi="Palatino Linotype" w:cs="Arial"/>
          <w:sz w:val="24"/>
          <w:szCs w:val="24"/>
        </w:rPr>
      </w:pPr>
      <w:r w:rsidRPr="0028758C">
        <w:rPr>
          <w:rFonts w:ascii="Palatino Linotype" w:hAnsi="Palatino Linotype" w:cs="Arial"/>
          <w:sz w:val="24"/>
          <w:szCs w:val="24"/>
        </w:rPr>
        <w:t xml:space="preserve">Inconforme con la respuesta por </w:t>
      </w:r>
      <w:r w:rsidRPr="0028758C">
        <w:rPr>
          <w:rFonts w:ascii="Palatino Linotype" w:hAnsi="Palatino Linotype" w:cs="Arial"/>
          <w:b/>
          <w:sz w:val="24"/>
          <w:szCs w:val="24"/>
        </w:rPr>
        <w:t xml:space="preserve">El Sujeto Obligado, </w:t>
      </w:r>
      <w:r w:rsidR="009B32B6" w:rsidRPr="0028758C">
        <w:rPr>
          <w:rFonts w:ascii="Palatino Linotype" w:hAnsi="Palatino Linotype" w:cs="Arial"/>
          <w:b/>
          <w:sz w:val="24"/>
          <w:szCs w:val="24"/>
        </w:rPr>
        <w:t xml:space="preserve">El </w:t>
      </w:r>
      <w:r w:rsidRPr="0028758C">
        <w:rPr>
          <w:rFonts w:ascii="Palatino Linotype" w:hAnsi="Palatino Linotype" w:cs="Arial"/>
          <w:b/>
          <w:sz w:val="24"/>
          <w:szCs w:val="24"/>
        </w:rPr>
        <w:t xml:space="preserve">Recurrente </w:t>
      </w:r>
      <w:r w:rsidRPr="0028758C">
        <w:rPr>
          <w:rFonts w:ascii="Palatino Linotype" w:hAnsi="Palatino Linotype" w:cs="Arial"/>
          <w:sz w:val="24"/>
          <w:szCs w:val="24"/>
        </w:rPr>
        <w:t>interpuso recurso de revisión, en fecha</w:t>
      </w:r>
      <w:r w:rsidR="00DE5A2F" w:rsidRPr="0028758C">
        <w:rPr>
          <w:rFonts w:ascii="Palatino Linotype" w:hAnsi="Palatino Linotype" w:cs="Arial"/>
          <w:sz w:val="24"/>
          <w:szCs w:val="24"/>
        </w:rPr>
        <w:t xml:space="preserve"> </w:t>
      </w:r>
      <w:r w:rsidR="009C0C6F" w:rsidRPr="0028758C">
        <w:rPr>
          <w:rFonts w:ascii="Palatino Linotype" w:hAnsi="Palatino Linotype" w:cs="Arial"/>
          <w:b/>
          <w:bCs/>
          <w:sz w:val="24"/>
          <w:szCs w:val="24"/>
        </w:rPr>
        <w:t xml:space="preserve">dieciséis de julio de dos mil veinticuatro, </w:t>
      </w:r>
      <w:r w:rsidR="009C0C6F" w:rsidRPr="0028758C">
        <w:rPr>
          <w:rFonts w:ascii="Palatino Linotype" w:hAnsi="Palatino Linotype" w:cs="Arial"/>
          <w:sz w:val="24"/>
          <w:szCs w:val="24"/>
        </w:rPr>
        <w:t xml:space="preserve">el cual fue registrado en el sistema electrónico con el expediente </w:t>
      </w:r>
      <w:r w:rsidR="009C0C6F" w:rsidRPr="0028758C">
        <w:rPr>
          <w:rFonts w:ascii="Palatino Linotype" w:hAnsi="Palatino Linotype" w:cs="Arial"/>
          <w:b/>
          <w:bCs/>
          <w:sz w:val="24"/>
          <w:szCs w:val="24"/>
        </w:rPr>
        <w:t xml:space="preserve">04570/INFOEM/IP/RR/2024, </w:t>
      </w:r>
      <w:r w:rsidR="009C0C6F" w:rsidRPr="0028758C">
        <w:rPr>
          <w:rFonts w:ascii="Palatino Linotype" w:hAnsi="Palatino Linotype" w:cs="Arial"/>
          <w:sz w:val="24"/>
          <w:szCs w:val="24"/>
        </w:rPr>
        <w:t>en el cual arguye como acto impugnado:</w:t>
      </w:r>
    </w:p>
    <w:p w14:paraId="643D150B" w14:textId="77429621" w:rsidR="00317C14" w:rsidRPr="0028758C" w:rsidRDefault="00FC2D20" w:rsidP="00B6574D">
      <w:pPr>
        <w:pStyle w:val="Citas"/>
      </w:pPr>
      <w:r w:rsidRPr="0028758C">
        <w:t>“</w:t>
      </w:r>
      <w:r w:rsidR="009C0C6F" w:rsidRPr="0028758C">
        <w:t>El Fraccionamiento en cuestión se encuentra, en una parte, dentro del municipio de Ocoyoacac y parte de los árboles talados, corresponde a ese municipio. Parte del problema de que el Fraccionamiento y Club de Golf los Encinos tale árboles constantemente, es la omisión del municipio de Ocoyoacac que le deja todo al municipio colindante de Lerma, evadiendo su responsabilidad de gobernar</w:t>
      </w:r>
      <w:r w:rsidR="00CE3EB5" w:rsidRPr="0028758C">
        <w:t xml:space="preserve">” </w:t>
      </w:r>
      <w:r w:rsidR="00CE3EB5" w:rsidRPr="0028758C">
        <w:rPr>
          <w:b/>
          <w:bCs/>
        </w:rPr>
        <w:t>(Sic)</w:t>
      </w:r>
    </w:p>
    <w:p w14:paraId="51D56AC0" w14:textId="018D14D2" w:rsidR="009C0C6F" w:rsidRPr="0028758C" w:rsidRDefault="009C0C6F" w:rsidP="009B5029">
      <w:pPr>
        <w:spacing w:before="240" w:line="360" w:lineRule="auto"/>
        <w:jc w:val="both"/>
        <w:rPr>
          <w:rFonts w:ascii="Palatino Linotype" w:hAnsi="Palatino Linotype" w:cs="Arial"/>
          <w:bCs/>
          <w:sz w:val="24"/>
          <w:szCs w:val="24"/>
        </w:rPr>
      </w:pPr>
      <w:r w:rsidRPr="0028758C">
        <w:rPr>
          <w:rFonts w:ascii="Palatino Linotype" w:hAnsi="Palatino Linotype" w:cs="Arial"/>
          <w:bCs/>
          <w:sz w:val="24"/>
          <w:szCs w:val="24"/>
        </w:rPr>
        <w:t xml:space="preserve">Adicionalmente, el particular adjuntó el documento electrónico </w:t>
      </w:r>
      <w:r w:rsidRPr="0028758C">
        <w:rPr>
          <w:rFonts w:ascii="Palatino Linotype" w:hAnsi="Palatino Linotype" w:cs="Arial"/>
          <w:b/>
          <w:sz w:val="24"/>
          <w:szCs w:val="24"/>
        </w:rPr>
        <w:t xml:space="preserve">“Archivo1721180312680null” </w:t>
      </w:r>
      <w:r w:rsidRPr="0028758C">
        <w:rPr>
          <w:rFonts w:ascii="Palatino Linotype" w:hAnsi="Palatino Linotype" w:cs="Arial"/>
          <w:bCs/>
          <w:sz w:val="24"/>
          <w:szCs w:val="24"/>
        </w:rPr>
        <w:t xml:space="preserve">cuyo contenido fue imposible de visualizar. </w:t>
      </w:r>
    </w:p>
    <w:p w14:paraId="53238F42" w14:textId="77777777" w:rsidR="009C0C6F" w:rsidRPr="0028758C" w:rsidRDefault="009C0C6F" w:rsidP="009B5029">
      <w:pPr>
        <w:spacing w:before="240" w:line="360" w:lineRule="auto"/>
        <w:jc w:val="both"/>
        <w:rPr>
          <w:rFonts w:ascii="Palatino Linotype" w:hAnsi="Palatino Linotype" w:cs="Arial"/>
          <w:b/>
          <w:sz w:val="28"/>
        </w:rPr>
      </w:pPr>
    </w:p>
    <w:p w14:paraId="147EA26C" w14:textId="1C64692C" w:rsidR="009B5029" w:rsidRPr="0028758C" w:rsidRDefault="009B5029" w:rsidP="009B5029">
      <w:pPr>
        <w:spacing w:before="240" w:line="360" w:lineRule="auto"/>
        <w:jc w:val="both"/>
        <w:rPr>
          <w:rFonts w:ascii="Palatino Linotype" w:hAnsi="Palatino Linotype" w:cs="Arial"/>
          <w:b/>
          <w:sz w:val="24"/>
          <w:szCs w:val="24"/>
        </w:rPr>
      </w:pPr>
      <w:r w:rsidRPr="0028758C">
        <w:rPr>
          <w:rFonts w:ascii="Palatino Linotype" w:hAnsi="Palatino Linotype" w:cs="Arial"/>
          <w:b/>
          <w:sz w:val="28"/>
        </w:rPr>
        <w:t>CUARTO</w:t>
      </w:r>
      <w:r w:rsidRPr="0028758C">
        <w:rPr>
          <w:rFonts w:ascii="Palatino Linotype" w:hAnsi="Palatino Linotype" w:cs="Arial"/>
          <w:b/>
          <w:sz w:val="24"/>
          <w:szCs w:val="24"/>
        </w:rPr>
        <w:t xml:space="preserve">. </w:t>
      </w:r>
      <w:r w:rsidRPr="0028758C">
        <w:rPr>
          <w:rFonts w:ascii="Palatino Linotype" w:hAnsi="Palatino Linotype" w:cs="Arial"/>
          <w:b/>
          <w:sz w:val="28"/>
          <w:szCs w:val="28"/>
        </w:rPr>
        <w:t>Del turno del recurso de revisión.</w:t>
      </w:r>
    </w:p>
    <w:p w14:paraId="5929B5D1" w14:textId="08943A59" w:rsidR="009B5029" w:rsidRPr="0028758C" w:rsidRDefault="009B5029" w:rsidP="009B5029">
      <w:pPr>
        <w:spacing w:before="240" w:line="360" w:lineRule="auto"/>
        <w:jc w:val="both"/>
        <w:rPr>
          <w:rFonts w:ascii="Palatino Linotype" w:hAnsi="Palatino Linotype" w:cs="Arial"/>
          <w:sz w:val="24"/>
          <w:szCs w:val="24"/>
        </w:rPr>
      </w:pPr>
      <w:r w:rsidRPr="0028758C">
        <w:rPr>
          <w:rFonts w:ascii="Palatino Linotype" w:hAnsi="Palatino Linotype" w:cs="Arial"/>
          <w:sz w:val="24"/>
          <w:szCs w:val="24"/>
        </w:rPr>
        <w:t xml:space="preserve">Medio de impugnación que le fue turnado al Comisionado presidente </w:t>
      </w:r>
      <w:r w:rsidRPr="0028758C">
        <w:rPr>
          <w:rFonts w:ascii="Palatino Linotype" w:hAnsi="Palatino Linotype" w:cs="Arial"/>
          <w:b/>
          <w:sz w:val="24"/>
          <w:szCs w:val="24"/>
        </w:rPr>
        <w:t xml:space="preserve">José Martínez Vilchis, </w:t>
      </w:r>
      <w:r w:rsidRPr="0028758C">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A776BE" w:rsidRPr="0028758C">
        <w:rPr>
          <w:rFonts w:ascii="Palatino Linotype" w:hAnsi="Palatino Linotype" w:cs="Arial"/>
          <w:sz w:val="24"/>
          <w:szCs w:val="24"/>
        </w:rPr>
        <w:t xml:space="preserve"> </w:t>
      </w:r>
      <w:r w:rsidR="009C0C6F" w:rsidRPr="0028758C">
        <w:rPr>
          <w:rFonts w:ascii="Palatino Linotype" w:hAnsi="Palatino Linotype" w:cs="Arial"/>
          <w:b/>
          <w:bCs/>
          <w:sz w:val="24"/>
          <w:szCs w:val="24"/>
        </w:rPr>
        <w:t>diecinueve de julio</w:t>
      </w:r>
      <w:r w:rsidR="00A776BE" w:rsidRPr="0028758C">
        <w:rPr>
          <w:rFonts w:ascii="Palatino Linotype" w:hAnsi="Palatino Linotype" w:cs="Arial"/>
          <w:b/>
          <w:bCs/>
          <w:sz w:val="24"/>
          <w:szCs w:val="24"/>
        </w:rPr>
        <w:t xml:space="preserve"> de dos mil veinticuatro, </w:t>
      </w:r>
      <w:r w:rsidRPr="0028758C">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28758C" w:rsidRDefault="009B5029" w:rsidP="009B5029">
      <w:pPr>
        <w:spacing w:before="240" w:line="360" w:lineRule="auto"/>
        <w:jc w:val="both"/>
        <w:rPr>
          <w:rFonts w:ascii="Palatino Linotype" w:hAnsi="Palatino Linotype" w:cs="Arial"/>
          <w:sz w:val="24"/>
          <w:szCs w:val="24"/>
        </w:rPr>
      </w:pPr>
    </w:p>
    <w:p w14:paraId="606807D4" w14:textId="77777777" w:rsidR="009B5029" w:rsidRPr="0028758C" w:rsidRDefault="009B5029" w:rsidP="009B5029">
      <w:pPr>
        <w:pStyle w:val="Prrafodelista"/>
        <w:spacing w:line="360" w:lineRule="auto"/>
        <w:ind w:left="0"/>
        <w:jc w:val="both"/>
        <w:rPr>
          <w:rFonts w:ascii="Palatino Linotype" w:hAnsi="Palatino Linotype" w:cs="Arial"/>
          <w:b/>
        </w:rPr>
      </w:pPr>
      <w:r w:rsidRPr="0028758C">
        <w:rPr>
          <w:rFonts w:ascii="Palatino Linotype" w:hAnsi="Palatino Linotype" w:cs="Arial"/>
          <w:b/>
          <w:sz w:val="28"/>
        </w:rPr>
        <w:lastRenderedPageBreak/>
        <w:t>QUINTO</w:t>
      </w:r>
      <w:r w:rsidRPr="0028758C">
        <w:rPr>
          <w:rFonts w:ascii="Palatino Linotype" w:hAnsi="Palatino Linotype" w:cs="Arial"/>
          <w:b/>
          <w:sz w:val="28"/>
          <w:szCs w:val="28"/>
        </w:rPr>
        <w:t>. De la etapa de instrucción.</w:t>
      </w:r>
    </w:p>
    <w:p w14:paraId="3FBDC1CE" w14:textId="29A29ECE" w:rsidR="009C0C6F" w:rsidRPr="0028758C" w:rsidRDefault="009B5029" w:rsidP="004711D5">
      <w:pPr>
        <w:spacing w:after="0" w:line="360" w:lineRule="auto"/>
        <w:jc w:val="both"/>
        <w:rPr>
          <w:rFonts w:ascii="Palatino Linotype" w:hAnsi="Palatino Linotype" w:cs="Arial"/>
          <w:sz w:val="24"/>
          <w:szCs w:val="24"/>
        </w:rPr>
      </w:pPr>
      <w:r w:rsidRPr="0028758C">
        <w:rPr>
          <w:rFonts w:ascii="Palatino Linotype" w:hAnsi="Palatino Linotype" w:cs="Arial"/>
          <w:sz w:val="24"/>
          <w:szCs w:val="24"/>
        </w:rPr>
        <w:t xml:space="preserve">Así, en la etapa de instrucción, de las constancias que obran en los expedientes electrónicos de los recursos de revisión se advierte que </w:t>
      </w:r>
      <w:r w:rsidRPr="0028758C">
        <w:rPr>
          <w:rFonts w:ascii="Palatino Linotype" w:hAnsi="Palatino Linotype" w:cs="Arial"/>
          <w:b/>
          <w:bCs/>
          <w:sz w:val="24"/>
          <w:szCs w:val="24"/>
        </w:rPr>
        <w:t>El Sujeto Obligado</w:t>
      </w:r>
      <w:r w:rsidR="00FC2D20" w:rsidRPr="0028758C">
        <w:rPr>
          <w:rFonts w:ascii="Palatino Linotype" w:hAnsi="Palatino Linotype" w:cs="Arial"/>
          <w:b/>
          <w:bCs/>
          <w:sz w:val="24"/>
          <w:szCs w:val="24"/>
        </w:rPr>
        <w:t xml:space="preserve"> </w:t>
      </w:r>
      <w:r w:rsidR="009C0C6F" w:rsidRPr="0028758C">
        <w:rPr>
          <w:rFonts w:ascii="Palatino Linotype" w:hAnsi="Palatino Linotype" w:cs="Arial"/>
          <w:sz w:val="24"/>
          <w:szCs w:val="24"/>
        </w:rPr>
        <w:t xml:space="preserve">fue omiso en rendir su informe justificado. </w:t>
      </w:r>
      <w:r w:rsidR="00F86DEE" w:rsidRPr="0028758C">
        <w:rPr>
          <w:rFonts w:ascii="Palatino Linotype" w:hAnsi="Palatino Linotype" w:cs="Arial"/>
          <w:sz w:val="24"/>
          <w:szCs w:val="24"/>
        </w:rPr>
        <w:t xml:space="preserve"> </w:t>
      </w:r>
    </w:p>
    <w:p w14:paraId="380437B6" w14:textId="77777777" w:rsidR="00A776BE" w:rsidRPr="0028758C" w:rsidRDefault="00A776BE" w:rsidP="004711D5">
      <w:pPr>
        <w:spacing w:after="0" w:line="360" w:lineRule="auto"/>
        <w:jc w:val="both"/>
        <w:rPr>
          <w:rFonts w:ascii="Palatino Linotype" w:hAnsi="Palatino Linotype" w:cs="Arial"/>
          <w:b/>
          <w:bCs/>
          <w:sz w:val="24"/>
          <w:szCs w:val="24"/>
        </w:rPr>
      </w:pPr>
    </w:p>
    <w:p w14:paraId="468F8640" w14:textId="67FFFAE4" w:rsidR="00DF6F34" w:rsidRPr="0028758C" w:rsidRDefault="00FC2D20" w:rsidP="00321484">
      <w:pPr>
        <w:spacing w:after="0" w:line="360" w:lineRule="auto"/>
        <w:jc w:val="both"/>
        <w:rPr>
          <w:rFonts w:ascii="Palatino Linotype" w:hAnsi="Palatino Linotype" w:cs="Arial"/>
          <w:sz w:val="24"/>
          <w:szCs w:val="24"/>
        </w:rPr>
      </w:pPr>
      <w:r w:rsidRPr="0028758C">
        <w:rPr>
          <w:rFonts w:ascii="Palatino Linotype" w:hAnsi="Palatino Linotype" w:cs="Arial"/>
          <w:bCs/>
          <w:sz w:val="24"/>
          <w:szCs w:val="24"/>
        </w:rPr>
        <w:t xml:space="preserve">Por lo cual se decretó </w:t>
      </w:r>
      <w:r w:rsidR="00321484" w:rsidRPr="0028758C">
        <w:rPr>
          <w:rFonts w:ascii="Palatino Linotype" w:hAnsi="Palatino Linotype" w:cs="Arial"/>
          <w:bCs/>
          <w:sz w:val="24"/>
          <w:szCs w:val="24"/>
        </w:rPr>
        <w:t xml:space="preserve">el cierre de </w:t>
      </w:r>
      <w:r w:rsidRPr="0028758C">
        <w:rPr>
          <w:rFonts w:ascii="Palatino Linotype" w:hAnsi="Palatino Linotype" w:cs="Arial"/>
          <w:bCs/>
          <w:sz w:val="24"/>
          <w:szCs w:val="24"/>
        </w:rPr>
        <w:t>instrucción con fecha</w:t>
      </w:r>
      <w:r w:rsidR="003027D2" w:rsidRPr="0028758C">
        <w:rPr>
          <w:rFonts w:ascii="Palatino Linotype" w:hAnsi="Palatino Linotype" w:cs="Arial"/>
          <w:bCs/>
          <w:sz w:val="24"/>
          <w:szCs w:val="24"/>
        </w:rPr>
        <w:t xml:space="preserve"> </w:t>
      </w:r>
      <w:r w:rsidR="00F746E2" w:rsidRPr="0028758C">
        <w:rPr>
          <w:rFonts w:ascii="Palatino Linotype" w:hAnsi="Palatino Linotype" w:cs="Arial"/>
          <w:b/>
          <w:sz w:val="24"/>
          <w:szCs w:val="24"/>
        </w:rPr>
        <w:t>veinte</w:t>
      </w:r>
      <w:r w:rsidR="009C0C6F" w:rsidRPr="0028758C">
        <w:rPr>
          <w:rFonts w:ascii="Palatino Linotype" w:hAnsi="Palatino Linotype" w:cs="Arial"/>
          <w:b/>
          <w:sz w:val="24"/>
          <w:szCs w:val="24"/>
        </w:rPr>
        <w:t xml:space="preserve"> de agosto</w:t>
      </w:r>
      <w:r w:rsidR="00A776BE" w:rsidRPr="0028758C">
        <w:rPr>
          <w:rFonts w:ascii="Palatino Linotype" w:hAnsi="Palatino Linotype" w:cs="Arial"/>
          <w:b/>
          <w:sz w:val="24"/>
          <w:szCs w:val="24"/>
        </w:rPr>
        <w:t xml:space="preserve"> de dos mil veinticuatro, </w:t>
      </w:r>
      <w:r w:rsidR="0017726B" w:rsidRPr="0028758C">
        <w:rPr>
          <w:rFonts w:ascii="Palatino Linotype" w:hAnsi="Palatino Linotype" w:cs="Arial"/>
          <w:bCs/>
          <w:sz w:val="24"/>
          <w:szCs w:val="24"/>
        </w:rPr>
        <w:t>en</w:t>
      </w:r>
      <w:r w:rsidR="00DF6F34" w:rsidRPr="0028758C">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0BCD1641" w14:textId="77777777" w:rsidR="00A776BE" w:rsidRPr="0028758C" w:rsidRDefault="00A776BE" w:rsidP="00844569">
      <w:pPr>
        <w:spacing w:before="240" w:line="360" w:lineRule="auto"/>
        <w:jc w:val="center"/>
        <w:rPr>
          <w:rFonts w:ascii="Palatino Linotype" w:hAnsi="Palatino Linotype" w:cs="Arial"/>
          <w:b/>
          <w:sz w:val="24"/>
        </w:rPr>
      </w:pPr>
    </w:p>
    <w:p w14:paraId="1EBA35FA" w14:textId="11ABEDC3" w:rsidR="006168E4" w:rsidRPr="0028758C" w:rsidRDefault="006168E4" w:rsidP="00844569">
      <w:pPr>
        <w:spacing w:before="240" w:line="360" w:lineRule="auto"/>
        <w:jc w:val="center"/>
        <w:rPr>
          <w:rFonts w:ascii="Palatino Linotype" w:hAnsi="Palatino Linotype" w:cs="Arial"/>
          <w:b/>
          <w:sz w:val="24"/>
        </w:rPr>
      </w:pPr>
      <w:r w:rsidRPr="0028758C">
        <w:rPr>
          <w:rFonts w:ascii="Palatino Linotype" w:hAnsi="Palatino Linotype" w:cs="Arial"/>
          <w:b/>
          <w:sz w:val="24"/>
        </w:rPr>
        <w:t xml:space="preserve">C O N S I D E R A N D O </w:t>
      </w:r>
    </w:p>
    <w:p w14:paraId="68B57F26" w14:textId="77777777" w:rsidR="006168E4" w:rsidRPr="0028758C" w:rsidRDefault="006168E4" w:rsidP="00844569">
      <w:pPr>
        <w:spacing w:before="240" w:line="360" w:lineRule="auto"/>
        <w:jc w:val="both"/>
        <w:rPr>
          <w:rFonts w:ascii="Palatino Linotype" w:hAnsi="Palatino Linotype" w:cs="Arial"/>
          <w:sz w:val="24"/>
        </w:rPr>
      </w:pPr>
      <w:r w:rsidRPr="0028758C">
        <w:rPr>
          <w:rFonts w:ascii="Palatino Linotype" w:hAnsi="Palatino Linotype" w:cs="Arial"/>
          <w:b/>
          <w:sz w:val="28"/>
        </w:rPr>
        <w:t>PRIMERO.</w:t>
      </w:r>
      <w:r w:rsidRPr="0028758C">
        <w:rPr>
          <w:rFonts w:ascii="Palatino Linotype" w:hAnsi="Palatino Linotype" w:cs="Arial"/>
          <w:b/>
        </w:rPr>
        <w:t xml:space="preserve"> </w:t>
      </w:r>
      <w:r w:rsidRPr="0028758C">
        <w:rPr>
          <w:rFonts w:ascii="Palatino Linotype" w:hAnsi="Palatino Linotype" w:cs="Arial"/>
          <w:b/>
          <w:sz w:val="28"/>
          <w:szCs w:val="28"/>
        </w:rPr>
        <w:t>De la competencia</w:t>
      </w:r>
      <w:r w:rsidRPr="0028758C">
        <w:rPr>
          <w:rFonts w:ascii="Palatino Linotype" w:hAnsi="Palatino Linotype" w:cs="Arial"/>
          <w:sz w:val="28"/>
          <w:szCs w:val="28"/>
        </w:rPr>
        <w:t>.</w:t>
      </w:r>
    </w:p>
    <w:p w14:paraId="2D8C7F85" w14:textId="77777777" w:rsidR="00A776BE" w:rsidRPr="0028758C" w:rsidRDefault="00A776BE" w:rsidP="00A776BE">
      <w:pPr>
        <w:pStyle w:val="Prrafodelista"/>
        <w:autoSpaceDE w:val="0"/>
        <w:autoSpaceDN w:val="0"/>
        <w:adjustRightInd w:val="0"/>
        <w:spacing w:before="240" w:after="160" w:line="360" w:lineRule="auto"/>
        <w:ind w:left="0"/>
        <w:jc w:val="both"/>
        <w:rPr>
          <w:rFonts w:ascii="Palatino Linotype" w:hAnsi="Palatino Linotype" w:cs="Arial"/>
          <w:bCs/>
        </w:rPr>
      </w:pPr>
      <w:r w:rsidRPr="0028758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w:t>
      </w:r>
      <w:r w:rsidRPr="0028758C">
        <w:rPr>
          <w:rFonts w:ascii="Palatino Linotype" w:hAnsi="Palatino Linotype" w:cs="Arial"/>
          <w:bCs/>
        </w:rPr>
        <w:lastRenderedPageBreak/>
        <w:t>Interior del Instituto de Transparencia, Acceso a la Información Pública y Protección de Datos Personales del Estado de México y Municipios.</w:t>
      </w:r>
    </w:p>
    <w:p w14:paraId="04775E39" w14:textId="77777777" w:rsidR="00A776BE" w:rsidRPr="0028758C" w:rsidRDefault="00A776BE"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7DB2A628" w:rsidR="006168E4" w:rsidRPr="0028758C"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28758C">
        <w:rPr>
          <w:rFonts w:ascii="Palatino Linotype" w:hAnsi="Palatino Linotype" w:cs="Arial"/>
          <w:b/>
          <w:sz w:val="28"/>
        </w:rPr>
        <w:t>SEGUNDO</w:t>
      </w:r>
      <w:r w:rsidRPr="0028758C">
        <w:rPr>
          <w:rFonts w:ascii="Palatino Linotype" w:hAnsi="Palatino Linotype" w:cs="Arial"/>
          <w:b/>
        </w:rPr>
        <w:t xml:space="preserve">. </w:t>
      </w:r>
      <w:r w:rsidRPr="0028758C">
        <w:rPr>
          <w:rFonts w:ascii="Palatino Linotype" w:hAnsi="Palatino Linotype" w:cs="Arial"/>
          <w:b/>
          <w:sz w:val="28"/>
          <w:szCs w:val="28"/>
        </w:rPr>
        <w:t>Sobre los alcances del recurso de revisión.</w:t>
      </w:r>
      <w:r w:rsidRPr="0028758C">
        <w:rPr>
          <w:rFonts w:ascii="Palatino Linotype" w:hAnsi="Palatino Linotype" w:cs="Arial"/>
          <w:b/>
        </w:rPr>
        <w:t xml:space="preserve"> </w:t>
      </w:r>
    </w:p>
    <w:p w14:paraId="269B6C88" w14:textId="77777777" w:rsidR="006168E4" w:rsidRPr="0028758C"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28758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1C8BC58" w14:textId="77777777" w:rsidR="0017726B" w:rsidRPr="0028758C" w:rsidRDefault="0017726B"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00E950A" w14:textId="77777777" w:rsidR="003027D2" w:rsidRPr="0028758C" w:rsidRDefault="003027D2" w:rsidP="003027D2">
      <w:pPr>
        <w:spacing w:after="0" w:line="360" w:lineRule="auto"/>
        <w:jc w:val="both"/>
        <w:rPr>
          <w:rFonts w:ascii="Palatino Linotype" w:eastAsia="Times New Roman" w:hAnsi="Palatino Linotype" w:cs="Times New Roman"/>
          <w:sz w:val="24"/>
          <w:szCs w:val="24"/>
          <w:lang w:eastAsia="es-ES"/>
        </w:rPr>
      </w:pPr>
      <w:r w:rsidRPr="0028758C">
        <w:rPr>
          <w:rFonts w:ascii="Palatino Linotype" w:hAnsi="Palatino Linotype" w:cs="Arial"/>
          <w:b/>
          <w:sz w:val="28"/>
        </w:rPr>
        <w:t xml:space="preserve">TERCERO. Cuestiones de previo y especial pronunciamiento. </w:t>
      </w:r>
      <w:r w:rsidRPr="0028758C">
        <w:rPr>
          <w:rFonts w:ascii="Palatino Linotype" w:eastAsia="Times New Roman" w:hAnsi="Palatino Linotype" w:cs="Times New Roman"/>
          <w:sz w:val="24"/>
          <w:szCs w:val="24"/>
          <w:lang w:eastAsia="es-ES"/>
        </w:rPr>
        <w:t xml:space="preserve"> </w:t>
      </w:r>
    </w:p>
    <w:p w14:paraId="72754125" w14:textId="5A41728E" w:rsidR="00A776BE" w:rsidRPr="0028758C" w:rsidRDefault="00A776BE" w:rsidP="00A776BE">
      <w:pPr>
        <w:spacing w:after="0" w:line="360" w:lineRule="auto"/>
        <w:jc w:val="both"/>
        <w:rPr>
          <w:rFonts w:ascii="Palatino Linotype" w:hAnsi="Palatino Linotype" w:cs="Arial"/>
          <w:sz w:val="24"/>
        </w:rPr>
      </w:pPr>
      <w:r w:rsidRPr="0028758C">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28758C">
        <w:rPr>
          <w:rFonts w:ascii="Palatino Linotype" w:hAnsi="Palatino Linotype"/>
          <w:b/>
          <w:sz w:val="24"/>
          <w:szCs w:val="24"/>
        </w:rPr>
        <w:t>Recurrente,</w:t>
      </w:r>
      <w:r w:rsidRPr="0028758C">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w:t>
      </w:r>
      <w:r w:rsidRPr="0028758C">
        <w:rPr>
          <w:rFonts w:ascii="Palatino Linotype" w:hAnsi="Palatino Linotype"/>
          <w:sz w:val="24"/>
          <w:szCs w:val="24"/>
        </w:rPr>
        <w:lastRenderedPageBreak/>
        <w:t xml:space="preserve">es requisito indispensable contener el nombre cuando se hace la impugnación de manera electrónica, ello porque no se advierte nombre en específico sino </w:t>
      </w:r>
      <w:r w:rsidR="00B849AE" w:rsidRPr="0028758C">
        <w:rPr>
          <w:rFonts w:ascii="Palatino Linotype" w:hAnsi="Palatino Linotype" w:cs="Arial"/>
          <w:b/>
          <w:sz w:val="24"/>
          <w:szCs w:val="24"/>
        </w:rPr>
        <w:t>XXXXXXX</w:t>
      </w:r>
      <w:r w:rsidRPr="0028758C">
        <w:rPr>
          <w:rFonts w:ascii="Palatino Linotype" w:hAnsi="Palatino Linotype" w:cs="Arial"/>
          <w:sz w:val="24"/>
        </w:rPr>
        <w:t>, del cual no se colige que corresponda al nombre de una persona.</w:t>
      </w:r>
    </w:p>
    <w:p w14:paraId="17512FB1" w14:textId="77777777" w:rsidR="00A776BE" w:rsidRPr="0028758C" w:rsidRDefault="00A776BE" w:rsidP="00A776BE">
      <w:pPr>
        <w:spacing w:after="0" w:line="360" w:lineRule="auto"/>
        <w:jc w:val="both"/>
        <w:rPr>
          <w:rFonts w:ascii="Palatino Linotype" w:hAnsi="Palatino Linotype"/>
          <w:sz w:val="24"/>
          <w:szCs w:val="24"/>
        </w:rPr>
      </w:pPr>
    </w:p>
    <w:p w14:paraId="209F4789" w14:textId="77777777" w:rsidR="00A776BE" w:rsidRPr="0028758C" w:rsidRDefault="00A776BE" w:rsidP="00A776BE">
      <w:pPr>
        <w:pStyle w:val="Prrafodelista"/>
        <w:widowControl w:val="0"/>
        <w:autoSpaceDE w:val="0"/>
        <w:autoSpaceDN w:val="0"/>
        <w:adjustRightInd w:val="0"/>
        <w:spacing w:line="360" w:lineRule="auto"/>
        <w:ind w:left="0"/>
        <w:jc w:val="both"/>
        <w:rPr>
          <w:rFonts w:ascii="Palatino Linotype" w:hAnsi="Palatino Linotype" w:cs="Arial"/>
        </w:rPr>
      </w:pPr>
      <w:r w:rsidRPr="0028758C">
        <w:rPr>
          <w:rFonts w:ascii="Palatino Linotype" w:hAnsi="Palatino Linotype" w:cs="Arial"/>
        </w:rPr>
        <w:t xml:space="preserve">Esta Ponencia considera importante abordar el análisis de los requisitos de procedibilidad de los recursos de revisión, así el artículo 180 de la </w:t>
      </w:r>
      <w:r w:rsidRPr="0028758C">
        <w:rPr>
          <w:rFonts w:ascii="Palatino Linotype" w:hAnsi="Palatino Linotype" w:cs="Arial"/>
          <w:lang w:eastAsia="es-MX"/>
        </w:rPr>
        <w:t xml:space="preserve">Ley de Transparencia y Acceso a la Información Pública del Estado de México y Municipios, que </w:t>
      </w:r>
      <w:r w:rsidRPr="0028758C">
        <w:rPr>
          <w:rFonts w:ascii="Palatino Linotype" w:hAnsi="Palatino Linotype" w:cs="Arial"/>
        </w:rPr>
        <w:t>establece lo siguiente:</w:t>
      </w:r>
    </w:p>
    <w:p w14:paraId="19880905" w14:textId="77777777" w:rsidR="00A776BE" w:rsidRPr="0028758C" w:rsidRDefault="00A776BE" w:rsidP="00A776BE">
      <w:pPr>
        <w:spacing w:before="240" w:line="360" w:lineRule="auto"/>
        <w:ind w:left="851" w:right="851"/>
        <w:jc w:val="both"/>
        <w:rPr>
          <w:rFonts w:ascii="Palatino Linotype" w:hAnsi="Palatino Linotype"/>
          <w:b/>
          <w:i/>
        </w:rPr>
      </w:pPr>
      <w:r w:rsidRPr="0028758C">
        <w:rPr>
          <w:rFonts w:ascii="Palatino Linotype" w:hAnsi="Palatino Linotype"/>
          <w:i/>
        </w:rPr>
        <w:t>“</w:t>
      </w:r>
      <w:r w:rsidRPr="0028758C">
        <w:rPr>
          <w:rFonts w:ascii="Palatino Linotype" w:hAnsi="Palatino Linotype"/>
          <w:b/>
          <w:i/>
        </w:rPr>
        <w:t xml:space="preserve">Artículo 180. </w:t>
      </w:r>
      <w:r w:rsidRPr="0028758C">
        <w:rPr>
          <w:rFonts w:ascii="Palatino Linotype" w:hAnsi="Palatino Linotype"/>
          <w:i/>
        </w:rPr>
        <w:t xml:space="preserve">El </w:t>
      </w:r>
      <w:r w:rsidRPr="0028758C">
        <w:rPr>
          <w:rFonts w:ascii="Palatino Linotype" w:hAnsi="Palatino Linotype" w:cs="Arial"/>
          <w:i/>
        </w:rPr>
        <w:t>recurso</w:t>
      </w:r>
      <w:r w:rsidRPr="0028758C">
        <w:rPr>
          <w:rFonts w:ascii="Palatino Linotype" w:hAnsi="Palatino Linotype"/>
          <w:i/>
        </w:rPr>
        <w:t xml:space="preserve"> </w:t>
      </w:r>
      <w:r w:rsidRPr="0028758C">
        <w:rPr>
          <w:rFonts w:ascii="Palatino Linotype" w:hAnsi="Palatino Linotype" w:cs="Arial"/>
          <w:i/>
          <w:lang w:eastAsia="es-MX"/>
        </w:rPr>
        <w:t>de</w:t>
      </w:r>
      <w:r w:rsidRPr="0028758C">
        <w:rPr>
          <w:rFonts w:ascii="Palatino Linotype" w:hAnsi="Palatino Linotype"/>
          <w:i/>
        </w:rPr>
        <w:t xml:space="preserve"> revisión contendrá:</w:t>
      </w:r>
      <w:r w:rsidRPr="0028758C">
        <w:rPr>
          <w:rFonts w:ascii="Palatino Linotype" w:hAnsi="Palatino Linotype"/>
          <w:b/>
          <w:i/>
        </w:rPr>
        <w:t xml:space="preserve"> </w:t>
      </w:r>
    </w:p>
    <w:p w14:paraId="12CECBC7" w14:textId="77777777" w:rsidR="00A776BE" w:rsidRPr="0028758C" w:rsidRDefault="00A776BE" w:rsidP="00A776BE">
      <w:pPr>
        <w:spacing w:before="240" w:line="360" w:lineRule="auto"/>
        <w:ind w:left="851" w:right="851"/>
        <w:jc w:val="both"/>
        <w:rPr>
          <w:rFonts w:ascii="Palatino Linotype" w:hAnsi="Palatino Linotype"/>
          <w:b/>
          <w:i/>
        </w:rPr>
      </w:pPr>
      <w:r w:rsidRPr="0028758C">
        <w:rPr>
          <w:rFonts w:ascii="Palatino Linotype" w:hAnsi="Palatino Linotype"/>
          <w:b/>
          <w:i/>
        </w:rPr>
        <w:t xml:space="preserve">I. </w:t>
      </w:r>
      <w:r w:rsidRPr="0028758C">
        <w:rPr>
          <w:rFonts w:ascii="Palatino Linotype" w:hAnsi="Palatino Linotype"/>
          <w:i/>
        </w:rPr>
        <w:t xml:space="preserve">El sujeto obligado ante </w:t>
      </w:r>
      <w:r w:rsidRPr="0028758C">
        <w:rPr>
          <w:rFonts w:ascii="Palatino Linotype" w:hAnsi="Palatino Linotype" w:cs="Arial"/>
          <w:i/>
        </w:rPr>
        <w:t>la</w:t>
      </w:r>
      <w:r w:rsidRPr="0028758C">
        <w:rPr>
          <w:rFonts w:ascii="Palatino Linotype" w:hAnsi="Palatino Linotype"/>
          <w:i/>
        </w:rPr>
        <w:t xml:space="preserve"> cual </w:t>
      </w:r>
      <w:r w:rsidRPr="0028758C">
        <w:rPr>
          <w:rFonts w:ascii="Palatino Linotype" w:hAnsi="Palatino Linotype" w:cs="Arial"/>
          <w:i/>
          <w:lang w:eastAsia="es-MX"/>
        </w:rPr>
        <w:t>se</w:t>
      </w:r>
      <w:r w:rsidRPr="0028758C">
        <w:rPr>
          <w:rFonts w:ascii="Palatino Linotype" w:hAnsi="Palatino Linotype"/>
          <w:i/>
        </w:rPr>
        <w:t xml:space="preserve"> presentó la solicitud;</w:t>
      </w:r>
      <w:r w:rsidRPr="0028758C">
        <w:rPr>
          <w:rFonts w:ascii="Palatino Linotype" w:hAnsi="Palatino Linotype"/>
          <w:b/>
          <w:i/>
        </w:rPr>
        <w:t xml:space="preserve"> </w:t>
      </w:r>
    </w:p>
    <w:p w14:paraId="226C454C" w14:textId="77777777" w:rsidR="00A776BE" w:rsidRPr="0028758C" w:rsidRDefault="00A776BE" w:rsidP="00A776BE">
      <w:pPr>
        <w:spacing w:before="240" w:line="360" w:lineRule="auto"/>
        <w:ind w:left="851" w:right="851"/>
        <w:jc w:val="both"/>
        <w:rPr>
          <w:rFonts w:ascii="Palatino Linotype" w:hAnsi="Palatino Linotype"/>
          <w:b/>
          <w:i/>
        </w:rPr>
      </w:pPr>
      <w:r w:rsidRPr="0028758C">
        <w:rPr>
          <w:rFonts w:ascii="Palatino Linotype" w:hAnsi="Palatino Linotype"/>
          <w:b/>
          <w:i/>
        </w:rPr>
        <w:t xml:space="preserve">II. </w:t>
      </w:r>
      <w:r w:rsidRPr="0028758C">
        <w:rPr>
          <w:rFonts w:ascii="Palatino Linotype" w:hAnsi="Palatino Linotype"/>
          <w:b/>
          <w:i/>
          <w:u w:val="single"/>
        </w:rPr>
        <w:t xml:space="preserve">El nombre del solicitante </w:t>
      </w:r>
      <w:r w:rsidRPr="0028758C">
        <w:rPr>
          <w:rFonts w:ascii="Palatino Linotype" w:hAnsi="Palatino Linotype" w:cs="Arial"/>
          <w:b/>
          <w:i/>
          <w:u w:val="single"/>
          <w:lang w:eastAsia="es-MX"/>
        </w:rPr>
        <w:t>que</w:t>
      </w:r>
      <w:r w:rsidRPr="0028758C">
        <w:rPr>
          <w:rFonts w:ascii="Palatino Linotype" w:hAnsi="Palatino Linotype"/>
          <w:b/>
          <w:i/>
          <w:u w:val="single"/>
        </w:rPr>
        <w:t xml:space="preserve"> recurre</w:t>
      </w:r>
      <w:r w:rsidRPr="0028758C">
        <w:rPr>
          <w:rFonts w:ascii="Palatino Linotype" w:hAnsi="Palatino Linotype"/>
          <w:b/>
          <w:i/>
        </w:rPr>
        <w:t xml:space="preserve"> </w:t>
      </w:r>
      <w:r w:rsidRPr="0028758C">
        <w:rPr>
          <w:rFonts w:ascii="Palatino Linotype" w:hAnsi="Palatino Linotype"/>
          <w:i/>
        </w:rPr>
        <w:t>o de su representante y, en su caso, del tercero interesado, así como la dirección o medio que señale para recibir notificaciones;</w:t>
      </w:r>
      <w:r w:rsidRPr="0028758C">
        <w:rPr>
          <w:rFonts w:ascii="Palatino Linotype" w:hAnsi="Palatino Linotype"/>
          <w:b/>
          <w:i/>
        </w:rPr>
        <w:t xml:space="preserve"> </w:t>
      </w:r>
    </w:p>
    <w:p w14:paraId="2EAB2A56" w14:textId="77777777" w:rsidR="00A776BE" w:rsidRPr="0028758C" w:rsidRDefault="00A776BE" w:rsidP="00A776BE">
      <w:pPr>
        <w:spacing w:before="240" w:line="360" w:lineRule="auto"/>
        <w:ind w:left="851" w:right="851"/>
        <w:rPr>
          <w:rFonts w:ascii="Palatino Linotype" w:hAnsi="Palatino Linotype"/>
          <w:i/>
        </w:rPr>
      </w:pPr>
      <w:r w:rsidRPr="0028758C">
        <w:rPr>
          <w:rFonts w:ascii="Palatino Linotype" w:hAnsi="Palatino Linotype"/>
          <w:b/>
          <w:i/>
        </w:rPr>
        <w:t>(…)” [Sic]</w:t>
      </w:r>
    </w:p>
    <w:p w14:paraId="7783E1C8" w14:textId="77777777" w:rsidR="00A776BE" w:rsidRPr="0028758C" w:rsidRDefault="00A776BE" w:rsidP="00A776BE">
      <w:pPr>
        <w:pStyle w:val="Prrafodelista"/>
        <w:widowControl w:val="0"/>
        <w:autoSpaceDE w:val="0"/>
        <w:autoSpaceDN w:val="0"/>
        <w:adjustRightInd w:val="0"/>
        <w:ind w:left="0"/>
        <w:jc w:val="both"/>
        <w:rPr>
          <w:rFonts w:ascii="Palatino Linotype" w:hAnsi="Palatino Linotype"/>
        </w:rPr>
      </w:pPr>
    </w:p>
    <w:p w14:paraId="1979ACDF" w14:textId="0A036212" w:rsidR="00A776BE" w:rsidRPr="0028758C" w:rsidRDefault="00A776BE" w:rsidP="00A776BE">
      <w:pPr>
        <w:pStyle w:val="Prrafodelista"/>
        <w:widowControl w:val="0"/>
        <w:autoSpaceDE w:val="0"/>
        <w:autoSpaceDN w:val="0"/>
        <w:adjustRightInd w:val="0"/>
        <w:spacing w:line="360" w:lineRule="auto"/>
        <w:ind w:left="0"/>
        <w:jc w:val="both"/>
        <w:rPr>
          <w:rFonts w:ascii="Palatino Linotype" w:hAnsi="Palatino Linotype"/>
        </w:rPr>
      </w:pPr>
      <w:r w:rsidRPr="0028758C">
        <w:rPr>
          <w:rFonts w:ascii="Palatino Linotype" w:hAnsi="Palatino Linotype"/>
        </w:rPr>
        <w:t xml:space="preserve">En principio, de una interpretación del artículo transcrito se observan los requisitos que </w:t>
      </w:r>
      <w:r w:rsidRPr="0028758C">
        <w:rPr>
          <w:rFonts w:ascii="Palatino Linotype" w:hAnsi="Palatino Linotype" w:cs="Arial"/>
        </w:rPr>
        <w:t>deberán</w:t>
      </w:r>
      <w:r w:rsidRPr="0028758C">
        <w:rPr>
          <w:rFonts w:ascii="Palatino Linotype" w:hAnsi="Palatino Linotype"/>
        </w:rPr>
        <w:t xml:space="preserve"> contener los recursos de revisión; sobre el particular, de la revisión del expediente electrónico del </w:t>
      </w:r>
      <w:r w:rsidRPr="0028758C">
        <w:rPr>
          <w:rFonts w:ascii="Palatino Linotype" w:hAnsi="Palatino Linotype"/>
          <w:b/>
        </w:rPr>
        <w:t>SAIMEX</w:t>
      </w:r>
      <w:r w:rsidRPr="0028758C">
        <w:rPr>
          <w:rFonts w:ascii="Palatino Linotype" w:hAnsi="Palatino Linotype"/>
        </w:rPr>
        <w:t xml:space="preserve"> se desprende que el solicitante y ahora Recurrente, en ejercicio de su derecho de acceso a la información pública, no proporcionó un nombre para que </w:t>
      </w:r>
      <w:r w:rsidRPr="0028758C">
        <w:rPr>
          <w:rFonts w:ascii="Palatino Linotype" w:hAnsi="Palatino Linotype" w:cs="Arial"/>
        </w:rPr>
        <w:t>sea</w:t>
      </w:r>
      <w:r w:rsidRPr="0028758C">
        <w:rPr>
          <w:rFonts w:ascii="Palatino Linotype" w:hAnsi="Palatino Linotype"/>
        </w:rPr>
        <w:t xml:space="preserve"> identificado, ya que indicó en el apartado de </w:t>
      </w:r>
      <w:r w:rsidRPr="0028758C">
        <w:rPr>
          <w:rFonts w:ascii="Palatino Linotype" w:hAnsi="Palatino Linotype"/>
          <w:b/>
        </w:rPr>
        <w:t>“DATOS DEL SOLICITANTE”,</w:t>
      </w:r>
      <w:r w:rsidRPr="0028758C">
        <w:rPr>
          <w:rFonts w:ascii="Palatino Linotype" w:hAnsi="Palatino Linotype"/>
        </w:rPr>
        <w:t xml:space="preserve"> el nombre de </w:t>
      </w:r>
      <w:r w:rsidRPr="0028758C">
        <w:rPr>
          <w:rFonts w:ascii="Palatino Linotype" w:hAnsi="Palatino Linotype" w:cs="Arial"/>
          <w:b/>
        </w:rPr>
        <w:t xml:space="preserve">C. </w:t>
      </w:r>
      <w:r w:rsidR="00B849AE" w:rsidRPr="0028758C">
        <w:rPr>
          <w:rFonts w:ascii="Palatino Linotype" w:hAnsi="Palatino Linotype" w:cs="Arial"/>
          <w:b/>
        </w:rPr>
        <w:t>XXXXXXX</w:t>
      </w:r>
      <w:r w:rsidRPr="0028758C">
        <w:rPr>
          <w:rFonts w:ascii="Palatino Linotype" w:hAnsi="Palatino Linotype"/>
          <w:b/>
        </w:rPr>
        <w:t>;</w:t>
      </w:r>
      <w:r w:rsidRPr="0028758C">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BE99A2F" w14:textId="77777777" w:rsidR="00A776BE" w:rsidRPr="0028758C" w:rsidRDefault="00A776BE" w:rsidP="00A776BE">
      <w:pPr>
        <w:pStyle w:val="Prrafodelista"/>
        <w:widowControl w:val="0"/>
        <w:autoSpaceDE w:val="0"/>
        <w:autoSpaceDN w:val="0"/>
        <w:adjustRightInd w:val="0"/>
        <w:spacing w:line="360" w:lineRule="auto"/>
        <w:ind w:left="0"/>
        <w:jc w:val="both"/>
        <w:rPr>
          <w:rFonts w:ascii="Palatino Linotype" w:hAnsi="Palatino Linotype"/>
        </w:rPr>
      </w:pPr>
    </w:p>
    <w:p w14:paraId="7BCCFF99" w14:textId="77777777" w:rsidR="00A776BE" w:rsidRPr="0028758C" w:rsidRDefault="00A776BE" w:rsidP="00A776BE">
      <w:pPr>
        <w:pStyle w:val="Prrafodelista"/>
        <w:widowControl w:val="0"/>
        <w:autoSpaceDE w:val="0"/>
        <w:autoSpaceDN w:val="0"/>
        <w:adjustRightInd w:val="0"/>
        <w:spacing w:line="360" w:lineRule="auto"/>
        <w:ind w:left="0"/>
        <w:jc w:val="both"/>
        <w:rPr>
          <w:rFonts w:ascii="Palatino Linotype" w:hAnsi="Palatino Linotype" w:cs="Arial"/>
        </w:rPr>
      </w:pPr>
      <w:r w:rsidRPr="0028758C">
        <w:rPr>
          <w:rFonts w:ascii="Palatino Linotype" w:hAnsi="Palatino Linotype"/>
        </w:rPr>
        <w:t xml:space="preserve">No obstante lo anterior, debe destacarse que el artículo 15 de </w:t>
      </w:r>
      <w:r w:rsidRPr="0028758C">
        <w:rPr>
          <w:rFonts w:ascii="Palatino Linotype" w:hAnsi="Palatino Linotype" w:cs="Arial"/>
          <w:lang w:eastAsia="es-MX"/>
        </w:rPr>
        <w:t xml:space="preserve">Ley de Transparencia y Acceso a la </w:t>
      </w:r>
      <w:r w:rsidRPr="0028758C">
        <w:rPr>
          <w:rFonts w:ascii="Palatino Linotype" w:hAnsi="Palatino Linotype" w:cs="Arial"/>
        </w:rPr>
        <w:t>Información</w:t>
      </w:r>
      <w:r w:rsidRPr="0028758C">
        <w:rPr>
          <w:rFonts w:ascii="Palatino Linotype" w:hAnsi="Palatino Linotype" w:cs="Arial"/>
          <w:lang w:eastAsia="es-MX"/>
        </w:rPr>
        <w:t xml:space="preserve"> Pública del Estado de México y Municipios </w:t>
      </w:r>
      <w:r w:rsidRPr="0028758C">
        <w:rPr>
          <w:rFonts w:ascii="Palatino Linotype" w:hAnsi="Palatino Linotype" w:cs="Arial"/>
          <w:iCs/>
        </w:rPr>
        <w:t xml:space="preserve">prevé que, </w:t>
      </w:r>
      <w:r w:rsidRPr="0028758C">
        <w:rPr>
          <w:rFonts w:ascii="Palatino Linotype" w:hAnsi="Palatino Linotype"/>
        </w:rPr>
        <w:t xml:space="preserve">toda persona tendrá acceso a la información </w:t>
      </w:r>
      <w:r w:rsidRPr="0028758C">
        <w:rPr>
          <w:rFonts w:ascii="Palatino Linotype" w:hAnsi="Palatino Linotype" w:cs="Arial"/>
        </w:rPr>
        <w:t xml:space="preserve">sin necesidad de acreditar interés alguno o justificar su utilización, de lo que se infiere que para el </w:t>
      </w:r>
      <w:r w:rsidRPr="0028758C">
        <w:rPr>
          <w:rFonts w:ascii="Palatino Linotype" w:hAnsi="Palatino Linotype"/>
        </w:rPr>
        <w:t>ejercicio</w:t>
      </w:r>
      <w:r w:rsidRPr="0028758C">
        <w:rPr>
          <w:rFonts w:ascii="Palatino Linotype" w:hAnsi="Palatino Linotype" w:cs="Arial"/>
        </w:rPr>
        <w:t xml:space="preserve"> del derecho de acceso a la información pública, el nombre no es un requisito </w:t>
      </w:r>
      <w:r w:rsidRPr="0028758C">
        <w:rPr>
          <w:rFonts w:ascii="Palatino Linotype" w:hAnsi="Palatino Linotype" w:cs="Arial"/>
          <w:i/>
        </w:rPr>
        <w:t>sine qua non</w:t>
      </w:r>
      <w:r w:rsidRPr="0028758C">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2767A9C" w14:textId="77777777" w:rsidR="00A776BE" w:rsidRPr="0028758C" w:rsidRDefault="00A776BE" w:rsidP="00A776BE">
      <w:pPr>
        <w:pStyle w:val="Prrafodelista"/>
        <w:widowControl w:val="0"/>
        <w:autoSpaceDE w:val="0"/>
        <w:autoSpaceDN w:val="0"/>
        <w:adjustRightInd w:val="0"/>
        <w:ind w:left="0"/>
        <w:jc w:val="both"/>
        <w:rPr>
          <w:rFonts w:ascii="Palatino Linotype" w:hAnsi="Palatino Linotype"/>
        </w:rPr>
      </w:pPr>
    </w:p>
    <w:p w14:paraId="164A670D" w14:textId="77777777" w:rsidR="00A776BE" w:rsidRPr="0028758C" w:rsidRDefault="00A776BE" w:rsidP="00A776BE">
      <w:pPr>
        <w:pStyle w:val="Prrafodelista"/>
        <w:widowControl w:val="0"/>
        <w:autoSpaceDE w:val="0"/>
        <w:autoSpaceDN w:val="0"/>
        <w:adjustRightInd w:val="0"/>
        <w:spacing w:line="360" w:lineRule="auto"/>
        <w:ind w:left="0"/>
        <w:jc w:val="both"/>
        <w:rPr>
          <w:rFonts w:ascii="Palatino Linotype" w:hAnsi="Palatino Linotype"/>
        </w:rPr>
      </w:pPr>
      <w:r w:rsidRPr="0028758C">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28758C">
        <w:rPr>
          <w:rFonts w:ascii="Palatino Linotype" w:hAnsi="Palatino Linotype" w:cs="Arial"/>
        </w:rPr>
        <w:t>derecho</w:t>
      </w:r>
      <w:r w:rsidRPr="0028758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3E54AA" w14:textId="77777777" w:rsidR="00A04BB8" w:rsidRPr="0028758C" w:rsidRDefault="00A04BB8" w:rsidP="000D3518">
      <w:pPr>
        <w:pStyle w:val="Prrafodelista"/>
        <w:autoSpaceDE w:val="0"/>
        <w:autoSpaceDN w:val="0"/>
        <w:adjustRightInd w:val="0"/>
        <w:spacing w:line="360" w:lineRule="auto"/>
        <w:ind w:left="0"/>
        <w:jc w:val="both"/>
        <w:rPr>
          <w:rFonts w:ascii="Palatino Linotype" w:hAnsi="Palatino Linotype" w:cs="Arial"/>
        </w:rPr>
      </w:pPr>
    </w:p>
    <w:p w14:paraId="70890666" w14:textId="77777777" w:rsidR="000D3518" w:rsidRPr="0028758C" w:rsidRDefault="000D3518" w:rsidP="000D3518">
      <w:pPr>
        <w:tabs>
          <w:tab w:val="left" w:pos="709"/>
        </w:tabs>
        <w:spacing w:before="240" w:line="360" w:lineRule="auto"/>
        <w:ind w:right="51"/>
        <w:jc w:val="both"/>
        <w:rPr>
          <w:rFonts w:ascii="Palatino Linotype" w:hAnsi="Palatino Linotype"/>
          <w:b/>
          <w:sz w:val="28"/>
          <w:szCs w:val="28"/>
        </w:rPr>
      </w:pPr>
      <w:r w:rsidRPr="0028758C">
        <w:rPr>
          <w:rFonts w:ascii="Palatino Linotype" w:hAnsi="Palatino Linotype"/>
          <w:b/>
          <w:sz w:val="28"/>
          <w:szCs w:val="28"/>
        </w:rPr>
        <w:t xml:space="preserve">CUARTO. Estudio y resolución del asunto </w:t>
      </w:r>
    </w:p>
    <w:p w14:paraId="53C76161" w14:textId="77777777" w:rsidR="000D3518" w:rsidRPr="0028758C" w:rsidRDefault="000D3518" w:rsidP="000D3518">
      <w:pPr>
        <w:pStyle w:val="Prrafodelista"/>
        <w:autoSpaceDE w:val="0"/>
        <w:autoSpaceDN w:val="0"/>
        <w:adjustRightInd w:val="0"/>
        <w:spacing w:before="240" w:after="160" w:line="360" w:lineRule="auto"/>
        <w:ind w:left="0"/>
        <w:jc w:val="both"/>
        <w:rPr>
          <w:rFonts w:ascii="Palatino Linotype" w:hAnsi="Palatino Linotype" w:cs="Arial"/>
        </w:rPr>
      </w:pPr>
      <w:r w:rsidRPr="0028758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28758C">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2EF967D" w14:textId="77777777" w:rsidR="000D3518" w:rsidRPr="0028758C" w:rsidRDefault="000D3518" w:rsidP="000D3518">
      <w:pPr>
        <w:spacing w:after="0" w:line="360" w:lineRule="auto"/>
        <w:jc w:val="both"/>
        <w:rPr>
          <w:rFonts w:ascii="Palatino Linotype" w:eastAsia="Times New Roman" w:hAnsi="Palatino Linotype" w:cs="Times New Roman"/>
          <w:sz w:val="24"/>
          <w:szCs w:val="24"/>
          <w:lang w:eastAsia="es-ES"/>
        </w:rPr>
      </w:pPr>
      <w:r w:rsidRPr="0028758C">
        <w:rPr>
          <w:rFonts w:ascii="Palatino Linotype" w:hAnsi="Palatino Linotype" w:cs="Arial"/>
          <w:sz w:val="24"/>
          <w:szCs w:val="24"/>
        </w:rPr>
        <w:t xml:space="preserve">En este tenor, es necesario subrayar que </w:t>
      </w:r>
      <w:r w:rsidRPr="0028758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C6D017D"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b/>
          <w:i/>
          <w:lang w:eastAsia="es-ES"/>
        </w:rPr>
        <w:t>“Artículo 4.</w:t>
      </w:r>
      <w:r w:rsidRPr="0028758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CDF0E92"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EE209"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B725BCC"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b/>
          <w:i/>
          <w:lang w:eastAsia="es-ES"/>
        </w:rPr>
        <w:lastRenderedPageBreak/>
        <w:t>Artículo 12.</w:t>
      </w:r>
      <w:r w:rsidRPr="0028758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386392"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750B64C"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i/>
          <w:lang w:eastAsia="es-ES"/>
        </w:rPr>
        <w:t>(…)</w:t>
      </w:r>
    </w:p>
    <w:p w14:paraId="4E6E6EC8" w14:textId="77777777" w:rsidR="000D3518" w:rsidRPr="0028758C" w:rsidRDefault="000D3518" w:rsidP="000D3518">
      <w:pPr>
        <w:spacing w:before="240" w:line="360" w:lineRule="auto"/>
        <w:ind w:left="851" w:right="851"/>
        <w:jc w:val="both"/>
        <w:rPr>
          <w:rFonts w:ascii="Palatino Linotype" w:eastAsia="Times New Roman" w:hAnsi="Palatino Linotype" w:cs="Times New Roman"/>
          <w:b/>
          <w:i/>
          <w:lang w:eastAsia="es-ES"/>
        </w:rPr>
      </w:pPr>
      <w:r w:rsidRPr="0028758C">
        <w:rPr>
          <w:rFonts w:ascii="Palatino Linotype" w:eastAsia="Times New Roman" w:hAnsi="Palatino Linotype" w:cs="Times New Roman"/>
          <w:b/>
          <w:i/>
          <w:lang w:eastAsia="es-ES"/>
        </w:rPr>
        <w:t xml:space="preserve">Artículo 24. </w:t>
      </w:r>
    </w:p>
    <w:p w14:paraId="7D9CBB14"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i/>
          <w:lang w:eastAsia="es-ES"/>
        </w:rPr>
        <w:t>(…)</w:t>
      </w:r>
    </w:p>
    <w:p w14:paraId="00C1F8F6"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C78B13D"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i/>
          <w:lang w:eastAsia="es-ES"/>
        </w:rPr>
        <w:t>(…)</w:t>
      </w:r>
    </w:p>
    <w:p w14:paraId="2D3429A9" w14:textId="77777777" w:rsidR="000D3518" w:rsidRPr="0028758C" w:rsidRDefault="000D3518" w:rsidP="000D3518">
      <w:pPr>
        <w:spacing w:before="240" w:line="360" w:lineRule="auto"/>
        <w:ind w:left="851" w:right="851"/>
        <w:jc w:val="both"/>
        <w:rPr>
          <w:rFonts w:ascii="Palatino Linotype" w:eastAsia="Times New Roman" w:hAnsi="Palatino Linotype" w:cs="Times New Roman"/>
          <w:i/>
          <w:lang w:eastAsia="es-ES"/>
        </w:rPr>
      </w:pPr>
      <w:r w:rsidRPr="0028758C">
        <w:rPr>
          <w:rFonts w:ascii="Palatino Linotype" w:eastAsia="Times New Roman" w:hAnsi="Palatino Linotype" w:cs="Times New Roman"/>
          <w:b/>
          <w:i/>
          <w:lang w:eastAsia="es-ES"/>
        </w:rPr>
        <w:t>Artículo 160.</w:t>
      </w:r>
      <w:r w:rsidRPr="0028758C">
        <w:rPr>
          <w:rFonts w:ascii="Palatino Linotype" w:eastAsia="Times New Roman" w:hAnsi="Palatino Linotype" w:cs="Times New Roman"/>
          <w:i/>
          <w:lang w:eastAsia="es-ES"/>
        </w:rPr>
        <w:t xml:space="preserve"> Los sujetos obligados deberán otorgar acceso a los documentos que se </w:t>
      </w:r>
      <w:r w:rsidRPr="0028758C">
        <w:rPr>
          <w:rFonts w:ascii="Palatino Linotype" w:eastAsia="Times New Roman" w:hAnsi="Palatino Linotype" w:cs="Times New Roman"/>
          <w:b/>
          <w:i/>
          <w:lang w:eastAsia="es-ES"/>
        </w:rPr>
        <w:t xml:space="preserve"> </w:t>
      </w:r>
      <w:r w:rsidRPr="0028758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52EF5B9" w14:textId="039ED7A2" w:rsidR="000D3518" w:rsidRPr="0028758C" w:rsidRDefault="000D3518" w:rsidP="000D3518">
      <w:pPr>
        <w:spacing w:before="240" w:line="360" w:lineRule="auto"/>
        <w:ind w:left="851" w:right="851"/>
        <w:jc w:val="both"/>
        <w:rPr>
          <w:rFonts w:ascii="Palatino Linotype" w:eastAsia="Times New Roman" w:hAnsi="Palatino Linotype" w:cs="Times New Roman"/>
          <w:b/>
          <w:i/>
          <w:lang w:eastAsia="es-ES"/>
        </w:rPr>
      </w:pPr>
      <w:r w:rsidRPr="0028758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00DE5A2F" w:rsidRPr="0028758C">
        <w:rPr>
          <w:rFonts w:ascii="Palatino Linotype" w:eastAsia="Times New Roman" w:hAnsi="Palatino Linotype" w:cs="Times New Roman"/>
          <w:i/>
          <w:lang w:eastAsia="es-ES"/>
        </w:rPr>
        <w:t xml:space="preserve"> </w:t>
      </w:r>
      <w:r w:rsidR="00DE5A2F" w:rsidRPr="0028758C">
        <w:rPr>
          <w:rFonts w:ascii="Palatino Linotype" w:eastAsia="Times New Roman" w:hAnsi="Palatino Linotype" w:cs="Times New Roman"/>
          <w:b/>
          <w:i/>
          <w:lang w:eastAsia="es-ES"/>
        </w:rPr>
        <w:t>(Sic)</w:t>
      </w:r>
    </w:p>
    <w:p w14:paraId="35959AAE" w14:textId="77777777" w:rsidR="000D3518" w:rsidRPr="0028758C" w:rsidRDefault="000D3518" w:rsidP="000D3518">
      <w:pPr>
        <w:spacing w:after="0" w:line="360" w:lineRule="auto"/>
        <w:jc w:val="both"/>
        <w:rPr>
          <w:rFonts w:ascii="Palatino Linotype" w:eastAsia="Times New Roman" w:hAnsi="Palatino Linotype" w:cs="Times New Roman"/>
          <w:sz w:val="24"/>
          <w:szCs w:val="24"/>
          <w:lang w:eastAsia="es-ES"/>
        </w:rPr>
      </w:pPr>
    </w:p>
    <w:p w14:paraId="475BC68C" w14:textId="77777777" w:rsidR="000D3518" w:rsidRPr="0028758C" w:rsidRDefault="000D3518" w:rsidP="000D3518">
      <w:pPr>
        <w:spacing w:after="0" w:line="360" w:lineRule="auto"/>
        <w:jc w:val="both"/>
        <w:rPr>
          <w:rFonts w:ascii="Palatino Linotype" w:eastAsia="Times New Roman" w:hAnsi="Palatino Linotype" w:cs="Times New Roman"/>
          <w:sz w:val="24"/>
          <w:szCs w:val="24"/>
          <w:lang w:eastAsia="es-ES"/>
        </w:rPr>
      </w:pPr>
      <w:r w:rsidRPr="0028758C">
        <w:rPr>
          <w:rFonts w:ascii="Palatino Linotype" w:eastAsia="Times New Roman" w:hAnsi="Palatino Linotype" w:cs="Times New Roman"/>
          <w:sz w:val="24"/>
          <w:szCs w:val="24"/>
          <w:lang w:eastAsia="es-ES"/>
        </w:rPr>
        <w:lastRenderedPageBreak/>
        <w:t xml:space="preserve">Así que la obligación de los </w:t>
      </w:r>
      <w:r w:rsidRPr="0028758C">
        <w:rPr>
          <w:rFonts w:ascii="Palatino Linotype" w:eastAsia="Times New Roman" w:hAnsi="Palatino Linotype" w:cs="Times New Roman"/>
          <w:b/>
          <w:sz w:val="24"/>
          <w:szCs w:val="24"/>
          <w:lang w:eastAsia="es-ES"/>
        </w:rPr>
        <w:t>Sujetos Obligados</w:t>
      </w:r>
      <w:r w:rsidRPr="0028758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8758C">
        <w:rPr>
          <w:rFonts w:ascii="Palatino Linotype" w:eastAsia="Times New Roman" w:hAnsi="Palatino Linotype" w:cs="Times New Roman"/>
          <w:bCs/>
          <w:sz w:val="24"/>
          <w:szCs w:val="24"/>
          <w:lang w:eastAsia="es-ES"/>
        </w:rPr>
        <w:t>de la Ley local en la materia, que se reproduce de la siguiente forma</w:t>
      </w:r>
      <w:r w:rsidRPr="0028758C">
        <w:rPr>
          <w:rFonts w:ascii="Palatino Linotype" w:eastAsia="Times New Roman" w:hAnsi="Palatino Linotype" w:cs="Times New Roman"/>
          <w:sz w:val="24"/>
          <w:szCs w:val="24"/>
          <w:lang w:eastAsia="es-ES"/>
        </w:rPr>
        <w:t>:</w:t>
      </w:r>
    </w:p>
    <w:p w14:paraId="26DCD1B0" w14:textId="77777777" w:rsidR="000D3518" w:rsidRPr="0028758C" w:rsidRDefault="000D3518" w:rsidP="000D3518">
      <w:pPr>
        <w:spacing w:before="240" w:line="360" w:lineRule="auto"/>
        <w:ind w:left="851" w:right="851"/>
        <w:jc w:val="both"/>
        <w:rPr>
          <w:rFonts w:ascii="Palatino Linotype" w:eastAsia="Times New Roman" w:hAnsi="Palatino Linotype" w:cs="Arial"/>
          <w:b/>
          <w:i/>
          <w:lang w:eastAsia="es-ES"/>
        </w:rPr>
      </w:pPr>
      <w:r w:rsidRPr="0028758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8758C">
        <w:rPr>
          <w:rFonts w:ascii="Palatino Linotype" w:eastAsia="Times New Roman" w:hAnsi="Palatino Linotype" w:cs="Arial"/>
          <w:b/>
          <w:i/>
          <w:lang w:eastAsia="es-ES"/>
        </w:rPr>
        <w:t>[Sic]</w:t>
      </w:r>
    </w:p>
    <w:p w14:paraId="1BC3B691" w14:textId="77777777" w:rsidR="00A776BE" w:rsidRPr="0028758C" w:rsidRDefault="00A776BE" w:rsidP="00A04BB8">
      <w:pPr>
        <w:autoSpaceDE w:val="0"/>
        <w:autoSpaceDN w:val="0"/>
        <w:adjustRightInd w:val="0"/>
        <w:spacing w:before="240" w:line="360" w:lineRule="auto"/>
        <w:jc w:val="both"/>
        <w:rPr>
          <w:rFonts w:ascii="Palatino Linotype" w:hAnsi="Palatino Linotype" w:cs="Arial"/>
          <w:sz w:val="24"/>
          <w:szCs w:val="24"/>
        </w:rPr>
      </w:pPr>
    </w:p>
    <w:p w14:paraId="760A7FB8" w14:textId="0BA0D16E" w:rsidR="003027D2" w:rsidRPr="0028758C" w:rsidRDefault="00A04BB8" w:rsidP="00A776BE">
      <w:pPr>
        <w:autoSpaceDE w:val="0"/>
        <w:autoSpaceDN w:val="0"/>
        <w:adjustRightInd w:val="0"/>
        <w:spacing w:before="240" w:line="360" w:lineRule="auto"/>
        <w:jc w:val="both"/>
        <w:rPr>
          <w:rFonts w:ascii="Palatino Linotype" w:hAnsi="Palatino Linotype" w:cs="Arial"/>
          <w:sz w:val="24"/>
          <w:szCs w:val="24"/>
        </w:rPr>
      </w:pPr>
      <w:r w:rsidRPr="0028758C">
        <w:rPr>
          <w:rFonts w:ascii="Palatino Linotype" w:hAnsi="Palatino Linotype" w:cs="Arial"/>
          <w:sz w:val="24"/>
          <w:szCs w:val="24"/>
        </w:rPr>
        <w:t xml:space="preserve">En una aproximación inicial, con relación a la solicitud de información </w:t>
      </w:r>
      <w:r w:rsidR="009C0C6F" w:rsidRPr="0028758C">
        <w:rPr>
          <w:rFonts w:ascii="Palatino Linotype" w:hAnsi="Palatino Linotype" w:cs="Arial"/>
          <w:b/>
          <w:bCs/>
          <w:sz w:val="24"/>
          <w:szCs w:val="24"/>
        </w:rPr>
        <w:t>00092/OCOYOAC/IP/2024</w:t>
      </w:r>
      <w:r w:rsidR="00A776BE" w:rsidRPr="0028758C">
        <w:rPr>
          <w:rFonts w:ascii="Palatino Linotype" w:hAnsi="Palatino Linotype" w:cs="Arial"/>
          <w:b/>
          <w:bCs/>
          <w:sz w:val="24"/>
          <w:szCs w:val="24"/>
        </w:rPr>
        <w:t xml:space="preserve"> </w:t>
      </w:r>
      <w:r w:rsidR="00A776BE" w:rsidRPr="0028758C">
        <w:rPr>
          <w:rFonts w:ascii="Palatino Linotype" w:hAnsi="Palatino Linotype" w:cs="Arial"/>
          <w:sz w:val="24"/>
          <w:szCs w:val="24"/>
        </w:rPr>
        <w:t>se desprende</w:t>
      </w:r>
      <w:r w:rsidR="009C0C6F" w:rsidRPr="0028758C">
        <w:rPr>
          <w:rFonts w:ascii="Palatino Linotype" w:hAnsi="Palatino Linotype" w:cs="Arial"/>
          <w:sz w:val="24"/>
          <w:szCs w:val="24"/>
        </w:rPr>
        <w:t>n las siguientes consideraciones:</w:t>
      </w:r>
    </w:p>
    <w:p w14:paraId="73C34551" w14:textId="77777777" w:rsidR="009C0C6F" w:rsidRPr="0028758C" w:rsidRDefault="009C0C6F" w:rsidP="00211A3F">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28758C">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28758C">
        <w:rPr>
          <w:rFonts w:ascii="Palatino Linotype" w:hAnsi="Palatino Linotype" w:cs="Arial"/>
          <w:b/>
          <w:bCs/>
        </w:rPr>
        <w:t xml:space="preserve">Sujetos Obligados. </w:t>
      </w:r>
    </w:p>
    <w:p w14:paraId="1CD9D4CF" w14:textId="25322D8C" w:rsidR="009C0C6F" w:rsidRPr="0028758C" w:rsidRDefault="009C0C6F" w:rsidP="00211A3F">
      <w:pPr>
        <w:pStyle w:val="Prrafodelista"/>
        <w:numPr>
          <w:ilvl w:val="0"/>
          <w:numId w:val="5"/>
        </w:numPr>
        <w:autoSpaceDE w:val="0"/>
        <w:autoSpaceDN w:val="0"/>
        <w:adjustRightInd w:val="0"/>
        <w:spacing w:before="240" w:line="360" w:lineRule="auto"/>
        <w:jc w:val="both"/>
        <w:rPr>
          <w:rFonts w:ascii="Palatino Linotype" w:hAnsi="Palatino Linotype" w:cs="Arial"/>
          <w:i/>
          <w:iCs/>
        </w:rPr>
      </w:pPr>
      <w:r w:rsidRPr="0028758C">
        <w:rPr>
          <w:rFonts w:ascii="Palatino Linotype" w:hAnsi="Palatino Linotype" w:cs="Arial"/>
        </w:rPr>
        <w:t xml:space="preserve">Que fueron formulados </w:t>
      </w:r>
      <w:r w:rsidRPr="0028758C">
        <w:rPr>
          <w:rFonts w:ascii="Palatino Linotype" w:hAnsi="Palatino Linotype" w:cs="Arial"/>
          <w:b/>
          <w:bCs/>
        </w:rPr>
        <w:t xml:space="preserve">9 -nueve- </w:t>
      </w:r>
      <w:r w:rsidRPr="0028758C">
        <w:rPr>
          <w:rFonts w:ascii="Palatino Linotype" w:hAnsi="Palatino Linotype" w:cs="Arial"/>
        </w:rPr>
        <w:t xml:space="preserve">requerimientos, precisando que respecto de los puntos </w:t>
      </w:r>
      <w:r w:rsidRPr="0028758C">
        <w:rPr>
          <w:rFonts w:ascii="Palatino Linotype" w:hAnsi="Palatino Linotype" w:cs="Arial"/>
          <w:b/>
          <w:bCs/>
        </w:rPr>
        <w:t xml:space="preserve">1 -uno- </w:t>
      </w:r>
      <w:r w:rsidRPr="0028758C">
        <w:rPr>
          <w:rFonts w:ascii="Palatino Linotype" w:hAnsi="Palatino Linotype" w:cs="Arial"/>
        </w:rPr>
        <w:t xml:space="preserve">al </w:t>
      </w:r>
      <w:r w:rsidRPr="0028758C">
        <w:rPr>
          <w:rFonts w:ascii="Palatino Linotype" w:hAnsi="Palatino Linotype" w:cs="Arial"/>
          <w:b/>
          <w:bCs/>
        </w:rPr>
        <w:t xml:space="preserve">6 -seis- </w:t>
      </w:r>
      <w:r w:rsidRPr="0028758C">
        <w:rPr>
          <w:rFonts w:ascii="Palatino Linotype" w:hAnsi="Palatino Linotype" w:cs="Arial"/>
        </w:rPr>
        <w:t>fue señalada como temporalidad “</w:t>
      </w:r>
      <w:r w:rsidRPr="0028758C">
        <w:rPr>
          <w:rFonts w:ascii="Palatino Linotype" w:hAnsi="Palatino Linotype"/>
          <w:i/>
          <w:iCs/>
        </w:rPr>
        <w:t>en el periodo comprendido entre enero de 2019 y junio de 2024”</w:t>
      </w:r>
      <w:r w:rsidRPr="0028758C">
        <w:rPr>
          <w:rFonts w:ascii="Palatino Linotype" w:hAnsi="Palatino Linotype"/>
        </w:rPr>
        <w:t xml:space="preserve">, es decir, debe de ser fijado del uno de enero de dos mil diecinueve al treinta de junio de dos mil veinticuatro. </w:t>
      </w:r>
    </w:p>
    <w:p w14:paraId="596BF5DC" w14:textId="42D52AEC" w:rsidR="009C0C6F" w:rsidRPr="0028758C" w:rsidRDefault="009C0C6F" w:rsidP="009C0C6F">
      <w:pPr>
        <w:pStyle w:val="Prrafodelista"/>
        <w:autoSpaceDE w:val="0"/>
        <w:autoSpaceDN w:val="0"/>
        <w:adjustRightInd w:val="0"/>
        <w:spacing w:before="240" w:line="360" w:lineRule="auto"/>
        <w:ind w:left="720"/>
        <w:jc w:val="both"/>
        <w:rPr>
          <w:rFonts w:ascii="Palatino Linotype" w:hAnsi="Palatino Linotype" w:cs="Arial"/>
          <w:i/>
          <w:iCs/>
        </w:rPr>
      </w:pPr>
      <w:r w:rsidRPr="0028758C">
        <w:rPr>
          <w:rFonts w:ascii="Palatino Linotype" w:hAnsi="Palatino Linotype"/>
        </w:rPr>
        <w:lastRenderedPageBreak/>
        <w:t xml:space="preserve">En contraste, respecto de los puntos </w:t>
      </w:r>
      <w:r w:rsidR="00086A4E" w:rsidRPr="0028758C">
        <w:rPr>
          <w:rFonts w:ascii="Palatino Linotype" w:hAnsi="Palatino Linotype"/>
          <w:b/>
          <w:bCs/>
        </w:rPr>
        <w:t xml:space="preserve">7 al 9, </w:t>
      </w:r>
      <w:r w:rsidR="00086A4E" w:rsidRPr="0028758C">
        <w:rPr>
          <w:rFonts w:ascii="Palatino Linotype" w:hAnsi="Palatino Linotype"/>
        </w:rPr>
        <w:t xml:space="preserve">no fue señalada temporalidad, debiendo de ser fijados a la fecha en que se ejerció el derecho de acceso a la información pública, es decir, al cuatro de julio de dos mil veinticuatro. </w:t>
      </w:r>
    </w:p>
    <w:p w14:paraId="25B1EC11" w14:textId="214B4D88" w:rsidR="00086A4E" w:rsidRPr="0028758C" w:rsidRDefault="00086A4E" w:rsidP="00211A3F">
      <w:pPr>
        <w:pStyle w:val="Prrafodelista"/>
        <w:numPr>
          <w:ilvl w:val="0"/>
          <w:numId w:val="3"/>
        </w:numPr>
        <w:autoSpaceDE w:val="0"/>
        <w:autoSpaceDN w:val="0"/>
        <w:adjustRightInd w:val="0"/>
        <w:spacing w:before="240" w:line="360" w:lineRule="auto"/>
        <w:jc w:val="both"/>
        <w:rPr>
          <w:rFonts w:ascii="Palatino Linotype" w:hAnsi="Palatino Linotype"/>
        </w:rPr>
      </w:pPr>
      <w:r w:rsidRPr="0028758C">
        <w:rPr>
          <w:rFonts w:ascii="Palatino Linotype" w:hAnsi="Palatino Linotype"/>
        </w:rPr>
        <w:t xml:space="preserve">Ahora bien, respecto de los puntos </w:t>
      </w:r>
      <w:r w:rsidRPr="0028758C">
        <w:rPr>
          <w:rFonts w:ascii="Palatino Linotype" w:hAnsi="Palatino Linotype"/>
          <w:b/>
          <w:bCs/>
        </w:rPr>
        <w:t xml:space="preserve">1, 2, 3, 4, 5, 6, 7 y 9, </w:t>
      </w:r>
      <w:r w:rsidRPr="0028758C">
        <w:rPr>
          <w:rFonts w:ascii="Palatino Linotype" w:hAnsi="Palatino Linotype"/>
        </w:rPr>
        <w:t xml:space="preserve">resulta oportuno señalar que cuando los particulares no identifican de forma precisa el documento requerido, </w:t>
      </w:r>
      <w:r w:rsidRPr="0028758C">
        <w:rPr>
          <w:rFonts w:ascii="Palatino Linotype" w:hAnsi="Palatino Linotype" w:cs="Arial"/>
        </w:rPr>
        <w:t xml:space="preserve">bastará con que </w:t>
      </w:r>
      <w:r w:rsidRPr="0028758C">
        <w:rPr>
          <w:rFonts w:ascii="Palatino Linotype" w:hAnsi="Palatino Linotype"/>
        </w:rPr>
        <w:t xml:space="preserve">se remita cualquiera que refleje la información requerida. Al respecto, cobra relevancia el criterio emitido por el Órgano Garante Nacional con número </w:t>
      </w:r>
      <w:r w:rsidRPr="0028758C">
        <w:rPr>
          <w:rFonts w:ascii="Palatino Linotype" w:hAnsi="Palatino Linotype"/>
          <w:b/>
          <w:bCs/>
        </w:rPr>
        <w:t xml:space="preserve">16/17 </w:t>
      </w:r>
      <w:r w:rsidRPr="0028758C">
        <w:rPr>
          <w:rFonts w:ascii="Palatino Linotype" w:hAnsi="Palatino Linotype"/>
        </w:rPr>
        <w:t>cuyo rubro y texto disponen a la literalidad lo siguiente:</w:t>
      </w:r>
    </w:p>
    <w:p w14:paraId="75423F61" w14:textId="77777777" w:rsidR="00086A4E" w:rsidRPr="0028758C" w:rsidRDefault="00086A4E" w:rsidP="00086A4E">
      <w:pPr>
        <w:pStyle w:val="Citas"/>
        <w:jc w:val="center"/>
        <w:rPr>
          <w:b/>
          <w:bCs/>
          <w:sz w:val="24"/>
          <w:szCs w:val="24"/>
        </w:rPr>
      </w:pPr>
      <w:r w:rsidRPr="0028758C">
        <w:rPr>
          <w:b/>
          <w:bCs/>
          <w:sz w:val="24"/>
          <w:szCs w:val="24"/>
        </w:rPr>
        <w:t>“EXPRESIÓN DOCUMENTAL.</w:t>
      </w:r>
    </w:p>
    <w:p w14:paraId="098656A4" w14:textId="77777777" w:rsidR="00086A4E" w:rsidRPr="0028758C" w:rsidRDefault="00086A4E" w:rsidP="00086A4E">
      <w:pPr>
        <w:pStyle w:val="Citas"/>
        <w:rPr>
          <w:szCs w:val="24"/>
        </w:rPr>
      </w:pPr>
      <w:r w:rsidRPr="0028758C">
        <w:rPr>
          <w:bCs/>
          <w:szCs w:val="24"/>
        </w:rPr>
        <w:t>Cuando</w:t>
      </w:r>
      <w:r w:rsidRPr="0028758C">
        <w:rPr>
          <w:lang w:val="es-ES"/>
        </w:rPr>
        <w:t xml:space="preserve"> los particulares presenten solicitudes de acceso a la información sin identificar de forma precisa la documentación que pudiera contener la información de su interés, </w:t>
      </w:r>
      <w:r w:rsidRPr="0028758C">
        <w:rPr>
          <w:szCs w:val="24"/>
        </w:rPr>
        <w:t>o bien, la solicitud constituya una consulta,</w:t>
      </w:r>
      <w:r w:rsidRPr="0028758C">
        <w:rPr>
          <w:lang w:val="es-ES"/>
        </w:rPr>
        <w:t xml:space="preserve"> pero la respuesta pudiera obrar en algún documento en poder de los sujetos obligados, éstos deben dar a dichas solicitudes una interpretación que les otorgue una expresión documental. </w:t>
      </w:r>
    </w:p>
    <w:p w14:paraId="01B6825C" w14:textId="77777777" w:rsidR="00086A4E" w:rsidRPr="0028758C" w:rsidRDefault="00086A4E" w:rsidP="00086A4E">
      <w:pPr>
        <w:pStyle w:val="Citas"/>
        <w:rPr>
          <w:b/>
        </w:rPr>
      </w:pPr>
      <w:r w:rsidRPr="0028758C">
        <w:rPr>
          <w:b/>
        </w:rPr>
        <w:t>Precedentes:</w:t>
      </w:r>
    </w:p>
    <w:p w14:paraId="51B3C06A" w14:textId="77777777" w:rsidR="00086A4E" w:rsidRPr="0028758C" w:rsidRDefault="00086A4E" w:rsidP="00211A3F">
      <w:pPr>
        <w:pStyle w:val="Citas"/>
        <w:numPr>
          <w:ilvl w:val="0"/>
          <w:numId w:val="4"/>
        </w:numPr>
        <w:rPr>
          <w:color w:val="000000"/>
        </w:rPr>
      </w:pPr>
      <w:r w:rsidRPr="0028758C">
        <w:t xml:space="preserve">Acceso a la información pública. RRA 0774/16. Sesión del 31 de agosto de 2016. Votación por unanimidad. </w:t>
      </w:r>
      <w:r w:rsidRPr="0028758C">
        <w:rPr>
          <w:rFonts w:eastAsia="Arial"/>
        </w:rPr>
        <w:t>Sin votos disidentes o particulares.</w:t>
      </w:r>
      <w:r w:rsidRPr="0028758C">
        <w:t xml:space="preserve"> Secretaría de Salud. Comisionada Ponente María Patricia Kurczyn Villalobos.</w:t>
      </w:r>
    </w:p>
    <w:p w14:paraId="77E976CD" w14:textId="77777777" w:rsidR="00086A4E" w:rsidRPr="0028758C" w:rsidRDefault="00086A4E" w:rsidP="00211A3F">
      <w:pPr>
        <w:pStyle w:val="Citas"/>
        <w:numPr>
          <w:ilvl w:val="0"/>
          <w:numId w:val="4"/>
        </w:numPr>
        <w:rPr>
          <w:color w:val="000000"/>
        </w:rPr>
      </w:pPr>
      <w:r w:rsidRPr="0028758C">
        <w:t xml:space="preserve">Acceso a la información pública. RRA 0143/17. Sesión del 22 de febrero de 2017. Votación por unanimidad. </w:t>
      </w:r>
      <w:r w:rsidRPr="0028758C">
        <w:rPr>
          <w:rFonts w:eastAsia="Arial"/>
        </w:rPr>
        <w:t>Sin votos disidentes o particulares.</w:t>
      </w:r>
      <w:r w:rsidRPr="0028758C">
        <w:t xml:space="preserve"> </w:t>
      </w:r>
      <w:r w:rsidRPr="0028758C">
        <w:lastRenderedPageBreak/>
        <w:t xml:space="preserve">Universidad Autónoma Agraria Antonio Narro. Comisionado Ponente Oscar Mauricio Guerra Ford. </w:t>
      </w:r>
    </w:p>
    <w:p w14:paraId="527F9494" w14:textId="77777777" w:rsidR="00086A4E" w:rsidRPr="0028758C" w:rsidRDefault="00086A4E" w:rsidP="00211A3F">
      <w:pPr>
        <w:pStyle w:val="Citas"/>
        <w:numPr>
          <w:ilvl w:val="0"/>
          <w:numId w:val="4"/>
        </w:numPr>
        <w:rPr>
          <w:color w:val="000000"/>
        </w:rPr>
      </w:pPr>
      <w:r w:rsidRPr="0028758C">
        <w:t xml:space="preserve">Acceso a la información pública. RRA 0540/17. Sesión del 08 de marzo del 2017. Votación por unanimidad. </w:t>
      </w:r>
      <w:r w:rsidRPr="0028758C">
        <w:rPr>
          <w:rFonts w:eastAsia="Arial"/>
        </w:rPr>
        <w:t>Sin votos disidentes o particulares.</w:t>
      </w:r>
      <w:r w:rsidRPr="0028758C">
        <w:t xml:space="preserve"> Secretaría de Economía. Comisionado Ponente Francisco Javier Acuña Llamas. “ </w:t>
      </w:r>
      <w:r w:rsidRPr="0028758C">
        <w:rPr>
          <w:b/>
          <w:bCs/>
        </w:rPr>
        <w:t>(Sic)</w:t>
      </w:r>
    </w:p>
    <w:p w14:paraId="4E2DAFFC" w14:textId="77777777" w:rsidR="00086A4E" w:rsidRPr="0028758C" w:rsidRDefault="00086A4E" w:rsidP="00086A4E">
      <w:pPr>
        <w:autoSpaceDE w:val="0"/>
        <w:autoSpaceDN w:val="0"/>
        <w:adjustRightInd w:val="0"/>
        <w:spacing w:before="240" w:line="360" w:lineRule="auto"/>
        <w:jc w:val="both"/>
        <w:rPr>
          <w:rFonts w:ascii="Palatino Linotype" w:hAnsi="Palatino Linotype" w:cs="Arial"/>
          <w:sz w:val="24"/>
          <w:szCs w:val="24"/>
        </w:rPr>
      </w:pPr>
    </w:p>
    <w:p w14:paraId="78F3EEDF" w14:textId="77777777" w:rsidR="00086A4E" w:rsidRPr="0028758C" w:rsidRDefault="00086A4E" w:rsidP="00086A4E">
      <w:pPr>
        <w:spacing w:before="240" w:line="360" w:lineRule="auto"/>
        <w:jc w:val="both"/>
        <w:rPr>
          <w:rFonts w:ascii="Palatino Linotype" w:hAnsi="Palatino Linotype"/>
          <w:sz w:val="24"/>
          <w:szCs w:val="24"/>
        </w:rPr>
      </w:pPr>
      <w:r w:rsidRPr="0028758C">
        <w:rPr>
          <w:rFonts w:ascii="Palatino Linotype" w:hAnsi="Palatino Linotype"/>
          <w:sz w:val="24"/>
          <w:szCs w:val="24"/>
        </w:rPr>
        <w:t xml:space="preserve">Dichas precisiones, con fundamento en los artículos 13 y 181 cuarto párrafo de la Ley en materia, los cuales a la letra rezan: </w:t>
      </w:r>
    </w:p>
    <w:p w14:paraId="411FD620" w14:textId="77777777" w:rsidR="00086A4E" w:rsidRPr="0028758C" w:rsidRDefault="00086A4E" w:rsidP="00086A4E">
      <w:pPr>
        <w:pStyle w:val="Citas"/>
      </w:pPr>
      <w:r w:rsidRPr="0028758C">
        <w:rPr>
          <w:b/>
          <w:bCs/>
        </w:rPr>
        <w:t xml:space="preserve">“Artículo 13. </w:t>
      </w:r>
      <w:r w:rsidRPr="0028758C">
        <w:t>El Instituto, en el ámbito de sus atribuciones, deberá suplir cualquier deficiencia para garantizar el ejercicio del derecho de acceso a la información.</w:t>
      </w:r>
    </w:p>
    <w:p w14:paraId="7D665FDD" w14:textId="77777777" w:rsidR="00086A4E" w:rsidRPr="0028758C" w:rsidRDefault="00086A4E" w:rsidP="00086A4E">
      <w:pPr>
        <w:pStyle w:val="Citas"/>
        <w:rPr>
          <w:b/>
        </w:rPr>
      </w:pPr>
      <w:r w:rsidRPr="0028758C">
        <w:rPr>
          <w:b/>
        </w:rPr>
        <w:t xml:space="preserve">Artículo 181. … </w:t>
      </w:r>
    </w:p>
    <w:p w14:paraId="5B78A41C" w14:textId="77777777" w:rsidR="00086A4E" w:rsidRPr="0028758C" w:rsidRDefault="00086A4E" w:rsidP="00086A4E">
      <w:pPr>
        <w:pStyle w:val="Citas"/>
        <w:rPr>
          <w:b/>
        </w:rPr>
      </w:pPr>
      <w:r w:rsidRPr="0028758C">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28758C">
        <w:rPr>
          <w:b/>
        </w:rPr>
        <w:t>[Sic]</w:t>
      </w:r>
    </w:p>
    <w:p w14:paraId="36153EA1" w14:textId="77777777" w:rsidR="00086A4E" w:rsidRPr="0028758C" w:rsidRDefault="00086A4E" w:rsidP="00086A4E">
      <w:pPr>
        <w:autoSpaceDE w:val="0"/>
        <w:autoSpaceDN w:val="0"/>
        <w:adjustRightInd w:val="0"/>
        <w:spacing w:before="240" w:line="360" w:lineRule="auto"/>
        <w:jc w:val="both"/>
        <w:rPr>
          <w:rFonts w:ascii="Palatino Linotype" w:hAnsi="Palatino Linotype" w:cs="Arial"/>
          <w:sz w:val="24"/>
          <w:szCs w:val="24"/>
        </w:rPr>
      </w:pPr>
    </w:p>
    <w:p w14:paraId="59D76817" w14:textId="1966CFC1" w:rsidR="00086A4E" w:rsidRPr="0028758C" w:rsidRDefault="00086A4E" w:rsidP="00086A4E">
      <w:pPr>
        <w:autoSpaceDE w:val="0"/>
        <w:autoSpaceDN w:val="0"/>
        <w:adjustRightInd w:val="0"/>
        <w:spacing w:before="240" w:line="360" w:lineRule="auto"/>
        <w:jc w:val="both"/>
        <w:rPr>
          <w:rFonts w:ascii="Palatino Linotype" w:hAnsi="Palatino Linotype" w:cs="Arial"/>
          <w:b/>
          <w:bCs/>
          <w:sz w:val="24"/>
          <w:szCs w:val="24"/>
        </w:rPr>
      </w:pPr>
      <w:r w:rsidRPr="0028758C">
        <w:rPr>
          <w:rFonts w:ascii="Palatino Linotype" w:hAnsi="Palatino Linotype" w:cs="Arial"/>
          <w:b/>
          <w:bCs/>
          <w:sz w:val="24"/>
          <w:szCs w:val="24"/>
        </w:rPr>
        <w:t>Respecto de la Asociación del Club de Golf los Encinos</w:t>
      </w:r>
    </w:p>
    <w:p w14:paraId="7225487B" w14:textId="53DF93A5" w:rsidR="00086A4E" w:rsidRPr="0028758C" w:rsidRDefault="00086A4E" w:rsidP="00211A3F">
      <w:pPr>
        <w:pStyle w:val="Prrafodelista"/>
        <w:numPr>
          <w:ilvl w:val="0"/>
          <w:numId w:val="8"/>
        </w:numPr>
        <w:autoSpaceDE w:val="0"/>
        <w:autoSpaceDN w:val="0"/>
        <w:adjustRightInd w:val="0"/>
        <w:spacing w:before="240" w:line="360" w:lineRule="auto"/>
        <w:jc w:val="both"/>
        <w:rPr>
          <w:rFonts w:ascii="Palatino Linotype" w:hAnsi="Palatino Linotype" w:cs="Arial"/>
          <w:b/>
          <w:bCs/>
        </w:rPr>
      </w:pPr>
      <w:r w:rsidRPr="0028758C">
        <w:rPr>
          <w:rFonts w:ascii="Palatino Linotype" w:hAnsi="Palatino Linotype" w:cs="Arial"/>
          <w:b/>
          <w:bCs/>
        </w:rPr>
        <w:t>Del periodo comprendido del uno de enero de dos mil diecinueve al treinta de junio de dos mil veinticuatro:</w:t>
      </w:r>
    </w:p>
    <w:p w14:paraId="1E6E8254" w14:textId="4F16AF59"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sidRPr="0028758C">
        <w:rPr>
          <w:rFonts w:ascii="Palatino Linotype" w:hAnsi="Palatino Linotype" w:cs="Arial"/>
        </w:rPr>
        <w:lastRenderedPageBreak/>
        <w:t xml:space="preserve">El o los documentos donde consten los permisos otorgados para talar </w:t>
      </w:r>
      <w:r w:rsidR="00255996" w:rsidRPr="0028758C">
        <w:rPr>
          <w:rFonts w:ascii="Palatino Linotype" w:hAnsi="Palatino Linotype" w:cs="Arial"/>
        </w:rPr>
        <w:t>árboles</w:t>
      </w:r>
      <w:r w:rsidRPr="0028758C">
        <w:rPr>
          <w:rFonts w:ascii="Palatino Linotype" w:hAnsi="Palatino Linotype" w:cs="Arial"/>
        </w:rPr>
        <w:t xml:space="preserve"> de diferentes especies dentro y fuera del fraccionamiento</w:t>
      </w:r>
    </w:p>
    <w:p w14:paraId="585EE646" w14:textId="4270E15C"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sidRPr="0028758C">
        <w:rPr>
          <w:rFonts w:ascii="Palatino Linotype" w:hAnsi="Palatino Linotype" w:cs="Arial"/>
        </w:rPr>
        <w:t xml:space="preserve">El o los documentos donde conste la justificación legal para talar </w:t>
      </w:r>
      <w:r w:rsidR="00255996" w:rsidRPr="0028758C">
        <w:rPr>
          <w:rFonts w:ascii="Palatino Linotype" w:hAnsi="Palatino Linotype" w:cs="Arial"/>
        </w:rPr>
        <w:t>árboles</w:t>
      </w:r>
      <w:r w:rsidRPr="0028758C">
        <w:rPr>
          <w:rFonts w:ascii="Palatino Linotype" w:hAnsi="Palatino Linotype" w:cs="Arial"/>
        </w:rPr>
        <w:t xml:space="preserve"> de diferentes especies dentro y fuera del fraccionamiento</w:t>
      </w:r>
    </w:p>
    <w:p w14:paraId="27A8AB13" w14:textId="29B6378D"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sidRPr="0028758C">
        <w:rPr>
          <w:rFonts w:ascii="Palatino Linotype" w:hAnsi="Palatino Linotype" w:cs="Arial"/>
        </w:rPr>
        <w:t xml:space="preserve">El o los documentos donde conste el nombre del servidor público que otorgó permisos para talar </w:t>
      </w:r>
      <w:r w:rsidR="00255996" w:rsidRPr="0028758C">
        <w:rPr>
          <w:rFonts w:ascii="Palatino Linotype" w:hAnsi="Palatino Linotype" w:cs="Arial"/>
        </w:rPr>
        <w:t>árboles</w:t>
      </w:r>
      <w:r w:rsidRPr="0028758C">
        <w:rPr>
          <w:rFonts w:ascii="Palatino Linotype" w:hAnsi="Palatino Linotype" w:cs="Arial"/>
        </w:rPr>
        <w:t xml:space="preserve"> de diferentes especies dentro y fuera del fraccionamiento.</w:t>
      </w:r>
    </w:p>
    <w:p w14:paraId="54158859" w14:textId="5C042E84"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sidRPr="0028758C">
        <w:rPr>
          <w:rFonts w:ascii="Palatino Linotype" w:hAnsi="Palatino Linotype" w:cs="Arial"/>
        </w:rPr>
        <w:t>El o los documentos donde conste el monto de las multas o cualquier pago que se haya cobrado por la tala de árboles dentro y fuera del fraccionamiento.</w:t>
      </w:r>
    </w:p>
    <w:p w14:paraId="77F87815" w14:textId="1CFAF3D7"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sidRPr="0028758C">
        <w:rPr>
          <w:rFonts w:ascii="Palatino Linotype" w:hAnsi="Palatino Linotype" w:cs="Arial"/>
        </w:rPr>
        <w:t xml:space="preserve">El o los documentos donde consten los compromisos del fraccionamiento para restituir los </w:t>
      </w:r>
      <w:r w:rsidR="00255996" w:rsidRPr="0028758C">
        <w:rPr>
          <w:rFonts w:ascii="Palatino Linotype" w:hAnsi="Palatino Linotype" w:cs="Arial"/>
        </w:rPr>
        <w:t>árboles</w:t>
      </w:r>
      <w:r w:rsidRPr="0028758C">
        <w:rPr>
          <w:rFonts w:ascii="Palatino Linotype" w:hAnsi="Palatino Linotype" w:cs="Arial"/>
        </w:rPr>
        <w:t xml:space="preserve"> talados y si han cumplido con la restitución de </w:t>
      </w:r>
      <w:r w:rsidR="00255996" w:rsidRPr="0028758C">
        <w:rPr>
          <w:rFonts w:ascii="Palatino Linotype" w:hAnsi="Palatino Linotype" w:cs="Arial"/>
        </w:rPr>
        <w:t>árboles</w:t>
      </w:r>
      <w:r w:rsidRPr="0028758C">
        <w:rPr>
          <w:rFonts w:ascii="Palatino Linotype" w:hAnsi="Palatino Linotype" w:cs="Arial"/>
        </w:rPr>
        <w:t xml:space="preserve"> talados. </w:t>
      </w:r>
    </w:p>
    <w:p w14:paraId="7DA889F9" w14:textId="7D49DBCF"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sidRPr="0028758C">
        <w:rPr>
          <w:rFonts w:ascii="Palatino Linotype" w:hAnsi="Palatino Linotype" w:cs="Arial"/>
        </w:rPr>
        <w:t xml:space="preserve">El o los documentos donde conste el número y fecha de los </w:t>
      </w:r>
      <w:r w:rsidR="00255996" w:rsidRPr="0028758C">
        <w:rPr>
          <w:rFonts w:ascii="Palatino Linotype" w:hAnsi="Palatino Linotype" w:cs="Arial"/>
        </w:rPr>
        <w:t>árboles</w:t>
      </w:r>
      <w:r w:rsidRPr="0028758C">
        <w:rPr>
          <w:rFonts w:ascii="Palatino Linotype" w:hAnsi="Palatino Linotype" w:cs="Arial"/>
        </w:rPr>
        <w:t xml:space="preserve"> talados por el fraccionamiento, dentro y fuera del mismo. </w:t>
      </w:r>
    </w:p>
    <w:p w14:paraId="1639CFBB" w14:textId="175CF9F5" w:rsidR="009C0C6F" w:rsidRPr="0028758C" w:rsidRDefault="00086A4E" w:rsidP="00211A3F">
      <w:pPr>
        <w:pStyle w:val="Prrafodelista"/>
        <w:numPr>
          <w:ilvl w:val="0"/>
          <w:numId w:val="8"/>
        </w:numPr>
        <w:autoSpaceDE w:val="0"/>
        <w:autoSpaceDN w:val="0"/>
        <w:adjustRightInd w:val="0"/>
        <w:spacing w:before="240" w:line="360" w:lineRule="auto"/>
        <w:jc w:val="both"/>
        <w:rPr>
          <w:rFonts w:ascii="Palatino Linotype" w:hAnsi="Palatino Linotype" w:cs="Arial"/>
        </w:rPr>
      </w:pPr>
      <w:r w:rsidRPr="0028758C">
        <w:rPr>
          <w:rFonts w:ascii="Palatino Linotype" w:hAnsi="Palatino Linotype" w:cs="Arial"/>
          <w:b/>
          <w:bCs/>
        </w:rPr>
        <w:t>Al cuatro de julio de dos mil veinticuatro:</w:t>
      </w:r>
    </w:p>
    <w:p w14:paraId="14B76274" w14:textId="723D6533"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28758C">
        <w:rPr>
          <w:rFonts w:ascii="Palatino Linotype" w:hAnsi="Palatino Linotype" w:cs="Arial"/>
        </w:rPr>
        <w:t>El o los documentos donde conste la autorización y cualquier registro que exista sobre el proyecto de ampliación y remodelación de la garita de entrada</w:t>
      </w:r>
    </w:p>
    <w:p w14:paraId="61EB4282" w14:textId="19713231"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28758C">
        <w:rPr>
          <w:rFonts w:ascii="Palatino Linotype" w:hAnsi="Palatino Linotype" w:cs="Arial"/>
        </w:rPr>
        <w:t>Estudio de impacto ambiental de la obra de ampliación y remodelación de la garita de entrada</w:t>
      </w:r>
    </w:p>
    <w:p w14:paraId="453EB14B" w14:textId="1EAFEED2" w:rsidR="00086A4E" w:rsidRPr="0028758C" w:rsidRDefault="00086A4E" w:rsidP="00211A3F">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28758C">
        <w:rPr>
          <w:rFonts w:ascii="Palatino Linotype" w:hAnsi="Palatino Linotype" w:cs="Arial"/>
        </w:rPr>
        <w:lastRenderedPageBreak/>
        <w:t xml:space="preserve">El o los documentos donde consten los montos pagados para las autorizaciones de la obra de ampliación y remodelación de la garita de entrada, así como las multas y recargos. </w:t>
      </w:r>
    </w:p>
    <w:p w14:paraId="45FEC037" w14:textId="77777777" w:rsidR="009C0C6F" w:rsidRPr="0028758C" w:rsidRDefault="009C0C6F" w:rsidP="00A04BB8">
      <w:pPr>
        <w:spacing w:after="0" w:line="360" w:lineRule="auto"/>
        <w:jc w:val="both"/>
        <w:rPr>
          <w:rFonts w:ascii="Palatino Linotype" w:hAnsi="Palatino Linotype" w:cs="Arial"/>
          <w:sz w:val="24"/>
          <w:szCs w:val="24"/>
        </w:rPr>
      </w:pPr>
    </w:p>
    <w:p w14:paraId="56BCAD24" w14:textId="77777777" w:rsidR="009C0C6F" w:rsidRPr="0028758C" w:rsidRDefault="009C0C6F" w:rsidP="00A04BB8">
      <w:pPr>
        <w:spacing w:after="0" w:line="360" w:lineRule="auto"/>
        <w:jc w:val="both"/>
        <w:rPr>
          <w:rFonts w:ascii="Palatino Linotype" w:hAnsi="Palatino Linotype" w:cs="Arial"/>
          <w:sz w:val="24"/>
          <w:szCs w:val="24"/>
        </w:rPr>
      </w:pPr>
    </w:p>
    <w:p w14:paraId="458F8D15" w14:textId="77777777" w:rsidR="00086A4E" w:rsidRPr="0028758C" w:rsidRDefault="00086A4E" w:rsidP="00086A4E">
      <w:pPr>
        <w:spacing w:after="0" w:line="360" w:lineRule="auto"/>
        <w:jc w:val="both"/>
        <w:rPr>
          <w:rFonts w:ascii="Palatino Linotype" w:hAnsi="Palatino Linotype" w:cs="Arial"/>
          <w:noProof/>
          <w:color w:val="000000"/>
          <w:sz w:val="24"/>
          <w:lang w:eastAsia="es-MX"/>
        </w:rPr>
      </w:pPr>
      <w:r w:rsidRPr="0028758C">
        <w:rPr>
          <w:rFonts w:ascii="Palatino Linotype" w:hAnsi="Palatino Linotype" w:cs="Arial"/>
          <w:sz w:val="24"/>
          <w:szCs w:val="24"/>
        </w:rPr>
        <w:t xml:space="preserve">Una vez precisado lo anterior, a efecto de identificar las unidades administrativas competentes se traen a colación los </w:t>
      </w:r>
      <w:r w:rsidRPr="0028758C">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2F244B47" w14:textId="77777777" w:rsidR="00086A4E" w:rsidRPr="0028758C" w:rsidRDefault="00086A4E" w:rsidP="00086A4E">
      <w:pPr>
        <w:tabs>
          <w:tab w:val="left" w:pos="709"/>
        </w:tabs>
        <w:spacing w:before="240" w:line="360" w:lineRule="auto"/>
        <w:ind w:left="851" w:right="851"/>
        <w:jc w:val="both"/>
        <w:rPr>
          <w:rFonts w:ascii="Palatino Linotype" w:hAnsi="Palatino Linotype"/>
          <w:i/>
        </w:rPr>
      </w:pPr>
      <w:r w:rsidRPr="0028758C">
        <w:rPr>
          <w:rFonts w:ascii="Palatino Linotype" w:hAnsi="Palatino Linotype"/>
          <w:i/>
        </w:rPr>
        <w:t>“Artículo 24. Para el cumplimiento de los objetivos de esta Ley, los sujetos obligados deberán cumplir con las siguientes obligaciones, según corresponda, de acuerdo a su naturaleza:</w:t>
      </w:r>
    </w:p>
    <w:p w14:paraId="3724E1F1" w14:textId="60FA3091" w:rsidR="000502E7" w:rsidRPr="0028758C" w:rsidRDefault="000502E7" w:rsidP="00086A4E">
      <w:pPr>
        <w:tabs>
          <w:tab w:val="left" w:pos="709"/>
        </w:tabs>
        <w:spacing w:before="240" w:line="360" w:lineRule="auto"/>
        <w:ind w:left="851" w:right="851"/>
        <w:jc w:val="both"/>
        <w:rPr>
          <w:rFonts w:ascii="Palatino Linotype" w:hAnsi="Palatino Linotype"/>
          <w:i/>
        </w:rPr>
      </w:pPr>
      <w:r w:rsidRPr="0028758C">
        <w:rPr>
          <w:rFonts w:ascii="Palatino Linotype" w:hAnsi="Palatino Linotype"/>
          <w:i/>
        </w:rPr>
        <w:t>(…)</w:t>
      </w:r>
    </w:p>
    <w:p w14:paraId="1E68A4CF" w14:textId="77777777" w:rsidR="00086A4E" w:rsidRPr="0028758C" w:rsidRDefault="00086A4E" w:rsidP="00086A4E">
      <w:pPr>
        <w:tabs>
          <w:tab w:val="left" w:pos="709"/>
        </w:tabs>
        <w:spacing w:before="240" w:line="360" w:lineRule="auto"/>
        <w:ind w:left="851" w:right="851"/>
        <w:jc w:val="both"/>
        <w:rPr>
          <w:rFonts w:ascii="Palatino Linotype" w:hAnsi="Palatino Linotype"/>
          <w:i/>
        </w:rPr>
      </w:pPr>
      <w:r w:rsidRPr="0028758C">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664E123" w14:textId="0B9DD6B0" w:rsidR="000502E7" w:rsidRPr="0028758C" w:rsidRDefault="000502E7" w:rsidP="00086A4E">
      <w:pPr>
        <w:tabs>
          <w:tab w:val="left" w:pos="709"/>
        </w:tabs>
        <w:spacing w:before="240" w:line="360" w:lineRule="auto"/>
        <w:ind w:left="851" w:right="851"/>
        <w:jc w:val="both"/>
        <w:rPr>
          <w:rFonts w:ascii="Palatino Linotype" w:hAnsi="Palatino Linotype"/>
          <w:i/>
        </w:rPr>
      </w:pPr>
      <w:r w:rsidRPr="0028758C">
        <w:rPr>
          <w:rFonts w:ascii="Palatino Linotype" w:hAnsi="Palatino Linotype"/>
          <w:i/>
        </w:rPr>
        <w:t>(…)</w:t>
      </w:r>
    </w:p>
    <w:p w14:paraId="2F874DA6" w14:textId="77777777" w:rsidR="00086A4E" w:rsidRPr="0028758C" w:rsidRDefault="00086A4E" w:rsidP="00086A4E">
      <w:pPr>
        <w:tabs>
          <w:tab w:val="left" w:pos="709"/>
        </w:tabs>
        <w:spacing w:before="240" w:line="360" w:lineRule="auto"/>
        <w:ind w:left="851" w:right="851"/>
        <w:jc w:val="both"/>
        <w:rPr>
          <w:rFonts w:ascii="Palatino Linotype" w:hAnsi="Palatino Linotype"/>
          <w:i/>
        </w:rPr>
      </w:pPr>
      <w:r w:rsidRPr="0028758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E8A034" w14:textId="6983CE88" w:rsidR="000502E7" w:rsidRPr="0028758C" w:rsidRDefault="000502E7" w:rsidP="00086A4E">
      <w:pPr>
        <w:pStyle w:val="INFOEM0"/>
      </w:pPr>
      <w:r w:rsidRPr="0028758C">
        <w:t>(…)</w:t>
      </w:r>
    </w:p>
    <w:p w14:paraId="4385359F" w14:textId="77777777" w:rsidR="000502E7" w:rsidRPr="0028758C" w:rsidRDefault="00086A4E" w:rsidP="00086A4E">
      <w:pPr>
        <w:pStyle w:val="INFOEM0"/>
      </w:pPr>
      <w:r w:rsidRPr="0028758C">
        <w:lastRenderedPageBreak/>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74BAB8D6" w14:textId="009732D1" w:rsidR="00086A4E" w:rsidRPr="0028758C" w:rsidRDefault="00086A4E" w:rsidP="00086A4E">
      <w:pPr>
        <w:pStyle w:val="INFOEM0"/>
        <w:rPr>
          <w:b/>
        </w:rPr>
      </w:pPr>
      <w:r w:rsidRPr="0028758C">
        <w:t xml:space="preserve">(…)” </w:t>
      </w:r>
      <w:r w:rsidRPr="0028758C">
        <w:rPr>
          <w:b/>
        </w:rPr>
        <w:t xml:space="preserve">[Sic] </w:t>
      </w:r>
    </w:p>
    <w:p w14:paraId="4F133022" w14:textId="77777777" w:rsidR="000502E7" w:rsidRPr="0028758C" w:rsidRDefault="000502E7" w:rsidP="00A04BB8">
      <w:pPr>
        <w:spacing w:after="0" w:line="360" w:lineRule="auto"/>
        <w:jc w:val="both"/>
        <w:rPr>
          <w:rFonts w:ascii="Palatino Linotype" w:hAnsi="Palatino Linotype"/>
          <w:sz w:val="24"/>
          <w:szCs w:val="24"/>
        </w:rPr>
      </w:pPr>
    </w:p>
    <w:p w14:paraId="67440950" w14:textId="6866E95B" w:rsidR="009C0C6F" w:rsidRPr="0028758C" w:rsidRDefault="00086A4E" w:rsidP="00A04BB8">
      <w:pPr>
        <w:spacing w:after="0" w:line="360" w:lineRule="auto"/>
        <w:jc w:val="both"/>
        <w:rPr>
          <w:rFonts w:ascii="Palatino Linotype" w:hAnsi="Palatino Linotype" w:cs="Arial"/>
          <w:sz w:val="24"/>
          <w:szCs w:val="24"/>
        </w:rPr>
      </w:pPr>
      <w:r w:rsidRPr="0028758C">
        <w:rPr>
          <w:rFonts w:ascii="Palatino Linotype" w:hAnsi="Palatino Linotype"/>
          <w:sz w:val="24"/>
          <w:szCs w:val="24"/>
        </w:rPr>
        <w:t xml:space="preserve">Resulta oportuno traer a colación las siguientes imágenes ilustrativas, correspondientes al organigrama del </w:t>
      </w:r>
      <w:r w:rsidRPr="0028758C">
        <w:rPr>
          <w:rFonts w:ascii="Palatino Linotype" w:hAnsi="Palatino Linotype"/>
          <w:b/>
          <w:bCs/>
          <w:sz w:val="24"/>
          <w:szCs w:val="24"/>
        </w:rPr>
        <w:t>Sujeto Obligado</w:t>
      </w:r>
    </w:p>
    <w:p w14:paraId="17D6D234" w14:textId="44A8B586" w:rsidR="00086A4E" w:rsidRPr="0028758C" w:rsidRDefault="000502E7" w:rsidP="00A04BB8">
      <w:pPr>
        <w:spacing w:after="0" w:line="360" w:lineRule="auto"/>
        <w:jc w:val="both"/>
        <w:rPr>
          <w:rFonts w:ascii="Palatino Linotype" w:hAnsi="Palatino Linotype" w:cs="Arial"/>
          <w:sz w:val="24"/>
          <w:szCs w:val="24"/>
        </w:rPr>
      </w:pPr>
      <w:r w:rsidRPr="0028758C">
        <w:rPr>
          <w:rFonts w:ascii="Palatino Linotype" w:hAnsi="Palatino Linotype" w:cs="Arial"/>
          <w:noProof/>
          <w:sz w:val="24"/>
          <w:szCs w:val="24"/>
          <w:lang w:eastAsia="es-MX"/>
        </w:rPr>
        <w:drawing>
          <wp:anchor distT="0" distB="0" distL="114300" distR="114300" simplePos="0" relativeHeight="251937779" behindDoc="0" locked="0" layoutInCell="1" allowOverlap="1" wp14:anchorId="522D37B3" wp14:editId="1748AB07">
            <wp:simplePos x="0" y="0"/>
            <wp:positionH relativeFrom="page">
              <wp:align>center</wp:align>
            </wp:positionH>
            <wp:positionV relativeFrom="paragraph">
              <wp:posOffset>424180</wp:posOffset>
            </wp:positionV>
            <wp:extent cx="5753100" cy="3505200"/>
            <wp:effectExtent l="19050" t="19050" r="19050" b="19050"/>
            <wp:wrapThrough wrapText="bothSides">
              <wp:wrapPolygon edited="0">
                <wp:start x="-72" y="-117"/>
                <wp:lineTo x="-72" y="21600"/>
                <wp:lineTo x="21600" y="21600"/>
                <wp:lineTo x="21600" y="-117"/>
                <wp:lineTo x="-72" y="-117"/>
              </wp:wrapPolygon>
            </wp:wrapThrough>
            <wp:docPr id="252975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F58FD1" w14:textId="00F07230" w:rsidR="00086A4E" w:rsidRPr="0028758C" w:rsidRDefault="00086A4E" w:rsidP="00A04BB8">
      <w:pPr>
        <w:spacing w:after="0" w:line="360" w:lineRule="auto"/>
        <w:jc w:val="both"/>
        <w:rPr>
          <w:rFonts w:ascii="Palatino Linotype" w:hAnsi="Palatino Linotype" w:cs="Arial"/>
          <w:sz w:val="24"/>
          <w:szCs w:val="24"/>
        </w:rPr>
      </w:pPr>
    </w:p>
    <w:p w14:paraId="490F49A1" w14:textId="3E9C5D41" w:rsidR="00086A4E" w:rsidRPr="0028758C" w:rsidRDefault="00086A4E" w:rsidP="00A04BB8">
      <w:pPr>
        <w:spacing w:after="0" w:line="360" w:lineRule="auto"/>
        <w:jc w:val="both"/>
        <w:rPr>
          <w:rFonts w:ascii="Palatino Linotype" w:hAnsi="Palatino Linotype" w:cs="Arial"/>
          <w:sz w:val="24"/>
          <w:szCs w:val="24"/>
        </w:rPr>
      </w:pPr>
    </w:p>
    <w:p w14:paraId="1D16474C" w14:textId="03E1CD24" w:rsidR="000502E7" w:rsidRPr="0028758C" w:rsidRDefault="000502E7" w:rsidP="00A04BB8">
      <w:pPr>
        <w:spacing w:after="0" w:line="360" w:lineRule="auto"/>
        <w:jc w:val="both"/>
        <w:rPr>
          <w:rFonts w:ascii="Palatino Linotype" w:hAnsi="Palatino Linotype" w:cs="Arial"/>
          <w:sz w:val="24"/>
          <w:szCs w:val="24"/>
        </w:rPr>
      </w:pPr>
    </w:p>
    <w:p w14:paraId="478DBE64" w14:textId="2F0EC475" w:rsidR="000502E7" w:rsidRPr="0028758C" w:rsidRDefault="006B760F" w:rsidP="00A04BB8">
      <w:pPr>
        <w:spacing w:after="0" w:line="360" w:lineRule="auto"/>
        <w:jc w:val="both"/>
        <w:rPr>
          <w:rFonts w:ascii="Palatino Linotype" w:hAnsi="Palatino Linotype" w:cs="Arial"/>
          <w:sz w:val="24"/>
          <w:szCs w:val="24"/>
        </w:rPr>
      </w:pPr>
      <w:r w:rsidRPr="0028758C">
        <w:rPr>
          <w:rFonts w:ascii="Palatino Linotype" w:hAnsi="Palatino Linotype" w:cs="Arial"/>
          <w:noProof/>
          <w:sz w:val="24"/>
          <w:szCs w:val="24"/>
          <w:lang w:eastAsia="es-MX"/>
        </w:rPr>
        <w:lastRenderedPageBreak/>
        <mc:AlternateContent>
          <mc:Choice Requires="wps">
            <w:drawing>
              <wp:anchor distT="0" distB="0" distL="114300" distR="114300" simplePos="0" relativeHeight="251940851" behindDoc="0" locked="0" layoutInCell="1" allowOverlap="1" wp14:anchorId="541E47E9" wp14:editId="649385C8">
                <wp:simplePos x="0" y="0"/>
                <wp:positionH relativeFrom="column">
                  <wp:posOffset>977265</wp:posOffset>
                </wp:positionH>
                <wp:positionV relativeFrom="paragraph">
                  <wp:posOffset>5555615</wp:posOffset>
                </wp:positionV>
                <wp:extent cx="2400300" cy="220980"/>
                <wp:effectExtent l="0" t="0" r="19050" b="26670"/>
                <wp:wrapNone/>
                <wp:docPr id="788981408" name="Rectangle 15"/>
                <wp:cNvGraphicFramePr/>
                <a:graphic xmlns:a="http://schemas.openxmlformats.org/drawingml/2006/main">
                  <a:graphicData uri="http://schemas.microsoft.com/office/word/2010/wordprocessingShape">
                    <wps:wsp>
                      <wps:cNvSpPr/>
                      <wps:spPr>
                        <a:xfrm>
                          <a:off x="0" y="0"/>
                          <a:ext cx="2400300" cy="2209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9188B60" id="Rectangle 15" o:spid="_x0000_s1026" style="position:absolute;margin-left:76.95pt;margin-top:437.45pt;width:189pt;height:17.4pt;z-index:2519408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" filled="f" strokecolor="red" strokeweight="1pt"/>
            </w:pict>
          </mc:Fallback>
        </mc:AlternateContent>
      </w:r>
      <w:r w:rsidR="00565259" w:rsidRPr="0028758C">
        <w:rPr>
          <w:rFonts w:ascii="Palatino Linotype" w:hAnsi="Palatino Linotype" w:cs="Arial"/>
          <w:noProof/>
          <w:sz w:val="24"/>
          <w:szCs w:val="24"/>
          <w:lang w:eastAsia="es-MX"/>
        </w:rPr>
        <w:drawing>
          <wp:anchor distT="0" distB="0" distL="114300" distR="114300" simplePos="0" relativeHeight="251939827" behindDoc="0" locked="0" layoutInCell="1" allowOverlap="1" wp14:anchorId="65C5F57B" wp14:editId="6E3B7F9A">
            <wp:simplePos x="0" y="0"/>
            <wp:positionH relativeFrom="page">
              <wp:align>center</wp:align>
            </wp:positionH>
            <wp:positionV relativeFrom="paragraph">
              <wp:posOffset>3768725</wp:posOffset>
            </wp:positionV>
            <wp:extent cx="5760720" cy="3493770"/>
            <wp:effectExtent l="19050" t="19050" r="11430" b="11430"/>
            <wp:wrapThrough wrapText="bothSides">
              <wp:wrapPolygon edited="0">
                <wp:start x="-71" y="-118"/>
                <wp:lineTo x="-71" y="21553"/>
                <wp:lineTo x="21571" y="21553"/>
                <wp:lineTo x="21571" y="-118"/>
                <wp:lineTo x="-71" y="-118"/>
              </wp:wrapPolygon>
            </wp:wrapThrough>
            <wp:docPr id="540916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93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65259" w:rsidRPr="0028758C">
        <w:rPr>
          <w:rFonts w:ascii="Palatino Linotype" w:hAnsi="Palatino Linotype" w:cs="Arial"/>
          <w:noProof/>
          <w:sz w:val="24"/>
          <w:szCs w:val="24"/>
          <w:lang w:eastAsia="es-MX"/>
        </w:rPr>
        <w:drawing>
          <wp:anchor distT="0" distB="0" distL="114300" distR="114300" simplePos="0" relativeHeight="251938803" behindDoc="0" locked="0" layoutInCell="1" allowOverlap="1" wp14:anchorId="610FBFC7" wp14:editId="7FA1D198">
            <wp:simplePos x="0" y="0"/>
            <wp:positionH relativeFrom="page">
              <wp:align>center</wp:align>
            </wp:positionH>
            <wp:positionV relativeFrom="paragraph">
              <wp:posOffset>19050</wp:posOffset>
            </wp:positionV>
            <wp:extent cx="5753100" cy="3493770"/>
            <wp:effectExtent l="19050" t="19050" r="19050" b="11430"/>
            <wp:wrapThrough wrapText="bothSides">
              <wp:wrapPolygon edited="0">
                <wp:start x="-72" y="-118"/>
                <wp:lineTo x="-72" y="21553"/>
                <wp:lineTo x="21600" y="21553"/>
                <wp:lineTo x="21600" y="-118"/>
                <wp:lineTo x="-72" y="-118"/>
              </wp:wrapPolygon>
            </wp:wrapThrough>
            <wp:docPr id="330473721"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73721" name="Picture 12"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493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A73868" w14:textId="329A0B99" w:rsidR="00565259" w:rsidRPr="0028758C" w:rsidRDefault="00565259" w:rsidP="00565259">
      <w:pPr>
        <w:pStyle w:val="Sinespaciado"/>
        <w:spacing w:line="360" w:lineRule="auto"/>
        <w:jc w:val="both"/>
        <w:rPr>
          <w:rFonts w:ascii="Palatino Linotype" w:hAnsi="Palatino Linotype"/>
        </w:rPr>
      </w:pPr>
      <w:r w:rsidRPr="0028758C">
        <w:rPr>
          <w:rFonts w:ascii="Palatino Linotype" w:hAnsi="Palatino Linotype"/>
        </w:rPr>
        <w:lastRenderedPageBreak/>
        <w:t xml:space="preserve">De lo expuesto con anterioridad, se desprende que </w:t>
      </w:r>
      <w:r w:rsidRPr="0028758C">
        <w:rPr>
          <w:rFonts w:ascii="Palatino Linotype" w:hAnsi="Palatino Linotype"/>
          <w:b/>
          <w:bCs/>
        </w:rPr>
        <w:t xml:space="preserve">El Sujeto Obligado </w:t>
      </w:r>
      <w:r w:rsidRPr="0028758C">
        <w:rPr>
          <w:rFonts w:ascii="Palatino Linotype" w:hAnsi="Palatino Linotype"/>
        </w:rPr>
        <w:t>se auxilia de diversas Direcciones, Subdirecciones, Departamentos, Unidades Administrativas y Órganos Descentralizados para cumplir con sus fines y objetivos, resultando competente la tesorería municipal</w:t>
      </w:r>
      <w:r w:rsidR="006B760F" w:rsidRPr="0028758C">
        <w:rPr>
          <w:rFonts w:ascii="Palatino Linotype" w:hAnsi="Palatino Linotype"/>
        </w:rPr>
        <w:t>;</w:t>
      </w:r>
      <w:r w:rsidRPr="0028758C">
        <w:rPr>
          <w:rFonts w:ascii="Palatino Linotype" w:hAnsi="Palatino Linotype"/>
        </w:rPr>
        <w:t xml:space="preserve"> unidad jurídica</w:t>
      </w:r>
      <w:r w:rsidR="006B760F" w:rsidRPr="0028758C">
        <w:rPr>
          <w:rFonts w:ascii="Palatino Linotype" w:hAnsi="Palatino Linotype"/>
        </w:rPr>
        <w:t>;</w:t>
      </w:r>
      <w:r w:rsidRPr="0028758C">
        <w:rPr>
          <w:rFonts w:ascii="Palatino Linotype" w:hAnsi="Palatino Linotype"/>
        </w:rPr>
        <w:t xml:space="preserve"> dirección general de administración</w:t>
      </w:r>
      <w:r w:rsidR="006B760F" w:rsidRPr="0028758C">
        <w:rPr>
          <w:rFonts w:ascii="Palatino Linotype" w:hAnsi="Palatino Linotype"/>
        </w:rPr>
        <w:t>;</w:t>
      </w:r>
      <w:r w:rsidRPr="0028758C">
        <w:rPr>
          <w:rFonts w:ascii="Palatino Linotype" w:hAnsi="Palatino Linotype"/>
        </w:rPr>
        <w:t xml:space="preserve"> la dirección general de ciudad sostenible, cambio climático y recursos hídricos</w:t>
      </w:r>
      <w:r w:rsidR="006B760F" w:rsidRPr="0028758C">
        <w:rPr>
          <w:rFonts w:ascii="Palatino Linotype" w:hAnsi="Palatino Linotype"/>
        </w:rPr>
        <w:t xml:space="preserve">; así como la </w:t>
      </w:r>
      <w:bookmarkStart w:id="0" w:name="_Hlk174979102"/>
      <w:r w:rsidR="006B760F" w:rsidRPr="0028758C">
        <w:rPr>
          <w:rFonts w:ascii="Palatino Linotype" w:hAnsi="Palatino Linotype"/>
        </w:rPr>
        <w:t>dirección general de planeación territorial y obras públicas</w:t>
      </w:r>
      <w:bookmarkEnd w:id="0"/>
      <w:r w:rsidR="006B760F" w:rsidRPr="0028758C">
        <w:rPr>
          <w:rFonts w:ascii="Palatino Linotype" w:hAnsi="Palatino Linotype"/>
        </w:rPr>
        <w:t xml:space="preserve">. </w:t>
      </w:r>
    </w:p>
    <w:p w14:paraId="40322E83" w14:textId="77777777" w:rsidR="00565259" w:rsidRPr="0028758C" w:rsidRDefault="00565259" w:rsidP="00565259">
      <w:pPr>
        <w:pStyle w:val="Sinespaciado"/>
        <w:spacing w:line="360" w:lineRule="auto"/>
        <w:jc w:val="both"/>
        <w:rPr>
          <w:rFonts w:ascii="Palatino Linotype" w:hAnsi="Palatino Linotype"/>
        </w:rPr>
      </w:pPr>
    </w:p>
    <w:p w14:paraId="64857065" w14:textId="0764A16E" w:rsidR="00E76530" w:rsidRPr="0028758C" w:rsidRDefault="00565259" w:rsidP="00565259">
      <w:pPr>
        <w:pStyle w:val="Sinespaciado"/>
        <w:spacing w:line="360" w:lineRule="auto"/>
        <w:jc w:val="both"/>
        <w:rPr>
          <w:rFonts w:ascii="Palatino Linotype" w:hAnsi="Palatino Linotype"/>
        </w:rPr>
      </w:pPr>
      <w:r w:rsidRPr="0028758C">
        <w:rPr>
          <w:rFonts w:ascii="Palatino Linotype" w:hAnsi="Palatino Linotype"/>
        </w:rPr>
        <w:t xml:space="preserve">En este tenor, para delimitar las fronteras competenciales de las unidades administrativas en cita, resulta oportuno traer a colación </w:t>
      </w:r>
      <w:r w:rsidR="003E1BF6" w:rsidRPr="0028758C">
        <w:rPr>
          <w:rFonts w:ascii="Palatino Linotype" w:hAnsi="Palatino Linotype"/>
        </w:rPr>
        <w:t>el artículo</w:t>
      </w:r>
      <w:r w:rsidRPr="0028758C">
        <w:rPr>
          <w:rFonts w:ascii="Palatino Linotype" w:hAnsi="Palatino Linotype"/>
        </w:rPr>
        <w:t xml:space="preserve"> 95</w:t>
      </w:r>
      <w:r w:rsidR="00846CC8" w:rsidRPr="0028758C">
        <w:rPr>
          <w:rFonts w:ascii="Palatino Linotype" w:hAnsi="Palatino Linotype"/>
        </w:rPr>
        <w:t>, 96 sexies</w:t>
      </w:r>
      <w:r w:rsidRPr="0028758C">
        <w:rPr>
          <w:rFonts w:ascii="Palatino Linotype" w:hAnsi="Palatino Linotype"/>
        </w:rPr>
        <w:t xml:space="preserve"> de la ley orgánica municipal del Estado de México, así como los numerales </w:t>
      </w:r>
      <w:r w:rsidR="003E1BF6" w:rsidRPr="0028758C">
        <w:rPr>
          <w:rFonts w:ascii="Palatino Linotype" w:hAnsi="Palatino Linotype"/>
        </w:rPr>
        <w:t xml:space="preserve">90, 190, 199, 201 y 202 del bando municipal de Ocoyoacac, porciones normativas que disponen a la literalidad lo siguiente: </w:t>
      </w:r>
    </w:p>
    <w:p w14:paraId="32477C1A" w14:textId="77777777" w:rsidR="00E76530" w:rsidRPr="0028758C" w:rsidRDefault="00E76530" w:rsidP="00E76530">
      <w:pPr>
        <w:pStyle w:val="Citas"/>
        <w:jc w:val="center"/>
        <w:rPr>
          <w:b/>
          <w:bCs/>
          <w:i w:val="0"/>
          <w:iCs/>
        </w:rPr>
      </w:pPr>
      <w:r w:rsidRPr="0028758C">
        <w:rPr>
          <w:b/>
          <w:bCs/>
          <w:i w:val="0"/>
          <w:iCs/>
        </w:rPr>
        <w:t>LEY ORGÁNICA MUNICIPAL DEL ESTADO DE MÉXICO</w:t>
      </w:r>
    </w:p>
    <w:p w14:paraId="7B70B57A" w14:textId="77777777" w:rsidR="00E76530" w:rsidRPr="0028758C" w:rsidRDefault="00E76530" w:rsidP="00E76530">
      <w:pPr>
        <w:pStyle w:val="Citas"/>
      </w:pPr>
      <w:r w:rsidRPr="0028758C">
        <w:t>“Artículo 95.- Son atribuciones del tesorero municipal:</w:t>
      </w:r>
    </w:p>
    <w:p w14:paraId="2DEF06D4" w14:textId="77777777" w:rsidR="00E76530" w:rsidRPr="0028758C" w:rsidRDefault="00E76530" w:rsidP="00E76530">
      <w:pPr>
        <w:pStyle w:val="Citas"/>
      </w:pPr>
      <w:r w:rsidRPr="0028758C">
        <w:t>I. Administrar la hacienda pública municipal, de conformidad con las disposiciones legales aplicables;</w:t>
      </w:r>
    </w:p>
    <w:p w14:paraId="45E5B015" w14:textId="77777777" w:rsidR="00E76530" w:rsidRPr="0028758C" w:rsidRDefault="00E76530" w:rsidP="00E76530">
      <w:pPr>
        <w:pStyle w:val="Citas"/>
        <w:rPr>
          <w:b/>
          <w:bCs/>
          <w:u w:val="single"/>
        </w:rPr>
      </w:pPr>
      <w:r w:rsidRPr="0028758C">
        <w:rPr>
          <w:b/>
          <w:bCs/>
          <w:u w:val="single"/>
        </w:rPr>
        <w:t xml:space="preserve">IV. Llevar los registros contables, financieros y administrativos de los ingresos, egresos, e inventarios; </w:t>
      </w:r>
    </w:p>
    <w:p w14:paraId="17A0F0E5" w14:textId="77777777" w:rsidR="00E76530" w:rsidRPr="0028758C" w:rsidRDefault="00E76530" w:rsidP="00E76530">
      <w:pPr>
        <w:pStyle w:val="Citas"/>
      </w:pPr>
      <w:r w:rsidRPr="0028758C">
        <w:t>V. Proporcionar oportunamente al ayuntamiento todos los datos o informes que sean necesarios para la formulación del Presupuesto de Egresos Municipales, vigilando que se ajuste a las disposiciones de esta Ley y otros ordenamientos aplicables;</w:t>
      </w:r>
    </w:p>
    <w:p w14:paraId="14463DD0" w14:textId="77777777" w:rsidR="00E76530" w:rsidRPr="0028758C" w:rsidRDefault="00E76530" w:rsidP="00E76530">
      <w:pPr>
        <w:pStyle w:val="Citas"/>
      </w:pPr>
      <w:r w:rsidRPr="0028758C">
        <w:t>XVI. Glosar oportunamente las cuentas del ayuntamiento;</w:t>
      </w:r>
    </w:p>
    <w:p w14:paraId="65BE0603" w14:textId="435A109C" w:rsidR="00E76530" w:rsidRPr="0028758C" w:rsidRDefault="00E76530" w:rsidP="00E76530">
      <w:pPr>
        <w:pStyle w:val="Citas"/>
      </w:pPr>
      <w:r w:rsidRPr="0028758C">
        <w:lastRenderedPageBreak/>
        <w:t>(…)</w:t>
      </w:r>
    </w:p>
    <w:p w14:paraId="188D0752" w14:textId="77777777" w:rsidR="00846CC8" w:rsidRPr="0028758C" w:rsidRDefault="00846CC8" w:rsidP="00E76530">
      <w:pPr>
        <w:pStyle w:val="Citas"/>
      </w:pPr>
      <w:bookmarkStart w:id="1" w:name="_Hlk174978961"/>
      <w:r w:rsidRPr="0028758C">
        <w:t xml:space="preserve">Artículo 96. Sexies. El Director de Desarrollo Urbano o el Titular de la Unidad Administrativa equivalente, tiene las atribuciones siguientes: </w:t>
      </w:r>
    </w:p>
    <w:p w14:paraId="47DD8785" w14:textId="77777777" w:rsidR="00846CC8" w:rsidRPr="0028758C" w:rsidRDefault="00846CC8" w:rsidP="00E76530">
      <w:pPr>
        <w:pStyle w:val="Citas"/>
      </w:pPr>
      <w:r w:rsidRPr="0028758C">
        <w:t xml:space="preserve">I. Ejecutar la política en materia de reordenamiento urbano; </w:t>
      </w:r>
    </w:p>
    <w:p w14:paraId="4730CF69" w14:textId="77777777" w:rsidR="00846CC8" w:rsidRPr="0028758C" w:rsidRDefault="00846CC8" w:rsidP="00E76530">
      <w:pPr>
        <w:pStyle w:val="Citas"/>
      </w:pPr>
      <w:r w:rsidRPr="0028758C">
        <w:t xml:space="preserve">II. Formular y conducir las políticas municipales de asentamientos humanos, urbanismo y vivienda; </w:t>
      </w:r>
    </w:p>
    <w:p w14:paraId="0F7F7840" w14:textId="77777777" w:rsidR="00846CC8" w:rsidRPr="0028758C" w:rsidRDefault="00846CC8" w:rsidP="00E76530">
      <w:pPr>
        <w:pStyle w:val="Citas"/>
      </w:pPr>
      <w:bookmarkStart w:id="2" w:name="_Hlk174979110"/>
      <w:r w:rsidRPr="0028758C">
        <w:t>III. Aplicar y vigilar el cumplimiento de las disposiciones legales en materia de ordenamiento territorial de los asentamientos humanos, del desarrollo urbano y vivienda;</w:t>
      </w:r>
    </w:p>
    <w:p w14:paraId="6DB776DA" w14:textId="77777777" w:rsidR="00846CC8" w:rsidRPr="0028758C" w:rsidRDefault="00846CC8" w:rsidP="00E76530">
      <w:pPr>
        <w:pStyle w:val="Citas"/>
      </w:pPr>
      <w:r w:rsidRPr="0028758C">
        <w:t xml:space="preserve"> IV. Proponer el plan municipal de desarrollo urbano, así como sus modificaciones, y los parciales que de ellos deriven; </w:t>
      </w:r>
    </w:p>
    <w:p w14:paraId="12718E26" w14:textId="2966F450" w:rsidR="00846CC8" w:rsidRPr="0028758C" w:rsidRDefault="00846CC8" w:rsidP="00E76530">
      <w:pPr>
        <w:pStyle w:val="Citas"/>
      </w:pPr>
      <w:r w:rsidRPr="0028758C">
        <w:t xml:space="preserve">V. Participar en la elaboración o modificación del respectivo plan regional de desarrollo urbano o de los parciales que de éste deriven, cuando incluya parte o la totalidad de su territorio; </w:t>
      </w:r>
    </w:p>
    <w:bookmarkEnd w:id="2"/>
    <w:p w14:paraId="631F4126" w14:textId="77777777" w:rsidR="00846CC8" w:rsidRPr="0028758C" w:rsidRDefault="00846CC8" w:rsidP="00E76530">
      <w:pPr>
        <w:pStyle w:val="Citas"/>
      </w:pPr>
      <w:r w:rsidRPr="0028758C">
        <w:t xml:space="preserve">VI. Analizar las cédulas informativas de zonificación, licencias de uso de suelo y licencias de construcción; </w:t>
      </w:r>
    </w:p>
    <w:p w14:paraId="1805285D" w14:textId="77777777" w:rsidR="00846CC8" w:rsidRPr="0028758C" w:rsidRDefault="00846CC8" w:rsidP="00E76530">
      <w:pPr>
        <w:pStyle w:val="Citas"/>
      </w:pPr>
      <w:r w:rsidRPr="0028758C">
        <w:t xml:space="preserve">VII. Vigilar la utilización y aprovechamiento del suelo con fines urbanos, en su circunscripción territorial; </w:t>
      </w:r>
    </w:p>
    <w:p w14:paraId="6E3C3076" w14:textId="77777777" w:rsidR="00846CC8" w:rsidRPr="0028758C" w:rsidRDefault="00846CC8" w:rsidP="00E76530">
      <w:pPr>
        <w:pStyle w:val="Citas"/>
      </w:pPr>
      <w:r w:rsidRPr="0028758C">
        <w:t xml:space="preserve">VIII. Proponer al Presidente Municipal, convenios, contratos y acuerdos, y </w:t>
      </w:r>
    </w:p>
    <w:p w14:paraId="28FBA34A" w14:textId="18EA43EA" w:rsidR="00846CC8" w:rsidRPr="0028758C" w:rsidRDefault="00846CC8" w:rsidP="00E76530">
      <w:pPr>
        <w:pStyle w:val="Citas"/>
      </w:pPr>
      <w:r w:rsidRPr="0028758C">
        <w:t>IX. Las demás que le sean conferidas por el Presidente Municipal o por el Ayuntamiento y las establecidas en las disposiciones jurídicas aplicables.</w:t>
      </w:r>
    </w:p>
    <w:bookmarkEnd w:id="1"/>
    <w:p w14:paraId="1D25A3B3" w14:textId="5E885001" w:rsidR="00E76530" w:rsidRPr="0028758C" w:rsidRDefault="003E1BF6" w:rsidP="003E1BF6">
      <w:pPr>
        <w:pStyle w:val="Citas"/>
        <w:jc w:val="center"/>
        <w:rPr>
          <w:b/>
          <w:bCs/>
          <w:i w:val="0"/>
          <w:iCs/>
        </w:rPr>
      </w:pPr>
      <w:r w:rsidRPr="0028758C">
        <w:rPr>
          <w:b/>
          <w:bCs/>
          <w:i w:val="0"/>
          <w:iCs/>
        </w:rPr>
        <w:lastRenderedPageBreak/>
        <w:t>BANDO MUNICIPAL DE OCOYOACAC</w:t>
      </w:r>
    </w:p>
    <w:p w14:paraId="5EC5439B" w14:textId="004EB96D" w:rsidR="00E76530" w:rsidRPr="0028758C" w:rsidRDefault="003E1BF6" w:rsidP="00E76530">
      <w:pPr>
        <w:pStyle w:val="Citas"/>
      </w:pPr>
      <w:r w:rsidRPr="0028758C">
        <w:rPr>
          <w:b/>
          <w:bCs/>
          <w:u w:val="single"/>
        </w:rPr>
        <w:t>“</w:t>
      </w:r>
      <w:r w:rsidR="00E76530" w:rsidRPr="0028758C">
        <w:rPr>
          <w:b/>
          <w:bCs/>
          <w:u w:val="single"/>
        </w:rPr>
        <w:t>Artículo 90. La Dirección General de Administración será la dependencia responsable de administrar los recursos materiales, tecnológicos y de servicios de las diversas unidades administrativas que conforman la Administración Pública Municipal y asignará a estas, en acuerdo con el Presidente Municipal, el personal capacitado que requieran para el cumplimiento de sus atribuciones, llevando el registro del mismo</w:t>
      </w:r>
      <w:r w:rsidR="00E76530" w:rsidRPr="0028758C">
        <w:t xml:space="preserve"> y, en coordinación con la Tesorería, gestionará el pago de las adquisiciones que requieran las dependencias de la Administración Pública Municipal a través del Comité de Adquisiciones y Servicios; y en general, cumplirá con todas las atribuciones que le otorguen las disposiciones legales que regulen sus actividades.</w:t>
      </w:r>
    </w:p>
    <w:p w14:paraId="391CF191" w14:textId="77777777" w:rsidR="00E76530" w:rsidRPr="0028758C" w:rsidRDefault="00E76530" w:rsidP="00E76530">
      <w:pPr>
        <w:pStyle w:val="Citas"/>
      </w:pPr>
      <w:r w:rsidRPr="0028758C">
        <w:t xml:space="preserve">Artículo 190. Es atribución de la Dirección General de Ciudad Sostenible, Cambio Climático y Recursos Hídricos en el ámbito de su competencia, establecer las medidas necesarias en materia de planeación, gestión y educación ambiental; protección al ambiente, residuos domiciliarios, de comercios e industriales no peligrosos, manejo de la vegetación urbana, vigilancia en el cumplimiento de las disposiciones jurídicas en materia forestal, desarrollo sostenible, procurando la conservación, la preservación, la rehabilitación, la recuperación y mantenimiento de la biodiversidad y la vida silvestre, con el fin de prevenir el daño a la salud, el ambiente y los elementos que lo componen en su conjunto. </w:t>
      </w:r>
    </w:p>
    <w:p w14:paraId="3B6753B0" w14:textId="06279F75" w:rsidR="00E76530" w:rsidRPr="0028758C" w:rsidRDefault="00E76530" w:rsidP="00E76530">
      <w:pPr>
        <w:pStyle w:val="Citas"/>
      </w:pPr>
      <w:r w:rsidRPr="0028758C">
        <w:t xml:space="preserve">El Ayuntamiento, a través de la Dirección General de Ciudad Sostenible, Cambio Climático y Recursos Hídricos brindará de manera regular, continua y uniforme los servicios públicos municipales. Los servicios públicos municipales se prestarán con la máxima cobertura y calidad considerando los recursos con los que cuente el </w:t>
      </w:r>
      <w:r w:rsidRPr="0028758C">
        <w:lastRenderedPageBreak/>
        <w:t>Ayuntamiento, quien proporcionará las facilidades necesarias para que los ciudadanos participen y colaboren en estas tareas.</w:t>
      </w:r>
    </w:p>
    <w:p w14:paraId="5E49F6C3" w14:textId="0C856471" w:rsidR="00E76530" w:rsidRPr="0028758C" w:rsidRDefault="00E76530" w:rsidP="00E76530">
      <w:pPr>
        <w:pStyle w:val="Citas"/>
      </w:pPr>
      <w:r w:rsidRPr="0028758C">
        <w:t>Artículo 199. La Dirección General de Ciudad Sostenible, Cambio Climático y Recursos Hídricos podrá recibir, integrar, evaluar y, en su caso, expedir las autorizaciones, dictámenes, licencias, vistos buenos, permisos y/o registros de carácter municipal, así como aquellos que son atribución de la Secretaría del Medio Ambiente del Gobierno del Estado de México y que por los instrumentos legales le hayan sido legalmente delegados al municipio, así como el cobro de los derechos en materia ambiental y los instrumentos legalesque le hayan sido legalmente delegados al municipio procurando:</w:t>
      </w:r>
    </w:p>
    <w:p w14:paraId="7351545A" w14:textId="3BAB7A53" w:rsidR="00E76530" w:rsidRPr="0028758C" w:rsidRDefault="00E76530" w:rsidP="00E76530">
      <w:pPr>
        <w:pStyle w:val="Citas"/>
      </w:pPr>
      <w:r w:rsidRPr="0028758C">
        <w:t>(…)</w:t>
      </w:r>
    </w:p>
    <w:p w14:paraId="2CDED198" w14:textId="360D1725" w:rsidR="00E76530" w:rsidRPr="0028758C" w:rsidRDefault="00E76530" w:rsidP="00E76530">
      <w:pPr>
        <w:pStyle w:val="Citas"/>
      </w:pPr>
      <w:r w:rsidRPr="0028758C">
        <w:rPr>
          <w:b/>
          <w:bCs/>
          <w:u w:val="single"/>
        </w:rPr>
        <w:t>III. Toda obra civil de nueva creación o comercio de bajo impacto deberá tramitar el visto bueno ambiental ante la Dirección General de Ciudad Sostenible, Cambio Climático y Recursos Hídricos.</w:t>
      </w:r>
      <w:r w:rsidRPr="0028758C">
        <w:t xml:space="preserve"> Los usuarios tendrán la obligación de revalidarlo anualmente (solamente en el caso de los comercios de bajo impacto), entregando los planes de manejo de residuos sólidos y los documentos que la autoridad municipal designe, además de verificar la donación de árboles establecida por la Dirección de Desarrollo Urbano adscrita a la Dirección General de Planeación Territorial y Obras Públicas, para la liberación de la Licencia de Uso de Suelo;</w:t>
      </w:r>
    </w:p>
    <w:p w14:paraId="5BCA4F71" w14:textId="17EE4071" w:rsidR="00E76530" w:rsidRPr="0028758C" w:rsidRDefault="00E76530" w:rsidP="00E76530">
      <w:pPr>
        <w:pStyle w:val="Citas"/>
      </w:pPr>
      <w:r w:rsidRPr="0028758C">
        <w:t>(…)</w:t>
      </w:r>
    </w:p>
    <w:p w14:paraId="4D9F7FEB" w14:textId="2D860D47" w:rsidR="00E76530" w:rsidRPr="0028758C" w:rsidRDefault="00E76530" w:rsidP="00E76530">
      <w:pPr>
        <w:pStyle w:val="Citas"/>
        <w:rPr>
          <w:b/>
          <w:bCs/>
          <w:u w:val="single"/>
        </w:rPr>
      </w:pPr>
      <w:r w:rsidRPr="0028758C">
        <w:rPr>
          <w:b/>
          <w:bCs/>
          <w:u w:val="single"/>
        </w:rPr>
        <w:t>XX. Vigilar y dictaminar y en su caso, autorizar sobre el manejo de vegetación urbana, selección de especies, retiros, derribos, chaponeos, podas y trasplantes, en bienes de dominio público y privado;</w:t>
      </w:r>
    </w:p>
    <w:p w14:paraId="287CBBA3" w14:textId="4CCA2118" w:rsidR="00E76530" w:rsidRPr="0028758C" w:rsidRDefault="00E76530" w:rsidP="00E76530">
      <w:pPr>
        <w:pStyle w:val="Citas"/>
      </w:pPr>
      <w:r w:rsidRPr="0028758C">
        <w:lastRenderedPageBreak/>
        <w:t>(…)</w:t>
      </w:r>
    </w:p>
    <w:p w14:paraId="0521323D" w14:textId="4864A94F" w:rsidR="00E76530" w:rsidRPr="0028758C" w:rsidRDefault="00E76530" w:rsidP="00E76530">
      <w:pPr>
        <w:pStyle w:val="Citas"/>
      </w:pPr>
      <w:r w:rsidRPr="0028758C">
        <w:t>Artículo 201. Sancionar a la persona física y/o jurídico colectiva que realice labores de derribo, poda, trasplante y/o sustitución de arbolado urbano público, privado o área común, sin contar con el permiso que para tal efecto emita la Dirección General de Ciudad Sostenible, Cambio Climático y Recursos Hídricos, así como incumplir con las restricciones, medidas de seguridad y compensación del daño ambiental que la Dirección misma determine. En este caso, el infractor tendrá también la obligación de entregar o plantar a su costa el número de árboles y/o plantas de ornato que se le determinen, quedando su valoración, sujeta al número de árboles dañados, destruidos, trasplantados o derribados, en el lugar que ésta designe, así como brindar el cuidado y mantenimiento de los ejemplares por un periodo de 3 años, con el fin de garantizar su supervivencia; lo anterior sin perjuicio de la responsabilidad penal que pudiera resultar al infringirse esta disposición, así como de las sanciones impuestas por autoridades ambientales.</w:t>
      </w:r>
    </w:p>
    <w:p w14:paraId="7F785CED" w14:textId="19B68677" w:rsidR="00E76530" w:rsidRPr="0028758C" w:rsidRDefault="00E76530" w:rsidP="00E76530">
      <w:pPr>
        <w:pStyle w:val="Citas"/>
      </w:pPr>
      <w:r w:rsidRPr="0028758C">
        <w:t>Artículo 202. Son faltas administrativas a las disposiciones sobre la protección al medio ambiente:</w:t>
      </w:r>
    </w:p>
    <w:p w14:paraId="787D47C4" w14:textId="4F1945B9" w:rsidR="00E76530" w:rsidRPr="0028758C" w:rsidRDefault="00E76530" w:rsidP="00E76530">
      <w:pPr>
        <w:pStyle w:val="Citas"/>
      </w:pPr>
      <w:r w:rsidRPr="0028758C">
        <w:t>(…)</w:t>
      </w:r>
    </w:p>
    <w:p w14:paraId="3BCDD8E3" w14:textId="35138AD9" w:rsidR="00E76530" w:rsidRPr="0028758C" w:rsidRDefault="00E76530" w:rsidP="00E76530">
      <w:pPr>
        <w:pStyle w:val="Citas"/>
        <w:rPr>
          <w:b/>
          <w:bCs/>
        </w:rPr>
      </w:pPr>
      <w:r w:rsidRPr="0028758C">
        <w:rPr>
          <w:b/>
          <w:bCs/>
          <w:u w:val="single"/>
        </w:rPr>
        <w:t>XIX. Realizar el trasplante, poda, retiro, derribo, sustitución o quema de árboles, pastizales y hojarasca, en zonas urbanas o rurales públicas y privadas, sin autorización de la autoridad municipal;</w:t>
      </w:r>
      <w:r w:rsidR="003E1BF6" w:rsidRPr="0028758C">
        <w:rPr>
          <w:b/>
          <w:bCs/>
          <w:u w:val="single"/>
        </w:rPr>
        <w:t xml:space="preserve">” </w:t>
      </w:r>
      <w:r w:rsidR="003E1BF6" w:rsidRPr="0028758C">
        <w:rPr>
          <w:b/>
          <w:bCs/>
        </w:rPr>
        <w:t>(Sic)</w:t>
      </w:r>
    </w:p>
    <w:p w14:paraId="6D25D808" w14:textId="77777777" w:rsidR="006B760F" w:rsidRPr="0028758C" w:rsidRDefault="006B760F" w:rsidP="006E64CC">
      <w:pPr>
        <w:pStyle w:val="Sinespaciado"/>
        <w:spacing w:line="360" w:lineRule="auto"/>
        <w:jc w:val="both"/>
        <w:rPr>
          <w:rFonts w:ascii="Palatino Linotype" w:hAnsi="Palatino Linotype" w:cs="Arial"/>
          <w:noProof/>
        </w:rPr>
      </w:pPr>
    </w:p>
    <w:p w14:paraId="4E47F2B6" w14:textId="5ABBAE98" w:rsidR="006E64CC" w:rsidRPr="0028758C" w:rsidRDefault="006E64CC" w:rsidP="006E64CC">
      <w:pPr>
        <w:pStyle w:val="Sinespaciado"/>
        <w:spacing w:line="360" w:lineRule="auto"/>
        <w:jc w:val="both"/>
        <w:rPr>
          <w:rFonts w:ascii="Palatino Linotype" w:hAnsi="Palatino Linotype" w:cs="Arial"/>
          <w:noProof/>
        </w:rPr>
      </w:pPr>
      <w:r w:rsidRPr="0028758C">
        <w:rPr>
          <w:rFonts w:ascii="Palatino Linotype" w:hAnsi="Palatino Linotype" w:cs="Arial"/>
          <w:noProof/>
        </w:rPr>
        <w:t>Del analisis sistematico y armonico de la normatividad previamente plasmada se desprende que:</w:t>
      </w:r>
    </w:p>
    <w:p w14:paraId="2BFD816A" w14:textId="77777777" w:rsidR="006E64CC" w:rsidRPr="0028758C" w:rsidRDefault="006E64CC" w:rsidP="00211A3F">
      <w:pPr>
        <w:pStyle w:val="Prrafodelista"/>
        <w:numPr>
          <w:ilvl w:val="0"/>
          <w:numId w:val="9"/>
        </w:numPr>
        <w:autoSpaceDE w:val="0"/>
        <w:autoSpaceDN w:val="0"/>
        <w:adjustRightInd w:val="0"/>
        <w:spacing w:before="240" w:line="360" w:lineRule="auto"/>
        <w:jc w:val="both"/>
        <w:rPr>
          <w:rFonts w:ascii="Palatino Linotype" w:hAnsi="Palatino Linotype"/>
        </w:rPr>
      </w:pPr>
      <w:r w:rsidRPr="0028758C">
        <w:rPr>
          <w:rFonts w:ascii="Palatino Linotype" w:hAnsi="Palatino Linotype"/>
        </w:rPr>
        <w:lastRenderedPageBreak/>
        <w:t>La</w:t>
      </w:r>
      <w:r w:rsidR="003E1BF6" w:rsidRPr="0028758C">
        <w:rPr>
          <w:rFonts w:ascii="Palatino Linotype" w:hAnsi="Palatino Linotype"/>
        </w:rPr>
        <w:t xml:space="preserve"> tesorería municipal se encarga de </w:t>
      </w:r>
      <w:r w:rsidR="003E1BF6" w:rsidRPr="0028758C">
        <w:rPr>
          <w:rFonts w:ascii="Palatino Linotype" w:hAnsi="Palatino Linotype" w:cs="Arial"/>
        </w:rPr>
        <w:t xml:space="preserve">la recaudación de contribuciones de particulares, así como de llevar los registros contables, financieros y administrativos de los ingresos y egresos del municipio. </w:t>
      </w:r>
    </w:p>
    <w:p w14:paraId="29D39BD7" w14:textId="77777777" w:rsidR="006E64CC" w:rsidRPr="0028758C" w:rsidRDefault="003E1BF6" w:rsidP="00211A3F">
      <w:pPr>
        <w:pStyle w:val="Prrafodelista"/>
        <w:numPr>
          <w:ilvl w:val="0"/>
          <w:numId w:val="9"/>
        </w:numPr>
        <w:autoSpaceDE w:val="0"/>
        <w:autoSpaceDN w:val="0"/>
        <w:adjustRightInd w:val="0"/>
        <w:spacing w:before="240" w:line="360" w:lineRule="auto"/>
        <w:jc w:val="both"/>
        <w:rPr>
          <w:rFonts w:ascii="Palatino Linotype" w:hAnsi="Palatino Linotype"/>
        </w:rPr>
      </w:pPr>
      <w:r w:rsidRPr="0028758C">
        <w:rPr>
          <w:rFonts w:ascii="Palatino Linotype" w:hAnsi="Palatino Linotype" w:cs="Arial"/>
        </w:rPr>
        <w:t xml:space="preserve">Por su parte, la </w:t>
      </w:r>
      <w:r w:rsidRPr="0028758C">
        <w:rPr>
          <w:rFonts w:ascii="Palatino Linotype" w:hAnsi="Palatino Linotype"/>
        </w:rPr>
        <w:t xml:space="preserve">dirección de administración regula los recursos materiales, tecnológicos y de servicios de las unidades administrativas, también asignará el personal capacitado que requieran las unidades administrativas. </w:t>
      </w:r>
    </w:p>
    <w:p w14:paraId="60C99429" w14:textId="282E1967" w:rsidR="006E64CC" w:rsidRPr="0028758C" w:rsidRDefault="003E1BF6" w:rsidP="00211A3F">
      <w:pPr>
        <w:pStyle w:val="Prrafodelista"/>
        <w:numPr>
          <w:ilvl w:val="0"/>
          <w:numId w:val="9"/>
        </w:numPr>
        <w:autoSpaceDE w:val="0"/>
        <w:autoSpaceDN w:val="0"/>
        <w:adjustRightInd w:val="0"/>
        <w:spacing w:before="240" w:line="360" w:lineRule="auto"/>
        <w:jc w:val="both"/>
        <w:rPr>
          <w:rFonts w:ascii="Palatino Linotype" w:hAnsi="Palatino Linotype"/>
        </w:rPr>
      </w:pPr>
      <w:r w:rsidRPr="0028758C">
        <w:rPr>
          <w:rFonts w:ascii="Palatino Linotype" w:hAnsi="Palatino Linotype"/>
        </w:rPr>
        <w:t xml:space="preserve">En contraste, la dirección general de ciudad sostenible, cambio climático y recursos híbridos vigila y dictamina sobre el manejo de especies y trasplante, poda, retiro, derribo o sustitución de árboles. </w:t>
      </w:r>
      <w:r w:rsidR="006B760F" w:rsidRPr="0028758C">
        <w:rPr>
          <w:rFonts w:ascii="Palatino Linotype" w:hAnsi="Palatino Linotype"/>
        </w:rPr>
        <w:t>´</w:t>
      </w:r>
    </w:p>
    <w:p w14:paraId="5F02C7E0" w14:textId="0BAA1062" w:rsidR="006B760F" w:rsidRPr="0028758C" w:rsidRDefault="006B760F" w:rsidP="00211A3F">
      <w:pPr>
        <w:pStyle w:val="Prrafodelista"/>
        <w:numPr>
          <w:ilvl w:val="0"/>
          <w:numId w:val="9"/>
        </w:numPr>
        <w:autoSpaceDE w:val="0"/>
        <w:autoSpaceDN w:val="0"/>
        <w:adjustRightInd w:val="0"/>
        <w:spacing w:before="240" w:line="360" w:lineRule="auto"/>
        <w:jc w:val="both"/>
        <w:rPr>
          <w:rFonts w:ascii="Palatino Linotype" w:hAnsi="Palatino Linotype"/>
        </w:rPr>
      </w:pPr>
      <w:r w:rsidRPr="0028758C">
        <w:rPr>
          <w:rFonts w:ascii="Palatino Linotype" w:hAnsi="Palatino Linotype"/>
        </w:rPr>
        <w:t xml:space="preserve">La dirección general de planeación territorial y obras públicas aplica y vigila las disposiciones legales en materia de ordenamiento territorial. </w:t>
      </w:r>
    </w:p>
    <w:p w14:paraId="6421C86E" w14:textId="360E61C5" w:rsidR="003E1BF6" w:rsidRPr="0028758C" w:rsidRDefault="003E1BF6" w:rsidP="00211A3F">
      <w:pPr>
        <w:pStyle w:val="Prrafodelista"/>
        <w:numPr>
          <w:ilvl w:val="0"/>
          <w:numId w:val="9"/>
        </w:numPr>
        <w:autoSpaceDE w:val="0"/>
        <w:autoSpaceDN w:val="0"/>
        <w:adjustRightInd w:val="0"/>
        <w:spacing w:before="240" w:line="360" w:lineRule="auto"/>
        <w:jc w:val="both"/>
        <w:rPr>
          <w:rFonts w:ascii="Palatino Linotype" w:hAnsi="Palatino Linotype"/>
        </w:rPr>
      </w:pPr>
      <w:r w:rsidRPr="0028758C">
        <w:rPr>
          <w:rFonts w:ascii="Palatino Linotype" w:hAnsi="Palatino Linotype"/>
        </w:rPr>
        <w:t xml:space="preserve">Finalmente, la coordinación de unidad jurídica asesora legalmente a las unidades administrativas e incluso da cuenta de la normatividad municipal. </w:t>
      </w:r>
    </w:p>
    <w:p w14:paraId="5114DB4E" w14:textId="77777777" w:rsidR="006B760F" w:rsidRPr="0028758C" w:rsidRDefault="006B760F" w:rsidP="006B760F">
      <w:pPr>
        <w:pStyle w:val="Prrafodelista"/>
        <w:autoSpaceDE w:val="0"/>
        <w:autoSpaceDN w:val="0"/>
        <w:adjustRightInd w:val="0"/>
        <w:spacing w:before="240" w:line="360" w:lineRule="auto"/>
        <w:ind w:left="720"/>
        <w:jc w:val="both"/>
        <w:rPr>
          <w:rFonts w:ascii="Palatino Linotype" w:hAnsi="Palatino Linotype"/>
        </w:rPr>
      </w:pPr>
    </w:p>
    <w:p w14:paraId="0ED5510C" w14:textId="20866350" w:rsidR="000502E7" w:rsidRPr="0028758C" w:rsidRDefault="000502E7" w:rsidP="00A04BB8">
      <w:pPr>
        <w:spacing w:after="0" w:line="360" w:lineRule="auto"/>
        <w:jc w:val="both"/>
        <w:rPr>
          <w:rFonts w:ascii="Palatino Linotype" w:hAnsi="Palatino Linotype" w:cs="Arial"/>
          <w:sz w:val="24"/>
          <w:szCs w:val="24"/>
        </w:rPr>
      </w:pPr>
    </w:p>
    <w:p w14:paraId="03EFA290" w14:textId="09F07372" w:rsidR="006E64CC" w:rsidRPr="0028758C" w:rsidRDefault="00E66CD8" w:rsidP="00E66CD8">
      <w:pPr>
        <w:spacing w:after="240" w:line="360" w:lineRule="auto"/>
        <w:jc w:val="both"/>
        <w:rPr>
          <w:rFonts w:ascii="Palatino Linotype" w:hAnsi="Palatino Linotype" w:cs="Arial"/>
          <w:color w:val="000000"/>
          <w:sz w:val="24"/>
          <w:lang w:val="es-ES_tradnl"/>
        </w:rPr>
      </w:pPr>
      <w:r w:rsidRPr="0028758C">
        <w:rPr>
          <w:rFonts w:ascii="Palatino Linotype" w:hAnsi="Palatino Linotype" w:cs="Arial"/>
          <w:color w:val="000000"/>
          <w:sz w:val="24"/>
          <w:lang w:val="es-ES_tradnl"/>
        </w:rPr>
        <w:t xml:space="preserve">Una vez sentado lo anterior, como se mencionó en el antecedente segundo, </w:t>
      </w:r>
      <w:r w:rsidRPr="0028758C">
        <w:rPr>
          <w:rFonts w:ascii="Palatino Linotype" w:hAnsi="Palatino Linotype" w:cs="Arial"/>
          <w:b/>
          <w:color w:val="000000"/>
          <w:sz w:val="24"/>
          <w:lang w:val="es-ES_tradnl"/>
        </w:rPr>
        <w:t xml:space="preserve">El Sujeto Obligado </w:t>
      </w:r>
      <w:r w:rsidRPr="0028758C">
        <w:rPr>
          <w:rFonts w:ascii="Palatino Linotype" w:hAnsi="Palatino Linotype" w:cs="Arial"/>
          <w:color w:val="000000"/>
          <w:sz w:val="24"/>
          <w:lang w:val="es-ES_tradnl"/>
        </w:rPr>
        <w:t>en fecha</w:t>
      </w:r>
      <w:r w:rsidR="001F2223" w:rsidRPr="0028758C">
        <w:rPr>
          <w:rFonts w:ascii="Palatino Linotype" w:hAnsi="Palatino Linotype" w:cs="Arial"/>
          <w:color w:val="000000"/>
          <w:sz w:val="24"/>
          <w:lang w:val="es-ES_tradnl"/>
        </w:rPr>
        <w:t xml:space="preserve"> </w:t>
      </w:r>
      <w:r w:rsidR="006E64CC" w:rsidRPr="0028758C">
        <w:rPr>
          <w:rFonts w:ascii="Palatino Linotype" w:hAnsi="Palatino Linotype" w:cs="Arial"/>
          <w:b/>
          <w:bCs/>
          <w:color w:val="000000"/>
          <w:sz w:val="24"/>
          <w:lang w:val="es-ES_tradnl"/>
        </w:rPr>
        <w:t xml:space="preserve">dieciséis de julio de dos mil veinticuatro, </w:t>
      </w:r>
      <w:r w:rsidR="006E64CC" w:rsidRPr="0028758C">
        <w:rPr>
          <w:rFonts w:ascii="Palatino Linotype" w:hAnsi="Palatino Linotype" w:cs="Arial"/>
          <w:color w:val="000000"/>
          <w:sz w:val="24"/>
          <w:lang w:val="es-ES_tradnl"/>
        </w:rPr>
        <w:t>rindió su respuesta a la solicitud de información formulada por el particular, adjuntando para tal efecto lo siguiente:</w:t>
      </w:r>
    </w:p>
    <w:p w14:paraId="00EBE94C" w14:textId="5312ADA9" w:rsidR="006E64CC" w:rsidRPr="0028758C" w:rsidRDefault="006E64CC" w:rsidP="00211A3F">
      <w:pPr>
        <w:pStyle w:val="Prrafodelista"/>
        <w:numPr>
          <w:ilvl w:val="0"/>
          <w:numId w:val="10"/>
        </w:numPr>
        <w:spacing w:after="240" w:line="360" w:lineRule="auto"/>
        <w:jc w:val="both"/>
        <w:rPr>
          <w:rFonts w:ascii="Palatino Linotype" w:hAnsi="Palatino Linotype" w:cs="Arial"/>
          <w:b/>
          <w:bCs/>
          <w:color w:val="000000"/>
          <w:lang w:val="es-ES_tradnl"/>
        </w:rPr>
      </w:pPr>
      <w:r w:rsidRPr="0028758C">
        <w:rPr>
          <w:rFonts w:ascii="Palatino Linotype" w:hAnsi="Palatino Linotype" w:cs="Arial"/>
          <w:b/>
          <w:bCs/>
          <w:color w:val="000000"/>
          <w:lang w:val="es-ES_tradnl"/>
        </w:rPr>
        <w:t xml:space="preserve">“92-2024 Incompetencia.pdf”: </w:t>
      </w:r>
      <w:r w:rsidRPr="0028758C">
        <w:rPr>
          <w:rFonts w:ascii="Palatino Linotype" w:hAnsi="Palatino Linotype" w:cs="Arial"/>
          <w:color w:val="000000"/>
          <w:lang w:val="es-ES_tradnl"/>
        </w:rPr>
        <w:t xml:space="preserve">Oficio número </w:t>
      </w:r>
      <w:r w:rsidRPr="0028758C">
        <w:rPr>
          <w:rFonts w:ascii="Palatino Linotype" w:hAnsi="Palatino Linotype" w:cs="Arial"/>
          <w:b/>
          <w:bCs/>
          <w:color w:val="000000"/>
          <w:lang w:val="es-ES_tradnl"/>
        </w:rPr>
        <w:t xml:space="preserve">PMO/UT/262/2024 </w:t>
      </w:r>
      <w:r w:rsidRPr="0028758C">
        <w:rPr>
          <w:rFonts w:ascii="Palatino Linotype" w:hAnsi="Palatino Linotype" w:cs="Arial"/>
          <w:color w:val="000000"/>
          <w:lang w:val="es-ES_tradnl"/>
        </w:rPr>
        <w:t xml:space="preserve">signado por el titular de la unidad de transparencia y protección de datos personales y </w:t>
      </w:r>
      <w:r w:rsidRPr="0028758C">
        <w:rPr>
          <w:rFonts w:ascii="Palatino Linotype" w:hAnsi="Palatino Linotype" w:cs="Arial"/>
          <w:color w:val="000000"/>
          <w:lang w:val="es-ES_tradnl"/>
        </w:rPr>
        <w:lastRenderedPageBreak/>
        <w:t>dirigido al solicitante de información, de fecha nueve de junio de dos mil veinticuatro, resulta de nuestro interés el siguiente extracto:</w:t>
      </w:r>
    </w:p>
    <w:p w14:paraId="399796E0" w14:textId="311B6134" w:rsidR="006E64CC" w:rsidRPr="0028758C" w:rsidRDefault="006E64CC" w:rsidP="006E64CC">
      <w:pPr>
        <w:pStyle w:val="Prrafodelista"/>
        <w:spacing w:after="240" w:line="360" w:lineRule="auto"/>
        <w:ind w:left="720"/>
        <w:jc w:val="both"/>
        <w:rPr>
          <w:rFonts w:ascii="Palatino Linotype" w:hAnsi="Palatino Linotype" w:cs="Arial"/>
          <w:i/>
          <w:iCs/>
          <w:color w:val="000000"/>
          <w:lang w:val="es-ES_tradnl"/>
        </w:rPr>
      </w:pPr>
      <w:r w:rsidRPr="0028758C">
        <w:rPr>
          <w:rFonts w:ascii="Palatino Linotype" w:hAnsi="Palatino Linotype" w:cs="Arial"/>
          <w:i/>
          <w:iCs/>
          <w:color w:val="000000"/>
          <w:lang w:val="es-ES_tradnl"/>
        </w:rPr>
        <w:t>“(…)</w:t>
      </w:r>
    </w:p>
    <w:p w14:paraId="2647B2AB" w14:textId="58931984" w:rsidR="006E64CC" w:rsidRPr="0028758C" w:rsidRDefault="006E64CC" w:rsidP="006E64CC">
      <w:pPr>
        <w:pStyle w:val="Prrafodelista"/>
        <w:spacing w:after="240" w:line="360" w:lineRule="auto"/>
        <w:ind w:left="720"/>
        <w:jc w:val="both"/>
        <w:rPr>
          <w:rFonts w:ascii="Palatino Linotype" w:hAnsi="Palatino Linotype" w:cs="Arial"/>
          <w:b/>
          <w:bCs/>
          <w:i/>
          <w:iCs/>
          <w:color w:val="000000"/>
          <w:lang w:val="es-ES_tradnl"/>
        </w:rPr>
      </w:pPr>
      <w:r w:rsidRPr="0028758C">
        <w:rPr>
          <w:rFonts w:ascii="Palatino Linotype" w:hAnsi="Palatino Linotype" w:cs="Arial"/>
          <w:i/>
          <w:iCs/>
          <w:color w:val="000000"/>
          <w:lang w:val="es-ES_tradnl"/>
        </w:rPr>
        <w:t>En tal sentido, la Dirección General de Planeación Territorial y Obras Públicas del Ayuntamiento de Ocoyoacac, informó mediante oficio DGPTYOP/OCOY/355/2024, que el fraccionamiento “Club de Golf Los Encinos”, se encuentra fuera de la demarcación territorial del Municipio de Ocoyoacac</w:t>
      </w:r>
      <w:r w:rsidRPr="0028758C">
        <w:rPr>
          <w:rFonts w:ascii="Palatino Linotype" w:hAnsi="Palatino Linotype" w:cs="Arial"/>
          <w:b/>
          <w:bCs/>
          <w:i/>
          <w:iCs/>
          <w:color w:val="000000"/>
          <w:u w:val="single"/>
          <w:lang w:val="es-ES_tradnl"/>
        </w:rPr>
        <w:t>, siendo competente para conocer de su requerimiento de información el Ayuntamiento de Lerma, Estado de México”</w:t>
      </w:r>
      <w:r w:rsidRPr="0028758C">
        <w:rPr>
          <w:rFonts w:ascii="Palatino Linotype" w:hAnsi="Palatino Linotype" w:cs="Arial"/>
          <w:i/>
          <w:iCs/>
          <w:color w:val="000000"/>
          <w:lang w:val="es-ES_tradnl"/>
        </w:rPr>
        <w:t xml:space="preserve"> </w:t>
      </w:r>
      <w:r w:rsidRPr="0028758C">
        <w:rPr>
          <w:rFonts w:ascii="Palatino Linotype" w:hAnsi="Palatino Linotype" w:cs="Arial"/>
          <w:b/>
          <w:bCs/>
          <w:i/>
          <w:iCs/>
          <w:color w:val="000000"/>
          <w:lang w:val="es-ES_tradnl"/>
        </w:rPr>
        <w:t>(Sic)</w:t>
      </w:r>
    </w:p>
    <w:p w14:paraId="6ABE4D03" w14:textId="77777777" w:rsidR="006E64CC" w:rsidRPr="0028758C" w:rsidRDefault="006E64CC" w:rsidP="00E66CD8">
      <w:pPr>
        <w:spacing w:after="240" w:line="360" w:lineRule="auto"/>
        <w:jc w:val="both"/>
        <w:rPr>
          <w:rFonts w:ascii="Palatino Linotype" w:hAnsi="Palatino Linotype" w:cs="Arial"/>
          <w:color w:val="000000"/>
          <w:sz w:val="24"/>
          <w:lang w:val="es-ES_tradnl"/>
        </w:rPr>
      </w:pPr>
    </w:p>
    <w:p w14:paraId="34C1279A" w14:textId="4FDBDE3B" w:rsidR="006B760F" w:rsidRPr="0028758C" w:rsidRDefault="006B760F" w:rsidP="006B760F">
      <w:pPr>
        <w:pStyle w:val="Prrafodelista"/>
        <w:autoSpaceDE w:val="0"/>
        <w:autoSpaceDN w:val="0"/>
        <w:adjustRightInd w:val="0"/>
        <w:spacing w:before="240" w:after="160" w:line="360" w:lineRule="auto"/>
        <w:ind w:left="0"/>
        <w:jc w:val="both"/>
        <w:rPr>
          <w:rFonts w:ascii="Palatino Linotype" w:hAnsi="Palatino Linotype" w:cs="Arial"/>
          <w:bCs/>
        </w:rPr>
      </w:pPr>
      <w:r w:rsidRPr="0028758C">
        <w:rPr>
          <w:rFonts w:ascii="Palatino Linotype" w:hAnsi="Palatino Linotype" w:cs="Arial"/>
          <w:bCs/>
        </w:rPr>
        <w:t xml:space="preserve">Con relación a la problemática expuesta, esta Ponencia Resolutora procedió a consultar información difundida en medios electrónicos, misma que puede ser consultada ingresando a las siguientes ligas electrónicas:  </w:t>
      </w:r>
    </w:p>
    <w:p w14:paraId="2D23FF8B" w14:textId="68D3A2CE" w:rsidR="006B760F" w:rsidRPr="0028758C" w:rsidRDefault="0028758C" w:rsidP="00E66CD8">
      <w:pPr>
        <w:spacing w:after="240" w:line="360" w:lineRule="auto"/>
        <w:jc w:val="both"/>
        <w:rPr>
          <w:rFonts w:ascii="Palatino Linotype" w:hAnsi="Palatino Linotype" w:cs="Arial"/>
          <w:color w:val="000000"/>
          <w:sz w:val="24"/>
          <w:lang w:val="es-ES"/>
        </w:rPr>
      </w:pPr>
      <w:hyperlink r:id="rId11" w:history="1">
        <w:r w:rsidR="006B760F" w:rsidRPr="0028758C">
          <w:rPr>
            <w:rStyle w:val="Hipervnculo"/>
            <w:rFonts w:ascii="Palatino Linotype" w:hAnsi="Palatino Linotype" w:cs="Arial"/>
            <w:sz w:val="24"/>
            <w:lang w:val="es-ES"/>
          </w:rPr>
          <w:t>https://legislacion.edomex.gob.mx/sites/legislacion.edomex.gob.mx/files/files/pdf/gct/2011/mar243.PDF</w:t>
        </w:r>
      </w:hyperlink>
      <w:r w:rsidR="006B760F" w:rsidRPr="0028758C">
        <w:rPr>
          <w:rFonts w:ascii="Palatino Linotype" w:hAnsi="Palatino Linotype" w:cs="Arial"/>
          <w:color w:val="000000"/>
          <w:sz w:val="24"/>
          <w:lang w:val="es-ES"/>
        </w:rPr>
        <w:t xml:space="preserve"> </w:t>
      </w:r>
    </w:p>
    <w:p w14:paraId="5185A467" w14:textId="77777777" w:rsidR="00722F41" w:rsidRPr="0028758C" w:rsidRDefault="0028758C" w:rsidP="00722F41">
      <w:pPr>
        <w:spacing w:after="240" w:line="360" w:lineRule="auto"/>
        <w:jc w:val="both"/>
        <w:rPr>
          <w:rFonts w:ascii="Palatino Linotype" w:hAnsi="Palatino Linotype" w:cs="Arial"/>
          <w:color w:val="000000"/>
          <w:sz w:val="24"/>
          <w:lang w:val="es-ES_tradnl"/>
        </w:rPr>
      </w:pPr>
      <w:hyperlink r:id="rId12" w:history="1">
        <w:r w:rsidR="00722F41" w:rsidRPr="0028758C">
          <w:rPr>
            <w:rStyle w:val="Hipervnculo"/>
            <w:rFonts w:ascii="Palatino Linotype" w:hAnsi="Palatino Linotype" w:cs="Arial"/>
            <w:sz w:val="24"/>
            <w:lang w:val="es-ES_tradnl"/>
          </w:rPr>
          <w:t>https://fmg.org.mx/losencinos/</w:t>
        </w:r>
      </w:hyperlink>
      <w:r w:rsidR="00722F41" w:rsidRPr="0028758C">
        <w:rPr>
          <w:rFonts w:ascii="Palatino Linotype" w:hAnsi="Palatino Linotype" w:cs="Arial"/>
          <w:color w:val="000000"/>
          <w:sz w:val="24"/>
          <w:lang w:val="es-ES_tradnl"/>
        </w:rPr>
        <w:t xml:space="preserve"> </w:t>
      </w:r>
    </w:p>
    <w:p w14:paraId="389C855A" w14:textId="53386109" w:rsidR="006B760F" w:rsidRPr="0028758C" w:rsidRDefault="0028758C" w:rsidP="00E66CD8">
      <w:pPr>
        <w:spacing w:after="240" w:line="360" w:lineRule="auto"/>
        <w:jc w:val="both"/>
        <w:rPr>
          <w:rFonts w:ascii="Palatino Linotype" w:hAnsi="Palatino Linotype" w:cs="Arial"/>
          <w:color w:val="000000"/>
          <w:sz w:val="24"/>
          <w:lang w:val="es-ES_tradnl"/>
        </w:rPr>
      </w:pPr>
      <w:hyperlink r:id="rId13" w:history="1">
        <w:r w:rsidR="00722F41" w:rsidRPr="0028758C">
          <w:rPr>
            <w:rStyle w:val="Hipervnculo"/>
            <w:rFonts w:ascii="Palatino Linotype" w:hAnsi="Palatino Linotype" w:cs="Arial"/>
            <w:sz w:val="24"/>
            <w:lang w:val="es-ES_tradnl"/>
          </w:rPr>
          <w:t>https://clubencinos.com/</w:t>
        </w:r>
      </w:hyperlink>
      <w:r w:rsidR="00722F41" w:rsidRPr="0028758C">
        <w:rPr>
          <w:rFonts w:ascii="Palatino Linotype" w:hAnsi="Palatino Linotype" w:cs="Arial"/>
          <w:color w:val="000000"/>
          <w:sz w:val="24"/>
          <w:lang w:val="es-ES_tradnl"/>
        </w:rPr>
        <w:t xml:space="preserve"> </w:t>
      </w:r>
      <w:r w:rsidR="006B760F" w:rsidRPr="0028758C">
        <w:rPr>
          <w:rFonts w:ascii="Palatino Linotype" w:hAnsi="Palatino Linotype" w:cs="Arial"/>
          <w:color w:val="000000"/>
          <w:sz w:val="24"/>
          <w:lang w:val="es-ES_tradnl"/>
        </w:rPr>
        <w:t xml:space="preserve"> </w:t>
      </w:r>
    </w:p>
    <w:p w14:paraId="324CA7B4" w14:textId="77777777" w:rsidR="006B760F" w:rsidRPr="0028758C" w:rsidRDefault="006B760F" w:rsidP="00E66CD8">
      <w:pPr>
        <w:spacing w:after="240" w:line="360" w:lineRule="auto"/>
        <w:jc w:val="both"/>
        <w:rPr>
          <w:rFonts w:ascii="Palatino Linotype" w:hAnsi="Palatino Linotype" w:cs="Arial"/>
          <w:color w:val="000000"/>
          <w:sz w:val="24"/>
          <w:lang w:val="es-ES_tradnl"/>
        </w:rPr>
      </w:pPr>
    </w:p>
    <w:p w14:paraId="1000531E" w14:textId="77777777" w:rsidR="006B760F" w:rsidRPr="0028758C" w:rsidRDefault="006B760F" w:rsidP="00E66CD8">
      <w:pPr>
        <w:spacing w:after="240" w:line="360" w:lineRule="auto"/>
        <w:jc w:val="both"/>
        <w:rPr>
          <w:rFonts w:ascii="Palatino Linotype" w:hAnsi="Palatino Linotype" w:cs="Arial"/>
          <w:color w:val="000000"/>
          <w:sz w:val="24"/>
          <w:lang w:val="es-ES_tradnl"/>
        </w:rPr>
      </w:pPr>
    </w:p>
    <w:p w14:paraId="3A231478" w14:textId="7C4016FC" w:rsidR="006B760F" w:rsidRPr="0028758C" w:rsidRDefault="00722F41" w:rsidP="00E66CD8">
      <w:pPr>
        <w:spacing w:after="240" w:line="360" w:lineRule="auto"/>
        <w:jc w:val="both"/>
        <w:rPr>
          <w:rFonts w:ascii="Palatino Linotype" w:hAnsi="Palatino Linotype" w:cs="Arial"/>
          <w:color w:val="000000"/>
          <w:sz w:val="24"/>
          <w:lang w:val="es-ES_tradnl"/>
        </w:rPr>
      </w:pPr>
      <w:r w:rsidRPr="0028758C">
        <w:rPr>
          <w:rFonts w:ascii="Palatino Linotype" w:hAnsi="Palatino Linotype" w:cs="Arial"/>
          <w:noProof/>
          <w:color w:val="000000"/>
          <w:sz w:val="24"/>
          <w:lang w:eastAsia="es-MX"/>
        </w:rPr>
        <w:lastRenderedPageBreak/>
        <w:drawing>
          <wp:anchor distT="0" distB="0" distL="114300" distR="114300" simplePos="0" relativeHeight="251941875" behindDoc="0" locked="0" layoutInCell="1" allowOverlap="1" wp14:anchorId="09918ADD" wp14:editId="1BDD4AC8">
            <wp:simplePos x="0" y="0"/>
            <wp:positionH relativeFrom="page">
              <wp:align>center</wp:align>
            </wp:positionH>
            <wp:positionV relativeFrom="paragraph">
              <wp:posOffset>19050</wp:posOffset>
            </wp:positionV>
            <wp:extent cx="5516880" cy="7353300"/>
            <wp:effectExtent l="19050" t="19050" r="26670" b="19050"/>
            <wp:wrapThrough wrapText="bothSides">
              <wp:wrapPolygon edited="0">
                <wp:start x="-75" y="-56"/>
                <wp:lineTo x="-75" y="21600"/>
                <wp:lineTo x="21630" y="21600"/>
                <wp:lineTo x="21630" y="-56"/>
                <wp:lineTo x="-75" y="-56"/>
              </wp:wrapPolygon>
            </wp:wrapThrough>
            <wp:docPr id="4589963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6880" cy="7353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2CCA08" w14:textId="503915F1" w:rsidR="00722F41" w:rsidRPr="0028758C" w:rsidRDefault="00722F41" w:rsidP="00E66CD8">
      <w:pPr>
        <w:spacing w:after="240" w:line="360" w:lineRule="auto"/>
        <w:jc w:val="both"/>
        <w:rPr>
          <w:rFonts w:ascii="Palatino Linotype" w:hAnsi="Palatino Linotype" w:cs="Arial"/>
          <w:color w:val="000000"/>
          <w:sz w:val="24"/>
          <w:lang w:val="es-ES_tradnl"/>
        </w:rPr>
      </w:pPr>
      <w:r w:rsidRPr="0028758C">
        <w:rPr>
          <w:rFonts w:ascii="Palatino Linotype" w:hAnsi="Palatino Linotype" w:cs="Arial"/>
          <w:noProof/>
          <w:color w:val="000000"/>
          <w:sz w:val="24"/>
          <w:lang w:eastAsia="es-MX"/>
        </w:rPr>
        <w:lastRenderedPageBreak/>
        <w:drawing>
          <wp:anchor distT="0" distB="0" distL="114300" distR="114300" simplePos="0" relativeHeight="251943923" behindDoc="0" locked="0" layoutInCell="1" allowOverlap="1" wp14:anchorId="12990F81" wp14:editId="730E8F39">
            <wp:simplePos x="0" y="0"/>
            <wp:positionH relativeFrom="page">
              <wp:align>center</wp:align>
            </wp:positionH>
            <wp:positionV relativeFrom="paragraph">
              <wp:posOffset>3783965</wp:posOffset>
            </wp:positionV>
            <wp:extent cx="5753100" cy="3478530"/>
            <wp:effectExtent l="19050" t="19050" r="19050" b="26670"/>
            <wp:wrapThrough wrapText="bothSides">
              <wp:wrapPolygon edited="0">
                <wp:start x="-72" y="-118"/>
                <wp:lineTo x="-72" y="21647"/>
                <wp:lineTo x="21600" y="21647"/>
                <wp:lineTo x="21600" y="-118"/>
                <wp:lineTo x="-72" y="-118"/>
              </wp:wrapPolygon>
            </wp:wrapThrough>
            <wp:docPr id="8541185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478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758C">
        <w:rPr>
          <w:rFonts w:ascii="Palatino Linotype" w:hAnsi="Palatino Linotype" w:cs="Arial"/>
          <w:noProof/>
          <w:color w:val="000000"/>
          <w:sz w:val="24"/>
          <w:lang w:eastAsia="es-MX"/>
        </w:rPr>
        <w:drawing>
          <wp:anchor distT="0" distB="0" distL="114300" distR="114300" simplePos="0" relativeHeight="251942899" behindDoc="0" locked="0" layoutInCell="1" allowOverlap="1" wp14:anchorId="7FEDA4C9" wp14:editId="7E8FF09C">
            <wp:simplePos x="0" y="0"/>
            <wp:positionH relativeFrom="page">
              <wp:align>center</wp:align>
            </wp:positionH>
            <wp:positionV relativeFrom="paragraph">
              <wp:posOffset>19050</wp:posOffset>
            </wp:positionV>
            <wp:extent cx="5745480" cy="3478530"/>
            <wp:effectExtent l="19050" t="19050" r="26670" b="26670"/>
            <wp:wrapThrough wrapText="bothSides">
              <wp:wrapPolygon edited="0">
                <wp:start x="-72" y="-118"/>
                <wp:lineTo x="-72" y="21647"/>
                <wp:lineTo x="21629" y="21647"/>
                <wp:lineTo x="21629" y="-118"/>
                <wp:lineTo x="-72" y="-118"/>
              </wp:wrapPolygon>
            </wp:wrapThrough>
            <wp:docPr id="13280385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5480" cy="3478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65C25D" w14:textId="0CF190FA" w:rsidR="00722F41" w:rsidRPr="0028758C" w:rsidRDefault="00722F41" w:rsidP="00722F41">
      <w:pPr>
        <w:spacing w:line="360" w:lineRule="auto"/>
        <w:jc w:val="both"/>
        <w:rPr>
          <w:rFonts w:ascii="Palatino Linotype" w:hAnsi="Palatino Linotype" w:cs="Arial"/>
          <w:sz w:val="24"/>
          <w:szCs w:val="24"/>
          <w:lang w:val="es-ES"/>
        </w:rPr>
      </w:pPr>
      <w:r w:rsidRPr="0028758C">
        <w:rPr>
          <w:rFonts w:ascii="Palatino Linotype" w:hAnsi="Palatino Linotype" w:cs="Arial"/>
          <w:sz w:val="24"/>
          <w:szCs w:val="24"/>
          <w:lang w:val="es-ES"/>
        </w:rPr>
        <w:lastRenderedPageBreak/>
        <w:t>Dominios electrónicos en los cuales en síntesis se da cuenta respecto de la ubicación del club de golf, los encinos</w:t>
      </w:r>
      <w:r w:rsidR="0013058C" w:rsidRPr="0028758C">
        <w:rPr>
          <w:rFonts w:ascii="Palatino Linotype" w:hAnsi="Palatino Linotype" w:cs="Arial"/>
          <w:sz w:val="24"/>
          <w:szCs w:val="24"/>
          <w:lang w:val="es-ES"/>
        </w:rPr>
        <w:t xml:space="preserve"> en el municipio de Lerma, luego entonces, la imposición de multas, generación de estudios impacto ambiental o incluso formulación de solicitudes de autorizaciones para derribo de arboles se tratan de cuestiones accesorias a una competencia territorial respecto de la cual carece el Ayuntamiento de Ocoyoacac. </w:t>
      </w:r>
    </w:p>
    <w:p w14:paraId="1505C212" w14:textId="77777777" w:rsidR="00F746E2" w:rsidRPr="0028758C" w:rsidRDefault="00394872" w:rsidP="00394872">
      <w:pPr>
        <w:spacing w:before="240" w:line="360" w:lineRule="auto"/>
        <w:jc w:val="both"/>
        <w:rPr>
          <w:rFonts w:ascii="Palatino Linotype" w:hAnsi="Palatino Linotype"/>
          <w:b/>
          <w:bCs/>
          <w:sz w:val="24"/>
          <w:szCs w:val="24"/>
        </w:rPr>
      </w:pPr>
      <w:r w:rsidRPr="0028758C">
        <w:rPr>
          <w:rFonts w:ascii="Palatino Linotype" w:hAnsi="Palatino Linotype"/>
          <w:sz w:val="24"/>
          <w:szCs w:val="24"/>
        </w:rPr>
        <w:t xml:space="preserve">Inconforme con la respuesta del </w:t>
      </w:r>
      <w:r w:rsidRPr="0028758C">
        <w:rPr>
          <w:rFonts w:ascii="Palatino Linotype" w:hAnsi="Palatino Linotype"/>
          <w:b/>
          <w:bCs/>
          <w:sz w:val="24"/>
          <w:szCs w:val="24"/>
        </w:rPr>
        <w:t>Sujeto Obligado</w:t>
      </w:r>
      <w:r w:rsidR="00F746E2" w:rsidRPr="0028758C">
        <w:rPr>
          <w:rFonts w:ascii="Palatino Linotype" w:hAnsi="Palatino Linotype"/>
          <w:b/>
          <w:bCs/>
          <w:sz w:val="24"/>
          <w:szCs w:val="24"/>
        </w:rPr>
        <w:t xml:space="preserve"> </w:t>
      </w:r>
      <w:r w:rsidR="00F746E2" w:rsidRPr="0028758C">
        <w:rPr>
          <w:rFonts w:ascii="Palatino Linotype" w:hAnsi="Palatino Linotype"/>
          <w:sz w:val="24"/>
          <w:szCs w:val="24"/>
        </w:rPr>
        <w:t xml:space="preserve">rendida el día </w:t>
      </w:r>
      <w:r w:rsidR="00F746E2" w:rsidRPr="0028758C">
        <w:rPr>
          <w:rFonts w:ascii="Palatino Linotype" w:hAnsi="Palatino Linotype"/>
          <w:b/>
          <w:bCs/>
          <w:sz w:val="24"/>
          <w:szCs w:val="24"/>
        </w:rPr>
        <w:t xml:space="preserve">dieciséis de julio del presente, El Recurrente </w:t>
      </w:r>
      <w:r w:rsidRPr="0028758C">
        <w:rPr>
          <w:rFonts w:ascii="Palatino Linotype" w:hAnsi="Palatino Linotype"/>
          <w:sz w:val="24"/>
          <w:szCs w:val="24"/>
        </w:rPr>
        <w:t xml:space="preserve">interpuso recurso de revisión en fecha </w:t>
      </w:r>
      <w:r w:rsidRPr="0028758C">
        <w:rPr>
          <w:rFonts w:ascii="Palatino Linotype" w:hAnsi="Palatino Linotype"/>
          <w:b/>
          <w:bCs/>
          <w:sz w:val="24"/>
          <w:szCs w:val="24"/>
        </w:rPr>
        <w:t xml:space="preserve">dieciséis de julio, </w:t>
      </w:r>
      <w:r w:rsidRPr="0028758C">
        <w:rPr>
          <w:rFonts w:ascii="Palatino Linotype" w:hAnsi="Palatino Linotype"/>
          <w:sz w:val="24"/>
          <w:szCs w:val="24"/>
        </w:rPr>
        <w:t xml:space="preserve">admitiéndose el </w:t>
      </w:r>
      <w:r w:rsidRPr="0028758C">
        <w:rPr>
          <w:rFonts w:ascii="Palatino Linotype" w:hAnsi="Palatino Linotype"/>
          <w:b/>
          <w:bCs/>
          <w:sz w:val="24"/>
          <w:szCs w:val="24"/>
        </w:rPr>
        <w:t xml:space="preserve">diecinueve de julio, ambos de dos mil veinticuatro. </w:t>
      </w:r>
    </w:p>
    <w:p w14:paraId="4BDE8883" w14:textId="4BE08EF8" w:rsidR="00F746E2" w:rsidRPr="0028758C" w:rsidRDefault="00F746E2" w:rsidP="00F746E2">
      <w:pPr>
        <w:spacing w:before="240" w:line="360" w:lineRule="auto"/>
        <w:jc w:val="both"/>
        <w:rPr>
          <w:rFonts w:ascii="Palatino Linotype" w:hAnsi="Palatino Linotype"/>
          <w:sz w:val="24"/>
          <w:szCs w:val="24"/>
        </w:rPr>
      </w:pPr>
      <w:r w:rsidRPr="0028758C">
        <w:rPr>
          <w:rFonts w:ascii="Palatino Linotype" w:hAnsi="Palatino Linotype"/>
          <w:sz w:val="24"/>
          <w:szCs w:val="24"/>
        </w:rPr>
        <w:t xml:space="preserve">Siendo las cosas así, resulta claro que la interposición del recurso de revisión se encuentra sujeta al plazo de </w:t>
      </w:r>
      <w:r w:rsidRPr="0028758C">
        <w:rPr>
          <w:rFonts w:ascii="Palatino Linotype" w:hAnsi="Palatino Linotype"/>
          <w:b/>
          <w:bCs/>
          <w:sz w:val="24"/>
          <w:szCs w:val="24"/>
        </w:rPr>
        <w:t xml:space="preserve">15 -quince- </w:t>
      </w:r>
      <w:r w:rsidRPr="0028758C">
        <w:rPr>
          <w:rFonts w:ascii="Palatino Linotype" w:hAnsi="Palatino Linotype"/>
          <w:sz w:val="24"/>
          <w:szCs w:val="24"/>
        </w:rPr>
        <w:t xml:space="preserve">días hábiles </w:t>
      </w:r>
      <w:r w:rsidR="00B87855" w:rsidRPr="0028758C">
        <w:rPr>
          <w:rFonts w:ascii="Palatino Linotype" w:hAnsi="Palatino Linotype"/>
          <w:sz w:val="24"/>
          <w:szCs w:val="24"/>
        </w:rPr>
        <w:t xml:space="preserve">siguientes a la fecha de notificación de respuesta, </w:t>
      </w:r>
      <w:r w:rsidRPr="0028758C">
        <w:rPr>
          <w:rFonts w:ascii="Palatino Linotype" w:hAnsi="Palatino Linotype"/>
          <w:sz w:val="24"/>
          <w:szCs w:val="24"/>
        </w:rPr>
        <w:t xml:space="preserve">previsto en el numeral 178 de la Ley de Transparencia y Acceso a la Información Pública del Estado de México y Municipios. </w:t>
      </w:r>
    </w:p>
    <w:p w14:paraId="66855560" w14:textId="34A8D1E1" w:rsidR="00FB0CBF" w:rsidRPr="0028758C" w:rsidRDefault="00FB0CBF" w:rsidP="00F746E2">
      <w:pPr>
        <w:spacing w:before="240" w:line="360" w:lineRule="auto"/>
        <w:jc w:val="both"/>
        <w:rPr>
          <w:rFonts w:ascii="Palatino Linotype" w:hAnsi="Palatino Linotype"/>
          <w:sz w:val="24"/>
          <w:szCs w:val="24"/>
        </w:rPr>
      </w:pPr>
      <w:r w:rsidRPr="0028758C">
        <w:rPr>
          <w:rFonts w:ascii="Palatino Linotype" w:hAnsi="Palatino Linotype"/>
          <w:sz w:val="24"/>
          <w:szCs w:val="24"/>
        </w:rPr>
        <w:t xml:space="preserve">Dentro de este marco, la interposición del medio de impugnación durante el mismo día hábil en que se recibió </w:t>
      </w:r>
      <w:r w:rsidR="00B87855" w:rsidRPr="0028758C">
        <w:rPr>
          <w:rFonts w:ascii="Palatino Linotype" w:hAnsi="Palatino Linotype"/>
          <w:sz w:val="24"/>
          <w:szCs w:val="24"/>
        </w:rPr>
        <w:t>respuesta</w:t>
      </w:r>
      <w:r w:rsidRPr="0028758C">
        <w:rPr>
          <w:rFonts w:ascii="Palatino Linotype" w:hAnsi="Palatino Linotype"/>
          <w:sz w:val="24"/>
          <w:szCs w:val="24"/>
        </w:rPr>
        <w:t xml:space="preserve"> se considera a todas luces oportuna, al obviarse de manera automática el cómputo aplicable. </w:t>
      </w:r>
    </w:p>
    <w:p w14:paraId="37B9D470" w14:textId="2D58239F" w:rsidR="00F746E2" w:rsidRPr="0028758C" w:rsidRDefault="00FB0CBF" w:rsidP="00394872">
      <w:pPr>
        <w:spacing w:before="240" w:line="360" w:lineRule="auto"/>
        <w:jc w:val="both"/>
        <w:rPr>
          <w:rFonts w:ascii="Palatino Linotype" w:hAnsi="Palatino Linotype"/>
          <w:sz w:val="24"/>
          <w:szCs w:val="24"/>
        </w:rPr>
      </w:pPr>
      <w:r w:rsidRPr="0028758C">
        <w:rPr>
          <w:rFonts w:ascii="Palatino Linotype" w:hAnsi="Palatino Linotype"/>
          <w:sz w:val="24"/>
          <w:szCs w:val="24"/>
        </w:rPr>
        <w:t xml:space="preserve">Siendo las cosas así, mediante el recurso de revisión, </w:t>
      </w:r>
      <w:r w:rsidRPr="0028758C">
        <w:rPr>
          <w:rFonts w:ascii="Palatino Linotype" w:hAnsi="Palatino Linotype"/>
          <w:b/>
          <w:bCs/>
          <w:sz w:val="24"/>
          <w:szCs w:val="24"/>
        </w:rPr>
        <w:t>El Recurrente</w:t>
      </w:r>
      <w:r w:rsidRPr="0028758C">
        <w:rPr>
          <w:rFonts w:ascii="Palatino Linotype" w:hAnsi="Palatino Linotype"/>
          <w:sz w:val="24"/>
          <w:szCs w:val="24"/>
        </w:rPr>
        <w:t xml:space="preserve"> señaló como acto impugnado: </w:t>
      </w:r>
    </w:p>
    <w:p w14:paraId="2ED85B1F" w14:textId="77777777" w:rsidR="009A1181" w:rsidRPr="0028758C" w:rsidRDefault="009A1181" w:rsidP="009A1181">
      <w:pPr>
        <w:pStyle w:val="Citas"/>
      </w:pPr>
      <w:r w:rsidRPr="0028758C">
        <w:t xml:space="preserve">“El Fraccionamiento en cuestión se encuentra, en una parte, dentro del municipio de Ocoyoacac y parte de los árboles talados, corresponde a ese municipio. Parte del problema de que el Fraccionamiento y Club de Golf los Encinos tale árboles constantemente, es la omisión del municipio de Ocoyoacac que le deja todo al municipio colindante de Lerma, evadiendo su responsabilidad de gobernar” </w:t>
      </w:r>
      <w:r w:rsidRPr="0028758C">
        <w:rPr>
          <w:b/>
          <w:bCs/>
        </w:rPr>
        <w:t>(Sic)</w:t>
      </w:r>
    </w:p>
    <w:p w14:paraId="3D2C8E1A" w14:textId="77777777" w:rsidR="009A1181" w:rsidRPr="0028758C" w:rsidRDefault="009A1181" w:rsidP="009A1181">
      <w:pPr>
        <w:spacing w:before="240" w:line="360" w:lineRule="auto"/>
        <w:jc w:val="both"/>
        <w:rPr>
          <w:rFonts w:ascii="Palatino Linotype" w:hAnsi="Palatino Linotype" w:cs="Arial"/>
          <w:bCs/>
          <w:sz w:val="24"/>
          <w:szCs w:val="24"/>
        </w:rPr>
      </w:pPr>
      <w:r w:rsidRPr="0028758C">
        <w:rPr>
          <w:rFonts w:ascii="Palatino Linotype" w:hAnsi="Palatino Linotype" w:cs="Arial"/>
          <w:bCs/>
          <w:sz w:val="24"/>
          <w:szCs w:val="24"/>
        </w:rPr>
        <w:lastRenderedPageBreak/>
        <w:t xml:space="preserve">Adicionalmente, el particular adjuntó el documento electrónico </w:t>
      </w:r>
      <w:r w:rsidRPr="0028758C">
        <w:rPr>
          <w:rFonts w:ascii="Palatino Linotype" w:hAnsi="Palatino Linotype" w:cs="Arial"/>
          <w:b/>
          <w:sz w:val="24"/>
          <w:szCs w:val="24"/>
        </w:rPr>
        <w:t xml:space="preserve">“Archivo1721180312680null” </w:t>
      </w:r>
      <w:r w:rsidRPr="0028758C">
        <w:rPr>
          <w:rFonts w:ascii="Palatino Linotype" w:hAnsi="Palatino Linotype" w:cs="Arial"/>
          <w:bCs/>
          <w:sz w:val="24"/>
          <w:szCs w:val="24"/>
        </w:rPr>
        <w:t xml:space="preserve">cuyo contenido fue imposible de visualizar. </w:t>
      </w:r>
    </w:p>
    <w:p w14:paraId="60CF2C8D" w14:textId="21EA9D1F" w:rsidR="00394872" w:rsidRPr="0028758C" w:rsidRDefault="00722F41" w:rsidP="00394872">
      <w:pPr>
        <w:spacing w:before="240" w:line="360" w:lineRule="auto"/>
        <w:jc w:val="both"/>
        <w:rPr>
          <w:rFonts w:ascii="Palatino Linotype" w:hAnsi="Palatino Linotype"/>
          <w:sz w:val="24"/>
          <w:szCs w:val="24"/>
        </w:rPr>
      </w:pPr>
      <w:r w:rsidRPr="0028758C">
        <w:rPr>
          <w:rFonts w:ascii="Palatino Linotype" w:hAnsi="Palatino Linotype"/>
          <w:sz w:val="24"/>
          <w:szCs w:val="24"/>
        </w:rPr>
        <w:t>Por otra parte</w:t>
      </w:r>
      <w:r w:rsidR="006B760F" w:rsidRPr="0028758C">
        <w:rPr>
          <w:rFonts w:ascii="Palatino Linotype" w:hAnsi="Palatino Linotype"/>
          <w:sz w:val="24"/>
          <w:szCs w:val="24"/>
        </w:rPr>
        <w:t xml:space="preserve">, como fue referido en el antecedente quinto, </w:t>
      </w:r>
      <w:r w:rsidR="006B760F" w:rsidRPr="0028758C">
        <w:rPr>
          <w:rFonts w:ascii="Palatino Linotype" w:hAnsi="Palatino Linotype"/>
          <w:b/>
          <w:bCs/>
          <w:sz w:val="24"/>
          <w:szCs w:val="24"/>
        </w:rPr>
        <w:t xml:space="preserve">El Sujeto Obligado </w:t>
      </w:r>
      <w:r w:rsidR="006B760F" w:rsidRPr="0028758C">
        <w:rPr>
          <w:rFonts w:ascii="Palatino Linotype" w:hAnsi="Palatino Linotype"/>
          <w:sz w:val="24"/>
          <w:szCs w:val="24"/>
        </w:rPr>
        <w:t xml:space="preserve">fue omiso en rendir su informe justificado. </w:t>
      </w:r>
    </w:p>
    <w:p w14:paraId="6E9193EC" w14:textId="7DD8AE66" w:rsidR="00394872" w:rsidRPr="0028758C" w:rsidRDefault="006B760F" w:rsidP="006B760F">
      <w:pPr>
        <w:spacing w:before="240" w:line="360" w:lineRule="auto"/>
        <w:jc w:val="both"/>
        <w:rPr>
          <w:rFonts w:ascii="Palatino Linotype" w:eastAsia="Palatino Linotype" w:hAnsi="Palatino Linotype" w:cs="Palatino Linotype"/>
          <w:sz w:val="24"/>
          <w:szCs w:val="24"/>
          <w:lang w:val="es-ES_tradnl"/>
        </w:rPr>
      </w:pPr>
      <w:r w:rsidRPr="0028758C">
        <w:rPr>
          <w:rFonts w:ascii="Palatino Linotype" w:hAnsi="Palatino Linotype"/>
          <w:sz w:val="24"/>
          <w:szCs w:val="24"/>
        </w:rPr>
        <w:t xml:space="preserve">En este sentido, se comprende que </w:t>
      </w:r>
      <w:r w:rsidRPr="0028758C">
        <w:rPr>
          <w:rFonts w:ascii="Palatino Linotype" w:eastAsia="Palatino Linotype" w:hAnsi="Palatino Linotype" w:cs="Palatino Linotype"/>
          <w:sz w:val="24"/>
          <w:szCs w:val="24"/>
          <w:lang w:val="es-ES_tradnl"/>
        </w:rPr>
        <w:t>ante</w:t>
      </w:r>
      <w:r w:rsidR="00394872" w:rsidRPr="0028758C">
        <w:rPr>
          <w:rFonts w:ascii="Palatino Linotype" w:eastAsia="Palatino Linotype" w:hAnsi="Palatino Linotype" w:cs="Palatino Linotype"/>
          <w:sz w:val="24"/>
          <w:szCs w:val="24"/>
          <w:lang w:val="es-ES_tradnl"/>
        </w:rPr>
        <w:t xml:space="preserv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20FF35F4" w14:textId="77777777" w:rsidR="00394872" w:rsidRPr="0028758C"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28758C">
        <w:rPr>
          <w:rFonts w:ascii="Palatino Linotype" w:eastAsia="Palatino Linotype" w:hAnsi="Palatino Linotype" w:cs="Palatino Linotype"/>
          <w:sz w:val="24"/>
          <w:szCs w:val="24"/>
          <w:lang w:val="es-ES_tradnl"/>
        </w:rPr>
        <w:t>Ante dicha situación, la Ley de Transparencia estatal prevé en su artículo 167, lo siguiente:</w:t>
      </w:r>
    </w:p>
    <w:p w14:paraId="2BAFE921" w14:textId="01F274D3" w:rsidR="00394872" w:rsidRPr="0028758C" w:rsidRDefault="00394872" w:rsidP="00394872">
      <w:pPr>
        <w:spacing w:line="360" w:lineRule="auto"/>
        <w:ind w:left="567" w:right="606"/>
        <w:jc w:val="both"/>
        <w:rPr>
          <w:rFonts w:ascii="Palatino Linotype" w:eastAsia="Palatino Linotype" w:hAnsi="Palatino Linotype" w:cs="Palatino Linotype"/>
          <w:b/>
          <w:bCs/>
          <w:i/>
          <w:iCs/>
          <w:sz w:val="24"/>
          <w:szCs w:val="24"/>
        </w:rPr>
      </w:pPr>
      <w:r w:rsidRPr="0028758C">
        <w:rPr>
          <w:rFonts w:ascii="Palatino Linotype" w:eastAsia="Palatino Linotype" w:hAnsi="Palatino Linotype" w:cs="Palatino Linotype"/>
          <w:b/>
          <w:i/>
          <w:iCs/>
          <w:sz w:val="24"/>
          <w:szCs w:val="24"/>
        </w:rPr>
        <w:t xml:space="preserve">“Artículo 167. </w:t>
      </w:r>
      <w:r w:rsidRPr="0028758C">
        <w:rPr>
          <w:rFonts w:ascii="Palatino Linotype" w:eastAsia="Palatino Linotype" w:hAnsi="Palatino Linotype" w:cs="Palatino Linotype"/>
          <w:b/>
          <w:bCs/>
          <w:i/>
          <w:iCs/>
          <w:sz w:val="24"/>
          <w:szCs w:val="24"/>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161C5B62" w14:textId="77777777" w:rsidR="00394872" w:rsidRPr="0028758C" w:rsidRDefault="00394872" w:rsidP="00394872">
      <w:pPr>
        <w:spacing w:line="360" w:lineRule="auto"/>
        <w:ind w:left="567" w:right="606"/>
        <w:jc w:val="both"/>
        <w:rPr>
          <w:rFonts w:ascii="Palatino Linotype" w:eastAsia="Palatino Linotype" w:hAnsi="Palatino Linotype" w:cs="Palatino Linotype"/>
          <w:i/>
          <w:iCs/>
          <w:sz w:val="24"/>
          <w:szCs w:val="24"/>
        </w:rPr>
      </w:pPr>
      <w:r w:rsidRPr="0028758C">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3629EF4D" w14:textId="61363EB4" w:rsidR="00394872" w:rsidRPr="0028758C" w:rsidRDefault="00394872" w:rsidP="00394872">
      <w:pPr>
        <w:spacing w:line="360" w:lineRule="auto"/>
        <w:ind w:left="567" w:right="606"/>
        <w:jc w:val="both"/>
        <w:rPr>
          <w:rFonts w:ascii="Palatino Linotype" w:eastAsia="Palatino Linotype" w:hAnsi="Palatino Linotype" w:cs="Palatino Linotype"/>
          <w:b/>
          <w:bCs/>
          <w:i/>
          <w:iCs/>
          <w:sz w:val="24"/>
          <w:szCs w:val="24"/>
        </w:rPr>
      </w:pPr>
      <w:r w:rsidRPr="0028758C">
        <w:rPr>
          <w:rFonts w:ascii="Palatino Linotype" w:eastAsia="Palatino Linotype" w:hAnsi="Palatino Linotype" w:cs="Palatino Linotype"/>
          <w:i/>
          <w:iCs/>
          <w:sz w:val="24"/>
          <w:szCs w:val="24"/>
        </w:rPr>
        <w:lastRenderedPageBreak/>
        <w:t xml:space="preserve">Si transcurrido el plazo señalado en el primer párrafo de este artículo, el sujeto obligado no declina la competencia en los términos establecidos, podrá canalizar la solicitud ante el sujeto obligado competente.” </w:t>
      </w:r>
      <w:r w:rsidRPr="0028758C">
        <w:rPr>
          <w:rFonts w:ascii="Palatino Linotype" w:eastAsia="Palatino Linotype" w:hAnsi="Palatino Linotype" w:cs="Palatino Linotype"/>
          <w:b/>
          <w:bCs/>
          <w:i/>
          <w:iCs/>
          <w:sz w:val="24"/>
          <w:szCs w:val="24"/>
        </w:rPr>
        <w:t>(Sic)</w:t>
      </w:r>
    </w:p>
    <w:p w14:paraId="5C0F97EE" w14:textId="77777777" w:rsidR="00722F41" w:rsidRPr="0028758C" w:rsidRDefault="00722F41" w:rsidP="00394872">
      <w:pPr>
        <w:spacing w:line="360" w:lineRule="auto"/>
        <w:ind w:right="39"/>
        <w:jc w:val="both"/>
        <w:rPr>
          <w:rFonts w:ascii="Palatino Linotype" w:eastAsia="Palatino Linotype" w:hAnsi="Palatino Linotype" w:cs="Palatino Linotype"/>
          <w:sz w:val="24"/>
          <w:szCs w:val="24"/>
          <w:lang w:val="es-ES_tradnl"/>
        </w:rPr>
      </w:pPr>
    </w:p>
    <w:p w14:paraId="01CE1CBE" w14:textId="26851F54" w:rsidR="00394872" w:rsidRPr="0028758C"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28758C">
        <w:rPr>
          <w:rFonts w:ascii="Palatino Linotype" w:eastAsia="Palatino Linotype" w:hAnsi="Palatino Linotype" w:cs="Palatino Linotype"/>
          <w:sz w:val="24"/>
          <w:szCs w:val="24"/>
          <w:lang w:val="es-ES_tradnl"/>
        </w:rPr>
        <w:t>Del artículo en cita se desprenden las siguientes premisas:</w:t>
      </w:r>
    </w:p>
    <w:p w14:paraId="0CAD343E" w14:textId="77777777" w:rsidR="00394872" w:rsidRPr="0028758C" w:rsidRDefault="00394872" w:rsidP="00211A3F">
      <w:pPr>
        <w:pStyle w:val="Prrafodelista"/>
        <w:numPr>
          <w:ilvl w:val="0"/>
          <w:numId w:val="11"/>
        </w:numPr>
        <w:spacing w:line="360" w:lineRule="auto"/>
        <w:ind w:right="39"/>
        <w:contextualSpacing/>
        <w:jc w:val="both"/>
        <w:rPr>
          <w:rFonts w:ascii="Palatino Linotype" w:eastAsia="Palatino Linotype" w:hAnsi="Palatino Linotype" w:cs="Palatino Linotype"/>
          <w:lang w:val="es-ES_tradnl"/>
        </w:rPr>
      </w:pPr>
      <w:r w:rsidRPr="0028758C">
        <w:rPr>
          <w:rFonts w:ascii="Palatino Linotype" w:eastAsia="Palatino Linotype" w:hAnsi="Palatino Linotype" w:cs="Palatino Linotype"/>
          <w:lang w:val="es-ES_tradnl"/>
        </w:rPr>
        <w:t xml:space="preserve">Que en los supuestos en los que las unidades de transparencia determinen una </w:t>
      </w:r>
      <w:r w:rsidRPr="0028758C">
        <w:rPr>
          <w:rFonts w:ascii="Palatino Linotype" w:eastAsia="Palatino Linotype" w:hAnsi="Palatino Linotype" w:cs="Palatino Linotype"/>
          <w:b/>
          <w:bCs/>
          <w:u w:val="single"/>
          <w:lang w:val="es-ES_tradnl"/>
        </w:rPr>
        <w:t>notoria incompetencia</w:t>
      </w:r>
      <w:r w:rsidRPr="0028758C">
        <w:rPr>
          <w:rFonts w:ascii="Palatino Linotype" w:eastAsia="Palatino Linotype" w:hAnsi="Palatino Linotype" w:cs="Palatino Linotype"/>
          <w:lang w:val="es-ES_tradnl"/>
        </w:rPr>
        <w:t>, esta situación se deberá hacer del conocimiento del Recurrente en un término de tres días hábiles posteriores al ingreso de la solicitud y, de ser posible, orientarlo para que dirija su solicitud ante el sujeto obligado competente.</w:t>
      </w:r>
    </w:p>
    <w:p w14:paraId="6BB9DE1A" w14:textId="77777777" w:rsidR="00394872" w:rsidRPr="0028758C" w:rsidRDefault="00394872" w:rsidP="00211A3F">
      <w:pPr>
        <w:pStyle w:val="Prrafodelista"/>
        <w:numPr>
          <w:ilvl w:val="0"/>
          <w:numId w:val="11"/>
        </w:numPr>
        <w:spacing w:line="360" w:lineRule="auto"/>
        <w:ind w:right="39"/>
        <w:contextualSpacing/>
        <w:jc w:val="both"/>
        <w:rPr>
          <w:rFonts w:ascii="Palatino Linotype" w:eastAsia="Palatino Linotype" w:hAnsi="Palatino Linotype" w:cs="Palatino Linotype"/>
          <w:lang w:val="es-ES_tradnl"/>
        </w:rPr>
      </w:pPr>
      <w:r w:rsidRPr="0028758C">
        <w:rPr>
          <w:rFonts w:ascii="Palatino Linotype" w:eastAsia="Palatino Linotype" w:hAnsi="Palatino Linotype" w:cs="Palatino Linotype"/>
          <w:lang w:val="es-ES_tradnl"/>
        </w:rPr>
        <w:t>Que si los sujetos obligados están facultados parcialmente para atender la solicitud están constreñidos a atender dicha parte y notificar la incompetencia en los términos señalados.</w:t>
      </w:r>
    </w:p>
    <w:p w14:paraId="24CC2A58" w14:textId="77777777" w:rsidR="00722F41" w:rsidRPr="0028758C" w:rsidRDefault="00722F41" w:rsidP="00722F41">
      <w:pPr>
        <w:pStyle w:val="Prrafodelista"/>
        <w:spacing w:line="360" w:lineRule="auto"/>
        <w:ind w:left="720" w:right="39"/>
        <w:contextualSpacing/>
        <w:jc w:val="both"/>
        <w:rPr>
          <w:rFonts w:ascii="Palatino Linotype" w:eastAsia="Palatino Linotype" w:hAnsi="Palatino Linotype" w:cs="Palatino Linotype"/>
          <w:lang w:val="es-ES_tradnl"/>
        </w:rPr>
      </w:pPr>
    </w:p>
    <w:p w14:paraId="548A7265" w14:textId="77777777" w:rsidR="00394872" w:rsidRPr="0028758C" w:rsidRDefault="00394872" w:rsidP="00211A3F">
      <w:pPr>
        <w:pStyle w:val="Prrafodelista"/>
        <w:numPr>
          <w:ilvl w:val="0"/>
          <w:numId w:val="11"/>
        </w:numPr>
        <w:spacing w:line="360" w:lineRule="auto"/>
        <w:ind w:right="39"/>
        <w:contextualSpacing/>
        <w:jc w:val="both"/>
        <w:rPr>
          <w:rFonts w:ascii="Palatino Linotype" w:eastAsia="Palatino Linotype" w:hAnsi="Palatino Linotype" w:cs="Palatino Linotype"/>
          <w:lang w:val="es-ES_tradnl"/>
        </w:rPr>
      </w:pPr>
      <w:r w:rsidRPr="0028758C">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3E5A14DD" w14:textId="77777777" w:rsidR="006B760F" w:rsidRPr="0028758C" w:rsidRDefault="006B760F" w:rsidP="00394872">
      <w:pPr>
        <w:spacing w:line="360" w:lineRule="auto"/>
        <w:ind w:right="39"/>
        <w:jc w:val="both"/>
        <w:rPr>
          <w:rFonts w:ascii="Palatino Linotype" w:eastAsia="Palatino Linotype" w:hAnsi="Palatino Linotype" w:cs="Palatino Linotype"/>
          <w:sz w:val="24"/>
          <w:szCs w:val="24"/>
          <w:lang w:val="es-ES_tradnl"/>
        </w:rPr>
      </w:pPr>
    </w:p>
    <w:p w14:paraId="43E41ACC" w14:textId="7CA76EFF"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r w:rsidRPr="0028758C">
        <w:rPr>
          <w:rFonts w:ascii="Palatino Linotype" w:eastAsia="Palatino Linotype" w:hAnsi="Palatino Linotype" w:cs="Palatino Linotype"/>
          <w:sz w:val="24"/>
          <w:szCs w:val="24"/>
          <w:lang w:val="es-ES_tradnl"/>
        </w:rPr>
        <w:t xml:space="preserve">En ese sentido, dicho artículo indica a los sujetos obligado el procedimiento que deben seguir en los supuestos en los que la incompetencia sea notoria o se trate de una </w:t>
      </w:r>
      <w:r w:rsidRPr="0028758C">
        <w:rPr>
          <w:rFonts w:ascii="Palatino Linotype" w:eastAsia="Palatino Linotype" w:hAnsi="Palatino Linotype" w:cs="Palatino Linotype"/>
          <w:sz w:val="24"/>
          <w:szCs w:val="24"/>
          <w:lang w:val="es-ES_tradnl"/>
        </w:rPr>
        <w:lastRenderedPageBreak/>
        <w:t xml:space="preserve">incompetencia parcial; sin embargo, conviene resaltar el significado de «notorio», el cual el </w:t>
      </w:r>
      <w:r w:rsidRPr="0028758C">
        <w:rPr>
          <w:rFonts w:ascii="Palatino Linotype" w:eastAsia="Palatino Linotype" w:hAnsi="Palatino Linotype" w:cs="Palatino Linotype"/>
          <w:bCs/>
          <w:sz w:val="24"/>
          <w:szCs w:val="24"/>
        </w:rPr>
        <w:t>Diccionario de la Real Academia Española</w:t>
      </w:r>
      <w:r w:rsidRPr="0028758C">
        <w:rPr>
          <w:rFonts w:ascii="Palatino Linotype" w:eastAsia="Palatino Linotype" w:hAnsi="Palatino Linotype" w:cs="Palatino Linotype"/>
          <w:bCs/>
          <w:sz w:val="24"/>
          <w:szCs w:val="24"/>
          <w:vertAlign w:val="superscript"/>
        </w:rPr>
        <w:footnoteReference w:id="1"/>
      </w:r>
      <w:r w:rsidRPr="0028758C">
        <w:rPr>
          <w:rFonts w:ascii="Palatino Linotype" w:eastAsia="Palatino Linotype" w:hAnsi="Palatino Linotype" w:cs="Palatino Linotype"/>
          <w:bCs/>
          <w:sz w:val="24"/>
          <w:szCs w:val="24"/>
        </w:rPr>
        <w:t xml:space="preserve"> determinó lo siguiente:</w:t>
      </w:r>
    </w:p>
    <w:p w14:paraId="083D3847" w14:textId="17A5748C" w:rsidR="00394872" w:rsidRPr="0028758C" w:rsidRDefault="00394872" w:rsidP="00394872">
      <w:pPr>
        <w:spacing w:line="360" w:lineRule="auto"/>
        <w:ind w:left="567" w:right="39"/>
        <w:jc w:val="both"/>
        <w:rPr>
          <w:rFonts w:ascii="Palatino Linotype" w:eastAsia="Palatino Linotype" w:hAnsi="Palatino Linotype" w:cs="Palatino Linotype"/>
          <w:b/>
          <w:bCs/>
          <w:i/>
          <w:sz w:val="24"/>
          <w:szCs w:val="24"/>
        </w:rPr>
      </w:pPr>
      <w:r w:rsidRPr="0028758C">
        <w:rPr>
          <w:rFonts w:ascii="Palatino Linotype" w:eastAsia="Palatino Linotype" w:hAnsi="Palatino Linotype" w:cs="Palatino Linotype"/>
          <w:b/>
          <w:bCs/>
          <w:i/>
          <w:sz w:val="24"/>
          <w:szCs w:val="24"/>
        </w:rPr>
        <w:t>“notorio, ria</w:t>
      </w:r>
    </w:p>
    <w:p w14:paraId="2FA4C0F4" w14:textId="77777777" w:rsidR="00394872" w:rsidRPr="0028758C" w:rsidRDefault="00394872" w:rsidP="00394872">
      <w:pPr>
        <w:spacing w:line="360" w:lineRule="auto"/>
        <w:ind w:left="567" w:right="39"/>
        <w:jc w:val="both"/>
        <w:rPr>
          <w:rFonts w:ascii="Palatino Linotype" w:eastAsia="Palatino Linotype" w:hAnsi="Palatino Linotype" w:cs="Palatino Linotype"/>
          <w:bCs/>
          <w:i/>
          <w:sz w:val="24"/>
          <w:szCs w:val="24"/>
        </w:rPr>
      </w:pPr>
      <w:r w:rsidRPr="0028758C">
        <w:rPr>
          <w:rFonts w:ascii="Palatino Linotype" w:eastAsia="Palatino Linotype" w:hAnsi="Palatino Linotype" w:cs="Palatino Linotype"/>
          <w:bCs/>
          <w:i/>
          <w:sz w:val="24"/>
          <w:szCs w:val="24"/>
        </w:rPr>
        <w:t xml:space="preserve">Del bajo latín </w:t>
      </w:r>
      <w:r w:rsidRPr="0028758C">
        <w:rPr>
          <w:rFonts w:ascii="Palatino Linotype" w:eastAsia="Palatino Linotype" w:hAnsi="Palatino Linotype" w:cs="Palatino Linotype"/>
          <w:bCs/>
          <w:sz w:val="24"/>
          <w:szCs w:val="24"/>
        </w:rPr>
        <w:t>notorius</w:t>
      </w:r>
      <w:r w:rsidRPr="0028758C">
        <w:rPr>
          <w:rFonts w:ascii="Palatino Linotype" w:eastAsia="Palatino Linotype" w:hAnsi="Palatino Linotype" w:cs="Palatino Linotype"/>
          <w:bCs/>
          <w:i/>
          <w:iCs/>
          <w:sz w:val="24"/>
          <w:szCs w:val="24"/>
        </w:rPr>
        <w:t>.</w:t>
      </w:r>
    </w:p>
    <w:p w14:paraId="5E8B1D37" w14:textId="77777777" w:rsidR="00394872" w:rsidRPr="0028758C" w:rsidRDefault="00394872" w:rsidP="00211A3F">
      <w:pPr>
        <w:numPr>
          <w:ilvl w:val="0"/>
          <w:numId w:val="12"/>
        </w:numPr>
        <w:spacing w:after="0" w:line="360" w:lineRule="auto"/>
        <w:ind w:left="993" w:right="39"/>
        <w:jc w:val="both"/>
        <w:rPr>
          <w:rFonts w:ascii="Palatino Linotype" w:eastAsia="Palatino Linotype" w:hAnsi="Palatino Linotype" w:cs="Palatino Linotype"/>
          <w:bCs/>
          <w:i/>
          <w:sz w:val="24"/>
          <w:szCs w:val="24"/>
        </w:rPr>
      </w:pPr>
      <w:r w:rsidRPr="0028758C">
        <w:rPr>
          <w:rFonts w:ascii="Palatino Linotype" w:eastAsia="Palatino Linotype" w:hAnsi="Palatino Linotype" w:cs="Palatino Linotype"/>
          <w:bCs/>
          <w:i/>
          <w:sz w:val="24"/>
          <w:szCs w:val="24"/>
        </w:rPr>
        <w:t>adj. Público y sabido por todos.</w:t>
      </w:r>
    </w:p>
    <w:p w14:paraId="19ECB940" w14:textId="77777777" w:rsidR="00394872" w:rsidRPr="0028758C" w:rsidRDefault="00394872" w:rsidP="00211A3F">
      <w:pPr>
        <w:numPr>
          <w:ilvl w:val="0"/>
          <w:numId w:val="12"/>
        </w:numPr>
        <w:spacing w:after="0" w:line="360" w:lineRule="auto"/>
        <w:ind w:left="993" w:right="39"/>
        <w:jc w:val="both"/>
        <w:rPr>
          <w:rFonts w:ascii="Palatino Linotype" w:eastAsia="Palatino Linotype" w:hAnsi="Palatino Linotype" w:cs="Palatino Linotype"/>
          <w:bCs/>
          <w:i/>
          <w:sz w:val="24"/>
          <w:szCs w:val="24"/>
        </w:rPr>
      </w:pPr>
      <w:r w:rsidRPr="0028758C">
        <w:rPr>
          <w:rFonts w:ascii="Palatino Linotype" w:eastAsia="Palatino Linotype" w:hAnsi="Palatino Linotype" w:cs="Palatino Linotype"/>
          <w:bCs/>
          <w:i/>
          <w:sz w:val="24"/>
          <w:szCs w:val="24"/>
        </w:rPr>
        <w:t xml:space="preserve">adj. </w:t>
      </w:r>
      <w:r w:rsidRPr="0028758C">
        <w:rPr>
          <w:rFonts w:ascii="Palatino Linotype" w:eastAsia="Palatino Linotype" w:hAnsi="Palatino Linotype" w:cs="Palatino Linotype"/>
          <w:b/>
          <w:i/>
          <w:sz w:val="24"/>
          <w:szCs w:val="24"/>
          <w:u w:val="single"/>
        </w:rPr>
        <w:t>Claro, evidente</w:t>
      </w:r>
      <w:r w:rsidRPr="0028758C">
        <w:rPr>
          <w:rFonts w:ascii="Palatino Linotype" w:eastAsia="Palatino Linotype" w:hAnsi="Palatino Linotype" w:cs="Palatino Linotype"/>
          <w:bCs/>
          <w:i/>
          <w:sz w:val="24"/>
          <w:szCs w:val="24"/>
        </w:rPr>
        <w:t>.</w:t>
      </w:r>
    </w:p>
    <w:p w14:paraId="298B7FCD" w14:textId="24F50B4F" w:rsidR="00394872" w:rsidRPr="0028758C" w:rsidRDefault="00394872" w:rsidP="00211A3F">
      <w:pPr>
        <w:numPr>
          <w:ilvl w:val="0"/>
          <w:numId w:val="12"/>
        </w:numPr>
        <w:spacing w:after="0" w:line="360" w:lineRule="auto"/>
        <w:ind w:left="993" w:right="39"/>
        <w:jc w:val="both"/>
        <w:rPr>
          <w:rFonts w:ascii="Palatino Linotype" w:eastAsia="Palatino Linotype" w:hAnsi="Palatino Linotype" w:cs="Palatino Linotype"/>
          <w:bCs/>
          <w:i/>
          <w:sz w:val="24"/>
          <w:szCs w:val="24"/>
        </w:rPr>
      </w:pPr>
      <w:r w:rsidRPr="0028758C">
        <w:rPr>
          <w:rFonts w:ascii="Palatino Linotype" w:eastAsia="Palatino Linotype" w:hAnsi="Palatino Linotype" w:cs="Palatino Linotype"/>
          <w:bCs/>
          <w:i/>
          <w:sz w:val="24"/>
          <w:szCs w:val="24"/>
        </w:rPr>
        <w:t xml:space="preserve">adj. Importante, relevante o famoso.” </w:t>
      </w:r>
      <w:r w:rsidRPr="0028758C">
        <w:rPr>
          <w:rFonts w:ascii="Palatino Linotype" w:eastAsia="Palatino Linotype" w:hAnsi="Palatino Linotype" w:cs="Palatino Linotype"/>
          <w:b/>
          <w:i/>
          <w:sz w:val="24"/>
          <w:szCs w:val="24"/>
        </w:rPr>
        <w:t>(Sic)</w:t>
      </w:r>
    </w:p>
    <w:p w14:paraId="67B2B41C" w14:textId="77777777"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p>
    <w:p w14:paraId="4DB491CE" w14:textId="77777777"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r w:rsidRPr="0028758C">
        <w:rPr>
          <w:rFonts w:ascii="Palatino Linotype" w:eastAsia="Palatino Linotype" w:hAnsi="Palatino Linotype" w:cs="Palatino Linotype"/>
          <w:bCs/>
          <w:sz w:val="24"/>
          <w:szCs w:val="24"/>
        </w:rPr>
        <w:t>Así, la segunda acepción de notorio es lo que resulta claro y evidente, por lo que se estima que existe una laguna legal debido a que la Ley de Transparencia Local no establece qué se debe llevar a cabo cuando la incompetencia no sea notoria, o bien cuando existan facultades concurrentes entre dos o más sujetos obligados para generar la información solicitada por los particulares.</w:t>
      </w:r>
    </w:p>
    <w:p w14:paraId="767C42EA" w14:textId="77777777"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r w:rsidRPr="0028758C">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20F061A4" w14:textId="126A8A7E" w:rsidR="00394872" w:rsidRPr="0028758C" w:rsidRDefault="00394872" w:rsidP="00394872">
      <w:pPr>
        <w:spacing w:line="360" w:lineRule="auto"/>
        <w:ind w:left="567" w:right="606"/>
        <w:jc w:val="both"/>
        <w:rPr>
          <w:rFonts w:ascii="Palatino Linotype" w:eastAsia="Palatino Linotype" w:hAnsi="Palatino Linotype" w:cs="Palatino Linotype"/>
          <w:b/>
          <w:i/>
          <w:iCs/>
          <w:sz w:val="24"/>
          <w:szCs w:val="24"/>
        </w:rPr>
      </w:pPr>
      <w:r w:rsidRPr="0028758C">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40DE9A75" w14:textId="617C7AA4" w:rsidR="00394872" w:rsidRPr="0028758C" w:rsidRDefault="00394872" w:rsidP="00394872">
      <w:pPr>
        <w:spacing w:line="360" w:lineRule="auto"/>
        <w:ind w:left="567" w:right="606"/>
        <w:jc w:val="both"/>
        <w:rPr>
          <w:rFonts w:ascii="Palatino Linotype" w:eastAsia="Palatino Linotype" w:hAnsi="Palatino Linotype" w:cs="Palatino Linotype"/>
          <w:b/>
          <w:i/>
          <w:iCs/>
          <w:sz w:val="24"/>
          <w:szCs w:val="24"/>
        </w:rPr>
      </w:pPr>
      <w:r w:rsidRPr="0028758C">
        <w:rPr>
          <w:rFonts w:ascii="Palatino Linotype" w:eastAsia="Palatino Linotype" w:hAnsi="Palatino Linotype" w:cs="Palatino Linotype"/>
          <w:b/>
          <w:i/>
          <w:iCs/>
          <w:sz w:val="24"/>
          <w:szCs w:val="24"/>
          <w:u w:val="single"/>
        </w:rPr>
        <w:lastRenderedPageBreak/>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28758C">
        <w:rPr>
          <w:rFonts w:ascii="Palatino Linotype" w:eastAsia="Palatino Linotype" w:hAnsi="Palatino Linotype" w:cs="Palatino Linotype"/>
          <w:bCs/>
          <w:i/>
          <w:iCs/>
          <w:sz w:val="24"/>
          <w:szCs w:val="24"/>
        </w:rPr>
        <w:t xml:space="preserve">,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28758C">
        <w:rPr>
          <w:rFonts w:ascii="Palatino Linotype" w:eastAsia="Palatino Linotype" w:hAnsi="Palatino Linotype" w:cs="Palatino Linotype"/>
          <w:b/>
          <w:i/>
          <w:iCs/>
          <w:sz w:val="24"/>
          <w:szCs w:val="24"/>
        </w:rPr>
        <w:t>(Sic)</w:t>
      </w:r>
    </w:p>
    <w:p w14:paraId="36D85817" w14:textId="77777777"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p>
    <w:p w14:paraId="24B83F2D" w14:textId="77777777"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r w:rsidRPr="0028758C">
        <w:rPr>
          <w:rFonts w:ascii="Palatino Linotype" w:eastAsia="Palatino Linotype" w:hAnsi="Palatino Linotype" w:cs="Palatino Linotype"/>
          <w:bCs/>
          <w:sz w:val="24"/>
          <w:szCs w:val="24"/>
        </w:rPr>
        <w:t>Asimismo, se determinó viable adoptar el criterio con clave de control SO/002/2020 emitido por el Instituto Nacional de Transparencia, Acceso a la Información y Protección de Datos Personales (INAI), que a la letra estipula lo siguiente:</w:t>
      </w:r>
    </w:p>
    <w:p w14:paraId="7E496B2D" w14:textId="203F28EB" w:rsidR="00394872" w:rsidRPr="0028758C" w:rsidRDefault="00394872" w:rsidP="00394872">
      <w:pPr>
        <w:spacing w:line="360" w:lineRule="auto"/>
        <w:ind w:left="567" w:right="606"/>
        <w:jc w:val="both"/>
        <w:rPr>
          <w:rFonts w:ascii="Palatino Linotype" w:eastAsia="Palatino Linotype" w:hAnsi="Palatino Linotype" w:cs="Palatino Linotype"/>
          <w:bCs/>
          <w:i/>
          <w:sz w:val="24"/>
          <w:szCs w:val="24"/>
        </w:rPr>
      </w:pPr>
      <w:r w:rsidRPr="0028758C">
        <w:rPr>
          <w:rFonts w:ascii="Palatino Linotype" w:eastAsia="Palatino Linotype" w:hAnsi="Palatino Linotype" w:cs="Palatino Linotype"/>
          <w:b/>
          <w:bCs/>
          <w:i/>
          <w:sz w:val="24"/>
          <w:szCs w:val="24"/>
        </w:rPr>
        <w:t xml:space="preserve">“DECLARACIÓN DE INCOMPETENCIA POR PARTE DEL COMITÉ, CUANDO NO SEA NOTORIA O MANIFIESTA. </w:t>
      </w:r>
      <w:r w:rsidRPr="0028758C">
        <w:rPr>
          <w:rFonts w:ascii="Palatino Linotype" w:eastAsia="Palatino Linotype" w:hAnsi="Palatino Linotype" w:cs="Palatino Linotype"/>
          <w:bCs/>
          <w:i/>
          <w:sz w:val="24"/>
          <w:szCs w:val="24"/>
        </w:rPr>
        <w:t xml:space="preserve"> </w:t>
      </w:r>
    </w:p>
    <w:p w14:paraId="33BB4B75" w14:textId="095900BC" w:rsidR="00394872" w:rsidRPr="0028758C" w:rsidRDefault="00394872" w:rsidP="00394872">
      <w:pPr>
        <w:spacing w:line="360" w:lineRule="auto"/>
        <w:ind w:left="567" w:right="606"/>
        <w:jc w:val="both"/>
        <w:rPr>
          <w:rFonts w:ascii="Palatino Linotype" w:eastAsia="Palatino Linotype" w:hAnsi="Palatino Linotype" w:cs="Palatino Linotype"/>
          <w:b/>
          <w:i/>
          <w:sz w:val="24"/>
          <w:szCs w:val="24"/>
          <w:u w:val="single"/>
        </w:rPr>
      </w:pPr>
      <w:r w:rsidRPr="0028758C">
        <w:rPr>
          <w:rFonts w:ascii="Palatino Linotype" w:eastAsia="Palatino Linotype" w:hAnsi="Palatino Linotype" w:cs="Palatino Linotype"/>
          <w:bCs/>
          <w:i/>
          <w:sz w:val="24"/>
          <w:szCs w:val="24"/>
        </w:rPr>
        <w:t xml:space="preserve">Cuando la normatividad que prevé las atribuciones del sujeto </w:t>
      </w:r>
      <w:r w:rsidRPr="0028758C">
        <w:rPr>
          <w:rFonts w:ascii="Palatino Linotype" w:eastAsia="Palatino Linotype" w:hAnsi="Palatino Linotype" w:cs="Palatino Linotype"/>
          <w:b/>
          <w:i/>
          <w:sz w:val="24"/>
          <w:szCs w:val="24"/>
          <w:u w:val="single"/>
        </w:rPr>
        <w:t xml:space="preserve">obligado no sea clara en delimitar su competencia respecto a lo requerido por la persona solicitante y resulte necesario efectuar un análisis mayor para determinar </w:t>
      </w:r>
      <w:r w:rsidRPr="0028758C">
        <w:rPr>
          <w:rFonts w:ascii="Palatino Linotype" w:eastAsia="Palatino Linotype" w:hAnsi="Palatino Linotype" w:cs="Palatino Linotype"/>
          <w:b/>
          <w:i/>
          <w:sz w:val="24"/>
          <w:szCs w:val="24"/>
          <w:u w:val="single"/>
        </w:rPr>
        <w:lastRenderedPageBreak/>
        <w:t>la incompetencia, ésta debe ser declarada por el Comité de Transparencia.” (Sic)</w:t>
      </w:r>
    </w:p>
    <w:p w14:paraId="334AA2FE" w14:textId="77777777"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p>
    <w:p w14:paraId="515BBBCB" w14:textId="77777777"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r w:rsidRPr="0028758C">
        <w:rPr>
          <w:rFonts w:ascii="Palatino Linotype" w:eastAsia="Palatino Linotype" w:hAnsi="Palatino Linotype" w:cs="Palatino Linotype"/>
          <w:bCs/>
          <w:sz w:val="24"/>
          <w:szCs w:val="24"/>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08C606C9" w14:textId="77777777" w:rsidR="00394872" w:rsidRPr="0028758C" w:rsidRDefault="00394872" w:rsidP="00394872">
      <w:pPr>
        <w:spacing w:line="360" w:lineRule="auto"/>
        <w:ind w:right="39"/>
        <w:jc w:val="both"/>
        <w:rPr>
          <w:rFonts w:ascii="Palatino Linotype" w:eastAsia="Palatino Linotype" w:hAnsi="Palatino Linotype" w:cs="Palatino Linotype"/>
          <w:bCs/>
          <w:sz w:val="24"/>
          <w:szCs w:val="24"/>
        </w:rPr>
      </w:pPr>
      <w:r w:rsidRPr="0028758C">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28758C">
        <w:rPr>
          <w:rFonts w:ascii="Palatino Linotype" w:eastAsia="Palatino Linotype" w:hAnsi="Palatino Linotype" w:cs="Palatino Linotype"/>
          <w:b/>
          <w:sz w:val="24"/>
          <w:szCs w:val="24"/>
        </w:rPr>
        <w:t xml:space="preserve">se estima </w:t>
      </w:r>
      <w:r w:rsidRPr="0028758C">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6289B36A" w14:textId="77777777" w:rsidR="00394872" w:rsidRPr="0028758C" w:rsidRDefault="00394872" w:rsidP="00394872">
      <w:pPr>
        <w:spacing w:line="360" w:lineRule="auto"/>
        <w:ind w:right="39"/>
        <w:jc w:val="both"/>
        <w:rPr>
          <w:rFonts w:ascii="Palatino Linotype" w:eastAsia="Palatino Linotype" w:hAnsi="Palatino Linotype" w:cs="Palatino Linotype"/>
          <w:b/>
          <w:sz w:val="24"/>
          <w:szCs w:val="24"/>
          <w:u w:val="single"/>
          <w:lang w:val="es-ES"/>
        </w:rPr>
      </w:pPr>
      <w:r w:rsidRPr="0028758C">
        <w:rPr>
          <w:rFonts w:ascii="Palatino Linotype" w:eastAsia="Palatino Linotype" w:hAnsi="Palatino Linotype" w:cs="Palatino Linotype"/>
          <w:b/>
          <w:sz w:val="24"/>
          <w:szCs w:val="24"/>
          <w:u w:val="single"/>
          <w:lang w:val="es-ES"/>
        </w:rPr>
        <w:t xml:space="preserve">En conclusión, se estima que el acuerdo del Comité de Transparencia sólo debe ser ordenado cuando la incompetencia no sea notoria, o bien, cuando mediante el </w:t>
      </w:r>
      <w:r w:rsidRPr="0028758C">
        <w:rPr>
          <w:rFonts w:ascii="Palatino Linotype" w:eastAsia="Palatino Linotype" w:hAnsi="Palatino Linotype" w:cs="Palatino Linotype"/>
          <w:b/>
          <w:sz w:val="24"/>
          <w:szCs w:val="24"/>
          <w:u w:val="single"/>
          <w:lang w:val="es-ES"/>
        </w:rPr>
        <w:lastRenderedPageBreak/>
        <w:t>estudio correspondiente del caso en concreto se determine que existen facultades concurrentes entre dos o más sujetos obligados para generar, poseer o administrar la información solicitada.</w:t>
      </w:r>
    </w:p>
    <w:p w14:paraId="6EA5FA20" w14:textId="6E9BBC3E" w:rsidR="00394872" w:rsidRPr="0028758C" w:rsidRDefault="00394872" w:rsidP="00E66CD8">
      <w:pPr>
        <w:spacing w:after="240" w:line="360" w:lineRule="auto"/>
        <w:jc w:val="both"/>
        <w:rPr>
          <w:rFonts w:ascii="Palatino Linotype" w:hAnsi="Palatino Linotype" w:cs="Arial"/>
          <w:color w:val="000000"/>
          <w:sz w:val="24"/>
          <w:szCs w:val="24"/>
          <w:lang w:val="es-ES_tradnl"/>
        </w:rPr>
      </w:pPr>
      <w:r w:rsidRPr="0028758C">
        <w:rPr>
          <w:rFonts w:ascii="Palatino Linotype" w:hAnsi="Palatino Linotype" w:cs="Arial"/>
          <w:color w:val="000000"/>
          <w:sz w:val="24"/>
          <w:szCs w:val="24"/>
          <w:lang w:val="es-ES"/>
        </w:rPr>
        <w:t xml:space="preserve">De esta manera, </w:t>
      </w:r>
      <w:r w:rsidR="00722F41" w:rsidRPr="0028758C">
        <w:rPr>
          <w:rFonts w:ascii="Palatino Linotype" w:hAnsi="Palatino Linotype" w:cs="Arial"/>
          <w:color w:val="000000"/>
          <w:sz w:val="24"/>
          <w:szCs w:val="24"/>
          <w:lang w:val="es-ES"/>
        </w:rPr>
        <w:t xml:space="preserve">en el caso en particular la incompetencia es evidente, clara y notoria, resultando innecesario </w:t>
      </w:r>
      <w:r w:rsidR="00722F41" w:rsidRPr="0028758C">
        <w:rPr>
          <w:rFonts w:ascii="Palatino Linotype" w:hAnsi="Palatino Linotype"/>
          <w:sz w:val="24"/>
          <w:szCs w:val="24"/>
        </w:rPr>
        <w:t>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3EC2F20F" w14:textId="77777777" w:rsidR="005C73EF" w:rsidRPr="0028758C" w:rsidRDefault="005C73EF" w:rsidP="005C73EF">
      <w:pPr>
        <w:spacing w:line="360" w:lineRule="auto"/>
        <w:contextualSpacing/>
        <w:jc w:val="both"/>
        <w:rPr>
          <w:rFonts w:ascii="Palatino Linotype" w:hAnsi="Palatino Linotype" w:cs="Arial"/>
          <w:sz w:val="24"/>
          <w:szCs w:val="24"/>
        </w:rPr>
      </w:pPr>
      <w:r w:rsidRPr="0028758C">
        <w:rPr>
          <w:rFonts w:ascii="Palatino Linotype" w:hAnsi="Palatino Linotype" w:cs="Arial"/>
          <w:noProof/>
          <w:color w:val="000000"/>
          <w:sz w:val="24"/>
          <w:lang w:eastAsia="es-MX"/>
        </w:rPr>
        <w:t xml:space="preserve">En virtud de lo anterior, este Órgano Garante arriba a la conclusión de que la respuesta primigenia del </w:t>
      </w:r>
      <w:r w:rsidRPr="0028758C">
        <w:rPr>
          <w:rFonts w:ascii="Palatino Linotype" w:hAnsi="Palatino Linotype" w:cs="Arial"/>
          <w:b/>
          <w:noProof/>
          <w:color w:val="000000"/>
          <w:sz w:val="24"/>
          <w:lang w:eastAsia="es-MX"/>
        </w:rPr>
        <w:t xml:space="preserve">Sujeto Obligado </w:t>
      </w:r>
      <w:r w:rsidRPr="0028758C">
        <w:rPr>
          <w:rFonts w:ascii="Palatino Linotype" w:hAnsi="Palatino Linotype" w:cs="Arial"/>
          <w:noProof/>
          <w:color w:val="000000"/>
          <w:sz w:val="24"/>
          <w:lang w:eastAsia="es-MX"/>
        </w:rPr>
        <w:t xml:space="preserve">se encuentra dotada de los principios de </w:t>
      </w:r>
      <w:r w:rsidRPr="0028758C">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28758C">
        <w:rPr>
          <w:rFonts w:ascii="Palatino Linotype" w:hAnsi="Palatino Linotype" w:cs="Arial"/>
          <w:b/>
          <w:sz w:val="24"/>
          <w:szCs w:val="24"/>
        </w:rPr>
        <w:t xml:space="preserve">02/17 </w:t>
      </w:r>
      <w:r w:rsidRPr="0028758C">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57CCEE88" w14:textId="77777777" w:rsidR="005C73EF" w:rsidRPr="0028758C" w:rsidRDefault="005C73EF" w:rsidP="005C73EF">
      <w:pPr>
        <w:spacing w:before="240" w:line="360" w:lineRule="auto"/>
        <w:ind w:left="851" w:right="851"/>
        <w:jc w:val="both"/>
        <w:rPr>
          <w:rFonts w:ascii="Palatino Linotype" w:hAnsi="Palatino Linotype" w:cs="Arial"/>
          <w:b/>
          <w:i/>
        </w:rPr>
      </w:pPr>
      <w:r w:rsidRPr="0028758C">
        <w:rPr>
          <w:rFonts w:ascii="Palatino Linotype" w:hAnsi="Palatino Linotype" w:cs="Arial"/>
          <w:b/>
          <w:i/>
        </w:rPr>
        <w:t xml:space="preserve">“CONGRUENCIA Y EXHAUSTIVIDAD. SUS ALCANCES PARA GARANTIZAR EL DERECHO DE ACCESO A LA INFORMACIÓN. </w:t>
      </w:r>
    </w:p>
    <w:p w14:paraId="6BE7C360" w14:textId="77777777" w:rsidR="005C73EF" w:rsidRPr="0028758C" w:rsidRDefault="005C73EF" w:rsidP="005C73EF">
      <w:pPr>
        <w:spacing w:before="240" w:line="360" w:lineRule="auto"/>
        <w:ind w:left="851" w:right="851"/>
        <w:jc w:val="both"/>
        <w:rPr>
          <w:rFonts w:ascii="Palatino Linotype" w:hAnsi="Palatino Linotype" w:cs="Arial"/>
          <w:i/>
        </w:rPr>
      </w:pPr>
      <w:r w:rsidRPr="0028758C">
        <w:rPr>
          <w:rFonts w:ascii="Palatino Linotype" w:hAnsi="Palatino Linotype" w:cs="Arial"/>
          <w:i/>
        </w:rPr>
        <w:t xml:space="preserve">De conformidad con el artículo </w:t>
      </w:r>
      <w:r w:rsidRPr="0028758C">
        <w:rPr>
          <w:rFonts w:ascii="Palatino Linotype" w:hAnsi="Palatino Linotype"/>
          <w:i/>
          <w:lang w:val="es-ES_tradnl"/>
        </w:rPr>
        <w:t>3 de la Ley Federal de Procedimiento Administrativo</w:t>
      </w:r>
      <w:r w:rsidRPr="0028758C">
        <w:rPr>
          <w:rFonts w:ascii="Palatino Linotype" w:hAnsi="Palatino Linotype" w:cs="Arial"/>
          <w:i/>
        </w:rPr>
        <w:t>, de aplicación supletoria a la Ley Federal de Transparencia y Acceso a la Información Pública, en términos de su artículo 7</w:t>
      </w:r>
      <w:r w:rsidRPr="0028758C">
        <w:rPr>
          <w:rFonts w:ascii="Palatino Linotype" w:hAnsi="Palatino Linotype" w:cs="Arial"/>
          <w:b/>
          <w:i/>
          <w:u w:val="single"/>
        </w:rPr>
        <w:t>; todo acto administrativo debe cumplir con los principios de congruencia y exhaustividad.</w:t>
      </w:r>
      <w:r w:rsidRPr="0028758C">
        <w:rPr>
          <w:rFonts w:ascii="Palatino Linotype" w:hAnsi="Palatino Linotype" w:cs="Arial"/>
          <w:i/>
        </w:rPr>
        <w:t xml:space="preserve"> Para el efectivo ejercicio del derecho de acceso a la información, la congruencia implica que exista concordancia </w:t>
      </w:r>
      <w:r w:rsidRPr="0028758C">
        <w:rPr>
          <w:rFonts w:ascii="Palatino Linotype" w:hAnsi="Palatino Linotype" w:cs="Arial"/>
          <w:i/>
        </w:rPr>
        <w:lastRenderedPageBreak/>
        <w:t>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53F3043" w14:textId="77777777" w:rsidR="005C73EF" w:rsidRPr="0028758C" w:rsidRDefault="005C73EF" w:rsidP="00211A3F">
      <w:pPr>
        <w:pStyle w:val="Prrafodelista"/>
        <w:numPr>
          <w:ilvl w:val="0"/>
          <w:numId w:val="6"/>
        </w:numPr>
        <w:spacing w:before="240" w:line="360" w:lineRule="auto"/>
        <w:ind w:right="851"/>
        <w:jc w:val="both"/>
        <w:rPr>
          <w:rFonts w:ascii="Palatino Linotype" w:hAnsi="Palatino Linotype" w:cs="Arial"/>
          <w:i/>
        </w:rPr>
      </w:pPr>
      <w:r w:rsidRPr="0028758C">
        <w:rPr>
          <w:rFonts w:ascii="Palatino Linotype" w:hAnsi="Palatino Linotype" w:cs="Arial"/>
          <w:i/>
        </w:rPr>
        <w:t xml:space="preserve">RRA 0003/16 Comisión Nacional de las Zonas Áridas. 29 de junio de 2016. Por unanimidad. Comisionado Ponente Oscar Mauricio Guerra Ford. </w:t>
      </w:r>
    </w:p>
    <w:p w14:paraId="542B53E1" w14:textId="77777777" w:rsidR="005C73EF" w:rsidRPr="0028758C" w:rsidRDefault="005C73EF" w:rsidP="00211A3F">
      <w:pPr>
        <w:pStyle w:val="Prrafodelista"/>
        <w:numPr>
          <w:ilvl w:val="0"/>
          <w:numId w:val="6"/>
        </w:numPr>
        <w:spacing w:before="240" w:line="360" w:lineRule="auto"/>
        <w:ind w:right="851"/>
        <w:jc w:val="both"/>
        <w:rPr>
          <w:rFonts w:ascii="Palatino Linotype" w:hAnsi="Palatino Linotype" w:cs="Arial"/>
          <w:i/>
        </w:rPr>
      </w:pPr>
      <w:r w:rsidRPr="0028758C">
        <w:rPr>
          <w:rFonts w:ascii="Palatino Linotype" w:hAnsi="Palatino Linotype" w:cs="Arial"/>
          <w:i/>
        </w:rPr>
        <w:t xml:space="preserve">RRA 0100/16. Sindicato Nacional de Trabajadores de la Educación. 13 de julio de 2016. Por unanimidad. Comisionada Ponente Areli Cano Guadiana. </w:t>
      </w:r>
    </w:p>
    <w:p w14:paraId="1D3DBAE7" w14:textId="77777777" w:rsidR="005C73EF" w:rsidRPr="0028758C" w:rsidRDefault="005C73EF" w:rsidP="00211A3F">
      <w:pPr>
        <w:pStyle w:val="Prrafodelista"/>
        <w:numPr>
          <w:ilvl w:val="0"/>
          <w:numId w:val="6"/>
        </w:numPr>
        <w:spacing w:before="240" w:line="360" w:lineRule="auto"/>
        <w:ind w:right="851"/>
        <w:jc w:val="both"/>
        <w:rPr>
          <w:rFonts w:ascii="Palatino Linotype" w:hAnsi="Palatino Linotype"/>
          <w:b/>
          <w:lang w:val="es-ES_tradnl"/>
        </w:rPr>
      </w:pPr>
      <w:r w:rsidRPr="0028758C">
        <w:rPr>
          <w:rFonts w:ascii="Palatino Linotype" w:hAnsi="Palatino Linotype" w:cs="Arial"/>
          <w:i/>
        </w:rPr>
        <w:t xml:space="preserve">RRA 1419/16 Secretaría de Educación Pública. 14 de septiembre de 2016. Por unanimidad. Comisionado Ponente Rosendoevgueni Monterrey Chepov.” </w:t>
      </w:r>
      <w:r w:rsidRPr="0028758C">
        <w:rPr>
          <w:rFonts w:ascii="Palatino Linotype" w:hAnsi="Palatino Linotype"/>
          <w:b/>
          <w:i/>
          <w:lang w:val="es-ES_tradnl"/>
        </w:rPr>
        <w:t>(Sic)</w:t>
      </w:r>
    </w:p>
    <w:p w14:paraId="6437F36D" w14:textId="77777777" w:rsidR="005C73EF" w:rsidRPr="0028758C" w:rsidRDefault="005C73EF" w:rsidP="005C73EF">
      <w:pPr>
        <w:spacing w:after="0" w:line="360" w:lineRule="auto"/>
        <w:jc w:val="both"/>
        <w:rPr>
          <w:rFonts w:ascii="Palatino Linotype" w:hAnsi="Palatino Linotype" w:cs="Arial"/>
          <w:noProof/>
          <w:color w:val="000000"/>
          <w:sz w:val="24"/>
          <w:lang w:eastAsia="es-MX"/>
        </w:rPr>
      </w:pPr>
    </w:p>
    <w:p w14:paraId="51828FB0" w14:textId="77777777" w:rsidR="005C73EF" w:rsidRPr="0028758C" w:rsidRDefault="005C73EF" w:rsidP="005C73EF">
      <w:pPr>
        <w:spacing w:after="0" w:line="360" w:lineRule="auto"/>
        <w:jc w:val="both"/>
        <w:rPr>
          <w:rFonts w:ascii="Palatino Linotype" w:hAnsi="Palatino Linotype" w:cs="Arial"/>
          <w:noProof/>
          <w:color w:val="000000"/>
          <w:sz w:val="24"/>
          <w:lang w:eastAsia="es-MX"/>
        </w:rPr>
      </w:pPr>
    </w:p>
    <w:p w14:paraId="18CF2CC7" w14:textId="77777777" w:rsidR="005C73EF" w:rsidRPr="0028758C" w:rsidRDefault="005C73EF" w:rsidP="005C73EF">
      <w:pPr>
        <w:spacing w:after="0" w:line="360" w:lineRule="auto"/>
        <w:jc w:val="both"/>
        <w:rPr>
          <w:rFonts w:ascii="Palatino Linotype" w:hAnsi="Palatino Linotype" w:cs="Arial"/>
          <w:noProof/>
          <w:color w:val="000000"/>
          <w:sz w:val="24"/>
          <w:lang w:eastAsia="es-MX"/>
        </w:rPr>
      </w:pPr>
      <w:r w:rsidRPr="0028758C">
        <w:rPr>
          <w:rFonts w:ascii="Palatino Linotype" w:hAnsi="Palatino Linotype" w:cs="Arial"/>
          <w:noProof/>
          <w:color w:val="000000"/>
          <w:sz w:val="24"/>
          <w:lang w:eastAsia="es-MX"/>
        </w:rPr>
        <w:t xml:space="preserve">Con base en lo anteriormente expuesto, se arriba a la conclusión de que la respuesta del </w:t>
      </w:r>
      <w:r w:rsidRPr="0028758C">
        <w:rPr>
          <w:rFonts w:ascii="Palatino Linotype" w:hAnsi="Palatino Linotype" w:cs="Arial"/>
          <w:b/>
          <w:noProof/>
          <w:color w:val="000000"/>
          <w:sz w:val="24"/>
          <w:lang w:eastAsia="es-MX"/>
        </w:rPr>
        <w:t xml:space="preserve">Sujeto Obligado </w:t>
      </w:r>
      <w:r w:rsidRPr="0028758C">
        <w:rPr>
          <w:rFonts w:ascii="Palatino Linotype" w:hAnsi="Palatino Linotype" w:cs="Arial"/>
          <w:noProof/>
          <w:color w:val="000000"/>
          <w:sz w:val="24"/>
          <w:lang w:eastAsia="es-MX"/>
        </w:rPr>
        <w:t xml:space="preserve">colmó el derecho de acceso a la información ejercido por el particular. </w:t>
      </w:r>
    </w:p>
    <w:p w14:paraId="4D996973" w14:textId="1CF742C1" w:rsidR="00F746E2" w:rsidRPr="0028758C" w:rsidRDefault="00F746E2" w:rsidP="00F746E2">
      <w:pPr>
        <w:tabs>
          <w:tab w:val="left" w:pos="709"/>
        </w:tabs>
        <w:spacing w:before="240" w:line="360" w:lineRule="auto"/>
        <w:ind w:right="51"/>
        <w:jc w:val="both"/>
        <w:rPr>
          <w:rFonts w:ascii="Palatino Linotype" w:hAnsi="Palatino Linotype"/>
          <w:sz w:val="24"/>
          <w:szCs w:val="24"/>
        </w:rPr>
      </w:pPr>
      <w:r w:rsidRPr="0028758C">
        <w:rPr>
          <w:rFonts w:ascii="Palatino Linotype" w:hAnsi="Palatino Linotype"/>
          <w:sz w:val="24"/>
          <w:szCs w:val="24"/>
        </w:rPr>
        <w:t>Finalmente, con independencia de los argumentos previamente expuestos, se dejan a salvo los derechos del</w:t>
      </w:r>
      <w:r w:rsidRPr="0028758C">
        <w:rPr>
          <w:rFonts w:ascii="Palatino Linotype" w:hAnsi="Palatino Linotype"/>
          <w:b/>
          <w:sz w:val="24"/>
          <w:szCs w:val="24"/>
        </w:rPr>
        <w:t xml:space="preserve"> Recurrente </w:t>
      </w:r>
      <w:r w:rsidRPr="0028758C">
        <w:rPr>
          <w:rFonts w:ascii="Palatino Linotype" w:hAnsi="Palatino Linotype"/>
          <w:sz w:val="24"/>
          <w:szCs w:val="24"/>
        </w:rPr>
        <w:t xml:space="preserve">para ejercer su derecho de acceso a la información, </w:t>
      </w:r>
      <w:r w:rsidRPr="0028758C">
        <w:rPr>
          <w:rFonts w:ascii="Palatino Linotype" w:hAnsi="Palatino Linotype"/>
          <w:sz w:val="24"/>
          <w:szCs w:val="24"/>
        </w:rPr>
        <w:lastRenderedPageBreak/>
        <w:t xml:space="preserve">realizando una nueva solicitud al </w:t>
      </w:r>
      <w:r w:rsidRPr="0028758C">
        <w:rPr>
          <w:rFonts w:ascii="Palatino Linotype" w:hAnsi="Palatino Linotype"/>
          <w:b/>
          <w:bCs/>
          <w:sz w:val="24"/>
          <w:szCs w:val="24"/>
        </w:rPr>
        <w:t xml:space="preserve">Sujeto Obligado </w:t>
      </w:r>
      <w:r w:rsidRPr="0028758C">
        <w:rPr>
          <w:rFonts w:ascii="Palatino Linotype" w:hAnsi="Palatino Linotype"/>
          <w:sz w:val="24"/>
          <w:szCs w:val="24"/>
        </w:rPr>
        <w:t xml:space="preserve">estimado competente para atender sus requerimientos. </w:t>
      </w:r>
    </w:p>
    <w:p w14:paraId="1006A020" w14:textId="1D2855B7" w:rsidR="005C73EF" w:rsidRPr="0028758C" w:rsidRDefault="005C73EF" w:rsidP="005C73EF">
      <w:pPr>
        <w:spacing w:after="0" w:line="360" w:lineRule="auto"/>
        <w:jc w:val="both"/>
        <w:rPr>
          <w:rFonts w:ascii="Palatino Linotype" w:hAnsi="Palatino Linotype"/>
          <w:bCs/>
          <w:sz w:val="24"/>
          <w:szCs w:val="24"/>
        </w:rPr>
      </w:pPr>
      <w:r w:rsidRPr="0028758C">
        <w:rPr>
          <w:rFonts w:ascii="Palatino Linotype" w:hAnsi="Palatino Linotype"/>
          <w:sz w:val="24"/>
          <w:szCs w:val="24"/>
        </w:rPr>
        <w:t xml:space="preserve">En mérito de lo expuesto en líneas anteriores, resultan infundados los motivos de inconformidad que arguye </w:t>
      </w:r>
      <w:r w:rsidRPr="0028758C">
        <w:rPr>
          <w:rFonts w:ascii="Palatino Linotype" w:hAnsi="Palatino Linotype"/>
          <w:b/>
          <w:sz w:val="24"/>
          <w:szCs w:val="24"/>
        </w:rPr>
        <w:t xml:space="preserve">El Recurrente </w:t>
      </w:r>
      <w:r w:rsidRPr="0028758C">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28758C">
        <w:rPr>
          <w:rFonts w:ascii="Palatino Linotype" w:hAnsi="Palatino Linotype"/>
          <w:b/>
          <w:sz w:val="24"/>
          <w:szCs w:val="24"/>
        </w:rPr>
        <w:t xml:space="preserve">CONFIRMA </w:t>
      </w:r>
      <w:r w:rsidRPr="0028758C">
        <w:rPr>
          <w:rFonts w:ascii="Palatino Linotype" w:hAnsi="Palatino Linotype"/>
          <w:bCs/>
          <w:sz w:val="24"/>
          <w:szCs w:val="24"/>
        </w:rPr>
        <w:t xml:space="preserve">la respuesta a la solicitud de información número </w:t>
      </w:r>
      <w:r w:rsidR="00722F41" w:rsidRPr="0028758C">
        <w:rPr>
          <w:rFonts w:ascii="Palatino Linotype" w:hAnsi="Palatino Linotype"/>
          <w:b/>
          <w:sz w:val="24"/>
          <w:szCs w:val="24"/>
        </w:rPr>
        <w:t>00092/OCOYOAC/IP/2024</w:t>
      </w:r>
      <w:r w:rsidRPr="0028758C">
        <w:rPr>
          <w:rFonts w:ascii="Palatino Linotype" w:hAnsi="Palatino Linotype"/>
          <w:b/>
          <w:sz w:val="24"/>
          <w:szCs w:val="24"/>
        </w:rPr>
        <w:t xml:space="preserve"> </w:t>
      </w:r>
      <w:r w:rsidRPr="0028758C">
        <w:rPr>
          <w:rFonts w:ascii="Palatino Linotype" w:hAnsi="Palatino Linotype"/>
          <w:bCs/>
          <w:sz w:val="24"/>
          <w:szCs w:val="24"/>
        </w:rPr>
        <w:t xml:space="preserve">que ha sido materia del presente fallo. </w:t>
      </w:r>
    </w:p>
    <w:p w14:paraId="20F9FC44" w14:textId="77777777" w:rsidR="005C73EF" w:rsidRPr="0028758C" w:rsidRDefault="005C73EF" w:rsidP="005C73EF">
      <w:pPr>
        <w:tabs>
          <w:tab w:val="left" w:pos="709"/>
        </w:tabs>
        <w:spacing w:before="240" w:line="360" w:lineRule="auto"/>
        <w:ind w:right="51"/>
        <w:jc w:val="both"/>
        <w:rPr>
          <w:rFonts w:ascii="Palatino Linotype" w:hAnsi="Palatino Linotype"/>
          <w:sz w:val="24"/>
          <w:szCs w:val="24"/>
        </w:rPr>
      </w:pPr>
      <w:r w:rsidRPr="0028758C">
        <w:rPr>
          <w:rFonts w:ascii="Palatino Linotype" w:hAnsi="Palatino Linotype"/>
          <w:sz w:val="24"/>
          <w:szCs w:val="24"/>
        </w:rPr>
        <w:t xml:space="preserve">Por lo antes expuesto y fundado es de resolverse y, </w:t>
      </w:r>
    </w:p>
    <w:p w14:paraId="07AE58E9" w14:textId="77777777" w:rsidR="00722F41" w:rsidRPr="0028758C" w:rsidRDefault="00722F41" w:rsidP="005C73EF">
      <w:pPr>
        <w:tabs>
          <w:tab w:val="left" w:pos="709"/>
        </w:tabs>
        <w:spacing w:before="240" w:line="360" w:lineRule="auto"/>
        <w:ind w:right="51"/>
        <w:jc w:val="both"/>
        <w:rPr>
          <w:rFonts w:ascii="Palatino Linotype" w:hAnsi="Palatino Linotype"/>
          <w:sz w:val="24"/>
          <w:szCs w:val="24"/>
        </w:rPr>
      </w:pPr>
    </w:p>
    <w:p w14:paraId="512A73E3" w14:textId="285ABB07" w:rsidR="005C73EF" w:rsidRPr="0028758C" w:rsidRDefault="005C73EF" w:rsidP="005C73EF">
      <w:pPr>
        <w:spacing w:before="240" w:line="360" w:lineRule="auto"/>
        <w:jc w:val="center"/>
        <w:rPr>
          <w:rFonts w:ascii="Palatino Linotype" w:eastAsia="Times New Roman" w:hAnsi="Palatino Linotype"/>
          <w:b/>
          <w:bCs/>
          <w:spacing w:val="60"/>
          <w:sz w:val="28"/>
          <w:lang w:val="es-ES_tradnl"/>
        </w:rPr>
      </w:pPr>
      <w:r w:rsidRPr="0028758C">
        <w:rPr>
          <w:rFonts w:ascii="Palatino Linotype" w:eastAsia="Times New Roman" w:hAnsi="Palatino Linotype"/>
          <w:b/>
          <w:bCs/>
          <w:spacing w:val="60"/>
          <w:sz w:val="28"/>
          <w:lang w:val="es-ES_tradnl"/>
        </w:rPr>
        <w:t>SE    RESUELVE</w:t>
      </w:r>
    </w:p>
    <w:p w14:paraId="64ACBD5B" w14:textId="189184F5" w:rsidR="005C73EF" w:rsidRPr="0028758C" w:rsidRDefault="005C73EF" w:rsidP="005C73EF">
      <w:pPr>
        <w:spacing w:before="240" w:line="360" w:lineRule="auto"/>
        <w:jc w:val="both"/>
        <w:rPr>
          <w:rFonts w:ascii="Palatino Linotype" w:hAnsi="Palatino Linotype" w:cs="Arial"/>
          <w:sz w:val="24"/>
          <w:szCs w:val="24"/>
        </w:rPr>
      </w:pPr>
      <w:r w:rsidRPr="0028758C">
        <w:rPr>
          <w:rFonts w:ascii="Palatino Linotype" w:hAnsi="Palatino Linotype" w:cs="Arial"/>
          <w:b/>
          <w:sz w:val="28"/>
          <w:szCs w:val="28"/>
          <w:lang w:val="es-ES_tradnl"/>
        </w:rPr>
        <w:t>PRIMERO.</w:t>
      </w:r>
      <w:r w:rsidRPr="0028758C">
        <w:rPr>
          <w:rFonts w:ascii="Palatino Linotype" w:hAnsi="Palatino Linotype" w:cs="Arial"/>
          <w:lang w:val="es-ES_tradnl"/>
        </w:rPr>
        <w:t xml:space="preserve"> </w:t>
      </w:r>
      <w:r w:rsidRPr="0028758C">
        <w:rPr>
          <w:rFonts w:ascii="Palatino Linotype" w:hAnsi="Palatino Linotype" w:cs="Arial"/>
          <w:sz w:val="24"/>
          <w:szCs w:val="24"/>
          <w:lang w:val="es-ES_tradnl"/>
        </w:rPr>
        <w:t xml:space="preserve">Se </w:t>
      </w:r>
      <w:r w:rsidRPr="0028758C">
        <w:rPr>
          <w:rFonts w:ascii="Palatino Linotype" w:hAnsi="Palatino Linotype" w:cs="Arial"/>
          <w:b/>
          <w:sz w:val="24"/>
          <w:szCs w:val="24"/>
          <w:lang w:val="es-ES_tradnl"/>
        </w:rPr>
        <w:t xml:space="preserve">CONFIRMA </w:t>
      </w:r>
      <w:r w:rsidRPr="0028758C">
        <w:rPr>
          <w:rFonts w:ascii="Palatino Linotype" w:hAnsi="Palatino Linotype" w:cs="Arial"/>
          <w:bCs/>
          <w:sz w:val="24"/>
          <w:szCs w:val="24"/>
          <w:lang w:val="es-ES_tradnl"/>
        </w:rPr>
        <w:t xml:space="preserve">la respuesta entregada por </w:t>
      </w:r>
      <w:r w:rsidRPr="0028758C">
        <w:rPr>
          <w:rFonts w:ascii="Palatino Linotype" w:hAnsi="Palatino Linotype" w:cs="Arial"/>
          <w:b/>
          <w:sz w:val="24"/>
          <w:szCs w:val="24"/>
          <w:lang w:val="es-ES_tradnl"/>
        </w:rPr>
        <w:t xml:space="preserve">El Sujeto Obligado </w:t>
      </w:r>
      <w:r w:rsidRPr="0028758C">
        <w:rPr>
          <w:rFonts w:ascii="Palatino Linotype" w:hAnsi="Palatino Linotype" w:cs="Arial"/>
          <w:bCs/>
          <w:sz w:val="24"/>
          <w:szCs w:val="24"/>
          <w:lang w:val="es-ES_tradnl"/>
        </w:rPr>
        <w:t xml:space="preserve">a la solicitud de información número </w:t>
      </w:r>
      <w:r w:rsidR="00722F41" w:rsidRPr="0028758C">
        <w:rPr>
          <w:rFonts w:ascii="Palatino Linotype" w:hAnsi="Palatino Linotype"/>
          <w:b/>
          <w:sz w:val="24"/>
          <w:szCs w:val="24"/>
        </w:rPr>
        <w:t>00092/OCOYOAC/IP/2024</w:t>
      </w:r>
      <w:r w:rsidRPr="0028758C">
        <w:rPr>
          <w:rFonts w:ascii="Palatino Linotype" w:hAnsi="Palatino Linotype" w:cs="Arial"/>
          <w:b/>
          <w:sz w:val="24"/>
          <w:szCs w:val="24"/>
          <w:lang w:val="es-ES_tradnl"/>
        </w:rPr>
        <w:t xml:space="preserve">, </w:t>
      </w:r>
      <w:r w:rsidRPr="0028758C">
        <w:rPr>
          <w:rFonts w:ascii="Palatino Linotype" w:hAnsi="Palatino Linotype" w:cs="Arial"/>
          <w:bCs/>
          <w:sz w:val="24"/>
          <w:szCs w:val="24"/>
          <w:lang w:val="es-ES_tradnl"/>
        </w:rPr>
        <w:t xml:space="preserve">por resultar infundados los motivos de inconformidad que arguye </w:t>
      </w:r>
      <w:r w:rsidRPr="0028758C">
        <w:rPr>
          <w:rFonts w:ascii="Palatino Linotype" w:hAnsi="Palatino Linotype" w:cs="Arial"/>
          <w:b/>
          <w:sz w:val="24"/>
          <w:szCs w:val="24"/>
          <w:lang w:val="es-ES_tradnl"/>
        </w:rPr>
        <w:t xml:space="preserve">EL RECURRENTE, </w:t>
      </w:r>
      <w:r w:rsidRPr="0028758C">
        <w:rPr>
          <w:rFonts w:ascii="Palatino Linotype" w:hAnsi="Palatino Linotype" w:cs="Arial"/>
          <w:bCs/>
          <w:sz w:val="24"/>
          <w:szCs w:val="24"/>
          <w:lang w:val="es-ES_tradnl"/>
        </w:rPr>
        <w:t xml:space="preserve">en términos del </w:t>
      </w:r>
      <w:r w:rsidRPr="0028758C">
        <w:rPr>
          <w:rFonts w:ascii="Palatino Linotype" w:hAnsi="Palatino Linotype" w:cs="Arial"/>
          <w:b/>
          <w:sz w:val="24"/>
          <w:szCs w:val="24"/>
        </w:rPr>
        <w:t>Considerando CUARTO</w:t>
      </w:r>
      <w:r w:rsidRPr="0028758C">
        <w:rPr>
          <w:rFonts w:ascii="Palatino Linotype" w:hAnsi="Palatino Linotype" w:cs="Arial"/>
          <w:sz w:val="24"/>
          <w:szCs w:val="24"/>
        </w:rPr>
        <w:t xml:space="preserve"> de la presente resolución.</w:t>
      </w:r>
    </w:p>
    <w:p w14:paraId="78E9B404" w14:textId="77777777" w:rsidR="005C73EF" w:rsidRPr="0028758C" w:rsidRDefault="005C73EF" w:rsidP="005C73EF">
      <w:pPr>
        <w:autoSpaceDE w:val="0"/>
        <w:autoSpaceDN w:val="0"/>
        <w:adjustRightInd w:val="0"/>
        <w:spacing w:before="240" w:line="360" w:lineRule="auto"/>
        <w:jc w:val="both"/>
        <w:rPr>
          <w:rFonts w:ascii="Palatino Linotype" w:hAnsi="Palatino Linotype" w:cs="Arial"/>
          <w:b/>
          <w:sz w:val="24"/>
          <w:szCs w:val="24"/>
        </w:rPr>
      </w:pPr>
      <w:r w:rsidRPr="0028758C">
        <w:rPr>
          <w:rFonts w:ascii="Palatino Linotype" w:hAnsi="Palatino Linotype" w:cs="Arial"/>
          <w:b/>
          <w:sz w:val="28"/>
          <w:szCs w:val="28"/>
        </w:rPr>
        <w:t>SEGUNDO.</w:t>
      </w:r>
      <w:r w:rsidRPr="0028758C">
        <w:rPr>
          <w:rFonts w:ascii="Palatino Linotype" w:hAnsi="Palatino Linotype" w:cs="Arial"/>
          <w:b/>
          <w:sz w:val="24"/>
          <w:szCs w:val="24"/>
        </w:rPr>
        <w:t xml:space="preserve"> Notifíquese</w:t>
      </w:r>
      <w:r w:rsidRPr="0028758C">
        <w:rPr>
          <w:rFonts w:ascii="Palatino Linotype" w:hAnsi="Palatino Linotype" w:cs="Arial"/>
          <w:b/>
          <w:i/>
          <w:sz w:val="24"/>
          <w:szCs w:val="24"/>
        </w:rPr>
        <w:t xml:space="preserve"> </w:t>
      </w:r>
      <w:r w:rsidRPr="0028758C">
        <w:rPr>
          <w:rFonts w:ascii="Palatino Linotype" w:hAnsi="Palatino Linotype" w:cs="Arial"/>
          <w:sz w:val="24"/>
          <w:szCs w:val="24"/>
        </w:rPr>
        <w:t xml:space="preserve">la presente resolución al Titular de la Unidad de Transparencia del </w:t>
      </w:r>
      <w:r w:rsidRPr="0028758C">
        <w:rPr>
          <w:rFonts w:ascii="Palatino Linotype" w:hAnsi="Palatino Linotype" w:cs="Arial"/>
          <w:b/>
          <w:sz w:val="24"/>
          <w:szCs w:val="24"/>
        </w:rPr>
        <w:t xml:space="preserve">SUJETO OBLIGADO </w:t>
      </w:r>
      <w:r w:rsidRPr="0028758C">
        <w:rPr>
          <w:rFonts w:ascii="Palatino Linotype" w:hAnsi="Palatino Linotype" w:cs="Arial"/>
          <w:sz w:val="24"/>
          <w:szCs w:val="24"/>
        </w:rPr>
        <w:t xml:space="preserve">a través del Sistema de Acceso a la Información Mexiquense </w:t>
      </w:r>
      <w:r w:rsidRPr="0028758C">
        <w:rPr>
          <w:rFonts w:ascii="Palatino Linotype" w:hAnsi="Palatino Linotype" w:cs="Arial"/>
          <w:b/>
          <w:sz w:val="24"/>
          <w:szCs w:val="24"/>
        </w:rPr>
        <w:t xml:space="preserve">(SAIMEX).  </w:t>
      </w:r>
    </w:p>
    <w:p w14:paraId="729EC116" w14:textId="77777777" w:rsidR="00722F41" w:rsidRPr="0028758C"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3837B2E7" w14:textId="77777777" w:rsidR="005C73EF" w:rsidRPr="0028758C" w:rsidRDefault="005C73EF" w:rsidP="005C73EF">
      <w:pPr>
        <w:autoSpaceDE w:val="0"/>
        <w:autoSpaceDN w:val="0"/>
        <w:adjustRightInd w:val="0"/>
        <w:spacing w:before="240" w:line="360" w:lineRule="auto"/>
        <w:jc w:val="both"/>
        <w:rPr>
          <w:rFonts w:ascii="Palatino Linotype" w:hAnsi="Palatino Linotype" w:cs="Arial"/>
          <w:b/>
          <w:sz w:val="24"/>
          <w:szCs w:val="24"/>
        </w:rPr>
      </w:pPr>
      <w:r w:rsidRPr="0028758C">
        <w:rPr>
          <w:rFonts w:ascii="Palatino Linotype" w:hAnsi="Palatino Linotype" w:cs="Arial"/>
          <w:b/>
          <w:sz w:val="28"/>
          <w:szCs w:val="28"/>
        </w:rPr>
        <w:lastRenderedPageBreak/>
        <w:t>TERCERO</w:t>
      </w:r>
      <w:r w:rsidRPr="0028758C">
        <w:rPr>
          <w:rFonts w:ascii="Palatino Linotype" w:hAnsi="Palatino Linotype" w:cs="Arial"/>
          <w:sz w:val="28"/>
          <w:szCs w:val="28"/>
        </w:rPr>
        <w:t>.</w:t>
      </w:r>
      <w:r w:rsidRPr="0028758C">
        <w:rPr>
          <w:rFonts w:ascii="Palatino Linotype" w:hAnsi="Palatino Linotype" w:cs="Arial"/>
          <w:sz w:val="24"/>
          <w:szCs w:val="24"/>
        </w:rPr>
        <w:t xml:space="preserve"> </w:t>
      </w:r>
      <w:r w:rsidRPr="0028758C">
        <w:rPr>
          <w:rFonts w:ascii="Palatino Linotype" w:hAnsi="Palatino Linotype" w:cs="Arial"/>
          <w:b/>
          <w:bCs/>
          <w:color w:val="222222"/>
          <w:sz w:val="24"/>
          <w:szCs w:val="24"/>
          <w:shd w:val="clear" w:color="auto" w:fill="FFFFFF"/>
          <w:lang w:val="es-ES"/>
        </w:rPr>
        <w:t>Notifíquese</w:t>
      </w:r>
      <w:r w:rsidRPr="0028758C">
        <w:rPr>
          <w:rFonts w:ascii="Palatino Linotype" w:hAnsi="Palatino Linotype" w:cs="Arial"/>
          <w:sz w:val="24"/>
          <w:szCs w:val="24"/>
        </w:rPr>
        <w:t xml:space="preserve"> la presente resolución al</w:t>
      </w:r>
      <w:r w:rsidRPr="0028758C">
        <w:rPr>
          <w:rFonts w:ascii="Palatino Linotype" w:hAnsi="Palatino Linotype" w:cs="Arial"/>
          <w:b/>
          <w:sz w:val="24"/>
          <w:szCs w:val="24"/>
        </w:rPr>
        <w:t xml:space="preserve"> RECURRENTE </w:t>
      </w:r>
      <w:r w:rsidRPr="0028758C">
        <w:rPr>
          <w:rFonts w:ascii="Palatino Linotype" w:hAnsi="Palatino Linotype" w:cs="Arial"/>
          <w:sz w:val="24"/>
          <w:szCs w:val="24"/>
        </w:rPr>
        <w:t xml:space="preserve">a través del Sistema de Acceso a la Información Mexiquense </w:t>
      </w:r>
      <w:r w:rsidRPr="0028758C">
        <w:rPr>
          <w:rFonts w:ascii="Palatino Linotype" w:hAnsi="Palatino Linotype" w:cs="Arial"/>
          <w:b/>
          <w:sz w:val="24"/>
          <w:szCs w:val="24"/>
        </w:rPr>
        <w:t xml:space="preserve">(SAIMEX). </w:t>
      </w:r>
    </w:p>
    <w:p w14:paraId="0DE8EF39" w14:textId="77777777" w:rsidR="00722F41" w:rsidRPr="0028758C"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13CFE856" w14:textId="77777777" w:rsidR="005C73EF" w:rsidRPr="0028758C" w:rsidRDefault="005C73EF" w:rsidP="005C73EF">
      <w:pPr>
        <w:autoSpaceDE w:val="0"/>
        <w:autoSpaceDN w:val="0"/>
        <w:adjustRightInd w:val="0"/>
        <w:spacing w:before="240" w:line="360" w:lineRule="auto"/>
        <w:jc w:val="both"/>
        <w:rPr>
          <w:rFonts w:ascii="Palatino Linotype" w:hAnsi="Palatino Linotype" w:cs="Arial"/>
          <w:sz w:val="24"/>
          <w:szCs w:val="24"/>
        </w:rPr>
      </w:pPr>
      <w:r w:rsidRPr="0028758C">
        <w:rPr>
          <w:rFonts w:ascii="Palatino Linotype" w:hAnsi="Palatino Linotype" w:cs="Arial"/>
          <w:b/>
          <w:sz w:val="28"/>
          <w:szCs w:val="28"/>
        </w:rPr>
        <w:t xml:space="preserve">CUARTO. </w:t>
      </w:r>
      <w:r w:rsidRPr="0028758C">
        <w:rPr>
          <w:rFonts w:ascii="Palatino Linotype" w:hAnsi="Palatino Linotype" w:cs="Arial"/>
          <w:sz w:val="24"/>
          <w:szCs w:val="24"/>
        </w:rPr>
        <w:t>Se hace del conocimiento del</w:t>
      </w:r>
      <w:r w:rsidRPr="0028758C">
        <w:rPr>
          <w:rFonts w:ascii="Palatino Linotype" w:hAnsi="Palatino Linotype" w:cs="Arial"/>
          <w:b/>
          <w:sz w:val="24"/>
          <w:szCs w:val="24"/>
        </w:rPr>
        <w:t xml:space="preserve"> RECURRENTE </w:t>
      </w:r>
      <w:r w:rsidRPr="0028758C">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1791615" w14:textId="77777777" w:rsidR="005C73EF" w:rsidRPr="0028758C" w:rsidRDefault="005C73EF" w:rsidP="005C73EF">
      <w:pPr>
        <w:spacing w:after="0" w:line="360" w:lineRule="auto"/>
        <w:jc w:val="both"/>
        <w:rPr>
          <w:rFonts w:ascii="Palatino Linotype" w:hAnsi="Palatino Linotype"/>
          <w:bCs/>
          <w:sz w:val="24"/>
          <w:szCs w:val="24"/>
        </w:rPr>
      </w:pPr>
    </w:p>
    <w:p w14:paraId="757CFDAE" w14:textId="05627033" w:rsidR="00722F41" w:rsidRPr="0028758C" w:rsidRDefault="00722F41" w:rsidP="00722F41">
      <w:pPr>
        <w:spacing w:line="360" w:lineRule="auto"/>
        <w:jc w:val="both"/>
        <w:rPr>
          <w:rFonts w:ascii="Palatino Linotype" w:hAnsi="Palatino Linotype" w:cs="Arial"/>
        </w:rPr>
      </w:pPr>
      <w:r w:rsidRPr="0028758C">
        <w:rPr>
          <w:rFonts w:ascii="Palatino Linotype" w:hAnsi="Palatino Linotype" w:cs="Arial"/>
        </w:rPr>
        <w:t>ASÍ LO RESUELVE, POR UNANIMIDAD DE VOTOS EL PLENO DEL</w:t>
      </w:r>
      <w:r w:rsidRPr="0028758C">
        <w:rPr>
          <w:rFonts w:ascii="Palatino Linotype" w:eastAsia="Arial Unicode MS" w:hAnsi="Palatino Linotype" w:cs="Arial"/>
        </w:rPr>
        <w:t xml:space="preserve"> INSTITUTO DE TRANSPARENCIA, ACCESO A LA INFORMACIÓN PÚBLICA Y PROTECCIÓN DE DATOS PERSONALES DEL ESTADO DE MÉXICO Y MUNICIPIOS</w:t>
      </w:r>
      <w:r w:rsidRPr="0028758C">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SESIÓN ORDINARIA CELEBRADA EL VEINTIOCHO DE AGOSTO DE DOS MIL VEINTICUATRO, ANTE EL SECRETARIO TÉCNICO DEL PLENO, ALEXIS TAPIA RAMÍREZ. </w:t>
      </w:r>
    </w:p>
    <w:p w14:paraId="571CE602" w14:textId="6D586196" w:rsidR="00722F41" w:rsidRPr="004A7293" w:rsidRDefault="00211A3F" w:rsidP="00722F41">
      <w:pPr>
        <w:spacing w:line="360" w:lineRule="auto"/>
        <w:jc w:val="both"/>
        <w:rPr>
          <w:rFonts w:ascii="Palatino Linotype" w:hAnsi="Palatino Linotype" w:cs="Arial"/>
          <w:sz w:val="20"/>
          <w:szCs w:val="20"/>
        </w:rPr>
      </w:pPr>
      <w:r w:rsidRPr="0028758C">
        <w:rPr>
          <w:rFonts w:ascii="Palatino Linotype" w:hAnsi="Palatino Linotype" w:cs="Arial"/>
          <w:noProof/>
          <w:sz w:val="20"/>
          <w:szCs w:val="20"/>
          <w:lang w:eastAsia="es-MX"/>
        </w:rPr>
        <mc:AlternateContent>
          <mc:Choice Requires="wps">
            <w:drawing>
              <wp:anchor distT="0" distB="0" distL="114300" distR="114300" simplePos="0" relativeHeight="251944947" behindDoc="0" locked="0" layoutInCell="1" allowOverlap="1" wp14:anchorId="72A49BF8" wp14:editId="5B125895">
                <wp:simplePos x="0" y="0"/>
                <wp:positionH relativeFrom="column">
                  <wp:posOffset>43815</wp:posOffset>
                </wp:positionH>
                <wp:positionV relativeFrom="paragraph">
                  <wp:posOffset>239395</wp:posOffset>
                </wp:positionV>
                <wp:extent cx="5600700" cy="17907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600700"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F4EA03" id="Conector recto 1" o:spid="_x0000_s1026" style="position:absolute;z-index:251944947;visibility:visible;mso-wrap-style:square;mso-wrap-distance-left:9pt;mso-wrap-distance-top:0;mso-wrap-distance-right:9pt;mso-wrap-distance-bottom:0;mso-position-horizontal:absolute;mso-position-horizontal-relative:text;mso-position-vertical:absolute;mso-position-vertical-relative:text" from="3.45pt,18.85pt" to="444.4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" strokecolor="#5b9bd5 [3204]" strokeweight=".5pt">
                <v:stroke joinstyle="miter"/>
              </v:line>
            </w:pict>
          </mc:Fallback>
        </mc:AlternateContent>
      </w:r>
      <w:r w:rsidR="00722F41" w:rsidRPr="0028758C">
        <w:rPr>
          <w:rFonts w:ascii="Palatino Linotype" w:hAnsi="Palatino Linotype" w:cs="Arial"/>
          <w:sz w:val="20"/>
          <w:szCs w:val="20"/>
        </w:rPr>
        <w:t>CCR/JCMA</w:t>
      </w:r>
      <w:bookmarkStart w:id="3" w:name="_GoBack"/>
      <w:bookmarkEnd w:id="3"/>
    </w:p>
    <w:p w14:paraId="6CD01C3C" w14:textId="77777777" w:rsidR="00C85D93" w:rsidRDefault="00C85D93" w:rsidP="00F45EFF">
      <w:pPr>
        <w:spacing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25823573" w:rsidR="00E85294" w:rsidRDefault="00E85294" w:rsidP="00B40BA1">
      <w:pPr>
        <w:spacing w:after="0" w:line="360" w:lineRule="auto"/>
        <w:jc w:val="both"/>
        <w:rPr>
          <w:rFonts w:ascii="Palatino Linotype" w:hAnsi="Palatino Linotype" w:cs="Arial"/>
          <w:sz w:val="24"/>
          <w:szCs w:val="24"/>
        </w:rPr>
      </w:pPr>
    </w:p>
    <w:p w14:paraId="26E5DD3E" w14:textId="77777777" w:rsidR="00182F71" w:rsidRDefault="00182F71" w:rsidP="00B40BA1">
      <w:pPr>
        <w:spacing w:after="0" w:line="360" w:lineRule="auto"/>
        <w:jc w:val="both"/>
        <w:rPr>
          <w:rFonts w:ascii="Palatino Linotype" w:hAnsi="Palatino Linotype" w:cs="Arial"/>
          <w:sz w:val="24"/>
          <w:szCs w:val="24"/>
        </w:rPr>
      </w:pPr>
    </w:p>
    <w:p w14:paraId="5A839897" w14:textId="77777777" w:rsidR="00182F71" w:rsidRDefault="00182F71" w:rsidP="00B40BA1">
      <w:pPr>
        <w:spacing w:after="0" w:line="360" w:lineRule="auto"/>
        <w:jc w:val="both"/>
        <w:rPr>
          <w:rFonts w:ascii="Palatino Linotype" w:hAnsi="Palatino Linotype" w:cs="Arial"/>
          <w:sz w:val="24"/>
          <w:szCs w:val="24"/>
        </w:rPr>
      </w:pPr>
    </w:p>
    <w:p w14:paraId="5BCB072C" w14:textId="77777777" w:rsidR="00182F71" w:rsidRDefault="00182F71" w:rsidP="00B40BA1">
      <w:pPr>
        <w:spacing w:after="0" w:line="360" w:lineRule="auto"/>
        <w:jc w:val="both"/>
        <w:rPr>
          <w:rFonts w:ascii="Palatino Linotype" w:hAnsi="Palatino Linotype" w:cs="Arial"/>
          <w:sz w:val="24"/>
          <w:szCs w:val="24"/>
        </w:rPr>
      </w:pPr>
    </w:p>
    <w:p w14:paraId="03B59AE8" w14:textId="77777777" w:rsidR="00182F71" w:rsidRDefault="00182F71" w:rsidP="00B40BA1">
      <w:pPr>
        <w:spacing w:after="0" w:line="360" w:lineRule="auto"/>
        <w:jc w:val="both"/>
        <w:rPr>
          <w:rFonts w:ascii="Palatino Linotype" w:hAnsi="Palatino Linotype" w:cs="Arial"/>
          <w:sz w:val="24"/>
          <w:szCs w:val="24"/>
        </w:rPr>
      </w:pPr>
    </w:p>
    <w:p w14:paraId="683D75F3" w14:textId="3A45F77C" w:rsidR="00182F71" w:rsidRDefault="00182F71" w:rsidP="00B40BA1">
      <w:pPr>
        <w:spacing w:after="0" w:line="360" w:lineRule="auto"/>
        <w:jc w:val="both"/>
        <w:rPr>
          <w:rFonts w:ascii="Palatino Linotype" w:hAnsi="Palatino Linotype" w:cs="Arial"/>
          <w:sz w:val="24"/>
          <w:szCs w:val="24"/>
        </w:rPr>
      </w:pPr>
    </w:p>
    <w:sectPr w:rsidR="00182F71" w:rsidSect="00FC0939">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AEC25" w14:textId="77777777" w:rsidR="00347EF8" w:rsidRDefault="00347EF8" w:rsidP="006168E4">
      <w:pPr>
        <w:spacing w:after="0" w:line="240" w:lineRule="auto"/>
      </w:pPr>
      <w:r>
        <w:separator/>
      </w:r>
    </w:p>
  </w:endnote>
  <w:endnote w:type="continuationSeparator" w:id="0">
    <w:p w14:paraId="08CA3BB0" w14:textId="77777777" w:rsidR="00347EF8" w:rsidRDefault="00347EF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758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758C">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75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758C">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7F073" w14:textId="77777777" w:rsidR="00347EF8" w:rsidRDefault="00347EF8" w:rsidP="006168E4">
      <w:pPr>
        <w:spacing w:after="0" w:line="240" w:lineRule="auto"/>
      </w:pPr>
      <w:r>
        <w:separator/>
      </w:r>
    </w:p>
  </w:footnote>
  <w:footnote w:type="continuationSeparator" w:id="0">
    <w:p w14:paraId="4F9ACD39" w14:textId="77777777" w:rsidR="00347EF8" w:rsidRDefault="00347EF8" w:rsidP="006168E4">
      <w:pPr>
        <w:spacing w:after="0" w:line="240" w:lineRule="auto"/>
      </w:pPr>
      <w:r>
        <w:continuationSeparator/>
      </w:r>
    </w:p>
  </w:footnote>
  <w:footnote w:id="1">
    <w:p w14:paraId="57B4CD3C" w14:textId="77777777" w:rsidR="00394872" w:rsidRDefault="00394872" w:rsidP="00394872">
      <w:pPr>
        <w:pStyle w:val="Textonotapie"/>
      </w:pPr>
      <w:r>
        <w:rPr>
          <w:rStyle w:val="Refdenotaalpie"/>
        </w:rPr>
        <w:footnoteRef/>
      </w:r>
      <w:r>
        <w:t xml:space="preserve"> Consultado en </w:t>
      </w:r>
      <w:hyperlink r:id="rId1"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A01307E" w:rsidR="00FC2D20" w:rsidRPr="00B4142F" w:rsidRDefault="00E90D7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04A9E">
            <w:rPr>
              <w:rFonts w:ascii="Palatino Linotype" w:hAnsi="Palatino Linotype" w:cs="Arial"/>
              <w:bCs/>
              <w:sz w:val="24"/>
              <w:lang w:eastAsia="es-MX"/>
            </w:rPr>
            <w:t>4570</w:t>
          </w:r>
          <w:r w:rsidR="00FC2D20">
            <w:rPr>
              <w:rFonts w:ascii="Palatino Linotype" w:hAnsi="Palatino Linotype" w:cs="Arial"/>
              <w:bCs/>
              <w:sz w:val="24"/>
              <w:lang w:eastAsia="es-MX"/>
            </w:rPr>
            <w:t>/INFOEM/IP/RR/202</w:t>
          </w:r>
          <w:r>
            <w:rPr>
              <w:rFonts w:ascii="Palatino Linotype" w:hAnsi="Palatino Linotype" w:cs="Arial"/>
              <w:bCs/>
              <w:sz w:val="24"/>
              <w:lang w:eastAsia="es-MX"/>
            </w:rPr>
            <w:t>4</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D0C39A2" w:rsidR="00FC2D20" w:rsidRPr="00F06FED" w:rsidRDefault="00504A9E" w:rsidP="001B1CE0">
          <w:pPr>
            <w:spacing w:after="120" w:line="256" w:lineRule="auto"/>
            <w:ind w:left="639" w:right="214"/>
            <w:jc w:val="both"/>
            <w:rPr>
              <w:rFonts w:ascii="Palatino Linotype" w:hAnsi="Palatino Linotype" w:cs="Arial"/>
            </w:rPr>
          </w:pPr>
          <w:r>
            <w:rPr>
              <w:rFonts w:ascii="Palatino Linotype" w:hAnsi="Palatino Linotype" w:cs="Arial"/>
            </w:rPr>
            <w:t>Ayuntamiento de Ocoyoacac</w:t>
          </w:r>
          <w:r w:rsidR="00B6574D">
            <w:rPr>
              <w:rFonts w:ascii="Palatino Linotype" w:hAnsi="Palatino Linotype" w:cs="Arial"/>
            </w:rPr>
            <w:t xml:space="preserve">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0FD82F6"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04A9E">
            <w:rPr>
              <w:rFonts w:ascii="Palatino Linotype" w:hAnsi="Palatino Linotype" w:cs="Arial"/>
              <w:bCs/>
              <w:sz w:val="24"/>
              <w:lang w:eastAsia="es-MX"/>
            </w:rPr>
            <w:t>4570</w:t>
          </w:r>
          <w:r>
            <w:rPr>
              <w:rFonts w:ascii="Palatino Linotype" w:hAnsi="Palatino Linotype" w:cs="Arial"/>
              <w:bCs/>
              <w:sz w:val="24"/>
              <w:lang w:eastAsia="es-MX"/>
            </w:rPr>
            <w:t>/INFOEM/IP/RR/202</w:t>
          </w:r>
          <w:r w:rsidR="00E90D79">
            <w:rPr>
              <w:rFonts w:ascii="Palatino Linotype" w:hAnsi="Palatino Linotype" w:cs="Arial"/>
              <w:bCs/>
              <w:sz w:val="24"/>
              <w:lang w:eastAsia="es-MX"/>
            </w:rPr>
            <w:t>4</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0B4360E" w:rsidR="00FC2D20" w:rsidRPr="00E93E68" w:rsidRDefault="00FC2D20" w:rsidP="00B849AE">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B849AE">
            <w:rPr>
              <w:rFonts w:ascii="Palatino Linotype" w:hAnsi="Palatino Linotype" w:cs="Arial"/>
            </w:rPr>
            <w:t>XXXXXXX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DCEE803" w:rsidR="00FC2D20" w:rsidRDefault="00504A9E"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Ocoyoacac</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28410F"/>
    <w:multiLevelType w:val="hybridMultilevel"/>
    <w:tmpl w:val="1C4AB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880040"/>
    <w:multiLevelType w:val="hybridMultilevel"/>
    <w:tmpl w:val="905ED0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917C15"/>
    <w:multiLevelType w:val="hybridMultilevel"/>
    <w:tmpl w:val="45A66D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906A89"/>
    <w:multiLevelType w:val="hybridMultilevel"/>
    <w:tmpl w:val="25D24526"/>
    <w:lvl w:ilvl="0" w:tplc="413038FA">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0"/>
  </w:num>
  <w:num w:numId="5">
    <w:abstractNumId w:val="4"/>
  </w:num>
  <w:num w:numId="6">
    <w:abstractNumId w:val="7"/>
  </w:num>
  <w:num w:numId="7">
    <w:abstractNumId w:val="6"/>
  </w:num>
  <w:num w:numId="8">
    <w:abstractNumId w:val="11"/>
  </w:num>
  <w:num w:numId="9">
    <w:abstractNumId w:val="5"/>
  </w:num>
  <w:num w:numId="10">
    <w:abstractNumId w:val="9"/>
  </w:num>
  <w:num w:numId="11">
    <w:abstractNumId w:val="8"/>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4CC4"/>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2E7"/>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66F93"/>
    <w:rsid w:val="00070E99"/>
    <w:rsid w:val="000720CA"/>
    <w:rsid w:val="00073E78"/>
    <w:rsid w:val="00073FC2"/>
    <w:rsid w:val="000740DB"/>
    <w:rsid w:val="00076AE0"/>
    <w:rsid w:val="0007756F"/>
    <w:rsid w:val="0008151E"/>
    <w:rsid w:val="00081988"/>
    <w:rsid w:val="000821BF"/>
    <w:rsid w:val="000835E5"/>
    <w:rsid w:val="0008548C"/>
    <w:rsid w:val="00085A69"/>
    <w:rsid w:val="00085EA6"/>
    <w:rsid w:val="00086A4E"/>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EF0"/>
    <w:rsid w:val="0011113A"/>
    <w:rsid w:val="00111DCD"/>
    <w:rsid w:val="00112C29"/>
    <w:rsid w:val="00114965"/>
    <w:rsid w:val="00114CF9"/>
    <w:rsid w:val="00116FA7"/>
    <w:rsid w:val="001176C0"/>
    <w:rsid w:val="00120642"/>
    <w:rsid w:val="001228AB"/>
    <w:rsid w:val="001233A3"/>
    <w:rsid w:val="001235C3"/>
    <w:rsid w:val="0012436A"/>
    <w:rsid w:val="00124807"/>
    <w:rsid w:val="00124855"/>
    <w:rsid w:val="001254F5"/>
    <w:rsid w:val="00125561"/>
    <w:rsid w:val="001272C6"/>
    <w:rsid w:val="0013058C"/>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3D9"/>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1A3F"/>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5996"/>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58C"/>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A71B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3A1A"/>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47EF8"/>
    <w:rsid w:val="0035126E"/>
    <w:rsid w:val="00351CFB"/>
    <w:rsid w:val="003551AD"/>
    <w:rsid w:val="00355A06"/>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872"/>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1BF6"/>
    <w:rsid w:val="003E2624"/>
    <w:rsid w:val="003E34C9"/>
    <w:rsid w:val="003E4B54"/>
    <w:rsid w:val="003E53AC"/>
    <w:rsid w:val="003E55DB"/>
    <w:rsid w:val="003E7555"/>
    <w:rsid w:val="003E7FD3"/>
    <w:rsid w:val="003F0EB3"/>
    <w:rsid w:val="003F332C"/>
    <w:rsid w:val="003F3E41"/>
    <w:rsid w:val="003F6008"/>
    <w:rsid w:val="003F659A"/>
    <w:rsid w:val="003F71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5487"/>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0C0"/>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5CD"/>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98D"/>
    <w:rsid w:val="004F76FC"/>
    <w:rsid w:val="00500601"/>
    <w:rsid w:val="00500BA6"/>
    <w:rsid w:val="0050182F"/>
    <w:rsid w:val="00502DC5"/>
    <w:rsid w:val="00502F50"/>
    <w:rsid w:val="00503655"/>
    <w:rsid w:val="0050375C"/>
    <w:rsid w:val="00503CA0"/>
    <w:rsid w:val="00504408"/>
    <w:rsid w:val="00504A9E"/>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259"/>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57A1"/>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C2999"/>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1FA6"/>
    <w:rsid w:val="00602223"/>
    <w:rsid w:val="0060242C"/>
    <w:rsid w:val="00603C36"/>
    <w:rsid w:val="00603FB8"/>
    <w:rsid w:val="0060663B"/>
    <w:rsid w:val="00606FDA"/>
    <w:rsid w:val="00607414"/>
    <w:rsid w:val="00607DE7"/>
    <w:rsid w:val="0061042F"/>
    <w:rsid w:val="00612CE5"/>
    <w:rsid w:val="00613426"/>
    <w:rsid w:val="0061459B"/>
    <w:rsid w:val="00615562"/>
    <w:rsid w:val="006168E4"/>
    <w:rsid w:val="00616943"/>
    <w:rsid w:val="0061744C"/>
    <w:rsid w:val="006214B9"/>
    <w:rsid w:val="00621940"/>
    <w:rsid w:val="00624380"/>
    <w:rsid w:val="006246D1"/>
    <w:rsid w:val="00625866"/>
    <w:rsid w:val="00625F2D"/>
    <w:rsid w:val="0062656C"/>
    <w:rsid w:val="006278C1"/>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883"/>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B760F"/>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64CC"/>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25B2"/>
    <w:rsid w:val="00722F41"/>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2512"/>
    <w:rsid w:val="00772BA8"/>
    <w:rsid w:val="007736D6"/>
    <w:rsid w:val="00774266"/>
    <w:rsid w:val="00775D78"/>
    <w:rsid w:val="00775E28"/>
    <w:rsid w:val="00776FEB"/>
    <w:rsid w:val="007773E6"/>
    <w:rsid w:val="0078028A"/>
    <w:rsid w:val="00780302"/>
    <w:rsid w:val="00780336"/>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58"/>
    <w:rsid w:val="007A3BB5"/>
    <w:rsid w:val="007A4967"/>
    <w:rsid w:val="007A6BD1"/>
    <w:rsid w:val="007A7354"/>
    <w:rsid w:val="007B29F3"/>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6CC8"/>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6B"/>
    <w:rsid w:val="009179B9"/>
    <w:rsid w:val="00917BDD"/>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199C"/>
    <w:rsid w:val="009845ED"/>
    <w:rsid w:val="00985C4C"/>
    <w:rsid w:val="0098704B"/>
    <w:rsid w:val="00990316"/>
    <w:rsid w:val="0099059B"/>
    <w:rsid w:val="00991E43"/>
    <w:rsid w:val="00993821"/>
    <w:rsid w:val="00994280"/>
    <w:rsid w:val="0099517B"/>
    <w:rsid w:val="009969A3"/>
    <w:rsid w:val="009970B5"/>
    <w:rsid w:val="009979A2"/>
    <w:rsid w:val="009A0D0A"/>
    <w:rsid w:val="009A0FAE"/>
    <w:rsid w:val="009A1181"/>
    <w:rsid w:val="009A1D94"/>
    <w:rsid w:val="009A200B"/>
    <w:rsid w:val="009A2418"/>
    <w:rsid w:val="009A3184"/>
    <w:rsid w:val="009A3F82"/>
    <w:rsid w:val="009A5659"/>
    <w:rsid w:val="009A64BD"/>
    <w:rsid w:val="009A686F"/>
    <w:rsid w:val="009A6ACC"/>
    <w:rsid w:val="009B1636"/>
    <w:rsid w:val="009B32B6"/>
    <w:rsid w:val="009B33A8"/>
    <w:rsid w:val="009B3487"/>
    <w:rsid w:val="009B3978"/>
    <w:rsid w:val="009B4510"/>
    <w:rsid w:val="009B5029"/>
    <w:rsid w:val="009B5F5A"/>
    <w:rsid w:val="009B7C61"/>
    <w:rsid w:val="009C0C6F"/>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BB8"/>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47993"/>
    <w:rsid w:val="00A503DF"/>
    <w:rsid w:val="00A535E3"/>
    <w:rsid w:val="00A540E1"/>
    <w:rsid w:val="00A54B16"/>
    <w:rsid w:val="00A560C7"/>
    <w:rsid w:val="00A570A7"/>
    <w:rsid w:val="00A572E9"/>
    <w:rsid w:val="00A57B77"/>
    <w:rsid w:val="00A625E2"/>
    <w:rsid w:val="00A62AA3"/>
    <w:rsid w:val="00A62B55"/>
    <w:rsid w:val="00A64C80"/>
    <w:rsid w:val="00A65143"/>
    <w:rsid w:val="00A67EF9"/>
    <w:rsid w:val="00A70411"/>
    <w:rsid w:val="00A72465"/>
    <w:rsid w:val="00A7406D"/>
    <w:rsid w:val="00A776BE"/>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DC5"/>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7F8"/>
    <w:rsid w:val="00B61DC9"/>
    <w:rsid w:val="00B6574D"/>
    <w:rsid w:val="00B658D4"/>
    <w:rsid w:val="00B667E5"/>
    <w:rsid w:val="00B668AE"/>
    <w:rsid w:val="00B66C9E"/>
    <w:rsid w:val="00B66D88"/>
    <w:rsid w:val="00B705ED"/>
    <w:rsid w:val="00B70E50"/>
    <w:rsid w:val="00B72E36"/>
    <w:rsid w:val="00B73C99"/>
    <w:rsid w:val="00B75A2C"/>
    <w:rsid w:val="00B75E7F"/>
    <w:rsid w:val="00B77811"/>
    <w:rsid w:val="00B80129"/>
    <w:rsid w:val="00B80734"/>
    <w:rsid w:val="00B813AC"/>
    <w:rsid w:val="00B8376C"/>
    <w:rsid w:val="00B84260"/>
    <w:rsid w:val="00B849AE"/>
    <w:rsid w:val="00B8655B"/>
    <w:rsid w:val="00B86A15"/>
    <w:rsid w:val="00B8738D"/>
    <w:rsid w:val="00B87855"/>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6D1"/>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3315"/>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277"/>
    <w:rsid w:val="00C82D1D"/>
    <w:rsid w:val="00C83209"/>
    <w:rsid w:val="00C83E62"/>
    <w:rsid w:val="00C85259"/>
    <w:rsid w:val="00C85378"/>
    <w:rsid w:val="00C85D93"/>
    <w:rsid w:val="00C86808"/>
    <w:rsid w:val="00C87238"/>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5BBF"/>
    <w:rsid w:val="00D17789"/>
    <w:rsid w:val="00D20AFD"/>
    <w:rsid w:val="00D21565"/>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E5A2F"/>
    <w:rsid w:val="00DE6911"/>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6616"/>
    <w:rsid w:val="00E07CC2"/>
    <w:rsid w:val="00E10D00"/>
    <w:rsid w:val="00E11E2E"/>
    <w:rsid w:val="00E125A7"/>
    <w:rsid w:val="00E125CA"/>
    <w:rsid w:val="00E129EF"/>
    <w:rsid w:val="00E134EE"/>
    <w:rsid w:val="00E14B0C"/>
    <w:rsid w:val="00E14B17"/>
    <w:rsid w:val="00E14EAE"/>
    <w:rsid w:val="00E16394"/>
    <w:rsid w:val="00E20027"/>
    <w:rsid w:val="00E2053B"/>
    <w:rsid w:val="00E22571"/>
    <w:rsid w:val="00E22B94"/>
    <w:rsid w:val="00E238A2"/>
    <w:rsid w:val="00E23C94"/>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EA2"/>
    <w:rsid w:val="00E75790"/>
    <w:rsid w:val="00E76530"/>
    <w:rsid w:val="00E80180"/>
    <w:rsid w:val="00E802A5"/>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5AB8"/>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5FB1"/>
    <w:rsid w:val="00F16331"/>
    <w:rsid w:val="00F16903"/>
    <w:rsid w:val="00F20356"/>
    <w:rsid w:val="00F22566"/>
    <w:rsid w:val="00F22963"/>
    <w:rsid w:val="00F2436E"/>
    <w:rsid w:val="00F25862"/>
    <w:rsid w:val="00F310D2"/>
    <w:rsid w:val="00F31705"/>
    <w:rsid w:val="00F31A1A"/>
    <w:rsid w:val="00F328C0"/>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5742D"/>
    <w:rsid w:val="00F604E0"/>
    <w:rsid w:val="00F6163C"/>
    <w:rsid w:val="00F61FDB"/>
    <w:rsid w:val="00F6421B"/>
    <w:rsid w:val="00F6442C"/>
    <w:rsid w:val="00F64A83"/>
    <w:rsid w:val="00F64E3D"/>
    <w:rsid w:val="00F6501E"/>
    <w:rsid w:val="00F66D27"/>
    <w:rsid w:val="00F70615"/>
    <w:rsid w:val="00F716FA"/>
    <w:rsid w:val="00F71969"/>
    <w:rsid w:val="00F72722"/>
    <w:rsid w:val="00F727B0"/>
    <w:rsid w:val="00F72E08"/>
    <w:rsid w:val="00F746E2"/>
    <w:rsid w:val="00F7575C"/>
    <w:rsid w:val="00F7598B"/>
    <w:rsid w:val="00F761B1"/>
    <w:rsid w:val="00F76CC5"/>
    <w:rsid w:val="00F803A3"/>
    <w:rsid w:val="00F81BD5"/>
    <w:rsid w:val="00F82098"/>
    <w:rsid w:val="00F835D7"/>
    <w:rsid w:val="00F83C01"/>
    <w:rsid w:val="00F85EFE"/>
    <w:rsid w:val="00F86DEE"/>
    <w:rsid w:val="00F87ADD"/>
    <w:rsid w:val="00F87D1E"/>
    <w:rsid w:val="00F907A0"/>
    <w:rsid w:val="00F914FD"/>
    <w:rsid w:val="00F9164E"/>
    <w:rsid w:val="00F93D86"/>
    <w:rsid w:val="00F952BF"/>
    <w:rsid w:val="00F95515"/>
    <w:rsid w:val="00F95ED4"/>
    <w:rsid w:val="00F974AA"/>
    <w:rsid w:val="00FA103A"/>
    <w:rsid w:val="00FA2545"/>
    <w:rsid w:val="00FA2729"/>
    <w:rsid w:val="00FA4C7E"/>
    <w:rsid w:val="00FA7CFC"/>
    <w:rsid w:val="00FB03BA"/>
    <w:rsid w:val="00FB097C"/>
    <w:rsid w:val="00FB0CBF"/>
    <w:rsid w:val="00FB21C2"/>
    <w:rsid w:val="00FB39ED"/>
    <w:rsid w:val="00FB3DE5"/>
    <w:rsid w:val="00FB4AAD"/>
    <w:rsid w:val="00FB4E3D"/>
    <w:rsid w:val="00FB55F3"/>
    <w:rsid w:val="00FB5A22"/>
    <w:rsid w:val="00FB5F2A"/>
    <w:rsid w:val="00FB62A3"/>
    <w:rsid w:val="00FB6639"/>
    <w:rsid w:val="00FB7353"/>
    <w:rsid w:val="00FC0939"/>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ubencinos.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mg.org.mx/losencin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11/mar243.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le.rae.es/noto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858D1-4417-43F9-8C06-95EB79993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6638</Words>
  <Characters>36514</Characters>
  <Application>Microsoft Office Word</Application>
  <DocSecurity>0</DocSecurity>
  <Lines>304</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3</cp:revision>
  <cp:lastPrinted>2018-12-04T20:35:00Z</cp:lastPrinted>
  <dcterms:created xsi:type="dcterms:W3CDTF">2024-09-09T15:57:00Z</dcterms:created>
  <dcterms:modified xsi:type="dcterms:W3CDTF">2024-10-22T22:18:00Z</dcterms:modified>
</cp:coreProperties>
</file>