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BD" w:rsidRDefault="002730BD">
      <w:pPr>
        <w:widowControl w:val="0"/>
        <w:pBdr>
          <w:top w:val="nil"/>
          <w:left w:val="nil"/>
          <w:bottom w:val="nil"/>
          <w:right w:val="nil"/>
          <w:between w:val="nil"/>
        </w:pBdr>
        <w:spacing w:line="276" w:lineRule="auto"/>
      </w:pPr>
      <w:bookmarkStart w:id="0" w:name="_GoBack"/>
      <w:bookmarkEnd w:id="0"/>
    </w:p>
    <w:p w:rsidR="002730BD" w:rsidRDefault="002730BD">
      <w:pPr>
        <w:spacing w:line="360" w:lineRule="auto"/>
        <w:jc w:val="both"/>
        <w:rPr>
          <w:b/>
        </w:rPr>
      </w:pPr>
      <w:bookmarkStart w:id="1" w:name="_heading=h.gjdgxs" w:colFirst="0" w:colLast="0"/>
      <w:bookmarkEnd w:id="1"/>
    </w:p>
    <w:p w:rsidR="002730BD" w:rsidRDefault="002730BD">
      <w:pPr>
        <w:spacing w:line="360" w:lineRule="auto"/>
        <w:jc w:val="both"/>
        <w:rPr>
          <w:b/>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color w:val="0D0D0D"/>
          <w:sz w:val="22"/>
          <w:szCs w:val="22"/>
        </w:rPr>
        <w:t xml:space="preserve">VISTO </w:t>
      </w:r>
      <w:r w:rsidRPr="008534F2">
        <w:rPr>
          <w:rFonts w:ascii="Palatino Linotype" w:eastAsia="Palatino Linotype" w:hAnsi="Palatino Linotype" w:cs="Palatino Linotype"/>
          <w:color w:val="0D0D0D"/>
          <w:sz w:val="22"/>
          <w:szCs w:val="22"/>
        </w:rPr>
        <w:t xml:space="preserve">el expediente conformado con motivo del Recurso de Revisión </w:t>
      </w:r>
      <w:r w:rsidRPr="008534F2">
        <w:rPr>
          <w:rFonts w:ascii="Palatino Linotype" w:eastAsia="Palatino Linotype" w:hAnsi="Palatino Linotype" w:cs="Palatino Linotype"/>
          <w:b/>
          <w:color w:val="0D0D0D"/>
          <w:sz w:val="22"/>
          <w:szCs w:val="22"/>
        </w:rPr>
        <w:t>05771/INFOEM/IP/RR/2024,</w:t>
      </w:r>
      <w:r w:rsidRPr="008534F2">
        <w:rPr>
          <w:rFonts w:ascii="Palatino Linotype" w:eastAsia="Palatino Linotype" w:hAnsi="Palatino Linotype" w:cs="Palatino Linotype"/>
          <w:color w:val="0D0D0D"/>
          <w:sz w:val="22"/>
          <w:szCs w:val="22"/>
        </w:rPr>
        <w:t xml:space="preserve"> interpuesto por un Recurrente o Particular, en contra de la respuesta del Sujeto Obligado</w:t>
      </w:r>
      <w:r w:rsidRPr="008534F2">
        <w:rPr>
          <w:rFonts w:ascii="Palatino Linotype" w:eastAsia="Palatino Linotype" w:hAnsi="Palatino Linotype" w:cs="Palatino Linotype"/>
          <w:sz w:val="22"/>
          <w:szCs w:val="22"/>
        </w:rPr>
        <w:t xml:space="preserve"> </w:t>
      </w:r>
      <w:r w:rsidRPr="008534F2">
        <w:rPr>
          <w:rFonts w:ascii="Palatino Linotype" w:eastAsia="Palatino Linotype" w:hAnsi="Palatino Linotype" w:cs="Palatino Linotype"/>
          <w:b/>
          <w:sz w:val="22"/>
          <w:szCs w:val="22"/>
        </w:rPr>
        <w:t>Secretaría de Educación, Ciencia, Tecnología e Innovación</w:t>
      </w:r>
      <w:r w:rsidRPr="008534F2">
        <w:rPr>
          <w:rFonts w:ascii="Palatino Linotype" w:eastAsia="Palatino Linotype" w:hAnsi="Palatino Linotype" w:cs="Palatino Linotype"/>
          <w:b/>
          <w:color w:val="0D0D0D"/>
          <w:sz w:val="22"/>
          <w:szCs w:val="22"/>
        </w:rPr>
        <w:t xml:space="preserve">, </w:t>
      </w:r>
      <w:r w:rsidRPr="008534F2">
        <w:rPr>
          <w:rFonts w:ascii="Palatino Linotype" w:eastAsia="Palatino Linotype" w:hAnsi="Palatino Linotype" w:cs="Palatino Linotype"/>
          <w:color w:val="0D0D0D"/>
          <w:sz w:val="22"/>
          <w:szCs w:val="22"/>
        </w:rPr>
        <w:t>se emite la presente Resolución, con base en los Antecedentes y C</w:t>
      </w:r>
      <w:r w:rsidRPr="008534F2">
        <w:rPr>
          <w:rFonts w:ascii="Palatino Linotype" w:eastAsia="Palatino Linotype" w:hAnsi="Palatino Linotype" w:cs="Palatino Linotype"/>
          <w:sz w:val="22"/>
          <w:szCs w:val="22"/>
        </w:rPr>
        <w:t>onsiderandos que a continuación se exponen:</w:t>
      </w:r>
    </w:p>
    <w:p w:rsidR="002730BD" w:rsidRPr="008534F2" w:rsidRDefault="002730BD">
      <w:pPr>
        <w:spacing w:line="360" w:lineRule="auto"/>
        <w:jc w:val="both"/>
        <w:rPr>
          <w:rFonts w:ascii="Palatino Linotype" w:eastAsia="Palatino Linotype" w:hAnsi="Palatino Linotype" w:cs="Palatino Linotype"/>
          <w:b/>
          <w:color w:val="0D0D0D"/>
          <w:sz w:val="18"/>
          <w:szCs w:val="18"/>
        </w:rPr>
      </w:pPr>
    </w:p>
    <w:p w:rsidR="002730BD" w:rsidRPr="008534F2" w:rsidRDefault="00824009">
      <w:pPr>
        <w:tabs>
          <w:tab w:val="center" w:pos="4522"/>
          <w:tab w:val="left" w:pos="7245"/>
        </w:tabs>
        <w:spacing w:line="360" w:lineRule="auto"/>
        <w:jc w:val="center"/>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sz w:val="22"/>
          <w:szCs w:val="22"/>
        </w:rPr>
        <w:t>A N T E C E D E N T E S</w:t>
      </w:r>
    </w:p>
    <w:p w:rsidR="002730BD" w:rsidRPr="008534F2" w:rsidRDefault="002730B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2730BD" w:rsidRPr="008534F2" w:rsidRDefault="008240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8534F2">
        <w:rPr>
          <w:rFonts w:ascii="Palatino Linotype" w:eastAsia="Palatino Linotype" w:hAnsi="Palatino Linotype" w:cs="Palatino Linotype"/>
          <w:b/>
          <w:color w:val="000000"/>
          <w:sz w:val="22"/>
          <w:szCs w:val="22"/>
        </w:rPr>
        <w:t>I. Presentación de la solicitud de información</w:t>
      </w:r>
    </w:p>
    <w:p w:rsidR="002730BD" w:rsidRPr="008534F2" w:rsidRDefault="002730B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18"/>
          <w:szCs w:val="18"/>
        </w:rPr>
      </w:pPr>
    </w:p>
    <w:p w:rsidR="002730BD" w:rsidRPr="008534F2" w:rsidRDefault="00824009">
      <w:pPr>
        <w:tabs>
          <w:tab w:val="left" w:pos="567"/>
        </w:tabs>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El doce de septiembre de dos mil veinticuatro, el Particular presentó solicitud de acceso a la información pública, a través del Sistema de Acceso a la Información Mexiquense, en lo sucesivo el SAIMEX, ante la </w:t>
      </w:r>
      <w:r w:rsidRPr="008534F2">
        <w:rPr>
          <w:rFonts w:ascii="Palatino Linotype" w:eastAsia="Palatino Linotype" w:hAnsi="Palatino Linotype" w:cs="Palatino Linotype"/>
          <w:b/>
          <w:sz w:val="22"/>
          <w:szCs w:val="22"/>
        </w:rPr>
        <w:t>Secretaría de Educación, Ciencia, Tecnología e Innovación</w:t>
      </w:r>
      <w:r w:rsidRPr="008534F2">
        <w:rPr>
          <w:rFonts w:ascii="Palatino Linotype" w:eastAsia="Palatino Linotype" w:hAnsi="Palatino Linotype" w:cs="Palatino Linotype"/>
          <w:sz w:val="22"/>
          <w:szCs w:val="22"/>
        </w:rPr>
        <w:t xml:space="preserve">, misma que fue registrada con el número de folio </w:t>
      </w:r>
      <w:r w:rsidRPr="008534F2">
        <w:rPr>
          <w:rFonts w:ascii="Palatino Linotype" w:eastAsia="Palatino Linotype" w:hAnsi="Palatino Linotype" w:cs="Palatino Linotype"/>
          <w:b/>
          <w:sz w:val="22"/>
          <w:szCs w:val="22"/>
        </w:rPr>
        <w:t xml:space="preserve">00586/SECTI/IP/2024, </w:t>
      </w:r>
      <w:r w:rsidRPr="008534F2">
        <w:rPr>
          <w:rFonts w:ascii="Palatino Linotype" w:eastAsia="Palatino Linotype" w:hAnsi="Palatino Linotype" w:cs="Palatino Linotype"/>
          <w:sz w:val="22"/>
          <w:szCs w:val="22"/>
        </w:rPr>
        <w:t xml:space="preserve">mediante la cual requirió lo siguiente: </w:t>
      </w:r>
    </w:p>
    <w:p w:rsidR="002730BD" w:rsidRPr="008534F2" w:rsidRDefault="002730BD">
      <w:pPr>
        <w:tabs>
          <w:tab w:val="left" w:pos="567"/>
        </w:tabs>
        <w:spacing w:line="360" w:lineRule="auto"/>
        <w:jc w:val="both"/>
        <w:rPr>
          <w:rFonts w:ascii="Palatino Linotype" w:eastAsia="Palatino Linotype" w:hAnsi="Palatino Linotype" w:cs="Palatino Linotype"/>
          <w:sz w:val="22"/>
          <w:szCs w:val="22"/>
        </w:rPr>
      </w:pPr>
    </w:p>
    <w:p w:rsidR="002730BD" w:rsidRPr="008534F2" w:rsidRDefault="00824009">
      <w:pPr>
        <w:tabs>
          <w:tab w:val="left" w:pos="567"/>
        </w:tabs>
        <w:spacing w:line="360" w:lineRule="auto"/>
        <w:ind w:left="567" w:right="539"/>
        <w:jc w:val="both"/>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rPr>
        <w:t>DESCRIPCIÓN CLARA Y PRECISA DE LA INFORMACIÓN SOLICITADA</w:t>
      </w:r>
      <w:r w:rsidRPr="008534F2">
        <w:rPr>
          <w:rFonts w:ascii="Palatino Linotype" w:eastAsia="Palatino Linotype" w:hAnsi="Palatino Linotype" w:cs="Palatino Linotype"/>
          <w:b/>
          <w:sz w:val="22"/>
          <w:szCs w:val="22"/>
        </w:rPr>
        <w:t>:</w:t>
      </w:r>
    </w:p>
    <w:p w:rsidR="002730BD" w:rsidRPr="008534F2" w:rsidRDefault="008240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8534F2">
        <w:rPr>
          <w:rFonts w:ascii="Palatino Linotype" w:eastAsia="Palatino Linotype" w:hAnsi="Palatino Linotype" w:cs="Palatino Linotype"/>
          <w:i/>
          <w:color w:val="000000"/>
        </w:rPr>
        <w:t xml:space="preserve">“Proceso administrativo que realizó o gestionó Fernando Lopez Martinez, asesor de la Dirección General de Educación Media Superior, para que su esposa Rosa del Carmen Jurado Embris con </w:t>
      </w:r>
      <w:r w:rsidRPr="008534F2">
        <w:rPr>
          <w:rFonts w:ascii="Palatino Linotype" w:eastAsia="Palatino Linotype" w:hAnsi="Palatino Linotype" w:cs="Palatino Linotype"/>
          <w:i/>
          <w:color w:val="000000"/>
        </w:rPr>
        <w:lastRenderedPageBreak/>
        <w:t>numero de servidor publico 997774656 y su hermana Gabriela Lopez Martinez con numero de servidor publico 997839395 laboren en el mismo plantel educativo " (Sic).</w:t>
      </w:r>
    </w:p>
    <w:p w:rsidR="002730BD" w:rsidRPr="008534F2" w:rsidRDefault="002730B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2730BD" w:rsidRPr="008534F2" w:rsidRDefault="008240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8534F2">
        <w:rPr>
          <w:rFonts w:ascii="Palatino Linotype" w:eastAsia="Palatino Linotype" w:hAnsi="Palatino Linotype" w:cs="Palatino Linotype"/>
          <w:b/>
          <w:color w:val="000000"/>
        </w:rPr>
        <w:t xml:space="preserve">MODALIDAD DE ENTREGA </w:t>
      </w:r>
      <w:r w:rsidRPr="008534F2">
        <w:rPr>
          <w:rFonts w:ascii="Palatino Linotype" w:eastAsia="Palatino Linotype" w:hAnsi="Palatino Linotype" w:cs="Palatino Linotype"/>
          <w:i/>
          <w:color w:val="000000"/>
        </w:rPr>
        <w:t>“A través del SAIMEX”</w:t>
      </w:r>
    </w:p>
    <w:p w:rsidR="002730BD" w:rsidRPr="008534F2" w:rsidRDefault="002730B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2730BD" w:rsidRPr="008534F2" w:rsidRDefault="00824009">
      <w:pPr>
        <w:spacing w:line="360" w:lineRule="auto"/>
        <w:jc w:val="both"/>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color w:val="000000"/>
          <w:sz w:val="24"/>
          <w:szCs w:val="24"/>
        </w:rPr>
        <w:t>II.</w:t>
      </w:r>
      <w:r w:rsidRPr="008534F2">
        <w:rPr>
          <w:rFonts w:ascii="Palatino Linotype" w:eastAsia="Palatino Linotype" w:hAnsi="Palatino Linotype" w:cs="Palatino Linotype"/>
          <w:b/>
          <w:sz w:val="22"/>
          <w:szCs w:val="22"/>
        </w:rPr>
        <w:t xml:space="preserve"> Información que Puede estar en Poder de Otro Sujeto Obligado</w:t>
      </w:r>
    </w:p>
    <w:p w:rsidR="002730BD" w:rsidRPr="008534F2" w:rsidRDefault="002730B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Con fecha dieciocho de septiembre de dos mil veinticuatro, el Sujeto Obligado otorgó respuesta a través del SAIMEX en la que señaló lo siguiente:</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rPr>
        <w:t xml:space="preserve">“… </w:t>
      </w: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rPr>
        <w:t>Del análisis e interpretación literal y gramatical de su solicitud, se hace de su conocimiento que de conformidad a lo establecido en el artículo 47 fracción XIX de la Ley Orgánica de la Administración Pública del Estado de México, la Secretaría de la Contraloría tiene ente sus atribuciones recibir directamente o a través de los órganos internos de control, las denuncias que presenten los particulares, así como conocer e investigar los actos, omisiones o conductas de los servidores públicos que puedan constituir responsabilidad administrativas.</w:t>
      </w: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rPr>
        <w:t>…”</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sz w:val="22"/>
          <w:szCs w:val="22"/>
        </w:rPr>
        <w:t>III. Interposición del Recurso de Revisión</w:t>
      </w:r>
    </w:p>
    <w:p w:rsidR="002730BD" w:rsidRPr="008534F2" w:rsidRDefault="002730BD">
      <w:pPr>
        <w:spacing w:line="360" w:lineRule="auto"/>
        <w:jc w:val="both"/>
        <w:rPr>
          <w:rFonts w:ascii="Palatino Linotype" w:eastAsia="Palatino Linotype" w:hAnsi="Palatino Linotype" w:cs="Palatino Linotype"/>
          <w:b/>
          <w:sz w:val="18"/>
          <w:szCs w:val="18"/>
        </w:rPr>
      </w:pPr>
    </w:p>
    <w:p w:rsidR="002730BD" w:rsidRPr="008534F2" w:rsidRDefault="00824009">
      <w:pPr>
        <w:tabs>
          <w:tab w:val="left" w:pos="3122"/>
        </w:tabs>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El veintitrés de septiembre de dos mil veinticuatro, a través del SAIMEX, se interpuso el presente Recurso de Revisión por el Recurrente, en contra de la respuesta emitida por el Sujeto Obligado a la solicitud de información, en los siguientes términos:</w:t>
      </w:r>
    </w:p>
    <w:p w:rsidR="002730BD" w:rsidRPr="008534F2" w:rsidRDefault="002730BD">
      <w:pPr>
        <w:tabs>
          <w:tab w:val="left" w:pos="4995"/>
        </w:tabs>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ind w:left="567" w:right="539"/>
        <w:jc w:val="both"/>
        <w:rPr>
          <w:rFonts w:ascii="Palatino Linotype" w:eastAsia="Palatino Linotype" w:hAnsi="Palatino Linotype" w:cs="Palatino Linotype"/>
          <w:b/>
        </w:rPr>
      </w:pPr>
      <w:r w:rsidRPr="008534F2">
        <w:rPr>
          <w:rFonts w:ascii="Palatino Linotype" w:eastAsia="Palatino Linotype" w:hAnsi="Palatino Linotype" w:cs="Palatino Linotype"/>
          <w:b/>
        </w:rPr>
        <w:t>ACTO IMPUGNADO</w:t>
      </w: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rPr>
        <w:lastRenderedPageBreak/>
        <w:t>“El servidor publico habilitado para atender las solicitudes de información supone que la información solicitada podria estar en poder del Organo Interno de Control, sin embargo no es información confirmada por el mismo " (Sic).</w:t>
      </w:r>
    </w:p>
    <w:p w:rsidR="002730BD" w:rsidRPr="008534F2" w:rsidRDefault="002730BD">
      <w:pPr>
        <w:spacing w:line="360" w:lineRule="auto"/>
        <w:ind w:left="567" w:right="539"/>
        <w:jc w:val="both"/>
        <w:rPr>
          <w:rFonts w:ascii="Palatino Linotype" w:eastAsia="Palatino Linotype" w:hAnsi="Palatino Linotype" w:cs="Palatino Linotype"/>
        </w:rPr>
      </w:pPr>
    </w:p>
    <w:p w:rsidR="002730BD" w:rsidRPr="008534F2" w:rsidRDefault="00824009">
      <w:pPr>
        <w:spacing w:line="360" w:lineRule="auto"/>
        <w:ind w:left="567" w:right="539"/>
        <w:jc w:val="both"/>
        <w:rPr>
          <w:rFonts w:ascii="Palatino Linotype" w:eastAsia="Palatino Linotype" w:hAnsi="Palatino Linotype" w:cs="Palatino Linotype"/>
          <w:b/>
        </w:rPr>
      </w:pPr>
      <w:r w:rsidRPr="008534F2">
        <w:rPr>
          <w:rFonts w:ascii="Palatino Linotype" w:eastAsia="Palatino Linotype" w:hAnsi="Palatino Linotype" w:cs="Palatino Linotype"/>
          <w:b/>
        </w:rPr>
        <w:t>RAZONES O MOTIVOS DE LA INCONFORMIDAD</w:t>
      </w: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sz w:val="18"/>
          <w:szCs w:val="18"/>
        </w:rPr>
        <w:t>“El servidor publico habilitado para atender las solicitudes de información supone que la información solicitada podria estar en poder del Organo Interno de Control, lo cual no debe ser ya que puede interpretarse que asi dio respuesta para evitar solicitar la información a Servidor Pubico adscrito a la Diección Generla de Educación Media Superior y que originalmente es quien debiera dar respuesta con la información publica solicitada.”</w:t>
      </w:r>
      <w:r w:rsidRPr="008534F2">
        <w:rPr>
          <w:rFonts w:ascii="Palatino Linotype" w:eastAsia="Palatino Linotype" w:hAnsi="Palatino Linotype" w:cs="Palatino Linotype"/>
          <w:i/>
        </w:rPr>
        <w:t xml:space="preserve"> (Sic).</w:t>
      </w:r>
    </w:p>
    <w:p w:rsidR="002730BD" w:rsidRPr="008534F2" w:rsidRDefault="002730BD">
      <w:pPr>
        <w:spacing w:line="360" w:lineRule="auto"/>
        <w:ind w:left="567" w:right="539"/>
        <w:jc w:val="both"/>
        <w:rPr>
          <w:rFonts w:ascii="Palatino Linotype" w:eastAsia="Palatino Linotype" w:hAnsi="Palatino Linotype" w:cs="Palatino Linotype"/>
          <w:i/>
        </w:rPr>
      </w:pPr>
    </w:p>
    <w:p w:rsidR="002730BD" w:rsidRPr="008534F2" w:rsidRDefault="00824009">
      <w:pPr>
        <w:spacing w:line="360" w:lineRule="auto"/>
        <w:jc w:val="both"/>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sz w:val="22"/>
          <w:szCs w:val="22"/>
        </w:rPr>
        <w:t>IV. Trámite del Recurso de Revisión ante el Instituto</w:t>
      </w:r>
    </w:p>
    <w:p w:rsidR="002730BD" w:rsidRPr="008534F2" w:rsidRDefault="002730BD">
      <w:pPr>
        <w:spacing w:line="360" w:lineRule="auto"/>
        <w:jc w:val="both"/>
        <w:rPr>
          <w:rFonts w:ascii="Palatino Linotype" w:eastAsia="Palatino Linotype" w:hAnsi="Palatino Linotype" w:cs="Palatino Linotype"/>
          <w:b/>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sz w:val="22"/>
          <w:szCs w:val="22"/>
        </w:rPr>
        <w:t xml:space="preserve">a) Turno del Recurso de Revisión. </w:t>
      </w:r>
      <w:r w:rsidRPr="008534F2">
        <w:rPr>
          <w:rFonts w:ascii="Palatino Linotype" w:eastAsia="Palatino Linotype" w:hAnsi="Palatino Linotype" w:cs="Palatino Linotype"/>
          <w:sz w:val="22"/>
          <w:szCs w:val="22"/>
        </w:rPr>
        <w:t xml:space="preserve">El veintitrés de septiembre de dos mil veinticuatro, el SAIMEX, asignó el número de expediente </w:t>
      </w:r>
      <w:r w:rsidRPr="008534F2">
        <w:rPr>
          <w:rFonts w:ascii="Palatino Linotype" w:eastAsia="Palatino Linotype" w:hAnsi="Palatino Linotype" w:cs="Palatino Linotype"/>
          <w:b/>
          <w:sz w:val="22"/>
          <w:szCs w:val="22"/>
        </w:rPr>
        <w:t>05771/INFOEM/IP/RR/2024</w:t>
      </w:r>
      <w:r w:rsidRPr="008534F2">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w:t>
      </w:r>
      <w:r w:rsidRPr="008534F2">
        <w:rPr>
          <w:rFonts w:ascii="Palatino Linotype" w:eastAsia="Palatino Linotype" w:hAnsi="Palatino Linotype" w:cs="Palatino Linotype"/>
          <w:b/>
          <w:sz w:val="22"/>
          <w:szCs w:val="22"/>
        </w:rPr>
        <w:t>Comisionado Ponente Luis Gustavo Parra Noriega</w:t>
      </w:r>
      <w:r w:rsidRPr="008534F2">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2730BD" w:rsidRPr="008534F2" w:rsidRDefault="002730BD">
      <w:pPr>
        <w:spacing w:line="360" w:lineRule="auto"/>
        <w:jc w:val="both"/>
        <w:rPr>
          <w:rFonts w:ascii="Palatino Linotype" w:eastAsia="Palatino Linotype" w:hAnsi="Palatino Linotype" w:cs="Palatino Linotype"/>
          <w:b/>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sz w:val="22"/>
          <w:szCs w:val="22"/>
        </w:rPr>
        <w:t xml:space="preserve">b) Admisión del Recurso de Revisión. </w:t>
      </w:r>
      <w:r w:rsidRPr="008534F2">
        <w:rPr>
          <w:rFonts w:ascii="Palatino Linotype" w:eastAsia="Palatino Linotype" w:hAnsi="Palatino Linotype" w:cs="Palatino Linotype"/>
          <w:sz w:val="22"/>
          <w:szCs w:val="22"/>
        </w:rPr>
        <w:t xml:space="preserve">El veintisiete de septiembre de dos mil veinticuatro, se acordó la admisión del Recurso de Revisión interpuesto por el Recurrente en contra del </w:t>
      </w:r>
      <w:r w:rsidRPr="008534F2">
        <w:rPr>
          <w:rFonts w:ascii="Palatino Linotype" w:eastAsia="Palatino Linotype" w:hAnsi="Palatino Linotype" w:cs="Palatino Linotype"/>
          <w:b/>
          <w:sz w:val="22"/>
          <w:szCs w:val="22"/>
        </w:rPr>
        <w:t>Sujeto Obligado</w:t>
      </w:r>
      <w:r w:rsidRPr="008534F2">
        <w:rPr>
          <w:rFonts w:ascii="Palatino Linotype" w:eastAsia="Palatino Linotype" w:hAnsi="Palatino Linotype" w:cs="Palatino Linotype"/>
          <w:sz w:val="22"/>
          <w:szCs w:val="22"/>
        </w:rPr>
        <w:t>, en términos del artículo 185, fracciones I, II y IV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sz w:val="22"/>
          <w:szCs w:val="22"/>
        </w:rPr>
        <w:t xml:space="preserve">c) Informe Justificado. </w:t>
      </w:r>
      <w:r w:rsidRPr="008534F2">
        <w:rPr>
          <w:rFonts w:ascii="Palatino Linotype" w:eastAsia="Palatino Linotype" w:hAnsi="Palatino Linotype" w:cs="Palatino Linotype"/>
          <w:sz w:val="22"/>
          <w:szCs w:val="22"/>
        </w:rPr>
        <w:t>El nueve de octubre de dos mil veinticuatro, a través del SAIMEX, se recibió en este Instituto el informe justificado por parte del Sujeto Obligado en el que señaló lo siguiente:</w:t>
      </w:r>
    </w:p>
    <w:p w:rsidR="002730BD" w:rsidRPr="008534F2" w:rsidRDefault="002730BD">
      <w:pPr>
        <w:spacing w:line="360" w:lineRule="auto"/>
        <w:ind w:left="567" w:right="539"/>
        <w:jc w:val="both"/>
        <w:rPr>
          <w:rFonts w:ascii="Palatino Linotype" w:eastAsia="Palatino Linotype" w:hAnsi="Palatino Linotype" w:cs="Palatino Linotype"/>
          <w:i/>
        </w:rPr>
      </w:pP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rPr>
        <w:t>“…</w:t>
      </w: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rPr>
        <w:t xml:space="preserve">Expuesto lo anterior, el ahora recurrente solicitó a este </w:t>
      </w:r>
      <w:r w:rsidRPr="008534F2">
        <w:rPr>
          <w:rFonts w:ascii="Palatino Linotype" w:eastAsia="Palatino Linotype" w:hAnsi="Palatino Linotype" w:cs="Palatino Linotype"/>
          <w:b/>
          <w:i/>
        </w:rPr>
        <w:t xml:space="preserve">Sujeto Obligado </w:t>
      </w:r>
      <w:r w:rsidRPr="008534F2">
        <w:rPr>
          <w:rFonts w:ascii="Palatino Linotype" w:eastAsia="Palatino Linotype" w:hAnsi="Palatino Linotype" w:cs="Palatino Linotype"/>
          <w:i/>
        </w:rPr>
        <w:t>información que no es atendible en razón de que no corresponde con el ejercicio del derecho de acceso a la información, sino a manifestaciones subjetivas; situación por la cual el recurrente se inconformó toda vez que se puede apreciar a simple vista que en la solicitud inicial efectivamente no constituyen un derecho de acceso a la información pública y por lo tanto no es atendible mediante una solicitud de Acceso a la Información o bien mediante la presentación del medio de impugnación porque se tratan de manifestaciones subjetivas vertidas por el particular y declaraciones que no se colman con la entrega de documentos.</w:t>
      </w:r>
    </w:p>
    <w:p w:rsidR="002730BD" w:rsidRPr="008534F2" w:rsidRDefault="00824009">
      <w:pPr>
        <w:spacing w:line="360" w:lineRule="auto"/>
        <w:ind w:left="567" w:right="539"/>
        <w:jc w:val="both"/>
        <w:rPr>
          <w:rFonts w:ascii="Palatino Linotype" w:eastAsia="Palatino Linotype" w:hAnsi="Palatino Linotype" w:cs="Palatino Linotype"/>
          <w:i/>
        </w:rPr>
      </w:pPr>
      <w:r w:rsidRPr="008534F2">
        <w:rPr>
          <w:rFonts w:ascii="Palatino Linotype" w:eastAsia="Palatino Linotype" w:hAnsi="Palatino Linotype" w:cs="Palatino Linotype"/>
          <w:i/>
        </w:rPr>
        <w:t>…”</w:t>
      </w:r>
    </w:p>
    <w:p w:rsidR="002730BD" w:rsidRPr="008534F2" w:rsidRDefault="002730BD">
      <w:pPr>
        <w:spacing w:line="360" w:lineRule="auto"/>
        <w:ind w:left="567" w:right="539"/>
        <w:jc w:val="both"/>
        <w:rPr>
          <w:rFonts w:ascii="Palatino Linotype" w:eastAsia="Palatino Linotype" w:hAnsi="Palatino Linotype" w:cs="Palatino Linotype"/>
          <w:i/>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sz w:val="22"/>
          <w:szCs w:val="22"/>
        </w:rPr>
        <w:t>d). Vista del Informe Justificado</w:t>
      </w:r>
      <w:r w:rsidRPr="008534F2">
        <w:rPr>
          <w:rFonts w:ascii="Palatino Linotype" w:eastAsia="Palatino Linotype" w:hAnsi="Palatino Linotype" w:cs="Palatino Linotype"/>
          <w:sz w:val="22"/>
          <w:szCs w:val="22"/>
        </w:rPr>
        <w:t>. El dieciséis de octubre de dos mil veinticuatro, se dictó acuerdo mediante el cual se puso a la vista del Particular, el Informe Justificado, el cual le fue notificado, en esa misma fecha, a través del SAIMEX. No obstante, lo anterior, el Recurrente omitió realizar manifestación alguna que a su derecho conviniera y asistiera.</w:t>
      </w:r>
    </w:p>
    <w:p w:rsidR="002730BD" w:rsidRPr="008534F2" w:rsidRDefault="002730BD">
      <w:pPr>
        <w:spacing w:line="360" w:lineRule="auto"/>
        <w:jc w:val="both"/>
        <w:rPr>
          <w:rFonts w:ascii="Palatino Linotype" w:eastAsia="Palatino Linotype" w:hAnsi="Palatino Linotype" w:cs="Palatino Linotype"/>
          <w:b/>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sz w:val="22"/>
          <w:szCs w:val="22"/>
        </w:rPr>
        <w:t xml:space="preserve">e). Cierre de instrucción. </w:t>
      </w:r>
      <w:r w:rsidRPr="008534F2">
        <w:rPr>
          <w:rFonts w:ascii="Palatino Linotype" w:eastAsia="Palatino Linotype" w:hAnsi="Palatino Linotype" w:cs="Palatino Linotype"/>
          <w:sz w:val="22"/>
          <w:szCs w:val="22"/>
        </w:rPr>
        <w:t>El veintidós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rsidR="002730BD" w:rsidRPr="008534F2" w:rsidRDefault="002730BD">
      <w:pPr>
        <w:spacing w:line="360" w:lineRule="auto"/>
        <w:jc w:val="both"/>
        <w:rPr>
          <w:rFonts w:ascii="Palatino Linotype" w:eastAsia="Palatino Linotype" w:hAnsi="Palatino Linotype" w:cs="Palatino Linotype"/>
          <w:color w:val="000000"/>
          <w:sz w:val="22"/>
          <w:szCs w:val="22"/>
        </w:rPr>
      </w:pPr>
    </w:p>
    <w:p w:rsidR="002730BD" w:rsidRPr="008534F2" w:rsidRDefault="00824009">
      <w:pPr>
        <w:spacing w:line="360" w:lineRule="auto"/>
        <w:jc w:val="both"/>
        <w:rPr>
          <w:rFonts w:ascii="Palatino Linotype" w:eastAsia="Palatino Linotype" w:hAnsi="Palatino Linotype" w:cs="Palatino Linotype"/>
          <w:color w:val="000000"/>
          <w:sz w:val="22"/>
          <w:szCs w:val="22"/>
        </w:rPr>
      </w:pPr>
      <w:r w:rsidRPr="008534F2">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2730BD" w:rsidRPr="008534F2" w:rsidRDefault="002730BD">
      <w:pPr>
        <w:spacing w:line="360" w:lineRule="auto"/>
        <w:jc w:val="both"/>
        <w:rPr>
          <w:rFonts w:ascii="Palatino Linotype" w:eastAsia="Palatino Linotype" w:hAnsi="Palatino Linotype" w:cs="Palatino Linotype"/>
          <w:color w:val="000000"/>
          <w:sz w:val="22"/>
          <w:szCs w:val="22"/>
        </w:rPr>
      </w:pPr>
    </w:p>
    <w:p w:rsidR="002730BD" w:rsidRPr="008534F2" w:rsidRDefault="002730BD">
      <w:pPr>
        <w:spacing w:line="360" w:lineRule="auto"/>
        <w:jc w:val="center"/>
        <w:rPr>
          <w:rFonts w:ascii="Palatino Linotype" w:eastAsia="Palatino Linotype" w:hAnsi="Palatino Linotype" w:cs="Palatino Linotype"/>
          <w:b/>
          <w:sz w:val="22"/>
          <w:szCs w:val="22"/>
        </w:rPr>
      </w:pPr>
    </w:p>
    <w:p w:rsidR="002730BD" w:rsidRPr="008534F2" w:rsidRDefault="00824009">
      <w:pPr>
        <w:spacing w:line="360" w:lineRule="auto"/>
        <w:jc w:val="center"/>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sz w:val="22"/>
          <w:szCs w:val="22"/>
        </w:rPr>
        <w:t>C O N S I D E R A N D O S</w:t>
      </w:r>
    </w:p>
    <w:p w:rsidR="002730BD" w:rsidRPr="008534F2" w:rsidRDefault="002730BD">
      <w:pPr>
        <w:spacing w:line="360" w:lineRule="auto"/>
        <w:jc w:val="both"/>
        <w:rPr>
          <w:rFonts w:ascii="Palatino Linotype" w:eastAsia="Palatino Linotype" w:hAnsi="Palatino Linotype" w:cs="Palatino Linotype"/>
          <w:b/>
          <w:sz w:val="22"/>
          <w:szCs w:val="22"/>
        </w:rPr>
      </w:pPr>
    </w:p>
    <w:p w:rsidR="002730BD" w:rsidRPr="008534F2" w:rsidRDefault="00824009">
      <w:pPr>
        <w:spacing w:line="360" w:lineRule="auto"/>
        <w:jc w:val="both"/>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color w:val="000000"/>
          <w:sz w:val="22"/>
          <w:szCs w:val="22"/>
        </w:rPr>
        <w:t>PRIMERO</w:t>
      </w:r>
      <w:r w:rsidRPr="008534F2">
        <w:rPr>
          <w:rFonts w:ascii="Palatino Linotype" w:eastAsia="Palatino Linotype" w:hAnsi="Palatino Linotype" w:cs="Palatino Linotype"/>
          <w:color w:val="000000"/>
          <w:sz w:val="22"/>
          <w:szCs w:val="22"/>
        </w:rPr>
        <w:t xml:space="preserve">. </w:t>
      </w:r>
      <w:r w:rsidRPr="008534F2">
        <w:rPr>
          <w:rFonts w:ascii="Palatino Linotype" w:eastAsia="Palatino Linotype" w:hAnsi="Palatino Linotype" w:cs="Palatino Linotype"/>
          <w:b/>
          <w:sz w:val="22"/>
          <w:szCs w:val="22"/>
        </w:rPr>
        <w:t>Competencia</w:t>
      </w:r>
    </w:p>
    <w:p w:rsidR="002730BD" w:rsidRPr="008534F2" w:rsidRDefault="002730BD">
      <w:pPr>
        <w:spacing w:line="360" w:lineRule="auto"/>
        <w:jc w:val="both"/>
        <w:rPr>
          <w:rFonts w:ascii="Palatino Linotype" w:eastAsia="Palatino Linotype" w:hAnsi="Palatino Linotype" w:cs="Palatino Linotype"/>
          <w:b/>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8534F2">
        <w:rPr>
          <w:color w:val="000000"/>
        </w:rPr>
        <w:t xml:space="preserve"> 7°, </w:t>
      </w:r>
      <w:r w:rsidRPr="008534F2">
        <w:rPr>
          <w:rFonts w:ascii="Palatino Linotype" w:eastAsia="Palatino Linotype" w:hAnsi="Palatino Linotype" w:cs="Palatino Linotype"/>
          <w:color w:val="000000"/>
          <w:sz w:val="22"/>
          <w:szCs w:val="22"/>
        </w:rPr>
        <w:t>9°, fracciones I y XXIII y 11 del Reglamento Interior del Instituto de Transparencia, Acceso a la Información</w:t>
      </w:r>
      <w:r w:rsidRPr="008534F2">
        <w:rPr>
          <w:rFonts w:ascii="Palatino Linotype" w:eastAsia="Palatino Linotype" w:hAnsi="Palatino Linotype" w:cs="Palatino Linotype"/>
          <w:sz w:val="22"/>
          <w:szCs w:val="22"/>
        </w:rPr>
        <w:t xml:space="preserve"> Pública y Protección de Datos Personales del Estado de México y Municipios.</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color w:val="000000"/>
          <w:sz w:val="22"/>
          <w:szCs w:val="22"/>
        </w:rPr>
      </w:pPr>
      <w:r w:rsidRPr="008534F2">
        <w:rPr>
          <w:rFonts w:ascii="Palatino Linotype" w:eastAsia="Palatino Linotype" w:hAnsi="Palatino Linotype" w:cs="Palatino Linotype"/>
          <w:b/>
          <w:color w:val="000000"/>
          <w:sz w:val="22"/>
          <w:szCs w:val="22"/>
        </w:rPr>
        <w:t>SEGUNDO</w:t>
      </w:r>
      <w:r w:rsidRPr="008534F2">
        <w:rPr>
          <w:rFonts w:ascii="Palatino Linotype" w:eastAsia="Palatino Linotype" w:hAnsi="Palatino Linotype" w:cs="Palatino Linotype"/>
          <w:color w:val="000000"/>
          <w:sz w:val="22"/>
          <w:szCs w:val="22"/>
        </w:rPr>
        <w:t xml:space="preserve">. </w:t>
      </w:r>
      <w:r w:rsidRPr="008534F2">
        <w:rPr>
          <w:rFonts w:ascii="Palatino Linotype" w:eastAsia="Palatino Linotype" w:hAnsi="Palatino Linotype" w:cs="Palatino Linotype"/>
          <w:b/>
          <w:color w:val="000000"/>
          <w:sz w:val="22"/>
          <w:szCs w:val="22"/>
        </w:rPr>
        <w:t>Causales de improcedencia</w:t>
      </w:r>
      <w:r w:rsidRPr="008534F2">
        <w:rPr>
          <w:rFonts w:ascii="Palatino Linotype" w:eastAsia="Palatino Linotype" w:hAnsi="Palatino Linotype" w:cs="Palatino Linotype"/>
          <w:color w:val="000000"/>
          <w:sz w:val="22"/>
          <w:szCs w:val="22"/>
        </w:rPr>
        <w:t xml:space="preserve"> </w:t>
      </w:r>
    </w:p>
    <w:p w:rsidR="002730BD" w:rsidRPr="008534F2" w:rsidRDefault="002730BD">
      <w:pPr>
        <w:spacing w:line="360" w:lineRule="auto"/>
        <w:jc w:val="both"/>
        <w:rPr>
          <w:rFonts w:ascii="Palatino Linotype" w:eastAsia="Palatino Linotype" w:hAnsi="Palatino Linotype" w:cs="Palatino Linotype"/>
          <w:color w:val="000000"/>
          <w:sz w:val="22"/>
          <w:szCs w:val="22"/>
        </w:rPr>
      </w:pPr>
    </w:p>
    <w:p w:rsidR="002730BD" w:rsidRPr="008534F2" w:rsidRDefault="00824009">
      <w:pPr>
        <w:spacing w:line="360" w:lineRule="auto"/>
        <w:jc w:val="both"/>
        <w:rPr>
          <w:rFonts w:ascii="Palatino Linotype" w:eastAsia="Palatino Linotype" w:hAnsi="Palatino Linotype" w:cs="Palatino Linotype"/>
          <w:color w:val="000000"/>
          <w:sz w:val="22"/>
          <w:szCs w:val="22"/>
        </w:rPr>
      </w:pPr>
      <w:r w:rsidRPr="008534F2">
        <w:rPr>
          <w:rFonts w:ascii="Palatino Linotype" w:eastAsia="Palatino Linotype" w:hAnsi="Palatino Linotype" w:cs="Palatino Linotype"/>
          <w:color w:val="000000"/>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2730BD" w:rsidRPr="008534F2" w:rsidRDefault="002730BD">
      <w:pPr>
        <w:spacing w:line="360" w:lineRule="auto"/>
        <w:jc w:val="both"/>
        <w:rPr>
          <w:rFonts w:ascii="Palatino Linotype" w:eastAsia="Palatino Linotype" w:hAnsi="Palatino Linotype" w:cs="Palatino Linotype"/>
          <w:color w:val="000000"/>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color w:val="000000"/>
          <w:sz w:val="22"/>
          <w:szCs w:val="22"/>
        </w:rPr>
        <w:t xml:space="preserve">Aunado a lo anterior, el artículo 191 mencionado, indica, entre otras causales, que el Recurso de Revisión será desechado por improcedente cuando se trate de una consulta o trámite en específico. </w:t>
      </w:r>
      <w:r w:rsidRPr="008534F2">
        <w:rPr>
          <w:rFonts w:ascii="Palatino Linotype" w:eastAsia="Palatino Linotype" w:hAnsi="Palatino Linotype" w:cs="Palatino Linotype"/>
          <w:sz w:val="22"/>
          <w:szCs w:val="22"/>
        </w:rPr>
        <w:t>Una vez realizado el estudio de las constancias que integran el expediente en que se actúa, se desprende que el Particular solicitó a la Secretaría de Educación, Ciencia, Tecnología e Innovación, el proceso administrativo que realizó o gestionó un asesor de la Dirección General de Educación Media Superior, para que su esposa y hermana laboren en el mismo plantel educativo.</w:t>
      </w:r>
    </w:p>
    <w:p w:rsidR="002730BD" w:rsidRPr="008534F2" w:rsidRDefault="002730BD">
      <w:pPr>
        <w:tabs>
          <w:tab w:val="left" w:pos="4962"/>
        </w:tabs>
        <w:spacing w:line="360" w:lineRule="auto"/>
        <w:jc w:val="both"/>
        <w:rPr>
          <w:rFonts w:ascii="Palatino Linotype" w:eastAsia="Palatino Linotype" w:hAnsi="Palatino Linotype" w:cs="Palatino Linotype"/>
          <w:sz w:val="22"/>
          <w:szCs w:val="22"/>
        </w:rPr>
      </w:pPr>
    </w:p>
    <w:p w:rsidR="002730BD" w:rsidRPr="008534F2" w:rsidRDefault="00824009">
      <w:pPr>
        <w:tabs>
          <w:tab w:val="left" w:pos="4962"/>
        </w:tabs>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Derivado de lo anterior, se consultó el Portal de Información Pública de Oficio Mexiquense (IPOMEX) del Sujeto Obligado en el que se observa que la persona mencionada en la solicitud si labora en la Dirección General de Educación Media Superior, con la categoría de investigador educativo como se muestra con la siguiente imagen:</w:t>
      </w:r>
    </w:p>
    <w:p w:rsidR="002730BD" w:rsidRPr="008534F2" w:rsidRDefault="002730BD">
      <w:pPr>
        <w:tabs>
          <w:tab w:val="left" w:pos="4962"/>
        </w:tabs>
        <w:spacing w:line="360" w:lineRule="auto"/>
        <w:jc w:val="both"/>
        <w:rPr>
          <w:rFonts w:ascii="Palatino Linotype" w:eastAsia="Palatino Linotype" w:hAnsi="Palatino Linotype" w:cs="Palatino Linotype"/>
          <w:sz w:val="22"/>
          <w:szCs w:val="22"/>
        </w:rPr>
      </w:pPr>
    </w:p>
    <w:p w:rsidR="002730BD" w:rsidRPr="008534F2" w:rsidRDefault="00824009">
      <w:pPr>
        <w:tabs>
          <w:tab w:val="left" w:pos="4962"/>
        </w:tabs>
        <w:spacing w:line="360" w:lineRule="auto"/>
        <w:jc w:val="center"/>
        <w:rPr>
          <w:rFonts w:ascii="Palatino Linotype" w:eastAsia="Palatino Linotype" w:hAnsi="Palatino Linotype" w:cs="Palatino Linotype"/>
          <w:sz w:val="22"/>
          <w:szCs w:val="22"/>
        </w:rPr>
      </w:pPr>
      <w:r w:rsidRPr="008534F2">
        <w:rPr>
          <w:rFonts w:ascii="Palatino Linotype" w:eastAsia="Palatino Linotype" w:hAnsi="Palatino Linotype" w:cs="Palatino Linotype"/>
          <w:noProof/>
          <w:sz w:val="22"/>
          <w:szCs w:val="22"/>
          <w:lang w:eastAsia="es-MX"/>
        </w:rPr>
        <w:lastRenderedPageBreak/>
        <w:drawing>
          <wp:inline distT="0" distB="0" distL="0" distR="0">
            <wp:extent cx="4558691" cy="2566658"/>
            <wp:effectExtent l="0" t="0" r="0" b="0"/>
            <wp:docPr id="16230097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58691" cy="2566658"/>
                    </a:xfrm>
                    <a:prstGeom prst="rect">
                      <a:avLst/>
                    </a:prstGeom>
                    <a:ln/>
                  </pic:spPr>
                </pic:pic>
              </a:graphicData>
            </a:graphic>
          </wp:inline>
        </w:drawing>
      </w:r>
      <w:r w:rsidRPr="008534F2">
        <w:rPr>
          <w:noProof/>
          <w:lang w:eastAsia="es-MX"/>
        </w:rPr>
        <mc:AlternateContent>
          <mc:Choice Requires="wpg">
            <w:drawing>
              <wp:anchor distT="0" distB="0" distL="114300" distR="114300" simplePos="0" relativeHeight="251658240" behindDoc="0" locked="0" layoutInCell="1" hidden="0" allowOverlap="1">
                <wp:simplePos x="0" y="0"/>
                <wp:positionH relativeFrom="column">
                  <wp:posOffset>1778000</wp:posOffset>
                </wp:positionH>
                <wp:positionV relativeFrom="paragraph">
                  <wp:posOffset>38100</wp:posOffset>
                </wp:positionV>
                <wp:extent cx="3200400" cy="628650"/>
                <wp:effectExtent l="0" t="0" r="0" b="0"/>
                <wp:wrapNone/>
                <wp:docPr id="1623009778" name="Rectángulo 1623009778"/>
                <wp:cNvGraphicFramePr/>
                <a:graphic xmlns:a="http://schemas.openxmlformats.org/drawingml/2006/main">
                  <a:graphicData uri="http://schemas.microsoft.com/office/word/2010/wordprocessingShape">
                    <wps:wsp>
                      <wps:cNvSpPr/>
                      <wps:spPr>
                        <a:xfrm>
                          <a:off x="3764850" y="3484725"/>
                          <a:ext cx="3162300" cy="590550"/>
                        </a:xfrm>
                        <a:prstGeom prst="rect">
                          <a:avLst/>
                        </a:prstGeom>
                        <a:noFill/>
                        <a:ln w="38100" cap="flat" cmpd="sng">
                          <a:solidFill>
                            <a:srgbClr val="FF0000"/>
                          </a:solidFill>
                          <a:prstDash val="solid"/>
                          <a:miter lim="800000"/>
                          <a:headEnd type="none" w="sm" len="sm"/>
                          <a:tailEnd type="none" w="sm" len="sm"/>
                        </a:ln>
                      </wps:spPr>
                      <wps:txbx>
                        <w:txbxContent>
                          <w:p w:rsidR="002730BD" w:rsidRDefault="002730B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3200400" cy="628650"/>
                <wp:effectExtent b="0" l="0" r="0" t="0"/>
                <wp:wrapNone/>
                <wp:docPr id="162300977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00400" cy="628650"/>
                        </a:xfrm>
                        <a:prstGeom prst="rect"/>
                        <a:ln/>
                      </pic:spPr>
                    </pic:pic>
                  </a:graphicData>
                </a:graphic>
              </wp:anchor>
            </w:drawing>
          </mc:Fallback>
        </mc:AlternateContent>
      </w:r>
    </w:p>
    <w:p w:rsidR="002730BD" w:rsidRPr="008534F2" w:rsidRDefault="002730BD">
      <w:pPr>
        <w:tabs>
          <w:tab w:val="left" w:pos="4962"/>
        </w:tabs>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Derivado de lo anterior, se consultó el Reglamento Interior de la Secretaría de Educación, Ciencia, Tecnología e Innovación que señala en su artículo 23, las atribuciones de la Dirección General de Educación Media Superior dentro de las que se encuentra entre otras la de promover los programas de capacitación, actualización y profesionalización de las personas servidoras públicas docentes que laboren en los planteles de educación media superior del Subsistema Educativo Estatal, de conformidad con las disposiciones legales aplicables; mas no se advierte cuente con las atribuciones de realizar los procesos o gestiones requeridas por el Particular.</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Derivado de lo anterior, se advierte que la solicitud del Particular va encaminada a un pronunciamiento en específico por parte del Sujeto Obligado por lo que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w:t>
      </w:r>
      <w:r w:rsidRPr="008534F2">
        <w:rPr>
          <w:rFonts w:ascii="Palatino Linotype" w:eastAsia="Palatino Linotype" w:hAnsi="Palatino Linotype" w:cs="Palatino Linotype"/>
          <w:sz w:val="22"/>
          <w:szCs w:val="22"/>
        </w:rPr>
        <w:lastRenderedPageBreak/>
        <w:t>Mexicanos, el cual deberá garantizarse ordenando la entrega de tales documentales, siempre y cuando éstas sean de acceso público.</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Así que, hay que hacer un énfasis en que la interrogante del Particular, no constituye un derecho de acceso a la información pública y por lo tanto no es atendible mediante una solicitud de Acceso a la Información, porque se tratan de manifestaciones subjetivas vertidas por el particular, </w:t>
      </w:r>
      <w:r w:rsidRPr="008534F2">
        <w:rPr>
          <w:rFonts w:ascii="Palatino Linotype" w:eastAsia="Palatino Linotype" w:hAnsi="Palatino Linotype" w:cs="Palatino Linotype"/>
          <w:b/>
          <w:sz w:val="22"/>
          <w:szCs w:val="22"/>
        </w:rPr>
        <w:t>interrogantes</w:t>
      </w:r>
      <w:r w:rsidRPr="008534F2">
        <w:rPr>
          <w:rFonts w:ascii="Palatino Linotype" w:eastAsia="Palatino Linotype" w:hAnsi="Palatino Linotype" w:cs="Palatino Linotype"/>
          <w:sz w:val="22"/>
          <w:szCs w:val="22"/>
        </w:rPr>
        <w:t xml:space="preserve"> y declaraciones que no se colman con la entrega de documentos, situación que conlleva a afirmar que se está en presencia del ejercicio del derecho de petición, al requerir un pronunciamiento en sentido afirmativo y/o negativo, cuando además resulta ser un trámite en específico el cual se encuentra establecido en la normatividad aplicable.</w:t>
      </w: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Por lo que la entrega de una razón o un razonamiento por parte del Sujeto Obligado no es algo que la ley establezca como atribución, derecho, o facultad; pues ello implicaría un juicio de valor referente a un cuestionamiento realizado, los cuales, al constituir interrogantes, inquietudes y manifestaciones se satisfacen vía derecho de petición, ya que de la respuesta proporcionada no satisface la interrogante del Particular ya que incluso se encuentra comparando respuestas y una respuesta en sentido negativo como fue el caso, no se da por satisfecho ya que requiere un pronunciamiento en específico.</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Para ello, la Ley de la materia otorga la calidad de documento a los expedientes, reportes, estudios, actas, resoluciones, oficios, correspondencia, acuerdos, directivas, directrices, </w:t>
      </w:r>
      <w:r w:rsidRPr="008534F2">
        <w:rPr>
          <w:rFonts w:ascii="Palatino Linotype" w:eastAsia="Palatino Linotype" w:hAnsi="Palatino Linotype" w:cs="Palatino Linotype"/>
          <w:sz w:val="22"/>
          <w:szCs w:val="22"/>
        </w:rPr>
        <w:lastRenderedPageBreak/>
        <w:t>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De lo anterior,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tabs>
          <w:tab w:val="left" w:pos="4962"/>
        </w:tabs>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8534F2">
        <w:rPr>
          <w:rFonts w:ascii="Palatino Linotype" w:eastAsia="Palatino Linotype" w:hAnsi="Palatino Linotype" w:cs="Palatino Linotype"/>
          <w:i/>
          <w:sz w:val="22"/>
          <w:szCs w:val="22"/>
        </w:rPr>
        <w:t>ad hoc</w:t>
      </w:r>
      <w:r w:rsidRPr="008534F2">
        <w:rPr>
          <w:rFonts w:ascii="Palatino Linotype" w:eastAsia="Palatino Linotype" w:hAnsi="Palatino Linotype" w:cs="Palatino Linotype"/>
          <w:sz w:val="22"/>
          <w:szCs w:val="22"/>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01/21 del Instituto Nacional de Transparencia, Acceso a la Información y Protección de Datos Personales que a continuación se cita:</w:t>
      </w:r>
    </w:p>
    <w:p w:rsidR="002730BD" w:rsidRPr="008534F2" w:rsidRDefault="002730BD">
      <w:pPr>
        <w:spacing w:line="360" w:lineRule="auto"/>
        <w:ind w:left="567" w:right="567"/>
        <w:jc w:val="both"/>
        <w:rPr>
          <w:rFonts w:ascii="Palatino Linotype" w:eastAsia="Palatino Linotype" w:hAnsi="Palatino Linotype" w:cs="Palatino Linotype"/>
          <w:b/>
          <w:sz w:val="22"/>
          <w:szCs w:val="22"/>
        </w:rPr>
      </w:pPr>
    </w:p>
    <w:p w:rsidR="002730BD" w:rsidRPr="008534F2" w:rsidRDefault="00824009">
      <w:pPr>
        <w:spacing w:line="360" w:lineRule="auto"/>
        <w:ind w:left="567" w:right="567"/>
        <w:jc w:val="both"/>
        <w:rPr>
          <w:rFonts w:ascii="Palatino Linotype" w:eastAsia="Palatino Linotype" w:hAnsi="Palatino Linotype" w:cs="Palatino Linotype"/>
          <w:i/>
        </w:rPr>
      </w:pPr>
      <w:r w:rsidRPr="008534F2">
        <w:rPr>
          <w:rFonts w:ascii="Palatino Linotype" w:eastAsia="Palatino Linotype" w:hAnsi="Palatino Linotype" w:cs="Palatino Linotype"/>
          <w:b/>
          <w:i/>
        </w:rPr>
        <w:t xml:space="preserve">“No existe obligación de elaborar documentos ad hoc para la atención de solicitudes de acceso a datos personales. </w:t>
      </w:r>
      <w:r w:rsidRPr="008534F2">
        <w:rPr>
          <w:rFonts w:ascii="Palatino Linotype" w:eastAsia="Palatino Linotype" w:hAnsi="Palatino Linotype" w:cs="Palatino Linotype"/>
          <w:i/>
        </w:rPr>
        <w:t xml:space="preserve">Se tendrá por satisfecha la solicitud de acceso a datos personales cuando el sujeto obligado proporcione la expresión documental que los contenga en el formato en el </w:t>
      </w:r>
      <w:r w:rsidRPr="008534F2">
        <w:rPr>
          <w:rFonts w:ascii="Palatino Linotype" w:eastAsia="Palatino Linotype" w:hAnsi="Palatino Linotype" w:cs="Palatino Linotype"/>
          <w:i/>
        </w:rPr>
        <w:lastRenderedPageBreak/>
        <w:t>que los mismos obren en sus archivos, sin necesidad de elaborar documentos ad hoc para la respuesta de las solicitudes.”</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color w:val="000000"/>
          <w:sz w:val="22"/>
          <w:szCs w:val="22"/>
        </w:rPr>
      </w:pPr>
      <w:r w:rsidRPr="008534F2">
        <w:rPr>
          <w:rFonts w:ascii="Palatino Linotype" w:eastAsia="Palatino Linotype" w:hAnsi="Palatino Linotype" w:cs="Palatino Linotype"/>
          <w:sz w:val="22"/>
          <w:szCs w:val="22"/>
        </w:rPr>
        <w:t xml:space="preserve">En conclusión, la Secretaría de Educación, Ciencia, Tecnología e Innovación, no se encuentra obligado a atender interrogantes del Particular que no encuadren en el derecho de acceso a la información. </w:t>
      </w:r>
      <w:r w:rsidRPr="008534F2">
        <w:rPr>
          <w:rFonts w:ascii="Palatino Linotype" w:eastAsia="Palatino Linotype" w:hAnsi="Palatino Linotype" w:cs="Palatino Linotype"/>
          <w:color w:val="000000"/>
          <w:sz w:val="22"/>
          <w:szCs w:val="22"/>
        </w:rPr>
        <w:t>Por lo señalado, el presente Recurso de Revisión actualiza la causal de sobreseimiento, prevista en el artículo 192, fracción IV, de la Ley de Transparencia y Acceso a la Información Pública del Estado de México y Municipios; por actualizarse la causal de improcedencia, establecida en el artículo 191, fracción VI, esto es el Recurso se presentó en forma de consulta.</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sz w:val="22"/>
          <w:szCs w:val="22"/>
        </w:rPr>
        <w:t>TERCERO. Decisión</w:t>
      </w:r>
    </w:p>
    <w:p w:rsidR="002730BD" w:rsidRPr="008534F2" w:rsidRDefault="002730BD">
      <w:pPr>
        <w:spacing w:line="360" w:lineRule="auto"/>
        <w:jc w:val="both"/>
        <w:rPr>
          <w:rFonts w:ascii="Palatino Linotype" w:eastAsia="Palatino Linotype" w:hAnsi="Palatino Linotype" w:cs="Palatino Linotype"/>
          <w:b/>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Con fundamento en el artículo 186, fracción I, de la Ley de Transparencia y Acceso a la Información Pública del Estado de México y Municipios, este Instituto considera procedente </w:t>
      </w:r>
      <w:r w:rsidRPr="008534F2">
        <w:rPr>
          <w:rFonts w:ascii="Palatino Linotype" w:eastAsia="Palatino Linotype" w:hAnsi="Palatino Linotype" w:cs="Palatino Linotype"/>
          <w:b/>
          <w:sz w:val="22"/>
          <w:szCs w:val="22"/>
        </w:rPr>
        <w:t xml:space="preserve">SOBRESEER </w:t>
      </w:r>
      <w:r w:rsidRPr="008534F2">
        <w:rPr>
          <w:rFonts w:ascii="Palatino Linotype" w:eastAsia="Palatino Linotype" w:hAnsi="Palatino Linotype" w:cs="Palatino Linotype"/>
          <w:sz w:val="22"/>
          <w:szCs w:val="22"/>
        </w:rPr>
        <w:t xml:space="preserve">la respuesta otorgada por el Sujeto Obligado. </w:t>
      </w:r>
    </w:p>
    <w:p w:rsidR="002730BD" w:rsidRPr="008534F2" w:rsidRDefault="002730BD">
      <w:pPr>
        <w:spacing w:line="360" w:lineRule="auto"/>
        <w:jc w:val="both"/>
        <w:rPr>
          <w:rFonts w:ascii="Palatino Linotype" w:eastAsia="Palatino Linotype" w:hAnsi="Palatino Linotype" w:cs="Palatino Linotype"/>
          <w:b/>
          <w:sz w:val="22"/>
          <w:szCs w:val="22"/>
          <w:u w:val="single"/>
        </w:rPr>
      </w:pPr>
    </w:p>
    <w:p w:rsidR="002730BD" w:rsidRPr="008534F2" w:rsidRDefault="00824009">
      <w:pPr>
        <w:spacing w:line="360" w:lineRule="auto"/>
        <w:jc w:val="both"/>
        <w:rPr>
          <w:rFonts w:ascii="Palatino Linotype" w:eastAsia="Palatino Linotype" w:hAnsi="Palatino Linotype" w:cs="Palatino Linotype"/>
          <w:b/>
          <w:sz w:val="22"/>
          <w:szCs w:val="22"/>
          <w:u w:val="single"/>
        </w:rPr>
      </w:pPr>
      <w:r w:rsidRPr="008534F2">
        <w:rPr>
          <w:rFonts w:ascii="Palatino Linotype" w:eastAsia="Palatino Linotype" w:hAnsi="Palatino Linotype" w:cs="Palatino Linotype"/>
          <w:b/>
          <w:sz w:val="22"/>
          <w:szCs w:val="22"/>
          <w:u w:val="single"/>
        </w:rPr>
        <w:t>Términos de la Resolución para el Recurrente</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Este Instituto Garante, determinó </w:t>
      </w:r>
      <w:r w:rsidRPr="008534F2">
        <w:rPr>
          <w:rFonts w:ascii="Palatino Linotype" w:eastAsia="Palatino Linotype" w:hAnsi="Palatino Linotype" w:cs="Palatino Linotype"/>
          <w:b/>
          <w:sz w:val="22"/>
          <w:szCs w:val="22"/>
        </w:rPr>
        <w:t>Sobreseer</w:t>
      </w:r>
      <w:r w:rsidRPr="008534F2">
        <w:rPr>
          <w:rFonts w:ascii="Palatino Linotype" w:eastAsia="Palatino Linotype" w:hAnsi="Palatino Linotype" w:cs="Palatino Linotype"/>
          <w:sz w:val="22"/>
          <w:szCs w:val="22"/>
        </w:rPr>
        <w:t xml:space="preserve"> el presente Recurso de Revisión, toda vez que la solicitud de acceso a la información no encuadra en los supuestos establecidos de la Ley de la materia. </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La labor del Instituto de Transparencia Acceso a la Información Pública y Protección de Datos Personales del Estado de México y Municipios, es apoyar a la población para acceder a la información pública y garantizar la protección de sus datos personales. </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Por lo expuesto y fundado, este Pleno:</w:t>
      </w:r>
    </w:p>
    <w:p w:rsidR="002730BD" w:rsidRPr="008534F2" w:rsidRDefault="002730BD">
      <w:pPr>
        <w:spacing w:line="360" w:lineRule="auto"/>
        <w:ind w:right="-93"/>
        <w:jc w:val="both"/>
        <w:rPr>
          <w:rFonts w:ascii="Palatino Linotype" w:eastAsia="Palatino Linotype" w:hAnsi="Palatino Linotype" w:cs="Palatino Linotype"/>
          <w:sz w:val="22"/>
          <w:szCs w:val="22"/>
        </w:rPr>
      </w:pPr>
    </w:p>
    <w:p w:rsidR="002730BD" w:rsidRPr="008534F2" w:rsidRDefault="00824009">
      <w:pPr>
        <w:spacing w:line="360" w:lineRule="auto"/>
        <w:ind w:right="-91"/>
        <w:jc w:val="center"/>
        <w:rPr>
          <w:rFonts w:ascii="Palatino Linotype" w:eastAsia="Palatino Linotype" w:hAnsi="Palatino Linotype" w:cs="Palatino Linotype"/>
          <w:b/>
          <w:sz w:val="22"/>
          <w:szCs w:val="22"/>
        </w:rPr>
      </w:pPr>
      <w:r w:rsidRPr="008534F2">
        <w:rPr>
          <w:rFonts w:ascii="Palatino Linotype" w:eastAsia="Palatino Linotype" w:hAnsi="Palatino Linotype" w:cs="Palatino Linotype"/>
          <w:b/>
          <w:sz w:val="22"/>
          <w:szCs w:val="22"/>
        </w:rPr>
        <w:t>R E S U E L V E</w:t>
      </w:r>
    </w:p>
    <w:p w:rsidR="002730BD" w:rsidRPr="008534F2" w:rsidRDefault="002730BD">
      <w:pPr>
        <w:spacing w:line="360" w:lineRule="auto"/>
        <w:jc w:val="center"/>
        <w:rPr>
          <w:rFonts w:ascii="Palatino Linotype" w:eastAsia="Palatino Linotype" w:hAnsi="Palatino Linotype" w:cs="Palatino Linotype"/>
          <w:b/>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sz w:val="22"/>
          <w:szCs w:val="22"/>
        </w:rPr>
        <w:t xml:space="preserve">PRIMERO. </w:t>
      </w:r>
      <w:r w:rsidRPr="008534F2">
        <w:rPr>
          <w:rFonts w:ascii="Palatino Linotype" w:eastAsia="Palatino Linotype" w:hAnsi="Palatino Linotype" w:cs="Palatino Linotype"/>
          <w:sz w:val="22"/>
          <w:szCs w:val="22"/>
        </w:rPr>
        <w:t xml:space="preserve">Se </w:t>
      </w:r>
      <w:r w:rsidRPr="008534F2">
        <w:rPr>
          <w:rFonts w:ascii="Palatino Linotype" w:eastAsia="Palatino Linotype" w:hAnsi="Palatino Linotype" w:cs="Palatino Linotype"/>
          <w:b/>
          <w:sz w:val="22"/>
          <w:szCs w:val="22"/>
        </w:rPr>
        <w:t>SOBRESEE</w:t>
      </w:r>
      <w:r w:rsidRPr="008534F2">
        <w:rPr>
          <w:rFonts w:ascii="Palatino Linotype" w:eastAsia="Palatino Linotype" w:hAnsi="Palatino Linotype" w:cs="Palatino Linotype"/>
          <w:sz w:val="22"/>
          <w:szCs w:val="22"/>
        </w:rPr>
        <w:t xml:space="preserve"> el Recurso de Revisión </w:t>
      </w:r>
      <w:r w:rsidRPr="008534F2">
        <w:rPr>
          <w:rFonts w:ascii="Palatino Linotype" w:eastAsia="Palatino Linotype" w:hAnsi="Palatino Linotype" w:cs="Palatino Linotype"/>
          <w:b/>
          <w:sz w:val="22"/>
          <w:szCs w:val="22"/>
        </w:rPr>
        <w:t>05771/INFOEM/IP/RR/2024</w:t>
      </w:r>
      <w:r w:rsidRPr="008534F2">
        <w:rPr>
          <w:rFonts w:ascii="Palatino Linotype" w:eastAsia="Palatino Linotype" w:hAnsi="Palatino Linotype" w:cs="Palatino Linotype"/>
          <w:sz w:val="22"/>
          <w:szCs w:val="22"/>
        </w:rPr>
        <w:t>, de conformidad con el artículo 192, fracción IV, por actualizarse la causal de improcedencia, establecida en el artículo 191, fracción VI, ambos de la Ley de Transparencia y Acceso a la Información Pública del Estado de México y Municipios, en términos de los Considerandos QUINTO y SEXTO</w:t>
      </w:r>
      <w:r w:rsidRPr="008534F2">
        <w:rPr>
          <w:rFonts w:ascii="Palatino Linotype" w:eastAsia="Palatino Linotype" w:hAnsi="Palatino Linotype" w:cs="Palatino Linotype"/>
          <w:b/>
          <w:sz w:val="22"/>
          <w:szCs w:val="22"/>
        </w:rPr>
        <w:t xml:space="preserve"> </w:t>
      </w:r>
      <w:r w:rsidRPr="008534F2">
        <w:rPr>
          <w:rFonts w:ascii="Palatino Linotype" w:eastAsia="Palatino Linotype" w:hAnsi="Palatino Linotype" w:cs="Palatino Linotype"/>
          <w:sz w:val="22"/>
          <w:szCs w:val="22"/>
        </w:rPr>
        <w:t xml:space="preserve">de esta Resolución.  </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i/>
          <w:sz w:val="22"/>
          <w:szCs w:val="22"/>
        </w:rPr>
      </w:pPr>
      <w:r w:rsidRPr="008534F2">
        <w:rPr>
          <w:rFonts w:ascii="Palatino Linotype" w:eastAsia="Palatino Linotype" w:hAnsi="Palatino Linotype" w:cs="Palatino Linotype"/>
          <w:b/>
          <w:sz w:val="22"/>
          <w:szCs w:val="22"/>
        </w:rPr>
        <w:t xml:space="preserve">SEGUNDO. NOTIFÍQUESE POR SAIMEX </w:t>
      </w:r>
      <w:r w:rsidRPr="008534F2">
        <w:rPr>
          <w:rFonts w:ascii="Palatino Linotype" w:eastAsia="Palatino Linotype" w:hAnsi="Palatino Linotype" w:cs="Palatino Linotype"/>
          <w:sz w:val="22"/>
          <w:szCs w:val="22"/>
        </w:rPr>
        <w:t>la presente resolución al Titular de la Unidad de Transparencia del Sujeto Obligado.</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Pr="008534F2"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b/>
          <w:sz w:val="22"/>
          <w:szCs w:val="22"/>
        </w:rPr>
        <w:t>TERCERO. NOTIFÍQUESE POR SAIMEX</w:t>
      </w:r>
      <w:r w:rsidRPr="008534F2">
        <w:rPr>
          <w:rFonts w:ascii="Palatino Linotype" w:eastAsia="Palatino Linotype" w:hAnsi="Palatino Linotype" w:cs="Palatino Linotype"/>
          <w:sz w:val="22"/>
          <w:szCs w:val="22"/>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2730BD" w:rsidRPr="008534F2" w:rsidRDefault="002730BD">
      <w:pPr>
        <w:spacing w:line="360" w:lineRule="auto"/>
        <w:jc w:val="both"/>
        <w:rPr>
          <w:rFonts w:ascii="Palatino Linotype" w:eastAsia="Palatino Linotype" w:hAnsi="Palatino Linotype" w:cs="Palatino Linotype"/>
          <w:sz w:val="22"/>
          <w:szCs w:val="22"/>
        </w:rPr>
      </w:pPr>
    </w:p>
    <w:p w:rsidR="002730BD" w:rsidRDefault="00824009">
      <w:pPr>
        <w:spacing w:line="360" w:lineRule="auto"/>
        <w:jc w:val="both"/>
        <w:rPr>
          <w:rFonts w:ascii="Palatino Linotype" w:eastAsia="Palatino Linotype" w:hAnsi="Palatino Linotype" w:cs="Palatino Linotype"/>
          <w:sz w:val="22"/>
          <w:szCs w:val="22"/>
        </w:rPr>
      </w:pPr>
      <w:r w:rsidRPr="008534F2">
        <w:rPr>
          <w:rFonts w:ascii="Palatino Linotype" w:eastAsia="Palatino Linotype" w:hAnsi="Palatino Linotype" w:cs="Palatino Linotype"/>
          <w:sz w:val="22"/>
          <w:szCs w:val="22"/>
        </w:rPr>
        <w:t xml:space="preserve">ASÍ LO RESUELVE, POR </w:t>
      </w:r>
      <w:r w:rsidRPr="008534F2">
        <w:rPr>
          <w:rFonts w:ascii="Palatino Linotype" w:eastAsia="Palatino Linotype" w:hAnsi="Palatino Linotype" w:cs="Palatino Linotype"/>
          <w:b/>
          <w:sz w:val="22"/>
          <w:szCs w:val="22"/>
        </w:rPr>
        <w:t>UNANIMIDAD</w:t>
      </w:r>
      <w:r w:rsidRPr="008534F2">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w:t>
      </w:r>
      <w:r w:rsidRPr="008534F2">
        <w:rPr>
          <w:rFonts w:ascii="Palatino Linotype" w:eastAsia="Palatino Linotype" w:hAnsi="Palatino Linotype" w:cs="Palatino Linotype"/>
          <w:sz w:val="22"/>
          <w:szCs w:val="22"/>
        </w:rPr>
        <w:lastRenderedPageBreak/>
        <w:t>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E725A4" w:rsidRDefault="00E725A4">
      <w:pPr>
        <w:spacing w:line="360" w:lineRule="auto"/>
        <w:jc w:val="both"/>
        <w:rPr>
          <w:rFonts w:ascii="Palatino Linotype" w:eastAsia="Palatino Linotype" w:hAnsi="Palatino Linotype" w:cs="Palatino Linotype"/>
          <w:sz w:val="22"/>
          <w:szCs w:val="22"/>
        </w:rPr>
      </w:pPr>
    </w:p>
    <w:p w:rsidR="00E725A4" w:rsidRDefault="00E725A4">
      <w:pPr>
        <w:spacing w:line="360" w:lineRule="auto"/>
        <w:jc w:val="both"/>
        <w:rPr>
          <w:rFonts w:ascii="Palatino Linotype" w:eastAsia="Palatino Linotype" w:hAnsi="Palatino Linotype" w:cs="Palatino Linotype"/>
          <w:sz w:val="22"/>
          <w:szCs w:val="22"/>
        </w:rPr>
      </w:pPr>
    </w:p>
    <w:p w:rsidR="00E725A4" w:rsidRDefault="00E725A4">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p w:rsidR="002730BD" w:rsidRDefault="002730BD">
      <w:pPr>
        <w:spacing w:line="360" w:lineRule="auto"/>
        <w:jc w:val="both"/>
        <w:rPr>
          <w:rFonts w:ascii="Palatino Linotype" w:eastAsia="Palatino Linotype" w:hAnsi="Palatino Linotype" w:cs="Palatino Linotype"/>
          <w:sz w:val="22"/>
          <w:szCs w:val="22"/>
        </w:rPr>
      </w:pPr>
    </w:p>
    <w:sectPr w:rsidR="002730BD">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A0" w:rsidRDefault="001A06A0">
      <w:r>
        <w:separator/>
      </w:r>
    </w:p>
  </w:endnote>
  <w:endnote w:type="continuationSeparator" w:id="0">
    <w:p w:rsidR="001A06A0" w:rsidRDefault="001A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BD" w:rsidRDefault="0082400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8303E">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8303E">
      <w:rPr>
        <w:b/>
        <w:noProof/>
        <w:color w:val="000000"/>
        <w:sz w:val="24"/>
        <w:szCs w:val="24"/>
      </w:rPr>
      <w:t>13</w:t>
    </w:r>
    <w:r>
      <w:rPr>
        <w:b/>
        <w:color w:val="000000"/>
        <w:sz w:val="24"/>
        <w:szCs w:val="24"/>
      </w:rPr>
      <w:fldChar w:fldCharType="end"/>
    </w:r>
  </w:p>
  <w:p w:rsidR="002730BD" w:rsidRDefault="002730B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BD" w:rsidRDefault="0082400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8303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8303E">
      <w:rPr>
        <w:b/>
        <w:noProof/>
        <w:color w:val="000000"/>
        <w:sz w:val="24"/>
        <w:szCs w:val="24"/>
      </w:rPr>
      <w:t>13</w:t>
    </w:r>
    <w:r>
      <w:rPr>
        <w:b/>
        <w:color w:val="000000"/>
        <w:sz w:val="24"/>
        <w:szCs w:val="24"/>
      </w:rPr>
      <w:fldChar w:fldCharType="end"/>
    </w:r>
  </w:p>
  <w:p w:rsidR="002730BD" w:rsidRDefault="002730B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A0" w:rsidRDefault="001A06A0">
      <w:r>
        <w:separator/>
      </w:r>
    </w:p>
  </w:footnote>
  <w:footnote w:type="continuationSeparator" w:id="0">
    <w:p w:rsidR="001A06A0" w:rsidRDefault="001A0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BD" w:rsidRDefault="001A06A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BD" w:rsidRDefault="002730BD">
    <w:pPr>
      <w:widowControl w:val="0"/>
      <w:pBdr>
        <w:top w:val="nil"/>
        <w:left w:val="nil"/>
        <w:bottom w:val="nil"/>
        <w:right w:val="nil"/>
        <w:between w:val="nil"/>
      </w:pBdr>
      <w:spacing w:line="276" w:lineRule="auto"/>
      <w:rPr>
        <w:color w:val="000000"/>
      </w:rPr>
    </w:pPr>
  </w:p>
  <w:tbl>
    <w:tblPr>
      <w:tblStyle w:val="a"/>
      <w:tblW w:w="9568" w:type="dxa"/>
      <w:tblInd w:w="0" w:type="dxa"/>
      <w:tblLayout w:type="fixed"/>
      <w:tblLook w:val="0400" w:firstRow="0" w:lastRow="0" w:firstColumn="0" w:lastColumn="0" w:noHBand="0" w:noVBand="1"/>
    </w:tblPr>
    <w:tblGrid>
      <w:gridCol w:w="2835"/>
      <w:gridCol w:w="6733"/>
    </w:tblGrid>
    <w:tr w:rsidR="002730BD">
      <w:trPr>
        <w:trHeight w:val="1435"/>
      </w:trPr>
      <w:tc>
        <w:tcPr>
          <w:tcW w:w="2835" w:type="dxa"/>
          <w:shd w:val="clear" w:color="auto" w:fill="auto"/>
        </w:tcPr>
        <w:p w:rsidR="002730BD" w:rsidRDefault="00E725A4">
          <w:pPr>
            <w:tabs>
              <w:tab w:val="right" w:pos="4273"/>
            </w:tabs>
            <w:rPr>
              <w:rFonts w:ascii="Garamond" w:eastAsia="Garamond" w:hAnsi="Garamond" w:cs="Garamond"/>
              <w:sz w:val="16"/>
              <w:szCs w:val="16"/>
            </w:rPr>
          </w:pPr>
          <w:r>
            <w:rPr>
              <w:noProof/>
              <w:lang w:eastAsia="es-MX"/>
            </w:rPr>
            <w:drawing>
              <wp:anchor distT="0" distB="0" distL="0" distR="0" simplePos="0" relativeHeight="251656704" behindDoc="1" locked="0" layoutInCell="1" hidden="0" allowOverlap="1">
                <wp:simplePos x="0" y="0"/>
                <wp:positionH relativeFrom="column">
                  <wp:posOffset>-1412875</wp:posOffset>
                </wp:positionH>
                <wp:positionV relativeFrom="paragraph">
                  <wp:posOffset>-371475</wp:posOffset>
                </wp:positionV>
                <wp:extent cx="8426450" cy="10972800"/>
                <wp:effectExtent l="0" t="0" r="0" b="0"/>
                <wp:wrapNone/>
                <wp:docPr id="1623009780"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rsidR="002730BD" w:rsidRDefault="002730BD"/>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2730BD">
            <w:trPr>
              <w:trHeight w:val="144"/>
            </w:trPr>
            <w:tc>
              <w:tcPr>
                <w:tcW w:w="2589" w:type="dxa"/>
              </w:tcPr>
              <w:p w:rsidR="002730BD" w:rsidRDefault="0082400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2730BD" w:rsidRDefault="00824009">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05771/INFOEM/IP/RR/2024</w:t>
                </w:r>
              </w:p>
            </w:tc>
          </w:tr>
          <w:tr w:rsidR="002730BD">
            <w:trPr>
              <w:trHeight w:val="283"/>
            </w:trPr>
            <w:tc>
              <w:tcPr>
                <w:tcW w:w="2589" w:type="dxa"/>
              </w:tcPr>
              <w:p w:rsidR="002730BD" w:rsidRDefault="0082400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2730BD" w:rsidRDefault="00824009">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Educación, Ciencia, Tecnología e Innovación</w:t>
                </w:r>
              </w:p>
            </w:tc>
          </w:tr>
          <w:tr w:rsidR="002730BD">
            <w:trPr>
              <w:trHeight w:val="283"/>
            </w:trPr>
            <w:tc>
              <w:tcPr>
                <w:tcW w:w="2589" w:type="dxa"/>
              </w:tcPr>
              <w:p w:rsidR="002730BD" w:rsidRDefault="0082400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2730BD" w:rsidRDefault="00824009">
                <w:pPr>
                  <w:tabs>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2730BD" w:rsidRDefault="002730BD">
                <w:pPr>
                  <w:tabs>
                    <w:tab w:val="left" w:pos="2840"/>
                    <w:tab w:val="right" w:pos="8838"/>
                  </w:tabs>
                  <w:ind w:left="-106" w:right="171"/>
                  <w:jc w:val="both"/>
                  <w:rPr>
                    <w:rFonts w:ascii="Palatino Linotype" w:eastAsia="Palatino Linotype" w:hAnsi="Palatino Linotype" w:cs="Palatino Linotype"/>
                    <w:b/>
                    <w:sz w:val="22"/>
                    <w:szCs w:val="22"/>
                  </w:rPr>
                </w:pPr>
              </w:p>
            </w:tc>
          </w:tr>
        </w:tbl>
        <w:p w:rsidR="002730BD" w:rsidRDefault="002730BD">
          <w:pPr>
            <w:tabs>
              <w:tab w:val="right" w:pos="8838"/>
            </w:tabs>
            <w:ind w:left="-28"/>
            <w:jc w:val="both"/>
            <w:rPr>
              <w:rFonts w:ascii="Arial" w:eastAsia="Arial" w:hAnsi="Arial" w:cs="Arial"/>
              <w:b/>
              <w:sz w:val="22"/>
              <w:szCs w:val="22"/>
            </w:rPr>
          </w:pPr>
        </w:p>
      </w:tc>
    </w:tr>
  </w:tbl>
  <w:p w:rsidR="002730BD" w:rsidRDefault="002730BD">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BD" w:rsidRDefault="002730BD">
    <w:pPr>
      <w:widowControl w:val="0"/>
      <w:pBdr>
        <w:top w:val="nil"/>
        <w:left w:val="nil"/>
        <w:bottom w:val="nil"/>
        <w:right w:val="nil"/>
        <w:between w:val="nil"/>
      </w:pBdr>
      <w:spacing w:line="276" w:lineRule="auto"/>
      <w:rPr>
        <w:color w:val="000000"/>
        <w:sz w:val="22"/>
        <w:szCs w:val="22"/>
      </w:rPr>
    </w:pPr>
  </w:p>
  <w:tbl>
    <w:tblPr>
      <w:tblStyle w:val="a1"/>
      <w:tblW w:w="9568" w:type="dxa"/>
      <w:tblInd w:w="0" w:type="dxa"/>
      <w:tblLayout w:type="fixed"/>
      <w:tblLook w:val="0400" w:firstRow="0" w:lastRow="0" w:firstColumn="0" w:lastColumn="0" w:noHBand="0" w:noVBand="1"/>
    </w:tblPr>
    <w:tblGrid>
      <w:gridCol w:w="2835"/>
      <w:gridCol w:w="6733"/>
    </w:tblGrid>
    <w:tr w:rsidR="002730BD">
      <w:trPr>
        <w:trHeight w:val="1563"/>
      </w:trPr>
      <w:tc>
        <w:tcPr>
          <w:tcW w:w="2835" w:type="dxa"/>
          <w:shd w:val="clear" w:color="auto" w:fill="auto"/>
        </w:tcPr>
        <w:p w:rsidR="002730BD" w:rsidRDefault="00824009">
          <w:pPr>
            <w:tabs>
              <w:tab w:val="right" w:pos="4273"/>
            </w:tabs>
            <w:rPr>
              <w:rFonts w:ascii="Garamond" w:eastAsia="Garamond" w:hAnsi="Garamond" w:cs="Garamond"/>
              <w:sz w:val="22"/>
              <w:szCs w:val="22"/>
            </w:rPr>
          </w:pPr>
          <w:r>
            <w:rPr>
              <w:noProof/>
              <w:lang w:eastAsia="es-MX"/>
            </w:rPr>
            <w:drawing>
              <wp:anchor distT="0" distB="0" distL="0" distR="0" simplePos="0" relativeHeight="251657728" behindDoc="1" locked="0" layoutInCell="1" hidden="0" allowOverlap="1">
                <wp:simplePos x="0" y="0"/>
                <wp:positionH relativeFrom="column">
                  <wp:posOffset>-1346200</wp:posOffset>
                </wp:positionH>
                <wp:positionV relativeFrom="paragraph">
                  <wp:posOffset>-409575</wp:posOffset>
                </wp:positionV>
                <wp:extent cx="8426450" cy="10972800"/>
                <wp:effectExtent l="0" t="0" r="0" b="0"/>
                <wp:wrapNone/>
                <wp:docPr id="1623009779"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rsidR="002730BD" w:rsidRDefault="002730BD">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2730BD">
            <w:trPr>
              <w:trHeight w:val="144"/>
            </w:trPr>
            <w:tc>
              <w:tcPr>
                <w:tcW w:w="2589" w:type="dxa"/>
              </w:tcPr>
              <w:p w:rsidR="002730BD" w:rsidRDefault="0082400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2730BD" w:rsidRDefault="00824009">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05771/INFOEM/IP/RR/2024</w:t>
                </w:r>
              </w:p>
            </w:tc>
          </w:tr>
          <w:tr w:rsidR="002730BD">
            <w:trPr>
              <w:trHeight w:val="144"/>
            </w:trPr>
            <w:tc>
              <w:tcPr>
                <w:tcW w:w="2589" w:type="dxa"/>
              </w:tcPr>
              <w:p w:rsidR="002730BD" w:rsidRDefault="0082400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2730BD" w:rsidRDefault="002730BD">
                <w:pPr>
                  <w:tabs>
                    <w:tab w:val="left" w:pos="3122"/>
                    <w:tab w:val="right" w:pos="8838"/>
                  </w:tabs>
                  <w:ind w:left="-106" w:right="-105"/>
                  <w:jc w:val="both"/>
                  <w:rPr>
                    <w:rFonts w:ascii="Palatino Linotype" w:eastAsia="Palatino Linotype" w:hAnsi="Palatino Linotype" w:cs="Palatino Linotype"/>
                    <w:sz w:val="22"/>
                    <w:szCs w:val="22"/>
                  </w:rPr>
                </w:pPr>
              </w:p>
            </w:tc>
          </w:tr>
          <w:tr w:rsidR="002730BD">
            <w:trPr>
              <w:trHeight w:val="283"/>
            </w:trPr>
            <w:tc>
              <w:tcPr>
                <w:tcW w:w="2589" w:type="dxa"/>
              </w:tcPr>
              <w:p w:rsidR="002730BD" w:rsidRDefault="0082400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2730BD" w:rsidRDefault="00824009">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Educación, Ciencia, Tecnología e Innovación</w:t>
                </w:r>
              </w:p>
            </w:tc>
          </w:tr>
          <w:tr w:rsidR="002730BD">
            <w:trPr>
              <w:trHeight w:val="283"/>
            </w:trPr>
            <w:tc>
              <w:tcPr>
                <w:tcW w:w="2589" w:type="dxa"/>
              </w:tcPr>
              <w:p w:rsidR="002730BD" w:rsidRDefault="0082400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2730BD" w:rsidRDefault="00824009">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2730BD" w:rsidRDefault="002730BD">
          <w:pPr>
            <w:tabs>
              <w:tab w:val="right" w:pos="8838"/>
            </w:tabs>
            <w:ind w:left="-28"/>
            <w:jc w:val="both"/>
            <w:rPr>
              <w:rFonts w:ascii="Arial" w:eastAsia="Arial" w:hAnsi="Arial" w:cs="Arial"/>
              <w:b/>
              <w:sz w:val="22"/>
              <w:szCs w:val="22"/>
            </w:rPr>
          </w:pPr>
        </w:p>
      </w:tc>
    </w:tr>
  </w:tbl>
  <w:p w:rsidR="002730BD" w:rsidRDefault="002730BD">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77D6"/>
    <w:multiLevelType w:val="multilevel"/>
    <w:tmpl w:val="31087660"/>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BD"/>
    <w:rsid w:val="001A06A0"/>
    <w:rsid w:val="002730BD"/>
    <w:rsid w:val="0078303E"/>
    <w:rsid w:val="00824009"/>
    <w:rsid w:val="008534F2"/>
    <w:rsid w:val="00E72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183B1AC-2CAE-4508-B91D-6B98923F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oFk8eNCPpyNSHjizKcD3Kl4Xjg==">CgMxLjAyCGguZ2pkZ3hzOAByITFHZV9qMWtnOWJOZ2NpUzV4WGtxOXN1Z1FmSV9lX2NFRw==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2661</Words>
  <Characters>14640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INFOEM568</cp:lastModifiedBy>
  <cp:revision>2</cp:revision>
  <dcterms:created xsi:type="dcterms:W3CDTF">2024-10-25T20:49:00Z</dcterms:created>
  <dcterms:modified xsi:type="dcterms:W3CDTF">2024-10-25T20:49:00Z</dcterms:modified>
</cp:coreProperties>
</file>