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BBF6" w14:textId="16EF3C2A" w:rsidR="00C853D1" w:rsidRPr="007D35D4" w:rsidRDefault="00C853D1" w:rsidP="00F40D32">
      <w:pPr>
        <w:spacing w:after="0" w:line="360" w:lineRule="auto"/>
        <w:rPr>
          <w:rFonts w:eastAsia="Times New Roman" w:cs="Tahoma"/>
          <w:bCs/>
          <w:color w:val="auto"/>
          <w:sz w:val="24"/>
          <w:szCs w:val="24"/>
          <w:lang w:eastAsia="es-ES"/>
        </w:rPr>
      </w:pPr>
      <w:r w:rsidRPr="007D35D4">
        <w:rPr>
          <w:rFonts w:eastAsia="Calibri" w:cs="Tahoma"/>
          <w:bCs/>
          <w:color w:val="000000"/>
          <w:sz w:val="24"/>
          <w:szCs w:val="24"/>
        </w:rPr>
        <w:t xml:space="preserve">Resolución del Pleno del Instituto de Transparencia, Acceso a la Información Pública y </w:t>
      </w:r>
      <w:r w:rsidRPr="007D35D4">
        <w:rPr>
          <w:rFonts w:eastAsia="Times New Roman" w:cs="Tahoma"/>
          <w:bCs/>
          <w:color w:val="auto"/>
          <w:sz w:val="24"/>
          <w:szCs w:val="24"/>
          <w:lang w:eastAsia="es-ES"/>
        </w:rPr>
        <w:t xml:space="preserve">Protección de Datos Personales del Estado de México y Municipios, con domicilio en Metepec, Estado de México, de fecha </w:t>
      </w:r>
      <w:r w:rsidR="00F40D32" w:rsidRPr="007D35D4">
        <w:rPr>
          <w:rFonts w:eastAsia="Times New Roman" w:cs="Tahoma"/>
          <w:bCs/>
          <w:color w:val="auto"/>
          <w:sz w:val="24"/>
          <w:szCs w:val="24"/>
          <w:lang w:eastAsia="es-ES"/>
        </w:rPr>
        <w:t xml:space="preserve">veintiuno de febrero de dos mil veinticuatro. </w:t>
      </w:r>
      <w:r w:rsidR="003E6F01" w:rsidRPr="007D35D4">
        <w:rPr>
          <w:rFonts w:eastAsia="Times New Roman" w:cs="Tahoma"/>
          <w:bCs/>
          <w:color w:val="auto"/>
          <w:sz w:val="24"/>
          <w:szCs w:val="24"/>
          <w:lang w:eastAsia="es-ES"/>
        </w:rPr>
        <w:t xml:space="preserve"> </w:t>
      </w:r>
    </w:p>
    <w:p w14:paraId="7C193E14" w14:textId="77777777" w:rsidR="0092599F" w:rsidRPr="007D35D4" w:rsidRDefault="0092599F" w:rsidP="00F40D32">
      <w:pPr>
        <w:spacing w:after="0" w:line="360" w:lineRule="auto"/>
        <w:rPr>
          <w:rFonts w:eastAsia="Times New Roman" w:cs="Tahoma"/>
          <w:b/>
          <w:bCs/>
          <w:color w:val="auto"/>
          <w:sz w:val="24"/>
          <w:szCs w:val="24"/>
          <w:lang w:eastAsia="es-ES"/>
        </w:rPr>
      </w:pPr>
    </w:p>
    <w:p w14:paraId="1066B8D1" w14:textId="33D5F8FB" w:rsidR="00C853D1" w:rsidRPr="007D35D4" w:rsidRDefault="00C853D1" w:rsidP="00F40D32">
      <w:pPr>
        <w:spacing w:after="0" w:line="360" w:lineRule="auto"/>
        <w:rPr>
          <w:rFonts w:eastAsia="Calibri" w:cs="Tahoma"/>
          <w:color w:val="0D0D0D"/>
          <w:sz w:val="24"/>
          <w:szCs w:val="24"/>
        </w:rPr>
      </w:pPr>
      <w:r w:rsidRPr="007D35D4">
        <w:rPr>
          <w:rFonts w:eastAsia="Times New Roman" w:cs="Tahoma"/>
          <w:b/>
          <w:bCs/>
          <w:color w:val="auto"/>
          <w:sz w:val="24"/>
          <w:szCs w:val="24"/>
          <w:lang w:eastAsia="es-ES"/>
        </w:rPr>
        <w:t>VISTO</w:t>
      </w:r>
      <w:r w:rsidRPr="007D35D4">
        <w:rPr>
          <w:rFonts w:eastAsia="Calibri" w:cs="Tahoma"/>
          <w:bCs/>
          <w:color w:val="0D0D0D"/>
          <w:sz w:val="24"/>
          <w:szCs w:val="24"/>
        </w:rPr>
        <w:t xml:space="preserve"> el expediente conformado con motivo del Recurso de Revisión </w:t>
      </w:r>
      <w:r w:rsidR="00F40D32" w:rsidRPr="007D35D4">
        <w:rPr>
          <w:rFonts w:eastAsia="Calibri" w:cs="Tahoma"/>
          <w:b/>
          <w:color w:val="000000"/>
          <w:sz w:val="24"/>
          <w:szCs w:val="24"/>
        </w:rPr>
        <w:t>03904/INFOEM/IP/RR/2023</w:t>
      </w:r>
      <w:r w:rsidRPr="007D35D4">
        <w:rPr>
          <w:rFonts w:eastAsia="Calibri" w:cs="Tahoma"/>
          <w:color w:val="000000"/>
          <w:sz w:val="24"/>
          <w:szCs w:val="24"/>
        </w:rPr>
        <w:t xml:space="preserve">, interpuesto por </w:t>
      </w:r>
      <w:r w:rsidR="00535055">
        <w:rPr>
          <w:rFonts w:eastAsia="Calibri" w:cs="Tahoma"/>
          <w:b/>
          <w:color w:val="000000"/>
          <w:sz w:val="24"/>
          <w:szCs w:val="24"/>
        </w:rPr>
        <w:t>XXXXXXX</w:t>
      </w:r>
      <w:r w:rsidR="00F40D32" w:rsidRPr="007D35D4">
        <w:rPr>
          <w:rFonts w:eastAsia="Calibri" w:cs="Tahoma"/>
          <w:sz w:val="24"/>
          <w:szCs w:val="24"/>
        </w:rPr>
        <w:t>, en lo sucesivo, la parte</w:t>
      </w:r>
      <w:r w:rsidRPr="007D35D4">
        <w:rPr>
          <w:rFonts w:eastAsia="Calibri" w:cs="Tahoma"/>
          <w:sz w:val="24"/>
          <w:szCs w:val="24"/>
        </w:rPr>
        <w:t xml:space="preserve"> </w:t>
      </w:r>
      <w:r w:rsidRPr="007D35D4">
        <w:rPr>
          <w:rFonts w:eastAsia="Calibri" w:cs="Tahoma"/>
          <w:color w:val="0D0D0D"/>
          <w:sz w:val="24"/>
          <w:szCs w:val="24"/>
        </w:rPr>
        <w:t>Recurrente, en contra de la respuesta del Sujeto Obligado,</w:t>
      </w:r>
      <w:r w:rsidRPr="007D35D4">
        <w:rPr>
          <w:rFonts w:eastAsia="Calibri" w:cs="Tahoma"/>
          <w:color w:val="000000"/>
          <w:sz w:val="24"/>
          <w:szCs w:val="24"/>
        </w:rPr>
        <w:t xml:space="preserve"> </w:t>
      </w:r>
      <w:r w:rsidR="000F4364" w:rsidRPr="007D35D4">
        <w:rPr>
          <w:rFonts w:eastAsia="Calibri" w:cs="Tahoma"/>
          <w:color w:val="000000"/>
          <w:sz w:val="24"/>
          <w:szCs w:val="24"/>
        </w:rPr>
        <w:t>Poder Judicial</w:t>
      </w:r>
      <w:r w:rsidRPr="007D35D4">
        <w:rPr>
          <w:rFonts w:eastAsia="Calibri" w:cs="Tahoma"/>
          <w:color w:val="000000"/>
          <w:sz w:val="24"/>
          <w:szCs w:val="24"/>
        </w:rPr>
        <w:t xml:space="preserve">, a la solicitud de acceso a la información </w:t>
      </w:r>
      <w:r w:rsidR="00F40D32" w:rsidRPr="007D35D4">
        <w:rPr>
          <w:rFonts w:eastAsia="Calibri" w:cs="Tahoma"/>
          <w:b/>
          <w:color w:val="000000"/>
          <w:sz w:val="24"/>
          <w:szCs w:val="24"/>
        </w:rPr>
        <w:t>00710/PJUDICI/IP/2023</w:t>
      </w:r>
      <w:r w:rsidRPr="007D35D4">
        <w:rPr>
          <w:rFonts w:eastAsia="Calibri" w:cs="Tahoma"/>
          <w:color w:val="000000"/>
          <w:sz w:val="24"/>
          <w:szCs w:val="24"/>
        </w:rPr>
        <w:t>, se emite la presente Resolución, con base en los Antecedentes y Considerandos que se exponen a continuación:</w:t>
      </w:r>
    </w:p>
    <w:p w14:paraId="4FCCF228" w14:textId="77777777" w:rsidR="00C853D1" w:rsidRPr="007D35D4" w:rsidRDefault="00C853D1" w:rsidP="00F40D32">
      <w:pPr>
        <w:spacing w:after="0" w:line="360" w:lineRule="auto"/>
        <w:rPr>
          <w:rFonts w:eastAsia="Calibri" w:cs="Tahoma"/>
          <w:color w:val="000000"/>
          <w:sz w:val="24"/>
          <w:szCs w:val="24"/>
        </w:rPr>
      </w:pPr>
    </w:p>
    <w:p w14:paraId="0472C645" w14:textId="77777777" w:rsidR="00C853D1" w:rsidRPr="007D35D4" w:rsidRDefault="00C853D1" w:rsidP="00F40D32">
      <w:pPr>
        <w:tabs>
          <w:tab w:val="center" w:pos="4522"/>
          <w:tab w:val="left" w:pos="7245"/>
        </w:tabs>
        <w:spacing w:after="0" w:line="360" w:lineRule="auto"/>
        <w:jc w:val="center"/>
        <w:rPr>
          <w:rFonts w:eastAsia="Calibri" w:cs="Tahoma"/>
          <w:b/>
          <w:color w:val="000000"/>
          <w:sz w:val="24"/>
          <w:szCs w:val="24"/>
        </w:rPr>
      </w:pPr>
      <w:r w:rsidRPr="007D35D4">
        <w:rPr>
          <w:rFonts w:eastAsia="Calibri" w:cs="Tahoma"/>
          <w:b/>
          <w:color w:val="000000"/>
          <w:sz w:val="24"/>
          <w:szCs w:val="24"/>
        </w:rPr>
        <w:t>A N T E C E D E N T E S:</w:t>
      </w:r>
    </w:p>
    <w:p w14:paraId="422D0175" w14:textId="77777777" w:rsidR="00C853D1" w:rsidRPr="007D35D4" w:rsidRDefault="00C853D1" w:rsidP="00F40D32">
      <w:pPr>
        <w:spacing w:after="0" w:line="360" w:lineRule="auto"/>
        <w:rPr>
          <w:sz w:val="24"/>
          <w:szCs w:val="24"/>
        </w:rPr>
      </w:pPr>
    </w:p>
    <w:p w14:paraId="7D2D54E6" w14:textId="4B53CBB1" w:rsidR="00F40D32" w:rsidRPr="007D35D4" w:rsidRDefault="00F40D32" w:rsidP="00F40D32">
      <w:pPr>
        <w:numPr>
          <w:ilvl w:val="0"/>
          <w:numId w:val="30"/>
        </w:numPr>
        <w:pBdr>
          <w:top w:val="nil"/>
          <w:left w:val="nil"/>
          <w:bottom w:val="nil"/>
          <w:right w:val="nil"/>
          <w:between w:val="nil"/>
        </w:pBdr>
        <w:spacing w:after="0" w:line="360" w:lineRule="auto"/>
        <w:ind w:left="0" w:right="49" w:firstLine="0"/>
        <w:rPr>
          <w:rFonts w:eastAsia="Palatino Linotype" w:cs="Palatino Linotype"/>
          <w:color w:val="000000"/>
          <w:sz w:val="24"/>
          <w:szCs w:val="24"/>
        </w:rPr>
      </w:pPr>
      <w:r w:rsidRPr="007D35D4">
        <w:rPr>
          <w:rFonts w:eastAsia="Palatino Linotype" w:cs="Palatino Linotype"/>
          <w:b/>
          <w:color w:val="000000"/>
          <w:sz w:val="24"/>
          <w:szCs w:val="24"/>
        </w:rPr>
        <w:t>Solicitud de acceso a la información.</w:t>
      </w:r>
      <w:r w:rsidRPr="007D35D4">
        <w:rPr>
          <w:rFonts w:eastAsia="Palatino Linotype" w:cs="Palatino Linotype"/>
          <w:color w:val="000000"/>
          <w:sz w:val="24"/>
          <w:szCs w:val="24"/>
        </w:rPr>
        <w:t xml:space="preserve"> Con fecha </w:t>
      </w:r>
      <w:r w:rsidRPr="007D35D4">
        <w:rPr>
          <w:rFonts w:eastAsia="Palatino Linotype" w:cs="Palatino Linotype"/>
          <w:b/>
          <w:color w:val="000000"/>
          <w:sz w:val="24"/>
          <w:szCs w:val="24"/>
        </w:rPr>
        <w:t>tres de julio de dos mil veintitrés</w:t>
      </w:r>
      <w:r w:rsidRPr="007D35D4">
        <w:rPr>
          <w:rFonts w:eastAsia="Palatino Linotype" w:cs="Palatino Linotype"/>
          <w:color w:val="000000"/>
          <w:sz w:val="24"/>
          <w:szCs w:val="24"/>
        </w:rPr>
        <w:t xml:space="preserve">, la parte </w:t>
      </w:r>
      <w:r w:rsidRPr="007D35D4">
        <w:rPr>
          <w:rFonts w:eastAsia="Palatino Linotype" w:cs="Palatino Linotype"/>
          <w:b/>
          <w:color w:val="000000"/>
          <w:sz w:val="24"/>
          <w:szCs w:val="24"/>
        </w:rPr>
        <w:t>RECURRENTE</w:t>
      </w:r>
      <w:r w:rsidRPr="007D35D4">
        <w:rPr>
          <w:rFonts w:eastAsia="Palatino Linotype" w:cs="Palatino Linotype"/>
          <w:color w:val="000000"/>
          <w:sz w:val="24"/>
          <w:szCs w:val="24"/>
        </w:rPr>
        <w:t xml:space="preserve"> formuló solicitud de acceso a información pública al</w:t>
      </w:r>
      <w:r w:rsidRPr="007D35D4">
        <w:rPr>
          <w:rFonts w:eastAsia="Palatino Linotype" w:cs="Palatino Linotype"/>
          <w:b/>
          <w:color w:val="000000"/>
          <w:sz w:val="24"/>
          <w:szCs w:val="24"/>
        </w:rPr>
        <w:t xml:space="preserve"> SUJETO OBLIGADO</w:t>
      </w:r>
      <w:r w:rsidRPr="007D35D4">
        <w:rPr>
          <w:rFonts w:eastAsia="Palatino Linotype" w:cs="Palatino Linotype"/>
          <w:color w:val="000000"/>
          <w:sz w:val="24"/>
          <w:szCs w:val="24"/>
        </w:rPr>
        <w:t xml:space="preserve"> a través del Sistema de Acceso a la Información Mexiquense, en adelante SAIMEX, en la que requirió lo siguiente: </w:t>
      </w:r>
    </w:p>
    <w:p w14:paraId="4F1EF3BD" w14:textId="77777777" w:rsidR="00F40D32" w:rsidRPr="007D35D4" w:rsidRDefault="00F40D32" w:rsidP="00F40D32">
      <w:pPr>
        <w:tabs>
          <w:tab w:val="left" w:pos="1530"/>
        </w:tabs>
        <w:spacing w:after="0" w:line="360" w:lineRule="auto"/>
        <w:ind w:right="49"/>
        <w:rPr>
          <w:rFonts w:eastAsia="Palatino Linotype" w:cs="Palatino Linotype"/>
          <w:sz w:val="24"/>
          <w:szCs w:val="24"/>
        </w:rPr>
      </w:pPr>
      <w:r w:rsidRPr="007D35D4">
        <w:rPr>
          <w:rFonts w:eastAsia="Palatino Linotype" w:cs="Palatino Linotype"/>
          <w:sz w:val="24"/>
          <w:szCs w:val="24"/>
        </w:rPr>
        <w:tab/>
      </w:r>
    </w:p>
    <w:p w14:paraId="717980FC" w14:textId="753E5490" w:rsidR="00F40D32" w:rsidRPr="007D35D4" w:rsidRDefault="00F40D32" w:rsidP="00F40D32">
      <w:pPr>
        <w:spacing w:after="0"/>
        <w:ind w:left="567" w:right="560"/>
        <w:rPr>
          <w:rFonts w:eastAsia="Palatino Linotype" w:cs="Palatino Linotype"/>
          <w:i/>
        </w:rPr>
      </w:pPr>
      <w:bookmarkStart w:id="0" w:name="_heading=h.30j0zll" w:colFirst="0" w:colLast="0"/>
      <w:bookmarkEnd w:id="0"/>
      <w:r w:rsidRPr="007D35D4">
        <w:rPr>
          <w:rFonts w:eastAsia="Palatino Linotype" w:cs="Palatino Linotype"/>
          <w:i/>
        </w:rPr>
        <w:t>“Solicito las resoluciones en las que se encuentre como parte del proceso Isaac Martín Montoya Márquez, quien actualmente ocupa el cargo de Diputado por el partido Morena, desde el año 2013 a la fecha Diputado de la LXI Legislatura del Estado de México. Secretario Nacional de Jóvenes de morena 2015 – 2021. Delegado del CEN en el Estado de México”.</w:t>
      </w:r>
    </w:p>
    <w:p w14:paraId="5D562FE4" w14:textId="77777777" w:rsidR="00F40D32" w:rsidRPr="007D35D4" w:rsidRDefault="00F40D32" w:rsidP="00F40D32">
      <w:pPr>
        <w:spacing w:after="0"/>
        <w:ind w:left="567" w:right="560"/>
        <w:rPr>
          <w:rFonts w:eastAsia="Palatino Linotype" w:cs="Palatino Linotype"/>
          <w:i/>
        </w:rPr>
      </w:pPr>
      <w:r w:rsidRPr="007D35D4">
        <w:rPr>
          <w:rFonts w:eastAsia="Palatino Linotype" w:cs="Palatino Linotype"/>
          <w:i/>
        </w:rPr>
        <w:t xml:space="preserve"> </w:t>
      </w:r>
    </w:p>
    <w:p w14:paraId="4E7830D8" w14:textId="77777777" w:rsidR="00F40D32" w:rsidRPr="007D35D4" w:rsidRDefault="00F40D32" w:rsidP="00F40D32">
      <w:pPr>
        <w:spacing w:after="0" w:line="360" w:lineRule="auto"/>
        <w:ind w:right="49"/>
        <w:rPr>
          <w:rFonts w:eastAsia="Palatino Linotype" w:cs="Palatino Linotype"/>
          <w:sz w:val="24"/>
          <w:szCs w:val="24"/>
        </w:rPr>
      </w:pPr>
      <w:r w:rsidRPr="007D35D4">
        <w:rPr>
          <w:rFonts w:eastAsia="Palatino Linotype" w:cs="Palatino Linotype"/>
          <w:b/>
          <w:sz w:val="24"/>
          <w:szCs w:val="24"/>
        </w:rPr>
        <w:t>Modalidad elegida para la entrega de la información:</w:t>
      </w:r>
      <w:r w:rsidRPr="007D35D4">
        <w:rPr>
          <w:rFonts w:eastAsia="Palatino Linotype" w:cs="Palatino Linotype"/>
          <w:sz w:val="24"/>
          <w:szCs w:val="24"/>
        </w:rPr>
        <w:t xml:space="preserve"> a través del Sistema de Acceso a la Información Mexiquense (SAIMEX). </w:t>
      </w:r>
    </w:p>
    <w:p w14:paraId="73F6A156" w14:textId="77777777" w:rsidR="00F40D32" w:rsidRPr="007D35D4" w:rsidRDefault="00F40D32" w:rsidP="00F40D32">
      <w:pPr>
        <w:spacing w:after="0" w:line="360" w:lineRule="auto"/>
        <w:ind w:right="49"/>
        <w:rPr>
          <w:rFonts w:eastAsia="Palatino Linotype" w:cs="Palatino Linotype"/>
          <w:sz w:val="24"/>
          <w:szCs w:val="24"/>
        </w:rPr>
      </w:pPr>
    </w:p>
    <w:p w14:paraId="57985C66" w14:textId="532419BC" w:rsidR="00F40D32" w:rsidRPr="007D35D4" w:rsidRDefault="00F40D32" w:rsidP="00F40D32">
      <w:pPr>
        <w:numPr>
          <w:ilvl w:val="0"/>
          <w:numId w:val="30"/>
        </w:numPr>
        <w:pBdr>
          <w:top w:val="nil"/>
          <w:left w:val="nil"/>
          <w:bottom w:val="nil"/>
          <w:right w:val="nil"/>
          <w:between w:val="nil"/>
        </w:pBdr>
        <w:spacing w:after="0" w:line="360" w:lineRule="auto"/>
        <w:ind w:left="0" w:right="49" w:firstLine="0"/>
        <w:rPr>
          <w:rFonts w:eastAsia="Palatino Linotype" w:cs="Palatino Linotype"/>
          <w:color w:val="000000"/>
          <w:sz w:val="24"/>
          <w:szCs w:val="24"/>
        </w:rPr>
      </w:pPr>
      <w:r w:rsidRPr="007D35D4">
        <w:rPr>
          <w:rFonts w:eastAsia="Palatino Linotype" w:cs="Palatino Linotype"/>
          <w:b/>
          <w:color w:val="000000"/>
          <w:sz w:val="24"/>
          <w:szCs w:val="24"/>
        </w:rPr>
        <w:lastRenderedPageBreak/>
        <w:t xml:space="preserve">Respuesta. </w:t>
      </w:r>
      <w:r w:rsidRPr="007D35D4">
        <w:rPr>
          <w:rFonts w:eastAsia="Palatino Linotype" w:cs="Palatino Linotype"/>
          <w:color w:val="000000"/>
          <w:sz w:val="24"/>
          <w:szCs w:val="24"/>
        </w:rPr>
        <w:t xml:space="preserve">En fecha </w:t>
      </w:r>
      <w:r w:rsidRPr="007D35D4">
        <w:rPr>
          <w:rFonts w:eastAsia="Palatino Linotype" w:cs="Palatino Linotype"/>
          <w:b/>
          <w:color w:val="000000"/>
          <w:sz w:val="24"/>
          <w:szCs w:val="24"/>
        </w:rPr>
        <w:t>tres de julio de dos mil veintitrés</w:t>
      </w:r>
      <w:r w:rsidRPr="007D35D4">
        <w:rPr>
          <w:rFonts w:eastAsia="Palatino Linotype" w:cs="Palatino Linotype"/>
          <w:color w:val="000000"/>
          <w:sz w:val="24"/>
          <w:szCs w:val="24"/>
        </w:rPr>
        <w:t xml:space="preserve">, el </w:t>
      </w:r>
      <w:r w:rsidRPr="007D35D4">
        <w:rPr>
          <w:rFonts w:eastAsia="Palatino Linotype" w:cs="Palatino Linotype"/>
          <w:b/>
          <w:color w:val="000000"/>
          <w:sz w:val="24"/>
          <w:szCs w:val="24"/>
        </w:rPr>
        <w:t xml:space="preserve">SUJETO OBLIGADO </w:t>
      </w:r>
      <w:r w:rsidRPr="007D35D4">
        <w:rPr>
          <w:rFonts w:eastAsia="Palatino Linotype" w:cs="Palatino Linotype"/>
          <w:color w:val="000000"/>
          <w:sz w:val="24"/>
          <w:szCs w:val="24"/>
        </w:rPr>
        <w:t xml:space="preserve">proporcionó respuesta a la solicitud de información, al tenor de lo siguiente: </w:t>
      </w:r>
    </w:p>
    <w:p w14:paraId="0B1D8E26" w14:textId="77777777" w:rsidR="00F40D32" w:rsidRPr="007D35D4" w:rsidRDefault="00F40D32" w:rsidP="00F40D32">
      <w:pPr>
        <w:pBdr>
          <w:top w:val="nil"/>
          <w:left w:val="nil"/>
          <w:bottom w:val="nil"/>
          <w:right w:val="nil"/>
          <w:between w:val="nil"/>
        </w:pBdr>
        <w:spacing w:after="0" w:line="360" w:lineRule="auto"/>
        <w:ind w:right="49"/>
        <w:rPr>
          <w:rFonts w:eastAsia="Palatino Linotype" w:cs="Palatino Linotype"/>
          <w:color w:val="000000"/>
          <w:sz w:val="24"/>
          <w:szCs w:val="24"/>
        </w:rPr>
      </w:pPr>
    </w:p>
    <w:p w14:paraId="0727CC0D" w14:textId="30F2E2FF" w:rsidR="00F40D32" w:rsidRPr="007D35D4" w:rsidRDefault="00F40D32" w:rsidP="00F40D32">
      <w:pPr>
        <w:pBdr>
          <w:top w:val="nil"/>
          <w:left w:val="nil"/>
          <w:bottom w:val="nil"/>
          <w:right w:val="nil"/>
          <w:between w:val="nil"/>
        </w:pBdr>
        <w:spacing w:after="0" w:line="276" w:lineRule="auto"/>
        <w:ind w:left="567" w:right="616"/>
        <w:rPr>
          <w:rFonts w:eastAsia="Palatino Linotype" w:cs="Palatino Linotype"/>
          <w:i/>
          <w:color w:val="000000"/>
          <w:szCs w:val="24"/>
        </w:rPr>
      </w:pPr>
      <w:r w:rsidRPr="007D35D4">
        <w:rPr>
          <w:rFonts w:eastAsia="Palatino Linotype" w:cs="Palatino Linotype"/>
          <w:i/>
          <w:color w:val="000000"/>
          <w:szCs w:val="24"/>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
    <w:p w14:paraId="70FB1A24" w14:textId="77777777" w:rsidR="00F40D32" w:rsidRPr="007D35D4" w:rsidRDefault="00F40D32" w:rsidP="00F40D32">
      <w:pPr>
        <w:pBdr>
          <w:top w:val="nil"/>
          <w:left w:val="nil"/>
          <w:bottom w:val="nil"/>
          <w:right w:val="nil"/>
          <w:between w:val="nil"/>
        </w:pBdr>
        <w:spacing w:after="0" w:line="360" w:lineRule="auto"/>
        <w:ind w:right="49"/>
        <w:rPr>
          <w:rFonts w:eastAsia="Palatino Linotype" w:cs="Palatino Linotype"/>
          <w:color w:val="000000"/>
          <w:sz w:val="24"/>
          <w:szCs w:val="24"/>
        </w:rPr>
      </w:pPr>
    </w:p>
    <w:p w14:paraId="1CCBB0F8" w14:textId="77777777" w:rsidR="00F40D32" w:rsidRPr="007D35D4" w:rsidRDefault="00F40D32" w:rsidP="00F40D32">
      <w:pPr>
        <w:pBdr>
          <w:top w:val="nil"/>
          <w:left w:val="nil"/>
          <w:bottom w:val="nil"/>
          <w:right w:val="nil"/>
          <w:between w:val="nil"/>
        </w:pBdr>
        <w:spacing w:after="0" w:line="360" w:lineRule="auto"/>
        <w:ind w:right="49"/>
        <w:rPr>
          <w:rFonts w:eastAsia="Palatino Linotype" w:cs="Palatino Linotype"/>
          <w:color w:val="000000"/>
          <w:sz w:val="24"/>
          <w:szCs w:val="24"/>
        </w:rPr>
      </w:pPr>
      <w:r w:rsidRPr="007D35D4">
        <w:rPr>
          <w:rFonts w:eastAsia="Palatino Linotype" w:cs="Palatino Linotype"/>
          <w:color w:val="000000"/>
          <w:sz w:val="24"/>
          <w:szCs w:val="24"/>
        </w:rPr>
        <w:t xml:space="preserve">Asimismo, adjuntó su respuesta con el documento que se describe a continuación: </w:t>
      </w:r>
    </w:p>
    <w:p w14:paraId="4D50CDF2" w14:textId="77777777" w:rsidR="00F40D32" w:rsidRPr="007D35D4" w:rsidRDefault="00F40D32" w:rsidP="00F40D32">
      <w:pPr>
        <w:pBdr>
          <w:top w:val="nil"/>
          <w:left w:val="nil"/>
          <w:bottom w:val="nil"/>
          <w:right w:val="nil"/>
          <w:between w:val="nil"/>
        </w:pBdr>
        <w:spacing w:after="0" w:line="360" w:lineRule="auto"/>
        <w:ind w:right="49"/>
        <w:rPr>
          <w:rFonts w:eastAsia="Palatino Linotype" w:cs="Palatino Linotype"/>
          <w:color w:val="000000"/>
          <w:sz w:val="24"/>
          <w:szCs w:val="24"/>
        </w:rPr>
      </w:pPr>
    </w:p>
    <w:p w14:paraId="5D3BA8BD" w14:textId="4B191671" w:rsidR="00F40D32" w:rsidRPr="007D35D4" w:rsidRDefault="00F40D32" w:rsidP="00F40D32">
      <w:pPr>
        <w:pStyle w:val="Prrafodelista"/>
        <w:numPr>
          <w:ilvl w:val="0"/>
          <w:numId w:val="34"/>
        </w:numPr>
        <w:pBdr>
          <w:top w:val="nil"/>
          <w:left w:val="nil"/>
          <w:bottom w:val="nil"/>
          <w:right w:val="nil"/>
          <w:between w:val="nil"/>
        </w:pBdr>
        <w:spacing w:line="360" w:lineRule="auto"/>
        <w:ind w:right="49"/>
        <w:rPr>
          <w:rFonts w:eastAsia="Palatino Linotype" w:cs="Palatino Linotype"/>
          <w:color w:val="000000"/>
        </w:rPr>
      </w:pPr>
      <w:r w:rsidRPr="007D35D4">
        <w:rPr>
          <w:rFonts w:eastAsia="Palatino Linotype" w:cs="Palatino Linotype"/>
          <w:color w:val="000000"/>
        </w:rPr>
        <w:t xml:space="preserve">Oficio de fecha tres de julio de dos mil veintitrés, signado electrónicamente por el Titular de la Unidad de Trasparencia, mediante el cual informa que, el ejercicio del derecho de acceso a la información no es la vía para acceder a expedientes jurisdiccionales en su versión íntegra, aunado a que, la búsqueda </w:t>
      </w:r>
      <w:proofErr w:type="gramStart"/>
      <w:r w:rsidRPr="007D35D4">
        <w:rPr>
          <w:rFonts w:eastAsia="Palatino Linotype" w:cs="Palatino Linotype"/>
          <w:color w:val="000000"/>
        </w:rPr>
        <w:t>de los expediente</w:t>
      </w:r>
      <w:proofErr w:type="gramEnd"/>
      <w:r w:rsidRPr="007D35D4">
        <w:rPr>
          <w:rFonts w:eastAsia="Palatino Linotype" w:cs="Palatino Linotype"/>
          <w:color w:val="000000"/>
        </w:rPr>
        <w:t xml:space="preserve"> se realiza de acuerdo con el número y juzgado de radicación,</w:t>
      </w:r>
      <w:r w:rsidRPr="007D35D4">
        <w:rPr>
          <w:rFonts w:eastAsia="Palatino Linotype"/>
          <w:b/>
        </w:rPr>
        <w:t xml:space="preserve"> </w:t>
      </w:r>
      <w:r w:rsidRPr="007D35D4">
        <w:rPr>
          <w:rFonts w:eastAsia="Palatino Linotype"/>
        </w:rPr>
        <w:t xml:space="preserve">no así por el nombre de las partes que intervienen en el proceso. Es por lo que, no es factible realizar la búsqueda por el nombre de las partes, ni proporcionar la información en los términos solicitados, ya que se vulneraría la protección de datos personales. </w:t>
      </w:r>
    </w:p>
    <w:p w14:paraId="1C7EC95D" w14:textId="7853AB25" w:rsidR="00F40D32" w:rsidRPr="007D35D4" w:rsidRDefault="00F40D32" w:rsidP="00F40D32">
      <w:pPr>
        <w:pStyle w:val="Prrafodelista"/>
        <w:numPr>
          <w:ilvl w:val="0"/>
          <w:numId w:val="34"/>
        </w:numPr>
        <w:pBdr>
          <w:top w:val="nil"/>
          <w:left w:val="nil"/>
          <w:bottom w:val="nil"/>
          <w:right w:val="nil"/>
          <w:between w:val="nil"/>
        </w:pBdr>
        <w:spacing w:line="360" w:lineRule="auto"/>
        <w:ind w:right="49"/>
        <w:rPr>
          <w:rFonts w:eastAsia="Palatino Linotype" w:cs="Palatino Linotype"/>
          <w:color w:val="000000"/>
        </w:rPr>
      </w:pPr>
      <w:r w:rsidRPr="007D35D4">
        <w:rPr>
          <w:rFonts w:eastAsia="Palatino Linotype"/>
        </w:rPr>
        <w:t>Captura de pantalla, mediante el cual, se notifica</w:t>
      </w:r>
      <w:r w:rsidR="000278B7" w:rsidRPr="007D35D4">
        <w:rPr>
          <w:rFonts w:eastAsia="Palatino Linotype"/>
        </w:rPr>
        <w:t xml:space="preserve"> la respuesta por correo electrónico, en fecha tres de julio de dos mil veintitrés.</w:t>
      </w:r>
    </w:p>
    <w:p w14:paraId="745C0D20" w14:textId="77777777" w:rsidR="00F40D32" w:rsidRPr="007D35D4" w:rsidRDefault="00F40D32" w:rsidP="00F40D32">
      <w:pPr>
        <w:pBdr>
          <w:top w:val="nil"/>
          <w:left w:val="nil"/>
          <w:bottom w:val="nil"/>
          <w:right w:val="nil"/>
          <w:between w:val="nil"/>
        </w:pBdr>
        <w:spacing w:line="360" w:lineRule="auto"/>
        <w:ind w:right="49"/>
        <w:rPr>
          <w:rFonts w:eastAsia="Palatino Linotype" w:cs="Palatino Linotype"/>
          <w:color w:val="000000"/>
          <w:sz w:val="24"/>
        </w:rPr>
      </w:pPr>
    </w:p>
    <w:p w14:paraId="512EE077" w14:textId="017ABB79" w:rsidR="00F40D32" w:rsidRPr="007D35D4" w:rsidRDefault="00F40D32" w:rsidP="00F40D32">
      <w:pPr>
        <w:numPr>
          <w:ilvl w:val="0"/>
          <w:numId w:val="30"/>
        </w:numPr>
        <w:pBdr>
          <w:top w:val="nil"/>
          <w:left w:val="nil"/>
          <w:bottom w:val="nil"/>
          <w:right w:val="nil"/>
          <w:between w:val="nil"/>
        </w:pBdr>
        <w:spacing w:after="0" w:line="360" w:lineRule="auto"/>
        <w:ind w:left="0" w:right="49" w:firstLine="0"/>
        <w:rPr>
          <w:rFonts w:eastAsia="Palatino Linotype" w:cs="Palatino Linotype"/>
          <w:color w:val="000000"/>
          <w:sz w:val="24"/>
          <w:szCs w:val="24"/>
        </w:rPr>
      </w:pPr>
      <w:r w:rsidRPr="007D35D4">
        <w:rPr>
          <w:rFonts w:eastAsia="Palatino Linotype" w:cs="Palatino Linotype"/>
          <w:b/>
          <w:color w:val="000000"/>
          <w:sz w:val="24"/>
          <w:szCs w:val="24"/>
        </w:rPr>
        <w:t xml:space="preserve">Recurso de Revisión. </w:t>
      </w:r>
      <w:r w:rsidRPr="007D35D4">
        <w:rPr>
          <w:rFonts w:eastAsia="Palatino Linotype" w:cs="Palatino Linotype"/>
          <w:color w:val="000000"/>
          <w:sz w:val="24"/>
          <w:szCs w:val="24"/>
        </w:rPr>
        <w:t xml:space="preserve">En fecha </w:t>
      </w:r>
      <w:r w:rsidR="000278B7" w:rsidRPr="007D35D4">
        <w:rPr>
          <w:rFonts w:eastAsia="Palatino Linotype" w:cs="Palatino Linotype"/>
          <w:b/>
          <w:color w:val="000000"/>
          <w:sz w:val="24"/>
          <w:szCs w:val="24"/>
        </w:rPr>
        <w:t>cinco de julio</w:t>
      </w:r>
      <w:r w:rsidRPr="007D35D4">
        <w:rPr>
          <w:rFonts w:eastAsia="Palatino Linotype" w:cs="Palatino Linotype"/>
          <w:b/>
          <w:color w:val="000000"/>
          <w:sz w:val="24"/>
          <w:szCs w:val="24"/>
        </w:rPr>
        <w:t xml:space="preserve"> de dos mil veintitrés</w:t>
      </w:r>
      <w:r w:rsidRPr="007D35D4">
        <w:rPr>
          <w:rFonts w:eastAsia="Palatino Linotype" w:cs="Palatino Linotype"/>
          <w:color w:val="000000"/>
          <w:sz w:val="24"/>
          <w:szCs w:val="24"/>
        </w:rPr>
        <w:t xml:space="preserve"> la persona Solicitante interpuso Recurso de Revisión a través del </w:t>
      </w:r>
      <w:r w:rsidRPr="007D35D4">
        <w:rPr>
          <w:rFonts w:eastAsia="Palatino Linotype" w:cs="Palatino Linotype"/>
          <w:b/>
          <w:color w:val="000000"/>
          <w:sz w:val="24"/>
          <w:szCs w:val="24"/>
        </w:rPr>
        <w:t>SAIMEX</w:t>
      </w:r>
      <w:r w:rsidRPr="007D35D4">
        <w:rPr>
          <w:rFonts w:eastAsia="Palatino Linotype" w:cs="Palatino Linotype"/>
          <w:color w:val="000000"/>
          <w:sz w:val="24"/>
          <w:szCs w:val="24"/>
        </w:rPr>
        <w:t>, a través del cual expresó lo siguiente:</w:t>
      </w:r>
    </w:p>
    <w:p w14:paraId="0E6615BE" w14:textId="77777777" w:rsidR="00F40D32" w:rsidRPr="007D35D4" w:rsidRDefault="00F40D32" w:rsidP="00F40D32">
      <w:pPr>
        <w:pBdr>
          <w:top w:val="nil"/>
          <w:left w:val="nil"/>
          <w:bottom w:val="nil"/>
          <w:right w:val="nil"/>
          <w:between w:val="nil"/>
        </w:pBdr>
        <w:spacing w:after="0" w:line="360" w:lineRule="auto"/>
        <w:ind w:right="49"/>
        <w:rPr>
          <w:rFonts w:eastAsia="Palatino Linotype" w:cs="Palatino Linotype"/>
          <w:color w:val="000000"/>
          <w:sz w:val="24"/>
          <w:szCs w:val="24"/>
        </w:rPr>
      </w:pPr>
    </w:p>
    <w:p w14:paraId="7D5CCBB3" w14:textId="22C56D4E" w:rsidR="00F40D32" w:rsidRPr="007D35D4" w:rsidRDefault="00F40D32" w:rsidP="00F40D32">
      <w:pPr>
        <w:pBdr>
          <w:top w:val="nil"/>
          <w:left w:val="nil"/>
          <w:bottom w:val="nil"/>
          <w:right w:val="nil"/>
          <w:between w:val="nil"/>
        </w:pBdr>
        <w:tabs>
          <w:tab w:val="left" w:pos="1276"/>
        </w:tabs>
        <w:spacing w:after="0"/>
        <w:ind w:left="567" w:right="701"/>
        <w:rPr>
          <w:rFonts w:eastAsia="Palatino Linotype" w:cs="Palatino Linotype"/>
          <w:b/>
          <w:color w:val="000000"/>
          <w:sz w:val="24"/>
          <w:szCs w:val="24"/>
        </w:rPr>
      </w:pPr>
      <w:r w:rsidRPr="007D35D4">
        <w:rPr>
          <w:rFonts w:eastAsia="Palatino Linotype" w:cs="Palatino Linotype"/>
          <w:b/>
          <w:color w:val="000000"/>
          <w:sz w:val="24"/>
          <w:szCs w:val="24"/>
        </w:rPr>
        <w:lastRenderedPageBreak/>
        <w:t>Acto impugnado</w:t>
      </w:r>
      <w:r w:rsidRPr="007D35D4">
        <w:rPr>
          <w:rFonts w:eastAsia="Palatino Linotype" w:cs="Palatino Linotype"/>
          <w:b/>
          <w:i/>
          <w:color w:val="000000"/>
          <w:sz w:val="24"/>
          <w:szCs w:val="24"/>
        </w:rPr>
        <w:t xml:space="preserve">. </w:t>
      </w:r>
      <w:r w:rsidRPr="007D35D4">
        <w:rPr>
          <w:rFonts w:eastAsia="Palatino Linotype" w:cs="Palatino Linotype"/>
          <w:i/>
          <w:color w:val="000000"/>
        </w:rPr>
        <w:t>“</w:t>
      </w:r>
      <w:r w:rsidR="000278B7" w:rsidRPr="007D35D4">
        <w:rPr>
          <w:rFonts w:eastAsia="Palatino Linotype" w:cs="Palatino Linotype"/>
          <w:i/>
          <w:color w:val="000000"/>
        </w:rPr>
        <w:t>No se atiende mi solicitud de acceso a la información, requiero una respuesta debidamente fundada y motivada</w:t>
      </w:r>
      <w:r w:rsidRPr="007D35D4">
        <w:rPr>
          <w:rFonts w:eastAsia="Palatino Linotype" w:cs="Palatino Linotype"/>
          <w:i/>
          <w:color w:val="000000"/>
        </w:rPr>
        <w:t xml:space="preserve">”. </w:t>
      </w:r>
    </w:p>
    <w:p w14:paraId="6BFF7C46" w14:textId="77777777" w:rsidR="00F40D32" w:rsidRPr="007D35D4" w:rsidRDefault="00F40D32" w:rsidP="00F40D32">
      <w:pPr>
        <w:pBdr>
          <w:top w:val="nil"/>
          <w:left w:val="nil"/>
          <w:bottom w:val="nil"/>
          <w:right w:val="nil"/>
          <w:between w:val="nil"/>
        </w:pBdr>
        <w:tabs>
          <w:tab w:val="left" w:pos="1276"/>
        </w:tabs>
        <w:spacing w:after="0"/>
        <w:ind w:left="567" w:right="701"/>
        <w:rPr>
          <w:rFonts w:eastAsia="Palatino Linotype" w:cs="Palatino Linotype"/>
          <w:b/>
          <w:color w:val="000000"/>
          <w:sz w:val="24"/>
          <w:szCs w:val="24"/>
        </w:rPr>
      </w:pPr>
    </w:p>
    <w:p w14:paraId="434F7926" w14:textId="68646E99" w:rsidR="00F40D32" w:rsidRPr="007D35D4" w:rsidRDefault="00F40D32" w:rsidP="00F40D32">
      <w:pPr>
        <w:pBdr>
          <w:top w:val="nil"/>
          <w:left w:val="nil"/>
          <w:bottom w:val="nil"/>
          <w:right w:val="nil"/>
          <w:between w:val="nil"/>
        </w:pBdr>
        <w:tabs>
          <w:tab w:val="left" w:pos="1276"/>
        </w:tabs>
        <w:spacing w:after="0"/>
        <w:ind w:left="567" w:right="701"/>
        <w:rPr>
          <w:rFonts w:eastAsia="Palatino Linotype" w:cs="Palatino Linotype"/>
          <w:i/>
          <w:iCs/>
          <w:color w:val="000000"/>
        </w:rPr>
      </w:pPr>
      <w:r w:rsidRPr="007D35D4">
        <w:rPr>
          <w:rFonts w:eastAsia="Palatino Linotype" w:cs="Palatino Linotype"/>
          <w:b/>
          <w:color w:val="000000"/>
          <w:sz w:val="24"/>
          <w:szCs w:val="24"/>
        </w:rPr>
        <w:t xml:space="preserve">Razones o motivos de la inconformidad: </w:t>
      </w:r>
      <w:r w:rsidR="000278B7" w:rsidRPr="007D35D4">
        <w:rPr>
          <w:rFonts w:eastAsia="Palatino Linotype" w:cs="Palatino Linotype"/>
          <w:iCs/>
          <w:color w:val="000000"/>
        </w:rPr>
        <w:t>*No se precisó información*</w:t>
      </w:r>
      <w:r w:rsidRPr="007D35D4">
        <w:rPr>
          <w:rFonts w:eastAsia="Palatino Linotype" w:cs="Palatino Linotype"/>
          <w:iCs/>
          <w:color w:val="000000"/>
        </w:rPr>
        <w:t xml:space="preserve"> </w:t>
      </w:r>
    </w:p>
    <w:p w14:paraId="5AE77A0C" w14:textId="77777777" w:rsidR="00F40D32" w:rsidRPr="007D35D4" w:rsidRDefault="00F40D32" w:rsidP="00F40D32">
      <w:pPr>
        <w:pBdr>
          <w:top w:val="nil"/>
          <w:left w:val="nil"/>
          <w:bottom w:val="nil"/>
          <w:right w:val="nil"/>
          <w:between w:val="nil"/>
        </w:pBdr>
        <w:tabs>
          <w:tab w:val="left" w:pos="1276"/>
        </w:tabs>
        <w:spacing w:after="0" w:line="360" w:lineRule="auto"/>
        <w:ind w:right="701"/>
        <w:rPr>
          <w:rFonts w:eastAsia="Palatino Linotype" w:cs="Palatino Linotype"/>
          <w:color w:val="000000"/>
          <w:sz w:val="24"/>
          <w:szCs w:val="24"/>
        </w:rPr>
      </w:pPr>
    </w:p>
    <w:p w14:paraId="7912D98C" w14:textId="688E3545" w:rsidR="00335563" w:rsidRPr="007D35D4" w:rsidRDefault="00335563" w:rsidP="00F40D32">
      <w:pPr>
        <w:pBdr>
          <w:top w:val="nil"/>
          <w:left w:val="nil"/>
          <w:bottom w:val="nil"/>
          <w:right w:val="nil"/>
          <w:between w:val="nil"/>
        </w:pBdr>
        <w:tabs>
          <w:tab w:val="left" w:pos="1276"/>
        </w:tabs>
        <w:spacing w:after="0" w:line="360" w:lineRule="auto"/>
        <w:ind w:right="701"/>
        <w:rPr>
          <w:rFonts w:eastAsia="Palatino Linotype" w:cs="Palatino Linotype"/>
          <w:color w:val="000000"/>
          <w:sz w:val="24"/>
          <w:szCs w:val="24"/>
        </w:rPr>
      </w:pPr>
      <w:r w:rsidRPr="007D35D4">
        <w:rPr>
          <w:rFonts w:eastAsia="Palatino Linotype" w:cs="Palatino Linotype"/>
          <w:color w:val="000000"/>
          <w:sz w:val="24"/>
          <w:szCs w:val="24"/>
        </w:rPr>
        <w:t xml:space="preserve">Asimismo, adjuntó un archivo al cual no es posible su acceso. </w:t>
      </w:r>
    </w:p>
    <w:p w14:paraId="329E7833" w14:textId="77777777" w:rsidR="00335563" w:rsidRPr="007D35D4" w:rsidRDefault="00335563" w:rsidP="00F40D32">
      <w:pPr>
        <w:pBdr>
          <w:top w:val="nil"/>
          <w:left w:val="nil"/>
          <w:bottom w:val="nil"/>
          <w:right w:val="nil"/>
          <w:between w:val="nil"/>
        </w:pBdr>
        <w:tabs>
          <w:tab w:val="left" w:pos="1276"/>
        </w:tabs>
        <w:spacing w:after="0" w:line="360" w:lineRule="auto"/>
        <w:ind w:right="701"/>
        <w:rPr>
          <w:rFonts w:eastAsia="Palatino Linotype" w:cs="Palatino Linotype"/>
          <w:color w:val="000000"/>
          <w:sz w:val="24"/>
          <w:szCs w:val="24"/>
        </w:rPr>
      </w:pPr>
    </w:p>
    <w:p w14:paraId="7D4216FE" w14:textId="7A036CDC" w:rsidR="00F40D32" w:rsidRPr="007D35D4" w:rsidRDefault="00F40D32" w:rsidP="00F40D32">
      <w:pPr>
        <w:numPr>
          <w:ilvl w:val="0"/>
          <w:numId w:val="30"/>
        </w:numPr>
        <w:pBdr>
          <w:top w:val="nil"/>
          <w:left w:val="nil"/>
          <w:bottom w:val="nil"/>
          <w:right w:val="nil"/>
          <w:between w:val="nil"/>
        </w:pBdr>
        <w:spacing w:after="0" w:line="360" w:lineRule="auto"/>
        <w:ind w:left="0" w:right="49" w:firstLine="0"/>
        <w:rPr>
          <w:rFonts w:eastAsia="Palatino Linotype" w:cs="Palatino Linotype"/>
          <w:color w:val="000000"/>
          <w:sz w:val="24"/>
          <w:szCs w:val="24"/>
        </w:rPr>
      </w:pPr>
      <w:r w:rsidRPr="007D35D4">
        <w:rPr>
          <w:rFonts w:eastAsia="Palatino Linotype" w:cs="Palatino Linotype"/>
          <w:b/>
          <w:color w:val="000000"/>
          <w:sz w:val="24"/>
          <w:szCs w:val="24"/>
        </w:rPr>
        <w:t>Turno.</w:t>
      </w:r>
      <w:r w:rsidRPr="007D35D4">
        <w:rPr>
          <w:rFonts w:eastAsia="Palatino Linotype" w:cs="Palatino Linotype"/>
          <w:color w:val="000000"/>
          <w:sz w:val="24"/>
          <w:szCs w:val="24"/>
        </w:rPr>
        <w:t xml:space="preserve"> De conformidad con el artículo 185, fracción I de la Ley de Transparencia y Acceso a la Información Pública del Estado de México y Municipios, el recurso de revisión número </w:t>
      </w:r>
      <w:r w:rsidRPr="007D35D4">
        <w:rPr>
          <w:rFonts w:eastAsia="Palatino Linotype" w:cs="Palatino Linotype"/>
          <w:b/>
          <w:color w:val="000000"/>
          <w:sz w:val="24"/>
          <w:szCs w:val="24"/>
        </w:rPr>
        <w:t>0</w:t>
      </w:r>
      <w:r w:rsidR="000278B7" w:rsidRPr="007D35D4">
        <w:rPr>
          <w:rFonts w:eastAsia="Palatino Linotype" w:cs="Palatino Linotype"/>
          <w:b/>
          <w:color w:val="000000"/>
          <w:sz w:val="24"/>
          <w:szCs w:val="24"/>
        </w:rPr>
        <w:t>3904</w:t>
      </w:r>
      <w:r w:rsidRPr="007D35D4">
        <w:rPr>
          <w:rFonts w:eastAsia="Palatino Linotype" w:cs="Palatino Linotype"/>
          <w:b/>
          <w:color w:val="000000"/>
          <w:sz w:val="24"/>
          <w:szCs w:val="24"/>
        </w:rPr>
        <w:t>/INFOEM/IP/RR/2023</w:t>
      </w:r>
      <w:r w:rsidRPr="007D35D4">
        <w:rPr>
          <w:rFonts w:eastAsia="Palatino Linotype" w:cs="Palatino Linotype"/>
          <w:color w:val="000000"/>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6B78F90B" w14:textId="77777777" w:rsidR="00F40D32" w:rsidRPr="007D35D4" w:rsidRDefault="00F40D32" w:rsidP="00F40D32">
      <w:pPr>
        <w:pBdr>
          <w:top w:val="nil"/>
          <w:left w:val="nil"/>
          <w:bottom w:val="nil"/>
          <w:right w:val="nil"/>
          <w:between w:val="nil"/>
        </w:pBdr>
        <w:spacing w:after="0" w:line="360" w:lineRule="auto"/>
        <w:ind w:right="49"/>
        <w:rPr>
          <w:rFonts w:eastAsia="Palatino Linotype" w:cs="Palatino Linotype"/>
          <w:color w:val="000000"/>
          <w:sz w:val="24"/>
          <w:szCs w:val="24"/>
        </w:rPr>
      </w:pPr>
    </w:p>
    <w:p w14:paraId="1AF7150F" w14:textId="36A9EE3C" w:rsidR="00F40D32" w:rsidRPr="007D35D4" w:rsidRDefault="00F40D32" w:rsidP="00F40D32">
      <w:pPr>
        <w:numPr>
          <w:ilvl w:val="0"/>
          <w:numId w:val="30"/>
        </w:numPr>
        <w:pBdr>
          <w:top w:val="nil"/>
          <w:left w:val="nil"/>
          <w:bottom w:val="nil"/>
          <w:right w:val="nil"/>
          <w:between w:val="nil"/>
        </w:pBdr>
        <w:spacing w:after="0" w:line="360" w:lineRule="auto"/>
        <w:ind w:left="0" w:right="49" w:firstLine="0"/>
        <w:rPr>
          <w:rFonts w:eastAsia="Palatino Linotype" w:cs="Palatino Linotype"/>
          <w:color w:val="000000"/>
          <w:sz w:val="24"/>
          <w:szCs w:val="24"/>
        </w:rPr>
      </w:pPr>
      <w:r w:rsidRPr="007D35D4">
        <w:rPr>
          <w:rFonts w:eastAsia="Palatino Linotype" w:cs="Palatino Linotype"/>
          <w:b/>
          <w:color w:val="000000"/>
          <w:sz w:val="24"/>
          <w:szCs w:val="24"/>
        </w:rPr>
        <w:t>Admisión del recurso de revisión</w:t>
      </w:r>
      <w:r w:rsidRPr="007D35D4">
        <w:rPr>
          <w:rFonts w:eastAsia="Palatino Linotype" w:cs="Palatino Linotype"/>
          <w:color w:val="000000"/>
          <w:sz w:val="24"/>
          <w:szCs w:val="24"/>
        </w:rPr>
        <w:t xml:space="preserve">: En fecha </w:t>
      </w:r>
      <w:r w:rsidR="000278B7" w:rsidRPr="007D35D4">
        <w:rPr>
          <w:rFonts w:eastAsia="Palatino Linotype" w:cs="Palatino Linotype"/>
          <w:b/>
          <w:color w:val="000000"/>
          <w:sz w:val="24"/>
          <w:szCs w:val="24"/>
        </w:rPr>
        <w:t>diez de julio</w:t>
      </w:r>
      <w:r w:rsidRPr="007D35D4">
        <w:rPr>
          <w:rFonts w:eastAsia="Palatino Linotype" w:cs="Palatino Linotype"/>
          <w:b/>
          <w:color w:val="000000"/>
          <w:sz w:val="24"/>
          <w:szCs w:val="24"/>
        </w:rPr>
        <w:t xml:space="preserve"> de dos mil veintitrés</w:t>
      </w:r>
      <w:r w:rsidRPr="007D35D4">
        <w:rPr>
          <w:rFonts w:eastAsia="Palatino Linotype" w:cs="Palatino Linotype"/>
          <w:color w:val="000000"/>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13EF8FE2" w14:textId="77777777" w:rsidR="00F40D32" w:rsidRPr="007D35D4" w:rsidRDefault="00F40D32" w:rsidP="00F40D32">
      <w:pPr>
        <w:pBdr>
          <w:top w:val="nil"/>
          <w:left w:val="nil"/>
          <w:bottom w:val="nil"/>
          <w:right w:val="nil"/>
          <w:between w:val="nil"/>
        </w:pBdr>
        <w:ind w:left="720"/>
        <w:rPr>
          <w:rFonts w:eastAsia="Palatino Linotype" w:cs="Palatino Linotype"/>
          <w:color w:val="000000"/>
          <w:sz w:val="24"/>
          <w:szCs w:val="24"/>
        </w:rPr>
      </w:pPr>
    </w:p>
    <w:p w14:paraId="686F83C0" w14:textId="18734A3C" w:rsidR="00F40D32" w:rsidRPr="007D35D4" w:rsidRDefault="00F40D32" w:rsidP="00F40D32">
      <w:pPr>
        <w:numPr>
          <w:ilvl w:val="0"/>
          <w:numId w:val="30"/>
        </w:numPr>
        <w:pBdr>
          <w:top w:val="nil"/>
          <w:left w:val="nil"/>
          <w:bottom w:val="nil"/>
          <w:right w:val="nil"/>
          <w:between w:val="nil"/>
        </w:pBdr>
        <w:spacing w:after="0" w:line="360" w:lineRule="auto"/>
        <w:ind w:left="0" w:right="49" w:firstLine="0"/>
        <w:rPr>
          <w:rFonts w:eastAsia="Palatino Linotype" w:cs="Palatino Linotype"/>
          <w:color w:val="000000"/>
          <w:sz w:val="24"/>
          <w:szCs w:val="24"/>
        </w:rPr>
      </w:pPr>
      <w:r w:rsidRPr="007D35D4">
        <w:rPr>
          <w:rFonts w:eastAsia="Palatino Linotype" w:cs="Palatino Linotype"/>
          <w:b/>
          <w:color w:val="000000"/>
          <w:sz w:val="24"/>
          <w:szCs w:val="24"/>
        </w:rPr>
        <w:t xml:space="preserve">Informe Justificado. </w:t>
      </w:r>
      <w:r w:rsidRPr="007D35D4">
        <w:rPr>
          <w:rFonts w:eastAsia="Palatino Linotype" w:cs="Palatino Linotype"/>
          <w:color w:val="000000"/>
          <w:sz w:val="24"/>
          <w:szCs w:val="24"/>
        </w:rPr>
        <w:t xml:space="preserve">En fecha </w:t>
      </w:r>
      <w:r w:rsidR="00CA1E5F" w:rsidRPr="007D35D4">
        <w:rPr>
          <w:rFonts w:eastAsia="Palatino Linotype" w:cs="Palatino Linotype"/>
          <w:b/>
          <w:color w:val="000000"/>
          <w:sz w:val="24"/>
          <w:szCs w:val="24"/>
        </w:rPr>
        <w:t>uno de agosto</w:t>
      </w:r>
      <w:r w:rsidRPr="007D35D4">
        <w:rPr>
          <w:rFonts w:eastAsia="Palatino Linotype" w:cs="Palatino Linotype"/>
          <w:b/>
          <w:color w:val="000000"/>
          <w:sz w:val="24"/>
          <w:szCs w:val="24"/>
        </w:rPr>
        <w:t xml:space="preserve"> de dos mil veintitrés</w:t>
      </w:r>
      <w:r w:rsidRPr="007D35D4">
        <w:rPr>
          <w:rFonts w:eastAsia="Palatino Linotype" w:cs="Palatino Linotype"/>
          <w:color w:val="000000"/>
          <w:sz w:val="24"/>
          <w:szCs w:val="24"/>
        </w:rPr>
        <w:t xml:space="preserve">, el </w:t>
      </w:r>
      <w:r w:rsidRPr="007D35D4">
        <w:rPr>
          <w:rFonts w:eastAsia="Palatino Linotype" w:cs="Palatino Linotype"/>
          <w:b/>
          <w:color w:val="000000"/>
          <w:sz w:val="24"/>
          <w:szCs w:val="24"/>
        </w:rPr>
        <w:t xml:space="preserve">SUJETO OBLIGADO </w:t>
      </w:r>
      <w:r w:rsidRPr="007D35D4">
        <w:rPr>
          <w:rFonts w:eastAsia="Palatino Linotype" w:cs="Palatino Linotype"/>
          <w:color w:val="000000"/>
          <w:sz w:val="24"/>
          <w:szCs w:val="24"/>
        </w:rPr>
        <w:t xml:space="preserve">rindió informe justificado, al tenor de lo siguiente: </w:t>
      </w:r>
    </w:p>
    <w:p w14:paraId="191E54DD" w14:textId="77777777" w:rsidR="00F40D32" w:rsidRPr="007D35D4" w:rsidRDefault="00F40D32" w:rsidP="00F40D32">
      <w:pPr>
        <w:pBdr>
          <w:top w:val="nil"/>
          <w:left w:val="nil"/>
          <w:bottom w:val="nil"/>
          <w:right w:val="nil"/>
          <w:between w:val="nil"/>
        </w:pBdr>
        <w:spacing w:after="0" w:line="360" w:lineRule="auto"/>
        <w:ind w:right="49"/>
        <w:rPr>
          <w:rFonts w:eastAsia="Palatino Linotype" w:cs="Palatino Linotype"/>
          <w:color w:val="000000"/>
          <w:sz w:val="24"/>
          <w:szCs w:val="24"/>
        </w:rPr>
      </w:pPr>
    </w:p>
    <w:p w14:paraId="639D909E" w14:textId="731FDB22" w:rsidR="00F40D32" w:rsidRPr="007D35D4" w:rsidRDefault="00A304B1" w:rsidP="009906FD">
      <w:pPr>
        <w:pStyle w:val="Prrafodelista"/>
        <w:numPr>
          <w:ilvl w:val="0"/>
          <w:numId w:val="35"/>
        </w:numPr>
        <w:pBdr>
          <w:top w:val="nil"/>
          <w:left w:val="nil"/>
          <w:bottom w:val="nil"/>
          <w:right w:val="nil"/>
          <w:between w:val="nil"/>
        </w:pBdr>
        <w:spacing w:line="360" w:lineRule="auto"/>
        <w:ind w:right="49"/>
        <w:rPr>
          <w:rFonts w:eastAsia="Palatino Linotype" w:cs="Palatino Linotype"/>
          <w:color w:val="000000"/>
        </w:rPr>
      </w:pPr>
      <w:r w:rsidRPr="007D35D4">
        <w:rPr>
          <w:rFonts w:eastAsia="Palatino Linotype" w:cs="Palatino Linotype"/>
          <w:color w:val="000000"/>
        </w:rPr>
        <w:t xml:space="preserve">Oficio de fecha uno de agosto de dos mil veintitrés, signado por el Titular de la Unidad de Transparencia, mediante el cual informa que, </w:t>
      </w:r>
      <w:r w:rsidR="00DA4EBC" w:rsidRPr="007D35D4">
        <w:rPr>
          <w:rFonts w:eastAsia="Palatino Linotype" w:cs="Palatino Linotype"/>
          <w:color w:val="000000"/>
        </w:rPr>
        <w:t xml:space="preserve">la búsqueda de los expedientes es </w:t>
      </w:r>
      <w:r w:rsidR="00DA4EBC" w:rsidRPr="007D35D4">
        <w:rPr>
          <w:rFonts w:eastAsia="Palatino Linotype" w:cs="Palatino Linotype"/>
          <w:color w:val="000000"/>
        </w:rPr>
        <w:lastRenderedPageBreak/>
        <w:t xml:space="preserve">realizada conforme al número asignado al juicio e identificando el órgano jurisdiccional en donde se encuentre ventilada la controversial, no obstante, de realizarse la investigación por el nombre de alguna de las partes que interviene en el procedimiento, o bien, por el cargo que desempeñan implicaría la búsqueda en todos los archivos (expedientes) en los diferentes órganos jurisdiccionales, motivo por el cual, no es posible identificar cuáles </w:t>
      </w:r>
      <w:r w:rsidR="009A48BF" w:rsidRPr="007D35D4">
        <w:rPr>
          <w:rFonts w:eastAsia="Palatino Linotype" w:cs="Palatino Linotype"/>
          <w:color w:val="000000"/>
        </w:rPr>
        <w:t xml:space="preserve">y cuántos son los expedientes relacionados al particular en cuestión como Diputado de la LXI Legislatura del Estado de México. </w:t>
      </w:r>
    </w:p>
    <w:p w14:paraId="340D54CC" w14:textId="0061EC38" w:rsidR="009A48BF" w:rsidRPr="007D35D4" w:rsidRDefault="009A48BF" w:rsidP="009A48BF">
      <w:pPr>
        <w:pStyle w:val="Prrafodelista"/>
        <w:pBdr>
          <w:top w:val="nil"/>
          <w:left w:val="nil"/>
          <w:bottom w:val="nil"/>
          <w:right w:val="nil"/>
          <w:between w:val="nil"/>
        </w:pBdr>
        <w:spacing w:line="360" w:lineRule="auto"/>
        <w:ind w:right="49"/>
        <w:rPr>
          <w:rFonts w:eastAsia="Palatino Linotype" w:cs="Palatino Linotype"/>
          <w:color w:val="000000"/>
        </w:rPr>
      </w:pPr>
      <w:r w:rsidRPr="007D35D4">
        <w:rPr>
          <w:rFonts w:eastAsia="Palatino Linotype" w:cs="Palatino Linotype"/>
          <w:color w:val="000000"/>
        </w:rPr>
        <w:t>Además de que, el otorgar información tal como la pide el recurrente, permitiría la vulneración de los datos personales de un tercer</w:t>
      </w:r>
      <w:r w:rsidR="00597E2F" w:rsidRPr="007D35D4">
        <w:rPr>
          <w:rFonts w:eastAsia="Palatino Linotype" w:cs="Palatino Linotype"/>
          <w:color w:val="000000"/>
        </w:rPr>
        <w:t xml:space="preserve">o. </w:t>
      </w:r>
    </w:p>
    <w:p w14:paraId="7B602F8E" w14:textId="77777777" w:rsidR="009A48BF" w:rsidRPr="007D35D4" w:rsidRDefault="009A48BF" w:rsidP="009A48BF">
      <w:pPr>
        <w:pBdr>
          <w:top w:val="nil"/>
          <w:left w:val="nil"/>
          <w:bottom w:val="nil"/>
          <w:right w:val="nil"/>
          <w:between w:val="nil"/>
        </w:pBdr>
        <w:spacing w:line="360" w:lineRule="auto"/>
        <w:ind w:right="49"/>
        <w:rPr>
          <w:rFonts w:eastAsia="Palatino Linotype" w:cs="Palatino Linotype"/>
          <w:color w:val="000000"/>
        </w:rPr>
      </w:pPr>
    </w:p>
    <w:p w14:paraId="2EC1F882" w14:textId="25C97E71" w:rsidR="00F40D32" w:rsidRPr="007D35D4" w:rsidRDefault="00597E2F" w:rsidP="00F40D32">
      <w:pPr>
        <w:pBdr>
          <w:top w:val="nil"/>
          <w:left w:val="nil"/>
          <w:bottom w:val="nil"/>
          <w:right w:val="nil"/>
          <w:between w:val="nil"/>
        </w:pBdr>
        <w:spacing w:after="0" w:line="360" w:lineRule="auto"/>
        <w:ind w:right="49"/>
        <w:rPr>
          <w:rFonts w:eastAsia="Palatino Linotype" w:cs="Palatino Linotype"/>
          <w:b/>
          <w:color w:val="000000"/>
          <w:szCs w:val="24"/>
        </w:rPr>
      </w:pPr>
      <w:r w:rsidRPr="007D35D4">
        <w:rPr>
          <w:rFonts w:eastAsia="Palatino Linotype" w:cs="Palatino Linotype"/>
          <w:color w:val="000000"/>
          <w:szCs w:val="24"/>
        </w:rPr>
        <w:t xml:space="preserve">Documento que se hizo del conocimiento de la parte Recurrente el </w:t>
      </w:r>
      <w:r w:rsidRPr="007D35D4">
        <w:rPr>
          <w:rFonts w:eastAsia="Palatino Linotype" w:cs="Palatino Linotype"/>
          <w:b/>
          <w:color w:val="000000"/>
          <w:szCs w:val="24"/>
        </w:rPr>
        <w:t>catorce de febrero de dos mil veinticuatro.</w:t>
      </w:r>
    </w:p>
    <w:p w14:paraId="62675769" w14:textId="77777777" w:rsidR="00F40D32" w:rsidRPr="007D35D4" w:rsidRDefault="00F40D32" w:rsidP="00F40D32">
      <w:pPr>
        <w:pBdr>
          <w:top w:val="nil"/>
          <w:left w:val="nil"/>
          <w:bottom w:val="nil"/>
          <w:right w:val="nil"/>
          <w:between w:val="nil"/>
        </w:pBdr>
        <w:spacing w:after="0" w:line="360" w:lineRule="auto"/>
        <w:ind w:right="49"/>
        <w:rPr>
          <w:rFonts w:eastAsia="Palatino Linotype" w:cs="Palatino Linotype"/>
          <w:b/>
          <w:color w:val="000000"/>
          <w:szCs w:val="24"/>
        </w:rPr>
      </w:pPr>
    </w:p>
    <w:p w14:paraId="31913C39" w14:textId="77777777" w:rsidR="00F40D32" w:rsidRPr="007D35D4" w:rsidRDefault="00F40D32" w:rsidP="00F40D32">
      <w:pPr>
        <w:pBdr>
          <w:top w:val="nil"/>
          <w:left w:val="nil"/>
          <w:bottom w:val="nil"/>
          <w:right w:val="nil"/>
          <w:between w:val="nil"/>
        </w:pBdr>
        <w:spacing w:after="0" w:line="360" w:lineRule="auto"/>
        <w:ind w:right="49"/>
        <w:rPr>
          <w:rFonts w:eastAsia="Palatino Linotype" w:cs="Palatino Linotype"/>
          <w:color w:val="000000"/>
          <w:szCs w:val="24"/>
        </w:rPr>
      </w:pPr>
      <w:r w:rsidRPr="007D35D4">
        <w:rPr>
          <w:rFonts w:eastAsia="Palatino Linotype" w:cs="Palatino Linotype"/>
          <w:color w:val="000000"/>
          <w:szCs w:val="24"/>
        </w:rPr>
        <w:t xml:space="preserve">La parte Recurrente no realizó manifestaciones </w:t>
      </w:r>
    </w:p>
    <w:p w14:paraId="07441A56" w14:textId="77777777" w:rsidR="00F40D32" w:rsidRPr="007D35D4" w:rsidRDefault="00F40D32" w:rsidP="00F40D32">
      <w:pPr>
        <w:pBdr>
          <w:top w:val="nil"/>
          <w:left w:val="nil"/>
          <w:bottom w:val="nil"/>
          <w:right w:val="nil"/>
          <w:between w:val="nil"/>
        </w:pBdr>
        <w:spacing w:after="0" w:line="360" w:lineRule="auto"/>
        <w:ind w:right="49"/>
        <w:rPr>
          <w:rFonts w:eastAsia="Palatino Linotype" w:cs="Palatino Linotype"/>
          <w:color w:val="000000"/>
          <w:sz w:val="24"/>
          <w:szCs w:val="24"/>
        </w:rPr>
      </w:pPr>
    </w:p>
    <w:p w14:paraId="5AB30EF0" w14:textId="4BDFC10F" w:rsidR="00F40D32" w:rsidRPr="007D35D4" w:rsidRDefault="00F40D32" w:rsidP="00F40D32">
      <w:pPr>
        <w:numPr>
          <w:ilvl w:val="0"/>
          <w:numId w:val="30"/>
        </w:numPr>
        <w:pBdr>
          <w:top w:val="nil"/>
          <w:left w:val="nil"/>
          <w:bottom w:val="nil"/>
          <w:right w:val="nil"/>
          <w:between w:val="nil"/>
        </w:pBdr>
        <w:tabs>
          <w:tab w:val="left" w:pos="360"/>
        </w:tabs>
        <w:spacing w:after="0" w:line="360" w:lineRule="auto"/>
        <w:ind w:left="0" w:right="49" w:firstLine="0"/>
        <w:rPr>
          <w:rFonts w:eastAsia="Palatino Linotype" w:cs="Palatino Linotype"/>
          <w:color w:val="000000"/>
          <w:sz w:val="24"/>
          <w:szCs w:val="24"/>
        </w:rPr>
      </w:pPr>
      <w:r w:rsidRPr="007D35D4">
        <w:rPr>
          <w:rFonts w:eastAsia="Palatino Linotype" w:cs="Palatino Linotype"/>
          <w:b/>
          <w:color w:val="000000"/>
          <w:sz w:val="24"/>
          <w:szCs w:val="24"/>
        </w:rPr>
        <w:t>Ampliación de plazo:</w:t>
      </w:r>
      <w:r w:rsidRPr="007D35D4">
        <w:rPr>
          <w:rFonts w:eastAsia="Palatino Linotype" w:cs="Palatino Linotype"/>
          <w:color w:val="000000"/>
          <w:sz w:val="24"/>
          <w:szCs w:val="24"/>
        </w:rPr>
        <w:t xml:space="preserve"> En fecha </w:t>
      </w:r>
      <w:r w:rsidR="00597E2F" w:rsidRPr="007D35D4">
        <w:rPr>
          <w:rFonts w:eastAsia="Palatino Linotype" w:cs="Palatino Linotype"/>
          <w:b/>
          <w:color w:val="000000"/>
          <w:sz w:val="24"/>
          <w:szCs w:val="24"/>
        </w:rPr>
        <w:t>catorce</w:t>
      </w:r>
      <w:r w:rsidRPr="007D35D4">
        <w:rPr>
          <w:rFonts w:eastAsia="Palatino Linotype" w:cs="Palatino Linotype"/>
          <w:b/>
          <w:color w:val="000000"/>
          <w:sz w:val="24"/>
          <w:szCs w:val="24"/>
        </w:rPr>
        <w:t xml:space="preserve"> de febrero de dos mil veinticuatro</w:t>
      </w:r>
      <w:r w:rsidRPr="007D35D4">
        <w:rPr>
          <w:rFonts w:eastAsia="Palatino Linotype" w:cs="Palatino Linotype"/>
          <w:color w:val="000000"/>
          <w:sz w:val="24"/>
          <w:szCs w:val="24"/>
        </w:rPr>
        <w:t>, con fundamento en el artículo 181, párrafo tercero de la Ley de Transparencia y Acceso a la Información Pública del Estado de México y Municipios, se acordó la ampliación del plazo para su resolución.</w:t>
      </w:r>
    </w:p>
    <w:p w14:paraId="2250E1C9" w14:textId="77777777" w:rsidR="00F40D32" w:rsidRPr="007D35D4" w:rsidRDefault="00F40D32" w:rsidP="00F40D32">
      <w:pPr>
        <w:widowControl w:val="0"/>
        <w:spacing w:after="0" w:line="360" w:lineRule="auto"/>
        <w:rPr>
          <w:rFonts w:eastAsia="Palatino Linotype" w:cs="Palatino Linotype"/>
          <w:sz w:val="24"/>
        </w:rPr>
      </w:pPr>
    </w:p>
    <w:p w14:paraId="5BE22806" w14:textId="04761818" w:rsidR="00F40D32" w:rsidRPr="007D35D4" w:rsidRDefault="00F40D32" w:rsidP="00F40D32">
      <w:pPr>
        <w:pBdr>
          <w:top w:val="nil"/>
          <w:left w:val="nil"/>
          <w:bottom w:val="nil"/>
          <w:right w:val="nil"/>
          <w:between w:val="nil"/>
        </w:pBdr>
        <w:tabs>
          <w:tab w:val="left" w:pos="360"/>
        </w:tabs>
        <w:spacing w:after="0" w:line="360" w:lineRule="auto"/>
        <w:ind w:right="49"/>
        <w:rPr>
          <w:rFonts w:eastAsia="Palatino Linotype" w:cs="Palatino Linotype"/>
          <w:sz w:val="24"/>
          <w:szCs w:val="24"/>
        </w:rPr>
      </w:pPr>
      <w:r w:rsidRPr="007D35D4">
        <w:rPr>
          <w:rFonts w:eastAsia="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E26488C" w14:textId="77777777" w:rsidR="00F40D32" w:rsidRPr="007D35D4" w:rsidRDefault="00F40D32" w:rsidP="00F40D32">
      <w:pPr>
        <w:spacing w:after="0" w:line="360" w:lineRule="auto"/>
        <w:rPr>
          <w:rFonts w:eastAsia="Palatino Linotype" w:cs="Palatino Linotype"/>
          <w:sz w:val="24"/>
        </w:rPr>
      </w:pPr>
      <w:r w:rsidRPr="007D35D4">
        <w:rPr>
          <w:rFonts w:eastAsia="Palatino Linotype" w:cs="Palatino Linotype"/>
          <w:sz w:val="24"/>
        </w:rPr>
        <w:lastRenderedPageBreak/>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DB9D895" w14:textId="77777777" w:rsidR="00F40D32" w:rsidRPr="007D35D4" w:rsidRDefault="00F40D32" w:rsidP="00F40D32">
      <w:pPr>
        <w:spacing w:after="0" w:line="360" w:lineRule="auto"/>
        <w:rPr>
          <w:rFonts w:eastAsia="Palatino Linotype" w:cs="Palatino Linotype"/>
          <w:sz w:val="24"/>
        </w:rPr>
      </w:pPr>
    </w:p>
    <w:p w14:paraId="0DB6AF0A" w14:textId="77777777" w:rsidR="00F40D32" w:rsidRPr="007D35D4" w:rsidRDefault="00F40D32" w:rsidP="00F40D32">
      <w:pPr>
        <w:spacing w:after="0" w:line="360" w:lineRule="auto"/>
        <w:rPr>
          <w:rFonts w:eastAsia="Palatino Linotype" w:cs="Palatino Linotype"/>
          <w:sz w:val="24"/>
        </w:rPr>
      </w:pPr>
      <w:r w:rsidRPr="007D35D4">
        <w:rPr>
          <w:rFonts w:eastAsia="Palatino Linotype" w:cs="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465BD1E" w14:textId="77777777" w:rsidR="00F40D32" w:rsidRPr="007D35D4" w:rsidRDefault="00F40D32" w:rsidP="00F40D32">
      <w:pPr>
        <w:spacing w:after="0" w:line="360" w:lineRule="auto"/>
        <w:rPr>
          <w:rFonts w:eastAsia="Palatino Linotype" w:cs="Palatino Linotype"/>
          <w:sz w:val="24"/>
        </w:rPr>
      </w:pPr>
    </w:p>
    <w:p w14:paraId="3E15015D" w14:textId="77777777" w:rsidR="00F40D32" w:rsidRPr="007D35D4" w:rsidRDefault="00F40D32" w:rsidP="00F40D32">
      <w:pPr>
        <w:spacing w:after="0" w:line="360" w:lineRule="auto"/>
        <w:rPr>
          <w:rFonts w:eastAsia="Palatino Linotype" w:cs="Palatino Linotype"/>
          <w:sz w:val="24"/>
        </w:rPr>
      </w:pPr>
      <w:r w:rsidRPr="007D35D4">
        <w:rPr>
          <w:rFonts w:eastAsia="Palatino Linotype" w:cs="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6E221FB" w14:textId="77777777" w:rsidR="00F40D32" w:rsidRPr="007D35D4" w:rsidRDefault="00F40D32" w:rsidP="00F40D32">
      <w:pPr>
        <w:spacing w:after="0" w:line="360" w:lineRule="auto"/>
        <w:rPr>
          <w:rFonts w:eastAsia="Palatino Linotype" w:cs="Palatino Linotype"/>
          <w:sz w:val="24"/>
        </w:rPr>
      </w:pPr>
    </w:p>
    <w:p w14:paraId="6C3E61D0" w14:textId="77777777" w:rsidR="00F40D32" w:rsidRPr="007D35D4" w:rsidRDefault="00F40D32" w:rsidP="00F40D32">
      <w:pPr>
        <w:spacing w:after="0" w:line="360" w:lineRule="auto"/>
        <w:rPr>
          <w:rFonts w:eastAsia="Palatino Linotype" w:cs="Palatino Linotype"/>
          <w:strike/>
          <w:color w:val="FF0000"/>
          <w:sz w:val="24"/>
        </w:rPr>
      </w:pPr>
      <w:r w:rsidRPr="007D35D4">
        <w:rPr>
          <w:rFonts w:eastAsia="Palatino Linotype" w:cs="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303B5B47" w14:textId="77777777" w:rsidR="00F40D32" w:rsidRPr="007D35D4" w:rsidRDefault="00F40D32" w:rsidP="00F40D32">
      <w:pPr>
        <w:spacing w:after="0" w:line="360" w:lineRule="auto"/>
        <w:rPr>
          <w:rFonts w:eastAsia="Palatino Linotype" w:cs="Palatino Linotype"/>
          <w:sz w:val="24"/>
        </w:rPr>
      </w:pPr>
    </w:p>
    <w:p w14:paraId="7029903A" w14:textId="77777777" w:rsidR="00F40D32" w:rsidRPr="007D35D4" w:rsidRDefault="00F40D32" w:rsidP="00F40D32">
      <w:pPr>
        <w:numPr>
          <w:ilvl w:val="0"/>
          <w:numId w:val="31"/>
        </w:numPr>
        <w:spacing w:after="0" w:line="360" w:lineRule="auto"/>
        <w:rPr>
          <w:rFonts w:eastAsia="Palatino Linotype" w:cs="Palatino Linotype"/>
        </w:rPr>
      </w:pPr>
      <w:r w:rsidRPr="007D35D4">
        <w:rPr>
          <w:rFonts w:eastAsia="Palatino Linotype" w:cs="Palatino Linotype"/>
        </w:rPr>
        <w:t>Complejidad del Asunto: La complejidad de la prueba, la pluralidad de sujetos procesales, el tiempo transcurrido, las características y contexto del recurso.</w:t>
      </w:r>
    </w:p>
    <w:p w14:paraId="058EEE52" w14:textId="77777777" w:rsidR="00F40D32" w:rsidRPr="007D35D4" w:rsidRDefault="00F40D32" w:rsidP="00F40D32">
      <w:pPr>
        <w:numPr>
          <w:ilvl w:val="0"/>
          <w:numId w:val="31"/>
        </w:numPr>
        <w:spacing w:after="0" w:line="360" w:lineRule="auto"/>
        <w:rPr>
          <w:rFonts w:eastAsia="Palatino Linotype" w:cs="Palatino Linotype"/>
        </w:rPr>
      </w:pPr>
      <w:r w:rsidRPr="007D35D4">
        <w:rPr>
          <w:rFonts w:eastAsia="Palatino Linotype" w:cs="Palatino Linotype"/>
        </w:rPr>
        <w:t>Actividad Procesal del interesado. Acciones u omisiones del interesado.</w:t>
      </w:r>
    </w:p>
    <w:p w14:paraId="57596CF8" w14:textId="77777777" w:rsidR="00F40D32" w:rsidRPr="007D35D4" w:rsidRDefault="00F40D32" w:rsidP="00F40D32">
      <w:pPr>
        <w:numPr>
          <w:ilvl w:val="0"/>
          <w:numId w:val="31"/>
        </w:numPr>
        <w:spacing w:after="0" w:line="360" w:lineRule="auto"/>
        <w:rPr>
          <w:rFonts w:eastAsia="Palatino Linotype" w:cs="Palatino Linotype"/>
        </w:rPr>
      </w:pPr>
      <w:r w:rsidRPr="007D35D4">
        <w:rPr>
          <w:rFonts w:eastAsia="Palatino Linotype" w:cs="Palatino Linotype"/>
        </w:rPr>
        <w:lastRenderedPageBreak/>
        <w:t>Conducta de la Autoridad: Las Acciones u omisiones realizadas en el procedimiento. Así como si la autoridad actuó con la debida diligencia.</w:t>
      </w:r>
    </w:p>
    <w:p w14:paraId="1CB6543E" w14:textId="77777777" w:rsidR="00F40D32" w:rsidRPr="007D35D4" w:rsidRDefault="00F40D32" w:rsidP="00F40D32">
      <w:pPr>
        <w:numPr>
          <w:ilvl w:val="0"/>
          <w:numId w:val="31"/>
        </w:numPr>
        <w:spacing w:after="0" w:line="360" w:lineRule="auto"/>
        <w:rPr>
          <w:rFonts w:eastAsia="Palatino Linotype" w:cs="Palatino Linotype"/>
        </w:rPr>
      </w:pPr>
      <w:r w:rsidRPr="007D35D4">
        <w:rPr>
          <w:rFonts w:eastAsia="Palatino Linotype" w:cs="Palatino Linotype"/>
        </w:rPr>
        <w:t xml:space="preserve"> La afectación generada en la situación jurídica de la persona involucrada en el proceso: Violación a sus derechos humanos.</w:t>
      </w:r>
    </w:p>
    <w:p w14:paraId="19CA8274" w14:textId="77777777" w:rsidR="00F40D32" w:rsidRPr="007D35D4" w:rsidRDefault="00F40D32" w:rsidP="00F40D32">
      <w:pPr>
        <w:spacing w:after="0" w:line="360" w:lineRule="auto"/>
        <w:rPr>
          <w:rFonts w:eastAsia="Palatino Linotype" w:cs="Palatino Linotype"/>
          <w:sz w:val="24"/>
        </w:rPr>
      </w:pPr>
    </w:p>
    <w:p w14:paraId="08FB4AE6" w14:textId="77777777" w:rsidR="00F40D32" w:rsidRPr="007D35D4" w:rsidRDefault="00F40D32" w:rsidP="00F40D32">
      <w:pPr>
        <w:spacing w:after="0" w:line="360" w:lineRule="auto"/>
        <w:rPr>
          <w:rFonts w:eastAsia="Palatino Linotype" w:cs="Palatino Linotype"/>
          <w:sz w:val="24"/>
        </w:rPr>
      </w:pPr>
      <w:r w:rsidRPr="007D35D4">
        <w:rPr>
          <w:rFonts w:eastAsia="Palatino Linotype" w:cs="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B751A38" w14:textId="77777777" w:rsidR="00F40D32" w:rsidRPr="007D35D4" w:rsidRDefault="00F40D32" w:rsidP="00F40D32">
      <w:pPr>
        <w:spacing w:after="0" w:line="360" w:lineRule="auto"/>
        <w:rPr>
          <w:rFonts w:eastAsia="Palatino Linotype" w:cs="Palatino Linotype"/>
          <w:sz w:val="24"/>
        </w:rPr>
      </w:pPr>
    </w:p>
    <w:p w14:paraId="467BA6D1" w14:textId="77777777" w:rsidR="00F40D32" w:rsidRPr="007D35D4" w:rsidRDefault="00F40D32" w:rsidP="00F40D32">
      <w:pPr>
        <w:spacing w:after="0" w:line="360" w:lineRule="auto"/>
        <w:rPr>
          <w:rFonts w:eastAsia="Palatino Linotype" w:cs="Palatino Linotype"/>
          <w:sz w:val="24"/>
        </w:rPr>
      </w:pPr>
      <w:r w:rsidRPr="007D35D4">
        <w:rPr>
          <w:rFonts w:eastAsia="Palatino Linotype" w:cs="Palatino Linotype"/>
          <w:sz w:val="24"/>
        </w:rPr>
        <w:t xml:space="preserve">Argumento que encuentra sustento en la jurisprudencia P./J. 32/92 emitida por el Pleno de la Suprema Corte de Justicia de la Nación de rubro </w:t>
      </w:r>
      <w:r w:rsidRPr="007D35D4">
        <w:rPr>
          <w:rFonts w:eastAsia="Palatino Linotype" w:cs="Palatino Linotype"/>
          <w:i/>
          <w:sz w:val="24"/>
        </w:rPr>
        <w:t>“TÉRMINOS PROCESALES. PARA DETERMINAR SI UN FUNCIONARIO JUDICIAL ACTUÓ INDEBIDAMENTE POR NO RESPETARLOS SE DEBE ATENDER AL PRESUPUESTO QUE CONSIDERÓ EL LEGISLADOR AL FIJARLOS Y LAS CARACTERÍSTICAS DEL CASO.”</w:t>
      </w:r>
      <w:r w:rsidRPr="007D35D4">
        <w:rPr>
          <w:rFonts w:eastAsia="Palatino Linotype" w:cs="Palatino Linotype"/>
          <w:sz w:val="24"/>
        </w:rPr>
        <w:t>, visible en la Gaceta del Seminario Judicial de la Federación con el registro digital 205635.</w:t>
      </w:r>
    </w:p>
    <w:p w14:paraId="10BB7CEA" w14:textId="77777777" w:rsidR="00F40D32" w:rsidRPr="007D35D4" w:rsidRDefault="00F40D32" w:rsidP="00F40D32">
      <w:pPr>
        <w:spacing w:after="0" w:line="360" w:lineRule="auto"/>
        <w:rPr>
          <w:rFonts w:eastAsia="Palatino Linotype" w:cs="Palatino Linotype"/>
          <w:sz w:val="24"/>
        </w:rPr>
      </w:pPr>
    </w:p>
    <w:p w14:paraId="03B3E073" w14:textId="77777777" w:rsidR="00F40D32" w:rsidRPr="007D35D4" w:rsidRDefault="00F40D32" w:rsidP="00F40D32">
      <w:pPr>
        <w:spacing w:after="0" w:line="360" w:lineRule="auto"/>
        <w:rPr>
          <w:rFonts w:eastAsia="Palatino Linotype" w:cs="Palatino Linotype"/>
          <w:sz w:val="24"/>
        </w:rPr>
      </w:pPr>
      <w:r w:rsidRPr="007D35D4">
        <w:rPr>
          <w:rFonts w:eastAsia="Palatino Linotype" w:cs="Palatino Linotype"/>
          <w:sz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7D35D4">
        <w:rPr>
          <w:rFonts w:eastAsia="Palatino Linotype" w:cs="Palatino Linotype"/>
          <w:sz w:val="24"/>
        </w:rPr>
        <w:lastRenderedPageBreak/>
        <w:t>desahogadas por las partes; lo que impide la tramitación de los recursos dentro de los términos legales previamente establecidos por la Ley, por tratarse de causas de fuerza mayor.</w:t>
      </w:r>
    </w:p>
    <w:p w14:paraId="26B63B2D" w14:textId="77777777" w:rsidR="00F40D32" w:rsidRPr="007D35D4" w:rsidRDefault="00F40D32" w:rsidP="00F40D32">
      <w:pPr>
        <w:spacing w:after="0" w:line="360" w:lineRule="auto"/>
        <w:rPr>
          <w:rFonts w:eastAsia="Palatino Linotype" w:cs="Palatino Linotype"/>
          <w:sz w:val="24"/>
        </w:rPr>
      </w:pPr>
    </w:p>
    <w:p w14:paraId="3808E4F2" w14:textId="77777777" w:rsidR="00F40D32" w:rsidRPr="007D35D4" w:rsidRDefault="00F40D32" w:rsidP="00F40D32">
      <w:pPr>
        <w:spacing w:after="0" w:line="360" w:lineRule="auto"/>
        <w:rPr>
          <w:rFonts w:eastAsia="Palatino Linotype" w:cs="Palatino Linotype"/>
          <w:sz w:val="24"/>
        </w:rPr>
      </w:pPr>
      <w:r w:rsidRPr="007D35D4">
        <w:rPr>
          <w:rFonts w:eastAsia="Palatino Linotype" w:cs="Palatino Linotype"/>
          <w:sz w:val="24"/>
        </w:rPr>
        <w:t>Al respecto, también son de considerar los criterios sostenidos por el Cuarto Tribunal Colegiado en Materia Administrativa del Primer Circuito, cuyos rubros y datos de identificación son los siguientes:</w:t>
      </w:r>
    </w:p>
    <w:p w14:paraId="4843E936" w14:textId="77777777" w:rsidR="00F40D32" w:rsidRPr="007D35D4" w:rsidRDefault="00F40D32" w:rsidP="00F40D32">
      <w:pPr>
        <w:spacing w:after="0" w:line="360" w:lineRule="auto"/>
        <w:rPr>
          <w:rFonts w:eastAsia="Palatino Linotype" w:cs="Palatino Linotype"/>
          <w:sz w:val="24"/>
        </w:rPr>
      </w:pPr>
    </w:p>
    <w:p w14:paraId="70569987" w14:textId="77777777" w:rsidR="00F40D32" w:rsidRPr="007D35D4" w:rsidRDefault="00F40D32" w:rsidP="00F40D32">
      <w:pPr>
        <w:spacing w:after="0" w:line="360" w:lineRule="auto"/>
        <w:ind w:left="567" w:right="616"/>
        <w:rPr>
          <w:rFonts w:eastAsia="Palatino Linotype" w:cs="Palatino Linotype"/>
        </w:rPr>
      </w:pPr>
      <w:r w:rsidRPr="007D35D4">
        <w:rPr>
          <w:rFonts w:eastAsia="Palatino Linotype" w:cs="Palatino Linotype"/>
          <w:b/>
        </w:rPr>
        <w:t xml:space="preserve"> </w:t>
      </w:r>
      <w:r w:rsidRPr="007D35D4">
        <w:rPr>
          <w:rFonts w:eastAsia="Palatino Linotype" w:cs="Palatino Linotype"/>
          <w:b/>
          <w:i/>
        </w:rPr>
        <w:t>“PLAZO RAZONABLE PARA RESOLVER. DIMENSIÓN Y EFECTOS DE ESTE CONCEPTO CUANDO SE ADUCE EXCESIVA CARGA DE TRABAJO.”</w:t>
      </w:r>
      <w:r w:rsidRPr="007D35D4">
        <w:rPr>
          <w:rFonts w:eastAsia="Palatino Linotype" w:cs="Palatino Linotype"/>
        </w:rPr>
        <w:t xml:space="preserve"> consultable en el Seminario Judicial de la Federación y su gaceta, con el registro digital 2002351.</w:t>
      </w:r>
    </w:p>
    <w:p w14:paraId="454CB2E0" w14:textId="77777777" w:rsidR="00F40D32" w:rsidRPr="007D35D4" w:rsidRDefault="00F40D32" w:rsidP="00F40D32">
      <w:pPr>
        <w:spacing w:after="0" w:line="360" w:lineRule="auto"/>
        <w:ind w:left="567" w:right="616"/>
        <w:rPr>
          <w:rFonts w:eastAsia="Palatino Linotype" w:cs="Palatino Linotype"/>
          <w:b/>
        </w:rPr>
      </w:pPr>
    </w:p>
    <w:p w14:paraId="2A770555" w14:textId="77777777" w:rsidR="00F40D32" w:rsidRPr="007D35D4" w:rsidRDefault="00F40D32" w:rsidP="00F40D32">
      <w:pPr>
        <w:spacing w:after="0" w:line="360" w:lineRule="auto"/>
        <w:ind w:left="567" w:right="616"/>
        <w:rPr>
          <w:rFonts w:eastAsia="Palatino Linotype" w:cs="Palatino Linotype"/>
        </w:rPr>
      </w:pPr>
      <w:r w:rsidRPr="007D35D4">
        <w:rPr>
          <w:rFonts w:eastAsia="Palatino Linotype" w:cs="Palatino Linotype"/>
          <w:b/>
          <w:i/>
        </w:rPr>
        <w:t>“PLAZO RAZONABLE PARA RESOLVER. CONCEPTO Y ELEMENTOS QUE LO INTEGRAN A LA LUZ DEL DERECHO INTERNACIONAL DE LOS DERECHOS HUMANOS</w:t>
      </w:r>
      <w:r w:rsidRPr="007D35D4">
        <w:rPr>
          <w:rFonts w:eastAsia="Palatino Linotype" w:cs="Palatino Linotype"/>
          <w:i/>
        </w:rPr>
        <w:t>.”</w:t>
      </w:r>
      <w:r w:rsidRPr="007D35D4">
        <w:rPr>
          <w:rFonts w:eastAsia="Palatino Linotype" w:cs="Palatino Linotype"/>
        </w:rPr>
        <w:t>, visible en el Seminario Judicial de la Federación y su gaceta, con el registro digital 2002350.</w:t>
      </w:r>
    </w:p>
    <w:p w14:paraId="33144C12" w14:textId="77777777" w:rsidR="00F40D32" w:rsidRPr="007D35D4" w:rsidRDefault="00F40D32" w:rsidP="00F40D32">
      <w:pPr>
        <w:spacing w:after="0" w:line="360" w:lineRule="auto"/>
        <w:ind w:left="567" w:right="616"/>
        <w:rPr>
          <w:rFonts w:eastAsia="Palatino Linotype" w:cs="Palatino Linotype"/>
        </w:rPr>
      </w:pPr>
    </w:p>
    <w:p w14:paraId="2CB71F3D" w14:textId="77777777" w:rsidR="00F40D32" w:rsidRPr="007D35D4" w:rsidRDefault="00F40D32" w:rsidP="00F40D32">
      <w:pPr>
        <w:spacing w:after="0" w:line="360" w:lineRule="auto"/>
        <w:rPr>
          <w:rFonts w:eastAsia="Palatino Linotype" w:cs="Palatino Linotype"/>
          <w:sz w:val="24"/>
        </w:rPr>
      </w:pPr>
      <w:r w:rsidRPr="007D35D4">
        <w:rPr>
          <w:rFonts w:eastAsia="Palatino Linotype" w:cs="Palatino Linotype"/>
          <w:sz w:val="24"/>
        </w:rPr>
        <w:t>Por ello, este organismo garante comprometido con la tutela de los derechos humanos confiados señala que este exceso de plazo legal para resolver el presente asunto resulta de carácter excepcional.</w:t>
      </w:r>
    </w:p>
    <w:p w14:paraId="083632B1" w14:textId="77777777" w:rsidR="00F40D32" w:rsidRPr="007D35D4" w:rsidRDefault="00F40D32" w:rsidP="00F40D32">
      <w:pPr>
        <w:spacing w:after="0" w:line="360" w:lineRule="auto"/>
        <w:rPr>
          <w:rFonts w:eastAsia="Palatino Linotype" w:cs="Palatino Linotype"/>
          <w:sz w:val="24"/>
        </w:rPr>
      </w:pPr>
    </w:p>
    <w:p w14:paraId="22436760" w14:textId="6E815D0E" w:rsidR="00F40D32" w:rsidRPr="007D35D4" w:rsidRDefault="00F40D32" w:rsidP="00F40D32">
      <w:pPr>
        <w:numPr>
          <w:ilvl w:val="0"/>
          <w:numId w:val="30"/>
        </w:numPr>
        <w:pBdr>
          <w:top w:val="nil"/>
          <w:left w:val="nil"/>
          <w:bottom w:val="nil"/>
          <w:right w:val="nil"/>
          <w:between w:val="nil"/>
        </w:pBdr>
        <w:spacing w:after="0" w:line="360" w:lineRule="auto"/>
        <w:ind w:left="0" w:right="49" w:firstLine="0"/>
        <w:rPr>
          <w:rFonts w:eastAsia="Palatino Linotype" w:cs="Palatino Linotype"/>
          <w:color w:val="000000"/>
          <w:sz w:val="24"/>
          <w:szCs w:val="24"/>
        </w:rPr>
      </w:pPr>
      <w:r w:rsidRPr="007D35D4">
        <w:rPr>
          <w:rFonts w:eastAsia="Palatino Linotype" w:cs="Palatino Linotype"/>
          <w:b/>
          <w:color w:val="000000"/>
          <w:sz w:val="24"/>
          <w:szCs w:val="24"/>
        </w:rPr>
        <w:t>Cierre de instrucción</w:t>
      </w:r>
      <w:r w:rsidRPr="007D35D4">
        <w:rPr>
          <w:rFonts w:eastAsia="Palatino Linotype" w:cs="Palatino Linotype"/>
          <w:color w:val="000000"/>
          <w:sz w:val="24"/>
          <w:szCs w:val="24"/>
        </w:rPr>
        <w:t xml:space="preserve">. En fecha </w:t>
      </w:r>
      <w:r w:rsidR="00597E2F" w:rsidRPr="007D35D4">
        <w:rPr>
          <w:rFonts w:eastAsia="Palatino Linotype" w:cs="Palatino Linotype"/>
          <w:b/>
          <w:color w:val="000000"/>
          <w:sz w:val="24"/>
          <w:szCs w:val="24"/>
        </w:rPr>
        <w:t xml:space="preserve">veinte </w:t>
      </w:r>
      <w:r w:rsidRPr="007D35D4">
        <w:rPr>
          <w:rFonts w:eastAsia="Palatino Linotype" w:cs="Palatino Linotype"/>
          <w:b/>
          <w:color w:val="000000"/>
          <w:sz w:val="24"/>
          <w:szCs w:val="24"/>
        </w:rPr>
        <w:t>de febrero de dos mil veinticuatro</w:t>
      </w:r>
      <w:r w:rsidRPr="007D35D4">
        <w:rPr>
          <w:rFonts w:eastAsia="Palatino Linotype" w:cs="Palatino Linotype"/>
          <w:color w:val="000000"/>
          <w:sz w:val="24"/>
          <w:szCs w:val="24"/>
        </w:rPr>
        <w:t xml:space="preserve">, la Comisionada Ponente determinó el cierre de instrucción en términos de la fracción VI </w:t>
      </w:r>
      <w:r w:rsidRPr="007D35D4">
        <w:rPr>
          <w:rFonts w:eastAsia="Palatino Linotype" w:cs="Palatino Linotype"/>
          <w:color w:val="000000"/>
          <w:sz w:val="24"/>
          <w:szCs w:val="24"/>
        </w:rPr>
        <w:lastRenderedPageBreak/>
        <w:t>del artículo 185 de la Ley de Transparencia y Acceso a la Información Pública del Estado de México y Municipios.</w:t>
      </w:r>
    </w:p>
    <w:p w14:paraId="0EE194C3" w14:textId="77777777" w:rsidR="00F40D32" w:rsidRPr="007D35D4" w:rsidRDefault="00F40D32" w:rsidP="00F40D32">
      <w:pPr>
        <w:pBdr>
          <w:top w:val="nil"/>
          <w:left w:val="nil"/>
          <w:bottom w:val="nil"/>
          <w:right w:val="nil"/>
          <w:between w:val="nil"/>
        </w:pBdr>
        <w:spacing w:after="0" w:line="360" w:lineRule="auto"/>
        <w:ind w:right="49"/>
        <w:rPr>
          <w:rFonts w:eastAsia="Palatino Linotype" w:cs="Palatino Linotype"/>
          <w:color w:val="000000"/>
          <w:sz w:val="24"/>
          <w:szCs w:val="24"/>
        </w:rPr>
      </w:pPr>
    </w:p>
    <w:p w14:paraId="264F2B95" w14:textId="0DC63687" w:rsidR="00C853D1" w:rsidRPr="007D35D4" w:rsidRDefault="00F40D32" w:rsidP="00F40D32">
      <w:pPr>
        <w:spacing w:after="0" w:line="360" w:lineRule="auto"/>
        <w:ind w:right="49"/>
        <w:rPr>
          <w:rFonts w:eastAsia="Palatino Linotype" w:cs="Palatino Linotype"/>
          <w:sz w:val="24"/>
          <w:szCs w:val="24"/>
        </w:rPr>
      </w:pPr>
      <w:r w:rsidRPr="007D35D4">
        <w:rPr>
          <w:rFonts w:eastAsia="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12B6782F" w14:textId="77777777" w:rsidR="00F40D32" w:rsidRPr="007D35D4" w:rsidRDefault="00F40D32" w:rsidP="00F40D32">
      <w:pPr>
        <w:spacing w:after="0" w:line="360" w:lineRule="auto"/>
        <w:rPr>
          <w:rFonts w:eastAsia="Times New Roman" w:cs="Tahoma"/>
          <w:bCs/>
          <w:iCs/>
          <w:color w:val="auto"/>
          <w:sz w:val="24"/>
          <w:szCs w:val="24"/>
          <w:lang w:val="es-ES" w:eastAsia="es-ES"/>
        </w:rPr>
      </w:pPr>
    </w:p>
    <w:p w14:paraId="4647AD46" w14:textId="77777777" w:rsidR="00C853D1" w:rsidRPr="007D35D4" w:rsidRDefault="00C853D1" w:rsidP="00F40D32">
      <w:pPr>
        <w:spacing w:after="0" w:line="360" w:lineRule="auto"/>
        <w:jc w:val="center"/>
        <w:rPr>
          <w:rFonts w:eastAsia="Times New Roman" w:cs="Tahoma"/>
          <w:b/>
          <w:color w:val="auto"/>
          <w:sz w:val="24"/>
          <w:szCs w:val="24"/>
          <w:lang w:val="es-ES" w:eastAsia="es-ES"/>
        </w:rPr>
      </w:pPr>
      <w:r w:rsidRPr="007D35D4">
        <w:rPr>
          <w:rFonts w:eastAsia="Times New Roman" w:cs="Tahoma"/>
          <w:b/>
          <w:color w:val="auto"/>
          <w:sz w:val="24"/>
          <w:szCs w:val="24"/>
          <w:lang w:val="es-ES" w:eastAsia="es-ES"/>
        </w:rPr>
        <w:t>C O N S I D E R A N D O S:</w:t>
      </w:r>
    </w:p>
    <w:p w14:paraId="46CF2E78" w14:textId="77777777" w:rsidR="00C853D1" w:rsidRPr="007D35D4" w:rsidRDefault="00C853D1" w:rsidP="00F40D32">
      <w:pPr>
        <w:spacing w:after="0" w:line="360" w:lineRule="auto"/>
        <w:rPr>
          <w:b/>
          <w:sz w:val="24"/>
          <w:szCs w:val="24"/>
        </w:rPr>
      </w:pPr>
    </w:p>
    <w:p w14:paraId="715A545B" w14:textId="77777777" w:rsidR="00597E2F" w:rsidRPr="007D35D4" w:rsidRDefault="00597E2F" w:rsidP="00597E2F">
      <w:pPr>
        <w:spacing w:after="0" w:line="360" w:lineRule="auto"/>
        <w:rPr>
          <w:rFonts w:eastAsia="Palatino Linotype" w:cs="Palatino Linotype"/>
          <w:sz w:val="24"/>
        </w:rPr>
      </w:pPr>
      <w:r w:rsidRPr="007D35D4">
        <w:rPr>
          <w:rFonts w:eastAsia="Palatino Linotype" w:cs="Palatino Linotype"/>
          <w:b/>
          <w:sz w:val="24"/>
        </w:rPr>
        <w:t xml:space="preserve">Primero. Competencia. </w:t>
      </w:r>
      <w:r w:rsidRPr="007D35D4">
        <w:rPr>
          <w:rFonts w:eastAsia="Palatino Linotype" w:cs="Palatino Linotype"/>
          <w:sz w:val="24"/>
          <w:szCs w:val="24"/>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163205E" w14:textId="77777777" w:rsidR="00597E2F" w:rsidRPr="007D35D4" w:rsidRDefault="00597E2F" w:rsidP="00597E2F">
      <w:pPr>
        <w:spacing w:after="0" w:line="360" w:lineRule="auto"/>
        <w:ind w:right="49"/>
        <w:rPr>
          <w:rFonts w:eastAsia="Palatino Linotype" w:cs="Palatino Linotype"/>
          <w:sz w:val="24"/>
          <w:szCs w:val="24"/>
        </w:rPr>
      </w:pPr>
    </w:p>
    <w:p w14:paraId="42DD92FC" w14:textId="77777777"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b/>
          <w:sz w:val="24"/>
          <w:szCs w:val="24"/>
        </w:rPr>
        <w:t>Segundo. Oportunidad y Procedibilidad del Recurso de Revisión.</w:t>
      </w:r>
      <w:r w:rsidRPr="007D35D4">
        <w:rPr>
          <w:rFonts w:eastAsia="Palatino Linotype" w:cs="Palatino Linotype"/>
          <w:sz w:val="24"/>
          <w:szCs w:val="24"/>
        </w:rPr>
        <w:t xml:space="preserve"> Previo al estudio del fondo del asunto, se procede a analizar los requisitos de oportunidad y procedibilidad que deben reunir el recurso de revisión interpuesto, previstos en los </w:t>
      </w:r>
      <w:r w:rsidRPr="007D35D4">
        <w:rPr>
          <w:rFonts w:eastAsia="Palatino Linotype" w:cs="Palatino Linotype"/>
          <w:sz w:val="24"/>
          <w:szCs w:val="24"/>
        </w:rPr>
        <w:lastRenderedPageBreak/>
        <w:t xml:space="preserve">artículos 178 y 180 de la Ley de Transparencia y Acceso a la Información Pública del Estado de México y Municipios. </w:t>
      </w:r>
    </w:p>
    <w:p w14:paraId="495CA969" w14:textId="77777777" w:rsidR="00597E2F" w:rsidRPr="007D35D4" w:rsidRDefault="00597E2F" w:rsidP="00597E2F">
      <w:pPr>
        <w:spacing w:after="0" w:line="360" w:lineRule="auto"/>
        <w:ind w:right="49"/>
        <w:rPr>
          <w:rFonts w:eastAsia="Palatino Linotype" w:cs="Palatino Linotype"/>
          <w:sz w:val="24"/>
          <w:szCs w:val="24"/>
        </w:rPr>
      </w:pPr>
    </w:p>
    <w:p w14:paraId="02DBEF26" w14:textId="6C5DB205" w:rsidR="00597E2F" w:rsidRPr="007D35D4" w:rsidRDefault="00597E2F" w:rsidP="00597E2F">
      <w:pPr>
        <w:spacing w:after="0" w:line="360" w:lineRule="auto"/>
        <w:ind w:right="49"/>
        <w:rPr>
          <w:rFonts w:eastAsia="Palatino Linotype" w:cs="Palatino Linotype"/>
          <w:b/>
          <w:sz w:val="24"/>
          <w:szCs w:val="24"/>
        </w:rPr>
      </w:pPr>
      <w:r w:rsidRPr="007D35D4">
        <w:rPr>
          <w:rFonts w:eastAsia="Palatino Linotype" w:cs="Palatino Linotype"/>
          <w:sz w:val="24"/>
          <w:szCs w:val="24"/>
        </w:rPr>
        <w:t xml:space="preserve">El recurso de revisión fue interpuesto dentro del plazo de quince días hábiles previstos en el artículo 178 de la Ley de Transparencia y Acceso a la Información Pública del Estado de México y Municipios, toda vez que el </w:t>
      </w:r>
      <w:r w:rsidRPr="007D35D4">
        <w:rPr>
          <w:rFonts w:eastAsia="Palatino Linotype" w:cs="Palatino Linotype"/>
          <w:b/>
          <w:sz w:val="24"/>
          <w:szCs w:val="24"/>
        </w:rPr>
        <w:t>SUJETO OBLIGADO</w:t>
      </w:r>
      <w:r w:rsidRPr="007D35D4">
        <w:rPr>
          <w:rFonts w:eastAsia="Palatino Linotype" w:cs="Palatino Linotype"/>
          <w:sz w:val="24"/>
          <w:szCs w:val="24"/>
        </w:rPr>
        <w:t xml:space="preserve"> remitió la respuesta a</w:t>
      </w:r>
      <w:r w:rsidR="000A3518" w:rsidRPr="007D35D4">
        <w:rPr>
          <w:rFonts w:eastAsia="Palatino Linotype" w:cs="Palatino Linotype"/>
          <w:sz w:val="24"/>
          <w:szCs w:val="24"/>
        </w:rPr>
        <w:t xml:space="preserve"> la solicitud de información el </w:t>
      </w:r>
      <w:r w:rsidR="000A3518" w:rsidRPr="007D35D4">
        <w:rPr>
          <w:rFonts w:eastAsia="Palatino Linotype" w:cs="Palatino Linotype"/>
          <w:b/>
          <w:sz w:val="24"/>
          <w:szCs w:val="24"/>
        </w:rPr>
        <w:t xml:space="preserve">tres </w:t>
      </w:r>
      <w:r w:rsidR="00A8588E" w:rsidRPr="007D35D4">
        <w:rPr>
          <w:rFonts w:eastAsia="Palatino Linotype" w:cs="Palatino Linotype"/>
          <w:b/>
          <w:sz w:val="24"/>
          <w:szCs w:val="24"/>
        </w:rPr>
        <w:t>de julio</w:t>
      </w:r>
      <w:r w:rsidRPr="007D35D4">
        <w:rPr>
          <w:rFonts w:eastAsia="Palatino Linotype" w:cs="Palatino Linotype"/>
          <w:b/>
          <w:sz w:val="24"/>
          <w:szCs w:val="24"/>
        </w:rPr>
        <w:t xml:space="preserve"> de dos mil veintitrés</w:t>
      </w:r>
      <w:r w:rsidRPr="007D35D4">
        <w:rPr>
          <w:rFonts w:eastAsia="Palatino Linotype" w:cs="Palatino Linotype"/>
          <w:sz w:val="24"/>
          <w:szCs w:val="24"/>
        </w:rPr>
        <w:t xml:space="preserve">, mientras que el recurso de revisión interpuesto por la parte </w:t>
      </w:r>
      <w:r w:rsidRPr="007D35D4">
        <w:rPr>
          <w:rFonts w:eastAsia="Palatino Linotype" w:cs="Palatino Linotype"/>
          <w:b/>
          <w:sz w:val="24"/>
          <w:szCs w:val="24"/>
        </w:rPr>
        <w:t xml:space="preserve">RECURRENTE </w:t>
      </w:r>
      <w:r w:rsidRPr="007D35D4">
        <w:rPr>
          <w:rFonts w:eastAsia="Palatino Linotype" w:cs="Palatino Linotype"/>
          <w:sz w:val="24"/>
          <w:szCs w:val="24"/>
        </w:rPr>
        <w:t xml:space="preserve">se tuvo por presentado </w:t>
      </w:r>
      <w:r w:rsidRPr="007D35D4">
        <w:rPr>
          <w:rFonts w:eastAsia="Palatino Linotype" w:cs="Palatino Linotype"/>
          <w:b/>
          <w:sz w:val="24"/>
          <w:szCs w:val="24"/>
        </w:rPr>
        <w:t xml:space="preserve">el </w:t>
      </w:r>
      <w:r w:rsidR="00A8588E" w:rsidRPr="007D35D4">
        <w:rPr>
          <w:rFonts w:eastAsia="Palatino Linotype" w:cs="Palatino Linotype"/>
          <w:b/>
          <w:sz w:val="24"/>
          <w:szCs w:val="24"/>
        </w:rPr>
        <w:t>cinco de julio</w:t>
      </w:r>
      <w:r w:rsidRPr="007D35D4">
        <w:rPr>
          <w:rFonts w:eastAsia="Palatino Linotype" w:cs="Palatino Linotype"/>
          <w:b/>
          <w:sz w:val="24"/>
          <w:szCs w:val="24"/>
        </w:rPr>
        <w:t xml:space="preserve"> de dos mil veintitrés</w:t>
      </w:r>
      <w:r w:rsidRPr="007D35D4">
        <w:rPr>
          <w:rFonts w:eastAsia="Palatino Linotype" w:cs="Palatino Linotype"/>
          <w:sz w:val="24"/>
          <w:szCs w:val="24"/>
        </w:rPr>
        <w:t xml:space="preserve">, esto es al </w:t>
      </w:r>
      <w:r w:rsidR="00A8588E" w:rsidRPr="007D35D4">
        <w:rPr>
          <w:rFonts w:eastAsia="Palatino Linotype" w:cs="Palatino Linotype"/>
          <w:sz w:val="24"/>
          <w:szCs w:val="24"/>
        </w:rPr>
        <w:t>segundo</w:t>
      </w:r>
      <w:r w:rsidRPr="007D35D4">
        <w:rPr>
          <w:rFonts w:eastAsia="Palatino Linotype" w:cs="Palatino Linotype"/>
          <w:sz w:val="24"/>
          <w:szCs w:val="24"/>
        </w:rPr>
        <w:t xml:space="preserve"> día hábil en que se tuvo por presentada la respuesta. </w:t>
      </w:r>
      <w:r w:rsidRPr="007D35D4">
        <w:rPr>
          <w:rFonts w:eastAsia="Palatino Linotype" w:cs="Palatino Linotype"/>
          <w:b/>
          <w:sz w:val="24"/>
          <w:szCs w:val="24"/>
        </w:rPr>
        <w:t xml:space="preserve"> </w:t>
      </w:r>
    </w:p>
    <w:p w14:paraId="4A723BA7" w14:textId="77777777" w:rsidR="00597E2F" w:rsidRPr="007D35D4" w:rsidRDefault="00597E2F" w:rsidP="00597E2F">
      <w:pPr>
        <w:spacing w:after="0" w:line="360" w:lineRule="auto"/>
        <w:ind w:right="49"/>
        <w:rPr>
          <w:rFonts w:eastAsia="Palatino Linotype" w:cs="Palatino Linotype"/>
          <w:sz w:val="24"/>
          <w:szCs w:val="24"/>
        </w:rPr>
      </w:pPr>
    </w:p>
    <w:p w14:paraId="1B674E03" w14:textId="77777777"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sz w:val="24"/>
          <w:szCs w:val="24"/>
        </w:rPr>
        <w:t xml:space="preserve">En este sentido, al considerar la fecha en que se formuló la solicitud y la fecha en que respondió a esta el </w:t>
      </w:r>
      <w:r w:rsidRPr="007D35D4">
        <w:rPr>
          <w:rFonts w:eastAsia="Palatino Linotype" w:cs="Palatino Linotype"/>
          <w:b/>
          <w:sz w:val="24"/>
          <w:szCs w:val="24"/>
        </w:rPr>
        <w:t>SUJETO OBLIGADO</w:t>
      </w:r>
      <w:r w:rsidRPr="007D35D4">
        <w:rPr>
          <w:rFonts w:eastAsia="Palatino Linotype" w:cs="Palatino Linotype"/>
          <w:sz w:val="24"/>
          <w:szCs w:val="24"/>
        </w:rPr>
        <w:t xml:space="preserve">; así como la fecha en que se interpuso el recurso de revisión, se concluye que el presente recurso de revisión se encuentra dentro de los márgenes temporales previstos en las disposiciones legales referidas. </w:t>
      </w:r>
    </w:p>
    <w:p w14:paraId="6528997C" w14:textId="77777777" w:rsidR="00597E2F" w:rsidRPr="007D35D4" w:rsidRDefault="00597E2F" w:rsidP="00597E2F">
      <w:pPr>
        <w:spacing w:after="0" w:line="360" w:lineRule="auto"/>
        <w:ind w:right="49"/>
        <w:rPr>
          <w:rFonts w:eastAsia="Palatino Linotype" w:cs="Palatino Linotype"/>
          <w:sz w:val="24"/>
          <w:szCs w:val="24"/>
        </w:rPr>
      </w:pPr>
    </w:p>
    <w:p w14:paraId="6195266D" w14:textId="77777777" w:rsidR="00597E2F" w:rsidRPr="007D35D4" w:rsidRDefault="00597E2F" w:rsidP="00597E2F">
      <w:pPr>
        <w:spacing w:after="0" w:line="360" w:lineRule="auto"/>
        <w:rPr>
          <w:rFonts w:eastAsia="Palatino Linotype" w:cs="Palatino Linotype"/>
          <w:sz w:val="24"/>
          <w:szCs w:val="24"/>
        </w:rPr>
      </w:pPr>
      <w:r w:rsidRPr="007D35D4">
        <w:rPr>
          <w:rFonts w:eastAsia="Palatino Linotype" w:cs="Palatino Linotype"/>
          <w:sz w:val="24"/>
          <w:szCs w:val="24"/>
        </w:rPr>
        <w:t>Es de suma importancia mencionar que, si bien la parte no proporcionó nombre para ser identificado como se advierte en el detalle de seguimiento del SAIMEX,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1F01185" w14:textId="77777777" w:rsidR="00597E2F" w:rsidRPr="007D35D4" w:rsidRDefault="00597E2F" w:rsidP="00597E2F">
      <w:pPr>
        <w:spacing w:after="0" w:line="360" w:lineRule="auto"/>
        <w:rPr>
          <w:rFonts w:eastAsia="Palatino Linotype" w:cs="Palatino Linotype"/>
          <w:sz w:val="24"/>
          <w:szCs w:val="24"/>
        </w:rPr>
      </w:pPr>
    </w:p>
    <w:p w14:paraId="61DCE0B3" w14:textId="77777777" w:rsidR="00597E2F" w:rsidRPr="007D35D4" w:rsidRDefault="00597E2F" w:rsidP="00597E2F">
      <w:pPr>
        <w:spacing w:after="0" w:line="276" w:lineRule="auto"/>
        <w:ind w:left="567" w:right="843"/>
        <w:rPr>
          <w:rFonts w:eastAsia="Palatino Linotype" w:cs="Palatino Linotype"/>
          <w:i/>
          <w:szCs w:val="24"/>
        </w:rPr>
      </w:pPr>
      <w:r w:rsidRPr="007D35D4">
        <w:rPr>
          <w:rFonts w:eastAsia="Palatino Linotype" w:cs="Palatino Linotype"/>
          <w:i/>
          <w:szCs w:val="24"/>
        </w:rPr>
        <w:lastRenderedPageBreak/>
        <w:t xml:space="preserve">"Las solicitudes </w:t>
      </w:r>
      <w:r w:rsidRPr="007D35D4">
        <w:rPr>
          <w:rFonts w:eastAsia="Palatino Linotype" w:cs="Palatino Linotype"/>
          <w:bCs/>
          <w:i/>
          <w:szCs w:val="24"/>
        </w:rPr>
        <w:t>anónimas</w:t>
      </w:r>
      <w:r w:rsidRPr="007D35D4">
        <w:rPr>
          <w:rFonts w:eastAsia="Palatino Linotype" w:cs="Palatino Linotype"/>
          <w:i/>
          <w:szCs w:val="24"/>
        </w:rPr>
        <w:t xml:space="preserve">, con nombre incompleto o </w:t>
      </w:r>
      <w:r w:rsidRPr="007D35D4">
        <w:rPr>
          <w:rFonts w:eastAsia="Palatino Linotype" w:cs="Palatino Linotype"/>
          <w:bCs/>
          <w:i/>
          <w:szCs w:val="24"/>
        </w:rPr>
        <w:t>seudónimo</w:t>
      </w:r>
      <w:r w:rsidRPr="007D35D4">
        <w:rPr>
          <w:rFonts w:eastAsia="Palatino Linotype" w:cs="Palatino Linotype"/>
          <w:i/>
          <w:szCs w:val="24"/>
        </w:rPr>
        <w:t xml:space="preserve"> serán procedentes para su trámite por parte del sujeto obligado ante quien se presente. No podrá requerirse información adicional con motivo del nombre proporcionado por el solicitante."</w:t>
      </w:r>
    </w:p>
    <w:p w14:paraId="71A51482" w14:textId="77777777" w:rsidR="00597E2F" w:rsidRPr="007D35D4" w:rsidRDefault="00597E2F" w:rsidP="00597E2F">
      <w:pPr>
        <w:spacing w:after="0" w:line="360" w:lineRule="auto"/>
        <w:ind w:left="567" w:right="843"/>
        <w:rPr>
          <w:rFonts w:eastAsia="Palatino Linotype" w:cs="Palatino Linotype"/>
          <w:i/>
          <w:szCs w:val="24"/>
        </w:rPr>
      </w:pPr>
    </w:p>
    <w:p w14:paraId="6510A521" w14:textId="77777777"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7D35D4">
        <w:rPr>
          <w:rFonts w:eastAsia="Palatino Linotype" w:cs="Palatino Linotype"/>
          <w:b/>
          <w:sz w:val="24"/>
          <w:szCs w:val="24"/>
        </w:rPr>
        <w:t>SAIMEX</w:t>
      </w:r>
      <w:r w:rsidRPr="007D35D4">
        <w:rPr>
          <w:rFonts w:eastAsia="Palatino Linotype" w:cs="Palatino Linotype"/>
          <w:sz w:val="24"/>
          <w:szCs w:val="24"/>
        </w:rPr>
        <w:t xml:space="preserve">.  </w:t>
      </w:r>
    </w:p>
    <w:p w14:paraId="4A9BBE07" w14:textId="77777777" w:rsidR="00597E2F" w:rsidRPr="007D35D4" w:rsidRDefault="00597E2F" w:rsidP="00597E2F">
      <w:pPr>
        <w:spacing w:after="0" w:line="360" w:lineRule="auto"/>
        <w:ind w:right="49"/>
        <w:rPr>
          <w:rFonts w:eastAsia="Palatino Linotype" w:cs="Palatino Linotype"/>
          <w:sz w:val="24"/>
          <w:szCs w:val="24"/>
        </w:rPr>
      </w:pPr>
    </w:p>
    <w:p w14:paraId="53D5E09E" w14:textId="5DEB6F59"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sz w:val="24"/>
          <w:szCs w:val="24"/>
        </w:rPr>
        <w:t xml:space="preserve">Finalmente, resulta procedente la interposición del recurso de revisión al rubro anotado, toda vez que se actualiza la hipótesis de procedencia prevista en el artículo 179, fracción </w:t>
      </w:r>
      <w:r w:rsidR="00A8588E" w:rsidRPr="007D35D4">
        <w:rPr>
          <w:rFonts w:eastAsia="Palatino Linotype" w:cs="Palatino Linotype"/>
          <w:sz w:val="24"/>
          <w:szCs w:val="24"/>
        </w:rPr>
        <w:t xml:space="preserve">XIII </w:t>
      </w:r>
      <w:r w:rsidRPr="007D35D4">
        <w:rPr>
          <w:rFonts w:eastAsia="Palatino Linotype" w:cs="Palatino Linotype"/>
          <w:sz w:val="24"/>
          <w:szCs w:val="24"/>
        </w:rPr>
        <w:t>de la Ley de la materia, que a la letra dice:</w:t>
      </w:r>
    </w:p>
    <w:p w14:paraId="4F16F194" w14:textId="77777777" w:rsidR="00597E2F" w:rsidRPr="007D35D4" w:rsidRDefault="00597E2F" w:rsidP="00597E2F">
      <w:pPr>
        <w:spacing w:after="0" w:line="360" w:lineRule="auto"/>
        <w:ind w:right="49"/>
        <w:rPr>
          <w:rFonts w:eastAsia="Palatino Linotype" w:cs="Palatino Linotype"/>
          <w:sz w:val="24"/>
          <w:szCs w:val="24"/>
        </w:rPr>
      </w:pPr>
    </w:p>
    <w:p w14:paraId="3E3E8EFC"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w:t>
      </w:r>
      <w:r w:rsidRPr="007D35D4">
        <w:rPr>
          <w:rFonts w:eastAsia="Palatino Linotype" w:cs="Palatino Linotype"/>
          <w:b/>
          <w:i/>
        </w:rPr>
        <w:t>Artículo 179.</w:t>
      </w:r>
      <w:r w:rsidRPr="007D35D4">
        <w:rPr>
          <w:rFonts w:eastAsia="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010039AF"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w:t>
      </w:r>
    </w:p>
    <w:p w14:paraId="00B1A3C7" w14:textId="549B3BBE" w:rsidR="00597E2F" w:rsidRPr="007D35D4" w:rsidRDefault="00A8588E" w:rsidP="00597E2F">
      <w:pPr>
        <w:spacing w:after="0" w:line="276" w:lineRule="auto"/>
        <w:ind w:left="567" w:right="560"/>
        <w:rPr>
          <w:i/>
          <w:iCs/>
        </w:rPr>
      </w:pPr>
      <w:r w:rsidRPr="007D35D4">
        <w:rPr>
          <w:i/>
          <w:iCs/>
        </w:rPr>
        <w:t>XIII. La falta, deficiencia o insuficiencia de la fundamentación y/o motivación en la respuesta; y</w:t>
      </w:r>
      <w:r w:rsidR="00597E2F" w:rsidRPr="007D35D4">
        <w:rPr>
          <w:i/>
          <w:iCs/>
        </w:rPr>
        <w:t>;</w:t>
      </w:r>
      <w:r w:rsidR="00597E2F" w:rsidRPr="007D35D4">
        <w:rPr>
          <w:i/>
          <w:iCs/>
        </w:rPr>
        <w:cr/>
        <w:t>…</w:t>
      </w:r>
    </w:p>
    <w:p w14:paraId="39E4BB6C" w14:textId="77777777" w:rsidR="00597E2F" w:rsidRPr="007D35D4" w:rsidRDefault="00597E2F" w:rsidP="00597E2F">
      <w:pPr>
        <w:spacing w:after="0" w:line="276" w:lineRule="auto"/>
        <w:ind w:left="567" w:right="560"/>
        <w:rPr>
          <w:i/>
          <w:iCs/>
        </w:rPr>
      </w:pPr>
    </w:p>
    <w:p w14:paraId="16F6F111" w14:textId="50FEC18E"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b/>
          <w:sz w:val="24"/>
          <w:szCs w:val="24"/>
        </w:rPr>
        <w:t>Tercero. Materia de la revisión</w:t>
      </w:r>
      <w:r w:rsidRPr="007D35D4">
        <w:rPr>
          <w:rFonts w:eastAsia="Palatino Linotype" w:cs="Palatino Linotype"/>
          <w:sz w:val="24"/>
          <w:szCs w:val="24"/>
        </w:rPr>
        <w:t>. De la revisión a las constancias y documentos que obran en el expediente electrónico se advierte, que el tema sobre el que este Organismo Garante de Transparencia y Acceso a la Información se pronunciará será en determinar, si se actualiza la hipó</w:t>
      </w:r>
      <w:r w:rsidR="00A8588E" w:rsidRPr="007D35D4">
        <w:rPr>
          <w:rFonts w:eastAsia="Palatino Linotype" w:cs="Palatino Linotype"/>
          <w:sz w:val="24"/>
          <w:szCs w:val="24"/>
        </w:rPr>
        <w:t>tesis prevista en la fracción XIII</w:t>
      </w:r>
      <w:r w:rsidRPr="007D35D4">
        <w:rPr>
          <w:rFonts w:eastAsia="Palatino Linotype" w:cs="Palatino Linotype"/>
          <w:sz w:val="24"/>
          <w:szCs w:val="24"/>
        </w:rPr>
        <w:t xml:space="preserve"> del artículo 179 de la Ley en la materia. </w:t>
      </w:r>
    </w:p>
    <w:p w14:paraId="1A8AE7B4" w14:textId="77777777" w:rsidR="00597E2F" w:rsidRPr="007D35D4" w:rsidRDefault="00597E2F" w:rsidP="00597E2F">
      <w:pPr>
        <w:spacing w:after="0" w:line="360" w:lineRule="auto"/>
        <w:ind w:right="49"/>
        <w:rPr>
          <w:rFonts w:eastAsia="Palatino Linotype" w:cs="Palatino Linotype"/>
          <w:sz w:val="24"/>
          <w:szCs w:val="24"/>
        </w:rPr>
      </w:pPr>
    </w:p>
    <w:p w14:paraId="5DE7A5A7" w14:textId="77777777"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b/>
          <w:sz w:val="24"/>
          <w:szCs w:val="24"/>
        </w:rPr>
        <w:lastRenderedPageBreak/>
        <w:t>Cuarto.</w:t>
      </w:r>
      <w:r w:rsidRPr="007D35D4">
        <w:rPr>
          <w:rFonts w:eastAsia="Palatino Linotype" w:cs="Palatino Linotype"/>
          <w:sz w:val="24"/>
          <w:szCs w:val="24"/>
        </w:rPr>
        <w:t xml:space="preserve"> </w:t>
      </w:r>
      <w:r w:rsidRPr="007D35D4">
        <w:rPr>
          <w:rFonts w:eastAsia="Palatino Linotype" w:cs="Palatino Linotype"/>
          <w:b/>
          <w:sz w:val="24"/>
          <w:szCs w:val="24"/>
        </w:rPr>
        <w:t>Estudio de fondo del asunto.</w:t>
      </w:r>
      <w:r w:rsidRPr="007D35D4">
        <w:rPr>
          <w:rFonts w:eastAsia="Palatino Linotype" w:cs="Palatino Linotype"/>
          <w:sz w:val="24"/>
          <w:szCs w:val="24"/>
        </w:rPr>
        <w:t xml:space="preserve">  Antes de entrar al análisis de los pronunciamientos del Sujeto Obligado en la respuesta proporcionada, así como en el informe justificado,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ACAD987" w14:textId="77777777" w:rsidR="00597E2F" w:rsidRPr="007D35D4" w:rsidRDefault="00597E2F" w:rsidP="00597E2F">
      <w:pPr>
        <w:spacing w:after="0" w:line="276" w:lineRule="auto"/>
        <w:ind w:left="567" w:right="560"/>
        <w:rPr>
          <w:rFonts w:eastAsia="Palatino Linotype" w:cs="Palatino Linotype"/>
          <w:i/>
        </w:rPr>
      </w:pPr>
    </w:p>
    <w:p w14:paraId="7307CC0F"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b/>
          <w:i/>
        </w:rPr>
        <w:t>Artículo 1o.</w:t>
      </w:r>
      <w:r w:rsidRPr="007D35D4">
        <w:rPr>
          <w:rFonts w:eastAsia="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D2C4840"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76DC68D5"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0AEAC51"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w:t>
      </w:r>
    </w:p>
    <w:p w14:paraId="4815597F" w14:textId="77777777" w:rsidR="00597E2F" w:rsidRPr="007D35D4" w:rsidRDefault="00597E2F" w:rsidP="00597E2F">
      <w:pPr>
        <w:spacing w:after="0" w:line="276" w:lineRule="auto"/>
        <w:ind w:left="567" w:right="560"/>
        <w:rPr>
          <w:rFonts w:eastAsia="Palatino Linotype" w:cs="Palatino Linotype"/>
          <w:b/>
          <w:i/>
        </w:rPr>
      </w:pPr>
      <w:r w:rsidRPr="007D35D4">
        <w:rPr>
          <w:rFonts w:eastAsia="Palatino Linotype" w:cs="Palatino Linotype"/>
          <w:b/>
          <w:i/>
        </w:rPr>
        <w:t>“Artículo 6o.</w:t>
      </w:r>
    </w:p>
    <w:p w14:paraId="76172E35"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w:t>
      </w:r>
    </w:p>
    <w:p w14:paraId="7254A116"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A. Para el ejercicio del derecho de acceso a la información, la Federación y las entidades federativas, en el ámbito de sus respectivas competencias, se regirán por los siguientes principios y bases:</w:t>
      </w:r>
    </w:p>
    <w:p w14:paraId="33B4B052"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w:t>
      </w:r>
      <w:r w:rsidRPr="007D35D4">
        <w:rPr>
          <w:rFonts w:eastAsia="Palatino Linotype" w:cs="Palatino Linotype"/>
          <w:i/>
        </w:rPr>
        <w:lastRenderedPageBreak/>
        <w:t>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5DCFFD9"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 xml:space="preserve"> II. La información que se refiere a la vida privada y los datos personales será protegida en los términos y con las excepciones que fijen las leyes.</w:t>
      </w:r>
    </w:p>
    <w:p w14:paraId="7A4FFB4D"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6968A026"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6DD4B049"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37BE299"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 xml:space="preserve"> VI. Las leyes determinarán la manera en que los sujetos obligados deberán hacer pública la información relativa a los recursos públicos que entreguen a personas físicas o morales.</w:t>
      </w:r>
    </w:p>
    <w:p w14:paraId="12B0C7A6"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 xml:space="preserve"> VII. La inobservancia a las disposiciones en materia de acceso a la información pública será sancionada en los términos que dispongan las leyes. [...]</w:t>
      </w:r>
    </w:p>
    <w:p w14:paraId="22E7EA65" w14:textId="77777777" w:rsidR="00597E2F" w:rsidRPr="007D35D4" w:rsidRDefault="00597E2F" w:rsidP="00597E2F">
      <w:pPr>
        <w:spacing w:after="0" w:line="276" w:lineRule="auto"/>
        <w:ind w:left="567" w:right="560"/>
        <w:rPr>
          <w:rFonts w:eastAsia="Palatino Linotype" w:cs="Palatino Linotype"/>
          <w:i/>
        </w:rPr>
      </w:pPr>
    </w:p>
    <w:p w14:paraId="3617FC49" w14:textId="77777777"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sz w:val="24"/>
          <w:szCs w:val="24"/>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w:t>
      </w:r>
      <w:r w:rsidRPr="007D35D4">
        <w:rPr>
          <w:rFonts w:eastAsia="Palatino Linotype" w:cs="Palatino Linotype"/>
          <w:sz w:val="24"/>
          <w:szCs w:val="24"/>
        </w:rPr>
        <w:lastRenderedPageBreak/>
        <w:t>principio de máxima publicidad, como así lo establece dicha determinación, que a continuación se transcribe para un mejor entendimiento:</w:t>
      </w:r>
    </w:p>
    <w:p w14:paraId="51363CF5" w14:textId="77777777" w:rsidR="00597E2F" w:rsidRPr="007D35D4" w:rsidRDefault="00597E2F" w:rsidP="00597E2F">
      <w:pPr>
        <w:spacing w:after="0" w:line="360" w:lineRule="auto"/>
        <w:ind w:right="49"/>
        <w:rPr>
          <w:rFonts w:eastAsia="Palatino Linotype" w:cs="Palatino Linotype"/>
          <w:sz w:val="24"/>
          <w:szCs w:val="24"/>
        </w:rPr>
      </w:pPr>
    </w:p>
    <w:p w14:paraId="28CD64F0"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w:t>
      </w:r>
      <w:r w:rsidRPr="007D35D4">
        <w:rPr>
          <w:rFonts w:eastAsia="Palatino Linotype" w:cs="Palatino Linotype"/>
          <w:b/>
          <w:i/>
        </w:rPr>
        <w:t>Artículo 4.</w:t>
      </w:r>
      <w:r w:rsidRPr="007D35D4">
        <w:rPr>
          <w:rFonts w:eastAsia="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AA60E2C"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F7A96A8"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1CF2A1B8" w14:textId="77777777" w:rsidR="00597E2F" w:rsidRPr="007D35D4" w:rsidRDefault="00597E2F" w:rsidP="00597E2F">
      <w:pPr>
        <w:spacing w:after="0" w:line="360" w:lineRule="auto"/>
        <w:ind w:left="567" w:right="560"/>
        <w:rPr>
          <w:rFonts w:eastAsia="Palatino Linotype" w:cs="Palatino Linotype"/>
          <w:i/>
          <w:sz w:val="24"/>
          <w:szCs w:val="24"/>
        </w:rPr>
      </w:pPr>
    </w:p>
    <w:p w14:paraId="2332DEE5" w14:textId="77777777"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sz w:val="24"/>
          <w:szCs w:val="24"/>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719DC2DE" w14:textId="77777777" w:rsidR="00597E2F" w:rsidRPr="007D35D4" w:rsidRDefault="00597E2F" w:rsidP="00597E2F">
      <w:pPr>
        <w:spacing w:after="0" w:line="360" w:lineRule="auto"/>
        <w:ind w:right="49"/>
        <w:rPr>
          <w:rFonts w:eastAsia="Palatino Linotype" w:cs="Palatino Linotype"/>
          <w:sz w:val="24"/>
          <w:szCs w:val="24"/>
        </w:rPr>
      </w:pPr>
    </w:p>
    <w:p w14:paraId="4C49AA05"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w:t>
      </w:r>
      <w:r w:rsidRPr="007D35D4">
        <w:rPr>
          <w:rFonts w:eastAsia="Palatino Linotype" w:cs="Palatino Linotype"/>
          <w:b/>
          <w:i/>
        </w:rPr>
        <w:t>Artículo 12.</w:t>
      </w:r>
      <w:r w:rsidRPr="007D35D4">
        <w:rPr>
          <w:rFonts w:eastAsia="Palatino Linotype" w:cs="Palatino Linotype"/>
          <w:i/>
        </w:rPr>
        <w:t xml:space="preserve"> Quienes generen, recopilen, administren, manejen, procesen, archiven o conserven información pública serán responsables de la misma en los términos de las disposiciones jurídicas aplicables. </w:t>
      </w:r>
    </w:p>
    <w:p w14:paraId="410C66E5"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 xml:space="preserve">Los sujetos obligados sólo proporcionarán la información pública que se les requiera y que obre en sus archivos y en el estado en que ésta se encuentre. La obligación de proporcionar </w:t>
      </w:r>
      <w:r w:rsidRPr="007D35D4">
        <w:rPr>
          <w:rFonts w:eastAsia="Palatino Linotype" w:cs="Palatino Linotype"/>
          <w:i/>
        </w:rPr>
        <w:lastRenderedPageBreak/>
        <w:t xml:space="preserve">información no comprende el procesamiento de la misma, ni el presentarla conforme al interés del solicitante; no estarán obligados a generarla, resumirla, efectuar cálculos o practicar investigaciones.” </w:t>
      </w:r>
    </w:p>
    <w:p w14:paraId="13D43A4F" w14:textId="77777777" w:rsidR="00597E2F" w:rsidRPr="007D35D4" w:rsidRDefault="00597E2F" w:rsidP="00597E2F">
      <w:pPr>
        <w:spacing w:after="0" w:line="360" w:lineRule="auto"/>
        <w:ind w:right="49"/>
        <w:rPr>
          <w:rFonts w:eastAsia="Palatino Linotype" w:cs="Palatino Linotype"/>
          <w:sz w:val="24"/>
          <w:szCs w:val="24"/>
        </w:rPr>
      </w:pPr>
    </w:p>
    <w:p w14:paraId="4FCD9761" w14:textId="77777777"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sz w:val="24"/>
          <w:szCs w:val="24"/>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1D35444C" w14:textId="77777777" w:rsidR="00597E2F" w:rsidRPr="007D35D4" w:rsidRDefault="00597E2F" w:rsidP="00597E2F">
      <w:pPr>
        <w:spacing w:after="0" w:line="360" w:lineRule="auto"/>
        <w:ind w:right="49"/>
        <w:rPr>
          <w:rFonts w:eastAsia="Palatino Linotype" w:cs="Palatino Linotype"/>
          <w:sz w:val="24"/>
          <w:szCs w:val="24"/>
        </w:rPr>
      </w:pPr>
    </w:p>
    <w:p w14:paraId="09376381" w14:textId="1A00B316" w:rsidR="00597E2F" w:rsidRPr="007D35D4" w:rsidRDefault="00597E2F" w:rsidP="00A8588E">
      <w:pPr>
        <w:spacing w:after="0" w:line="276" w:lineRule="auto"/>
        <w:ind w:left="567" w:right="560"/>
        <w:rPr>
          <w:rFonts w:eastAsia="Palatino Linotype" w:cs="Palatino Linotype"/>
          <w:b/>
          <w:i/>
        </w:rPr>
      </w:pPr>
      <w:r w:rsidRPr="007D35D4">
        <w:rPr>
          <w:rFonts w:eastAsia="Palatino Linotype" w:cs="Palatino Linotype"/>
          <w:b/>
          <w:i/>
        </w:rPr>
        <w:t>Criterio 03/17</w:t>
      </w:r>
      <w:r w:rsidR="00A8588E" w:rsidRPr="007D35D4">
        <w:rPr>
          <w:rFonts w:eastAsia="Palatino Linotype" w:cs="Palatino Linotype"/>
          <w:b/>
          <w:i/>
        </w:rPr>
        <w:t xml:space="preserve">. </w:t>
      </w:r>
      <w:r w:rsidRPr="007D35D4">
        <w:rPr>
          <w:rFonts w:eastAsia="Palatino Linotype" w:cs="Palatino Linotype"/>
          <w:b/>
          <w:i/>
        </w:rPr>
        <w:t xml:space="preserve">NO EXISTE OBLIGACIÓN DE ELABORAR DOCUMENTOS AD HOC PARA ATENDER LAS SOLICITUDES DE ACCESO A LA INFORMACIÓN. </w:t>
      </w:r>
      <w:r w:rsidRPr="007D35D4">
        <w:rPr>
          <w:rFonts w:eastAsia="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w:t>
      </w:r>
      <w:r w:rsidR="00A8588E" w:rsidRPr="007D35D4">
        <w:rPr>
          <w:rFonts w:eastAsia="Palatino Linotype" w:cs="Palatino Linotype"/>
          <w:i/>
        </w:rPr>
        <w:t>las solicitudes de información.</w:t>
      </w:r>
    </w:p>
    <w:p w14:paraId="2CF112D2" w14:textId="77777777" w:rsidR="00597E2F" w:rsidRPr="007D35D4" w:rsidRDefault="00597E2F" w:rsidP="00597E2F">
      <w:pPr>
        <w:spacing w:after="0" w:line="360" w:lineRule="auto"/>
        <w:ind w:left="567" w:right="560"/>
        <w:rPr>
          <w:rFonts w:eastAsia="Palatino Linotype" w:cs="Palatino Linotype"/>
          <w:b/>
          <w:i/>
          <w:sz w:val="24"/>
          <w:szCs w:val="24"/>
        </w:rPr>
      </w:pPr>
    </w:p>
    <w:p w14:paraId="376BDCA7" w14:textId="77777777"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sz w:val="24"/>
          <w:szCs w:val="24"/>
        </w:rPr>
        <w:t xml:space="preserve">Por otra parte, y aunado a lo antepuesto, el último párrafo del artículo 24 de la Ley de la materia, dispone que los Sujetos Obligados sólo proporcionarán la información pública que generen, administren o posean en el ejercicio de sus atribuciones; por </w:t>
      </w:r>
      <w:r w:rsidRPr="007D35D4">
        <w:rPr>
          <w:rFonts w:eastAsia="Palatino Linotype" w:cs="Palatino Linotype"/>
          <w:sz w:val="24"/>
          <w:szCs w:val="24"/>
        </w:rPr>
        <w:lastRenderedPageBreak/>
        <w:t>consiguiente, la información pública se encuentra a disposición de cualquier persona, lo que implica que es deber de los Sujetos Obligados, garantizar el Derecho de Acceso a la Información Pública.</w:t>
      </w:r>
    </w:p>
    <w:p w14:paraId="3FFCCEC1" w14:textId="77777777" w:rsidR="00597E2F" w:rsidRPr="007D35D4" w:rsidRDefault="00597E2F" w:rsidP="00597E2F">
      <w:pPr>
        <w:spacing w:after="0" w:line="360" w:lineRule="auto"/>
        <w:ind w:right="49"/>
        <w:rPr>
          <w:rFonts w:eastAsia="Palatino Linotype" w:cs="Palatino Linotype"/>
          <w:sz w:val="24"/>
          <w:szCs w:val="24"/>
        </w:rPr>
      </w:pPr>
    </w:p>
    <w:p w14:paraId="6094A504" w14:textId="77777777"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18B81AA" w14:textId="77777777" w:rsidR="00597E2F" w:rsidRPr="007D35D4" w:rsidRDefault="00597E2F" w:rsidP="00597E2F">
      <w:pPr>
        <w:spacing w:after="0" w:line="360" w:lineRule="auto"/>
        <w:ind w:right="49"/>
        <w:rPr>
          <w:rFonts w:eastAsia="Palatino Linotype" w:cs="Palatino Linotype"/>
          <w:sz w:val="24"/>
          <w:szCs w:val="24"/>
        </w:rPr>
      </w:pPr>
    </w:p>
    <w:p w14:paraId="1FFA3039" w14:textId="77777777"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C18CFE6" w14:textId="77777777" w:rsidR="00597E2F" w:rsidRPr="007D35D4" w:rsidRDefault="00597E2F" w:rsidP="00597E2F">
      <w:pPr>
        <w:spacing w:after="0" w:line="360" w:lineRule="auto"/>
        <w:ind w:right="49"/>
        <w:rPr>
          <w:rFonts w:eastAsia="Palatino Linotype" w:cs="Palatino Linotype"/>
          <w:sz w:val="24"/>
          <w:szCs w:val="24"/>
        </w:rPr>
      </w:pPr>
    </w:p>
    <w:p w14:paraId="3EEC988D"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w:t>
      </w:r>
      <w:r w:rsidRPr="007D35D4">
        <w:rPr>
          <w:rFonts w:eastAsia="Palatino Linotype" w:cs="Palatino Linotype"/>
          <w:b/>
          <w:i/>
        </w:rPr>
        <w:t>Artículo 3.</w:t>
      </w:r>
      <w:r w:rsidRPr="007D35D4">
        <w:rPr>
          <w:rFonts w:eastAsia="Palatino Linotype" w:cs="Palatino Linotype"/>
          <w:i/>
        </w:rPr>
        <w:t xml:space="preserve"> Para los efectos de la presente Ley se entenderá por:</w:t>
      </w:r>
    </w:p>
    <w:p w14:paraId="15A52594"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w:t>
      </w:r>
    </w:p>
    <w:p w14:paraId="7B9F55C2"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b/>
          <w:i/>
        </w:rPr>
        <w:t>XI. Documento:</w:t>
      </w:r>
      <w:r w:rsidRPr="007D35D4">
        <w:rPr>
          <w:rFonts w:eastAsia="Palatino Linotype" w:cs="Palatino Linotype"/>
          <w:i/>
        </w:rPr>
        <w:t xml:space="preserve"> Los expedientes, reportes, estudios, actas, resoluciones, oficios, correspondencia, acuerdos, directivas, directrices, circulares, contratos, convenios, </w:t>
      </w:r>
      <w:r w:rsidRPr="007D35D4">
        <w:rPr>
          <w:rFonts w:eastAsia="Palatino Linotype" w:cs="Palatino Linotype"/>
          <w:i/>
        </w:rPr>
        <w:lastRenderedPageBreak/>
        <w:t xml:space="preserve">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AAA001E" w14:textId="77777777" w:rsidR="00597E2F" w:rsidRPr="007D35D4" w:rsidRDefault="00597E2F" w:rsidP="00597E2F">
      <w:pPr>
        <w:spacing w:after="0" w:line="360" w:lineRule="auto"/>
        <w:ind w:right="49"/>
        <w:rPr>
          <w:rFonts w:eastAsia="Palatino Linotype" w:cs="Palatino Linotype"/>
          <w:sz w:val="24"/>
          <w:szCs w:val="24"/>
        </w:rPr>
      </w:pPr>
    </w:p>
    <w:p w14:paraId="56D3567D" w14:textId="77777777"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A9E037" w14:textId="77777777" w:rsidR="00597E2F" w:rsidRPr="007D35D4" w:rsidRDefault="00597E2F" w:rsidP="00597E2F">
      <w:pPr>
        <w:spacing w:after="0" w:line="360" w:lineRule="auto"/>
        <w:ind w:right="49"/>
        <w:rPr>
          <w:rFonts w:eastAsia="Palatino Linotype" w:cs="Palatino Linotype"/>
          <w:sz w:val="24"/>
          <w:szCs w:val="24"/>
        </w:rPr>
      </w:pPr>
    </w:p>
    <w:p w14:paraId="040B598D" w14:textId="77777777" w:rsidR="00597E2F" w:rsidRPr="007D35D4" w:rsidRDefault="00597E2F" w:rsidP="00597E2F">
      <w:pPr>
        <w:spacing w:after="0" w:line="276" w:lineRule="auto"/>
        <w:ind w:left="567" w:right="560"/>
        <w:rPr>
          <w:rFonts w:eastAsia="Palatino Linotype" w:cs="Palatino Linotype"/>
          <w:b/>
          <w:i/>
        </w:rPr>
      </w:pPr>
      <w:r w:rsidRPr="007D35D4">
        <w:rPr>
          <w:rFonts w:eastAsia="Palatino Linotype" w:cs="Palatino Linotype"/>
          <w:i/>
        </w:rPr>
        <w:t>“</w:t>
      </w:r>
      <w:r w:rsidRPr="007D35D4">
        <w:rPr>
          <w:rFonts w:eastAsia="Palatino Linotype" w:cs="Palatino Linotype"/>
          <w:b/>
          <w:i/>
        </w:rPr>
        <w:t>CRITERIO 0002-11</w:t>
      </w:r>
    </w:p>
    <w:p w14:paraId="42773935"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b/>
          <w:i/>
        </w:rPr>
        <w:t>INFORMACIÓN PÚBLICA, CONCEPTO DE, EN MATERIA DE TRANSPARENCIA. INTERPRETACIÓN SISTEMÁTICA DE LOS ARTÍCULOS 2°, FRACCIÓN V, XV, Y XVI, 3°, 4°, 11 Y 41.</w:t>
      </w:r>
      <w:r w:rsidRPr="007D35D4">
        <w:rPr>
          <w:rFonts w:eastAsia="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2DA8EED"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 xml:space="preserve">En </w:t>
      </w:r>
      <w:proofErr w:type="gramStart"/>
      <w:r w:rsidRPr="007D35D4">
        <w:rPr>
          <w:rFonts w:eastAsia="Palatino Linotype" w:cs="Palatino Linotype"/>
          <w:i/>
        </w:rPr>
        <w:t>consecuencia</w:t>
      </w:r>
      <w:proofErr w:type="gramEnd"/>
      <w:r w:rsidRPr="007D35D4">
        <w:rPr>
          <w:rFonts w:eastAsia="Palatino Linotype" w:cs="Palatino Linotype"/>
          <w:i/>
        </w:rPr>
        <w:t xml:space="preserve"> el acceso a la información se refiere a que se cumplan cualquiera de los siguientes tres supuestos:</w:t>
      </w:r>
    </w:p>
    <w:p w14:paraId="45AA10C9"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1)</w:t>
      </w:r>
      <w:r w:rsidRPr="007D35D4">
        <w:rPr>
          <w:rFonts w:eastAsia="Palatino Linotype" w:cs="Palatino Linotype"/>
          <w:i/>
        </w:rPr>
        <w:tab/>
        <w:t xml:space="preserve">Que se trate de información registrada en cualquier soporte documental, </w:t>
      </w:r>
      <w:proofErr w:type="gramStart"/>
      <w:r w:rsidRPr="007D35D4">
        <w:rPr>
          <w:rFonts w:eastAsia="Palatino Linotype" w:cs="Palatino Linotype"/>
          <w:i/>
        </w:rPr>
        <w:t>que</w:t>
      </w:r>
      <w:proofErr w:type="gramEnd"/>
      <w:r w:rsidRPr="007D35D4">
        <w:rPr>
          <w:rFonts w:eastAsia="Palatino Linotype" w:cs="Palatino Linotype"/>
          <w:i/>
        </w:rPr>
        <w:t xml:space="preserve"> en ejercicio de las atribuciones conferidas, sea generada por los Sujetos Obligados;</w:t>
      </w:r>
    </w:p>
    <w:p w14:paraId="2852BE12"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2)</w:t>
      </w:r>
      <w:r w:rsidRPr="007D35D4">
        <w:rPr>
          <w:rFonts w:eastAsia="Palatino Linotype" w:cs="Palatino Linotype"/>
          <w:i/>
        </w:rPr>
        <w:tab/>
        <w:t xml:space="preserve">Que se trate de información registrada en cualquier soporte documental, </w:t>
      </w:r>
      <w:proofErr w:type="gramStart"/>
      <w:r w:rsidRPr="007D35D4">
        <w:rPr>
          <w:rFonts w:eastAsia="Palatino Linotype" w:cs="Palatino Linotype"/>
          <w:i/>
        </w:rPr>
        <w:t>que</w:t>
      </w:r>
      <w:proofErr w:type="gramEnd"/>
      <w:r w:rsidRPr="007D35D4">
        <w:rPr>
          <w:rFonts w:eastAsia="Palatino Linotype" w:cs="Palatino Linotype"/>
          <w:i/>
        </w:rPr>
        <w:t xml:space="preserve"> en ejercicio de las atribuciones conferidas, sea administrada por los Sujetos Obligados, y</w:t>
      </w:r>
    </w:p>
    <w:p w14:paraId="09528438" w14:textId="77777777" w:rsidR="00597E2F" w:rsidRPr="007D35D4" w:rsidRDefault="00597E2F" w:rsidP="00597E2F">
      <w:pPr>
        <w:spacing w:after="0" w:line="276" w:lineRule="auto"/>
        <w:ind w:left="567" w:right="560"/>
        <w:rPr>
          <w:rFonts w:eastAsia="Palatino Linotype" w:cs="Palatino Linotype"/>
          <w:i/>
        </w:rPr>
      </w:pPr>
      <w:r w:rsidRPr="007D35D4">
        <w:rPr>
          <w:rFonts w:eastAsia="Palatino Linotype" w:cs="Palatino Linotype"/>
          <w:i/>
        </w:rPr>
        <w:t xml:space="preserve">3) Que se trate de información registrada en cualquier soporte documental, </w:t>
      </w:r>
      <w:proofErr w:type="gramStart"/>
      <w:r w:rsidRPr="007D35D4">
        <w:rPr>
          <w:rFonts w:eastAsia="Palatino Linotype" w:cs="Palatino Linotype"/>
          <w:i/>
        </w:rPr>
        <w:t>que</w:t>
      </w:r>
      <w:proofErr w:type="gramEnd"/>
      <w:r w:rsidRPr="007D35D4">
        <w:rPr>
          <w:rFonts w:eastAsia="Palatino Linotype" w:cs="Palatino Linotype"/>
          <w:i/>
        </w:rPr>
        <w:t xml:space="preserve"> en ejercicio de las atribuciones conferidas, se encuentre en posesión de los Sujetos Obligados.” </w:t>
      </w:r>
    </w:p>
    <w:p w14:paraId="3DA71D5A" w14:textId="77777777" w:rsidR="00597E2F" w:rsidRPr="007D35D4" w:rsidRDefault="00597E2F" w:rsidP="00597E2F">
      <w:pPr>
        <w:spacing w:after="0" w:line="360" w:lineRule="auto"/>
        <w:ind w:right="49"/>
        <w:rPr>
          <w:rFonts w:eastAsia="Palatino Linotype" w:cs="Palatino Linotype"/>
          <w:sz w:val="24"/>
          <w:szCs w:val="24"/>
        </w:rPr>
      </w:pPr>
    </w:p>
    <w:p w14:paraId="4F1DEAB3" w14:textId="77777777"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sz w:val="24"/>
          <w:szCs w:val="24"/>
        </w:rPr>
        <w:lastRenderedPageBreak/>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49C1A92C" w14:textId="77777777" w:rsidR="00597E2F" w:rsidRPr="007D35D4" w:rsidRDefault="00597E2F" w:rsidP="00597E2F">
      <w:pPr>
        <w:spacing w:after="0" w:line="360" w:lineRule="auto"/>
        <w:ind w:right="49"/>
        <w:rPr>
          <w:rFonts w:eastAsia="Palatino Linotype" w:cs="Palatino Linotype"/>
          <w:sz w:val="24"/>
          <w:szCs w:val="24"/>
        </w:rPr>
      </w:pPr>
    </w:p>
    <w:p w14:paraId="2583D627" w14:textId="6A7653DB" w:rsidR="00597E2F" w:rsidRPr="007D35D4" w:rsidRDefault="00597E2F" w:rsidP="00597E2F">
      <w:pPr>
        <w:spacing w:after="0" w:line="360" w:lineRule="auto"/>
        <w:ind w:right="49"/>
        <w:rPr>
          <w:rFonts w:eastAsia="Palatino Linotype" w:cs="Palatino Linotype"/>
          <w:sz w:val="24"/>
          <w:szCs w:val="24"/>
        </w:rPr>
      </w:pPr>
      <w:r w:rsidRPr="007D35D4">
        <w:rPr>
          <w:rFonts w:eastAsia="Palatino Linotype" w:cs="Palatino Linotype"/>
          <w:sz w:val="24"/>
          <w:szCs w:val="24"/>
        </w:rPr>
        <w:t>De las actuaciones que integran el expediente electrónico, se procede al análisis de los agravios hechos valer por el Recurrente, relativos a la entrega de la información que no corresponde con lo solicitado, lo que actualiza la causal de procede</w:t>
      </w:r>
      <w:r w:rsidR="00A8588E" w:rsidRPr="007D35D4">
        <w:rPr>
          <w:rFonts w:eastAsia="Palatino Linotype" w:cs="Palatino Linotype"/>
          <w:sz w:val="24"/>
          <w:szCs w:val="24"/>
        </w:rPr>
        <w:t xml:space="preserve">ncia prevista en la fracción XIII </w:t>
      </w:r>
      <w:r w:rsidRPr="007D35D4">
        <w:rPr>
          <w:rFonts w:eastAsia="Palatino Linotype" w:cs="Palatino Linotype"/>
          <w:sz w:val="24"/>
          <w:szCs w:val="24"/>
        </w:rPr>
        <w:t>del artículo 179 de la Ley de Transparencia y Acceso a la Información Pública del Estado de México y Municipios.</w:t>
      </w:r>
    </w:p>
    <w:p w14:paraId="368BB1E5" w14:textId="77777777" w:rsidR="002B2F06" w:rsidRPr="007D35D4" w:rsidRDefault="002B2F06" w:rsidP="00F40D32">
      <w:pPr>
        <w:spacing w:after="0" w:line="360" w:lineRule="auto"/>
        <w:rPr>
          <w:rFonts w:eastAsia="Times New Roman" w:cs="Tahoma"/>
          <w:iCs/>
          <w:color w:val="auto"/>
          <w:sz w:val="24"/>
          <w:szCs w:val="24"/>
          <w:lang w:val="es-ES" w:eastAsia="es-ES"/>
        </w:rPr>
      </w:pPr>
    </w:p>
    <w:p w14:paraId="587BEA86" w14:textId="245A0D3E" w:rsidR="00A8588E" w:rsidRPr="007D35D4" w:rsidRDefault="00A8588E" w:rsidP="00F40D32">
      <w:pPr>
        <w:spacing w:after="0" w:line="360" w:lineRule="auto"/>
        <w:rPr>
          <w:rFonts w:eastAsia="Times New Roman" w:cs="Tahoma"/>
          <w:iCs/>
          <w:color w:val="auto"/>
          <w:sz w:val="24"/>
          <w:szCs w:val="24"/>
          <w:lang w:val="es-ES" w:eastAsia="es-ES"/>
        </w:rPr>
      </w:pPr>
      <w:r w:rsidRPr="007D35D4">
        <w:rPr>
          <w:rFonts w:eastAsia="Times New Roman" w:cs="Tahoma"/>
          <w:iCs/>
          <w:color w:val="auto"/>
          <w:sz w:val="24"/>
          <w:szCs w:val="24"/>
          <w:lang w:val="es-ES" w:eastAsia="es-ES"/>
        </w:rPr>
        <w:t xml:space="preserve">Dicho esto, es de recordar que la pretensión de la parte Solicitante es obtener la siguiente información: </w:t>
      </w:r>
    </w:p>
    <w:p w14:paraId="5FDFB61B" w14:textId="77777777" w:rsidR="00A8588E" w:rsidRPr="007D35D4" w:rsidRDefault="00A8588E" w:rsidP="00F40D32">
      <w:pPr>
        <w:spacing w:after="0" w:line="360" w:lineRule="auto"/>
        <w:rPr>
          <w:rFonts w:eastAsia="Times New Roman" w:cs="Tahoma"/>
          <w:iCs/>
          <w:color w:val="auto"/>
          <w:sz w:val="24"/>
          <w:szCs w:val="24"/>
          <w:lang w:val="es-ES" w:eastAsia="es-ES"/>
        </w:rPr>
      </w:pPr>
    </w:p>
    <w:p w14:paraId="2DBAB86D" w14:textId="19447F00" w:rsidR="00A8588E" w:rsidRPr="007D35D4" w:rsidRDefault="00A8588E" w:rsidP="00A8588E">
      <w:pPr>
        <w:pStyle w:val="Prrafodelista"/>
        <w:numPr>
          <w:ilvl w:val="0"/>
          <w:numId w:val="35"/>
        </w:numPr>
        <w:spacing w:line="360" w:lineRule="auto"/>
        <w:rPr>
          <w:rFonts w:cs="Tahoma"/>
          <w:iCs/>
          <w:lang w:val="es-ES"/>
        </w:rPr>
      </w:pPr>
      <w:r w:rsidRPr="007D35D4">
        <w:rPr>
          <w:rFonts w:cs="Tahoma"/>
          <w:iCs/>
          <w:lang w:val="es-ES"/>
        </w:rPr>
        <w:t>Las resoluciones en las que se encuentre como parte del proceso Isaac Martín Montoya Márquez, quien actualmente ocupa el cargo de Diputado por el partido Morena, desde el año 2013 a la fecha Diputado de la LXI Legislatura del Estado de México. Secretario Nacional de Jóvenes de morena 2015 – 2021. Delegado del CEN en el Estado de México.</w:t>
      </w:r>
    </w:p>
    <w:p w14:paraId="73A9C613" w14:textId="77777777" w:rsidR="00A8588E" w:rsidRPr="007D35D4" w:rsidRDefault="00A8588E" w:rsidP="00A8588E">
      <w:pPr>
        <w:pStyle w:val="Prrafodelista"/>
        <w:spacing w:line="360" w:lineRule="auto"/>
        <w:rPr>
          <w:rFonts w:cs="Tahoma"/>
          <w:iCs/>
          <w:lang w:val="es-ES"/>
        </w:rPr>
      </w:pPr>
    </w:p>
    <w:p w14:paraId="24E0FB16" w14:textId="2A739DA3" w:rsidR="00A8588E" w:rsidRPr="007D35D4" w:rsidRDefault="00A8588E"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En respuesta, el Sujeto O</w:t>
      </w:r>
      <w:r w:rsidR="00106F17" w:rsidRPr="007D35D4">
        <w:rPr>
          <w:rFonts w:eastAsia="Times New Roman" w:cs="Tahoma"/>
          <w:bCs/>
          <w:iCs/>
          <w:color w:val="auto"/>
          <w:sz w:val="24"/>
          <w:szCs w:val="24"/>
          <w:lang w:eastAsia="es-ES"/>
        </w:rPr>
        <w:t xml:space="preserve">bligado, remitió la siguiente información: </w:t>
      </w:r>
    </w:p>
    <w:p w14:paraId="65D15340" w14:textId="77777777" w:rsidR="00106F17" w:rsidRPr="007D35D4" w:rsidRDefault="00106F17" w:rsidP="00F40D32">
      <w:pPr>
        <w:spacing w:after="0" w:line="360" w:lineRule="auto"/>
        <w:rPr>
          <w:rFonts w:eastAsia="Times New Roman" w:cs="Tahoma"/>
          <w:bCs/>
          <w:iCs/>
          <w:color w:val="auto"/>
          <w:sz w:val="24"/>
          <w:szCs w:val="24"/>
          <w:lang w:eastAsia="es-ES"/>
        </w:rPr>
      </w:pPr>
    </w:p>
    <w:p w14:paraId="4E638DD7" w14:textId="77777777" w:rsidR="00106F17" w:rsidRPr="007D35D4" w:rsidRDefault="00106F17" w:rsidP="00106F17">
      <w:pPr>
        <w:pStyle w:val="Prrafodelista"/>
        <w:numPr>
          <w:ilvl w:val="0"/>
          <w:numId w:val="34"/>
        </w:numPr>
        <w:pBdr>
          <w:top w:val="nil"/>
          <w:left w:val="nil"/>
          <w:bottom w:val="nil"/>
          <w:right w:val="nil"/>
          <w:between w:val="nil"/>
        </w:pBdr>
        <w:spacing w:line="360" w:lineRule="auto"/>
        <w:ind w:right="49"/>
        <w:rPr>
          <w:rFonts w:eastAsia="Palatino Linotype" w:cs="Palatino Linotype"/>
          <w:color w:val="000000"/>
        </w:rPr>
      </w:pPr>
      <w:r w:rsidRPr="007D35D4">
        <w:rPr>
          <w:rFonts w:eastAsia="Palatino Linotype" w:cs="Palatino Linotype"/>
          <w:color w:val="000000"/>
        </w:rPr>
        <w:lastRenderedPageBreak/>
        <w:t xml:space="preserve">Oficio de fecha tres de julio de dos mil veintitrés, signado electrónicamente por el Titular de la Unidad de Trasparencia, mediante el cual informa que, el ejercicio del derecho de acceso a la información no es la vía para acceder a expedientes jurisdiccionales en su versión íntegra, aunado a que, la búsqueda </w:t>
      </w:r>
      <w:proofErr w:type="gramStart"/>
      <w:r w:rsidRPr="007D35D4">
        <w:rPr>
          <w:rFonts w:eastAsia="Palatino Linotype" w:cs="Palatino Linotype"/>
          <w:color w:val="000000"/>
        </w:rPr>
        <w:t>de los expediente</w:t>
      </w:r>
      <w:proofErr w:type="gramEnd"/>
      <w:r w:rsidRPr="007D35D4">
        <w:rPr>
          <w:rFonts w:eastAsia="Palatino Linotype" w:cs="Palatino Linotype"/>
          <w:color w:val="000000"/>
        </w:rPr>
        <w:t xml:space="preserve"> se realiza de acuerdo con el número y juzgado de radicación,</w:t>
      </w:r>
      <w:r w:rsidRPr="007D35D4">
        <w:rPr>
          <w:rFonts w:eastAsia="Palatino Linotype"/>
          <w:b/>
        </w:rPr>
        <w:t xml:space="preserve"> </w:t>
      </w:r>
      <w:r w:rsidRPr="007D35D4">
        <w:rPr>
          <w:rFonts w:eastAsia="Palatino Linotype"/>
        </w:rPr>
        <w:t xml:space="preserve">no así por el nombre de las partes que intervienen en el proceso. Es por lo que, no es factible realizar la búsqueda por el nombre de las partes, ni proporcionar la información en los términos solicitados, ya que se vulneraría la protección de datos personales. </w:t>
      </w:r>
    </w:p>
    <w:p w14:paraId="5C455B0D" w14:textId="77777777" w:rsidR="00106F17" w:rsidRPr="007D35D4" w:rsidRDefault="00106F17" w:rsidP="00106F17">
      <w:pPr>
        <w:pStyle w:val="Prrafodelista"/>
        <w:numPr>
          <w:ilvl w:val="0"/>
          <w:numId w:val="34"/>
        </w:numPr>
        <w:pBdr>
          <w:top w:val="nil"/>
          <w:left w:val="nil"/>
          <w:bottom w:val="nil"/>
          <w:right w:val="nil"/>
          <w:between w:val="nil"/>
        </w:pBdr>
        <w:spacing w:line="360" w:lineRule="auto"/>
        <w:ind w:right="49"/>
        <w:rPr>
          <w:rFonts w:eastAsia="Palatino Linotype" w:cs="Palatino Linotype"/>
          <w:color w:val="000000"/>
        </w:rPr>
      </w:pPr>
      <w:r w:rsidRPr="007D35D4">
        <w:rPr>
          <w:rFonts w:eastAsia="Palatino Linotype"/>
        </w:rPr>
        <w:t>Captura de pantalla, mediante el cual, se notifica la respuesta por correo electrónico, en fecha tres de julio de dos mil veintitrés.</w:t>
      </w:r>
    </w:p>
    <w:p w14:paraId="30733275" w14:textId="77777777" w:rsidR="00106F17" w:rsidRPr="007D35D4" w:rsidRDefault="00106F17" w:rsidP="00F40D32">
      <w:pPr>
        <w:spacing w:after="0" w:line="360" w:lineRule="auto"/>
        <w:rPr>
          <w:rFonts w:eastAsia="Times New Roman" w:cs="Tahoma"/>
          <w:bCs/>
          <w:iCs/>
          <w:color w:val="auto"/>
          <w:sz w:val="24"/>
          <w:szCs w:val="24"/>
          <w:lang w:eastAsia="es-ES"/>
        </w:rPr>
      </w:pPr>
    </w:p>
    <w:p w14:paraId="6BC2FBC7" w14:textId="0A438A74" w:rsidR="00106F17" w:rsidRPr="007D35D4" w:rsidRDefault="00106F17"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 xml:space="preserve">Derivado de ello, la parte Solicitante se inconformó arguyendo que no se había fundado y motivado debidamente la respuesta. </w:t>
      </w:r>
    </w:p>
    <w:p w14:paraId="5C234A1F" w14:textId="77777777" w:rsidR="00106F17" w:rsidRPr="007D35D4" w:rsidRDefault="00106F17" w:rsidP="00F40D32">
      <w:pPr>
        <w:spacing w:after="0" w:line="360" w:lineRule="auto"/>
        <w:rPr>
          <w:rFonts w:eastAsia="Times New Roman" w:cs="Tahoma"/>
          <w:bCs/>
          <w:iCs/>
          <w:color w:val="auto"/>
          <w:sz w:val="24"/>
          <w:szCs w:val="24"/>
          <w:lang w:eastAsia="es-ES"/>
        </w:rPr>
      </w:pPr>
    </w:p>
    <w:p w14:paraId="50DF7A20" w14:textId="42182541" w:rsidR="00106F17" w:rsidRPr="007D35D4" w:rsidRDefault="00106F17"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 xml:space="preserve">En atención a ello, el Sujeto Obligado mediante informe justificado remitió la siguiente información: </w:t>
      </w:r>
    </w:p>
    <w:p w14:paraId="3D1DFA4D" w14:textId="77777777" w:rsidR="00106F17" w:rsidRPr="007D35D4" w:rsidRDefault="00106F17" w:rsidP="00F40D32">
      <w:pPr>
        <w:spacing w:after="0" w:line="360" w:lineRule="auto"/>
        <w:rPr>
          <w:rFonts w:eastAsia="Times New Roman" w:cs="Tahoma"/>
          <w:bCs/>
          <w:iCs/>
          <w:color w:val="auto"/>
          <w:sz w:val="24"/>
          <w:szCs w:val="24"/>
          <w:lang w:eastAsia="es-ES"/>
        </w:rPr>
      </w:pPr>
    </w:p>
    <w:p w14:paraId="400F676C" w14:textId="77777777" w:rsidR="00F74C3E" w:rsidRPr="007D35D4" w:rsidRDefault="00F74C3E" w:rsidP="00F74C3E">
      <w:pPr>
        <w:pStyle w:val="Prrafodelista"/>
        <w:numPr>
          <w:ilvl w:val="0"/>
          <w:numId w:val="34"/>
        </w:numPr>
        <w:pBdr>
          <w:top w:val="nil"/>
          <w:left w:val="nil"/>
          <w:bottom w:val="nil"/>
          <w:right w:val="nil"/>
          <w:between w:val="nil"/>
        </w:pBdr>
        <w:spacing w:line="360" w:lineRule="auto"/>
        <w:ind w:right="49"/>
        <w:rPr>
          <w:rFonts w:eastAsia="Palatino Linotype" w:cs="Palatino Linotype"/>
          <w:color w:val="000000"/>
        </w:rPr>
      </w:pPr>
      <w:r w:rsidRPr="007D35D4">
        <w:rPr>
          <w:rFonts w:eastAsia="Palatino Linotype" w:cs="Palatino Linotype"/>
          <w:color w:val="000000"/>
        </w:rPr>
        <w:t xml:space="preserve">Oficio de fecha tres de julio de dos mil veintitrés, signado electrónicamente por el Titular de la Unidad de Trasparencia, mediante el cual informa que, el ejercicio del derecho de acceso a la información no es la vía para acceder a expedientes jurisdiccionales en su versión íntegra, aunado a que, la búsqueda </w:t>
      </w:r>
      <w:proofErr w:type="gramStart"/>
      <w:r w:rsidRPr="007D35D4">
        <w:rPr>
          <w:rFonts w:eastAsia="Palatino Linotype" w:cs="Palatino Linotype"/>
          <w:color w:val="000000"/>
        </w:rPr>
        <w:t>de los expediente</w:t>
      </w:r>
      <w:proofErr w:type="gramEnd"/>
      <w:r w:rsidRPr="007D35D4">
        <w:rPr>
          <w:rFonts w:eastAsia="Palatino Linotype" w:cs="Palatino Linotype"/>
          <w:color w:val="000000"/>
        </w:rPr>
        <w:t xml:space="preserve"> se realiza de acuerdo con el número y juzgado de radicación,</w:t>
      </w:r>
      <w:r w:rsidRPr="007D35D4">
        <w:rPr>
          <w:rFonts w:eastAsia="Palatino Linotype"/>
          <w:b/>
        </w:rPr>
        <w:t xml:space="preserve"> </w:t>
      </w:r>
      <w:r w:rsidRPr="007D35D4">
        <w:rPr>
          <w:rFonts w:eastAsia="Palatino Linotype"/>
        </w:rPr>
        <w:t xml:space="preserve">no así por el nombre de las partes que intervienen en el proceso. Es por lo que, no es factible realizar la búsqueda por el nombre de las partes, ni proporcionar la información en los términos solicitados, ya que se vulneraría la protección de datos personales. </w:t>
      </w:r>
    </w:p>
    <w:p w14:paraId="29FF7F77" w14:textId="77777777" w:rsidR="00F74C3E" w:rsidRPr="007D35D4" w:rsidRDefault="00F74C3E" w:rsidP="00F74C3E">
      <w:pPr>
        <w:pStyle w:val="Prrafodelista"/>
        <w:numPr>
          <w:ilvl w:val="0"/>
          <w:numId w:val="34"/>
        </w:numPr>
        <w:pBdr>
          <w:top w:val="nil"/>
          <w:left w:val="nil"/>
          <w:bottom w:val="nil"/>
          <w:right w:val="nil"/>
          <w:between w:val="nil"/>
        </w:pBdr>
        <w:spacing w:line="360" w:lineRule="auto"/>
        <w:ind w:right="49"/>
        <w:rPr>
          <w:rFonts w:eastAsia="Palatino Linotype" w:cs="Palatino Linotype"/>
          <w:color w:val="000000"/>
        </w:rPr>
      </w:pPr>
      <w:r w:rsidRPr="007D35D4">
        <w:rPr>
          <w:rFonts w:eastAsia="Palatino Linotype"/>
        </w:rPr>
        <w:lastRenderedPageBreak/>
        <w:t>Captura de pantalla, mediante el cual, se notifica la respuesta por correo electrónico, en fecha tres de julio de dos mil veintitrés.</w:t>
      </w:r>
    </w:p>
    <w:p w14:paraId="3359FAD1" w14:textId="77777777" w:rsidR="00106F17" w:rsidRPr="007D35D4" w:rsidRDefault="00106F17" w:rsidP="00F40D32">
      <w:pPr>
        <w:spacing w:after="0" w:line="360" w:lineRule="auto"/>
        <w:rPr>
          <w:rFonts w:eastAsia="Times New Roman" w:cs="Tahoma"/>
          <w:bCs/>
          <w:iCs/>
          <w:color w:val="auto"/>
          <w:sz w:val="24"/>
          <w:szCs w:val="24"/>
          <w:lang w:eastAsia="es-ES"/>
        </w:rPr>
      </w:pPr>
    </w:p>
    <w:p w14:paraId="49C9BAEB" w14:textId="468AFC04" w:rsidR="00F74C3E" w:rsidRPr="007D35D4" w:rsidRDefault="00F74C3E"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La parte Solicitante fue omisa en rendir manifestaciones.</w:t>
      </w:r>
    </w:p>
    <w:p w14:paraId="4765A70E" w14:textId="77777777" w:rsidR="00F31662" w:rsidRPr="007D35D4" w:rsidRDefault="00F31662" w:rsidP="00F40D32">
      <w:pPr>
        <w:spacing w:after="0" w:line="360" w:lineRule="auto"/>
        <w:rPr>
          <w:rFonts w:eastAsia="Times New Roman" w:cs="Tahoma"/>
          <w:bCs/>
          <w:iCs/>
          <w:color w:val="auto"/>
          <w:sz w:val="24"/>
          <w:szCs w:val="24"/>
          <w:lang w:eastAsia="es-ES"/>
        </w:rPr>
      </w:pPr>
    </w:p>
    <w:p w14:paraId="2E5B59C7" w14:textId="77777777" w:rsidR="00335563" w:rsidRPr="007D35D4" w:rsidRDefault="00335563"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 xml:space="preserve">Dicho lo anterior, resulta preciso mencionar que, tanto en respuesta como en informe justificado, el Sujeto Obligado hizo referencia a que; </w:t>
      </w:r>
    </w:p>
    <w:p w14:paraId="0C743EEF" w14:textId="77777777" w:rsidR="00335563" w:rsidRPr="007D35D4" w:rsidRDefault="00335563" w:rsidP="00F40D32">
      <w:pPr>
        <w:spacing w:after="0" w:line="360" w:lineRule="auto"/>
        <w:rPr>
          <w:rFonts w:eastAsia="Times New Roman" w:cs="Tahoma"/>
          <w:bCs/>
          <w:iCs/>
          <w:color w:val="auto"/>
          <w:szCs w:val="24"/>
          <w:lang w:eastAsia="es-ES"/>
        </w:rPr>
      </w:pPr>
    </w:p>
    <w:p w14:paraId="418702D9" w14:textId="3A5972DF" w:rsidR="00335563" w:rsidRPr="007D35D4" w:rsidRDefault="00335563" w:rsidP="00335563">
      <w:pPr>
        <w:pStyle w:val="Prrafodelista"/>
        <w:numPr>
          <w:ilvl w:val="0"/>
          <w:numId w:val="36"/>
        </w:numPr>
        <w:spacing w:line="360" w:lineRule="auto"/>
        <w:rPr>
          <w:rFonts w:cs="Tahoma"/>
          <w:b/>
          <w:bCs/>
          <w:iCs/>
        </w:rPr>
      </w:pPr>
      <w:r w:rsidRPr="007D35D4">
        <w:rPr>
          <w:rFonts w:cs="Tahoma"/>
          <w:b/>
          <w:bCs/>
          <w:iCs/>
        </w:rPr>
        <w:t>El acceso a expedientes jurisdiccionales no es permitido a través del derecho de acceso a la informaci</w:t>
      </w:r>
      <w:r w:rsidR="00811434" w:rsidRPr="007D35D4">
        <w:rPr>
          <w:rFonts w:cs="Tahoma"/>
          <w:b/>
          <w:bCs/>
          <w:iCs/>
        </w:rPr>
        <w:t xml:space="preserve">ón, debido a que los documentos contienen información clasificada. </w:t>
      </w:r>
    </w:p>
    <w:p w14:paraId="1498B646" w14:textId="2ACB66E9" w:rsidR="00811434" w:rsidRPr="007D35D4" w:rsidRDefault="00811434" w:rsidP="00335563">
      <w:pPr>
        <w:pStyle w:val="Prrafodelista"/>
        <w:numPr>
          <w:ilvl w:val="0"/>
          <w:numId w:val="36"/>
        </w:numPr>
        <w:spacing w:line="360" w:lineRule="auto"/>
        <w:rPr>
          <w:rFonts w:cs="Tahoma"/>
          <w:b/>
          <w:bCs/>
          <w:iCs/>
        </w:rPr>
      </w:pPr>
      <w:r w:rsidRPr="007D35D4">
        <w:rPr>
          <w:rFonts w:cs="Tahoma"/>
          <w:b/>
          <w:bCs/>
          <w:iCs/>
        </w:rPr>
        <w:t>La búsqueda de expedientes se realiza de acuerdo con el número y juzgado de radicación, no así por el nombre de las partes que interviene en el proceso, por lo que, no es factible realizar la b</w:t>
      </w:r>
      <w:r w:rsidR="00197AEB" w:rsidRPr="007D35D4">
        <w:rPr>
          <w:rFonts w:cs="Tahoma"/>
          <w:b/>
          <w:bCs/>
          <w:iCs/>
        </w:rPr>
        <w:t xml:space="preserve">úsqueda. </w:t>
      </w:r>
    </w:p>
    <w:p w14:paraId="514A5019" w14:textId="77777777" w:rsidR="00335563" w:rsidRPr="007D35D4" w:rsidRDefault="00335563" w:rsidP="00F40D32">
      <w:pPr>
        <w:spacing w:after="0" w:line="360" w:lineRule="auto"/>
        <w:rPr>
          <w:rFonts w:eastAsia="Times New Roman" w:cs="Tahoma"/>
          <w:bCs/>
          <w:iCs/>
          <w:color w:val="auto"/>
          <w:sz w:val="24"/>
          <w:szCs w:val="24"/>
          <w:lang w:eastAsia="es-ES"/>
        </w:rPr>
      </w:pPr>
    </w:p>
    <w:p w14:paraId="41A275F6" w14:textId="77777777" w:rsidR="00F306FA" w:rsidRPr="007D35D4" w:rsidRDefault="00811434"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En ese sentido, en lo que respecta a lo señalado en el inciso b), se considera que, el Sujeto Obligado si puede conocer de los expedientes en los que los particulares han sido parte ya sea como actor o demandado, sin embargo, en el presente caso, el Titular de la Unidad de Transparencia se limit</w:t>
      </w:r>
      <w:r w:rsidR="00197AEB" w:rsidRPr="007D35D4">
        <w:rPr>
          <w:rFonts w:eastAsia="Times New Roman" w:cs="Tahoma"/>
          <w:bCs/>
          <w:iCs/>
          <w:color w:val="auto"/>
          <w:sz w:val="24"/>
          <w:szCs w:val="24"/>
          <w:lang w:eastAsia="es-ES"/>
        </w:rPr>
        <w:t xml:space="preserve">ó a señalar que la búsqueda no podía ser realizada con dichos datos, sin haber turnado la solicitud a la unidad administrativa competente, la cual, de manera enunciativa, </w:t>
      </w:r>
      <w:r w:rsidR="00F306FA" w:rsidRPr="007D35D4">
        <w:rPr>
          <w:rFonts w:eastAsia="Times New Roman" w:cs="Tahoma"/>
          <w:bCs/>
          <w:iCs/>
          <w:color w:val="auto"/>
          <w:sz w:val="24"/>
          <w:szCs w:val="24"/>
          <w:lang w:eastAsia="es-ES"/>
        </w:rPr>
        <w:t xml:space="preserve">más no limitativa pudiera ser en la </w:t>
      </w:r>
      <w:r w:rsidR="00F306FA" w:rsidRPr="007D35D4">
        <w:rPr>
          <w:rFonts w:eastAsia="Times New Roman" w:cs="Tahoma"/>
          <w:b/>
          <w:bCs/>
          <w:iCs/>
          <w:color w:val="auto"/>
          <w:sz w:val="24"/>
          <w:szCs w:val="24"/>
          <w:u w:val="single"/>
          <w:lang w:eastAsia="es-ES"/>
        </w:rPr>
        <w:t>Dirección de Innovación y Desarrollo Tecnológico</w:t>
      </w:r>
      <w:r w:rsidR="00F306FA" w:rsidRPr="007D35D4">
        <w:rPr>
          <w:rFonts w:eastAsia="Times New Roman" w:cs="Tahoma"/>
          <w:bCs/>
          <w:iCs/>
          <w:color w:val="auto"/>
          <w:sz w:val="24"/>
          <w:szCs w:val="24"/>
          <w:lang w:eastAsia="es-ES"/>
        </w:rPr>
        <w:t xml:space="preserve">, la cual de conformidad con el Reglamento Interior del Consejo de la Judicatura del Estado de México, las atribuciones que este tiene conferidas son las siguientes: </w:t>
      </w:r>
    </w:p>
    <w:p w14:paraId="22AA2A81" w14:textId="77777777" w:rsidR="00F306FA" w:rsidRPr="007D35D4" w:rsidRDefault="00F306FA" w:rsidP="00F40D32">
      <w:pPr>
        <w:spacing w:after="0" w:line="360" w:lineRule="auto"/>
        <w:rPr>
          <w:rFonts w:eastAsia="Times New Roman" w:cs="Tahoma"/>
          <w:bCs/>
          <w:iCs/>
          <w:color w:val="auto"/>
          <w:sz w:val="24"/>
          <w:szCs w:val="24"/>
          <w:lang w:eastAsia="es-ES"/>
        </w:rPr>
      </w:pPr>
    </w:p>
    <w:p w14:paraId="752D5799" w14:textId="77777777" w:rsidR="00F306FA" w:rsidRPr="007D35D4" w:rsidRDefault="00F306FA" w:rsidP="00F306FA">
      <w:pPr>
        <w:spacing w:after="0" w:line="276" w:lineRule="auto"/>
        <w:ind w:left="567" w:right="616"/>
        <w:rPr>
          <w:rFonts w:eastAsia="Palatino Linotype" w:cs="Palatino Linotype"/>
          <w:i/>
        </w:rPr>
      </w:pPr>
      <w:r w:rsidRPr="007D35D4">
        <w:rPr>
          <w:rFonts w:eastAsia="Palatino Linotype" w:cs="Palatino Linotype"/>
          <w:b/>
          <w:i/>
        </w:rPr>
        <w:lastRenderedPageBreak/>
        <w:t xml:space="preserve">“Artículo </w:t>
      </w:r>
      <w:proofErr w:type="gramStart"/>
      <w:r w:rsidRPr="007D35D4">
        <w:rPr>
          <w:rFonts w:eastAsia="Palatino Linotype" w:cs="Palatino Linotype"/>
          <w:b/>
          <w:i/>
        </w:rPr>
        <w:t>35.</w:t>
      </w:r>
      <w:r w:rsidRPr="007D35D4">
        <w:rPr>
          <w:rFonts w:eastAsia="Palatino Linotype" w:cs="Palatino Linotype"/>
          <w:i/>
        </w:rPr>
        <w:t>La</w:t>
      </w:r>
      <w:proofErr w:type="gramEnd"/>
      <w:r w:rsidRPr="007D35D4">
        <w:rPr>
          <w:rFonts w:eastAsia="Palatino Linotype" w:cs="Palatino Linotype"/>
          <w:i/>
        </w:rPr>
        <w:t xml:space="preserve"> </w:t>
      </w:r>
      <w:r w:rsidRPr="007D35D4">
        <w:rPr>
          <w:rFonts w:eastAsia="Palatino Linotype" w:cs="Palatino Linotype"/>
          <w:b/>
          <w:i/>
          <w:u w:val="single"/>
        </w:rPr>
        <w:t>Dirección de Información y Estadística</w:t>
      </w:r>
      <w:r w:rsidRPr="007D35D4">
        <w:rPr>
          <w:rFonts w:eastAsia="Palatino Linotype" w:cs="Palatino Linotype"/>
          <w:i/>
        </w:rPr>
        <w:t xml:space="preserve"> tendrá las atribuciones siguientes: </w:t>
      </w:r>
    </w:p>
    <w:p w14:paraId="67868662" w14:textId="77777777" w:rsidR="00F306FA" w:rsidRPr="007D35D4" w:rsidRDefault="00F306FA" w:rsidP="00F306FA">
      <w:pPr>
        <w:spacing w:after="0" w:line="276" w:lineRule="auto"/>
        <w:ind w:left="567" w:right="616"/>
        <w:rPr>
          <w:rFonts w:eastAsia="Palatino Linotype" w:cs="Palatino Linotype"/>
          <w:i/>
        </w:rPr>
      </w:pPr>
      <w:r w:rsidRPr="007D35D4">
        <w:rPr>
          <w:rFonts w:eastAsia="Palatino Linotype" w:cs="Palatino Linotype"/>
          <w:i/>
        </w:rPr>
        <w:t xml:space="preserve">I. Recabar, organizar, procesar y analizar la información estadística relativa a las actividades que realizan los órganos jurisdiccionales y unidades administrativas; </w:t>
      </w:r>
    </w:p>
    <w:p w14:paraId="2EDE5CE8" w14:textId="77777777" w:rsidR="00F306FA" w:rsidRPr="007D35D4" w:rsidRDefault="00F306FA" w:rsidP="00F306FA">
      <w:pPr>
        <w:spacing w:after="0" w:line="276" w:lineRule="auto"/>
        <w:ind w:left="567" w:right="616"/>
        <w:rPr>
          <w:rFonts w:eastAsia="Palatino Linotype" w:cs="Palatino Linotype"/>
          <w:i/>
        </w:rPr>
      </w:pPr>
      <w:r w:rsidRPr="007D35D4">
        <w:rPr>
          <w:rFonts w:eastAsia="Palatino Linotype" w:cs="Palatino Linotype"/>
          <w:i/>
        </w:rPr>
        <w:t xml:space="preserve">II. Contar con información actualizada que sirva para la toma de decisiones, promoviendo para su integración el empleo de la tecnología. </w:t>
      </w:r>
    </w:p>
    <w:p w14:paraId="239EFB10" w14:textId="77777777" w:rsidR="00F306FA" w:rsidRPr="007D35D4" w:rsidRDefault="00F306FA" w:rsidP="00F306FA">
      <w:pPr>
        <w:spacing w:after="0" w:line="276" w:lineRule="auto"/>
        <w:ind w:left="567" w:right="616"/>
        <w:rPr>
          <w:rFonts w:eastAsia="Palatino Linotype" w:cs="Palatino Linotype"/>
          <w:i/>
        </w:rPr>
      </w:pPr>
      <w:r w:rsidRPr="007D35D4">
        <w:rPr>
          <w:rFonts w:eastAsia="Palatino Linotype" w:cs="Palatino Linotype"/>
          <w:i/>
        </w:rPr>
        <w:t xml:space="preserve">III. Presentar al </w:t>
      </w:r>
      <w:proofErr w:type="gramStart"/>
      <w:r w:rsidRPr="007D35D4">
        <w:rPr>
          <w:rFonts w:eastAsia="Palatino Linotype" w:cs="Palatino Linotype"/>
          <w:i/>
        </w:rPr>
        <w:t>Director General</w:t>
      </w:r>
      <w:proofErr w:type="gramEnd"/>
      <w:r w:rsidRPr="007D35D4">
        <w:rPr>
          <w:rFonts w:eastAsia="Palatino Linotype" w:cs="Palatino Linotype"/>
          <w:i/>
        </w:rPr>
        <w:t xml:space="preserve"> de Finanzas y Planeación un informe mensual estadístico sobre el estado que guardan los órganos jurisdiccionales; </w:t>
      </w:r>
    </w:p>
    <w:p w14:paraId="251252EE" w14:textId="77777777" w:rsidR="00F306FA" w:rsidRPr="007D35D4" w:rsidRDefault="00F306FA" w:rsidP="00F306FA">
      <w:pPr>
        <w:spacing w:after="0" w:line="276" w:lineRule="auto"/>
        <w:ind w:left="567" w:right="616"/>
        <w:rPr>
          <w:rFonts w:eastAsia="Palatino Linotype" w:cs="Palatino Linotype"/>
          <w:i/>
        </w:rPr>
      </w:pPr>
      <w:r w:rsidRPr="007D35D4">
        <w:rPr>
          <w:rFonts w:eastAsia="Palatino Linotype" w:cs="Palatino Linotype"/>
          <w:i/>
        </w:rPr>
        <w:t xml:space="preserve">IV. Solicitar a los órganos jurisdiccionales y a las unidades administrativas del Poder Judicial, la información necesaria para el cumplimiento de sus funciones; </w:t>
      </w:r>
    </w:p>
    <w:p w14:paraId="4B043E31" w14:textId="77777777" w:rsidR="00F306FA" w:rsidRPr="007D35D4" w:rsidRDefault="00F306FA" w:rsidP="00F306FA">
      <w:pPr>
        <w:spacing w:after="0" w:line="276" w:lineRule="auto"/>
        <w:ind w:left="567" w:right="616"/>
        <w:rPr>
          <w:rFonts w:eastAsia="Palatino Linotype" w:cs="Palatino Linotype"/>
          <w:i/>
        </w:rPr>
      </w:pPr>
      <w:r w:rsidRPr="007D35D4">
        <w:rPr>
          <w:rFonts w:eastAsia="Palatino Linotype" w:cs="Palatino Linotype"/>
          <w:i/>
        </w:rPr>
        <w:t xml:space="preserve">V. </w:t>
      </w:r>
      <w:r w:rsidRPr="007D35D4">
        <w:rPr>
          <w:rFonts w:eastAsia="Palatino Linotype" w:cs="Palatino Linotype"/>
          <w:b/>
          <w:i/>
          <w:u w:val="single"/>
        </w:rPr>
        <w:t>Administrar las bases de datos estadísticos del área a su cargo</w:t>
      </w:r>
      <w:r w:rsidRPr="007D35D4">
        <w:rPr>
          <w:rFonts w:eastAsia="Palatino Linotype" w:cs="Palatino Linotype"/>
          <w:i/>
        </w:rPr>
        <w:t xml:space="preserve">; y </w:t>
      </w:r>
    </w:p>
    <w:p w14:paraId="7CD2AD72" w14:textId="77777777" w:rsidR="00F306FA" w:rsidRPr="007D35D4" w:rsidRDefault="00F306FA" w:rsidP="00F306FA">
      <w:pPr>
        <w:spacing w:after="0" w:line="276" w:lineRule="auto"/>
        <w:ind w:left="567" w:right="616"/>
        <w:rPr>
          <w:rFonts w:eastAsia="Palatino Linotype" w:cs="Palatino Linotype"/>
          <w:i/>
        </w:rPr>
      </w:pPr>
      <w:r w:rsidRPr="007D35D4">
        <w:rPr>
          <w:rFonts w:eastAsia="Palatino Linotype" w:cs="Palatino Linotype"/>
          <w:i/>
        </w:rPr>
        <w:t>VI. Las demás que se desprendan de las disposiciones legales aplicables y las que expresamente le sean conferidas por su superior jerárquico.</w:t>
      </w:r>
    </w:p>
    <w:p w14:paraId="040279C1" w14:textId="77777777" w:rsidR="00F306FA" w:rsidRPr="007D35D4" w:rsidRDefault="00F306FA" w:rsidP="00F306FA">
      <w:pPr>
        <w:spacing w:after="0" w:line="276" w:lineRule="auto"/>
        <w:ind w:left="851" w:right="616"/>
        <w:rPr>
          <w:rFonts w:eastAsia="Palatino Linotype" w:cs="Palatino Linotype"/>
          <w:i/>
        </w:rPr>
      </w:pPr>
    </w:p>
    <w:p w14:paraId="3954F1D7" w14:textId="77777777" w:rsidR="00F306FA" w:rsidRPr="007D35D4" w:rsidRDefault="00F306FA" w:rsidP="00F306FA">
      <w:pPr>
        <w:spacing w:after="0" w:line="360" w:lineRule="auto"/>
        <w:rPr>
          <w:rFonts w:eastAsia="Palatino Linotype" w:cs="Palatino Linotype"/>
          <w:sz w:val="24"/>
        </w:rPr>
      </w:pPr>
      <w:r w:rsidRPr="007D35D4">
        <w:rPr>
          <w:rFonts w:eastAsia="Palatino Linotype" w:cs="Palatino Linotype"/>
          <w:sz w:val="24"/>
        </w:rPr>
        <w:t xml:space="preserve">Asimismo, el Manual General de Organización del Consejo de la Judicatura del Estado de México establece como objetivo y funciones de la Dirección General de Innovación y Desarrollo Tecnológico, las siguientes: </w:t>
      </w:r>
    </w:p>
    <w:p w14:paraId="1736261F" w14:textId="77777777" w:rsidR="00F306FA" w:rsidRPr="007D35D4" w:rsidRDefault="00F306FA" w:rsidP="00F306FA">
      <w:pPr>
        <w:spacing w:after="0" w:line="360" w:lineRule="auto"/>
        <w:rPr>
          <w:rFonts w:eastAsia="Palatino Linotype" w:cs="Palatino Linotype"/>
        </w:rPr>
      </w:pPr>
    </w:p>
    <w:p w14:paraId="0ACE8FAA" w14:textId="77777777" w:rsidR="00F306FA" w:rsidRPr="007D35D4" w:rsidRDefault="00F306FA" w:rsidP="00F306FA">
      <w:pPr>
        <w:spacing w:after="0" w:line="276" w:lineRule="auto"/>
        <w:ind w:left="567" w:right="616"/>
        <w:rPr>
          <w:rFonts w:eastAsia="Palatino Linotype" w:cs="Palatino Linotype"/>
          <w:i/>
        </w:rPr>
      </w:pPr>
      <w:r w:rsidRPr="007D35D4">
        <w:rPr>
          <w:rFonts w:eastAsia="Palatino Linotype" w:cs="Palatino Linotype"/>
          <w:b/>
          <w:i/>
        </w:rPr>
        <w:t>3013D10000 DIRECCIÓN GENERAL DE INNOVACIÓN Y DESARROLLO TECNOLÓGICO</w:t>
      </w:r>
      <w:r w:rsidRPr="007D35D4">
        <w:rPr>
          <w:rFonts w:eastAsia="Palatino Linotype" w:cs="Palatino Linotype"/>
          <w:i/>
        </w:rPr>
        <w:t xml:space="preserve"> </w:t>
      </w:r>
    </w:p>
    <w:p w14:paraId="316A15F8" w14:textId="77777777" w:rsidR="00F306FA" w:rsidRPr="007D35D4" w:rsidRDefault="00F306FA" w:rsidP="00F306FA">
      <w:pPr>
        <w:spacing w:after="0" w:line="276" w:lineRule="auto"/>
        <w:ind w:left="567" w:right="616"/>
        <w:rPr>
          <w:rFonts w:eastAsia="Palatino Linotype" w:cs="Palatino Linotype"/>
          <w:i/>
        </w:rPr>
      </w:pPr>
      <w:r w:rsidRPr="007D35D4">
        <w:rPr>
          <w:rFonts w:eastAsia="Palatino Linotype" w:cs="Palatino Linotype"/>
          <w:b/>
          <w:i/>
        </w:rPr>
        <w:t>OBJETIVO:</w:t>
      </w:r>
      <w:r w:rsidRPr="007D35D4">
        <w:rPr>
          <w:rFonts w:eastAsia="Palatino Linotype" w:cs="Palatino Linotype"/>
          <w:i/>
        </w:rPr>
        <w:t xml:space="preserve"> Potencializar las tecnologías de información, a través de la implementación de proyectos que promuevan una cultura digital y de innovación orientada a mejorar la prestación del servicio, en beneficio de la sociedad mexiquense y de la propia Institución.</w:t>
      </w:r>
    </w:p>
    <w:p w14:paraId="4DD9A130" w14:textId="77777777" w:rsidR="00F306FA" w:rsidRPr="007D35D4" w:rsidRDefault="00F306FA" w:rsidP="00F306FA">
      <w:pPr>
        <w:spacing w:after="0" w:line="276" w:lineRule="auto"/>
        <w:ind w:left="567" w:right="616"/>
        <w:rPr>
          <w:rFonts w:eastAsia="Palatino Linotype" w:cs="Palatino Linotype"/>
          <w:i/>
        </w:rPr>
      </w:pPr>
      <w:r w:rsidRPr="007D35D4">
        <w:rPr>
          <w:rFonts w:eastAsia="Palatino Linotype" w:cs="Palatino Linotype"/>
          <w:b/>
          <w:i/>
        </w:rPr>
        <w:t>FUNCIONES:</w:t>
      </w:r>
      <w:r w:rsidRPr="007D35D4">
        <w:rPr>
          <w:rFonts w:eastAsia="Palatino Linotype" w:cs="Palatino Linotype"/>
          <w:i/>
        </w:rPr>
        <w:t xml:space="preserve"> </w:t>
      </w:r>
    </w:p>
    <w:p w14:paraId="31097CF7" w14:textId="77777777" w:rsidR="00F306FA" w:rsidRPr="007D35D4" w:rsidRDefault="00F306FA" w:rsidP="00F306FA">
      <w:pPr>
        <w:spacing w:after="0" w:line="276" w:lineRule="auto"/>
        <w:ind w:left="567" w:right="616"/>
        <w:rPr>
          <w:rFonts w:eastAsia="Palatino Linotype" w:cs="Palatino Linotype"/>
          <w:i/>
        </w:rPr>
      </w:pPr>
      <w:r w:rsidRPr="007D35D4">
        <w:rPr>
          <w:rFonts w:ascii="Noto Sans Symbols" w:eastAsia="Noto Sans Symbols" w:hAnsi="Noto Sans Symbols" w:cs="Noto Sans Symbols"/>
          <w:i/>
        </w:rPr>
        <w:t>−</w:t>
      </w:r>
      <w:r w:rsidRPr="007D35D4">
        <w:rPr>
          <w:rFonts w:eastAsia="Palatino Linotype" w:cs="Palatino Linotype"/>
          <w:i/>
        </w:rPr>
        <w:t xml:space="preserve"> Avalar los objetivos y metas que formarán parte de la Planificación Anual de Trabajo de la Dirección General, e informar de los avances y logros correspondientes. </w:t>
      </w:r>
    </w:p>
    <w:p w14:paraId="540BD0FE" w14:textId="77777777" w:rsidR="00F306FA" w:rsidRPr="007D35D4" w:rsidRDefault="00F306FA" w:rsidP="00F306FA">
      <w:pPr>
        <w:spacing w:after="0" w:line="276" w:lineRule="auto"/>
        <w:ind w:left="567" w:right="616"/>
        <w:rPr>
          <w:rFonts w:eastAsia="Palatino Linotype" w:cs="Palatino Linotype"/>
          <w:i/>
        </w:rPr>
      </w:pPr>
      <w:r w:rsidRPr="007D35D4">
        <w:rPr>
          <w:rFonts w:ascii="Noto Sans Symbols" w:eastAsia="Noto Sans Symbols" w:hAnsi="Noto Sans Symbols" w:cs="Noto Sans Symbols"/>
          <w:i/>
        </w:rPr>
        <w:t>−</w:t>
      </w:r>
      <w:r w:rsidRPr="007D35D4">
        <w:rPr>
          <w:rFonts w:eastAsia="Palatino Linotype" w:cs="Palatino Linotype"/>
          <w:i/>
        </w:rPr>
        <w:t xml:space="preserve"> Implementar los mecanismos necesarios que aseguren el funcionamiento de los sistemas de información Institucional, las comunicaciones, infraestructura y de las redes, mediante el desarrollo de proyectos de innovación y gestión tecnológica. </w:t>
      </w:r>
    </w:p>
    <w:p w14:paraId="645D8221" w14:textId="77777777" w:rsidR="00F306FA" w:rsidRPr="007D35D4" w:rsidRDefault="00F306FA" w:rsidP="00F306FA">
      <w:pPr>
        <w:spacing w:after="0" w:line="276" w:lineRule="auto"/>
        <w:ind w:left="567" w:right="616"/>
        <w:rPr>
          <w:rFonts w:eastAsia="Palatino Linotype" w:cs="Palatino Linotype"/>
          <w:i/>
        </w:rPr>
      </w:pPr>
      <w:r w:rsidRPr="007D35D4">
        <w:rPr>
          <w:rFonts w:ascii="Noto Sans Symbols" w:eastAsia="Noto Sans Symbols" w:hAnsi="Noto Sans Symbols" w:cs="Noto Sans Symbols"/>
          <w:i/>
        </w:rPr>
        <w:t>−</w:t>
      </w:r>
      <w:r w:rsidRPr="007D35D4">
        <w:rPr>
          <w:rFonts w:eastAsia="Palatino Linotype" w:cs="Palatino Linotype"/>
          <w:i/>
        </w:rPr>
        <w:t xml:space="preserve"> Coordinar las acciones pertinentes para desarrollar, instrumentar y mantener en operación todos los servicios informáticos e infraestructura tecnológica y de comunicaciones de la Institución. </w:t>
      </w:r>
    </w:p>
    <w:p w14:paraId="72560E5E" w14:textId="77777777" w:rsidR="00F306FA" w:rsidRPr="007D35D4" w:rsidRDefault="00F306FA" w:rsidP="00F306FA">
      <w:pPr>
        <w:spacing w:after="0" w:line="276" w:lineRule="auto"/>
        <w:ind w:left="567" w:right="616"/>
        <w:rPr>
          <w:rFonts w:eastAsia="Palatino Linotype" w:cs="Palatino Linotype"/>
          <w:i/>
        </w:rPr>
      </w:pPr>
      <w:r w:rsidRPr="007D35D4">
        <w:rPr>
          <w:rFonts w:ascii="Noto Sans Symbols" w:eastAsia="Noto Sans Symbols" w:hAnsi="Noto Sans Symbols" w:cs="Noto Sans Symbols"/>
          <w:i/>
        </w:rPr>
        <w:lastRenderedPageBreak/>
        <w:t>−</w:t>
      </w:r>
      <w:r w:rsidRPr="007D35D4">
        <w:rPr>
          <w:rFonts w:eastAsia="Palatino Linotype" w:cs="Palatino Linotype"/>
          <w:i/>
        </w:rPr>
        <w:t xml:space="preserve"> Dirigir el diseño y desarrollo de acciones y proyectos destinados a optimizar los recursos de la Institución por medio de nuevas tecnologías. </w:t>
      </w:r>
    </w:p>
    <w:p w14:paraId="6A7218F1" w14:textId="77777777" w:rsidR="00F306FA" w:rsidRPr="007D35D4" w:rsidRDefault="00F306FA" w:rsidP="00F306FA">
      <w:pPr>
        <w:spacing w:after="0" w:line="276" w:lineRule="auto"/>
        <w:ind w:left="567" w:right="616"/>
        <w:rPr>
          <w:rFonts w:eastAsia="Palatino Linotype" w:cs="Palatino Linotype"/>
          <w:i/>
        </w:rPr>
      </w:pPr>
      <w:r w:rsidRPr="007D35D4">
        <w:rPr>
          <w:rFonts w:ascii="Noto Sans Symbols" w:eastAsia="Noto Sans Symbols" w:hAnsi="Noto Sans Symbols" w:cs="Noto Sans Symbols"/>
          <w:i/>
        </w:rPr>
        <w:t>−</w:t>
      </w:r>
      <w:r w:rsidRPr="007D35D4">
        <w:rPr>
          <w:rFonts w:eastAsia="Palatino Linotype" w:cs="Palatino Linotype"/>
          <w:i/>
        </w:rPr>
        <w:t xml:space="preserve"> Definir las estrategias e instrumentos orientados a la gestión de proyectos de innovación tecnológica. </w:t>
      </w:r>
    </w:p>
    <w:p w14:paraId="3633CBDD" w14:textId="77777777" w:rsidR="00F306FA" w:rsidRPr="007D35D4" w:rsidRDefault="00F306FA" w:rsidP="00F306FA">
      <w:pPr>
        <w:spacing w:after="0" w:line="276" w:lineRule="auto"/>
        <w:ind w:left="567" w:right="616"/>
        <w:rPr>
          <w:rFonts w:eastAsia="Palatino Linotype" w:cs="Palatino Linotype"/>
          <w:i/>
        </w:rPr>
      </w:pPr>
      <w:r w:rsidRPr="007D35D4">
        <w:rPr>
          <w:rFonts w:ascii="Noto Sans Symbols" w:eastAsia="Noto Sans Symbols" w:hAnsi="Noto Sans Symbols" w:cs="Noto Sans Symbols"/>
          <w:i/>
        </w:rPr>
        <w:t>−</w:t>
      </w:r>
      <w:r w:rsidRPr="007D35D4">
        <w:rPr>
          <w:rFonts w:eastAsia="Palatino Linotype" w:cs="Palatino Linotype"/>
          <w:i/>
        </w:rPr>
        <w:t xml:space="preserve"> Definir y evaluar las políticas, planes, programas y proyectos tecnológicos que coadyuven al desarrollo de las funciones de los órganos jurisdiccionales y unidades administrativas del Poder Judicial. </w:t>
      </w:r>
    </w:p>
    <w:p w14:paraId="7C20AFDA" w14:textId="77777777" w:rsidR="00F306FA" w:rsidRPr="007D35D4" w:rsidRDefault="00F306FA" w:rsidP="00F306FA">
      <w:pPr>
        <w:spacing w:after="0" w:line="276" w:lineRule="auto"/>
        <w:ind w:left="567" w:right="616"/>
        <w:rPr>
          <w:rFonts w:eastAsia="Palatino Linotype" w:cs="Palatino Linotype"/>
          <w:i/>
        </w:rPr>
      </w:pPr>
      <w:r w:rsidRPr="007D35D4">
        <w:rPr>
          <w:rFonts w:ascii="Noto Sans Symbols" w:eastAsia="Noto Sans Symbols" w:hAnsi="Noto Sans Symbols" w:cs="Noto Sans Symbols"/>
          <w:i/>
        </w:rPr>
        <w:t>−</w:t>
      </w:r>
      <w:r w:rsidRPr="007D35D4">
        <w:rPr>
          <w:rFonts w:eastAsia="Palatino Linotype" w:cs="Palatino Linotype"/>
          <w:i/>
        </w:rPr>
        <w:t xml:space="preserve"> Promover intercambios con otros Poderes Judiciales del país y del extranjero, con el fin de compartir experiencias relativas a avances tecnológicos e informáticos. </w:t>
      </w:r>
      <w:r w:rsidRPr="007D35D4">
        <w:rPr>
          <w:rFonts w:ascii="Noto Sans Symbols" w:eastAsia="Noto Sans Symbols" w:hAnsi="Noto Sans Symbols" w:cs="Noto Sans Symbols"/>
          <w:i/>
        </w:rPr>
        <w:t>−</w:t>
      </w:r>
      <w:r w:rsidRPr="007D35D4">
        <w:rPr>
          <w:rFonts w:eastAsia="Palatino Linotype" w:cs="Palatino Linotype"/>
          <w:i/>
        </w:rPr>
        <w:t xml:space="preserve"> Aprobar solicitudes y/o necesidades de soporte, desarrollo tecnológico, innovación, y/o gestión de medios tecnológicos de los órganos jurisdiccionales y unidades administrativas del Poder Judicial.</w:t>
      </w:r>
    </w:p>
    <w:p w14:paraId="0D0744D8" w14:textId="77777777" w:rsidR="00F306FA" w:rsidRPr="007D35D4" w:rsidRDefault="00F306FA" w:rsidP="00F306FA">
      <w:pPr>
        <w:spacing w:after="0" w:line="276" w:lineRule="auto"/>
        <w:ind w:left="567" w:right="616"/>
        <w:rPr>
          <w:rFonts w:eastAsia="Palatino Linotype" w:cs="Palatino Linotype"/>
          <w:i/>
        </w:rPr>
      </w:pPr>
      <w:r w:rsidRPr="007D35D4">
        <w:rPr>
          <w:rFonts w:ascii="Noto Sans Symbols" w:eastAsia="Noto Sans Symbols" w:hAnsi="Noto Sans Symbols" w:cs="Noto Sans Symbols"/>
          <w:i/>
        </w:rPr>
        <w:t>−</w:t>
      </w:r>
      <w:r w:rsidRPr="007D35D4">
        <w:rPr>
          <w:rFonts w:eastAsia="Palatino Linotype" w:cs="Palatino Linotype"/>
          <w:i/>
        </w:rPr>
        <w:t xml:space="preserve"> Analizar, estudiar y determinar conjuntamente con las Direcciones de Tecnologías de Información y de Innovación Tecnológica, los objetivos, políticas y estrategias a implementar para la operación de las unidades administrativas bajo su adscripción. </w:t>
      </w:r>
    </w:p>
    <w:p w14:paraId="7427E8A6" w14:textId="7A6DF3E8" w:rsidR="00197AEB" w:rsidRPr="007D35D4" w:rsidRDefault="00F306FA" w:rsidP="00F306FA">
      <w:pPr>
        <w:spacing w:after="0" w:line="276" w:lineRule="auto"/>
        <w:ind w:left="567" w:right="616"/>
        <w:rPr>
          <w:rFonts w:eastAsia="Times New Roman" w:cs="Tahoma"/>
          <w:bCs/>
          <w:iCs/>
          <w:color w:val="auto"/>
          <w:sz w:val="24"/>
          <w:szCs w:val="24"/>
          <w:lang w:eastAsia="es-ES"/>
        </w:rPr>
      </w:pPr>
      <w:r w:rsidRPr="007D35D4">
        <w:rPr>
          <w:rFonts w:ascii="Noto Sans Symbols" w:eastAsia="Noto Sans Symbols" w:hAnsi="Noto Sans Symbols" w:cs="Noto Sans Symbols"/>
          <w:i/>
        </w:rPr>
        <w:t>−</w:t>
      </w:r>
      <w:r w:rsidRPr="007D35D4">
        <w:rPr>
          <w:rFonts w:eastAsia="Palatino Linotype" w:cs="Palatino Linotype"/>
          <w:i/>
        </w:rPr>
        <w:t xml:space="preserve"> Desarrollar las demás funciones inherentes al área de su competencia.</w:t>
      </w:r>
      <w:r w:rsidR="00197AEB" w:rsidRPr="007D35D4">
        <w:rPr>
          <w:rFonts w:eastAsia="Times New Roman" w:cs="Tahoma"/>
          <w:bCs/>
          <w:iCs/>
          <w:color w:val="auto"/>
          <w:sz w:val="24"/>
          <w:szCs w:val="24"/>
          <w:lang w:eastAsia="es-ES"/>
        </w:rPr>
        <w:t xml:space="preserve"> </w:t>
      </w:r>
    </w:p>
    <w:p w14:paraId="43536934" w14:textId="77777777" w:rsidR="00F306FA" w:rsidRPr="007D35D4" w:rsidRDefault="00F306FA" w:rsidP="00F306FA">
      <w:pPr>
        <w:spacing w:after="0" w:line="276" w:lineRule="auto"/>
        <w:ind w:left="567" w:right="616"/>
        <w:rPr>
          <w:rFonts w:eastAsia="Palatino Linotype" w:cs="Palatino Linotype"/>
          <w:i/>
        </w:rPr>
      </w:pPr>
    </w:p>
    <w:p w14:paraId="18EC2036" w14:textId="6AE4448D" w:rsidR="00B04582" w:rsidRPr="007D35D4" w:rsidRDefault="00197AEB"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 xml:space="preserve">Por otro lado, en lo que respecta al acceso a expedientes jurisdiccionales, el Sujeto Obligado sostuvo que la información </w:t>
      </w:r>
      <w:r w:rsidR="00630576" w:rsidRPr="007D35D4">
        <w:rPr>
          <w:rFonts w:eastAsia="Times New Roman" w:cs="Tahoma"/>
          <w:bCs/>
          <w:iCs/>
          <w:color w:val="auto"/>
          <w:sz w:val="24"/>
          <w:szCs w:val="24"/>
          <w:lang w:eastAsia="es-ES"/>
        </w:rPr>
        <w:t>solicitada era confidencial</w:t>
      </w:r>
      <w:r w:rsidR="00755741" w:rsidRPr="007D35D4">
        <w:rPr>
          <w:rFonts w:eastAsia="Times New Roman" w:cs="Tahoma"/>
          <w:bCs/>
          <w:iCs/>
          <w:color w:val="auto"/>
          <w:sz w:val="24"/>
          <w:szCs w:val="24"/>
          <w:lang w:eastAsia="es-ES"/>
        </w:rPr>
        <w:t>,</w:t>
      </w:r>
      <w:r w:rsidRPr="007D35D4">
        <w:rPr>
          <w:rFonts w:eastAsia="Times New Roman" w:cs="Tahoma"/>
          <w:bCs/>
          <w:iCs/>
          <w:color w:val="auto"/>
          <w:sz w:val="24"/>
          <w:szCs w:val="24"/>
          <w:lang w:eastAsia="es-ES"/>
        </w:rPr>
        <w:t xml:space="preserve"> por lo que, no se podía p</w:t>
      </w:r>
      <w:r w:rsidR="00755741" w:rsidRPr="007D35D4">
        <w:rPr>
          <w:rFonts w:eastAsia="Times New Roman" w:cs="Tahoma"/>
          <w:bCs/>
          <w:iCs/>
          <w:color w:val="auto"/>
          <w:sz w:val="24"/>
          <w:szCs w:val="24"/>
          <w:lang w:eastAsia="es-ES"/>
        </w:rPr>
        <w:t>roporcionar la información en los términos solicitados, ya que se vulneraría la protección de datos personales</w:t>
      </w:r>
      <w:r w:rsidR="00630576" w:rsidRPr="007D35D4">
        <w:rPr>
          <w:rFonts w:eastAsia="Times New Roman" w:cs="Tahoma"/>
          <w:bCs/>
          <w:iCs/>
          <w:color w:val="auto"/>
          <w:sz w:val="24"/>
          <w:szCs w:val="24"/>
          <w:lang w:eastAsia="es-ES"/>
        </w:rPr>
        <w:t>; s</w:t>
      </w:r>
      <w:r w:rsidR="00300A5B" w:rsidRPr="007D35D4">
        <w:rPr>
          <w:rFonts w:eastAsia="Times New Roman" w:cs="Tahoma"/>
          <w:bCs/>
          <w:iCs/>
          <w:color w:val="auto"/>
          <w:sz w:val="24"/>
          <w:szCs w:val="24"/>
          <w:lang w:eastAsia="es-ES"/>
        </w:rPr>
        <w:t>obre</w:t>
      </w:r>
      <w:r w:rsidR="00B04582" w:rsidRPr="007D35D4">
        <w:rPr>
          <w:rFonts w:eastAsia="Times New Roman" w:cs="Tahoma"/>
          <w:iCs/>
          <w:color w:val="auto"/>
          <w:sz w:val="24"/>
          <w:szCs w:val="24"/>
          <w:lang w:eastAsia="es-ES"/>
        </w:rPr>
        <w:t xml:space="preserve"> el tema, el artículo 20 de la Ley de Transparencia y Acceso a la Información Pública del Estado de México y Municipios, establece que, </w:t>
      </w:r>
      <w:r w:rsidR="00B04582" w:rsidRPr="007D35D4">
        <w:rPr>
          <w:rFonts w:eastAsia="Times New Roman" w:cs="Tahoma"/>
          <w:b/>
          <w:iCs/>
          <w:color w:val="auto"/>
          <w:sz w:val="24"/>
          <w:szCs w:val="24"/>
          <w:lang w:eastAsia="es-ES"/>
        </w:rPr>
        <w:t>ante la negativa de acceso a la información o su inexistencia, el sujeto obligado deberá demostrar que encuentra en alguna de las excepciones establecidas en la normatividad aplicable.</w:t>
      </w:r>
    </w:p>
    <w:p w14:paraId="359C71C3" w14:textId="77777777" w:rsidR="00B04582" w:rsidRPr="007D35D4" w:rsidRDefault="00B04582" w:rsidP="00F40D32">
      <w:pPr>
        <w:spacing w:after="0" w:line="360" w:lineRule="auto"/>
        <w:rPr>
          <w:rFonts w:eastAsia="Times New Roman" w:cs="Tahoma"/>
          <w:bCs/>
          <w:iCs/>
          <w:color w:val="auto"/>
          <w:sz w:val="24"/>
          <w:szCs w:val="24"/>
          <w:lang w:eastAsia="es-ES"/>
        </w:rPr>
      </w:pPr>
    </w:p>
    <w:p w14:paraId="4DC51DE1" w14:textId="77777777" w:rsidR="00B04582" w:rsidRPr="007D35D4" w:rsidRDefault="00B04582"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 xml:space="preserve">En ese sentido, según Trujillo, Humberto (2019), en el “Diccionario de Transparencia y Acceso a la Información Pública” (p. 201), </w:t>
      </w:r>
      <w:r w:rsidRPr="007D35D4">
        <w:rPr>
          <w:rFonts w:eastAsia="Times New Roman" w:cs="Tahoma"/>
          <w:b/>
          <w:bCs/>
          <w:iCs/>
          <w:color w:val="auto"/>
          <w:sz w:val="24"/>
          <w:szCs w:val="24"/>
          <w:lang w:eastAsia="es-ES"/>
        </w:rPr>
        <w:t xml:space="preserve">la negativa de acceso a la información </w:t>
      </w:r>
      <w:r w:rsidRPr="007D35D4">
        <w:rPr>
          <w:rFonts w:eastAsia="Times New Roman" w:cs="Tahoma"/>
          <w:bCs/>
          <w:iCs/>
          <w:color w:val="auto"/>
          <w:sz w:val="24"/>
          <w:szCs w:val="24"/>
          <w:lang w:eastAsia="es-ES"/>
        </w:rPr>
        <w:lastRenderedPageBreak/>
        <w:t xml:space="preserve">ocurre cuanto de manera fundada y motivada, una autoridad la niega o la limita, por alguna de las siguientes razones: </w:t>
      </w:r>
    </w:p>
    <w:p w14:paraId="1E182AFD" w14:textId="77777777" w:rsidR="00B04582" w:rsidRPr="007D35D4" w:rsidRDefault="00B04582" w:rsidP="00F40D32">
      <w:pPr>
        <w:spacing w:after="0" w:line="360" w:lineRule="auto"/>
        <w:rPr>
          <w:rFonts w:eastAsia="Times New Roman" w:cs="Tahoma"/>
          <w:bCs/>
          <w:iCs/>
          <w:color w:val="auto"/>
          <w:sz w:val="24"/>
          <w:szCs w:val="24"/>
          <w:lang w:eastAsia="es-ES"/>
        </w:rPr>
      </w:pPr>
    </w:p>
    <w:p w14:paraId="51094522" w14:textId="5D807754" w:rsidR="00B04582" w:rsidRPr="007D35D4" w:rsidRDefault="00B04582" w:rsidP="00F40D32">
      <w:pPr>
        <w:numPr>
          <w:ilvl w:val="0"/>
          <w:numId w:val="23"/>
        </w:numPr>
        <w:spacing w:after="0" w:line="360" w:lineRule="auto"/>
        <w:rPr>
          <w:rFonts w:eastAsia="Times New Roman" w:cs="Tahoma"/>
          <w:b/>
          <w:bCs/>
          <w:iCs/>
          <w:color w:val="auto"/>
          <w:szCs w:val="24"/>
          <w:lang w:eastAsia="es-ES"/>
        </w:rPr>
      </w:pPr>
      <w:r w:rsidRPr="007D35D4">
        <w:rPr>
          <w:rFonts w:eastAsia="Times New Roman" w:cs="Tahoma"/>
          <w:b/>
          <w:bCs/>
          <w:iCs/>
          <w:color w:val="auto"/>
          <w:szCs w:val="24"/>
          <w:lang w:eastAsia="es-ES"/>
        </w:rPr>
        <w:t xml:space="preserve">La inexistencia de la información (p. 171): </w:t>
      </w:r>
      <w:r w:rsidRPr="007D35D4">
        <w:rPr>
          <w:rFonts w:eastAsia="Times New Roman" w:cs="Tahoma"/>
          <w:bCs/>
          <w:iCs/>
          <w:color w:val="auto"/>
          <w:szCs w:val="24"/>
          <w:lang w:eastAsia="es-ES"/>
        </w:rPr>
        <w:t>Sucede cuando la información solicitada no se encuentra en los archivos públicos o clasificados de los entes sujet</w:t>
      </w:r>
      <w:r w:rsidR="00755741" w:rsidRPr="007D35D4">
        <w:rPr>
          <w:rFonts w:eastAsia="Times New Roman" w:cs="Tahoma"/>
          <w:bCs/>
          <w:iCs/>
          <w:color w:val="auto"/>
          <w:szCs w:val="24"/>
          <w:lang w:eastAsia="es-ES"/>
        </w:rPr>
        <w:t>os a las Leyes de Transparencia.</w:t>
      </w:r>
    </w:p>
    <w:p w14:paraId="0CCBCB57" w14:textId="283262FF" w:rsidR="00B04582" w:rsidRPr="007D35D4" w:rsidRDefault="00B04582" w:rsidP="00F40D32">
      <w:pPr>
        <w:numPr>
          <w:ilvl w:val="0"/>
          <w:numId w:val="23"/>
        </w:numPr>
        <w:spacing w:after="0" w:line="360" w:lineRule="auto"/>
        <w:rPr>
          <w:rFonts w:eastAsia="Times New Roman" w:cs="Tahoma"/>
          <w:b/>
          <w:bCs/>
          <w:iCs/>
          <w:color w:val="auto"/>
          <w:szCs w:val="24"/>
          <w:lang w:eastAsia="es-ES"/>
        </w:rPr>
      </w:pPr>
      <w:r w:rsidRPr="007D35D4">
        <w:rPr>
          <w:rFonts w:eastAsia="Times New Roman" w:cs="Tahoma"/>
          <w:b/>
          <w:bCs/>
          <w:iCs/>
          <w:color w:val="auto"/>
          <w:szCs w:val="24"/>
          <w:lang w:eastAsia="es-ES"/>
        </w:rPr>
        <w:t xml:space="preserve">La incompetencia del Sujeto Obligado (p. 171): </w:t>
      </w:r>
      <w:r w:rsidRPr="007D35D4">
        <w:rPr>
          <w:rFonts w:eastAsia="Times New Roman" w:cs="Tahoma"/>
          <w:bCs/>
          <w:iCs/>
          <w:color w:val="auto"/>
          <w:szCs w:val="24"/>
          <w:lang w:eastAsia="es-ES"/>
        </w:rPr>
        <w:t>Ocurre cuando el Sujeto Obligado carece de atribuciones para poseer la información peticionada.</w:t>
      </w:r>
    </w:p>
    <w:p w14:paraId="01447CAF" w14:textId="77777777" w:rsidR="00B04582" w:rsidRPr="007D35D4" w:rsidRDefault="00B04582" w:rsidP="00F40D32">
      <w:pPr>
        <w:numPr>
          <w:ilvl w:val="0"/>
          <w:numId w:val="23"/>
        </w:numPr>
        <w:spacing w:after="0" w:line="360" w:lineRule="auto"/>
        <w:rPr>
          <w:rFonts w:eastAsia="Times New Roman" w:cs="Tahoma"/>
          <w:b/>
          <w:bCs/>
          <w:iCs/>
          <w:color w:val="auto"/>
          <w:szCs w:val="24"/>
          <w:lang w:eastAsia="es-ES"/>
        </w:rPr>
      </w:pPr>
      <w:r w:rsidRPr="007D35D4">
        <w:rPr>
          <w:rFonts w:eastAsia="Times New Roman" w:cs="Tahoma"/>
          <w:b/>
          <w:bCs/>
          <w:iCs/>
          <w:color w:val="auto"/>
          <w:szCs w:val="24"/>
          <w:lang w:eastAsia="es-ES"/>
        </w:rPr>
        <w:t xml:space="preserve">La clasificación de la información (p. 70): </w:t>
      </w:r>
      <w:r w:rsidRPr="007D35D4">
        <w:rPr>
          <w:rFonts w:eastAsia="Times New Roman" w:cs="Tahoma"/>
          <w:bCs/>
          <w:iCs/>
          <w:color w:val="auto"/>
          <w:szCs w:val="24"/>
          <w:lang w:eastAsia="es-ES"/>
        </w:rPr>
        <w:t>Es el proceso o conjunto de acciones que realizan los sujetos obligados para establecer que determinada información se encuentra en alguno de los supuestos de reserva o confidencialidad establecidos en la legislación en materia de transparencia.</w:t>
      </w:r>
    </w:p>
    <w:p w14:paraId="3B700244" w14:textId="77777777" w:rsidR="00B04582" w:rsidRPr="007D35D4" w:rsidRDefault="00B04582" w:rsidP="00F40D32">
      <w:pPr>
        <w:spacing w:after="0" w:line="360" w:lineRule="auto"/>
        <w:rPr>
          <w:rFonts w:eastAsia="Times New Roman" w:cs="Tahoma"/>
          <w:iCs/>
          <w:color w:val="auto"/>
          <w:sz w:val="24"/>
          <w:szCs w:val="24"/>
          <w:lang w:eastAsia="es-ES"/>
        </w:rPr>
      </w:pPr>
    </w:p>
    <w:p w14:paraId="5313C97D" w14:textId="77777777" w:rsidR="00B04582" w:rsidRPr="007D35D4" w:rsidRDefault="00B04582" w:rsidP="00F40D32">
      <w:pPr>
        <w:spacing w:after="0" w:line="360" w:lineRule="auto"/>
        <w:rPr>
          <w:rFonts w:eastAsia="Times New Roman" w:cs="Tahoma"/>
          <w:bCs/>
          <w:iCs/>
          <w:color w:val="auto"/>
          <w:sz w:val="24"/>
          <w:szCs w:val="24"/>
          <w:lang w:val="es-ES" w:eastAsia="es-ES"/>
        </w:rPr>
      </w:pPr>
      <w:r w:rsidRPr="007D35D4">
        <w:rPr>
          <w:rFonts w:eastAsia="Times New Roman" w:cs="Tahoma"/>
          <w:iCs/>
          <w:color w:val="auto"/>
          <w:sz w:val="24"/>
          <w:szCs w:val="24"/>
          <w:lang w:eastAsia="es-ES"/>
        </w:rPr>
        <w:t>Conforme a lo anterior, es de señalar que l</w:t>
      </w:r>
      <w:r w:rsidRPr="007D35D4">
        <w:rPr>
          <w:rFonts w:eastAsia="Times New Roman" w:cs="Tahoma"/>
          <w:iCs/>
          <w:color w:val="auto"/>
          <w:sz w:val="24"/>
          <w:szCs w:val="24"/>
          <w:lang w:val="es-ES" w:eastAsia="es-ES"/>
        </w:rPr>
        <w:t xml:space="preserve">as </w:t>
      </w:r>
      <w:r w:rsidRPr="007D35D4">
        <w:rPr>
          <w:rFonts w:eastAsia="Times New Roman" w:cs="Tahoma"/>
          <w:bCs/>
          <w:iCs/>
          <w:color w:val="auto"/>
          <w:sz w:val="24"/>
          <w:szCs w:val="24"/>
          <w:lang w:val="es-ES" w:eastAsia="es-ES"/>
        </w:rPr>
        <w:t xml:space="preserve">excepciones al derecho de acceso a la información, consisten en que </w:t>
      </w:r>
      <w:r w:rsidRPr="007D35D4">
        <w:rPr>
          <w:rFonts w:eastAsia="Times New Roman" w:cs="Tahoma"/>
          <w:b/>
          <w:iCs/>
          <w:color w:val="auto"/>
          <w:sz w:val="24"/>
          <w:szCs w:val="24"/>
          <w:lang w:val="es-ES" w:eastAsia="es-ES"/>
        </w:rPr>
        <w:t>la documentación sea inexistente, obre en los archivos, pero se encuentre clasificada, o bien, el Sujeto Obligado sea incompetente</w:t>
      </w:r>
      <w:r w:rsidRPr="007D35D4">
        <w:rPr>
          <w:rFonts w:eastAsia="Times New Roman" w:cs="Tahoma"/>
          <w:bCs/>
          <w:iCs/>
          <w:color w:val="auto"/>
          <w:sz w:val="24"/>
          <w:szCs w:val="24"/>
          <w:lang w:val="es-ES" w:eastAsia="es-ES"/>
        </w:rPr>
        <w:t xml:space="preserve"> para contar con esta; esto es, la negativa de acceso a la información, recae cuando la documentación no se encuentre en los archivos del sujeto obligado, o bien exista, pero no pueda proporcionarse por contener datos </w:t>
      </w:r>
      <w:r w:rsidRPr="007D35D4">
        <w:rPr>
          <w:rFonts w:eastAsia="Times New Roman" w:cs="Tahoma"/>
          <w:b/>
          <w:bCs/>
          <w:iCs/>
          <w:color w:val="auto"/>
          <w:sz w:val="24"/>
          <w:szCs w:val="24"/>
          <w:lang w:val="es-ES" w:eastAsia="es-ES"/>
        </w:rPr>
        <w:t>confidenciales o reservados.</w:t>
      </w:r>
    </w:p>
    <w:p w14:paraId="39259D19" w14:textId="77777777" w:rsidR="00B04582" w:rsidRPr="007D35D4" w:rsidRDefault="00B04582" w:rsidP="00F40D32">
      <w:pPr>
        <w:spacing w:after="0" w:line="360" w:lineRule="auto"/>
        <w:rPr>
          <w:rFonts w:eastAsia="Times New Roman" w:cs="Tahoma"/>
          <w:bCs/>
          <w:iCs/>
          <w:color w:val="auto"/>
          <w:sz w:val="24"/>
          <w:szCs w:val="24"/>
          <w:lang w:val="es-ES" w:eastAsia="es-ES"/>
        </w:rPr>
      </w:pPr>
    </w:p>
    <w:p w14:paraId="73089601" w14:textId="095DA5B0" w:rsidR="00B04582" w:rsidRPr="007D35D4" w:rsidRDefault="00B04582" w:rsidP="00F40D32">
      <w:pPr>
        <w:spacing w:after="0" w:line="360" w:lineRule="auto"/>
        <w:rPr>
          <w:rFonts w:eastAsia="Times New Roman" w:cs="Tahoma"/>
          <w:iCs/>
          <w:color w:val="auto"/>
          <w:sz w:val="24"/>
          <w:szCs w:val="24"/>
          <w:lang w:val="es-ES" w:eastAsia="es-ES"/>
        </w:rPr>
      </w:pPr>
      <w:r w:rsidRPr="007D35D4">
        <w:rPr>
          <w:rFonts w:eastAsia="Times New Roman" w:cs="Tahoma"/>
          <w:bCs/>
          <w:iCs/>
          <w:color w:val="auto"/>
          <w:sz w:val="24"/>
          <w:szCs w:val="24"/>
          <w:lang w:val="es-ES" w:eastAsia="es-ES"/>
        </w:rPr>
        <w:t xml:space="preserve">En ese contexto, </w:t>
      </w:r>
      <w:r w:rsidR="00755741" w:rsidRPr="007D35D4">
        <w:rPr>
          <w:rFonts w:eastAsia="Times New Roman" w:cs="Tahoma"/>
          <w:bCs/>
          <w:iCs/>
          <w:color w:val="auto"/>
          <w:sz w:val="24"/>
          <w:szCs w:val="24"/>
          <w:lang w:val="es-ES" w:eastAsia="es-ES"/>
        </w:rPr>
        <w:t>en lo que respecta al pronunciamiento hecho valer por el Sujeto Obligado relacionado con que la información era confidencial</w:t>
      </w:r>
      <w:r w:rsidRPr="007D35D4">
        <w:rPr>
          <w:rFonts w:eastAsia="Times New Roman" w:cs="Tahoma"/>
          <w:bCs/>
          <w:iCs/>
          <w:color w:val="auto"/>
          <w:sz w:val="24"/>
          <w:szCs w:val="24"/>
          <w:lang w:val="es-ES" w:eastAsia="es-ES"/>
        </w:rPr>
        <w:t>;</w:t>
      </w:r>
      <w:r w:rsidR="00755741" w:rsidRPr="007D35D4">
        <w:rPr>
          <w:rFonts w:eastAsia="Times New Roman" w:cs="Tahoma"/>
          <w:bCs/>
          <w:iCs/>
          <w:color w:val="auto"/>
          <w:sz w:val="24"/>
          <w:szCs w:val="24"/>
          <w:lang w:val="es-ES" w:eastAsia="es-ES"/>
        </w:rPr>
        <w:t xml:space="preserve"> es necesario mencionar que</w:t>
      </w:r>
      <w:r w:rsidRPr="007D35D4">
        <w:rPr>
          <w:rFonts w:eastAsia="Times New Roman" w:cs="Tahoma"/>
          <w:bCs/>
          <w:iCs/>
          <w:color w:val="auto"/>
          <w:sz w:val="24"/>
          <w:szCs w:val="24"/>
          <w:lang w:val="es-ES" w:eastAsia="es-ES"/>
        </w:rPr>
        <w:t xml:space="preserve">, </w:t>
      </w:r>
      <w:r w:rsidRPr="007D35D4">
        <w:rPr>
          <w:rFonts w:eastAsia="Times New Roman" w:cs="Tahoma"/>
          <w:iCs/>
          <w:color w:val="auto"/>
          <w:sz w:val="24"/>
          <w:szCs w:val="24"/>
          <w:lang w:eastAsia="es-ES"/>
        </w:rPr>
        <w:t xml:space="preserve">en los artículos 100, 103 y 105 de la Ley General de Transparencia y Acceso a la Información Pública y los diversos 122, 128 y 130 de la Ley Transparencia y Acceso a la Información Pública del Estado de México y Municipios, se prevé que </w:t>
      </w:r>
      <w:r w:rsidRPr="007D35D4">
        <w:rPr>
          <w:rFonts w:eastAsia="Times New Roman" w:cs="Tahoma"/>
          <w:b/>
          <w:iCs/>
          <w:color w:val="auto"/>
          <w:sz w:val="24"/>
          <w:szCs w:val="24"/>
          <w:lang w:eastAsia="es-ES"/>
        </w:rPr>
        <w:t xml:space="preserve">la </w:t>
      </w:r>
      <w:r w:rsidRPr="007D35D4">
        <w:rPr>
          <w:rFonts w:eastAsia="Times New Roman" w:cs="Tahoma"/>
          <w:b/>
          <w:iCs/>
          <w:color w:val="auto"/>
          <w:sz w:val="24"/>
          <w:szCs w:val="24"/>
          <w:lang w:eastAsia="es-ES"/>
        </w:rPr>
        <w:lastRenderedPageBreak/>
        <w:t xml:space="preserve">clasificación </w:t>
      </w:r>
      <w:r w:rsidRPr="007D35D4">
        <w:rPr>
          <w:rFonts w:eastAsia="Times New Roman" w:cs="Tahoma"/>
          <w:iCs/>
          <w:color w:val="auto"/>
          <w:sz w:val="24"/>
          <w:szCs w:val="24"/>
          <w:lang w:eastAsia="es-ES"/>
        </w:rPr>
        <w:t xml:space="preserve">es el proceso mediante el cual los sujetos obligados determinan que la información en su poder, actualiza alguno de los supuestos de reserva o confidencialidad. </w:t>
      </w:r>
      <w:r w:rsidRPr="007D35D4">
        <w:rPr>
          <w:rFonts w:eastAsia="Times New Roman" w:cs="Tahoma"/>
          <w:iCs/>
          <w:color w:val="auto"/>
          <w:sz w:val="24"/>
          <w:szCs w:val="24"/>
          <w:lang w:val="es-ES" w:eastAsia="es-ES"/>
        </w:rPr>
        <w:t>Además, que dichos entes deberán aplicar de manera restrictiva y limitada, las excepciones al derecho de acceso a la información, por lo que, tendrán que acreditar la procedencia.</w:t>
      </w:r>
    </w:p>
    <w:p w14:paraId="2B6FA0F8" w14:textId="77777777" w:rsidR="00B04582" w:rsidRPr="007D35D4" w:rsidRDefault="00B04582" w:rsidP="00F40D32">
      <w:pPr>
        <w:spacing w:after="0" w:line="360" w:lineRule="auto"/>
        <w:rPr>
          <w:rFonts w:eastAsia="Times New Roman" w:cs="Tahoma"/>
          <w:iCs/>
          <w:color w:val="auto"/>
          <w:sz w:val="24"/>
          <w:szCs w:val="24"/>
          <w:lang w:val="es-ES" w:eastAsia="es-ES"/>
        </w:rPr>
      </w:pPr>
    </w:p>
    <w:p w14:paraId="747F26A1" w14:textId="5B44C187" w:rsidR="00B04582" w:rsidRPr="007D35D4" w:rsidRDefault="00B04582" w:rsidP="00F40D32">
      <w:pPr>
        <w:spacing w:after="0" w:line="360" w:lineRule="auto"/>
        <w:rPr>
          <w:rFonts w:eastAsia="Times New Roman" w:cs="Tahoma"/>
          <w:iCs/>
          <w:color w:val="auto"/>
          <w:sz w:val="24"/>
          <w:szCs w:val="24"/>
          <w:lang w:val="es-ES" w:eastAsia="es-ES"/>
        </w:rPr>
      </w:pPr>
      <w:r w:rsidRPr="007D35D4">
        <w:rPr>
          <w:rFonts w:eastAsia="Times New Roman" w:cs="Tahoma"/>
          <w:iCs/>
          <w:color w:val="auto"/>
          <w:sz w:val="24"/>
          <w:szCs w:val="24"/>
          <w:lang w:val="es-ES" w:eastAsia="es-ES"/>
        </w:rPr>
        <w:t xml:space="preserve">Por lo cual, en los casos en que se niegue el acceso a la información, por actualizarse alguno de los supuestos de clasificación, una de las formalidades a la cuales </w:t>
      </w:r>
      <w:r w:rsidR="00755741" w:rsidRPr="007D35D4">
        <w:rPr>
          <w:rFonts w:eastAsia="Times New Roman" w:cs="Tahoma"/>
          <w:iCs/>
          <w:color w:val="auto"/>
          <w:sz w:val="24"/>
          <w:szCs w:val="24"/>
          <w:lang w:val="es-ES" w:eastAsia="es-ES"/>
        </w:rPr>
        <w:t>está</w:t>
      </w:r>
      <w:r w:rsidRPr="007D35D4">
        <w:rPr>
          <w:rFonts w:eastAsia="Times New Roman" w:cs="Tahoma"/>
          <w:iCs/>
          <w:color w:val="auto"/>
          <w:sz w:val="24"/>
          <w:szCs w:val="24"/>
          <w:lang w:val="es-ES" w:eastAsia="es-ES"/>
        </w:rPr>
        <w:t xml:space="preserve"> sujeto el procedimiento de acceso a la información pública, es que </w:t>
      </w:r>
      <w:r w:rsidRPr="007D35D4">
        <w:rPr>
          <w:rFonts w:eastAsia="Times New Roman" w:cs="Tahoma"/>
          <w:b/>
          <w:iCs/>
          <w:color w:val="auto"/>
          <w:sz w:val="24"/>
          <w:szCs w:val="24"/>
          <w:lang w:val="es-ES" w:eastAsia="es-ES"/>
        </w:rPr>
        <w:t xml:space="preserve">el Comité de Transparencia deberá confirmar, modificar o revocar la decisión; </w:t>
      </w:r>
      <w:r w:rsidRPr="007D35D4">
        <w:rPr>
          <w:rFonts w:eastAsia="Times New Roman" w:cs="Tahoma"/>
          <w:iCs/>
          <w:color w:val="auto"/>
          <w:sz w:val="24"/>
          <w:szCs w:val="24"/>
          <w:lang w:val="es-ES" w:eastAsia="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4CF9D4D7" w14:textId="77777777" w:rsidR="00B04582" w:rsidRPr="007D35D4" w:rsidRDefault="00B04582" w:rsidP="00F40D32">
      <w:pPr>
        <w:spacing w:after="0" w:line="360" w:lineRule="auto"/>
        <w:rPr>
          <w:rFonts w:eastAsia="Times New Roman" w:cs="Tahoma"/>
          <w:iCs/>
          <w:color w:val="auto"/>
          <w:sz w:val="24"/>
          <w:szCs w:val="24"/>
          <w:lang w:val="es-ES" w:eastAsia="es-ES"/>
        </w:rPr>
      </w:pPr>
    </w:p>
    <w:p w14:paraId="27671ABE" w14:textId="77777777" w:rsidR="00B04582" w:rsidRPr="007D35D4" w:rsidRDefault="00B04582" w:rsidP="00F40D32">
      <w:pPr>
        <w:spacing w:after="0" w:line="360" w:lineRule="auto"/>
        <w:rPr>
          <w:rFonts w:eastAsia="Times New Roman" w:cs="Tahoma"/>
          <w:iCs/>
          <w:color w:val="auto"/>
          <w:sz w:val="24"/>
          <w:szCs w:val="24"/>
          <w:lang w:eastAsia="es-ES"/>
        </w:rPr>
      </w:pPr>
      <w:r w:rsidRPr="007D35D4">
        <w:rPr>
          <w:rFonts w:eastAsia="Times New Roman" w:cs="Tahoma"/>
          <w:iCs/>
          <w:color w:val="auto"/>
          <w:sz w:val="24"/>
          <w:szCs w:val="24"/>
          <w:lang w:val="es-ES" w:eastAsia="es-ES"/>
        </w:rPr>
        <w:t xml:space="preserve">En ese contexto, </w:t>
      </w:r>
      <w:r w:rsidRPr="007D35D4">
        <w:rPr>
          <w:rFonts w:eastAsia="Times New Roman" w:cs="Tahoma"/>
          <w:iCs/>
          <w:color w:val="auto"/>
          <w:sz w:val="24"/>
          <w:szCs w:val="24"/>
          <w:lang w:eastAsia="es-ES"/>
        </w:rPr>
        <w:t>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14:paraId="3979AE4F" w14:textId="77777777" w:rsidR="00B04582" w:rsidRPr="007D35D4" w:rsidRDefault="00B04582" w:rsidP="00F40D32">
      <w:pPr>
        <w:spacing w:after="0" w:line="360" w:lineRule="auto"/>
        <w:rPr>
          <w:rFonts w:eastAsia="Times New Roman" w:cs="Tahoma"/>
          <w:iCs/>
          <w:color w:val="auto"/>
          <w:sz w:val="24"/>
          <w:szCs w:val="24"/>
          <w:lang w:eastAsia="es-ES"/>
        </w:rPr>
      </w:pPr>
    </w:p>
    <w:p w14:paraId="0C20EAE3" w14:textId="77777777" w:rsidR="00B04582" w:rsidRPr="007D35D4" w:rsidRDefault="00B04582" w:rsidP="00F40D32">
      <w:pPr>
        <w:spacing w:after="0" w:line="360" w:lineRule="auto"/>
        <w:rPr>
          <w:rFonts w:eastAsia="Times New Roman" w:cs="Tahoma"/>
          <w:b/>
          <w:iCs/>
          <w:color w:val="auto"/>
          <w:sz w:val="24"/>
          <w:szCs w:val="24"/>
          <w:lang w:eastAsia="es-ES"/>
        </w:rPr>
      </w:pPr>
      <w:r w:rsidRPr="007D35D4">
        <w:rPr>
          <w:rFonts w:eastAsia="Times New Roman" w:cs="Tahoma"/>
          <w:iCs/>
          <w:color w:val="auto"/>
          <w:sz w:val="24"/>
          <w:szCs w:val="24"/>
          <w:lang w:eastAsia="es-ES"/>
        </w:rPr>
        <w:t xml:space="preserve">En otro orden de ideas, la clasificación como reservada o confidencial, en materia de transparencia y acceso a la información, va tendiente al contenido de los documentos, </w:t>
      </w:r>
      <w:r w:rsidRPr="007D35D4">
        <w:rPr>
          <w:rFonts w:eastAsia="Times New Roman" w:cs="Tahoma"/>
          <w:iCs/>
          <w:color w:val="auto"/>
          <w:sz w:val="24"/>
          <w:szCs w:val="24"/>
          <w:lang w:eastAsia="es-ES"/>
        </w:rPr>
        <w:lastRenderedPageBreak/>
        <w:t>sin tomar en cuenta otras situaciones como la localización o ubicación de los archivos, pues su fin es proteger la información contenida en estos.</w:t>
      </w:r>
    </w:p>
    <w:p w14:paraId="65DFC64D" w14:textId="77777777" w:rsidR="00B04582" w:rsidRPr="007D35D4" w:rsidRDefault="00B04582" w:rsidP="00F40D32">
      <w:pPr>
        <w:spacing w:after="0" w:line="360" w:lineRule="auto"/>
        <w:rPr>
          <w:rFonts w:eastAsia="Times New Roman" w:cs="Tahoma"/>
          <w:iCs/>
          <w:color w:val="auto"/>
          <w:sz w:val="24"/>
          <w:szCs w:val="24"/>
          <w:lang w:val="es-ES" w:eastAsia="es-ES"/>
        </w:rPr>
      </w:pPr>
    </w:p>
    <w:p w14:paraId="54C76EE2" w14:textId="77777777" w:rsidR="00B04582" w:rsidRPr="007D35D4" w:rsidRDefault="00B04582" w:rsidP="00F40D32">
      <w:pPr>
        <w:spacing w:after="0" w:line="360" w:lineRule="auto"/>
        <w:rPr>
          <w:rFonts w:eastAsia="Times New Roman" w:cs="Tahoma"/>
          <w:b/>
          <w:bCs/>
          <w:iCs/>
          <w:color w:val="auto"/>
          <w:sz w:val="24"/>
          <w:szCs w:val="24"/>
          <w:lang w:eastAsia="es-ES"/>
        </w:rPr>
      </w:pPr>
      <w:r w:rsidRPr="007D35D4">
        <w:rPr>
          <w:rFonts w:eastAsia="Times New Roman" w:cs="Tahoma"/>
          <w:iCs/>
          <w:color w:val="auto"/>
          <w:sz w:val="24"/>
          <w:szCs w:val="24"/>
          <w:lang w:val="es-ES" w:eastAsia="es-ES"/>
        </w:rPr>
        <w:t xml:space="preserve">En ese contexto, </w:t>
      </w:r>
      <w:r w:rsidRPr="007D35D4">
        <w:rPr>
          <w:rFonts w:eastAsia="Times New Roman" w:cs="Tahoma"/>
          <w:bCs/>
          <w:iCs/>
          <w:color w:val="auto"/>
          <w:sz w:val="24"/>
          <w:szCs w:val="24"/>
          <w:lang w:eastAsia="es-ES"/>
        </w:rPr>
        <w:t>según Bonifaz, Leticia (2016), en la “</w:t>
      </w:r>
      <w:r w:rsidRPr="007D35D4">
        <w:rPr>
          <w:rFonts w:eastAsia="Times New Roman" w:cs="Tahoma"/>
          <w:bCs/>
          <w:i/>
          <w:iCs/>
          <w:color w:val="auto"/>
          <w:sz w:val="24"/>
          <w:szCs w:val="24"/>
          <w:lang w:eastAsia="es-ES"/>
        </w:rPr>
        <w:t>Ley General de Transparencia y Acceso a la Información Pública Comentada”</w:t>
      </w:r>
      <w:r w:rsidRPr="007D35D4">
        <w:rPr>
          <w:rFonts w:eastAsia="Times New Roman" w:cs="Tahoma"/>
          <w:bCs/>
          <w:iCs/>
          <w:color w:val="auto"/>
          <w:sz w:val="24"/>
          <w:szCs w:val="24"/>
          <w:lang w:eastAsia="es-ES"/>
        </w:rPr>
        <w:t xml:space="preserve"> (p. 342), la </w:t>
      </w:r>
      <w:r w:rsidRPr="007D35D4">
        <w:rPr>
          <w:rFonts w:eastAsia="Times New Roman" w:cs="Tahoma"/>
          <w:b/>
          <w:bCs/>
          <w:iCs/>
          <w:color w:val="auto"/>
          <w:sz w:val="24"/>
          <w:szCs w:val="24"/>
          <w:lang w:eastAsia="es-ES"/>
        </w:rPr>
        <w:t>clasificación de la información</w:t>
      </w:r>
      <w:r w:rsidRPr="007D35D4">
        <w:rPr>
          <w:rFonts w:eastAsia="Times New Roman" w:cs="Tahoma"/>
          <w:bCs/>
          <w:iCs/>
          <w:color w:val="auto"/>
          <w:sz w:val="24"/>
          <w:szCs w:val="24"/>
          <w:lang w:eastAsia="es-ES"/>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7D35D4">
        <w:rPr>
          <w:rFonts w:eastAsia="Times New Roman" w:cs="Tahoma"/>
          <w:b/>
          <w:bCs/>
          <w:iCs/>
          <w:color w:val="auto"/>
          <w:sz w:val="24"/>
          <w:szCs w:val="24"/>
          <w:lang w:eastAsia="es-ES"/>
        </w:rPr>
        <w:t>de manera adecuada la negativa de información.</w:t>
      </w:r>
    </w:p>
    <w:p w14:paraId="01F5B80F" w14:textId="77777777" w:rsidR="00B04582" w:rsidRPr="007D35D4" w:rsidRDefault="00B04582" w:rsidP="00F40D32">
      <w:pPr>
        <w:spacing w:after="0" w:line="360" w:lineRule="auto"/>
        <w:rPr>
          <w:rFonts w:eastAsia="Times New Roman" w:cs="Tahoma"/>
          <w:bCs/>
          <w:iCs/>
          <w:color w:val="auto"/>
          <w:sz w:val="24"/>
          <w:szCs w:val="24"/>
          <w:lang w:eastAsia="es-ES"/>
        </w:rPr>
      </w:pPr>
    </w:p>
    <w:p w14:paraId="4AA2D6C3" w14:textId="77777777" w:rsidR="00B04582" w:rsidRPr="007D35D4" w:rsidRDefault="00B04582" w:rsidP="00F40D32">
      <w:pPr>
        <w:spacing w:after="0" w:line="360" w:lineRule="auto"/>
        <w:rPr>
          <w:rFonts w:eastAsia="Times New Roman" w:cs="Tahoma"/>
          <w:b/>
          <w:iCs/>
          <w:color w:val="auto"/>
          <w:sz w:val="24"/>
          <w:szCs w:val="24"/>
          <w:lang w:eastAsia="es-ES"/>
        </w:rPr>
      </w:pPr>
      <w:r w:rsidRPr="007D35D4">
        <w:rPr>
          <w:rFonts w:eastAsia="Times New Roman" w:cs="Tahoma"/>
          <w:bCs/>
          <w:iCs/>
          <w:color w:val="auto"/>
          <w:sz w:val="24"/>
          <w:szCs w:val="24"/>
          <w:lang w:eastAsia="es-ES"/>
        </w:rPr>
        <w:t>Además</w:t>
      </w:r>
      <w:r w:rsidRPr="007D35D4">
        <w:rPr>
          <w:rFonts w:eastAsia="Times New Roman" w:cs="Tahoma"/>
          <w:iCs/>
          <w:color w:val="auto"/>
          <w:sz w:val="24"/>
          <w:szCs w:val="24"/>
          <w:lang w:eastAsia="es-ES"/>
        </w:rPr>
        <w:t xml:space="preserve">,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7D35D4">
        <w:rPr>
          <w:rFonts w:eastAsia="Times New Roman" w:cs="Tahoma"/>
          <w:b/>
          <w:iCs/>
          <w:color w:val="auto"/>
          <w:sz w:val="24"/>
          <w:szCs w:val="24"/>
          <w:lang w:eastAsia="es-ES"/>
        </w:rPr>
        <w:t>análisis caso por caso.</w:t>
      </w:r>
    </w:p>
    <w:p w14:paraId="6415E356" w14:textId="77777777" w:rsidR="00B04582" w:rsidRPr="007D35D4" w:rsidRDefault="00B04582" w:rsidP="00F40D32">
      <w:pPr>
        <w:spacing w:after="0" w:line="360" w:lineRule="auto"/>
        <w:rPr>
          <w:rFonts w:eastAsia="Times New Roman" w:cs="Tahoma"/>
          <w:b/>
          <w:iCs/>
          <w:color w:val="auto"/>
          <w:sz w:val="24"/>
          <w:szCs w:val="24"/>
          <w:lang w:eastAsia="es-ES"/>
        </w:rPr>
      </w:pPr>
    </w:p>
    <w:p w14:paraId="36BF4BAF" w14:textId="77777777" w:rsidR="00B04582" w:rsidRPr="007D35D4" w:rsidRDefault="00B04582" w:rsidP="00F40D32">
      <w:pPr>
        <w:spacing w:after="0" w:line="360" w:lineRule="auto"/>
        <w:rPr>
          <w:rFonts w:eastAsia="Times New Roman" w:cs="Tahoma"/>
          <w:iCs/>
          <w:color w:val="auto"/>
          <w:sz w:val="24"/>
          <w:szCs w:val="24"/>
          <w:lang w:eastAsia="es-ES"/>
        </w:rPr>
      </w:pPr>
      <w:r w:rsidRPr="007D35D4">
        <w:rPr>
          <w:rFonts w:eastAsia="Times New Roman" w:cs="Tahoma"/>
          <w:iCs/>
          <w:color w:val="auto"/>
          <w:sz w:val="24"/>
          <w:szCs w:val="24"/>
          <w:lang w:eastAsia="es-ES"/>
        </w:rPr>
        <w:t xml:space="preserve">Sobre lo anterior, el artículo 131 de la Ley referida, así como el Quinto de los Lineamientos Generales, establecen que los sujetos obligados </w:t>
      </w:r>
      <w:r w:rsidRPr="007D35D4">
        <w:rPr>
          <w:rFonts w:eastAsia="Times New Roman" w:cs="Tahoma"/>
          <w:b/>
          <w:iCs/>
          <w:color w:val="auto"/>
          <w:sz w:val="24"/>
          <w:szCs w:val="24"/>
          <w:lang w:eastAsia="es-ES"/>
        </w:rPr>
        <w:t>deberán fundar y motivar</w:t>
      </w:r>
      <w:r w:rsidRPr="007D35D4">
        <w:rPr>
          <w:rFonts w:eastAsia="Times New Roman" w:cs="Tahoma"/>
          <w:iCs/>
          <w:color w:val="auto"/>
          <w:sz w:val="24"/>
          <w:szCs w:val="24"/>
          <w:lang w:eastAsia="es-ES"/>
        </w:rPr>
        <w:t xml:space="preserve"> debidamente la clasificación de la información.</w:t>
      </w:r>
    </w:p>
    <w:p w14:paraId="63C75290" w14:textId="77777777" w:rsidR="00B04582" w:rsidRPr="007D35D4" w:rsidRDefault="00B04582" w:rsidP="00F40D32">
      <w:pPr>
        <w:spacing w:after="0" w:line="360" w:lineRule="auto"/>
        <w:rPr>
          <w:rFonts w:eastAsia="Times New Roman" w:cs="Tahoma"/>
          <w:b/>
          <w:iCs/>
          <w:color w:val="auto"/>
          <w:sz w:val="24"/>
          <w:szCs w:val="24"/>
          <w:lang w:eastAsia="es-ES"/>
        </w:rPr>
      </w:pPr>
    </w:p>
    <w:p w14:paraId="40CF57E2" w14:textId="48479980" w:rsidR="00B04582" w:rsidRPr="007D35D4" w:rsidRDefault="00B04582" w:rsidP="00F40D32">
      <w:pPr>
        <w:spacing w:after="0" w:line="360" w:lineRule="auto"/>
        <w:rPr>
          <w:rFonts w:eastAsia="Times New Roman" w:cs="Tahoma"/>
          <w:bCs/>
          <w:iCs/>
          <w:color w:val="auto"/>
          <w:sz w:val="24"/>
          <w:szCs w:val="24"/>
          <w:lang w:eastAsia="es-ES"/>
        </w:rPr>
      </w:pPr>
      <w:r w:rsidRPr="007D35D4">
        <w:rPr>
          <w:rFonts w:eastAsia="Times New Roman" w:cs="Tahoma"/>
          <w:iCs/>
          <w:color w:val="auto"/>
          <w:sz w:val="24"/>
          <w:szCs w:val="24"/>
          <w:lang w:eastAsia="es-ES"/>
        </w:rPr>
        <w:t>Al respecto, e</w:t>
      </w:r>
      <w:r w:rsidRPr="007D35D4">
        <w:rPr>
          <w:rFonts w:eastAsia="Times New Roman" w:cs="Tahoma"/>
          <w:bCs/>
          <w:iCs/>
          <w:color w:val="auto"/>
          <w:sz w:val="24"/>
          <w:szCs w:val="24"/>
          <w:lang w:eastAsia="es-ES"/>
        </w:rPr>
        <w:t>l Octavo de los Lineamientos Generales, precisa lo siguiente:</w:t>
      </w:r>
    </w:p>
    <w:p w14:paraId="47BBCBD8" w14:textId="75FA5B94" w:rsidR="00B04582" w:rsidRPr="007D35D4" w:rsidRDefault="00B04582" w:rsidP="00F40D32">
      <w:pPr>
        <w:numPr>
          <w:ilvl w:val="0"/>
          <w:numId w:val="24"/>
        </w:numPr>
        <w:spacing w:after="0" w:line="360" w:lineRule="auto"/>
        <w:rPr>
          <w:rFonts w:eastAsia="Times New Roman" w:cs="Tahoma"/>
          <w:bCs/>
          <w:iCs/>
          <w:color w:val="auto"/>
          <w:szCs w:val="24"/>
          <w:u w:val="single"/>
          <w:lang w:eastAsia="es-ES"/>
        </w:rPr>
      </w:pPr>
      <w:r w:rsidRPr="007D35D4">
        <w:rPr>
          <w:rFonts w:eastAsia="Times New Roman" w:cs="Tahoma"/>
          <w:b/>
          <w:bCs/>
          <w:iCs/>
          <w:color w:val="auto"/>
          <w:szCs w:val="24"/>
          <w:lang w:eastAsia="es-ES"/>
        </w:rPr>
        <w:lastRenderedPageBreak/>
        <w:t>Para fundar la clasificación</w:t>
      </w:r>
      <w:r w:rsidRPr="007D35D4">
        <w:rPr>
          <w:rFonts w:eastAsia="Times New Roman" w:cs="Tahoma"/>
          <w:bCs/>
          <w:iCs/>
          <w:color w:val="auto"/>
          <w:szCs w:val="24"/>
          <w:lang w:eastAsia="es-ES"/>
        </w:rPr>
        <w:t xml:space="preserve"> de la información se deberán </w:t>
      </w:r>
      <w:r w:rsidRPr="007D35D4">
        <w:rPr>
          <w:rFonts w:eastAsia="Times New Roman" w:cs="Tahoma"/>
          <w:bCs/>
          <w:iCs/>
          <w:color w:val="auto"/>
          <w:szCs w:val="24"/>
          <w:u w:val="single"/>
          <w:lang w:eastAsia="es-ES"/>
        </w:rPr>
        <w:t>señalar el artículo, fracción, inciso, párrafo o numeral de la Ley aplicable;</w:t>
      </w:r>
    </w:p>
    <w:p w14:paraId="0A8808FF" w14:textId="77777777" w:rsidR="00B04582" w:rsidRPr="007D35D4" w:rsidRDefault="00B04582" w:rsidP="00F40D32">
      <w:pPr>
        <w:numPr>
          <w:ilvl w:val="0"/>
          <w:numId w:val="24"/>
        </w:numPr>
        <w:spacing w:after="0" w:line="360" w:lineRule="auto"/>
        <w:rPr>
          <w:rFonts w:eastAsia="Times New Roman" w:cs="Tahoma"/>
          <w:bCs/>
          <w:iCs/>
          <w:color w:val="auto"/>
          <w:szCs w:val="24"/>
          <w:lang w:eastAsia="es-ES"/>
        </w:rPr>
      </w:pPr>
      <w:r w:rsidRPr="007D35D4">
        <w:rPr>
          <w:rFonts w:eastAsia="Times New Roman" w:cs="Tahoma"/>
          <w:b/>
          <w:bCs/>
          <w:iCs/>
          <w:color w:val="auto"/>
          <w:szCs w:val="24"/>
          <w:lang w:eastAsia="es-ES"/>
        </w:rPr>
        <w:t>Para motivar la clasificación</w:t>
      </w:r>
      <w:r w:rsidRPr="007D35D4">
        <w:rPr>
          <w:rFonts w:eastAsia="Times New Roman" w:cs="Tahoma"/>
          <w:bCs/>
          <w:iCs/>
          <w:color w:val="auto"/>
          <w:szCs w:val="24"/>
          <w:lang w:eastAsia="es-ES"/>
        </w:rPr>
        <w:t xml:space="preserve"> se deberán </w:t>
      </w:r>
      <w:r w:rsidRPr="007D35D4">
        <w:rPr>
          <w:rFonts w:eastAsia="Times New Roman" w:cs="Tahoma"/>
          <w:bCs/>
          <w:iCs/>
          <w:color w:val="auto"/>
          <w:szCs w:val="24"/>
          <w:u w:val="single"/>
          <w:lang w:eastAsia="es-ES"/>
        </w:rPr>
        <w:t>indicar las razones y circunstancias</w:t>
      </w:r>
      <w:r w:rsidRPr="007D35D4">
        <w:rPr>
          <w:rFonts w:eastAsia="Times New Roman" w:cs="Tahoma"/>
          <w:bCs/>
          <w:iCs/>
          <w:color w:val="auto"/>
          <w:szCs w:val="24"/>
          <w:lang w:eastAsia="es-ES"/>
        </w:rPr>
        <w:t xml:space="preserve">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1FCDC4DA" w14:textId="77777777" w:rsidR="00B04582" w:rsidRPr="007D35D4" w:rsidRDefault="00B04582" w:rsidP="00F40D32">
      <w:pPr>
        <w:spacing w:after="0" w:line="360" w:lineRule="auto"/>
        <w:rPr>
          <w:rFonts w:eastAsia="Times New Roman" w:cs="Tahoma"/>
          <w:bCs/>
          <w:iCs/>
          <w:color w:val="auto"/>
          <w:szCs w:val="24"/>
          <w:lang w:eastAsia="es-ES"/>
        </w:rPr>
      </w:pPr>
    </w:p>
    <w:p w14:paraId="5881B7FF" w14:textId="20983866" w:rsidR="00B04582" w:rsidRPr="007D35D4" w:rsidRDefault="00B04582" w:rsidP="00F40D32">
      <w:pPr>
        <w:spacing w:after="0" w:line="360" w:lineRule="auto"/>
        <w:rPr>
          <w:rFonts w:eastAsia="Times New Roman" w:cs="Tahoma"/>
          <w:iCs/>
          <w:color w:val="auto"/>
          <w:sz w:val="24"/>
          <w:szCs w:val="24"/>
          <w:lang w:eastAsia="es-ES"/>
        </w:rPr>
      </w:pPr>
      <w:r w:rsidRPr="007D35D4">
        <w:rPr>
          <w:rFonts w:eastAsia="Times New Roman" w:cs="Tahoma"/>
          <w:iCs/>
          <w:color w:val="auto"/>
          <w:sz w:val="24"/>
          <w:szCs w:val="24"/>
          <w:lang w:eastAsia="es-ES"/>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7DD8911F" w14:textId="77777777" w:rsidR="00F306FA" w:rsidRPr="007D35D4" w:rsidRDefault="00F306FA" w:rsidP="00F40D32">
      <w:pPr>
        <w:spacing w:after="0" w:line="360" w:lineRule="auto"/>
        <w:rPr>
          <w:rFonts w:eastAsia="Times New Roman" w:cs="Tahoma"/>
          <w:iCs/>
          <w:color w:val="auto"/>
          <w:sz w:val="24"/>
          <w:szCs w:val="24"/>
          <w:lang w:eastAsia="es-ES"/>
        </w:rPr>
      </w:pPr>
    </w:p>
    <w:p w14:paraId="037C8A48" w14:textId="77777777" w:rsidR="00B04582" w:rsidRPr="007D35D4" w:rsidRDefault="00B04582" w:rsidP="00755741">
      <w:pPr>
        <w:spacing w:after="0" w:line="276" w:lineRule="auto"/>
        <w:ind w:left="567" w:right="567"/>
        <w:rPr>
          <w:rFonts w:eastAsia="Times New Roman" w:cs="Tahoma"/>
          <w:i/>
          <w:iCs/>
          <w:color w:val="auto"/>
          <w:szCs w:val="24"/>
          <w:lang w:eastAsia="es-ES"/>
        </w:rPr>
      </w:pPr>
      <w:r w:rsidRPr="007D35D4">
        <w:rPr>
          <w:rFonts w:eastAsia="Times New Roman" w:cs="Tahoma"/>
          <w:b/>
          <w:i/>
          <w:iCs/>
          <w:color w:val="auto"/>
          <w:szCs w:val="24"/>
          <w:lang w:eastAsia="es-ES"/>
        </w:rPr>
        <w:t xml:space="preserve">“FUNDAMENTACION Y MOTIVACION, CONCEPTO DE. </w:t>
      </w:r>
      <w:r w:rsidRPr="007D35D4">
        <w:rPr>
          <w:rFonts w:eastAsia="Times New Roman" w:cs="Tahoma"/>
          <w:i/>
          <w:iCs/>
          <w:color w:val="auto"/>
          <w:szCs w:val="24"/>
          <w:lang w:eastAsia="es-ES"/>
        </w:rPr>
        <w:t xml:space="preserve">La </w:t>
      </w:r>
      <w:r w:rsidRPr="007D35D4">
        <w:rPr>
          <w:rFonts w:eastAsia="Times New Roman" w:cs="Tahoma"/>
          <w:i/>
          <w:iCs/>
          <w:color w:val="auto"/>
          <w:szCs w:val="24"/>
          <w:u w:val="single"/>
          <w:lang w:eastAsia="es-ES"/>
        </w:rPr>
        <w:t>garantía de legalidad consagrada en el artículo 16 de nuestra Carta Magna</w:t>
      </w:r>
      <w:r w:rsidRPr="007D35D4">
        <w:rPr>
          <w:rFonts w:eastAsia="Times New Roman" w:cs="Tahoma"/>
          <w:i/>
          <w:iCs/>
          <w:color w:val="auto"/>
          <w:szCs w:val="24"/>
          <w:lang w:eastAsia="es-ES"/>
        </w:rPr>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BD19B0F" w14:textId="77777777" w:rsidR="00B04582" w:rsidRPr="007D35D4" w:rsidRDefault="00B04582" w:rsidP="00F40D32">
      <w:pPr>
        <w:spacing w:after="0" w:line="360" w:lineRule="auto"/>
        <w:rPr>
          <w:rFonts w:eastAsia="Times New Roman" w:cs="Tahoma"/>
          <w:iCs/>
          <w:color w:val="auto"/>
          <w:sz w:val="24"/>
          <w:szCs w:val="24"/>
          <w:lang w:eastAsia="es-ES"/>
        </w:rPr>
      </w:pPr>
    </w:p>
    <w:p w14:paraId="1336836A" w14:textId="77777777" w:rsidR="00B04582" w:rsidRPr="007D35D4" w:rsidRDefault="00B04582" w:rsidP="00F40D32">
      <w:pPr>
        <w:spacing w:after="0" w:line="360" w:lineRule="auto"/>
        <w:rPr>
          <w:rFonts w:eastAsia="Times New Roman" w:cs="Tahoma"/>
          <w:iCs/>
          <w:color w:val="auto"/>
          <w:sz w:val="24"/>
          <w:szCs w:val="24"/>
          <w:lang w:eastAsia="es-ES"/>
        </w:rPr>
      </w:pPr>
      <w:r w:rsidRPr="007D35D4">
        <w:rPr>
          <w:rFonts w:eastAsia="Times New Roman" w:cs="Tahoma"/>
          <w:iCs/>
          <w:color w:val="auto"/>
          <w:sz w:val="24"/>
          <w:szCs w:val="24"/>
          <w:lang w:eastAsia="es-ES"/>
        </w:rPr>
        <w:t>Conforme a lo anterior, se advierte lo siguiente:</w:t>
      </w:r>
    </w:p>
    <w:p w14:paraId="2D5C41BD" w14:textId="77777777" w:rsidR="00B04582" w:rsidRPr="007D35D4" w:rsidRDefault="00B04582" w:rsidP="00F40D32">
      <w:pPr>
        <w:spacing w:after="0" w:line="360" w:lineRule="auto"/>
        <w:rPr>
          <w:rFonts w:eastAsia="Times New Roman" w:cs="Tahoma"/>
          <w:iCs/>
          <w:color w:val="auto"/>
          <w:sz w:val="24"/>
          <w:szCs w:val="24"/>
          <w:lang w:eastAsia="es-ES"/>
        </w:rPr>
      </w:pPr>
    </w:p>
    <w:p w14:paraId="4E9E7E72" w14:textId="5231323A" w:rsidR="00B04582" w:rsidRPr="007D35D4" w:rsidRDefault="00B04582" w:rsidP="00F40D32">
      <w:pPr>
        <w:numPr>
          <w:ilvl w:val="0"/>
          <w:numId w:val="25"/>
        </w:numPr>
        <w:spacing w:after="0" w:line="360" w:lineRule="auto"/>
        <w:rPr>
          <w:rFonts w:eastAsia="Times New Roman" w:cs="Tahoma"/>
          <w:b/>
          <w:iCs/>
          <w:color w:val="auto"/>
          <w:szCs w:val="24"/>
          <w:lang w:eastAsia="es-ES"/>
        </w:rPr>
      </w:pPr>
      <w:r w:rsidRPr="007D35D4">
        <w:rPr>
          <w:rFonts w:eastAsia="Times New Roman" w:cs="Tahoma"/>
          <w:b/>
          <w:iCs/>
          <w:color w:val="auto"/>
          <w:szCs w:val="24"/>
          <w:lang w:eastAsia="es-ES"/>
        </w:rPr>
        <w:lastRenderedPageBreak/>
        <w:t xml:space="preserve">Fundamentación: </w:t>
      </w:r>
      <w:r w:rsidRPr="007D35D4">
        <w:rPr>
          <w:rFonts w:eastAsia="Times New Roman" w:cs="Tahoma"/>
          <w:iCs/>
          <w:color w:val="auto"/>
          <w:szCs w:val="24"/>
          <w:lang w:eastAsia="es-ES"/>
        </w:rPr>
        <w:t>Obligación de la autoridad que emite un acto, para citar los preceptos legales, sustantivos y adjetivos, en que se apoye para la determinación tomada.</w:t>
      </w:r>
    </w:p>
    <w:p w14:paraId="3165C4B1" w14:textId="77777777" w:rsidR="00B04582" w:rsidRPr="007D35D4" w:rsidRDefault="00B04582" w:rsidP="00F40D32">
      <w:pPr>
        <w:numPr>
          <w:ilvl w:val="0"/>
          <w:numId w:val="25"/>
        </w:numPr>
        <w:spacing w:after="0" w:line="360" w:lineRule="auto"/>
        <w:rPr>
          <w:rFonts w:eastAsia="Times New Roman" w:cs="Tahoma"/>
          <w:b/>
          <w:iCs/>
          <w:color w:val="auto"/>
          <w:szCs w:val="24"/>
          <w:lang w:eastAsia="es-ES"/>
        </w:rPr>
      </w:pPr>
      <w:r w:rsidRPr="007D35D4">
        <w:rPr>
          <w:rFonts w:eastAsia="Times New Roman" w:cs="Tahoma"/>
          <w:b/>
          <w:iCs/>
          <w:color w:val="auto"/>
          <w:szCs w:val="24"/>
          <w:lang w:eastAsia="es-ES"/>
        </w:rPr>
        <w:t xml:space="preserve">Motivación: </w:t>
      </w:r>
      <w:r w:rsidRPr="007D35D4">
        <w:rPr>
          <w:rFonts w:eastAsia="Times New Roman" w:cs="Tahoma"/>
          <w:iCs/>
          <w:color w:val="auto"/>
          <w:szCs w:val="24"/>
          <w:lang w:eastAsia="es-ES"/>
        </w:rPr>
        <w:t>Razonamientos lógico-jurídicos sobre porque se consideró en el caso en concreto, que se ajusta a la hipótesis normativa.</w:t>
      </w:r>
    </w:p>
    <w:p w14:paraId="283775A5" w14:textId="77777777" w:rsidR="00B04582" w:rsidRPr="007D35D4" w:rsidRDefault="00B04582" w:rsidP="00F40D32">
      <w:pPr>
        <w:spacing w:after="0" w:line="360" w:lineRule="auto"/>
        <w:rPr>
          <w:rFonts w:eastAsia="Times New Roman" w:cs="Tahoma"/>
          <w:iCs/>
          <w:color w:val="auto"/>
          <w:sz w:val="24"/>
          <w:szCs w:val="24"/>
          <w:lang w:val="es-ES" w:eastAsia="es-ES"/>
        </w:rPr>
      </w:pPr>
    </w:p>
    <w:p w14:paraId="72A90F62" w14:textId="77777777" w:rsidR="00B04582" w:rsidRPr="007D35D4" w:rsidRDefault="00B04582" w:rsidP="00F40D32">
      <w:pPr>
        <w:spacing w:after="0" w:line="360" w:lineRule="auto"/>
        <w:rPr>
          <w:rFonts w:eastAsia="Times New Roman" w:cs="Tahoma"/>
          <w:iCs/>
          <w:color w:val="auto"/>
          <w:sz w:val="24"/>
          <w:szCs w:val="24"/>
          <w:lang w:val="es-ES" w:eastAsia="es-ES"/>
        </w:rPr>
      </w:pPr>
      <w:r w:rsidRPr="007D35D4">
        <w:rPr>
          <w:rFonts w:eastAsia="Times New Roman" w:cs="Tahoma"/>
          <w:iCs/>
          <w:color w:val="auto"/>
          <w:sz w:val="24"/>
          <w:szCs w:val="24"/>
          <w:lang w:val="es-ES" w:eastAsia="es-ES"/>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5AC017A3" w14:textId="26F5238D" w:rsidR="00B04582" w:rsidRPr="007D35D4" w:rsidRDefault="00B04582" w:rsidP="00F40D32">
      <w:pPr>
        <w:spacing w:after="0" w:line="360" w:lineRule="auto"/>
        <w:rPr>
          <w:rFonts w:eastAsia="Times New Roman" w:cs="Tahoma"/>
          <w:bCs/>
          <w:iCs/>
          <w:color w:val="auto"/>
          <w:sz w:val="24"/>
          <w:szCs w:val="24"/>
          <w:lang w:val="es-ES" w:eastAsia="es-ES"/>
        </w:rPr>
      </w:pPr>
    </w:p>
    <w:p w14:paraId="2CA9537F" w14:textId="0631A9B5" w:rsidR="003025DE" w:rsidRPr="007D35D4" w:rsidRDefault="00B04582" w:rsidP="00F40D32">
      <w:pPr>
        <w:spacing w:after="0" w:line="360" w:lineRule="auto"/>
        <w:rPr>
          <w:rFonts w:eastAsia="Times New Roman" w:cs="Tahoma"/>
          <w:iCs/>
          <w:color w:val="auto"/>
          <w:sz w:val="24"/>
          <w:szCs w:val="24"/>
          <w:lang w:val="es-ES" w:eastAsia="es-ES"/>
        </w:rPr>
      </w:pPr>
      <w:r w:rsidRPr="007D35D4">
        <w:rPr>
          <w:rFonts w:eastAsia="Times New Roman" w:cs="Tahoma"/>
          <w:bCs/>
          <w:iCs/>
          <w:color w:val="auto"/>
          <w:sz w:val="24"/>
          <w:szCs w:val="24"/>
          <w:lang w:val="es-ES" w:eastAsia="es-ES"/>
        </w:rPr>
        <w:t>En ese contexto, es de señalar que</w:t>
      </w:r>
      <w:r w:rsidR="00D07CC0" w:rsidRPr="007D35D4">
        <w:rPr>
          <w:rFonts w:eastAsia="Times New Roman" w:cs="Tahoma"/>
          <w:bCs/>
          <w:iCs/>
          <w:color w:val="auto"/>
          <w:sz w:val="24"/>
          <w:szCs w:val="24"/>
          <w:lang w:val="es-ES" w:eastAsia="es-ES"/>
        </w:rPr>
        <w:t>,</w:t>
      </w:r>
      <w:r w:rsidR="003025DE" w:rsidRPr="007D35D4">
        <w:rPr>
          <w:rFonts w:eastAsia="Times New Roman" w:cs="Tahoma"/>
          <w:bCs/>
          <w:iCs/>
          <w:color w:val="auto"/>
          <w:sz w:val="24"/>
          <w:szCs w:val="24"/>
          <w:lang w:val="es-ES" w:eastAsia="es-ES"/>
        </w:rPr>
        <w:t xml:space="preserve"> el </w:t>
      </w:r>
      <w:r w:rsidR="003025DE" w:rsidRPr="007D35D4">
        <w:rPr>
          <w:rFonts w:eastAsia="Calibri" w:cs="Tahoma"/>
          <w:sz w:val="24"/>
          <w:szCs w:val="24"/>
        </w:rPr>
        <w:t>Poder Judicial</w:t>
      </w:r>
      <w:r w:rsidR="00D07CC0" w:rsidRPr="007D35D4">
        <w:rPr>
          <w:rFonts w:eastAsia="Calibri" w:cs="Tahoma"/>
          <w:sz w:val="24"/>
          <w:szCs w:val="24"/>
        </w:rPr>
        <w:t xml:space="preserve"> </w:t>
      </w:r>
      <w:r w:rsidR="00745282" w:rsidRPr="007D35D4">
        <w:rPr>
          <w:rFonts w:eastAsia="Calibri" w:cs="Tahoma"/>
          <w:sz w:val="24"/>
          <w:szCs w:val="24"/>
        </w:rPr>
        <w:t xml:space="preserve">omitió dar cumplimiento a lo previsto en el artículo 168 de la </w:t>
      </w:r>
      <w:r w:rsidR="00745282" w:rsidRPr="007D35D4">
        <w:rPr>
          <w:rFonts w:eastAsia="Times New Roman" w:cs="Tahoma"/>
          <w:iCs/>
          <w:color w:val="auto"/>
          <w:sz w:val="24"/>
          <w:szCs w:val="24"/>
          <w:lang w:val="es-ES" w:eastAsia="es-ES"/>
        </w:rPr>
        <w:t>Ley de Transparencia y Acceso a la Información Pública del Estado de México y Municipios</w:t>
      </w:r>
      <w:r w:rsidR="007D49B6" w:rsidRPr="007D35D4">
        <w:rPr>
          <w:rFonts w:eastAsia="Times New Roman" w:cs="Tahoma"/>
          <w:iCs/>
          <w:color w:val="auto"/>
          <w:sz w:val="24"/>
          <w:szCs w:val="24"/>
          <w:lang w:val="es-ES" w:eastAsia="es-ES"/>
        </w:rPr>
        <w:t xml:space="preserve">, ya que el Comité de Transparencia no emitió el acuerdo por medio del cual </w:t>
      </w:r>
      <w:r w:rsidR="00D07CC0" w:rsidRPr="007D35D4">
        <w:rPr>
          <w:rFonts w:eastAsia="Times New Roman" w:cs="Tahoma"/>
          <w:iCs/>
          <w:color w:val="auto"/>
          <w:sz w:val="24"/>
          <w:szCs w:val="24"/>
          <w:lang w:val="es-ES" w:eastAsia="es-ES"/>
        </w:rPr>
        <w:t>confirmara</w:t>
      </w:r>
      <w:r w:rsidR="007D49B6" w:rsidRPr="007D35D4">
        <w:rPr>
          <w:rFonts w:eastAsia="Times New Roman" w:cs="Tahoma"/>
          <w:iCs/>
          <w:color w:val="auto"/>
          <w:sz w:val="24"/>
          <w:szCs w:val="24"/>
          <w:lang w:val="es-ES" w:eastAsia="es-ES"/>
        </w:rPr>
        <w:t xml:space="preserve"> </w:t>
      </w:r>
      <w:r w:rsidR="00051426" w:rsidRPr="007D35D4">
        <w:rPr>
          <w:rFonts w:eastAsia="Times New Roman" w:cs="Tahoma"/>
          <w:iCs/>
          <w:color w:val="auto"/>
          <w:sz w:val="24"/>
          <w:szCs w:val="24"/>
          <w:lang w:val="es-ES" w:eastAsia="es-ES"/>
        </w:rPr>
        <w:t xml:space="preserve">la clasificación de la información, pues únicamente refirió que no podía entregar la información </w:t>
      </w:r>
      <w:r w:rsidR="000028C5" w:rsidRPr="007D35D4">
        <w:rPr>
          <w:rFonts w:eastAsia="Times New Roman" w:cs="Tahoma"/>
          <w:iCs/>
          <w:color w:val="auto"/>
          <w:sz w:val="24"/>
          <w:szCs w:val="24"/>
          <w:lang w:val="es-ES" w:eastAsia="es-ES"/>
        </w:rPr>
        <w:t xml:space="preserve">al ser </w:t>
      </w:r>
      <w:r w:rsidR="00044214" w:rsidRPr="007D35D4">
        <w:rPr>
          <w:rFonts w:eastAsia="Times New Roman" w:cs="Tahoma"/>
          <w:iCs/>
          <w:color w:val="auto"/>
          <w:sz w:val="24"/>
          <w:szCs w:val="24"/>
          <w:lang w:val="es-ES" w:eastAsia="es-ES"/>
        </w:rPr>
        <w:t xml:space="preserve">esta de naturaleza </w:t>
      </w:r>
      <w:r w:rsidR="00C65798" w:rsidRPr="007D35D4">
        <w:rPr>
          <w:rFonts w:eastAsia="Times New Roman" w:cs="Tahoma"/>
          <w:iCs/>
          <w:color w:val="auto"/>
          <w:sz w:val="24"/>
          <w:szCs w:val="24"/>
          <w:lang w:val="es-ES" w:eastAsia="es-ES"/>
        </w:rPr>
        <w:t>confidencial y por otro lado, también señaló que el procedimiento de búsqueda de la información no podía ser efectuado como los datos que proporcionó la parte Recurrente</w:t>
      </w:r>
      <w:r w:rsidR="000028C5" w:rsidRPr="007D35D4">
        <w:rPr>
          <w:rFonts w:eastAsia="Times New Roman" w:cs="Tahoma"/>
          <w:iCs/>
          <w:color w:val="auto"/>
          <w:sz w:val="24"/>
          <w:szCs w:val="24"/>
          <w:lang w:val="es-ES" w:eastAsia="es-ES"/>
        </w:rPr>
        <w:t xml:space="preserve"> razón por la cual el agravio</w:t>
      </w:r>
      <w:r w:rsidR="0090136A" w:rsidRPr="007D35D4">
        <w:rPr>
          <w:rFonts w:eastAsia="Times New Roman" w:cs="Tahoma"/>
          <w:iCs/>
          <w:color w:val="auto"/>
          <w:sz w:val="24"/>
          <w:szCs w:val="24"/>
          <w:lang w:val="es-ES" w:eastAsia="es-ES"/>
        </w:rPr>
        <w:t xml:space="preserve"> es </w:t>
      </w:r>
      <w:r w:rsidR="0090136A" w:rsidRPr="007D35D4">
        <w:rPr>
          <w:rFonts w:eastAsia="Times New Roman" w:cs="Tahoma"/>
          <w:b/>
          <w:bCs/>
          <w:iCs/>
          <w:color w:val="auto"/>
          <w:sz w:val="24"/>
          <w:szCs w:val="24"/>
          <w:lang w:val="es-ES" w:eastAsia="es-ES"/>
        </w:rPr>
        <w:t xml:space="preserve">FUNDADO. </w:t>
      </w:r>
    </w:p>
    <w:p w14:paraId="2D8C3CDA" w14:textId="77777777" w:rsidR="003025DE" w:rsidRPr="007D35D4" w:rsidRDefault="003025DE" w:rsidP="00F40D32">
      <w:pPr>
        <w:spacing w:after="0" w:line="360" w:lineRule="auto"/>
        <w:rPr>
          <w:rFonts w:eastAsia="Times New Roman" w:cs="Tahoma"/>
          <w:bCs/>
          <w:iCs/>
          <w:color w:val="auto"/>
          <w:sz w:val="24"/>
          <w:szCs w:val="24"/>
          <w:lang w:val="es-ES" w:eastAsia="es-ES"/>
        </w:rPr>
      </w:pPr>
    </w:p>
    <w:p w14:paraId="28E747EA" w14:textId="3FA714BB" w:rsidR="00630576" w:rsidRPr="007D35D4" w:rsidRDefault="004250C8"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val="es-ES" w:eastAsia="es-ES"/>
        </w:rPr>
        <w:t>Ahora bien</w:t>
      </w:r>
      <w:r w:rsidR="00B01879" w:rsidRPr="007D35D4">
        <w:rPr>
          <w:rFonts w:eastAsia="Times New Roman" w:cs="Tahoma"/>
          <w:bCs/>
          <w:iCs/>
          <w:color w:val="auto"/>
          <w:sz w:val="24"/>
          <w:szCs w:val="24"/>
          <w:lang w:val="es-ES" w:eastAsia="es-ES"/>
        </w:rPr>
        <w:t>, y</w:t>
      </w:r>
      <w:r w:rsidRPr="007D35D4">
        <w:rPr>
          <w:rFonts w:eastAsia="Times New Roman" w:cs="Tahoma"/>
          <w:bCs/>
          <w:iCs/>
          <w:color w:val="auto"/>
          <w:sz w:val="24"/>
          <w:szCs w:val="24"/>
          <w:lang w:val="es-ES" w:eastAsia="es-ES"/>
        </w:rPr>
        <w:t xml:space="preserve"> sin menoscabo de lo anterior, </w:t>
      </w:r>
      <w:r w:rsidR="00630576" w:rsidRPr="007D35D4">
        <w:rPr>
          <w:rFonts w:eastAsia="Times New Roman" w:cs="Tahoma"/>
          <w:bCs/>
          <w:iCs/>
          <w:color w:val="auto"/>
          <w:sz w:val="24"/>
          <w:szCs w:val="24"/>
          <w:lang w:val="es-ES" w:eastAsia="es-ES"/>
        </w:rPr>
        <w:t xml:space="preserve">es de recordar </w:t>
      </w:r>
      <w:r w:rsidR="00DF4611" w:rsidRPr="007D35D4">
        <w:rPr>
          <w:rFonts w:eastAsia="Times New Roman" w:cs="Tahoma"/>
          <w:bCs/>
          <w:iCs/>
          <w:color w:val="auto"/>
          <w:sz w:val="24"/>
          <w:szCs w:val="24"/>
          <w:lang w:val="es-ES" w:eastAsia="es-ES"/>
        </w:rPr>
        <w:t xml:space="preserve">que la pretensión de </w:t>
      </w:r>
      <w:r w:rsidR="00E86E4E" w:rsidRPr="007D35D4">
        <w:rPr>
          <w:rFonts w:eastAsia="Times New Roman" w:cs="Tahoma"/>
          <w:bCs/>
          <w:iCs/>
          <w:color w:val="auto"/>
          <w:sz w:val="24"/>
          <w:szCs w:val="24"/>
          <w:lang w:val="es-ES" w:eastAsia="es-ES"/>
        </w:rPr>
        <w:t xml:space="preserve">la </w:t>
      </w:r>
      <w:r w:rsidR="00C65798" w:rsidRPr="007D35D4">
        <w:rPr>
          <w:rFonts w:eastAsia="Times New Roman" w:cs="Tahoma"/>
          <w:bCs/>
          <w:iCs/>
          <w:color w:val="auto"/>
          <w:sz w:val="24"/>
          <w:szCs w:val="24"/>
          <w:lang w:val="es-ES" w:eastAsia="es-ES"/>
        </w:rPr>
        <w:t xml:space="preserve">parte </w:t>
      </w:r>
      <w:r w:rsidR="00E86E4E" w:rsidRPr="007D35D4">
        <w:rPr>
          <w:rFonts w:eastAsia="Times New Roman" w:cs="Tahoma"/>
          <w:bCs/>
          <w:iCs/>
          <w:color w:val="auto"/>
          <w:sz w:val="24"/>
          <w:szCs w:val="24"/>
          <w:lang w:val="es-ES" w:eastAsia="es-ES"/>
        </w:rPr>
        <w:t>Recurrente</w:t>
      </w:r>
      <w:r w:rsidR="009C2849" w:rsidRPr="007D35D4">
        <w:rPr>
          <w:rFonts w:eastAsia="Times New Roman" w:cs="Tahoma"/>
          <w:bCs/>
          <w:iCs/>
          <w:color w:val="auto"/>
          <w:sz w:val="24"/>
          <w:szCs w:val="24"/>
          <w:lang w:val="es-ES" w:eastAsia="es-ES"/>
        </w:rPr>
        <w:t xml:space="preserve"> es acceder a información </w:t>
      </w:r>
      <w:r w:rsidR="00340603" w:rsidRPr="007D35D4">
        <w:rPr>
          <w:rFonts w:eastAsia="Times New Roman" w:cs="Tahoma"/>
          <w:bCs/>
          <w:iCs/>
          <w:color w:val="auto"/>
          <w:sz w:val="24"/>
          <w:szCs w:val="24"/>
          <w:lang w:val="es-ES" w:eastAsia="es-ES"/>
        </w:rPr>
        <w:t xml:space="preserve">respecto </w:t>
      </w:r>
      <w:r w:rsidR="00630576" w:rsidRPr="007D35D4">
        <w:rPr>
          <w:rFonts w:eastAsia="Times New Roman" w:cs="Tahoma"/>
          <w:bCs/>
          <w:iCs/>
          <w:color w:val="auto"/>
          <w:sz w:val="24"/>
          <w:szCs w:val="24"/>
          <w:lang w:val="es-ES" w:eastAsia="es-ES"/>
        </w:rPr>
        <w:t>a la existencia de</w:t>
      </w:r>
      <w:r w:rsidR="00C65798" w:rsidRPr="007D35D4">
        <w:rPr>
          <w:rFonts w:eastAsia="Times New Roman" w:cs="Tahoma"/>
          <w:bCs/>
          <w:iCs/>
          <w:color w:val="auto"/>
          <w:sz w:val="24"/>
          <w:szCs w:val="24"/>
          <w:lang w:val="es-ES" w:eastAsia="es-ES"/>
        </w:rPr>
        <w:t xml:space="preserve"> alguna resolución en donde la persona referida en la solicitud de la información haya sido parte del proceso</w:t>
      </w:r>
      <w:r w:rsidR="00630576" w:rsidRPr="007D35D4">
        <w:rPr>
          <w:rFonts w:eastAsia="Times New Roman" w:cs="Tahoma"/>
          <w:bCs/>
          <w:iCs/>
          <w:color w:val="auto"/>
          <w:sz w:val="24"/>
          <w:szCs w:val="24"/>
          <w:lang w:val="es-ES" w:eastAsia="es-ES"/>
        </w:rPr>
        <w:t xml:space="preserve">; </w:t>
      </w:r>
      <w:r w:rsidR="00630576" w:rsidRPr="007D35D4">
        <w:rPr>
          <w:rFonts w:eastAsia="Times New Roman" w:cs="Tahoma"/>
          <w:bCs/>
          <w:iCs/>
          <w:color w:val="auto"/>
          <w:sz w:val="24"/>
          <w:szCs w:val="24"/>
          <w:lang w:eastAsia="es-ES"/>
        </w:rPr>
        <w:t>por lo cual, es necesario analizar si se actualiza alguna causal de clasificación.</w:t>
      </w:r>
    </w:p>
    <w:p w14:paraId="02B58811" w14:textId="69641563" w:rsidR="00630576" w:rsidRPr="007D35D4" w:rsidRDefault="00630576" w:rsidP="00F40D32">
      <w:pPr>
        <w:spacing w:after="0" w:line="360" w:lineRule="auto"/>
        <w:rPr>
          <w:rFonts w:eastAsia="Times New Roman" w:cs="Tahoma"/>
          <w:bCs/>
          <w:iCs/>
          <w:color w:val="auto"/>
          <w:sz w:val="24"/>
          <w:szCs w:val="24"/>
          <w:lang w:val="es-ES" w:eastAsia="es-ES"/>
        </w:rPr>
      </w:pPr>
    </w:p>
    <w:p w14:paraId="4F226EF0" w14:textId="77777777" w:rsidR="007F7BFF" w:rsidRPr="007D35D4" w:rsidRDefault="007F7BFF"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lastRenderedPageBreak/>
        <w:t>En principio, es relevante señalar que la protección de los datos personales se encuentra prevista desde la Constitución Política de los Estados Unidos Mexicanos, que establece lo siguiente:</w:t>
      </w:r>
    </w:p>
    <w:p w14:paraId="7706BD0F" w14:textId="77777777" w:rsidR="007F7BFF" w:rsidRPr="007D35D4" w:rsidRDefault="007F7BFF" w:rsidP="00F40D32">
      <w:pPr>
        <w:spacing w:after="0" w:line="360" w:lineRule="auto"/>
        <w:rPr>
          <w:rFonts w:eastAsia="Times New Roman" w:cs="Tahoma"/>
          <w:bCs/>
          <w:iCs/>
          <w:color w:val="auto"/>
          <w:sz w:val="24"/>
          <w:szCs w:val="24"/>
          <w:lang w:eastAsia="es-ES"/>
        </w:rPr>
      </w:pPr>
    </w:p>
    <w:p w14:paraId="588FDA6A"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 w:val="24"/>
          <w:szCs w:val="24"/>
          <w:lang w:eastAsia="es-ES"/>
        </w:rPr>
        <w:t>“</w:t>
      </w:r>
      <w:r w:rsidRPr="007D35D4">
        <w:rPr>
          <w:rFonts w:eastAsia="Times New Roman" w:cs="Tahoma"/>
          <w:b/>
          <w:bCs/>
          <w:i/>
          <w:iCs/>
          <w:color w:val="auto"/>
          <w:szCs w:val="24"/>
          <w:lang w:eastAsia="es-ES"/>
        </w:rPr>
        <w:t>Artículo 6.</w:t>
      </w:r>
      <w:r w:rsidRPr="007D35D4">
        <w:rPr>
          <w:rFonts w:eastAsia="Times New Roman" w:cs="Tahoma"/>
          <w:bCs/>
          <w:i/>
          <w:iCs/>
          <w:color w:val="auto"/>
          <w:szCs w:val="24"/>
          <w:lang w:eastAsia="es-ES"/>
        </w:rPr>
        <w:t xml:space="preserv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14:paraId="21BAF8FD" w14:textId="77777777" w:rsidR="007F7BFF" w:rsidRPr="007D35D4" w:rsidRDefault="007F7BFF" w:rsidP="00C65798">
      <w:pPr>
        <w:spacing w:after="0" w:line="276" w:lineRule="auto"/>
        <w:ind w:left="567" w:right="567"/>
        <w:rPr>
          <w:rFonts w:eastAsia="Times New Roman" w:cs="Tahoma"/>
          <w:bCs/>
          <w:i/>
          <w:iCs/>
          <w:color w:val="auto"/>
          <w:szCs w:val="24"/>
          <w:lang w:eastAsia="es-ES"/>
        </w:rPr>
      </w:pPr>
    </w:p>
    <w:p w14:paraId="1CEECBA4"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
          <w:bCs/>
          <w:i/>
          <w:iCs/>
          <w:color w:val="auto"/>
          <w:szCs w:val="24"/>
          <w:lang w:eastAsia="es-ES"/>
        </w:rPr>
        <w:t>A.</w:t>
      </w:r>
      <w:r w:rsidRPr="007D35D4">
        <w:rPr>
          <w:rFonts w:eastAsia="Times New Roman" w:cs="Tahoma"/>
          <w:bCs/>
          <w:i/>
          <w:iCs/>
          <w:color w:val="auto"/>
          <w:szCs w:val="24"/>
          <w:lang w:eastAsia="es-ES"/>
        </w:rPr>
        <w:t xml:space="preserve"> Para el ejercicio del derecho de acceso a la información, la Federación, los Estados y el Distrito Federal, en el ámbito de sus respectivas competencias, se regirán por los siguientes principios y bases:</w:t>
      </w:r>
    </w:p>
    <w:p w14:paraId="1007223B"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w:t>
      </w:r>
    </w:p>
    <w:p w14:paraId="7CB8E821"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
          <w:bCs/>
          <w:i/>
          <w:iCs/>
          <w:color w:val="auto"/>
          <w:szCs w:val="24"/>
          <w:lang w:eastAsia="es-ES"/>
        </w:rPr>
        <w:t>II. La información que se refiere a la vida privada y los datos personales será protegida en los términos y con las excepciones que fijen las leyes.</w:t>
      </w:r>
    </w:p>
    <w:p w14:paraId="5CAE2AC1"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w:t>
      </w:r>
    </w:p>
    <w:p w14:paraId="20AB1631"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
          <w:bCs/>
          <w:i/>
          <w:iCs/>
          <w:color w:val="auto"/>
          <w:szCs w:val="24"/>
          <w:lang w:eastAsia="es-ES"/>
        </w:rPr>
        <w:t>Artículo 16.</w:t>
      </w:r>
      <w:r w:rsidRPr="007D35D4">
        <w:rPr>
          <w:rFonts w:eastAsia="Times New Roman" w:cs="Tahoma"/>
          <w:bCs/>
          <w:i/>
          <w:iCs/>
          <w:color w:val="auto"/>
          <w:szCs w:val="24"/>
          <w:lang w:eastAsia="es-ES"/>
        </w:rPr>
        <w:t xml:space="preserve"> …</w:t>
      </w:r>
    </w:p>
    <w:p w14:paraId="5E7F14BD"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
          <w:bCs/>
          <w:i/>
          <w:iCs/>
          <w:color w:val="auto"/>
          <w:szCs w:val="24"/>
          <w:lang w:eastAsia="es-ES"/>
        </w:rPr>
        <w:t>Toda persona tiene derecho a la protección de sus datos personales</w:t>
      </w:r>
      <w:r w:rsidRPr="007D35D4">
        <w:rPr>
          <w:rFonts w:eastAsia="Times New Roman" w:cs="Tahoma"/>
          <w:bCs/>
          <w:i/>
          <w:iCs/>
          <w:color w:val="auto"/>
          <w:szCs w:val="24"/>
          <w:lang w:eastAsia="es-ES"/>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C4B86AD"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w:t>
      </w:r>
    </w:p>
    <w:p w14:paraId="087A89E5" w14:textId="77777777" w:rsidR="007F7BFF" w:rsidRPr="007D35D4" w:rsidRDefault="007F7BFF" w:rsidP="00C65798">
      <w:pPr>
        <w:spacing w:after="0" w:line="276" w:lineRule="auto"/>
        <w:rPr>
          <w:rFonts w:eastAsia="Times New Roman" w:cs="Tahoma"/>
          <w:bCs/>
          <w:iCs/>
          <w:color w:val="auto"/>
          <w:szCs w:val="24"/>
          <w:lang w:eastAsia="es-ES"/>
        </w:rPr>
      </w:pPr>
    </w:p>
    <w:p w14:paraId="6008D102" w14:textId="77777777" w:rsidR="007F7BFF" w:rsidRPr="007D35D4" w:rsidRDefault="007F7BFF"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De la misma manera, el artículo 5° párrafo primero, vigésimo tercero, vigésimo noveno y trigésimo, de la Constitución Política del Estado Libre y Soberano de México, precisa lo siguiente:</w:t>
      </w:r>
    </w:p>
    <w:p w14:paraId="4D472A1E" w14:textId="77777777" w:rsidR="007F7BFF" w:rsidRPr="007D35D4" w:rsidRDefault="007F7BFF" w:rsidP="00C65798">
      <w:pPr>
        <w:spacing w:after="0" w:line="276" w:lineRule="auto"/>
        <w:rPr>
          <w:rFonts w:eastAsia="Times New Roman" w:cs="Tahoma"/>
          <w:bCs/>
          <w:iCs/>
          <w:color w:val="auto"/>
          <w:sz w:val="24"/>
          <w:szCs w:val="24"/>
          <w:lang w:eastAsia="es-ES"/>
        </w:rPr>
      </w:pPr>
    </w:p>
    <w:p w14:paraId="3E27AC6C" w14:textId="77777777" w:rsidR="007F7BFF" w:rsidRPr="007D35D4" w:rsidRDefault="007F7BFF" w:rsidP="00920CD4">
      <w:pPr>
        <w:spacing w:after="0" w:line="276" w:lineRule="auto"/>
        <w:ind w:left="567" w:right="567"/>
        <w:rPr>
          <w:rFonts w:eastAsia="Times New Roman" w:cs="Tahoma"/>
          <w:bCs/>
          <w:i/>
          <w:iCs/>
          <w:color w:val="auto"/>
          <w:szCs w:val="24"/>
          <w:lang w:eastAsia="es-ES"/>
        </w:rPr>
      </w:pPr>
      <w:r w:rsidRPr="007D35D4">
        <w:rPr>
          <w:rFonts w:eastAsia="Times New Roman" w:cs="Tahoma"/>
          <w:b/>
          <w:bCs/>
          <w:i/>
          <w:iCs/>
          <w:color w:val="auto"/>
          <w:szCs w:val="24"/>
          <w:lang w:eastAsia="es-ES"/>
        </w:rPr>
        <w:t>“Artículo 5.-</w:t>
      </w:r>
      <w:r w:rsidRPr="007D35D4">
        <w:rPr>
          <w:rFonts w:eastAsia="Times New Roman" w:cs="Tahoma"/>
          <w:bCs/>
          <w:iCs/>
          <w:color w:val="auto"/>
          <w:szCs w:val="24"/>
          <w:lang w:eastAsia="es-ES"/>
        </w:rPr>
        <w:t xml:space="preserve"> </w:t>
      </w:r>
      <w:r w:rsidRPr="007D35D4">
        <w:rPr>
          <w:rFonts w:eastAsia="Times New Roman" w:cs="Tahoma"/>
          <w:bCs/>
          <w:i/>
          <w:iCs/>
          <w:color w:val="auto"/>
          <w:szCs w:val="24"/>
          <w:lang w:eastAsia="es-ES"/>
        </w:rPr>
        <w:t xml:space="preserve">En el Estado de México todas las personas gozarán de los derechos humanos reconocidos en la Constitución Política de los Estados Unidos Mexicanos, en los tratados internacionales en los que el Estado mexicano sea parte, en esta Constitución y en las leyes </w:t>
      </w:r>
      <w:r w:rsidRPr="007D35D4">
        <w:rPr>
          <w:rFonts w:eastAsia="Times New Roman" w:cs="Tahoma"/>
          <w:bCs/>
          <w:i/>
          <w:iCs/>
          <w:color w:val="auto"/>
          <w:szCs w:val="24"/>
          <w:lang w:eastAsia="es-ES"/>
        </w:rPr>
        <w:lastRenderedPageBreak/>
        <w:t>que de ésta emanen, por lo que gozarán de las garantías para su protección, las cuales no podrán restringirse ni suspenderse salvo en los casos y bajo las condiciones que la Constitución Política de los Estados Unidos Mexicanos establece.</w:t>
      </w:r>
    </w:p>
    <w:p w14:paraId="130E77D0" w14:textId="77777777" w:rsidR="007F7BFF" w:rsidRPr="007D35D4" w:rsidRDefault="007F7BFF" w:rsidP="00920CD4">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w:t>
      </w:r>
    </w:p>
    <w:p w14:paraId="2D173277" w14:textId="77777777" w:rsidR="007F7BFF" w:rsidRPr="007D35D4" w:rsidRDefault="007F7BFF" w:rsidP="00920CD4">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14:paraId="6DF7D924" w14:textId="77777777" w:rsidR="007F7BFF" w:rsidRPr="007D35D4" w:rsidRDefault="007F7BFF" w:rsidP="00920CD4">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w:t>
      </w:r>
    </w:p>
    <w:p w14:paraId="58523915" w14:textId="77777777" w:rsidR="007F7BFF" w:rsidRPr="007D35D4" w:rsidRDefault="007F7BFF" w:rsidP="00920CD4">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564AFF8" w14:textId="77777777" w:rsidR="007F7BFF" w:rsidRPr="007D35D4" w:rsidRDefault="007F7BFF" w:rsidP="00920CD4">
      <w:pPr>
        <w:spacing w:after="0" w:line="276" w:lineRule="auto"/>
        <w:ind w:left="567" w:right="567"/>
        <w:rPr>
          <w:rFonts w:eastAsia="Times New Roman" w:cs="Tahoma"/>
          <w:bCs/>
          <w:i/>
          <w:iCs/>
          <w:color w:val="auto"/>
          <w:szCs w:val="24"/>
          <w:lang w:eastAsia="es-ES"/>
        </w:rPr>
      </w:pPr>
    </w:p>
    <w:p w14:paraId="62BFB906" w14:textId="77777777" w:rsidR="007F7BFF" w:rsidRPr="007D35D4" w:rsidRDefault="007F7BFF" w:rsidP="00920CD4">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Este derecho se regirá por los principios y bases siguientes:</w:t>
      </w:r>
    </w:p>
    <w:p w14:paraId="702A05A6" w14:textId="77777777" w:rsidR="007F7BFF" w:rsidRPr="007D35D4" w:rsidRDefault="007F7BFF" w:rsidP="00920CD4">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w:t>
      </w:r>
    </w:p>
    <w:p w14:paraId="1727B5C8" w14:textId="77777777" w:rsidR="007F7BFF" w:rsidRPr="007D35D4" w:rsidRDefault="007F7BFF" w:rsidP="00920CD4">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9757286" w14:textId="77777777" w:rsidR="007F7BFF" w:rsidRPr="007D35D4" w:rsidRDefault="007F7BFF" w:rsidP="00920CD4">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w:t>
      </w:r>
    </w:p>
    <w:p w14:paraId="59B779B6" w14:textId="77777777" w:rsidR="007F7BFF" w:rsidRPr="007D35D4" w:rsidRDefault="007F7BFF" w:rsidP="00920CD4">
      <w:pPr>
        <w:spacing w:after="0" w:line="276" w:lineRule="auto"/>
        <w:rPr>
          <w:rFonts w:eastAsia="Times New Roman" w:cs="Tahoma"/>
          <w:bCs/>
          <w:iCs/>
          <w:color w:val="auto"/>
          <w:szCs w:val="24"/>
          <w:lang w:eastAsia="es-ES"/>
        </w:rPr>
      </w:pPr>
    </w:p>
    <w:p w14:paraId="6EC51EB2" w14:textId="6B8A08B4" w:rsidR="007F7BFF" w:rsidRPr="007D35D4" w:rsidRDefault="007F7BFF"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w:t>
      </w:r>
      <w:r w:rsidR="00C65798" w:rsidRPr="007D35D4">
        <w:rPr>
          <w:rFonts w:eastAsia="Times New Roman" w:cs="Tahoma"/>
          <w:bCs/>
          <w:iCs/>
          <w:color w:val="auto"/>
          <w:sz w:val="24"/>
          <w:szCs w:val="24"/>
          <w:lang w:eastAsia="es-ES"/>
        </w:rPr>
        <w:t>,</w:t>
      </w:r>
      <w:r w:rsidRPr="007D35D4">
        <w:rPr>
          <w:rFonts w:eastAsia="Times New Roman" w:cs="Tahoma"/>
          <w:bCs/>
          <w:iCs/>
          <w:color w:val="auto"/>
          <w:sz w:val="24"/>
          <w:szCs w:val="24"/>
          <w:lang w:eastAsia="es-ES"/>
        </w:rPr>
        <w:t xml:space="preserve"> toda persona tiene derecho a la protección de sus datos personales.</w:t>
      </w:r>
    </w:p>
    <w:p w14:paraId="1B377BDE" w14:textId="77777777" w:rsidR="007F7BFF" w:rsidRPr="007D35D4" w:rsidRDefault="007F7BFF" w:rsidP="00F40D32">
      <w:pPr>
        <w:spacing w:after="0" w:line="360" w:lineRule="auto"/>
        <w:rPr>
          <w:rFonts w:eastAsia="Times New Roman" w:cs="Tahoma"/>
          <w:bCs/>
          <w:iCs/>
          <w:color w:val="auto"/>
          <w:sz w:val="24"/>
          <w:szCs w:val="24"/>
          <w:lang w:eastAsia="es-ES"/>
        </w:rPr>
      </w:pPr>
    </w:p>
    <w:p w14:paraId="3A97A806" w14:textId="77777777" w:rsidR="007F7BFF" w:rsidRPr="007D35D4" w:rsidRDefault="007F7BFF"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 xml:space="preserve">En ese contexto, en el artículo 24, fracción VI, de la Ley General de Transparencia y Acceso a la Información Pública, relacionado con el 24, fracción XIV, de la Ley de </w:t>
      </w:r>
      <w:r w:rsidRPr="007D35D4">
        <w:rPr>
          <w:rFonts w:eastAsia="Times New Roman" w:cs="Tahoma"/>
          <w:bCs/>
          <w:iCs/>
          <w:color w:val="auto"/>
          <w:sz w:val="24"/>
          <w:szCs w:val="24"/>
          <w:lang w:eastAsia="es-ES"/>
        </w:rPr>
        <w:lastRenderedPageBreak/>
        <w:t>Transparencia y Acceso a la Información Pública del Estado de México y Municipios, se señala que los sujetos obligados serán los responsables de proteger, resguardar y asegurar los datos personales en su posesión.</w:t>
      </w:r>
    </w:p>
    <w:p w14:paraId="6715C6BE" w14:textId="77777777" w:rsidR="007F7BFF" w:rsidRPr="007D35D4" w:rsidRDefault="007F7BFF" w:rsidP="00F40D32">
      <w:pPr>
        <w:spacing w:after="0" w:line="360" w:lineRule="auto"/>
        <w:rPr>
          <w:rFonts w:eastAsia="Times New Roman" w:cs="Tahoma"/>
          <w:bCs/>
          <w:iCs/>
          <w:color w:val="auto"/>
          <w:sz w:val="24"/>
          <w:szCs w:val="24"/>
          <w:lang w:eastAsia="es-ES"/>
        </w:rPr>
      </w:pPr>
    </w:p>
    <w:p w14:paraId="49765BB0" w14:textId="77777777" w:rsidR="007F7BFF" w:rsidRPr="007D35D4" w:rsidRDefault="007F7BFF"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En concordancia de lo anterior, el artículo 116 y 120 de la Ley General de Transparencia, prevé:</w:t>
      </w:r>
    </w:p>
    <w:p w14:paraId="5CA841A8" w14:textId="77777777" w:rsidR="007F7BFF" w:rsidRPr="007D35D4" w:rsidRDefault="007F7BFF" w:rsidP="00F40D32">
      <w:pPr>
        <w:spacing w:after="0" w:line="360" w:lineRule="auto"/>
        <w:rPr>
          <w:rFonts w:eastAsia="Times New Roman" w:cs="Tahoma"/>
          <w:bCs/>
          <w:iCs/>
          <w:color w:val="auto"/>
          <w:sz w:val="24"/>
          <w:szCs w:val="24"/>
          <w:lang w:eastAsia="es-ES"/>
        </w:rPr>
      </w:pPr>
    </w:p>
    <w:p w14:paraId="3DEBB840"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
          <w:bCs/>
          <w:i/>
          <w:iCs/>
          <w:color w:val="auto"/>
          <w:szCs w:val="24"/>
          <w:lang w:eastAsia="es-ES"/>
        </w:rPr>
        <w:t>“Artículo 116.</w:t>
      </w:r>
      <w:r w:rsidRPr="007D35D4">
        <w:rPr>
          <w:rFonts w:eastAsia="Times New Roman" w:cs="Tahoma"/>
          <w:bCs/>
          <w:i/>
          <w:iCs/>
          <w:color w:val="auto"/>
          <w:szCs w:val="24"/>
          <w:lang w:eastAsia="es-ES"/>
        </w:rPr>
        <w:t xml:space="preserve"> Se considera información confidencial la que contiene datos personales concernientes a una persona identificada o identificable.</w:t>
      </w:r>
    </w:p>
    <w:p w14:paraId="17085082"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w:t>
      </w:r>
    </w:p>
    <w:p w14:paraId="35055C3A"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
          <w:bCs/>
          <w:i/>
          <w:iCs/>
          <w:color w:val="auto"/>
          <w:szCs w:val="24"/>
          <w:lang w:eastAsia="es-ES"/>
        </w:rPr>
        <w:t>Artículo 120.</w:t>
      </w:r>
      <w:r w:rsidRPr="007D35D4">
        <w:rPr>
          <w:rFonts w:eastAsia="Times New Roman" w:cs="Tahoma"/>
          <w:bCs/>
          <w:i/>
          <w:iCs/>
          <w:color w:val="auto"/>
          <w:szCs w:val="24"/>
          <w:lang w:eastAsia="es-ES"/>
        </w:rPr>
        <w:t xml:space="preserve"> Para que los sujetos obligados puedan permitir el acceso a información confidencial requieren obtener el consentimiento de los particulares titulares de la información. </w:t>
      </w:r>
    </w:p>
    <w:p w14:paraId="29AFDE1C" w14:textId="77777777" w:rsidR="007F7BFF" w:rsidRPr="007D35D4" w:rsidRDefault="007F7BFF" w:rsidP="00C65798">
      <w:pPr>
        <w:spacing w:after="0" w:line="276" w:lineRule="auto"/>
        <w:ind w:left="567" w:right="567"/>
        <w:rPr>
          <w:rFonts w:eastAsia="Times New Roman" w:cs="Tahoma"/>
          <w:bCs/>
          <w:i/>
          <w:iCs/>
          <w:color w:val="auto"/>
          <w:szCs w:val="24"/>
          <w:lang w:eastAsia="es-ES"/>
        </w:rPr>
      </w:pPr>
    </w:p>
    <w:p w14:paraId="5AE8A51F"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 xml:space="preserve">No se requerirá el consentimiento del titular de la información confidencial cuando: </w:t>
      </w:r>
    </w:p>
    <w:p w14:paraId="49E26309" w14:textId="77777777" w:rsidR="007F7BFF" w:rsidRPr="007D35D4" w:rsidRDefault="007F7BFF" w:rsidP="00C65798">
      <w:pPr>
        <w:spacing w:after="0" w:line="276" w:lineRule="auto"/>
        <w:ind w:left="567" w:right="567"/>
        <w:rPr>
          <w:rFonts w:eastAsia="Times New Roman" w:cs="Tahoma"/>
          <w:bCs/>
          <w:i/>
          <w:iCs/>
          <w:color w:val="auto"/>
          <w:szCs w:val="24"/>
          <w:lang w:eastAsia="es-ES"/>
        </w:rPr>
      </w:pPr>
    </w:p>
    <w:p w14:paraId="0CFE2AC9"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 xml:space="preserve">I. La información se encuentre en registros públicos o fuentes de acceso público; </w:t>
      </w:r>
    </w:p>
    <w:p w14:paraId="0DBC24AF"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 xml:space="preserve">II. Por ley tenga el carácter de pública; </w:t>
      </w:r>
    </w:p>
    <w:p w14:paraId="05D801E1"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 xml:space="preserve">III. Exista una orden judicial; </w:t>
      </w:r>
    </w:p>
    <w:p w14:paraId="4ACCBFF9"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 xml:space="preserve">IV. Por razones de seguridad nacional y salubridad general, o para proteger los derechos de terceros, se requiera su publicación, o </w:t>
      </w:r>
    </w:p>
    <w:p w14:paraId="2BED85E1"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5235DB15"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w:t>
      </w:r>
    </w:p>
    <w:p w14:paraId="7722A65E" w14:textId="77777777" w:rsidR="007F7BFF" w:rsidRPr="007D35D4" w:rsidRDefault="007F7BFF" w:rsidP="00F40D32">
      <w:pPr>
        <w:spacing w:after="0" w:line="360" w:lineRule="auto"/>
        <w:rPr>
          <w:rFonts w:eastAsia="Times New Roman" w:cs="Tahoma"/>
          <w:bCs/>
          <w:iCs/>
          <w:color w:val="auto"/>
          <w:sz w:val="24"/>
          <w:szCs w:val="24"/>
          <w:lang w:eastAsia="es-ES"/>
        </w:rPr>
      </w:pPr>
    </w:p>
    <w:p w14:paraId="706AF449" w14:textId="667B57CB" w:rsidR="007F7BFF" w:rsidRPr="007D35D4" w:rsidRDefault="007F7BFF"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Situación que retoma de manera similar la Ley Estatal de Transparencia, en los artículos 143, fracción I, 147 y 148, que señalan:</w:t>
      </w:r>
    </w:p>
    <w:p w14:paraId="5C8DE3DB" w14:textId="77777777" w:rsidR="00920CD4" w:rsidRPr="007D35D4" w:rsidRDefault="00920CD4" w:rsidP="00F40D32">
      <w:pPr>
        <w:spacing w:after="0" w:line="360" w:lineRule="auto"/>
        <w:rPr>
          <w:rFonts w:eastAsia="Times New Roman" w:cs="Tahoma"/>
          <w:bCs/>
          <w:iCs/>
          <w:color w:val="auto"/>
          <w:sz w:val="24"/>
          <w:szCs w:val="24"/>
          <w:lang w:eastAsia="es-ES"/>
        </w:rPr>
      </w:pPr>
    </w:p>
    <w:p w14:paraId="522A947F" w14:textId="77777777" w:rsidR="007F7BFF" w:rsidRPr="007D35D4" w:rsidRDefault="007F7BFF" w:rsidP="00C65798">
      <w:pPr>
        <w:spacing w:after="0" w:line="276" w:lineRule="auto"/>
        <w:ind w:left="567" w:right="567"/>
        <w:rPr>
          <w:rFonts w:eastAsia="Times New Roman" w:cs="Tahoma"/>
          <w:b/>
          <w:bCs/>
          <w:i/>
          <w:iCs/>
          <w:color w:val="auto"/>
          <w:szCs w:val="24"/>
          <w:lang w:eastAsia="es-ES"/>
        </w:rPr>
      </w:pPr>
      <w:r w:rsidRPr="007D35D4">
        <w:rPr>
          <w:rFonts w:eastAsia="Times New Roman" w:cs="Tahoma"/>
          <w:b/>
          <w:bCs/>
          <w:i/>
          <w:iCs/>
          <w:color w:val="auto"/>
          <w:szCs w:val="24"/>
          <w:lang w:eastAsia="es-ES"/>
        </w:rPr>
        <w:lastRenderedPageBreak/>
        <w:t xml:space="preserve">“Artículo 143. </w:t>
      </w:r>
      <w:r w:rsidRPr="007D35D4">
        <w:rPr>
          <w:rFonts w:eastAsia="Times New Roman" w:cs="Tahoma"/>
          <w:bCs/>
          <w:i/>
          <w:iCs/>
          <w:color w:val="auto"/>
          <w:szCs w:val="24"/>
          <w:lang w:eastAsia="es-ES"/>
        </w:rPr>
        <w:t>Para los efectos de esta Ley se considera información confidencial, la clasificada como tal, de manera permanente, por su naturaleza, cuando:</w:t>
      </w:r>
      <w:r w:rsidRPr="007D35D4">
        <w:rPr>
          <w:rFonts w:eastAsia="Times New Roman" w:cs="Tahoma"/>
          <w:b/>
          <w:bCs/>
          <w:i/>
          <w:iCs/>
          <w:color w:val="auto"/>
          <w:szCs w:val="24"/>
          <w:lang w:eastAsia="es-ES"/>
        </w:rPr>
        <w:t xml:space="preserve"> </w:t>
      </w:r>
    </w:p>
    <w:p w14:paraId="468FAF44" w14:textId="77777777" w:rsidR="007F7BFF" w:rsidRPr="007D35D4" w:rsidRDefault="007F7BFF" w:rsidP="00C65798">
      <w:pPr>
        <w:spacing w:after="0" w:line="276" w:lineRule="auto"/>
        <w:ind w:left="567" w:right="567"/>
        <w:rPr>
          <w:rFonts w:eastAsia="Times New Roman" w:cs="Tahoma"/>
          <w:b/>
          <w:bCs/>
          <w:i/>
          <w:iCs/>
          <w:color w:val="auto"/>
          <w:szCs w:val="24"/>
          <w:lang w:eastAsia="es-ES"/>
        </w:rPr>
      </w:pPr>
    </w:p>
    <w:p w14:paraId="1143A975"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I. Se refiera a la información privada y los datos personales concernientes a una persona física o jurídica colectiva identificada o identificable;</w:t>
      </w:r>
    </w:p>
    <w:p w14:paraId="6BC8BA9A"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w:t>
      </w:r>
    </w:p>
    <w:p w14:paraId="0EABA2A1"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
          <w:bCs/>
          <w:i/>
          <w:iCs/>
          <w:color w:val="auto"/>
          <w:szCs w:val="24"/>
          <w:lang w:eastAsia="es-ES"/>
        </w:rPr>
        <w:t>Artículo 147.</w:t>
      </w:r>
      <w:r w:rsidRPr="007D35D4">
        <w:rPr>
          <w:rFonts w:eastAsia="Times New Roman" w:cs="Tahoma"/>
          <w:bCs/>
          <w:i/>
          <w:iCs/>
          <w:color w:val="auto"/>
          <w:szCs w:val="24"/>
          <w:lang w:eastAsia="es-ES"/>
        </w:rPr>
        <w:t xml:space="preserve"> Para que los sujetos obligados puedan permitir el acceso a información confidencial requieren obtener el consentimiento de los particulares titulares de la información. </w:t>
      </w:r>
    </w:p>
    <w:p w14:paraId="698AB78D" w14:textId="77777777" w:rsidR="007F7BFF" w:rsidRPr="007D35D4" w:rsidRDefault="007F7BFF" w:rsidP="00C65798">
      <w:pPr>
        <w:spacing w:after="0" w:line="276" w:lineRule="auto"/>
        <w:ind w:left="567" w:right="567"/>
        <w:rPr>
          <w:rFonts w:eastAsia="Times New Roman" w:cs="Tahoma"/>
          <w:bCs/>
          <w:i/>
          <w:iCs/>
          <w:color w:val="auto"/>
          <w:szCs w:val="24"/>
          <w:lang w:eastAsia="es-ES"/>
        </w:rPr>
      </w:pPr>
    </w:p>
    <w:p w14:paraId="09B09DDA"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
          <w:bCs/>
          <w:i/>
          <w:iCs/>
          <w:color w:val="auto"/>
          <w:szCs w:val="24"/>
          <w:lang w:eastAsia="es-ES"/>
        </w:rPr>
        <w:t xml:space="preserve">Artículo 148. </w:t>
      </w:r>
      <w:r w:rsidRPr="007D35D4">
        <w:rPr>
          <w:rFonts w:eastAsia="Times New Roman" w:cs="Tahoma"/>
          <w:bCs/>
          <w:i/>
          <w:iCs/>
          <w:color w:val="auto"/>
          <w:szCs w:val="24"/>
          <w:lang w:eastAsia="es-ES"/>
        </w:rPr>
        <w:t xml:space="preserve">No se requerirá el consentimiento del titular de la información confidencial cuando: </w:t>
      </w:r>
    </w:p>
    <w:p w14:paraId="57A470D0" w14:textId="77777777" w:rsidR="007F7BFF" w:rsidRPr="007D35D4" w:rsidRDefault="007F7BFF" w:rsidP="00C65798">
      <w:pPr>
        <w:spacing w:after="0" w:line="276" w:lineRule="auto"/>
        <w:ind w:left="567" w:right="567"/>
        <w:rPr>
          <w:rFonts w:eastAsia="Times New Roman" w:cs="Tahoma"/>
          <w:bCs/>
          <w:i/>
          <w:iCs/>
          <w:color w:val="auto"/>
          <w:szCs w:val="24"/>
          <w:lang w:eastAsia="es-ES"/>
        </w:rPr>
      </w:pPr>
    </w:p>
    <w:p w14:paraId="5A88B361"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 xml:space="preserve">I. La información se encuentre en registros públicos o fuentes de acceso público; </w:t>
      </w:r>
    </w:p>
    <w:p w14:paraId="6769C923" w14:textId="19FD1C52"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II. Por Ley tenga el carácter de pública;</w:t>
      </w:r>
      <w:r w:rsidR="00C65798" w:rsidRPr="007D35D4">
        <w:rPr>
          <w:rFonts w:eastAsia="Times New Roman" w:cs="Tahoma"/>
          <w:bCs/>
          <w:i/>
          <w:iCs/>
          <w:color w:val="auto"/>
          <w:szCs w:val="24"/>
          <w:lang w:eastAsia="es-ES"/>
        </w:rPr>
        <w:t xml:space="preserve"> </w:t>
      </w:r>
    </w:p>
    <w:p w14:paraId="605621D3"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 xml:space="preserve">III. Exista una orden judicial; </w:t>
      </w:r>
    </w:p>
    <w:p w14:paraId="635C7AE2"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 xml:space="preserve">IV. Por razones de seguridad pública, o para proteger los derechos de terceros, se requiera su publicación; o </w:t>
      </w:r>
    </w:p>
    <w:p w14:paraId="6DE32B22"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3EFA9AEF" w14:textId="77777777" w:rsidR="007F7BFF" w:rsidRPr="007D35D4" w:rsidRDefault="007F7BFF" w:rsidP="00C65798">
      <w:pPr>
        <w:spacing w:after="0" w:line="276" w:lineRule="auto"/>
        <w:ind w:left="567" w:right="567"/>
        <w:rPr>
          <w:rFonts w:eastAsia="Times New Roman" w:cs="Tahoma"/>
          <w:bCs/>
          <w:i/>
          <w:iCs/>
          <w:color w:val="auto"/>
          <w:szCs w:val="24"/>
          <w:lang w:eastAsia="es-ES"/>
        </w:rPr>
      </w:pPr>
      <w:r w:rsidRPr="007D35D4">
        <w:rPr>
          <w:rFonts w:eastAsia="Times New Roman" w:cs="Tahoma"/>
          <w:bCs/>
          <w:i/>
          <w:iCs/>
          <w:color w:val="auto"/>
          <w:szCs w:val="24"/>
          <w:lang w:eastAsia="es-ES"/>
        </w:rPr>
        <w:t>…”</w:t>
      </w:r>
    </w:p>
    <w:p w14:paraId="2F1685BD" w14:textId="77777777" w:rsidR="007F7BFF" w:rsidRPr="007D35D4" w:rsidRDefault="007F7BFF" w:rsidP="00F40D32">
      <w:pPr>
        <w:spacing w:after="0" w:line="360" w:lineRule="auto"/>
        <w:rPr>
          <w:rFonts w:eastAsia="Times New Roman" w:cs="Tahoma"/>
          <w:bCs/>
          <w:iCs/>
          <w:color w:val="auto"/>
          <w:sz w:val="24"/>
          <w:szCs w:val="24"/>
          <w:lang w:eastAsia="es-ES"/>
        </w:rPr>
      </w:pPr>
    </w:p>
    <w:p w14:paraId="0E155F02" w14:textId="77777777" w:rsidR="007F7BFF" w:rsidRPr="007D35D4" w:rsidRDefault="007F7BFF" w:rsidP="00F40D32">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val="es-ES" w:eastAsia="es-ES"/>
        </w:rPr>
        <w:t>Conforme a lo anterior, se advierte que la información confidencial, es aquella que refiera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64EA7DCE" w14:textId="77777777" w:rsidR="007F7BFF" w:rsidRPr="007D35D4" w:rsidRDefault="007F7BFF" w:rsidP="00F40D32">
      <w:pPr>
        <w:spacing w:after="0" w:line="360" w:lineRule="auto"/>
        <w:rPr>
          <w:rFonts w:eastAsia="Times New Roman" w:cs="Tahoma"/>
          <w:bCs/>
          <w:iCs/>
          <w:color w:val="auto"/>
          <w:sz w:val="24"/>
          <w:szCs w:val="24"/>
          <w:lang w:val="es-ES" w:eastAsia="es-ES"/>
        </w:rPr>
      </w:pPr>
    </w:p>
    <w:p w14:paraId="12E93CE1" w14:textId="77777777" w:rsidR="007F7BFF" w:rsidRPr="007D35D4" w:rsidRDefault="007F7BFF" w:rsidP="00F40D32">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val="es-ES" w:eastAsia="es-ES"/>
        </w:rPr>
        <w:t xml:space="preserve">De igual forma, para que los sujetos obligados puedan permitir el acceso a información confidencial, requieren obtener el consentimiento de los particulares titulares de la </w:t>
      </w:r>
      <w:r w:rsidRPr="007D35D4">
        <w:rPr>
          <w:rFonts w:eastAsia="Times New Roman" w:cs="Tahoma"/>
          <w:bCs/>
          <w:iCs/>
          <w:color w:val="auto"/>
          <w:sz w:val="24"/>
          <w:szCs w:val="24"/>
          <w:lang w:val="es-ES" w:eastAsia="es-ES"/>
        </w:rPr>
        <w:lastRenderedPageBreak/>
        <w:t xml:space="preserve">información, excepto cuando i) la información se encuentre en registros públicos o fuentes de acceso público, </w:t>
      </w:r>
      <w:proofErr w:type="spellStart"/>
      <w:r w:rsidRPr="007D35D4">
        <w:rPr>
          <w:rFonts w:eastAsia="Times New Roman" w:cs="Tahoma"/>
          <w:bCs/>
          <w:iCs/>
          <w:color w:val="auto"/>
          <w:sz w:val="24"/>
          <w:szCs w:val="24"/>
          <w:lang w:val="es-ES" w:eastAsia="es-ES"/>
        </w:rPr>
        <w:t>ii</w:t>
      </w:r>
      <w:proofErr w:type="spellEnd"/>
      <w:r w:rsidRPr="007D35D4">
        <w:rPr>
          <w:rFonts w:eastAsia="Times New Roman" w:cs="Tahoma"/>
          <w:bCs/>
          <w:iCs/>
          <w:color w:val="auto"/>
          <w:sz w:val="24"/>
          <w:szCs w:val="24"/>
          <w:lang w:val="es-ES" w:eastAsia="es-ES"/>
        </w:rPr>
        <w:t xml:space="preserve">) por ley tenga el carácter de pública, </w:t>
      </w:r>
      <w:proofErr w:type="spellStart"/>
      <w:r w:rsidRPr="007D35D4">
        <w:rPr>
          <w:rFonts w:eastAsia="Times New Roman" w:cs="Tahoma"/>
          <w:bCs/>
          <w:iCs/>
          <w:color w:val="auto"/>
          <w:sz w:val="24"/>
          <w:szCs w:val="24"/>
          <w:lang w:val="es-ES" w:eastAsia="es-ES"/>
        </w:rPr>
        <w:t>iii</w:t>
      </w:r>
      <w:proofErr w:type="spellEnd"/>
      <w:r w:rsidRPr="007D35D4">
        <w:rPr>
          <w:rFonts w:eastAsia="Times New Roman" w:cs="Tahoma"/>
          <w:bCs/>
          <w:iCs/>
          <w:color w:val="auto"/>
          <w:sz w:val="24"/>
          <w:szCs w:val="24"/>
          <w:lang w:val="es-ES" w:eastAsia="es-ES"/>
        </w:rPr>
        <w:t xml:space="preserve">) exista una orden judicial, </w:t>
      </w:r>
      <w:proofErr w:type="spellStart"/>
      <w:r w:rsidRPr="007D35D4">
        <w:rPr>
          <w:rFonts w:eastAsia="Times New Roman" w:cs="Tahoma"/>
          <w:bCs/>
          <w:iCs/>
          <w:color w:val="auto"/>
          <w:sz w:val="24"/>
          <w:szCs w:val="24"/>
          <w:lang w:val="es-ES" w:eastAsia="es-ES"/>
        </w:rPr>
        <w:t>iv</w:t>
      </w:r>
      <w:proofErr w:type="spellEnd"/>
      <w:r w:rsidRPr="007D35D4">
        <w:rPr>
          <w:rFonts w:eastAsia="Times New Roman" w:cs="Tahoma"/>
          <w:bCs/>
          <w:iCs/>
          <w:color w:val="auto"/>
          <w:sz w:val="24"/>
          <w:szCs w:val="24"/>
          <w:lang w:val="es-ES" w:eastAsia="es-ES"/>
        </w:rPr>
        <w:t>) por razones de seguridad nacional y salubridad general o v) para proteger los derechos de terceros o cuando se transmita entre sujetos obligados en términos de los tratados y los acuerdos interinstitucionales.</w:t>
      </w:r>
    </w:p>
    <w:p w14:paraId="18D12C94" w14:textId="77777777" w:rsidR="007F7BFF" w:rsidRPr="007D35D4" w:rsidRDefault="007F7BFF" w:rsidP="00F40D32">
      <w:pPr>
        <w:spacing w:after="0" w:line="360" w:lineRule="auto"/>
        <w:rPr>
          <w:rFonts w:eastAsia="Times New Roman" w:cs="Tahoma"/>
          <w:bCs/>
          <w:iCs/>
          <w:color w:val="auto"/>
          <w:sz w:val="24"/>
          <w:szCs w:val="24"/>
          <w:lang w:val="es-ES" w:eastAsia="es-ES"/>
        </w:rPr>
      </w:pPr>
    </w:p>
    <w:p w14:paraId="2BA7DD05" w14:textId="77777777" w:rsidR="007F7BFF" w:rsidRPr="007D35D4" w:rsidRDefault="007F7BFF" w:rsidP="00F40D32">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val="es-ES" w:eastAsia="es-ES"/>
        </w:rPr>
        <w:t>Además, los sujetos obligados serán responsables de los datos personales y, en relación con éstos, deberán cumplir, con las obligaciones establecidas en las leyes de la materia y en la Ley General de Transparencia y Acceso a la Información Pública.</w:t>
      </w:r>
    </w:p>
    <w:p w14:paraId="0766CAE3" w14:textId="77777777" w:rsidR="007F7BFF" w:rsidRPr="007D35D4" w:rsidRDefault="007F7BFF" w:rsidP="00F40D32">
      <w:pPr>
        <w:spacing w:after="0" w:line="360" w:lineRule="auto"/>
        <w:rPr>
          <w:rFonts w:eastAsia="Times New Roman" w:cs="Tahoma"/>
          <w:b/>
          <w:bCs/>
          <w:iCs/>
          <w:color w:val="auto"/>
          <w:sz w:val="24"/>
          <w:szCs w:val="24"/>
          <w:lang w:eastAsia="es-ES"/>
        </w:rPr>
      </w:pPr>
    </w:p>
    <w:p w14:paraId="0D820D35" w14:textId="77777777" w:rsidR="007F7BFF" w:rsidRPr="007D35D4" w:rsidRDefault="007F7BFF" w:rsidP="00F40D32">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val="es-ES" w:eastAsia="es-E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51415A35" w14:textId="77777777" w:rsidR="007F7BFF" w:rsidRPr="007D35D4" w:rsidRDefault="007F7BFF" w:rsidP="00F40D32">
      <w:pPr>
        <w:spacing w:after="0" w:line="360" w:lineRule="auto"/>
        <w:rPr>
          <w:rFonts w:eastAsia="Times New Roman" w:cs="Tahoma"/>
          <w:bCs/>
          <w:iCs/>
          <w:color w:val="auto"/>
          <w:sz w:val="24"/>
          <w:szCs w:val="24"/>
          <w:lang w:val="es-ES" w:eastAsia="es-ES"/>
        </w:rPr>
      </w:pPr>
    </w:p>
    <w:p w14:paraId="532E86AF" w14:textId="77777777" w:rsidR="007F7BFF" w:rsidRPr="007D35D4" w:rsidRDefault="007F7BFF" w:rsidP="00F40D32">
      <w:pPr>
        <w:numPr>
          <w:ilvl w:val="0"/>
          <w:numId w:val="27"/>
        </w:numPr>
        <w:spacing w:after="0" w:line="360" w:lineRule="auto"/>
        <w:rPr>
          <w:rFonts w:eastAsia="Times New Roman" w:cs="Tahoma"/>
          <w:bCs/>
          <w:iCs/>
          <w:color w:val="auto"/>
          <w:szCs w:val="24"/>
          <w:lang w:val="es-ES" w:eastAsia="es-ES"/>
        </w:rPr>
      </w:pPr>
      <w:r w:rsidRPr="007D35D4">
        <w:rPr>
          <w:rFonts w:eastAsia="Times New Roman" w:cs="Tahoma"/>
          <w:bCs/>
          <w:iCs/>
          <w:color w:val="auto"/>
          <w:szCs w:val="24"/>
          <w:lang w:val="es-ES" w:eastAsia="es-ES"/>
        </w:rPr>
        <w:t xml:space="preserve">Se trate de datos personales, esto es, información concerniente a una persona física y que ésta sea identificada o identificable o bien, sea aquella que refiera aspectos de la vida privada o íntima de las personas. </w:t>
      </w:r>
    </w:p>
    <w:p w14:paraId="3AF1C2D6" w14:textId="77777777" w:rsidR="007F7BFF" w:rsidRPr="007D35D4" w:rsidRDefault="007F7BFF" w:rsidP="00F40D32">
      <w:pPr>
        <w:spacing w:after="0" w:line="360" w:lineRule="auto"/>
        <w:rPr>
          <w:rFonts w:eastAsia="Times New Roman" w:cs="Tahoma"/>
          <w:bCs/>
          <w:iCs/>
          <w:color w:val="auto"/>
          <w:szCs w:val="24"/>
          <w:lang w:val="es-ES" w:eastAsia="es-ES"/>
        </w:rPr>
      </w:pPr>
    </w:p>
    <w:p w14:paraId="67CC6EB8" w14:textId="77777777" w:rsidR="007F7BFF" w:rsidRPr="007D35D4" w:rsidRDefault="007F7BFF" w:rsidP="00F40D32">
      <w:pPr>
        <w:numPr>
          <w:ilvl w:val="0"/>
          <w:numId w:val="27"/>
        </w:numPr>
        <w:spacing w:after="0" w:line="360" w:lineRule="auto"/>
        <w:rPr>
          <w:rFonts w:eastAsia="Times New Roman" w:cs="Tahoma"/>
          <w:bCs/>
          <w:iCs/>
          <w:color w:val="auto"/>
          <w:szCs w:val="24"/>
          <w:lang w:val="es-ES" w:eastAsia="es-ES"/>
        </w:rPr>
      </w:pPr>
      <w:r w:rsidRPr="007D35D4">
        <w:rPr>
          <w:rFonts w:eastAsia="Times New Roman" w:cs="Tahoma"/>
          <w:bCs/>
          <w:iCs/>
          <w:color w:val="auto"/>
          <w:szCs w:val="24"/>
          <w:lang w:val="es-ES" w:eastAsia="es-ES"/>
        </w:rPr>
        <w:t xml:space="preserve">Para la difusión de los datos, se requiera el consentimiento del titular. </w:t>
      </w:r>
    </w:p>
    <w:p w14:paraId="28C08706" w14:textId="77777777" w:rsidR="007F7BFF" w:rsidRPr="007D35D4" w:rsidRDefault="007F7BFF" w:rsidP="00F40D32">
      <w:pPr>
        <w:spacing w:after="0" w:line="360" w:lineRule="auto"/>
        <w:rPr>
          <w:rFonts w:eastAsia="Times New Roman" w:cs="Tahoma"/>
          <w:bCs/>
          <w:iCs/>
          <w:color w:val="auto"/>
          <w:sz w:val="24"/>
          <w:szCs w:val="24"/>
          <w:lang w:eastAsia="es-ES"/>
        </w:rPr>
      </w:pPr>
    </w:p>
    <w:p w14:paraId="7D08C685" w14:textId="77777777" w:rsidR="007F7BFF" w:rsidRPr="007D35D4" w:rsidRDefault="007F7BFF" w:rsidP="00F40D32">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val="es-ES" w:eastAsia="es-ES"/>
        </w:rPr>
        <w:t xml:space="preserve">En ese orden de ideas, el artículo 4°, fracción IX, de la Ley General de Protección de Datos Personales en Posesión de Sujetos Obligados y 4°, fracción XI, de la Ley de Protección de Datos Personales en Posesión de Sujetos Obligados del Estado de México </w:t>
      </w:r>
      <w:r w:rsidRPr="007D35D4">
        <w:rPr>
          <w:rFonts w:eastAsia="Times New Roman" w:cs="Tahoma"/>
          <w:bCs/>
          <w:iCs/>
          <w:color w:val="auto"/>
          <w:sz w:val="24"/>
          <w:szCs w:val="24"/>
          <w:lang w:val="es-ES" w:eastAsia="es-ES"/>
        </w:rPr>
        <w:lastRenderedPageBreak/>
        <w:t xml:space="preserve">y Municipios, establece que los </w:t>
      </w:r>
      <w:r w:rsidRPr="007D35D4">
        <w:rPr>
          <w:rFonts w:eastAsia="Times New Roman" w:cs="Tahoma"/>
          <w:b/>
          <w:iCs/>
          <w:color w:val="auto"/>
          <w:sz w:val="24"/>
          <w:szCs w:val="24"/>
          <w:lang w:val="es-ES" w:eastAsia="es-ES"/>
        </w:rPr>
        <w:t>datos personales corresponden a la información concerniente a una persona física identificada o identificable</w:t>
      </w:r>
      <w:r w:rsidRPr="007D35D4">
        <w:rPr>
          <w:rFonts w:eastAsia="Times New Roman" w:cs="Tahoma"/>
          <w:bCs/>
          <w:iCs/>
          <w:color w:val="auto"/>
          <w:sz w:val="24"/>
          <w:szCs w:val="24"/>
          <w:lang w:val="es-ES" w:eastAsia="es-ES"/>
        </w:rPr>
        <w:t>.</w:t>
      </w:r>
    </w:p>
    <w:p w14:paraId="045F13AD" w14:textId="77777777" w:rsidR="006177DE" w:rsidRPr="007D35D4" w:rsidRDefault="006177DE" w:rsidP="00F40D32">
      <w:pPr>
        <w:spacing w:after="0" w:line="360" w:lineRule="auto"/>
        <w:rPr>
          <w:rFonts w:eastAsia="Times New Roman" w:cs="Tahoma"/>
          <w:bCs/>
          <w:iCs/>
          <w:color w:val="auto"/>
          <w:sz w:val="24"/>
          <w:szCs w:val="24"/>
          <w:lang w:val="es-ES" w:eastAsia="es-ES"/>
        </w:rPr>
      </w:pPr>
    </w:p>
    <w:p w14:paraId="1A8D8D34" w14:textId="2658FC84" w:rsidR="002F18C5" w:rsidRPr="007D35D4" w:rsidRDefault="00D36B32" w:rsidP="00F40D32">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val="es-ES" w:eastAsia="es-ES"/>
        </w:rPr>
        <w:t xml:space="preserve">Por otra parte, </w:t>
      </w:r>
      <w:r w:rsidR="00CA66FB" w:rsidRPr="007D35D4">
        <w:rPr>
          <w:rFonts w:eastAsia="Times New Roman" w:cs="Tahoma"/>
          <w:bCs/>
          <w:iCs/>
          <w:color w:val="auto"/>
          <w:sz w:val="24"/>
          <w:szCs w:val="24"/>
          <w:lang w:val="es-ES" w:eastAsia="es-ES"/>
        </w:rPr>
        <w:t xml:space="preserve">la definición de un </w:t>
      </w:r>
      <w:r w:rsidR="00C32EDE" w:rsidRPr="007D35D4">
        <w:rPr>
          <w:rFonts w:eastAsia="Times New Roman" w:cs="Tahoma"/>
          <w:bCs/>
          <w:iCs/>
          <w:color w:val="auto"/>
          <w:sz w:val="24"/>
          <w:szCs w:val="24"/>
          <w:lang w:val="es-ES" w:eastAsia="es-ES"/>
        </w:rPr>
        <w:t>d</w:t>
      </w:r>
      <w:r w:rsidRPr="007D35D4">
        <w:rPr>
          <w:rFonts w:eastAsia="Times New Roman" w:cs="Tahoma"/>
          <w:bCs/>
          <w:iCs/>
          <w:color w:val="auto"/>
          <w:sz w:val="24"/>
          <w:szCs w:val="24"/>
          <w:lang w:val="es-ES" w:eastAsia="es-ES"/>
        </w:rPr>
        <w:t xml:space="preserve">ato </w:t>
      </w:r>
      <w:r w:rsidR="00C32EDE" w:rsidRPr="007D35D4">
        <w:rPr>
          <w:rFonts w:eastAsia="Times New Roman" w:cs="Tahoma"/>
          <w:bCs/>
          <w:iCs/>
          <w:color w:val="auto"/>
          <w:sz w:val="24"/>
          <w:szCs w:val="24"/>
          <w:lang w:val="es-ES" w:eastAsia="es-ES"/>
        </w:rPr>
        <w:t>p</w:t>
      </w:r>
      <w:r w:rsidRPr="007D35D4">
        <w:rPr>
          <w:rFonts w:eastAsia="Times New Roman" w:cs="Tahoma"/>
          <w:bCs/>
          <w:iCs/>
          <w:color w:val="auto"/>
          <w:sz w:val="24"/>
          <w:szCs w:val="24"/>
          <w:lang w:val="es-ES" w:eastAsia="es-ES"/>
        </w:rPr>
        <w:t>ersonal</w:t>
      </w:r>
      <w:r w:rsidR="002132D0" w:rsidRPr="007D35D4">
        <w:rPr>
          <w:rFonts w:eastAsia="Times New Roman" w:cs="Tahoma"/>
          <w:bCs/>
          <w:iCs/>
          <w:color w:val="auto"/>
          <w:sz w:val="24"/>
          <w:szCs w:val="24"/>
          <w:lang w:val="es-ES" w:eastAsia="es-ES"/>
        </w:rPr>
        <w:t>, en palabras de D</w:t>
      </w:r>
      <w:r w:rsidR="002132D0" w:rsidRPr="007D35D4">
        <w:rPr>
          <w:rFonts w:eastAsia="Times New Roman" w:cs="Tahoma"/>
          <w:bCs/>
          <w:iCs/>
          <w:color w:val="auto"/>
          <w:sz w:val="24"/>
          <w:szCs w:val="24"/>
          <w:lang w:eastAsia="es-ES"/>
        </w:rPr>
        <w:t xml:space="preserve">avara, Isabel; Barco, Gregorio, Barco; y Cervantes, Alexis (2019), en el </w:t>
      </w:r>
      <w:r w:rsidR="002132D0" w:rsidRPr="007D35D4">
        <w:rPr>
          <w:rFonts w:eastAsia="Times New Roman" w:cs="Tahoma"/>
          <w:bCs/>
          <w:iCs/>
          <w:color w:val="auto"/>
          <w:szCs w:val="24"/>
          <w:lang w:eastAsia="es-ES"/>
        </w:rPr>
        <w:t>“</w:t>
      </w:r>
      <w:r w:rsidR="002132D0" w:rsidRPr="007D35D4">
        <w:rPr>
          <w:rFonts w:eastAsia="Times New Roman" w:cs="Tahoma"/>
          <w:bCs/>
          <w:i/>
          <w:iCs/>
          <w:color w:val="auto"/>
          <w:szCs w:val="24"/>
          <w:lang w:eastAsia="es-ES"/>
        </w:rPr>
        <w:t>Diccionario de Protección de Datos Personales Conceptos Fundamentales”</w:t>
      </w:r>
      <w:r w:rsidR="002132D0" w:rsidRPr="007D35D4">
        <w:rPr>
          <w:rFonts w:eastAsia="Times New Roman" w:cs="Tahoma"/>
          <w:bCs/>
          <w:iCs/>
          <w:color w:val="auto"/>
          <w:sz w:val="24"/>
          <w:szCs w:val="24"/>
          <w:lang w:eastAsia="es-ES"/>
        </w:rPr>
        <w:t xml:space="preserve"> (p. </w:t>
      </w:r>
      <w:r w:rsidR="00CA66FB" w:rsidRPr="007D35D4">
        <w:rPr>
          <w:rFonts w:eastAsia="Times New Roman" w:cs="Tahoma"/>
          <w:bCs/>
          <w:iCs/>
          <w:color w:val="auto"/>
          <w:sz w:val="24"/>
          <w:szCs w:val="24"/>
          <w:lang w:eastAsia="es-ES"/>
        </w:rPr>
        <w:t>211</w:t>
      </w:r>
      <w:r w:rsidR="002132D0" w:rsidRPr="007D35D4">
        <w:rPr>
          <w:rFonts w:eastAsia="Times New Roman" w:cs="Tahoma"/>
          <w:bCs/>
          <w:iCs/>
          <w:color w:val="auto"/>
          <w:sz w:val="24"/>
          <w:szCs w:val="24"/>
          <w:lang w:eastAsia="es-ES"/>
        </w:rPr>
        <w:t>),</w:t>
      </w:r>
      <w:r w:rsidR="00C32EDE" w:rsidRPr="007D35D4">
        <w:rPr>
          <w:rFonts w:eastAsia="Times New Roman" w:cs="Tahoma"/>
          <w:bCs/>
          <w:iCs/>
          <w:color w:val="auto"/>
          <w:sz w:val="24"/>
          <w:szCs w:val="24"/>
          <w:lang w:eastAsia="es-ES"/>
        </w:rPr>
        <w:t xml:space="preserve"> consta de cuatro elementos, a saber: </w:t>
      </w:r>
      <w:r w:rsidR="0059585A" w:rsidRPr="007D35D4">
        <w:rPr>
          <w:rFonts w:eastAsia="Times New Roman" w:cs="Tahoma"/>
          <w:bCs/>
          <w:iCs/>
          <w:color w:val="auto"/>
          <w:sz w:val="24"/>
          <w:szCs w:val="24"/>
          <w:lang w:eastAsia="es-ES"/>
        </w:rPr>
        <w:t>a) que se refiera a cualquier tipo de información, b) que concierna a una persona</w:t>
      </w:r>
      <w:r w:rsidR="00F63581" w:rsidRPr="007D35D4">
        <w:rPr>
          <w:rFonts w:eastAsia="Times New Roman" w:cs="Tahoma"/>
          <w:bCs/>
          <w:iCs/>
          <w:color w:val="auto"/>
          <w:sz w:val="24"/>
          <w:szCs w:val="24"/>
          <w:lang w:eastAsia="es-ES"/>
        </w:rPr>
        <w:t xml:space="preserve">, c) que se refiera a una persona física y </w:t>
      </w:r>
      <w:r w:rsidR="003F1D4C" w:rsidRPr="007D35D4">
        <w:rPr>
          <w:rFonts w:eastAsia="Times New Roman" w:cs="Tahoma"/>
          <w:bCs/>
          <w:iCs/>
          <w:color w:val="auto"/>
          <w:sz w:val="24"/>
          <w:szCs w:val="24"/>
          <w:lang w:eastAsia="es-ES"/>
        </w:rPr>
        <w:t xml:space="preserve">d) que toda esta información lo haga identificada o identificable. </w:t>
      </w:r>
    </w:p>
    <w:p w14:paraId="091C78EC" w14:textId="77777777" w:rsidR="007D1F52" w:rsidRPr="007D35D4" w:rsidRDefault="007D1F52" w:rsidP="00F40D32">
      <w:pPr>
        <w:spacing w:after="0" w:line="360" w:lineRule="auto"/>
        <w:rPr>
          <w:rFonts w:eastAsia="Times New Roman" w:cs="Tahoma"/>
          <w:bCs/>
          <w:iCs/>
          <w:color w:val="auto"/>
          <w:sz w:val="24"/>
          <w:szCs w:val="24"/>
          <w:lang w:val="es-ES" w:eastAsia="es-ES"/>
        </w:rPr>
      </w:pPr>
    </w:p>
    <w:p w14:paraId="61E0086B" w14:textId="4A6B2C10" w:rsidR="00625320" w:rsidRPr="007D35D4" w:rsidRDefault="00625320" w:rsidP="00F40D32">
      <w:pPr>
        <w:spacing w:after="0" w:line="360" w:lineRule="auto"/>
        <w:rPr>
          <w:rFonts w:eastAsia="Calibri" w:cs="Tahoma"/>
          <w:sz w:val="24"/>
          <w:szCs w:val="24"/>
          <w:lang w:val="es-ES"/>
        </w:rPr>
      </w:pPr>
      <w:r w:rsidRPr="007D35D4">
        <w:rPr>
          <w:rFonts w:eastAsia="Calibri" w:cs="Tahoma"/>
          <w:sz w:val="24"/>
          <w:szCs w:val="24"/>
          <w:lang w:val="es-ES"/>
        </w:rPr>
        <w:t>Así, se puede desprender que la información que dé cuenta respecto a que una persona es actor o demandado (homologo), de un procedimiento administrativo seguido en forma de juicio o jurisdiccional, en cualquier materia, corresponde a un dato personal que afecta su esfera privada.</w:t>
      </w:r>
    </w:p>
    <w:p w14:paraId="7844595B" w14:textId="77777777" w:rsidR="00F306FA" w:rsidRPr="007D35D4" w:rsidRDefault="00F306FA" w:rsidP="00F40D32">
      <w:pPr>
        <w:spacing w:after="0" w:line="360" w:lineRule="auto"/>
        <w:rPr>
          <w:rFonts w:eastAsia="Calibri" w:cs="Tahoma"/>
          <w:sz w:val="24"/>
          <w:szCs w:val="24"/>
          <w:lang w:val="es-ES"/>
        </w:rPr>
      </w:pPr>
    </w:p>
    <w:p w14:paraId="0707477D" w14:textId="39285E2A" w:rsidR="003025DE" w:rsidRPr="007D35D4" w:rsidRDefault="00A45087" w:rsidP="00F40D32">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val="es-ES" w:eastAsia="es-ES"/>
        </w:rPr>
        <w:t xml:space="preserve">Al respecto, el segundo párrafo del artículo 17, de la Constitución Política de los Estados Unidos Mexicanos dispone que, </w:t>
      </w:r>
      <w:r w:rsidR="00DB35F9" w:rsidRPr="007D35D4">
        <w:rPr>
          <w:rFonts w:eastAsia="Times New Roman" w:cs="Tahoma"/>
          <w:bCs/>
          <w:iCs/>
          <w:color w:val="auto"/>
          <w:sz w:val="24"/>
          <w:szCs w:val="24"/>
          <w:lang w:val="es-ES" w:eastAsia="es-ES"/>
        </w:rPr>
        <w:t xml:space="preserve">toda persona tiene derecho a que se le administre justicia </w:t>
      </w:r>
      <w:r w:rsidR="00873CDE" w:rsidRPr="007D35D4">
        <w:rPr>
          <w:rFonts w:eastAsia="Times New Roman" w:cs="Tahoma"/>
          <w:bCs/>
          <w:iCs/>
          <w:color w:val="auto"/>
          <w:sz w:val="24"/>
          <w:szCs w:val="24"/>
          <w:lang w:val="es-ES" w:eastAsia="es-ES"/>
        </w:rPr>
        <w:t>por tribunales que estarán expeditos para impartirla en los plazos y términos que fijen las leyes</w:t>
      </w:r>
      <w:r w:rsidR="00E23964" w:rsidRPr="007D35D4">
        <w:rPr>
          <w:rFonts w:eastAsia="Times New Roman" w:cs="Tahoma"/>
          <w:bCs/>
          <w:iCs/>
          <w:color w:val="auto"/>
          <w:sz w:val="24"/>
          <w:szCs w:val="24"/>
          <w:lang w:val="es-ES" w:eastAsia="es-ES"/>
        </w:rPr>
        <w:t xml:space="preserve">, emitiendo sus resoluciones de manera pronta, completa e imparcial. </w:t>
      </w:r>
    </w:p>
    <w:p w14:paraId="2A1F6AEA" w14:textId="77777777" w:rsidR="00EF22D0" w:rsidRPr="007D35D4" w:rsidRDefault="00EF22D0" w:rsidP="00F40D32">
      <w:pPr>
        <w:spacing w:after="0" w:line="360" w:lineRule="auto"/>
        <w:rPr>
          <w:rFonts w:eastAsia="Times New Roman" w:cs="Tahoma"/>
          <w:bCs/>
          <w:iCs/>
          <w:color w:val="auto"/>
          <w:sz w:val="24"/>
          <w:szCs w:val="24"/>
          <w:lang w:val="es-ES" w:eastAsia="es-ES"/>
        </w:rPr>
      </w:pPr>
    </w:p>
    <w:p w14:paraId="7DD30257" w14:textId="054561FA" w:rsidR="003025DE" w:rsidRPr="007D35D4" w:rsidRDefault="00EA701B" w:rsidP="00F40D32">
      <w:pPr>
        <w:spacing w:after="0" w:line="360" w:lineRule="auto"/>
        <w:rPr>
          <w:bCs/>
          <w:sz w:val="24"/>
          <w:szCs w:val="24"/>
        </w:rPr>
      </w:pPr>
      <w:r w:rsidRPr="007D35D4">
        <w:rPr>
          <w:rFonts w:eastAsia="Times New Roman" w:cs="Tahoma"/>
          <w:bCs/>
          <w:iCs/>
          <w:color w:val="auto"/>
          <w:sz w:val="24"/>
          <w:szCs w:val="24"/>
          <w:lang w:val="es-ES" w:eastAsia="es-ES"/>
        </w:rPr>
        <w:t>Además</w:t>
      </w:r>
      <w:r w:rsidR="00814CAB" w:rsidRPr="007D35D4">
        <w:rPr>
          <w:sz w:val="24"/>
          <w:szCs w:val="24"/>
        </w:rPr>
        <w:t xml:space="preserve">, es oportuno traer el estudio </w:t>
      </w:r>
      <w:r w:rsidR="00D83EA5" w:rsidRPr="007D35D4">
        <w:rPr>
          <w:sz w:val="24"/>
          <w:szCs w:val="24"/>
        </w:rPr>
        <w:t>la</w:t>
      </w:r>
      <w:r w:rsidR="00027981" w:rsidRPr="007D35D4">
        <w:rPr>
          <w:sz w:val="24"/>
          <w:szCs w:val="24"/>
        </w:rPr>
        <w:t xml:space="preserve"> Tesis: I.9o.C.27 K</w:t>
      </w:r>
      <w:r w:rsidR="00FF4FB7" w:rsidRPr="007D35D4">
        <w:rPr>
          <w:sz w:val="24"/>
          <w:szCs w:val="24"/>
        </w:rPr>
        <w:t xml:space="preserve">, </w:t>
      </w:r>
      <w:r w:rsidR="00F56EC2" w:rsidRPr="007D35D4">
        <w:rPr>
          <w:sz w:val="24"/>
          <w:szCs w:val="24"/>
        </w:rPr>
        <w:t xml:space="preserve">Novena Época, </w:t>
      </w:r>
      <w:r w:rsidR="00FF4FB7" w:rsidRPr="007D35D4">
        <w:rPr>
          <w:sz w:val="24"/>
          <w:szCs w:val="24"/>
        </w:rPr>
        <w:t xml:space="preserve">con número de registro 182261, del </w:t>
      </w:r>
      <w:r w:rsidR="00FF4FB7" w:rsidRPr="007D35D4">
        <w:rPr>
          <w:rFonts w:eastAsia="Times New Roman" w:cs="Tahoma"/>
          <w:bCs/>
          <w:iCs/>
          <w:color w:val="auto"/>
          <w:sz w:val="24"/>
          <w:szCs w:val="24"/>
          <w:lang w:val="es-ES" w:eastAsia="es-ES"/>
        </w:rPr>
        <w:t>Noveno Tribunal Colegiado en Materia Civil del Primer Circuito</w:t>
      </w:r>
      <w:r w:rsidR="00814CAB" w:rsidRPr="007D35D4">
        <w:rPr>
          <w:rFonts w:eastAsia="Times New Roman" w:cs="Tahoma"/>
          <w:bCs/>
          <w:iCs/>
          <w:color w:val="auto"/>
          <w:sz w:val="24"/>
          <w:szCs w:val="24"/>
          <w:lang w:val="es-ES" w:eastAsia="es-ES"/>
        </w:rPr>
        <w:t xml:space="preserve">, </w:t>
      </w:r>
      <w:r w:rsidR="005B5A9D" w:rsidRPr="007D35D4">
        <w:rPr>
          <w:rFonts w:eastAsia="Times New Roman" w:cs="Tahoma"/>
          <w:bCs/>
          <w:iCs/>
          <w:color w:val="auto"/>
          <w:sz w:val="24"/>
          <w:szCs w:val="24"/>
          <w:lang w:val="es-ES" w:eastAsia="es-ES"/>
        </w:rPr>
        <w:t xml:space="preserve">en la cual se dispone que </w:t>
      </w:r>
      <w:r w:rsidR="002B39B0" w:rsidRPr="007D35D4">
        <w:rPr>
          <w:rFonts w:eastAsia="Times New Roman" w:cs="Tahoma"/>
          <w:bCs/>
          <w:iCs/>
          <w:color w:val="auto"/>
          <w:sz w:val="24"/>
          <w:szCs w:val="24"/>
          <w:lang w:val="es-ES" w:eastAsia="es-ES"/>
        </w:rPr>
        <w:t xml:space="preserve">a </w:t>
      </w:r>
      <w:r w:rsidR="00612796" w:rsidRPr="007D35D4">
        <w:rPr>
          <w:rFonts w:eastAsia="Times New Roman" w:cs="Tahoma"/>
          <w:bCs/>
          <w:iCs/>
          <w:color w:val="auto"/>
          <w:sz w:val="24"/>
          <w:szCs w:val="24"/>
          <w:lang w:val="es-ES" w:eastAsia="es-ES"/>
        </w:rPr>
        <w:t>diferencia de los actos administrativos</w:t>
      </w:r>
      <w:r w:rsidR="004D3675" w:rsidRPr="007D35D4">
        <w:rPr>
          <w:rFonts w:eastAsia="Times New Roman" w:cs="Tahoma"/>
          <w:bCs/>
          <w:iCs/>
          <w:color w:val="auto"/>
          <w:sz w:val="24"/>
          <w:szCs w:val="24"/>
          <w:lang w:val="es-ES" w:eastAsia="es-ES"/>
        </w:rPr>
        <w:t xml:space="preserve"> que </w:t>
      </w:r>
      <w:r w:rsidR="00612796" w:rsidRPr="007D35D4">
        <w:rPr>
          <w:sz w:val="24"/>
          <w:szCs w:val="24"/>
        </w:rPr>
        <w:t xml:space="preserve">son dictados en forma unilateral por la autoridad y no siempre se tramitan mediante un </w:t>
      </w:r>
      <w:r w:rsidR="00612796" w:rsidRPr="007D35D4">
        <w:rPr>
          <w:sz w:val="24"/>
          <w:szCs w:val="24"/>
        </w:rPr>
        <w:lastRenderedPageBreak/>
        <w:t>procedimiento</w:t>
      </w:r>
      <w:r w:rsidR="004D3675" w:rsidRPr="007D35D4">
        <w:rPr>
          <w:sz w:val="24"/>
          <w:szCs w:val="24"/>
        </w:rPr>
        <w:t xml:space="preserve">, los actos en el ámbito </w:t>
      </w:r>
      <w:r w:rsidR="00295883" w:rsidRPr="007D35D4">
        <w:rPr>
          <w:rFonts w:eastAsia="Times New Roman" w:cs="Tahoma"/>
          <w:bCs/>
          <w:iCs/>
          <w:color w:val="auto"/>
          <w:sz w:val="24"/>
          <w:szCs w:val="24"/>
          <w:lang w:val="es-ES" w:eastAsia="es-ES"/>
        </w:rPr>
        <w:t xml:space="preserve">jurisdiccional la autoridad es sólo mediadora en la controversia suscitada entre los particulares, y el procedimiento se lleva a cabo a través de una serie de </w:t>
      </w:r>
      <w:r w:rsidR="00295883" w:rsidRPr="007D35D4">
        <w:rPr>
          <w:rFonts w:eastAsia="Times New Roman" w:cs="Tahoma"/>
          <w:b/>
          <w:iCs/>
          <w:color w:val="auto"/>
          <w:sz w:val="24"/>
          <w:szCs w:val="24"/>
          <w:lang w:val="es-ES" w:eastAsia="es-ES"/>
        </w:rPr>
        <w:t>actos concatenados que son provocados por las propias partes en el proceso</w:t>
      </w:r>
      <w:r w:rsidR="00BC54EA" w:rsidRPr="007D35D4">
        <w:rPr>
          <w:rFonts w:eastAsia="Times New Roman" w:cs="Tahoma"/>
          <w:b/>
          <w:iCs/>
          <w:color w:val="auto"/>
          <w:sz w:val="24"/>
          <w:szCs w:val="24"/>
          <w:lang w:val="es-ES" w:eastAsia="es-ES"/>
        </w:rPr>
        <w:t xml:space="preserve">, </w:t>
      </w:r>
      <w:r w:rsidRPr="007D35D4">
        <w:rPr>
          <w:rFonts w:eastAsia="Times New Roman" w:cs="Tahoma"/>
          <w:bCs/>
          <w:iCs/>
          <w:color w:val="auto"/>
          <w:sz w:val="24"/>
          <w:szCs w:val="24"/>
          <w:lang w:val="es-ES" w:eastAsia="es-ES"/>
        </w:rPr>
        <w:t>tal como se muestra a continuación:</w:t>
      </w:r>
    </w:p>
    <w:p w14:paraId="51CC546A" w14:textId="77777777" w:rsidR="00EA701B" w:rsidRPr="007D35D4" w:rsidRDefault="00EA701B" w:rsidP="00F40D32">
      <w:pPr>
        <w:spacing w:after="0" w:line="360" w:lineRule="auto"/>
        <w:ind w:left="567" w:right="567"/>
        <w:rPr>
          <w:rFonts w:eastAsia="Times New Roman" w:cs="Tahoma"/>
          <w:b/>
          <w:bCs/>
          <w:i/>
          <w:color w:val="auto"/>
          <w:sz w:val="24"/>
          <w:szCs w:val="24"/>
          <w:lang w:val="es-ES" w:eastAsia="es-ES"/>
        </w:rPr>
      </w:pPr>
    </w:p>
    <w:p w14:paraId="69ED7098" w14:textId="4EC5B7BE" w:rsidR="00F56EC2" w:rsidRPr="007D35D4" w:rsidRDefault="00EA701B" w:rsidP="00C65798">
      <w:pPr>
        <w:spacing w:after="0" w:line="276" w:lineRule="auto"/>
        <w:ind w:left="567" w:right="567"/>
        <w:rPr>
          <w:rFonts w:eastAsia="Times New Roman" w:cs="Tahoma"/>
          <w:bCs/>
          <w:i/>
          <w:color w:val="auto"/>
          <w:szCs w:val="24"/>
          <w:lang w:val="es-ES" w:eastAsia="es-ES"/>
        </w:rPr>
      </w:pPr>
      <w:r w:rsidRPr="007D35D4">
        <w:rPr>
          <w:rFonts w:eastAsia="Times New Roman" w:cs="Tahoma"/>
          <w:b/>
          <w:bCs/>
          <w:i/>
          <w:color w:val="auto"/>
          <w:szCs w:val="24"/>
          <w:lang w:val="es-ES" w:eastAsia="es-ES"/>
        </w:rPr>
        <w:t>“</w:t>
      </w:r>
      <w:r w:rsidR="00F56EC2" w:rsidRPr="007D35D4">
        <w:rPr>
          <w:rFonts w:eastAsia="Times New Roman" w:cs="Tahoma"/>
          <w:b/>
          <w:bCs/>
          <w:i/>
          <w:color w:val="auto"/>
          <w:szCs w:val="24"/>
          <w:lang w:val="es-ES" w:eastAsia="es-ES"/>
        </w:rPr>
        <w:t>ACTOS ADMINISTRATIVOS Y JURISDICCIONALES. SUS DIFERENCIAS.</w:t>
      </w:r>
      <w:r w:rsidRPr="007D35D4">
        <w:rPr>
          <w:rFonts w:eastAsia="Times New Roman" w:cs="Tahoma"/>
          <w:b/>
          <w:bCs/>
          <w:i/>
          <w:color w:val="auto"/>
          <w:szCs w:val="24"/>
          <w:lang w:val="es-ES" w:eastAsia="es-ES"/>
        </w:rPr>
        <w:t xml:space="preserve"> </w:t>
      </w:r>
      <w:r w:rsidR="00F56EC2" w:rsidRPr="007D35D4">
        <w:rPr>
          <w:rFonts w:eastAsia="Times New Roman" w:cs="Tahoma"/>
          <w:bCs/>
          <w:i/>
          <w:color w:val="auto"/>
          <w:szCs w:val="24"/>
          <w:lang w:val="es-ES" w:eastAsia="es-ES"/>
        </w:rPr>
        <w:t xml:space="preserve">En materia administrativa los actos son dictados en forma unilateral por la autoridad y no siempre se tramitan mediante un procedimiento; por tanto, no existe una verdadera controversia entre la autoridad y un particular. En algunos casos, la autoridad administrativa da inicio al procedimiento a través de una orden dirigida al particular, quien debe acatarla o combatirla a través del juicio de nulidad o del recurso que prevea la ley que rige a ese acto. En cambio, </w:t>
      </w:r>
      <w:r w:rsidR="00F56EC2" w:rsidRPr="007D35D4">
        <w:rPr>
          <w:rFonts w:eastAsia="Times New Roman" w:cs="Tahoma"/>
          <w:b/>
          <w:i/>
          <w:color w:val="auto"/>
          <w:szCs w:val="24"/>
          <w:lang w:val="es-ES" w:eastAsia="es-ES"/>
        </w:rPr>
        <w:t>en el ámbito jurisdiccional la autoridad es sólo mediadora en la controversia suscitada entre los particulares, y el procedimiento se lleva a cabo a través de una serie de actos concatenados que son provocados por las propias partes en el proceso</w:t>
      </w:r>
      <w:r w:rsidR="00F56EC2" w:rsidRPr="007D35D4">
        <w:rPr>
          <w:rFonts w:eastAsia="Times New Roman" w:cs="Tahoma"/>
          <w:bCs/>
          <w:i/>
          <w:color w:val="auto"/>
          <w:szCs w:val="24"/>
          <w:lang w:val="es-ES" w:eastAsia="es-ES"/>
        </w:rPr>
        <w:t>, es decir, un procedimiento jurisdiccional inicia con la presentación de la demanda y culmina con la sentencia definitiva, y se forma con una serie de etapas que prevé la ley adjetiva y que sujeta a los particulares; es decir, la presentación de la demanda trae como consecuencia que se lleve a cabo el emplazamiento de la contraparte; el ofrecimiento de pruebas trae como consecuencia su admisión y desahogo; sin embargo, puede suceder que una vez presentada la demanda no se lleve a cabo el emplazamiento, en virtud de que el actor desista de la acción o de la instancia; asimismo, el ofrecimiento de pruebas no implica necesariamente su admisión y desahogo, porque las partes podrían desistir del ofrecimiento o no realizar los actos necesarios para su desahogo.</w:t>
      </w:r>
    </w:p>
    <w:p w14:paraId="55055567" w14:textId="77777777" w:rsidR="00F56EC2" w:rsidRPr="007D35D4" w:rsidRDefault="00F56EC2" w:rsidP="00F40D32">
      <w:pPr>
        <w:spacing w:after="0" w:line="360" w:lineRule="auto"/>
        <w:rPr>
          <w:rFonts w:eastAsia="Times New Roman" w:cs="Tahoma"/>
          <w:bCs/>
          <w:iCs/>
          <w:color w:val="auto"/>
          <w:sz w:val="24"/>
          <w:szCs w:val="24"/>
          <w:lang w:val="es-ES" w:eastAsia="es-ES"/>
        </w:rPr>
      </w:pPr>
    </w:p>
    <w:p w14:paraId="0C86440C" w14:textId="7124E514" w:rsidR="00920CD4" w:rsidRPr="007D35D4" w:rsidRDefault="007375C5" w:rsidP="00F40D32">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val="es-ES" w:eastAsia="es-ES"/>
        </w:rPr>
        <w:t xml:space="preserve">Conforme a lo anterior, </w:t>
      </w:r>
      <w:r w:rsidR="00C70CF6" w:rsidRPr="007D35D4">
        <w:rPr>
          <w:rFonts w:eastAsia="Times New Roman" w:cs="Tahoma"/>
          <w:bCs/>
          <w:iCs/>
          <w:color w:val="auto"/>
          <w:sz w:val="24"/>
          <w:szCs w:val="24"/>
          <w:lang w:val="es-ES" w:eastAsia="es-ES"/>
        </w:rPr>
        <w:t>a</w:t>
      </w:r>
      <w:r w:rsidR="00266416" w:rsidRPr="007D35D4">
        <w:rPr>
          <w:rFonts w:cs="Tahoma"/>
          <w:iCs/>
          <w:sz w:val="24"/>
          <w:szCs w:val="24"/>
          <w:lang w:val="es-ES"/>
        </w:rPr>
        <w:t>l identificar a las partes</w:t>
      </w:r>
      <w:r w:rsidR="00C65798" w:rsidRPr="007D35D4">
        <w:rPr>
          <w:rFonts w:cs="Tahoma"/>
          <w:iCs/>
          <w:sz w:val="24"/>
          <w:szCs w:val="24"/>
          <w:lang w:val="es-ES"/>
        </w:rPr>
        <w:t>,</w:t>
      </w:r>
      <w:r w:rsidR="00266416" w:rsidRPr="007D35D4">
        <w:rPr>
          <w:rFonts w:cs="Tahoma"/>
          <w:iCs/>
          <w:sz w:val="24"/>
          <w:szCs w:val="24"/>
          <w:lang w:val="es-ES"/>
        </w:rPr>
        <w:t xml:space="preserve"> </w:t>
      </w:r>
      <w:r w:rsidR="00EA701B" w:rsidRPr="007D35D4">
        <w:rPr>
          <w:rFonts w:cs="Tahoma"/>
          <w:iCs/>
          <w:sz w:val="24"/>
          <w:szCs w:val="24"/>
          <w:lang w:val="es-ES"/>
        </w:rPr>
        <w:t>la parte Recurrente</w:t>
      </w:r>
      <w:r w:rsidR="00C65798" w:rsidRPr="007D35D4">
        <w:rPr>
          <w:rFonts w:cs="Tahoma"/>
          <w:iCs/>
          <w:sz w:val="24"/>
          <w:szCs w:val="24"/>
          <w:lang w:val="es-ES"/>
        </w:rPr>
        <w:t xml:space="preserve"> </w:t>
      </w:r>
      <w:r w:rsidR="00266416" w:rsidRPr="007D35D4">
        <w:rPr>
          <w:rFonts w:cs="Tahoma"/>
          <w:iCs/>
          <w:sz w:val="24"/>
          <w:szCs w:val="24"/>
          <w:lang w:val="es-ES"/>
        </w:rPr>
        <w:t xml:space="preserve">pretende acceder a información </w:t>
      </w:r>
      <w:r w:rsidR="007132F9" w:rsidRPr="007D35D4">
        <w:rPr>
          <w:rFonts w:cs="Tahoma"/>
          <w:iCs/>
          <w:sz w:val="24"/>
          <w:szCs w:val="24"/>
          <w:lang w:val="es-ES"/>
        </w:rPr>
        <w:t xml:space="preserve">de índole </w:t>
      </w:r>
      <w:r w:rsidR="00266416" w:rsidRPr="007D35D4">
        <w:rPr>
          <w:rFonts w:cs="Tahoma"/>
          <w:iCs/>
          <w:sz w:val="24"/>
          <w:szCs w:val="24"/>
          <w:lang w:val="es-ES"/>
        </w:rPr>
        <w:t xml:space="preserve">privada, pues </w:t>
      </w:r>
      <w:r w:rsidR="007132F9" w:rsidRPr="007D35D4">
        <w:rPr>
          <w:rFonts w:cs="Tahoma"/>
          <w:iCs/>
          <w:sz w:val="24"/>
          <w:szCs w:val="24"/>
          <w:lang w:val="es-ES"/>
        </w:rPr>
        <w:t xml:space="preserve">la información de su </w:t>
      </w:r>
      <w:r w:rsidR="00723034" w:rsidRPr="007D35D4">
        <w:rPr>
          <w:rFonts w:cs="Tahoma"/>
          <w:iCs/>
          <w:sz w:val="24"/>
          <w:szCs w:val="24"/>
          <w:lang w:val="es-ES"/>
        </w:rPr>
        <w:t>interés</w:t>
      </w:r>
      <w:r w:rsidR="007132F9" w:rsidRPr="007D35D4">
        <w:rPr>
          <w:rFonts w:cs="Tahoma"/>
          <w:iCs/>
          <w:sz w:val="24"/>
          <w:szCs w:val="24"/>
          <w:lang w:val="es-ES"/>
        </w:rPr>
        <w:t xml:space="preserve"> </w:t>
      </w:r>
      <w:r w:rsidR="00266416" w:rsidRPr="007D35D4">
        <w:rPr>
          <w:rFonts w:cs="Tahoma"/>
          <w:iCs/>
          <w:sz w:val="24"/>
          <w:szCs w:val="24"/>
          <w:lang w:val="es-ES"/>
        </w:rPr>
        <w:t xml:space="preserve">se refiere a la vida </w:t>
      </w:r>
      <w:r w:rsidR="00EA701B" w:rsidRPr="007D35D4">
        <w:rPr>
          <w:rFonts w:cs="Tahoma"/>
          <w:iCs/>
          <w:sz w:val="24"/>
          <w:szCs w:val="24"/>
          <w:lang w:val="es-ES"/>
        </w:rPr>
        <w:t>íntima</w:t>
      </w:r>
      <w:r w:rsidR="00266416" w:rsidRPr="007D35D4">
        <w:rPr>
          <w:rFonts w:cs="Tahoma"/>
          <w:iCs/>
          <w:sz w:val="24"/>
          <w:szCs w:val="24"/>
          <w:lang w:val="es-ES"/>
        </w:rPr>
        <w:t xml:space="preserve"> </w:t>
      </w:r>
      <w:r w:rsidR="00EA701B" w:rsidRPr="007D35D4">
        <w:rPr>
          <w:rFonts w:cs="Tahoma"/>
          <w:iCs/>
          <w:sz w:val="24"/>
          <w:szCs w:val="24"/>
          <w:lang w:val="es-ES"/>
        </w:rPr>
        <w:t>de particulares</w:t>
      </w:r>
      <w:r w:rsidR="00C222FD" w:rsidRPr="007D35D4">
        <w:rPr>
          <w:rFonts w:cs="Tahoma"/>
          <w:iCs/>
          <w:sz w:val="24"/>
          <w:szCs w:val="24"/>
          <w:lang w:val="es-ES"/>
        </w:rPr>
        <w:t xml:space="preserve">, de tal suerte que, </w:t>
      </w:r>
      <w:r w:rsidR="0067776C" w:rsidRPr="007D35D4">
        <w:rPr>
          <w:rFonts w:eastAsia="Times New Roman" w:cs="Tahoma"/>
          <w:bCs/>
          <w:iCs/>
          <w:color w:val="auto"/>
          <w:sz w:val="24"/>
          <w:szCs w:val="24"/>
          <w:lang w:val="es-ES" w:eastAsia="es-ES"/>
        </w:rPr>
        <w:t xml:space="preserve">pronunciarse sobre </w:t>
      </w:r>
      <w:r w:rsidR="00EA701B" w:rsidRPr="007D35D4">
        <w:rPr>
          <w:rFonts w:eastAsia="Times New Roman" w:cs="Tahoma"/>
          <w:bCs/>
          <w:iCs/>
          <w:color w:val="auto"/>
          <w:sz w:val="24"/>
          <w:szCs w:val="24"/>
          <w:lang w:val="es-ES" w:eastAsia="es-ES"/>
        </w:rPr>
        <w:t>la existencia de juicios en donde las personas señaladas sean parte, daría cuenta de que son actores o demandados (homólogos) en un juicio, lo cual únicamente refiere a la esfera privada e íntima de estos.</w:t>
      </w:r>
    </w:p>
    <w:p w14:paraId="589A08AF" w14:textId="222CE5AC" w:rsidR="00FA7201" w:rsidRPr="007D35D4" w:rsidRDefault="00EA701B" w:rsidP="00F40D32">
      <w:pPr>
        <w:spacing w:line="360" w:lineRule="auto"/>
        <w:ind w:right="-28"/>
        <w:contextualSpacing/>
        <w:rPr>
          <w:rFonts w:eastAsia="Calibri" w:cs="Tahoma"/>
          <w:bCs/>
          <w:sz w:val="24"/>
          <w:szCs w:val="24"/>
          <w:lang w:val="es-ES"/>
        </w:rPr>
      </w:pPr>
      <w:r w:rsidRPr="007D35D4">
        <w:rPr>
          <w:rFonts w:eastAsia="Calibri" w:cs="Tahoma"/>
          <w:bCs/>
          <w:sz w:val="24"/>
          <w:szCs w:val="24"/>
          <w:lang w:val="es-ES"/>
        </w:rPr>
        <w:lastRenderedPageBreak/>
        <w:t xml:space="preserve">Sobre el tema, </w:t>
      </w:r>
      <w:r w:rsidR="00FA7201" w:rsidRPr="007D35D4">
        <w:rPr>
          <w:rFonts w:eastAsia="Calibri" w:cs="Tahoma"/>
          <w:bCs/>
          <w:sz w:val="24"/>
          <w:szCs w:val="24"/>
          <w:lang w:val="es-ES"/>
        </w:rPr>
        <w:t>el artículo 12 de la Declaración Universal de los Derechos Humanos</w:t>
      </w:r>
      <w:r w:rsidR="00FA7201" w:rsidRPr="007D35D4">
        <w:rPr>
          <w:rFonts w:eastAsia="Calibri" w:cs="Tahoma"/>
          <w:bCs/>
          <w:i/>
          <w:sz w:val="24"/>
          <w:szCs w:val="24"/>
          <w:lang w:val="es-ES"/>
        </w:rPr>
        <w:t xml:space="preserve"> </w:t>
      </w:r>
      <w:r w:rsidR="00FA7201" w:rsidRPr="007D35D4">
        <w:rPr>
          <w:rFonts w:eastAsia="Calibri" w:cs="Tahoma"/>
          <w:bCs/>
          <w:sz w:val="24"/>
          <w:szCs w:val="24"/>
          <w:lang w:val="es-ES"/>
        </w:rPr>
        <w:t xml:space="preserve">prevé que nadie será objeto de injerencias arbitrarias </w:t>
      </w:r>
      <w:r w:rsidR="00FA7201" w:rsidRPr="007D35D4">
        <w:rPr>
          <w:rFonts w:eastAsia="Calibri" w:cs="Tahoma"/>
          <w:b/>
          <w:bCs/>
          <w:sz w:val="24"/>
          <w:szCs w:val="24"/>
          <w:lang w:val="es-ES"/>
        </w:rPr>
        <w:t>en su vida privada, su familia, su domicilio o su correspondencia</w:t>
      </w:r>
      <w:r w:rsidR="00FA7201" w:rsidRPr="007D35D4">
        <w:rPr>
          <w:rFonts w:eastAsia="Calibri" w:cs="Tahoma"/>
          <w:bCs/>
          <w:sz w:val="24"/>
          <w:szCs w:val="24"/>
          <w:lang w:val="es-ES"/>
        </w:rPr>
        <w:t>, ni de ataques a su honra o a su reputación. Toda persona tiene derecho a la protección de la ley contra tales injerencias o ataques.</w:t>
      </w:r>
    </w:p>
    <w:p w14:paraId="252A9D06" w14:textId="284BF44C" w:rsidR="00723034" w:rsidRPr="007D35D4" w:rsidRDefault="00723034" w:rsidP="00F40D32">
      <w:pPr>
        <w:spacing w:after="0" w:line="360" w:lineRule="auto"/>
        <w:rPr>
          <w:rFonts w:eastAsia="Times New Roman" w:cs="Tahoma"/>
          <w:bCs/>
          <w:iCs/>
          <w:color w:val="auto"/>
          <w:sz w:val="24"/>
          <w:szCs w:val="24"/>
          <w:lang w:val="es-ES" w:eastAsia="es-ES"/>
        </w:rPr>
      </w:pPr>
    </w:p>
    <w:p w14:paraId="142BE4E2" w14:textId="77777777" w:rsidR="00E04DDD" w:rsidRPr="007D35D4" w:rsidRDefault="00E04DDD" w:rsidP="00F40D32">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val="es-ES" w:eastAsia="es-E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72F869EC" w14:textId="77777777" w:rsidR="00E04DDD" w:rsidRPr="007D35D4" w:rsidRDefault="00E04DDD" w:rsidP="00F40D32">
      <w:pPr>
        <w:spacing w:after="0" w:line="360" w:lineRule="auto"/>
        <w:rPr>
          <w:rFonts w:eastAsia="Times New Roman" w:cs="Tahoma"/>
          <w:bCs/>
          <w:iCs/>
          <w:color w:val="auto"/>
          <w:sz w:val="24"/>
          <w:szCs w:val="24"/>
          <w:lang w:val="es-ES" w:eastAsia="es-ES"/>
        </w:rPr>
      </w:pPr>
    </w:p>
    <w:p w14:paraId="3F0468F0" w14:textId="77777777" w:rsidR="00E04DDD" w:rsidRPr="007D35D4" w:rsidRDefault="00E04DDD" w:rsidP="00F40D32">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val="es-ES" w:eastAsia="es-E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273A8FBD" w14:textId="77777777" w:rsidR="00E04DDD" w:rsidRPr="007D35D4" w:rsidRDefault="00E04DDD" w:rsidP="00F40D32">
      <w:pPr>
        <w:spacing w:after="0" w:line="360" w:lineRule="auto"/>
        <w:rPr>
          <w:rFonts w:eastAsia="Times New Roman" w:cs="Tahoma"/>
          <w:bCs/>
          <w:iCs/>
          <w:color w:val="auto"/>
          <w:sz w:val="24"/>
          <w:szCs w:val="24"/>
          <w:lang w:val="es-ES" w:eastAsia="es-ES"/>
        </w:rPr>
      </w:pPr>
    </w:p>
    <w:p w14:paraId="0CA90341" w14:textId="77777777" w:rsidR="00E04DDD" w:rsidRPr="007D35D4" w:rsidRDefault="00E04DDD" w:rsidP="00F40D32">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eastAsia="es-ES"/>
        </w:rPr>
        <w:t>Abona a lo anterior,</w:t>
      </w:r>
      <w:r w:rsidRPr="007D35D4">
        <w:rPr>
          <w:rFonts w:eastAsia="Times New Roman" w:cs="Tahoma"/>
          <w:bCs/>
          <w:iCs/>
          <w:color w:val="auto"/>
          <w:sz w:val="24"/>
          <w:szCs w:val="24"/>
          <w:lang w:val="es-ES" w:eastAsia="es-ES"/>
        </w:rPr>
        <w:t xml:space="preserve">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4AEE93ED" w14:textId="77777777" w:rsidR="00E04DDD" w:rsidRPr="007D35D4" w:rsidRDefault="00E04DDD" w:rsidP="00F40D32">
      <w:pPr>
        <w:spacing w:after="0" w:line="360" w:lineRule="auto"/>
        <w:rPr>
          <w:rFonts w:eastAsia="Times New Roman" w:cs="Tahoma"/>
          <w:bCs/>
          <w:iCs/>
          <w:color w:val="auto"/>
          <w:sz w:val="24"/>
          <w:szCs w:val="24"/>
          <w:lang w:val="es-ES" w:eastAsia="es-ES"/>
        </w:rPr>
      </w:pPr>
    </w:p>
    <w:p w14:paraId="3DADD798" w14:textId="77777777" w:rsidR="00E04DDD" w:rsidRPr="007D35D4" w:rsidRDefault="00E04DDD" w:rsidP="00C65798">
      <w:pPr>
        <w:spacing w:after="0" w:line="276" w:lineRule="auto"/>
        <w:ind w:left="567" w:right="567"/>
        <w:rPr>
          <w:rFonts w:eastAsia="Times New Roman" w:cs="Tahoma"/>
          <w:bCs/>
          <w:i/>
          <w:iCs/>
          <w:color w:val="auto"/>
          <w:szCs w:val="24"/>
          <w:lang w:val="es-ES" w:eastAsia="es-ES"/>
        </w:rPr>
      </w:pPr>
      <w:r w:rsidRPr="007D35D4">
        <w:rPr>
          <w:rFonts w:eastAsia="Times New Roman" w:cs="Tahoma"/>
          <w:bCs/>
          <w:i/>
          <w:iCs/>
          <w:color w:val="auto"/>
          <w:szCs w:val="24"/>
          <w:lang w:val="es-ES" w:eastAsia="es-ES"/>
        </w:rPr>
        <w:t>“</w:t>
      </w:r>
      <w:r w:rsidRPr="007D35D4">
        <w:rPr>
          <w:rFonts w:eastAsia="Times New Roman" w:cs="Tahoma"/>
          <w:b/>
          <w:bCs/>
          <w:i/>
          <w:iCs/>
          <w:color w:val="auto"/>
          <w:szCs w:val="24"/>
          <w:lang w:val="es-ES" w:eastAsia="es-ES"/>
        </w:rPr>
        <w:t xml:space="preserve">DERECHO A LA VIDA PRIVADA. SU CONTENIDO GENERAL Y LA IMPORTANCIA DE NO DESCONTEXTUALIZAR LAS REFERENCIAS A LA </w:t>
      </w:r>
      <w:r w:rsidRPr="007D35D4">
        <w:rPr>
          <w:rFonts w:eastAsia="Times New Roman" w:cs="Tahoma"/>
          <w:b/>
          <w:bCs/>
          <w:i/>
          <w:iCs/>
          <w:color w:val="auto"/>
          <w:szCs w:val="24"/>
          <w:lang w:val="es-ES" w:eastAsia="es-ES"/>
        </w:rPr>
        <w:lastRenderedPageBreak/>
        <w:t xml:space="preserve">MISMA. </w:t>
      </w:r>
      <w:r w:rsidRPr="007D35D4">
        <w:rPr>
          <w:rFonts w:eastAsia="Times New Roman" w:cs="Tahoma"/>
          <w:bCs/>
          <w:i/>
          <w:iCs/>
          <w:color w:val="auto"/>
          <w:szCs w:val="24"/>
          <w:lang w:val="es-ES" w:eastAsia="es-ES"/>
        </w:rPr>
        <w:t xml:space="preserve">La Suprema Corte de Justicia de la Nación se ha referido en varias tesis a los </w:t>
      </w:r>
      <w:r w:rsidRPr="007D35D4">
        <w:rPr>
          <w:rFonts w:eastAsia="Times New Roman" w:cs="Tahoma"/>
          <w:bCs/>
          <w:i/>
          <w:iCs/>
          <w:color w:val="auto"/>
          <w:szCs w:val="24"/>
          <w:u w:val="single"/>
          <w:lang w:val="es-ES" w:eastAsia="es-ES"/>
        </w:rPr>
        <w:t>rasgos característicos de la noción de lo ‘privado’</w:t>
      </w:r>
      <w:r w:rsidRPr="007D35D4">
        <w:rPr>
          <w:rFonts w:eastAsia="Times New Roman" w:cs="Tahoma"/>
          <w:bCs/>
          <w:i/>
          <w:iCs/>
          <w:color w:val="auto"/>
          <w:szCs w:val="24"/>
          <w:lang w:val="es-ES" w:eastAsia="es-ES"/>
        </w:rPr>
        <w:t xml:space="preserve">. Así, lo ha relacionado con: lo que no constituye vida pública; </w:t>
      </w:r>
      <w:r w:rsidRPr="007D35D4">
        <w:rPr>
          <w:rFonts w:eastAsia="Times New Roman" w:cs="Tahoma"/>
          <w:bCs/>
          <w:i/>
          <w:iCs/>
          <w:color w:val="auto"/>
          <w:szCs w:val="24"/>
          <w:u w:val="single"/>
          <w:lang w:val="es-ES" w:eastAsia="es-ES"/>
        </w:rPr>
        <w:t>el ámbito reservado frente a la acción y el conocimiento de los demás</w:t>
      </w:r>
      <w:r w:rsidRPr="007D35D4">
        <w:rPr>
          <w:rFonts w:eastAsia="Times New Roman" w:cs="Tahoma"/>
          <w:bCs/>
          <w:i/>
          <w:iCs/>
          <w:color w:val="auto"/>
          <w:szCs w:val="24"/>
          <w:lang w:val="es-ES" w:eastAsia="es-ES"/>
        </w:rPr>
        <w:t xml:space="preserve">;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7D35D4">
        <w:rPr>
          <w:rFonts w:eastAsia="Times New Roman" w:cs="Tahoma"/>
          <w:b/>
          <w:bCs/>
          <w:i/>
          <w:iCs/>
          <w:color w:val="auto"/>
          <w:szCs w:val="24"/>
          <w:lang w:val="es-ES" w:eastAsia="es-E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7D35D4">
        <w:rPr>
          <w:rFonts w:eastAsia="Times New Roman" w:cs="Tahoma"/>
          <w:bCs/>
          <w:i/>
          <w:iCs/>
          <w:color w:val="auto"/>
          <w:szCs w:val="24"/>
          <w:lang w:val="es-ES" w:eastAsia="es-E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7D35D4">
        <w:rPr>
          <w:rFonts w:eastAsia="Times New Roman" w:cs="Tahoma"/>
          <w:b/>
          <w:bCs/>
          <w:i/>
          <w:iCs/>
          <w:color w:val="auto"/>
          <w:szCs w:val="24"/>
          <w:lang w:val="es-ES" w:eastAsia="es-ES"/>
        </w:rPr>
        <w:t xml:space="preserve">En un sentido amplio, </w:t>
      </w:r>
      <w:r w:rsidRPr="007D35D4">
        <w:rPr>
          <w:rFonts w:eastAsia="Times New Roman" w:cs="Tahoma"/>
          <w:b/>
          <w:bCs/>
          <w:i/>
          <w:iCs/>
          <w:color w:val="auto"/>
          <w:szCs w:val="24"/>
          <w:lang w:val="es-ES" w:eastAsia="es-ES"/>
        </w:rPr>
        <w:lastRenderedPageBreak/>
        <w:t>entonces, la protección constitucional de la vida privada implica poder conducir parte de la vida de uno protegido de la mirada y las injerencias de los demás</w:t>
      </w:r>
      <w:r w:rsidRPr="007D35D4">
        <w:rPr>
          <w:rFonts w:eastAsia="Times New Roman" w:cs="Tahoma"/>
          <w:bCs/>
          <w:i/>
          <w:iCs/>
          <w:color w:val="auto"/>
          <w:szCs w:val="24"/>
          <w:lang w:val="es-ES" w:eastAsia="es-E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5134BCA8" w14:textId="77777777" w:rsidR="00E04DDD" w:rsidRPr="007D35D4" w:rsidRDefault="00E04DDD" w:rsidP="00F40D32">
      <w:pPr>
        <w:spacing w:after="0" w:line="360" w:lineRule="auto"/>
        <w:rPr>
          <w:rFonts w:eastAsia="Times New Roman" w:cs="Tahoma"/>
          <w:bCs/>
          <w:iCs/>
          <w:color w:val="auto"/>
          <w:sz w:val="24"/>
          <w:szCs w:val="24"/>
          <w:lang w:val="es-ES" w:eastAsia="es-ES"/>
        </w:rPr>
      </w:pPr>
    </w:p>
    <w:p w14:paraId="4A757AC4" w14:textId="15ED38DC" w:rsidR="00E04DDD" w:rsidRPr="007D35D4" w:rsidRDefault="00E04DDD" w:rsidP="00F40D32">
      <w:pPr>
        <w:spacing w:after="0" w:line="360" w:lineRule="auto"/>
        <w:rPr>
          <w:rFonts w:eastAsia="Times New Roman" w:cs="Tahoma"/>
          <w:b/>
          <w:bCs/>
          <w:iCs/>
          <w:color w:val="auto"/>
          <w:sz w:val="24"/>
          <w:szCs w:val="24"/>
          <w:lang w:val="es-ES" w:eastAsia="es-ES"/>
        </w:rPr>
      </w:pPr>
      <w:r w:rsidRPr="007D35D4">
        <w:rPr>
          <w:rFonts w:eastAsia="Times New Roman" w:cs="Tahoma"/>
          <w:bCs/>
          <w:iCs/>
          <w:color w:val="auto"/>
          <w:sz w:val="24"/>
          <w:szCs w:val="24"/>
          <w:lang w:val="es-ES" w:eastAsia="es-ES"/>
        </w:rPr>
        <w:t xml:space="preserve">De conformidad con lo señalado, se colige que </w:t>
      </w:r>
      <w:r w:rsidRPr="007D35D4">
        <w:rPr>
          <w:rFonts w:eastAsia="Times New Roman" w:cs="Tahoma"/>
          <w:b/>
          <w:bCs/>
          <w:iCs/>
          <w:color w:val="auto"/>
          <w:sz w:val="24"/>
          <w:szCs w:val="24"/>
          <w:lang w:val="es-ES" w:eastAsia="es-ES"/>
        </w:rPr>
        <w:t>las actividades que realicen los particulares, dentro del ámbito privado, o dentro de la esfera particular, es información que debe protegerse, como lo es, la información relacionada con</w:t>
      </w:r>
      <w:r w:rsidR="00327EA3" w:rsidRPr="007D35D4">
        <w:rPr>
          <w:rFonts w:eastAsia="Times New Roman" w:cs="Tahoma"/>
          <w:b/>
          <w:bCs/>
          <w:iCs/>
          <w:color w:val="auto"/>
          <w:sz w:val="24"/>
          <w:szCs w:val="24"/>
          <w:lang w:val="es-ES" w:eastAsia="es-ES"/>
        </w:rPr>
        <w:t xml:space="preserve"> </w:t>
      </w:r>
      <w:r w:rsidR="00DE0B3B" w:rsidRPr="007D35D4">
        <w:rPr>
          <w:rFonts w:eastAsia="Times New Roman" w:cs="Tahoma"/>
          <w:b/>
          <w:bCs/>
          <w:iCs/>
          <w:color w:val="auto"/>
          <w:sz w:val="24"/>
          <w:szCs w:val="24"/>
          <w:lang w:val="es-ES" w:eastAsia="es-ES"/>
        </w:rPr>
        <w:t>una relación jurídica procesal</w:t>
      </w:r>
      <w:r w:rsidR="003A6198" w:rsidRPr="007D35D4">
        <w:rPr>
          <w:rFonts w:eastAsia="Times New Roman" w:cs="Tahoma"/>
          <w:b/>
          <w:bCs/>
          <w:iCs/>
          <w:color w:val="auto"/>
          <w:sz w:val="24"/>
          <w:szCs w:val="24"/>
          <w:lang w:val="es-ES" w:eastAsia="es-ES"/>
        </w:rPr>
        <w:t xml:space="preserve"> entre particulares.</w:t>
      </w:r>
    </w:p>
    <w:p w14:paraId="2F751532" w14:textId="77777777" w:rsidR="00F306FA" w:rsidRPr="007D35D4" w:rsidRDefault="00F306FA" w:rsidP="00F40D32">
      <w:pPr>
        <w:spacing w:after="0" w:line="360" w:lineRule="auto"/>
        <w:rPr>
          <w:rFonts w:eastAsia="Times New Roman" w:cs="Tahoma"/>
          <w:b/>
          <w:bCs/>
          <w:iCs/>
          <w:color w:val="auto"/>
          <w:sz w:val="24"/>
          <w:szCs w:val="24"/>
          <w:lang w:val="es-ES" w:eastAsia="es-ES"/>
        </w:rPr>
      </w:pPr>
    </w:p>
    <w:p w14:paraId="1BD89CEC" w14:textId="230AE4C7" w:rsidR="00EA701B" w:rsidRPr="007D35D4" w:rsidRDefault="00EA701B"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 xml:space="preserve">En el presente caso, </w:t>
      </w:r>
      <w:r w:rsidR="00C65798" w:rsidRPr="007D35D4">
        <w:rPr>
          <w:rFonts w:eastAsia="Times New Roman" w:cs="Tahoma"/>
          <w:bCs/>
          <w:iCs/>
          <w:color w:val="auto"/>
          <w:sz w:val="24"/>
          <w:szCs w:val="24"/>
          <w:lang w:eastAsia="es-ES"/>
        </w:rPr>
        <w:t>señalar la existencia de una resolución, es mencionar la existencia un juicio en donde se encuentra involucrada la persona referida en la solicitud de información, lo cual</w:t>
      </w:r>
      <w:r w:rsidRPr="007D35D4">
        <w:rPr>
          <w:rFonts w:eastAsia="Times New Roman" w:cs="Tahoma"/>
          <w:bCs/>
          <w:iCs/>
          <w:color w:val="auto"/>
          <w:sz w:val="24"/>
          <w:szCs w:val="24"/>
          <w:lang w:eastAsia="es-ES"/>
        </w:rPr>
        <w:t xml:space="preserve">, iría en contra del derecho a la vida privada, pues daría cuenta de la decisión personal; es decir, </w:t>
      </w:r>
      <w:r w:rsidRPr="007D35D4">
        <w:rPr>
          <w:rFonts w:eastAsia="Times New Roman" w:cs="Tahoma"/>
          <w:b/>
          <w:bCs/>
          <w:iCs/>
          <w:color w:val="auto"/>
          <w:sz w:val="24"/>
          <w:szCs w:val="24"/>
          <w:u w:val="single"/>
          <w:lang w:eastAsia="es-ES"/>
        </w:rPr>
        <w:t xml:space="preserve">un acto de voluntad </w:t>
      </w:r>
      <w:r w:rsidR="00235F6E" w:rsidRPr="007D35D4">
        <w:rPr>
          <w:rFonts w:eastAsia="Times New Roman" w:cs="Tahoma"/>
          <w:b/>
          <w:bCs/>
          <w:iCs/>
          <w:color w:val="auto"/>
          <w:sz w:val="24"/>
          <w:szCs w:val="24"/>
          <w:u w:val="single"/>
          <w:lang w:eastAsia="es-ES"/>
        </w:rPr>
        <w:t>para iniciar,</w:t>
      </w:r>
      <w:r w:rsidR="00235F6E" w:rsidRPr="007D35D4">
        <w:rPr>
          <w:rFonts w:eastAsia="Times New Roman" w:cs="Tahoma"/>
          <w:bCs/>
          <w:iCs/>
          <w:color w:val="auto"/>
          <w:sz w:val="24"/>
          <w:szCs w:val="24"/>
          <w:lang w:eastAsia="es-ES"/>
        </w:rPr>
        <w:t xml:space="preserve"> lo cual constituye cuestiones de carácter estrictamente íntimo.</w:t>
      </w:r>
    </w:p>
    <w:p w14:paraId="40B8C746" w14:textId="77777777" w:rsidR="00235F6E" w:rsidRPr="007D35D4" w:rsidRDefault="00235F6E" w:rsidP="00F40D32">
      <w:pPr>
        <w:spacing w:after="0" w:line="360" w:lineRule="auto"/>
        <w:rPr>
          <w:rFonts w:eastAsia="Times New Roman" w:cs="Tahoma"/>
          <w:bCs/>
          <w:iCs/>
          <w:color w:val="auto"/>
          <w:sz w:val="24"/>
          <w:szCs w:val="24"/>
          <w:lang w:eastAsia="es-ES"/>
        </w:rPr>
      </w:pPr>
    </w:p>
    <w:p w14:paraId="6008BE55" w14:textId="05532EF6" w:rsidR="00EA701B" w:rsidRPr="007D35D4" w:rsidRDefault="00235F6E"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 xml:space="preserve">Por otra parte, </w:t>
      </w:r>
      <w:r w:rsidR="009D7017" w:rsidRPr="007D35D4">
        <w:rPr>
          <w:rFonts w:eastAsia="Times New Roman" w:cs="Tahoma"/>
          <w:b/>
          <w:bCs/>
          <w:iCs/>
          <w:color w:val="auto"/>
          <w:sz w:val="24"/>
          <w:szCs w:val="24"/>
          <w:u w:val="single"/>
          <w:lang w:eastAsia="es-ES"/>
        </w:rPr>
        <w:t xml:space="preserve">el </w:t>
      </w:r>
      <w:r w:rsidRPr="007D35D4">
        <w:rPr>
          <w:rFonts w:eastAsia="Times New Roman" w:cs="Tahoma"/>
          <w:b/>
          <w:bCs/>
          <w:iCs/>
          <w:color w:val="auto"/>
          <w:sz w:val="24"/>
          <w:szCs w:val="24"/>
          <w:u w:val="single"/>
          <w:lang w:eastAsia="es-ES"/>
        </w:rPr>
        <w:t xml:space="preserve">precisar si existe o no un juicio en donde </w:t>
      </w:r>
      <w:r w:rsidR="009D7017" w:rsidRPr="007D35D4">
        <w:rPr>
          <w:rFonts w:eastAsia="Times New Roman" w:cs="Tahoma"/>
          <w:b/>
          <w:bCs/>
          <w:iCs/>
          <w:color w:val="auto"/>
          <w:sz w:val="24"/>
          <w:szCs w:val="24"/>
          <w:u w:val="single"/>
          <w:lang w:eastAsia="es-ES"/>
        </w:rPr>
        <w:t>la persona señalada en la solicitud de información sea</w:t>
      </w:r>
      <w:r w:rsidRPr="007D35D4">
        <w:rPr>
          <w:rFonts w:eastAsia="Times New Roman" w:cs="Tahoma"/>
          <w:b/>
          <w:bCs/>
          <w:iCs/>
          <w:color w:val="auto"/>
          <w:sz w:val="24"/>
          <w:szCs w:val="24"/>
          <w:u w:val="single"/>
          <w:lang w:eastAsia="es-ES"/>
        </w:rPr>
        <w:t xml:space="preserve"> </w:t>
      </w:r>
      <w:r w:rsidR="009D7017" w:rsidRPr="007D35D4">
        <w:rPr>
          <w:rFonts w:eastAsia="Times New Roman" w:cs="Tahoma"/>
          <w:b/>
          <w:bCs/>
          <w:iCs/>
          <w:color w:val="auto"/>
          <w:sz w:val="24"/>
          <w:szCs w:val="24"/>
          <w:u w:val="single"/>
          <w:lang w:eastAsia="es-ES"/>
        </w:rPr>
        <w:t>la demandada</w:t>
      </w:r>
      <w:r w:rsidR="009D7017" w:rsidRPr="007D35D4">
        <w:rPr>
          <w:rFonts w:eastAsia="Times New Roman" w:cs="Tahoma"/>
          <w:bCs/>
          <w:iCs/>
          <w:color w:val="auto"/>
          <w:sz w:val="24"/>
          <w:szCs w:val="24"/>
          <w:lang w:eastAsia="es-ES"/>
        </w:rPr>
        <w:t xml:space="preserve"> </w:t>
      </w:r>
      <w:r w:rsidRPr="007D35D4">
        <w:rPr>
          <w:rFonts w:eastAsia="Times New Roman" w:cs="Tahoma"/>
          <w:bCs/>
          <w:iCs/>
          <w:color w:val="auto"/>
          <w:sz w:val="24"/>
          <w:szCs w:val="24"/>
          <w:lang w:eastAsia="es-ES"/>
        </w:rPr>
        <w:t>iría en contra del derecho a la vida privada, pues daría a conocer que</w:t>
      </w:r>
      <w:r w:rsidR="009D7017" w:rsidRPr="007D35D4">
        <w:rPr>
          <w:rFonts w:eastAsia="Times New Roman" w:cs="Tahoma"/>
          <w:bCs/>
          <w:iCs/>
          <w:color w:val="auto"/>
          <w:sz w:val="24"/>
          <w:szCs w:val="24"/>
          <w:lang w:eastAsia="es-ES"/>
        </w:rPr>
        <w:t xml:space="preserve"> a</w:t>
      </w:r>
      <w:r w:rsidRPr="007D35D4">
        <w:rPr>
          <w:rFonts w:eastAsia="Times New Roman" w:cs="Tahoma"/>
          <w:bCs/>
          <w:iCs/>
          <w:color w:val="auto"/>
          <w:sz w:val="24"/>
          <w:szCs w:val="24"/>
          <w:lang w:eastAsia="es-ES"/>
        </w:rPr>
        <w:t xml:space="preserve"> dicha persona </w:t>
      </w:r>
      <w:r w:rsidR="009D7017" w:rsidRPr="007D35D4">
        <w:rPr>
          <w:rFonts w:eastAsia="Times New Roman" w:cs="Tahoma"/>
          <w:bCs/>
          <w:iCs/>
          <w:color w:val="auto"/>
          <w:sz w:val="24"/>
          <w:szCs w:val="24"/>
          <w:lang w:eastAsia="es-ES"/>
        </w:rPr>
        <w:t>se le inicio un juicio en</w:t>
      </w:r>
      <w:r w:rsidRPr="007D35D4">
        <w:rPr>
          <w:rFonts w:eastAsia="Times New Roman" w:cs="Tahoma"/>
          <w:bCs/>
          <w:iCs/>
          <w:color w:val="auto"/>
          <w:sz w:val="24"/>
          <w:szCs w:val="24"/>
          <w:lang w:eastAsia="es-ES"/>
        </w:rPr>
        <w:t xml:space="preserve"> contra, lo cual ocasionaría una percepción negativa de esta y daría a conocer la decisión personal de defenderse en dicho procedimiento jurisdiccional. </w:t>
      </w:r>
    </w:p>
    <w:p w14:paraId="17F39409" w14:textId="77777777" w:rsidR="00E04DDD" w:rsidRPr="007D35D4" w:rsidRDefault="00E04DDD"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lastRenderedPageBreak/>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3C662339" w14:textId="77777777" w:rsidR="00E04DDD" w:rsidRPr="007D35D4" w:rsidRDefault="00E04DDD" w:rsidP="00F40D32">
      <w:pPr>
        <w:spacing w:after="0" w:line="360" w:lineRule="auto"/>
        <w:rPr>
          <w:rFonts w:eastAsia="Times New Roman" w:cs="Tahoma"/>
          <w:b/>
          <w:bCs/>
          <w:iCs/>
          <w:color w:val="auto"/>
          <w:sz w:val="24"/>
          <w:szCs w:val="24"/>
          <w:lang w:eastAsia="es-ES"/>
        </w:rPr>
      </w:pPr>
    </w:p>
    <w:p w14:paraId="356213D4" w14:textId="77777777" w:rsidR="00E04DDD" w:rsidRPr="007D35D4" w:rsidRDefault="00E04DDD" w:rsidP="009D7017">
      <w:pPr>
        <w:spacing w:after="0" w:line="276" w:lineRule="auto"/>
        <w:ind w:left="567" w:right="567"/>
        <w:rPr>
          <w:rFonts w:eastAsia="Times New Roman" w:cs="Tahoma"/>
          <w:bCs/>
          <w:i/>
          <w:iCs/>
          <w:color w:val="auto"/>
          <w:szCs w:val="24"/>
          <w:lang w:val="es-ES" w:eastAsia="es-ES"/>
        </w:rPr>
      </w:pPr>
      <w:r w:rsidRPr="007D35D4">
        <w:rPr>
          <w:rFonts w:eastAsia="Times New Roman" w:cs="Tahoma"/>
          <w:b/>
          <w:bCs/>
          <w:i/>
          <w:iCs/>
          <w:color w:val="auto"/>
          <w:szCs w:val="24"/>
          <w:lang w:val="es-ES" w:eastAsia="es-ES"/>
        </w:rPr>
        <w:t xml:space="preserve">“DERECHO A LA PRIVACIDAD O INTIMIDAD. ESTÁ PROTEGIDO POR EL ARTÍCULO 16, PRIMER PÁRRAFO, DE LA CONSTITUCIÓN POLÍTICA DE LOS ESTADOS UNIDOS MEXICANOS. </w:t>
      </w:r>
      <w:r w:rsidRPr="007D35D4">
        <w:rPr>
          <w:rFonts w:eastAsia="Times New Roman" w:cs="Tahoma"/>
          <w:bCs/>
          <w:i/>
          <w:iCs/>
          <w:color w:val="auto"/>
          <w:szCs w:val="24"/>
          <w:lang w:val="es-ES" w:eastAsia="es-ES"/>
        </w:rPr>
        <w:t>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0E9F88DB" w14:textId="77777777" w:rsidR="00E04DDD" w:rsidRPr="007D35D4" w:rsidRDefault="00E04DDD" w:rsidP="00F40D32">
      <w:pPr>
        <w:spacing w:after="0" w:line="360" w:lineRule="auto"/>
        <w:rPr>
          <w:rFonts w:eastAsia="Times New Roman" w:cs="Tahoma"/>
          <w:bCs/>
          <w:iCs/>
          <w:color w:val="auto"/>
          <w:sz w:val="24"/>
          <w:szCs w:val="24"/>
          <w:lang w:eastAsia="es-ES"/>
        </w:rPr>
      </w:pPr>
    </w:p>
    <w:p w14:paraId="1951EF0F" w14:textId="77777777" w:rsidR="00E04DDD" w:rsidRPr="007D35D4" w:rsidRDefault="00E04DDD"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774CE072" w14:textId="77777777" w:rsidR="00E04DDD" w:rsidRPr="007D35D4" w:rsidRDefault="00E04DDD" w:rsidP="00F40D32">
      <w:pPr>
        <w:spacing w:after="0" w:line="360" w:lineRule="auto"/>
        <w:rPr>
          <w:rFonts w:eastAsia="Times New Roman" w:cs="Tahoma"/>
          <w:bCs/>
          <w:iCs/>
          <w:color w:val="auto"/>
          <w:sz w:val="24"/>
          <w:szCs w:val="24"/>
          <w:lang w:eastAsia="es-ES"/>
        </w:rPr>
      </w:pPr>
    </w:p>
    <w:p w14:paraId="5B4B78FD" w14:textId="77777777" w:rsidR="00E04DDD" w:rsidRPr="007D35D4" w:rsidRDefault="00E04DDD"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lastRenderedPageBreak/>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se da el reconocimiento de un derecho a la privacidad de las personas que implica no ser sujeto de intromisiones o molestias en el ámbito reservado de su vida o intimidad. </w:t>
      </w:r>
    </w:p>
    <w:p w14:paraId="796D5A3F" w14:textId="77777777" w:rsidR="00E04DDD" w:rsidRPr="007D35D4" w:rsidRDefault="00E04DDD" w:rsidP="00F40D32">
      <w:pPr>
        <w:spacing w:after="0" w:line="360" w:lineRule="auto"/>
        <w:rPr>
          <w:rFonts w:eastAsia="Times New Roman" w:cs="Tahoma"/>
          <w:bCs/>
          <w:iCs/>
          <w:color w:val="auto"/>
          <w:sz w:val="24"/>
          <w:szCs w:val="24"/>
          <w:lang w:eastAsia="es-ES"/>
        </w:rPr>
      </w:pPr>
    </w:p>
    <w:p w14:paraId="7B43CF32" w14:textId="056038D4" w:rsidR="00B413E0" w:rsidRPr="007D35D4" w:rsidRDefault="00E04DDD" w:rsidP="00F40D32">
      <w:pPr>
        <w:spacing w:after="0" w:line="360" w:lineRule="auto"/>
        <w:rPr>
          <w:rFonts w:eastAsia="Times New Roman" w:cs="Tahoma"/>
          <w:b/>
          <w:bCs/>
          <w:iCs/>
          <w:color w:val="auto"/>
          <w:sz w:val="24"/>
          <w:szCs w:val="24"/>
          <w:lang w:val="es-ES" w:eastAsia="es-ES"/>
        </w:rPr>
      </w:pPr>
      <w:r w:rsidRPr="007D35D4">
        <w:rPr>
          <w:rFonts w:eastAsia="Times New Roman" w:cs="Tahoma"/>
          <w:bCs/>
          <w:iCs/>
          <w:color w:val="auto"/>
          <w:sz w:val="24"/>
          <w:szCs w:val="24"/>
          <w:lang w:eastAsia="es-ES"/>
        </w:rPr>
        <w:t xml:space="preserve">Por lo tanto, se considera que pronunciarse sobre la existencia o no </w:t>
      </w:r>
      <w:r w:rsidR="00235F6E" w:rsidRPr="007D35D4">
        <w:rPr>
          <w:rFonts w:eastAsia="Times New Roman" w:cs="Tahoma"/>
          <w:bCs/>
          <w:iCs/>
          <w:color w:val="auto"/>
          <w:sz w:val="24"/>
          <w:szCs w:val="24"/>
          <w:lang w:eastAsia="es-ES"/>
        </w:rPr>
        <w:t>de juicios</w:t>
      </w:r>
      <w:r w:rsidR="009D7017" w:rsidRPr="007D35D4">
        <w:rPr>
          <w:rFonts w:eastAsia="Times New Roman" w:cs="Tahoma"/>
          <w:bCs/>
          <w:iCs/>
          <w:color w:val="auto"/>
          <w:sz w:val="24"/>
          <w:szCs w:val="24"/>
          <w:lang w:eastAsia="es-ES"/>
        </w:rPr>
        <w:t>, o en el presente caso, se una resolución</w:t>
      </w:r>
      <w:r w:rsidR="00235F6E" w:rsidRPr="007D35D4">
        <w:rPr>
          <w:rFonts w:eastAsia="Times New Roman" w:cs="Tahoma"/>
          <w:bCs/>
          <w:iCs/>
          <w:color w:val="auto"/>
          <w:sz w:val="24"/>
          <w:szCs w:val="24"/>
          <w:lang w:eastAsia="es-ES"/>
        </w:rPr>
        <w:t>, en donde</w:t>
      </w:r>
      <w:r w:rsidR="009D7017" w:rsidRPr="007D35D4">
        <w:rPr>
          <w:rFonts w:eastAsia="Times New Roman" w:cs="Tahoma"/>
          <w:bCs/>
          <w:iCs/>
          <w:color w:val="auto"/>
          <w:sz w:val="24"/>
          <w:szCs w:val="24"/>
          <w:lang w:eastAsia="es-ES"/>
        </w:rPr>
        <w:t xml:space="preserve"> la parte actora, contraparte, testigo u algún otro participante sea la persona referida en la solicitud de información </w:t>
      </w:r>
      <w:r w:rsidR="00B413E0" w:rsidRPr="007D35D4">
        <w:rPr>
          <w:rFonts w:eastAsia="Times New Roman" w:cs="Tahoma"/>
          <w:bCs/>
          <w:iCs/>
          <w:color w:val="auto"/>
          <w:sz w:val="24"/>
          <w:szCs w:val="24"/>
          <w:lang w:eastAsia="es-ES"/>
        </w:rPr>
        <w:t xml:space="preserve">, </w:t>
      </w:r>
      <w:r w:rsidR="00B413E0" w:rsidRPr="007D35D4">
        <w:rPr>
          <w:rFonts w:eastAsia="Times New Roman" w:cs="Tahoma"/>
          <w:bCs/>
          <w:iCs/>
          <w:color w:val="auto"/>
          <w:sz w:val="24"/>
          <w:szCs w:val="24"/>
          <w:lang w:val="es-ES" w:eastAsia="es-ES"/>
        </w:rPr>
        <w:t>implicaría revelar un aspecto de la vida privada que vincula a las personas de la que se requiere información con procedimientos jurisdiccionales,</w:t>
      </w:r>
      <w:r w:rsidR="00B413E0" w:rsidRPr="007D35D4">
        <w:rPr>
          <w:rFonts w:eastAsia="Times New Roman" w:cs="Tahoma"/>
          <w:b/>
          <w:bCs/>
          <w:iCs/>
          <w:color w:val="auto"/>
          <w:sz w:val="24"/>
          <w:szCs w:val="24"/>
          <w:lang w:val="es-ES" w:eastAsia="es-ES"/>
        </w:rPr>
        <w:t xml:space="preserve"> </w:t>
      </w:r>
      <w:r w:rsidR="00B413E0" w:rsidRPr="007D35D4">
        <w:rPr>
          <w:rFonts w:eastAsia="Times New Roman" w:cs="Tahoma"/>
          <w:bCs/>
          <w:iCs/>
          <w:color w:val="auto"/>
          <w:sz w:val="24"/>
          <w:szCs w:val="24"/>
          <w:lang w:val="es-ES" w:eastAsia="es-ES"/>
        </w:rPr>
        <w:t>es decir,</w:t>
      </w:r>
      <w:r w:rsidR="00B413E0" w:rsidRPr="007D35D4">
        <w:rPr>
          <w:rFonts w:eastAsia="Times New Roman" w:cs="Tahoma"/>
          <w:b/>
          <w:bCs/>
          <w:iCs/>
          <w:color w:val="auto"/>
          <w:sz w:val="24"/>
          <w:szCs w:val="24"/>
          <w:lang w:val="es-ES" w:eastAsia="es-ES"/>
        </w:rPr>
        <w:t xml:space="preserve"> reflejaría una situación jurídica concreta de cada uno de los particulares identificados, al dar cuenta de la decisión personal de iniciar un procedimiento o defenderse de este, lo cual afecta su intimidad.</w:t>
      </w:r>
    </w:p>
    <w:p w14:paraId="7370B8C8" w14:textId="77777777" w:rsidR="00B413E0" w:rsidRPr="007D35D4" w:rsidRDefault="00B413E0" w:rsidP="00F40D32">
      <w:pPr>
        <w:spacing w:after="0" w:line="360" w:lineRule="auto"/>
        <w:rPr>
          <w:rFonts w:eastAsia="Times New Roman" w:cs="Tahoma"/>
          <w:bCs/>
          <w:iCs/>
          <w:color w:val="auto"/>
          <w:sz w:val="24"/>
          <w:szCs w:val="24"/>
          <w:lang w:val="es-ES" w:eastAsia="es-ES"/>
        </w:rPr>
      </w:pPr>
    </w:p>
    <w:p w14:paraId="7246FBD6" w14:textId="6E1DBE0F" w:rsidR="00B413E0" w:rsidRPr="007D35D4" w:rsidRDefault="00B413E0" w:rsidP="00F40D32">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val="es-ES" w:eastAsia="es-ES"/>
        </w:rPr>
        <w:t xml:space="preserve">Lo anterior, toda vez que dar a conocer la existencia de algún juicio, en donde se haga </w:t>
      </w:r>
      <w:r w:rsidR="009D7017" w:rsidRPr="007D35D4">
        <w:rPr>
          <w:rFonts w:eastAsia="Times New Roman" w:cs="Tahoma"/>
          <w:bCs/>
          <w:iCs/>
          <w:color w:val="auto"/>
          <w:sz w:val="24"/>
          <w:szCs w:val="24"/>
          <w:lang w:val="es-ES" w:eastAsia="es-ES"/>
        </w:rPr>
        <w:t xml:space="preserve">identificable a la parte actora, </w:t>
      </w:r>
      <w:r w:rsidRPr="007D35D4">
        <w:rPr>
          <w:rFonts w:eastAsia="Times New Roman" w:cs="Tahoma"/>
          <w:bCs/>
          <w:iCs/>
          <w:color w:val="auto"/>
          <w:sz w:val="24"/>
          <w:szCs w:val="24"/>
          <w:lang w:val="es-ES" w:eastAsia="es-ES"/>
        </w:rPr>
        <w:t>contraparte</w:t>
      </w:r>
      <w:r w:rsidR="009D7017" w:rsidRPr="007D35D4">
        <w:rPr>
          <w:rFonts w:eastAsia="Times New Roman" w:cs="Tahoma"/>
          <w:bCs/>
          <w:iCs/>
          <w:color w:val="auto"/>
          <w:sz w:val="24"/>
          <w:szCs w:val="24"/>
          <w:lang w:val="es-ES" w:eastAsia="es-ES"/>
        </w:rPr>
        <w:t xml:space="preserve"> o a los participantes dentro del procedimiento</w:t>
      </w:r>
      <w:r w:rsidRPr="007D35D4">
        <w:rPr>
          <w:rFonts w:eastAsia="Times New Roman" w:cs="Tahoma"/>
          <w:bCs/>
          <w:iCs/>
          <w:color w:val="auto"/>
          <w:sz w:val="24"/>
          <w:szCs w:val="24"/>
          <w:lang w:val="es-ES" w:eastAsia="es-ES"/>
        </w:rPr>
        <w:t>, constituye información confidencial que afecta su esfera privada, dado que vulneraría la protección de su intimidad, al tratarse de información que da cuenta de situaciones concretas en ejercicio de sus derechos que hacen evidente la posición jurídica en la cual se han colocado por decisión propia.</w:t>
      </w:r>
    </w:p>
    <w:p w14:paraId="728556B8" w14:textId="77777777" w:rsidR="00E04DDD" w:rsidRPr="007D35D4" w:rsidRDefault="00E04DDD" w:rsidP="00F40D32">
      <w:pPr>
        <w:spacing w:after="0" w:line="360" w:lineRule="auto"/>
        <w:rPr>
          <w:rFonts w:eastAsia="Times New Roman" w:cs="Tahoma"/>
          <w:bCs/>
          <w:iCs/>
          <w:color w:val="auto"/>
          <w:sz w:val="24"/>
          <w:szCs w:val="24"/>
          <w:lang w:eastAsia="es-ES"/>
        </w:rPr>
      </w:pPr>
    </w:p>
    <w:p w14:paraId="61812C43" w14:textId="03B1CB0E" w:rsidR="00B413E0" w:rsidRPr="007D35D4" w:rsidRDefault="00B413E0" w:rsidP="00F40D32">
      <w:pPr>
        <w:spacing w:after="0" w:line="360" w:lineRule="auto"/>
        <w:rPr>
          <w:rFonts w:eastAsia="Times New Roman" w:cs="Tahoma"/>
          <w:b/>
          <w:bCs/>
          <w:iCs/>
          <w:color w:val="auto"/>
          <w:sz w:val="24"/>
          <w:szCs w:val="24"/>
          <w:lang w:val="es-ES" w:eastAsia="es-ES"/>
        </w:rPr>
      </w:pPr>
      <w:r w:rsidRPr="007D35D4">
        <w:rPr>
          <w:rFonts w:eastAsia="Times New Roman" w:cs="Tahoma"/>
          <w:bCs/>
          <w:iCs/>
          <w:color w:val="auto"/>
          <w:sz w:val="24"/>
          <w:szCs w:val="24"/>
          <w:lang w:val="es-ES" w:eastAsia="es-ES"/>
        </w:rPr>
        <w:lastRenderedPageBreak/>
        <w:t>Razón por la cual, se consid</w:t>
      </w:r>
      <w:r w:rsidR="009D7017" w:rsidRPr="007D35D4">
        <w:rPr>
          <w:rFonts w:eastAsia="Times New Roman" w:cs="Tahoma"/>
          <w:bCs/>
          <w:iCs/>
          <w:color w:val="auto"/>
          <w:sz w:val="24"/>
          <w:szCs w:val="24"/>
          <w:lang w:val="es-ES" w:eastAsia="es-ES"/>
        </w:rPr>
        <w:t>era que el Sujeto Obligado debe</w:t>
      </w:r>
      <w:r w:rsidRPr="007D35D4">
        <w:rPr>
          <w:rFonts w:eastAsia="Times New Roman" w:cs="Tahoma"/>
          <w:bCs/>
          <w:iCs/>
          <w:color w:val="auto"/>
          <w:sz w:val="24"/>
          <w:szCs w:val="24"/>
          <w:lang w:val="es-ES" w:eastAsia="es-ES"/>
        </w:rPr>
        <w:t xml:space="preserve"> de clasificar el pronunciamiento, sobre la información requerida, en términos de lo previsto en el artículo 143, fracción I, de la Ley de Transparencia y Acceso a la Información Pública del</w:t>
      </w:r>
      <w:r w:rsidR="009D7017" w:rsidRPr="007D35D4">
        <w:rPr>
          <w:rFonts w:eastAsia="Times New Roman" w:cs="Tahoma"/>
          <w:bCs/>
          <w:iCs/>
          <w:color w:val="auto"/>
          <w:sz w:val="24"/>
          <w:szCs w:val="24"/>
          <w:lang w:val="es-ES" w:eastAsia="es-ES"/>
        </w:rPr>
        <w:t xml:space="preserve"> Estado de México y Municipios </w:t>
      </w:r>
      <w:r w:rsidRPr="007D35D4">
        <w:rPr>
          <w:rFonts w:eastAsia="Times New Roman" w:cs="Tahoma"/>
          <w:bCs/>
          <w:iCs/>
          <w:color w:val="auto"/>
          <w:sz w:val="24"/>
          <w:szCs w:val="24"/>
          <w:lang w:val="es-ES" w:eastAsia="es-ES"/>
        </w:rPr>
        <w:t xml:space="preserve">y no solamente precisar que estaba impedido a proporcionar la </w:t>
      </w:r>
      <w:r w:rsidR="009D7017" w:rsidRPr="007D35D4">
        <w:rPr>
          <w:rFonts w:eastAsia="Times New Roman" w:cs="Tahoma"/>
          <w:bCs/>
          <w:iCs/>
          <w:color w:val="auto"/>
          <w:sz w:val="24"/>
          <w:szCs w:val="24"/>
          <w:lang w:val="es-ES" w:eastAsia="es-ES"/>
        </w:rPr>
        <w:t>información al ser confidencial o, porque esta no puede ser localizada por medio de los datos proporcionados por la parte Recurrente.</w:t>
      </w:r>
    </w:p>
    <w:p w14:paraId="338BED98" w14:textId="77777777" w:rsidR="00B413E0" w:rsidRPr="007D35D4" w:rsidRDefault="00B413E0" w:rsidP="00F40D32">
      <w:pPr>
        <w:spacing w:after="0" w:line="360" w:lineRule="auto"/>
        <w:rPr>
          <w:rFonts w:eastAsia="Times New Roman" w:cs="Tahoma"/>
          <w:bCs/>
          <w:iCs/>
          <w:color w:val="auto"/>
          <w:sz w:val="24"/>
          <w:szCs w:val="24"/>
          <w:lang w:val="es-ES" w:eastAsia="es-ES"/>
        </w:rPr>
      </w:pPr>
    </w:p>
    <w:p w14:paraId="5BAE5AB3" w14:textId="5C952A35" w:rsidR="0051439D" w:rsidRPr="007D35D4" w:rsidRDefault="0099358F" w:rsidP="00F40D32">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val="es-ES" w:eastAsia="es-ES"/>
        </w:rPr>
        <w:t xml:space="preserve">Para lo cual </w:t>
      </w:r>
      <w:r w:rsidR="0051439D" w:rsidRPr="007D35D4">
        <w:rPr>
          <w:rFonts w:eastAsia="Times New Roman" w:cs="Tahoma"/>
          <w:bCs/>
          <w:iCs/>
          <w:color w:val="auto"/>
          <w:sz w:val="24"/>
          <w:szCs w:val="24"/>
          <w:lang w:eastAsia="es-ES"/>
        </w:rPr>
        <w:t>debe traerse a colación lo dispuesto en el artículo 168 de la Ley de Transparencia y Acceso a la Información Pública del Estado de México y Municipios, que precisa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4ADA678F" w14:textId="77777777" w:rsidR="0051439D" w:rsidRPr="007D35D4" w:rsidRDefault="0051439D" w:rsidP="00F40D32">
      <w:pPr>
        <w:spacing w:after="0" w:line="360" w:lineRule="auto"/>
        <w:rPr>
          <w:rFonts w:eastAsia="Times New Roman" w:cs="Tahoma"/>
          <w:bCs/>
          <w:iCs/>
          <w:color w:val="auto"/>
          <w:sz w:val="24"/>
          <w:szCs w:val="24"/>
          <w:lang w:eastAsia="es-ES"/>
        </w:rPr>
      </w:pPr>
    </w:p>
    <w:p w14:paraId="68DCEA7E" w14:textId="1EE7A79A" w:rsidR="0051439D" w:rsidRPr="007D35D4" w:rsidRDefault="0051439D" w:rsidP="009D7017">
      <w:pPr>
        <w:numPr>
          <w:ilvl w:val="0"/>
          <w:numId w:val="28"/>
        </w:numPr>
        <w:spacing w:after="0" w:line="276" w:lineRule="auto"/>
        <w:rPr>
          <w:rFonts w:eastAsia="Times New Roman" w:cs="Tahoma"/>
          <w:bCs/>
          <w:iCs/>
          <w:color w:val="auto"/>
          <w:szCs w:val="24"/>
          <w:lang w:eastAsia="es-ES"/>
        </w:rPr>
      </w:pPr>
      <w:r w:rsidRPr="007D35D4">
        <w:rPr>
          <w:rFonts w:eastAsia="Times New Roman" w:cs="Tahoma"/>
          <w:bCs/>
          <w:iCs/>
          <w:color w:val="auto"/>
          <w:szCs w:val="24"/>
          <w:lang w:eastAsia="es-ES"/>
        </w:rPr>
        <w:t>Confirmar la clasificación;</w:t>
      </w:r>
    </w:p>
    <w:p w14:paraId="3468AABF" w14:textId="16868379" w:rsidR="0051439D" w:rsidRPr="007D35D4" w:rsidRDefault="0051439D" w:rsidP="009D7017">
      <w:pPr>
        <w:numPr>
          <w:ilvl w:val="0"/>
          <w:numId w:val="28"/>
        </w:numPr>
        <w:spacing w:after="0" w:line="276" w:lineRule="auto"/>
        <w:rPr>
          <w:rFonts w:eastAsia="Times New Roman" w:cs="Tahoma"/>
          <w:bCs/>
          <w:iCs/>
          <w:color w:val="auto"/>
          <w:szCs w:val="24"/>
          <w:lang w:eastAsia="es-ES"/>
        </w:rPr>
      </w:pPr>
      <w:r w:rsidRPr="007D35D4">
        <w:rPr>
          <w:rFonts w:eastAsia="Times New Roman" w:cs="Tahoma"/>
          <w:bCs/>
          <w:iCs/>
          <w:color w:val="auto"/>
          <w:szCs w:val="24"/>
          <w:lang w:eastAsia="es-ES"/>
        </w:rPr>
        <w:t>Modificar la clasificación y, otorgar total o parcialmente el acceso a la información, o</w:t>
      </w:r>
    </w:p>
    <w:p w14:paraId="2E6B21C0" w14:textId="77777777" w:rsidR="0051439D" w:rsidRPr="007D35D4" w:rsidRDefault="0051439D" w:rsidP="009D7017">
      <w:pPr>
        <w:numPr>
          <w:ilvl w:val="0"/>
          <w:numId w:val="28"/>
        </w:numPr>
        <w:spacing w:after="0" w:line="276" w:lineRule="auto"/>
        <w:rPr>
          <w:rFonts w:eastAsia="Times New Roman" w:cs="Tahoma"/>
          <w:bCs/>
          <w:iCs/>
          <w:color w:val="auto"/>
          <w:szCs w:val="24"/>
          <w:lang w:eastAsia="es-ES"/>
        </w:rPr>
      </w:pPr>
      <w:r w:rsidRPr="007D35D4">
        <w:rPr>
          <w:rFonts w:eastAsia="Times New Roman" w:cs="Tahoma"/>
          <w:bCs/>
          <w:iCs/>
          <w:color w:val="auto"/>
          <w:szCs w:val="24"/>
          <w:lang w:eastAsia="es-ES"/>
        </w:rPr>
        <w:t>Revocar la clasificación y conceder el acceso a la información.</w:t>
      </w:r>
    </w:p>
    <w:p w14:paraId="5EFA9DB6" w14:textId="77777777" w:rsidR="0051439D" w:rsidRPr="007D35D4" w:rsidRDefault="0051439D" w:rsidP="00F40D32">
      <w:pPr>
        <w:spacing w:after="0" w:line="360" w:lineRule="auto"/>
        <w:rPr>
          <w:rFonts w:eastAsia="Times New Roman" w:cs="Tahoma"/>
          <w:bCs/>
          <w:iCs/>
          <w:color w:val="auto"/>
          <w:sz w:val="24"/>
          <w:szCs w:val="24"/>
          <w:lang w:eastAsia="es-ES"/>
        </w:rPr>
      </w:pPr>
    </w:p>
    <w:p w14:paraId="4F813C96" w14:textId="77777777" w:rsidR="0051439D" w:rsidRPr="007D35D4" w:rsidRDefault="0051439D"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sucedió. </w:t>
      </w:r>
    </w:p>
    <w:p w14:paraId="39BAEC6A" w14:textId="77777777" w:rsidR="00F306FA" w:rsidRPr="007D35D4" w:rsidRDefault="00F306FA" w:rsidP="00F40D32">
      <w:pPr>
        <w:spacing w:after="0" w:line="360" w:lineRule="auto"/>
        <w:rPr>
          <w:rFonts w:eastAsia="Times New Roman" w:cs="Tahoma"/>
          <w:bCs/>
          <w:iCs/>
          <w:color w:val="auto"/>
          <w:sz w:val="24"/>
          <w:szCs w:val="24"/>
          <w:lang w:eastAsia="es-ES"/>
        </w:rPr>
      </w:pPr>
    </w:p>
    <w:p w14:paraId="530C82C3" w14:textId="010A9D10" w:rsidR="00F306FA" w:rsidRPr="007D35D4" w:rsidRDefault="00F306FA"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 xml:space="preserve">Por último, no pasa desapercibido mencionar que, si bien, en el presente caso, la parte solicitante requirió </w:t>
      </w:r>
      <w:r w:rsidRPr="007D35D4">
        <w:rPr>
          <w:rFonts w:eastAsia="Times New Roman" w:cs="Tahoma"/>
          <w:b/>
          <w:bCs/>
          <w:iCs/>
          <w:color w:val="auto"/>
          <w:sz w:val="24"/>
          <w:szCs w:val="24"/>
          <w:lang w:eastAsia="es-ES"/>
        </w:rPr>
        <w:t>resoluciones</w:t>
      </w:r>
      <w:r w:rsidRPr="007D35D4">
        <w:rPr>
          <w:rFonts w:eastAsia="Times New Roman" w:cs="Tahoma"/>
          <w:bCs/>
          <w:iCs/>
          <w:color w:val="auto"/>
          <w:sz w:val="24"/>
          <w:szCs w:val="24"/>
          <w:lang w:eastAsia="es-ES"/>
        </w:rPr>
        <w:t xml:space="preserve">, información que de conformidad con el artículo 96 de </w:t>
      </w:r>
      <w:r w:rsidRPr="007D35D4">
        <w:rPr>
          <w:rFonts w:eastAsia="Times New Roman" w:cs="Tahoma"/>
          <w:bCs/>
          <w:iCs/>
          <w:color w:val="auto"/>
          <w:sz w:val="24"/>
          <w:szCs w:val="24"/>
          <w:lang w:eastAsia="es-ES"/>
        </w:rPr>
        <w:lastRenderedPageBreak/>
        <w:t xml:space="preserve">la Ley de Transparencia y Acceso a la Información Pública del Estado de México y Municipio, corresponde a obligaciones de transparencia específicas, como se puede observar: </w:t>
      </w:r>
    </w:p>
    <w:p w14:paraId="4D95A5E8" w14:textId="77777777" w:rsidR="00F306FA" w:rsidRPr="007D35D4" w:rsidRDefault="00F306FA" w:rsidP="00F40D32">
      <w:pPr>
        <w:spacing w:after="0" w:line="360" w:lineRule="auto"/>
        <w:rPr>
          <w:rFonts w:eastAsia="Times New Roman" w:cs="Tahoma"/>
          <w:bCs/>
          <w:iCs/>
          <w:color w:val="auto"/>
          <w:sz w:val="24"/>
          <w:szCs w:val="24"/>
          <w:lang w:eastAsia="es-ES"/>
        </w:rPr>
      </w:pPr>
    </w:p>
    <w:p w14:paraId="7387CAD5" w14:textId="77777777" w:rsidR="00F306FA" w:rsidRPr="007D35D4" w:rsidRDefault="00F306FA" w:rsidP="00F306FA">
      <w:pPr>
        <w:spacing w:after="0" w:line="276" w:lineRule="auto"/>
        <w:ind w:left="567" w:right="616"/>
        <w:rPr>
          <w:i/>
        </w:rPr>
      </w:pPr>
      <w:r w:rsidRPr="007D35D4">
        <w:rPr>
          <w:b/>
          <w:i/>
        </w:rPr>
        <w:t>Artículo 96.</w:t>
      </w:r>
      <w:r w:rsidRPr="007D35D4">
        <w:rPr>
          <w:i/>
        </w:rPr>
        <w:t xml:space="preserve"> Además de las obligaciones de transparencia común a que se refiere el Capítulo II de este Título, el Poder Judicial Local y el Tribunal de Justicia Administrativa del Estado de México, deberán poner a disposición del público y actualizar la siguiente información: </w:t>
      </w:r>
    </w:p>
    <w:p w14:paraId="4CBDB0D9" w14:textId="77777777" w:rsidR="00F306FA" w:rsidRPr="007D35D4" w:rsidRDefault="00F306FA" w:rsidP="00F306FA">
      <w:pPr>
        <w:spacing w:after="0" w:line="276" w:lineRule="auto"/>
        <w:ind w:left="567" w:right="616"/>
        <w:rPr>
          <w:i/>
        </w:rPr>
      </w:pPr>
    </w:p>
    <w:p w14:paraId="0BD2048B" w14:textId="77777777" w:rsidR="00F306FA" w:rsidRPr="007D35D4" w:rsidRDefault="00F306FA" w:rsidP="00F306FA">
      <w:pPr>
        <w:spacing w:after="0" w:line="276" w:lineRule="auto"/>
        <w:ind w:left="567" w:right="616"/>
        <w:rPr>
          <w:i/>
        </w:rPr>
      </w:pPr>
      <w:r w:rsidRPr="007D35D4">
        <w:rPr>
          <w:i/>
        </w:rPr>
        <w:t xml:space="preserve">I. Las tesis y ejecutorias publicadas en el Boletín Judicial del Tribunal Superior de Justicia del Estado de México y en la Gaceta del Tribunal de Justicia Administrativa del Estado de México, incluyendo tesis jurisprudenciales y aisladas; </w:t>
      </w:r>
    </w:p>
    <w:p w14:paraId="2436642D" w14:textId="13050F28" w:rsidR="00F306FA" w:rsidRPr="007D35D4" w:rsidRDefault="00F306FA" w:rsidP="00F306FA">
      <w:pPr>
        <w:spacing w:after="0" w:line="276" w:lineRule="auto"/>
        <w:ind w:left="567" w:right="616"/>
        <w:rPr>
          <w:b/>
          <w:i/>
          <w:u w:val="single"/>
        </w:rPr>
      </w:pPr>
      <w:r w:rsidRPr="007D35D4">
        <w:rPr>
          <w:b/>
          <w:i/>
          <w:u w:val="single"/>
        </w:rPr>
        <w:t xml:space="preserve">II. Las versiones públicas de las sentencias que sean de interés público; </w:t>
      </w:r>
    </w:p>
    <w:p w14:paraId="40ABE35F" w14:textId="77777777" w:rsidR="00F306FA" w:rsidRPr="007D35D4" w:rsidRDefault="00F306FA" w:rsidP="00F306FA">
      <w:pPr>
        <w:spacing w:after="0" w:line="276" w:lineRule="auto"/>
        <w:ind w:left="567" w:right="616"/>
        <w:rPr>
          <w:i/>
        </w:rPr>
      </w:pPr>
      <w:r w:rsidRPr="007D35D4">
        <w:rPr>
          <w:i/>
        </w:rPr>
        <w:t xml:space="preserve">III. Las versiones estenográficas, taquigráficas, magnetofónicas, video gráficas, electrónicas o de cualquier otra naturaleza, de las sesiones públicas de cualquiera de sus órganos; </w:t>
      </w:r>
    </w:p>
    <w:p w14:paraId="44233006" w14:textId="1D3E9273" w:rsidR="00F306FA" w:rsidRPr="007D35D4" w:rsidRDefault="00F306FA" w:rsidP="00F306FA">
      <w:pPr>
        <w:spacing w:after="0" w:line="276" w:lineRule="auto"/>
        <w:ind w:left="567" w:right="616"/>
        <w:rPr>
          <w:i/>
        </w:rPr>
      </w:pPr>
      <w:r w:rsidRPr="007D35D4">
        <w:rPr>
          <w:i/>
        </w:rPr>
        <w:t xml:space="preserve">IV. La relacionada con los procesos por medio de los cuales fueron designados los jueces y magistrados, según corresponda; </w:t>
      </w:r>
    </w:p>
    <w:p w14:paraId="60479C25" w14:textId="77777777" w:rsidR="00F306FA" w:rsidRPr="007D35D4" w:rsidRDefault="00F306FA" w:rsidP="00F306FA">
      <w:pPr>
        <w:spacing w:after="0" w:line="276" w:lineRule="auto"/>
        <w:ind w:left="567" w:right="616"/>
        <w:rPr>
          <w:i/>
        </w:rPr>
      </w:pPr>
      <w:r w:rsidRPr="007D35D4">
        <w:rPr>
          <w:i/>
        </w:rPr>
        <w:t xml:space="preserve">V. La lista de acuerdos que diariamente se publiquen; </w:t>
      </w:r>
    </w:p>
    <w:p w14:paraId="0484FE94" w14:textId="363E2044" w:rsidR="00F306FA" w:rsidRPr="007D35D4" w:rsidRDefault="00F306FA" w:rsidP="00F306FA">
      <w:pPr>
        <w:spacing w:after="0" w:line="276" w:lineRule="auto"/>
        <w:ind w:left="567" w:right="616"/>
        <w:rPr>
          <w:i/>
        </w:rPr>
      </w:pPr>
      <w:r w:rsidRPr="007D35D4">
        <w:rPr>
          <w:i/>
        </w:rPr>
        <w:t xml:space="preserve">VI. Las convocatorias a concursos para ocupar cargos jurisdiccionales y los resultados finales de los mismos, así como los procesos de ratificación de los funcionarios judiciales; y </w:t>
      </w:r>
    </w:p>
    <w:p w14:paraId="0AA0B93B" w14:textId="7D271B19" w:rsidR="00F306FA" w:rsidRPr="007D35D4" w:rsidRDefault="00F306FA" w:rsidP="00F306FA">
      <w:pPr>
        <w:spacing w:after="0" w:line="276" w:lineRule="auto"/>
        <w:ind w:left="567" w:right="616"/>
        <w:rPr>
          <w:i/>
        </w:rPr>
      </w:pPr>
      <w:r w:rsidRPr="007D35D4">
        <w:rPr>
          <w:i/>
        </w:rPr>
        <w:t>VII. Los perfiles y formas de evaluación del personal judicial y administrativo.</w:t>
      </w:r>
    </w:p>
    <w:p w14:paraId="7512BEE0" w14:textId="77777777" w:rsidR="00F306FA" w:rsidRPr="007D35D4" w:rsidRDefault="00F306FA" w:rsidP="00F40D32">
      <w:pPr>
        <w:spacing w:after="0" w:line="360" w:lineRule="auto"/>
        <w:rPr>
          <w:rFonts w:eastAsia="Times New Roman" w:cs="Tahoma"/>
          <w:bCs/>
          <w:iCs/>
          <w:color w:val="auto"/>
          <w:sz w:val="24"/>
          <w:szCs w:val="24"/>
          <w:lang w:eastAsia="es-ES"/>
        </w:rPr>
      </w:pPr>
    </w:p>
    <w:p w14:paraId="6B31906B" w14:textId="51D0B236" w:rsidR="00F306FA" w:rsidRPr="007D35D4" w:rsidRDefault="00F306FA"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eastAsia="es-ES"/>
        </w:rPr>
        <w:t xml:space="preserve">También lo es que, ese precepto normativo, sólo opera cuando no se han hecho identificables a las partes, siendo </w:t>
      </w:r>
      <w:proofErr w:type="gramStart"/>
      <w:r w:rsidRPr="007D35D4">
        <w:rPr>
          <w:rFonts w:eastAsia="Times New Roman" w:cs="Tahoma"/>
          <w:bCs/>
          <w:iCs/>
          <w:color w:val="auto"/>
          <w:sz w:val="24"/>
          <w:szCs w:val="24"/>
          <w:lang w:eastAsia="es-ES"/>
        </w:rPr>
        <w:t>que</w:t>
      </w:r>
      <w:proofErr w:type="gramEnd"/>
      <w:r w:rsidRPr="007D35D4">
        <w:rPr>
          <w:rFonts w:eastAsia="Times New Roman" w:cs="Tahoma"/>
          <w:bCs/>
          <w:iCs/>
          <w:color w:val="auto"/>
          <w:sz w:val="24"/>
          <w:szCs w:val="24"/>
          <w:lang w:eastAsia="es-ES"/>
        </w:rPr>
        <w:t xml:space="preserve"> en el presente caso, debido a que, la parte Recurrente requiere información de una persona en específico, la entrega de información aun siendo en versión pública, vulneraría su privacidad. </w:t>
      </w:r>
    </w:p>
    <w:p w14:paraId="2BFE2ECB" w14:textId="77777777" w:rsidR="0051439D" w:rsidRPr="007D35D4" w:rsidRDefault="0051439D" w:rsidP="00F40D32">
      <w:pPr>
        <w:spacing w:after="0" w:line="360" w:lineRule="auto"/>
        <w:rPr>
          <w:rFonts w:eastAsia="Times New Roman" w:cs="Tahoma"/>
          <w:bCs/>
          <w:iCs/>
          <w:color w:val="auto"/>
          <w:sz w:val="24"/>
          <w:szCs w:val="24"/>
          <w:lang w:eastAsia="es-ES"/>
        </w:rPr>
      </w:pPr>
    </w:p>
    <w:p w14:paraId="4522E5E9" w14:textId="64DDC98C" w:rsidR="009D7017" w:rsidRPr="007D35D4" w:rsidRDefault="00F306FA" w:rsidP="00F40D32">
      <w:pPr>
        <w:spacing w:after="0" w:line="360" w:lineRule="auto"/>
        <w:rPr>
          <w:rFonts w:eastAsia="Times New Roman" w:cs="Tahoma"/>
          <w:bCs/>
          <w:iCs/>
          <w:color w:val="auto"/>
          <w:sz w:val="24"/>
          <w:szCs w:val="24"/>
          <w:lang w:eastAsia="es-ES"/>
        </w:rPr>
      </w:pPr>
      <w:r w:rsidRPr="007D35D4">
        <w:rPr>
          <w:rFonts w:eastAsia="Times New Roman" w:cs="Tahoma"/>
          <w:bCs/>
          <w:iCs/>
          <w:color w:val="auto"/>
          <w:sz w:val="24"/>
          <w:szCs w:val="24"/>
          <w:lang w:val="es-ES" w:eastAsia="es-ES"/>
        </w:rPr>
        <w:t>Dicho lo anterior</w:t>
      </w:r>
      <w:r w:rsidR="0051439D" w:rsidRPr="007D35D4">
        <w:rPr>
          <w:rFonts w:eastAsia="Times New Roman" w:cs="Tahoma"/>
          <w:bCs/>
          <w:iCs/>
          <w:color w:val="auto"/>
          <w:sz w:val="24"/>
          <w:szCs w:val="24"/>
          <w:lang w:val="es-ES" w:eastAsia="es-ES"/>
        </w:rPr>
        <w:t xml:space="preserve">, se considera que, para atender el requerimiento de información, el Sujeto Obligado deberá seguir el procedimiento establecido en el artículo 168 de la Ley </w:t>
      </w:r>
      <w:r w:rsidR="0051439D" w:rsidRPr="007D35D4">
        <w:rPr>
          <w:rFonts w:eastAsia="Times New Roman" w:cs="Tahoma"/>
          <w:bCs/>
          <w:iCs/>
          <w:color w:val="auto"/>
          <w:sz w:val="24"/>
          <w:szCs w:val="24"/>
          <w:lang w:eastAsia="es-ES"/>
        </w:rPr>
        <w:lastRenderedPageBreak/>
        <w:t>de Transparencia y Acceso a la Información Pública del Estado de México y Municipios y</w:t>
      </w:r>
      <w:r w:rsidR="009D7017" w:rsidRPr="007D35D4">
        <w:rPr>
          <w:rFonts w:eastAsia="Times New Roman" w:cs="Tahoma"/>
          <w:bCs/>
          <w:iCs/>
          <w:color w:val="auto"/>
          <w:sz w:val="24"/>
          <w:szCs w:val="24"/>
          <w:lang w:eastAsia="es-ES"/>
        </w:rPr>
        <w:t>,</w:t>
      </w:r>
      <w:r w:rsidR="0051439D" w:rsidRPr="007D35D4">
        <w:rPr>
          <w:rFonts w:eastAsia="Times New Roman" w:cs="Tahoma"/>
          <w:bCs/>
          <w:iCs/>
          <w:color w:val="auto"/>
          <w:sz w:val="24"/>
          <w:szCs w:val="24"/>
          <w:lang w:eastAsia="es-ES"/>
        </w:rPr>
        <w:t xml:space="preserve"> proporcionar el </w:t>
      </w:r>
      <w:r w:rsidR="0051439D" w:rsidRPr="007D35D4">
        <w:rPr>
          <w:rFonts w:eastAsia="Times New Roman" w:cs="Tahoma"/>
          <w:b/>
          <w:bCs/>
          <w:iCs/>
          <w:color w:val="auto"/>
          <w:sz w:val="24"/>
          <w:szCs w:val="24"/>
          <w:lang w:eastAsia="es-ES"/>
        </w:rPr>
        <w:t xml:space="preserve">Acuerdo emitido por el Comité </w:t>
      </w:r>
      <w:r w:rsidR="009D7017" w:rsidRPr="007D35D4">
        <w:rPr>
          <w:rFonts w:eastAsia="Times New Roman" w:cs="Tahoma"/>
          <w:b/>
          <w:bCs/>
          <w:iCs/>
          <w:color w:val="auto"/>
          <w:sz w:val="24"/>
          <w:szCs w:val="24"/>
          <w:lang w:eastAsia="es-ES"/>
        </w:rPr>
        <w:t>de Transparencia, donde confirme</w:t>
      </w:r>
      <w:r w:rsidR="0051439D" w:rsidRPr="007D35D4">
        <w:rPr>
          <w:rFonts w:eastAsia="Times New Roman" w:cs="Tahoma"/>
          <w:b/>
          <w:bCs/>
          <w:iCs/>
          <w:color w:val="auto"/>
          <w:sz w:val="24"/>
          <w:szCs w:val="24"/>
          <w:lang w:eastAsia="es-ES"/>
        </w:rPr>
        <w:t xml:space="preserve"> la clasificación del pronunciamiento en </w:t>
      </w:r>
      <w:r w:rsidR="00B413E0" w:rsidRPr="007D35D4">
        <w:rPr>
          <w:rFonts w:eastAsia="Times New Roman" w:cs="Tahoma"/>
          <w:b/>
          <w:bCs/>
          <w:iCs/>
          <w:color w:val="auto"/>
          <w:sz w:val="24"/>
          <w:szCs w:val="24"/>
          <w:lang w:eastAsia="es-ES"/>
        </w:rPr>
        <w:t>sentido afirmativo o negativo sobre</w:t>
      </w:r>
      <w:r w:rsidR="0051439D" w:rsidRPr="007D35D4">
        <w:rPr>
          <w:rFonts w:eastAsia="Times New Roman" w:cs="Tahoma"/>
          <w:b/>
          <w:bCs/>
          <w:iCs/>
          <w:color w:val="auto"/>
          <w:sz w:val="24"/>
          <w:szCs w:val="24"/>
          <w:lang w:eastAsia="es-ES"/>
        </w:rPr>
        <w:t xml:space="preserve"> la existencia</w:t>
      </w:r>
      <w:r w:rsidR="00E52E64" w:rsidRPr="007D35D4">
        <w:rPr>
          <w:rFonts w:eastAsia="Times New Roman" w:cs="Tahoma"/>
          <w:b/>
          <w:bCs/>
          <w:iCs/>
          <w:color w:val="auto"/>
          <w:sz w:val="24"/>
          <w:szCs w:val="24"/>
          <w:lang w:eastAsia="es-ES"/>
        </w:rPr>
        <w:t xml:space="preserve"> </w:t>
      </w:r>
      <w:r w:rsidR="00B413E0" w:rsidRPr="007D35D4">
        <w:rPr>
          <w:rFonts w:eastAsia="Times New Roman" w:cs="Tahoma"/>
          <w:b/>
          <w:bCs/>
          <w:iCs/>
          <w:color w:val="auto"/>
          <w:sz w:val="24"/>
          <w:szCs w:val="24"/>
          <w:lang w:eastAsia="es-ES"/>
        </w:rPr>
        <w:t xml:space="preserve">de </w:t>
      </w:r>
      <w:r w:rsidR="009D7017" w:rsidRPr="007D35D4">
        <w:rPr>
          <w:rFonts w:eastAsia="Times New Roman" w:cs="Tahoma"/>
          <w:b/>
          <w:bCs/>
          <w:iCs/>
          <w:color w:val="auto"/>
          <w:sz w:val="24"/>
          <w:szCs w:val="24"/>
          <w:lang w:eastAsia="es-ES"/>
        </w:rPr>
        <w:t xml:space="preserve">alguna resolución en donde sea parte la persona referida en la solicitud de información. </w:t>
      </w:r>
    </w:p>
    <w:p w14:paraId="1884F75B" w14:textId="77777777" w:rsidR="00BD4D9E" w:rsidRPr="007D35D4" w:rsidRDefault="00BD4D9E" w:rsidP="00F40D32">
      <w:pPr>
        <w:spacing w:after="0" w:line="360" w:lineRule="auto"/>
        <w:rPr>
          <w:rFonts w:eastAsia="Times New Roman" w:cs="Tahoma"/>
          <w:bCs/>
          <w:iCs/>
          <w:color w:val="auto"/>
          <w:sz w:val="24"/>
          <w:szCs w:val="24"/>
          <w:lang w:val="es-ES" w:eastAsia="es-ES"/>
        </w:rPr>
      </w:pPr>
    </w:p>
    <w:p w14:paraId="0A744610" w14:textId="57984F45" w:rsidR="00F44852" w:rsidRPr="007D35D4" w:rsidRDefault="00F44852" w:rsidP="00F44852">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val="es-ES" w:eastAsia="es-ES"/>
        </w:rPr>
        <w:t>Por último, no pasa desapercibido mencionar que, para el caso de que la persona referida</w:t>
      </w:r>
      <w:r w:rsidR="00F44705" w:rsidRPr="007D35D4">
        <w:rPr>
          <w:rFonts w:eastAsia="Times New Roman" w:cs="Tahoma"/>
          <w:bCs/>
          <w:iCs/>
          <w:color w:val="auto"/>
          <w:sz w:val="24"/>
          <w:szCs w:val="24"/>
          <w:lang w:val="es-ES" w:eastAsia="es-ES"/>
        </w:rPr>
        <w:t xml:space="preserve"> en la solicitud de información, </w:t>
      </w:r>
      <w:r w:rsidR="00F44705" w:rsidRPr="007D35D4">
        <w:rPr>
          <w:rFonts w:eastAsia="Times New Roman" w:cs="Tahoma"/>
          <w:b/>
          <w:bCs/>
          <w:iCs/>
          <w:color w:val="auto"/>
          <w:sz w:val="24"/>
          <w:szCs w:val="24"/>
          <w:u w:val="single"/>
          <w:lang w:val="es-ES" w:eastAsia="es-ES"/>
        </w:rPr>
        <w:t xml:space="preserve">únicamente y exclusivamente </w:t>
      </w:r>
      <w:r w:rsidRPr="007D35D4">
        <w:rPr>
          <w:rFonts w:eastAsia="Times New Roman" w:cs="Tahoma"/>
          <w:b/>
          <w:bCs/>
          <w:iCs/>
          <w:color w:val="auto"/>
          <w:sz w:val="24"/>
          <w:szCs w:val="24"/>
          <w:u w:val="single"/>
          <w:lang w:val="es-ES" w:eastAsia="es-ES"/>
        </w:rPr>
        <w:t>en calidad de servidor público,</w:t>
      </w:r>
      <w:r w:rsidRPr="007D35D4">
        <w:rPr>
          <w:rFonts w:eastAsia="Times New Roman" w:cs="Tahoma"/>
          <w:bCs/>
          <w:iCs/>
          <w:color w:val="auto"/>
          <w:sz w:val="24"/>
          <w:szCs w:val="24"/>
          <w:lang w:val="es-ES" w:eastAsia="es-ES"/>
        </w:rPr>
        <w:t xml:space="preserve"> sea parte de un procedimiento penal como imputado, el Sujeto Obligado deberá hacer entrega de la información </w:t>
      </w:r>
      <w:r w:rsidR="00F44705" w:rsidRPr="007D35D4">
        <w:rPr>
          <w:rFonts w:eastAsia="Times New Roman" w:cs="Tahoma"/>
          <w:bCs/>
          <w:iCs/>
          <w:color w:val="auto"/>
          <w:sz w:val="24"/>
          <w:szCs w:val="24"/>
          <w:lang w:val="es-ES" w:eastAsia="es-ES"/>
        </w:rPr>
        <w:t xml:space="preserve">que </w:t>
      </w:r>
      <w:r w:rsidR="00BD48B7" w:rsidRPr="007D35D4">
        <w:rPr>
          <w:rFonts w:eastAsia="Times New Roman" w:cs="Tahoma"/>
          <w:bCs/>
          <w:iCs/>
          <w:color w:val="auto"/>
          <w:sz w:val="24"/>
          <w:szCs w:val="24"/>
          <w:lang w:val="es-ES" w:eastAsia="es-ES"/>
        </w:rPr>
        <w:t xml:space="preserve">en su caso </w:t>
      </w:r>
      <w:r w:rsidR="00F44705" w:rsidRPr="007D35D4">
        <w:rPr>
          <w:rFonts w:eastAsia="Times New Roman" w:cs="Tahoma"/>
          <w:bCs/>
          <w:iCs/>
          <w:color w:val="auto"/>
          <w:sz w:val="24"/>
          <w:szCs w:val="24"/>
          <w:lang w:val="es-ES" w:eastAsia="es-ES"/>
        </w:rPr>
        <w:t>se haya generado</w:t>
      </w:r>
      <w:r w:rsidR="009F74FB" w:rsidRPr="007D35D4">
        <w:rPr>
          <w:rFonts w:eastAsia="Times New Roman" w:cs="Tahoma"/>
          <w:bCs/>
          <w:iCs/>
          <w:color w:val="auto"/>
          <w:sz w:val="24"/>
          <w:szCs w:val="24"/>
          <w:lang w:val="es-ES" w:eastAsia="es-ES"/>
        </w:rPr>
        <w:t xml:space="preserve"> del uno de enero del dos mil trece al tres de julio de dos mil veintitrés</w:t>
      </w:r>
      <w:r w:rsidRPr="007D35D4">
        <w:rPr>
          <w:rFonts w:eastAsia="Times New Roman" w:cs="Tahoma"/>
          <w:bCs/>
          <w:iCs/>
          <w:color w:val="auto"/>
          <w:sz w:val="24"/>
          <w:szCs w:val="24"/>
          <w:lang w:val="es-ES" w:eastAsia="es-ES"/>
        </w:rPr>
        <w:t xml:space="preserve">, </w:t>
      </w:r>
      <w:r w:rsidR="00F44705" w:rsidRPr="007D35D4">
        <w:rPr>
          <w:rFonts w:eastAsia="Times New Roman" w:cs="Tahoma"/>
          <w:bCs/>
          <w:iCs/>
          <w:color w:val="auto"/>
          <w:sz w:val="24"/>
          <w:szCs w:val="24"/>
          <w:u w:val="single"/>
          <w:lang w:val="es-ES" w:eastAsia="es-ES"/>
        </w:rPr>
        <w:t xml:space="preserve">lo anterior </w:t>
      </w:r>
      <w:r w:rsidRPr="007D35D4">
        <w:rPr>
          <w:rFonts w:eastAsia="Times New Roman" w:cs="Tahoma"/>
          <w:b/>
          <w:bCs/>
          <w:iCs/>
          <w:color w:val="auto"/>
          <w:sz w:val="24"/>
          <w:szCs w:val="24"/>
          <w:u w:val="single"/>
          <w:lang w:val="es-ES" w:eastAsia="es-ES"/>
        </w:rPr>
        <w:t>únicamente para el caso de que se actualice alguno de los supuestos establecidos en el artículo 142 de la Ley de Transparencia y Acceso a la Información Pública del Estado de México y Municipios</w:t>
      </w:r>
      <w:r w:rsidRPr="007D35D4">
        <w:rPr>
          <w:rFonts w:eastAsia="Times New Roman" w:cs="Tahoma"/>
          <w:bCs/>
          <w:iCs/>
          <w:color w:val="auto"/>
          <w:sz w:val="24"/>
          <w:szCs w:val="24"/>
          <w:lang w:val="es-ES" w:eastAsia="es-ES"/>
        </w:rPr>
        <w:t xml:space="preserve">, que a la letra establecen: </w:t>
      </w:r>
    </w:p>
    <w:p w14:paraId="74CFCD37" w14:textId="77777777" w:rsidR="00F44852" w:rsidRPr="007D35D4" w:rsidRDefault="00F44852" w:rsidP="00F44852">
      <w:pPr>
        <w:spacing w:after="0" w:line="360" w:lineRule="auto"/>
        <w:rPr>
          <w:rFonts w:eastAsia="Times New Roman" w:cs="Tahoma"/>
          <w:bCs/>
          <w:iCs/>
          <w:color w:val="auto"/>
          <w:sz w:val="24"/>
          <w:szCs w:val="24"/>
          <w:lang w:val="es-ES" w:eastAsia="es-ES"/>
        </w:rPr>
      </w:pPr>
    </w:p>
    <w:p w14:paraId="39DCE91F" w14:textId="77777777" w:rsidR="00F44852" w:rsidRPr="007D35D4" w:rsidRDefault="00F44852" w:rsidP="00F44852">
      <w:pPr>
        <w:spacing w:after="0" w:line="276" w:lineRule="auto"/>
        <w:ind w:left="567" w:right="616"/>
        <w:rPr>
          <w:i/>
        </w:rPr>
      </w:pPr>
      <w:r w:rsidRPr="007D35D4">
        <w:rPr>
          <w:b/>
          <w:i/>
        </w:rPr>
        <w:t>Artículo 142.</w:t>
      </w:r>
      <w:r w:rsidRPr="007D35D4">
        <w:rPr>
          <w:i/>
        </w:rPr>
        <w:t xml:space="preserve"> Bajo ninguna circunstancia podrá invocarse el carácter de reservado cuando: I. </w:t>
      </w:r>
      <w:r w:rsidRPr="007D35D4">
        <w:rPr>
          <w:b/>
          <w:i/>
          <w:u w:val="single"/>
        </w:rPr>
        <w:t>Se trate de violaciones graves de derechos humanos</w:t>
      </w:r>
      <w:r w:rsidRPr="007D35D4">
        <w:rPr>
          <w:i/>
        </w:rPr>
        <w:t xml:space="preserve">, calificada así por autoridad competente; </w:t>
      </w:r>
    </w:p>
    <w:p w14:paraId="64902434" w14:textId="77777777" w:rsidR="00F44852" w:rsidRPr="007D35D4" w:rsidRDefault="00F44852" w:rsidP="00F44852">
      <w:pPr>
        <w:spacing w:after="0" w:line="276" w:lineRule="auto"/>
        <w:ind w:left="567" w:right="616"/>
        <w:rPr>
          <w:i/>
        </w:rPr>
      </w:pPr>
      <w:r w:rsidRPr="007D35D4">
        <w:rPr>
          <w:i/>
        </w:rPr>
        <w:t xml:space="preserve">II. </w:t>
      </w:r>
      <w:r w:rsidRPr="007D35D4">
        <w:rPr>
          <w:b/>
          <w:i/>
          <w:u w:val="single"/>
        </w:rPr>
        <w:t>Se trate de la investigación de posibles violaciones graves de derechos humanos aun cuando no exista pronunciamiento previo de autoridad competente,</w:t>
      </w:r>
      <w:r w:rsidRPr="007D35D4">
        <w:rPr>
          <w:i/>
        </w:rPr>
        <w:t xml:space="preserve"> cuando se determine, a partir de criterios cuantitativos y cualitativos la trascendencia social de las violaciones; </w:t>
      </w:r>
    </w:p>
    <w:p w14:paraId="428378C5" w14:textId="77777777" w:rsidR="00F44852" w:rsidRPr="007D35D4" w:rsidRDefault="00F44852" w:rsidP="00F44852">
      <w:pPr>
        <w:spacing w:after="0" w:line="276" w:lineRule="auto"/>
        <w:ind w:left="567" w:right="616"/>
        <w:rPr>
          <w:i/>
        </w:rPr>
      </w:pPr>
      <w:r w:rsidRPr="007D35D4">
        <w:rPr>
          <w:i/>
        </w:rPr>
        <w:t xml:space="preserve">III. </w:t>
      </w:r>
      <w:r w:rsidRPr="007D35D4">
        <w:rPr>
          <w:b/>
          <w:i/>
          <w:u w:val="single"/>
        </w:rPr>
        <w:t>Se trate de delitos de lesa humanidad</w:t>
      </w:r>
      <w:r w:rsidRPr="007D35D4">
        <w:rPr>
          <w:i/>
        </w:rPr>
        <w:t xml:space="preserve"> conforme a los tratados ratificados por el Senado de la República, las resoluciones emitidas por organismos internacionales cuya competencia sea reconocida por el Estado Mexicano, así como en las disposiciones jurídicas aplicables; y </w:t>
      </w:r>
    </w:p>
    <w:p w14:paraId="2BEB0A22" w14:textId="48BD0857" w:rsidR="00F44852" w:rsidRPr="007D35D4" w:rsidRDefault="00F44852" w:rsidP="00F44852">
      <w:pPr>
        <w:spacing w:after="0" w:line="276" w:lineRule="auto"/>
        <w:ind w:left="567" w:right="616"/>
        <w:rPr>
          <w:rFonts w:eastAsia="Times New Roman" w:cs="Tahoma"/>
          <w:bCs/>
          <w:i/>
          <w:iCs/>
          <w:color w:val="auto"/>
          <w:sz w:val="24"/>
          <w:szCs w:val="24"/>
          <w:lang w:val="es-ES" w:eastAsia="es-ES"/>
        </w:rPr>
      </w:pPr>
      <w:r w:rsidRPr="007D35D4">
        <w:rPr>
          <w:i/>
        </w:rPr>
        <w:t xml:space="preserve">IV. </w:t>
      </w:r>
      <w:r w:rsidRPr="007D35D4">
        <w:rPr>
          <w:b/>
          <w:i/>
          <w:u w:val="single"/>
        </w:rPr>
        <w:t>Se trate de información relacionada con actos de corrupción</w:t>
      </w:r>
      <w:r w:rsidRPr="007D35D4">
        <w:rPr>
          <w:i/>
        </w:rPr>
        <w:t xml:space="preserve"> de conformidad con las disposiciones jurídicas aplicables.</w:t>
      </w:r>
    </w:p>
    <w:p w14:paraId="6300AC9E" w14:textId="77777777" w:rsidR="00F44852" w:rsidRPr="007D35D4" w:rsidRDefault="00F44852" w:rsidP="00F44852">
      <w:pPr>
        <w:spacing w:after="0" w:line="360" w:lineRule="auto"/>
        <w:rPr>
          <w:rFonts w:eastAsia="Times New Roman" w:cs="Tahoma"/>
          <w:bCs/>
          <w:iCs/>
          <w:color w:val="auto"/>
          <w:sz w:val="24"/>
          <w:szCs w:val="24"/>
          <w:lang w:val="es-ES" w:eastAsia="es-ES"/>
        </w:rPr>
      </w:pPr>
    </w:p>
    <w:p w14:paraId="6D7AA567" w14:textId="77777777" w:rsidR="00F44705" w:rsidRPr="007D35D4" w:rsidRDefault="00F44705" w:rsidP="00F44705">
      <w:pPr>
        <w:spacing w:after="0" w:line="360" w:lineRule="auto"/>
        <w:rPr>
          <w:rFonts w:eastAsia="Times New Roman" w:cs="Tahoma"/>
          <w:bCs/>
          <w:iCs/>
          <w:color w:val="auto"/>
          <w:sz w:val="24"/>
          <w:szCs w:val="24"/>
          <w:lang w:val="es-ES" w:eastAsia="es-ES"/>
        </w:rPr>
      </w:pPr>
      <w:r w:rsidRPr="007D35D4">
        <w:rPr>
          <w:rFonts w:eastAsia="Times New Roman" w:cs="Tahoma"/>
          <w:bCs/>
          <w:iCs/>
          <w:color w:val="auto"/>
          <w:sz w:val="24"/>
          <w:szCs w:val="24"/>
          <w:lang w:val="es-ES" w:eastAsia="es-ES"/>
        </w:rPr>
        <w:t xml:space="preserve">De no actualizarse este supuesto bastará con que así se lo haga del conocimiento del particular. </w:t>
      </w:r>
    </w:p>
    <w:p w14:paraId="152840B4" w14:textId="77777777" w:rsidR="00F44705" w:rsidRPr="007D35D4" w:rsidRDefault="00F44705" w:rsidP="009F74FB">
      <w:pPr>
        <w:spacing w:after="0" w:line="360" w:lineRule="auto"/>
        <w:ind w:right="49"/>
        <w:rPr>
          <w:rFonts w:eastAsia="Palatino Linotype" w:cs="Palatino Linotype"/>
          <w:bCs/>
          <w:sz w:val="24"/>
        </w:rPr>
      </w:pPr>
    </w:p>
    <w:p w14:paraId="4CD91F51" w14:textId="2D73D27A" w:rsidR="00C108B2" w:rsidRPr="007D35D4" w:rsidRDefault="009F74FB" w:rsidP="009F74FB">
      <w:pPr>
        <w:spacing w:after="0" w:line="360" w:lineRule="auto"/>
        <w:ind w:right="49"/>
        <w:rPr>
          <w:rFonts w:eastAsia="Palatino Linotype" w:cs="Palatino Linotype"/>
          <w:bCs/>
          <w:sz w:val="24"/>
        </w:rPr>
      </w:pPr>
      <w:r w:rsidRPr="007D35D4">
        <w:rPr>
          <w:rFonts w:eastAsia="Palatino Linotype" w:cs="Palatino Linotype"/>
          <w:bCs/>
          <w:sz w:val="24"/>
        </w:rPr>
        <w:t>Por lo anterior expuesto, se considera que los agravios hechos valer por la parte Recurrente, resultan</w:t>
      </w:r>
      <w:r w:rsidRPr="007D35D4">
        <w:rPr>
          <w:rFonts w:eastAsia="Palatino Linotype" w:cs="Palatino Linotype"/>
          <w:b/>
          <w:sz w:val="24"/>
        </w:rPr>
        <w:t xml:space="preserve"> FUNDADOS </w:t>
      </w:r>
      <w:r w:rsidRPr="007D35D4">
        <w:rPr>
          <w:rFonts w:eastAsia="Palatino Linotype" w:cs="Palatino Linotype"/>
          <w:bCs/>
          <w:sz w:val="24"/>
        </w:rPr>
        <w:t xml:space="preserve">y, por ende, se determina </w:t>
      </w:r>
      <w:r w:rsidRPr="007D35D4">
        <w:rPr>
          <w:rFonts w:eastAsia="Palatino Linotype" w:cs="Palatino Linotype"/>
          <w:b/>
          <w:sz w:val="24"/>
        </w:rPr>
        <w:t xml:space="preserve">MODIFICAR </w:t>
      </w:r>
      <w:r w:rsidRPr="007D35D4">
        <w:rPr>
          <w:rFonts w:eastAsia="Palatino Linotype" w:cs="Palatino Linotype"/>
          <w:bCs/>
          <w:sz w:val="24"/>
        </w:rPr>
        <w:t xml:space="preserve">la respuesta del Sujeto Obligado y </w:t>
      </w:r>
      <w:r w:rsidRPr="007D35D4">
        <w:rPr>
          <w:rFonts w:eastAsia="Palatino Linotype" w:cs="Palatino Linotype"/>
          <w:b/>
          <w:sz w:val="24"/>
        </w:rPr>
        <w:t xml:space="preserve">ORDENAR </w:t>
      </w:r>
      <w:r w:rsidRPr="007D35D4">
        <w:rPr>
          <w:rFonts w:eastAsia="Palatino Linotype" w:cs="Palatino Linotype"/>
          <w:bCs/>
          <w:sz w:val="24"/>
        </w:rPr>
        <w:t xml:space="preserve">la entrega de la siguiente información: </w:t>
      </w:r>
    </w:p>
    <w:p w14:paraId="71549600" w14:textId="77777777" w:rsidR="009F74FB" w:rsidRPr="007D35D4" w:rsidRDefault="009F74FB" w:rsidP="009F74FB">
      <w:pPr>
        <w:spacing w:after="0" w:line="360" w:lineRule="auto"/>
        <w:ind w:right="49"/>
        <w:rPr>
          <w:rFonts w:eastAsia="Palatino Linotype" w:cs="Palatino Linotype"/>
          <w:bCs/>
          <w:sz w:val="24"/>
        </w:rPr>
      </w:pPr>
    </w:p>
    <w:p w14:paraId="12824CD3" w14:textId="77777777" w:rsidR="009F74FB" w:rsidRPr="007D35D4" w:rsidRDefault="009F74FB" w:rsidP="009F74FB">
      <w:pPr>
        <w:pStyle w:val="Prrafodelista"/>
        <w:numPr>
          <w:ilvl w:val="0"/>
          <w:numId w:val="29"/>
        </w:numPr>
        <w:spacing w:line="360" w:lineRule="auto"/>
        <w:rPr>
          <w:rFonts w:cs="Tahoma"/>
          <w:iCs/>
        </w:rPr>
      </w:pPr>
      <w:r w:rsidRPr="007D35D4">
        <w:rPr>
          <w:rFonts w:cs="Tahoma"/>
          <w:iCs/>
        </w:rPr>
        <w:t xml:space="preserve">El Acuerdo emitido por el Comité de Transparencia, en donde de manera fundada y motivada, confirme la clasificación del pronunciamiento en sentido afirmativo o negativo, sobre la existencia </w:t>
      </w:r>
      <w:r w:rsidRPr="007D35D4">
        <w:rPr>
          <w:rFonts w:cs="Tahoma"/>
          <w:bCs/>
          <w:iCs/>
        </w:rPr>
        <w:t>de alguna resolución en la que la persona referida en la solicitud de información sea parte</w:t>
      </w:r>
      <w:r w:rsidRPr="007D35D4">
        <w:rPr>
          <w:rFonts w:cs="Tahoma"/>
          <w:iCs/>
        </w:rPr>
        <w:t>, de conformidad con los artículos 49, fracción II, 132, fracción II, 143, fracción I, y 149 de la Ley de Transparencia y Acceso a la Información Pública del Estado de México y Municipios.</w:t>
      </w:r>
    </w:p>
    <w:p w14:paraId="2BC9FFF6" w14:textId="77777777" w:rsidR="009F74FB" w:rsidRPr="007D35D4" w:rsidRDefault="009F74FB" w:rsidP="009F74FB">
      <w:pPr>
        <w:pStyle w:val="Prrafodelista"/>
        <w:spacing w:line="360" w:lineRule="auto"/>
        <w:rPr>
          <w:rFonts w:cs="Tahoma"/>
          <w:bCs/>
          <w:sz w:val="24"/>
        </w:rPr>
      </w:pPr>
    </w:p>
    <w:p w14:paraId="257453CC" w14:textId="77777777" w:rsidR="00880143" w:rsidRPr="007D35D4" w:rsidRDefault="00880143" w:rsidP="00880143">
      <w:pPr>
        <w:spacing w:after="0" w:line="276" w:lineRule="auto"/>
        <w:ind w:left="567"/>
        <w:rPr>
          <w:rFonts w:eastAsia="Times New Roman" w:cs="Tahoma"/>
          <w:bCs/>
          <w:i/>
          <w:iCs/>
          <w:color w:val="auto"/>
          <w:szCs w:val="24"/>
          <w:lang w:val="es-ES" w:eastAsia="es-ES"/>
        </w:rPr>
      </w:pPr>
      <w:r w:rsidRPr="007D35D4">
        <w:rPr>
          <w:rFonts w:eastAsia="Times New Roman" w:cs="Tahoma"/>
          <w:bCs/>
          <w:i/>
          <w:iCs/>
          <w:color w:val="auto"/>
          <w:szCs w:val="24"/>
          <w:lang w:val="es-ES" w:eastAsia="es-ES"/>
        </w:rPr>
        <w:t xml:space="preserve">En el supuesto de que, la persona referida en la solicitud de información, </w:t>
      </w:r>
      <w:r w:rsidRPr="007D35D4">
        <w:rPr>
          <w:rFonts w:eastAsia="Times New Roman" w:cs="Tahoma"/>
          <w:b/>
          <w:bCs/>
          <w:i/>
          <w:iCs/>
          <w:color w:val="auto"/>
          <w:szCs w:val="24"/>
          <w:u w:val="single"/>
          <w:lang w:val="es-ES" w:eastAsia="es-ES"/>
        </w:rPr>
        <w:t>única y exclusivamente</w:t>
      </w:r>
      <w:r w:rsidRPr="007D35D4">
        <w:rPr>
          <w:rFonts w:eastAsia="Times New Roman" w:cs="Tahoma"/>
          <w:bCs/>
          <w:i/>
          <w:iCs/>
          <w:color w:val="auto"/>
          <w:szCs w:val="24"/>
          <w:lang w:val="es-ES" w:eastAsia="es-ES"/>
        </w:rPr>
        <w:t xml:space="preserve"> </w:t>
      </w:r>
      <w:r w:rsidRPr="007D35D4">
        <w:rPr>
          <w:rFonts w:eastAsia="Times New Roman" w:cs="Tahoma"/>
          <w:b/>
          <w:i/>
          <w:iCs/>
          <w:color w:val="auto"/>
          <w:szCs w:val="24"/>
          <w:lang w:val="es-ES" w:eastAsia="es-ES"/>
        </w:rPr>
        <w:t>en su c</w:t>
      </w:r>
      <w:r w:rsidRPr="007D35D4">
        <w:rPr>
          <w:rFonts w:eastAsia="Times New Roman" w:cs="Tahoma"/>
          <w:b/>
          <w:bCs/>
          <w:i/>
          <w:iCs/>
          <w:color w:val="auto"/>
          <w:szCs w:val="24"/>
          <w:lang w:val="es-ES" w:eastAsia="es-ES"/>
        </w:rPr>
        <w:t>alidad de servidor público</w:t>
      </w:r>
      <w:r w:rsidRPr="007D35D4">
        <w:rPr>
          <w:rFonts w:eastAsia="Times New Roman" w:cs="Tahoma"/>
          <w:bCs/>
          <w:i/>
          <w:iCs/>
          <w:color w:val="auto"/>
          <w:szCs w:val="24"/>
          <w:lang w:val="es-ES" w:eastAsia="es-ES"/>
        </w:rPr>
        <w:t xml:space="preserve">, sea parte de un procedimiento penal como imputado, el Sujeto Obligado deberá hacer entrega de la información solicitada, que en su caso se haya generado del uno de enero de dos mil trece al tres de julio de dos mil veintitrés, </w:t>
      </w:r>
      <w:r w:rsidRPr="007D35D4">
        <w:rPr>
          <w:rFonts w:eastAsia="Times New Roman" w:cs="Tahoma"/>
          <w:b/>
          <w:bCs/>
          <w:i/>
          <w:iCs/>
          <w:color w:val="auto"/>
          <w:szCs w:val="24"/>
          <w:u w:val="single"/>
          <w:lang w:val="es-ES" w:eastAsia="es-ES"/>
        </w:rPr>
        <w:t>únicamente para el caso de que se actualice particularmente alguno de los supuestos establecidos relacionados con actos de corrupción o violaciones graves a derechos humanos, en términos del artículo 142 de la Ley de Transparencia y Acceso a la Información Pública del Estado de México y Municipios</w:t>
      </w:r>
      <w:r w:rsidRPr="007D35D4">
        <w:rPr>
          <w:rFonts w:eastAsia="Times New Roman" w:cs="Tahoma"/>
          <w:bCs/>
          <w:i/>
          <w:iCs/>
          <w:color w:val="auto"/>
          <w:szCs w:val="24"/>
          <w:lang w:val="es-ES" w:eastAsia="es-ES"/>
        </w:rPr>
        <w:t xml:space="preserve">. </w:t>
      </w:r>
      <w:r w:rsidRPr="007D35D4">
        <w:rPr>
          <w:rFonts w:eastAsia="Times New Roman" w:cs="Tahoma"/>
          <w:b/>
          <w:i/>
          <w:iCs/>
          <w:color w:val="auto"/>
          <w:szCs w:val="24"/>
          <w:lang w:val="es-ES" w:eastAsia="es-ES"/>
        </w:rPr>
        <w:t>En caso de no actualizarse este supuesto bastará con que así se lo haga del conocimiento del particular</w:t>
      </w:r>
      <w:r w:rsidRPr="007D35D4">
        <w:rPr>
          <w:rFonts w:eastAsia="Times New Roman" w:cs="Tahoma"/>
          <w:bCs/>
          <w:i/>
          <w:iCs/>
          <w:color w:val="auto"/>
          <w:szCs w:val="24"/>
          <w:lang w:val="es-ES" w:eastAsia="es-ES"/>
        </w:rPr>
        <w:t xml:space="preserve">. </w:t>
      </w:r>
    </w:p>
    <w:p w14:paraId="0CE5007E" w14:textId="77777777" w:rsidR="009F74FB" w:rsidRPr="007D35D4" w:rsidRDefault="009F74FB" w:rsidP="009F74FB">
      <w:pPr>
        <w:spacing w:after="0" w:line="360" w:lineRule="auto"/>
        <w:ind w:right="49"/>
        <w:rPr>
          <w:rFonts w:eastAsia="Palatino Linotype" w:cs="Palatino Linotype"/>
          <w:bCs/>
          <w:sz w:val="24"/>
        </w:rPr>
      </w:pPr>
    </w:p>
    <w:p w14:paraId="0587131C" w14:textId="77777777" w:rsidR="009F74FB" w:rsidRPr="007D35D4" w:rsidRDefault="009F74FB" w:rsidP="009F74FB">
      <w:pPr>
        <w:spacing w:after="0" w:line="360" w:lineRule="auto"/>
        <w:rPr>
          <w:rFonts w:eastAsia="Palatino Linotype" w:cs="Palatino Linotype"/>
          <w:sz w:val="24"/>
          <w:szCs w:val="24"/>
        </w:rPr>
      </w:pPr>
      <w:r w:rsidRPr="007D35D4">
        <w:rPr>
          <w:rFonts w:eastAsia="Palatino Linotype" w:cs="Palatino Linotype"/>
          <w:b/>
          <w:sz w:val="24"/>
          <w:szCs w:val="24"/>
        </w:rPr>
        <w:t>Quinto. Versión Pública</w:t>
      </w:r>
      <w:r w:rsidRPr="007D35D4">
        <w:rPr>
          <w:rFonts w:eastAsia="Palatino Linotype" w:cs="Palatino Linotype"/>
          <w:sz w:val="24"/>
          <w:szCs w:val="24"/>
        </w:rPr>
        <w:t xml:space="preserve">. Finalmente, para la entrega de la información que se determina ordenar, el Sujeto Obligado deberá realizar un análisis con la finalidad de </w:t>
      </w:r>
      <w:r w:rsidRPr="007D35D4">
        <w:rPr>
          <w:rFonts w:eastAsia="Palatino Linotype" w:cs="Palatino Linotype"/>
          <w:sz w:val="24"/>
          <w:szCs w:val="24"/>
        </w:rPr>
        <w:lastRenderedPageBreak/>
        <w:t>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29F4DEDB" w14:textId="77777777" w:rsidR="009F74FB" w:rsidRPr="007D35D4" w:rsidRDefault="009F74FB" w:rsidP="009F74FB">
      <w:pPr>
        <w:spacing w:after="0" w:line="360" w:lineRule="auto"/>
        <w:rPr>
          <w:rFonts w:eastAsia="Palatino Linotype" w:cs="Palatino Linotype"/>
          <w:sz w:val="24"/>
          <w:szCs w:val="24"/>
        </w:rPr>
      </w:pPr>
    </w:p>
    <w:p w14:paraId="32164E8D" w14:textId="77777777" w:rsidR="009F74FB" w:rsidRPr="007D35D4" w:rsidRDefault="009F74FB" w:rsidP="009F74FB">
      <w:pPr>
        <w:spacing w:after="0" w:line="360" w:lineRule="auto"/>
        <w:ind w:right="50"/>
        <w:rPr>
          <w:rFonts w:eastAsia="Palatino Linotype" w:cs="Palatino Linotype"/>
          <w:sz w:val="24"/>
          <w:szCs w:val="24"/>
        </w:rPr>
      </w:pPr>
      <w:r w:rsidRPr="007D35D4">
        <w:rPr>
          <w:rFonts w:eastAsia="Palatino Linotype" w:cs="Palatino Linotype"/>
          <w:sz w:val="24"/>
          <w:szCs w:val="24"/>
        </w:rPr>
        <w:t>Lo anterior, de conformidad con lo que señalan los artículos 3 fracciones IX, XX, XXI y XLV, 91, 132 fracciones II y III, y 143 de la Ley de Transparencia y Acceso a la Información Pública del Estado de México y Municipios que establecen:</w:t>
      </w:r>
    </w:p>
    <w:p w14:paraId="1CD04CA5" w14:textId="77777777" w:rsidR="009F74FB" w:rsidRPr="007D35D4" w:rsidRDefault="009F74FB" w:rsidP="009F74FB">
      <w:pPr>
        <w:spacing w:after="0" w:line="360" w:lineRule="auto"/>
        <w:ind w:right="50"/>
        <w:rPr>
          <w:rFonts w:eastAsia="Palatino Linotype" w:cs="Palatino Linotype"/>
        </w:rPr>
      </w:pPr>
    </w:p>
    <w:p w14:paraId="7E190C1C"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w:t>
      </w:r>
      <w:r w:rsidRPr="007D35D4">
        <w:rPr>
          <w:rFonts w:eastAsia="Palatino Linotype" w:cs="Palatino Linotype"/>
          <w:b/>
          <w:i/>
        </w:rPr>
        <w:t>Artículo 3.</w:t>
      </w:r>
      <w:r w:rsidRPr="007D35D4">
        <w:rPr>
          <w:rFonts w:eastAsia="Palatino Linotype" w:cs="Palatino Linotype"/>
          <w:i/>
        </w:rPr>
        <w:t xml:space="preserve"> Para los efectos de la presente Ley se entenderá por:</w:t>
      </w:r>
    </w:p>
    <w:p w14:paraId="21F29AE4"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w:t>
      </w:r>
    </w:p>
    <w:p w14:paraId="732CD519"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 xml:space="preserve">IX. Datos personales: La información concerniente a una persona, identificada o identificable según lo dispuesto por la Ley de Protección de Datos Personales del Estado de México; </w:t>
      </w:r>
    </w:p>
    <w:p w14:paraId="19F809BC"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XX. Información clasificada: Aquella considerada por la presente Ley como reservada o confidencial;</w:t>
      </w:r>
    </w:p>
    <w:p w14:paraId="5B9A2944"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42E09D8"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XLV. Versión pública: Documento en el que se elimine, suprime o borra la información clasificada como reservada o confidencial para permitir su acceso.</w:t>
      </w:r>
    </w:p>
    <w:p w14:paraId="353C6BC7"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w:t>
      </w:r>
    </w:p>
    <w:p w14:paraId="69FF6FA2"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b/>
          <w:i/>
        </w:rPr>
        <w:t>Artículo 91.</w:t>
      </w:r>
      <w:r w:rsidRPr="007D35D4">
        <w:rPr>
          <w:rFonts w:eastAsia="Palatino Linotype" w:cs="Palatino Linotype"/>
          <w:i/>
        </w:rPr>
        <w:t xml:space="preserve"> El acceso a la información pública será restringido excepcionalmente, cuando ésta sea clasificada como reservada o confidencial.</w:t>
      </w:r>
    </w:p>
    <w:p w14:paraId="076A787D"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b/>
          <w:i/>
        </w:rPr>
        <w:t>Artículo 132.</w:t>
      </w:r>
      <w:r w:rsidRPr="007D35D4">
        <w:rPr>
          <w:rFonts w:eastAsia="Palatino Linotype" w:cs="Palatino Linotype"/>
          <w:i/>
        </w:rPr>
        <w:t xml:space="preserve"> La clasificación de la información se llevará a cabo en el momento en que:</w:t>
      </w:r>
    </w:p>
    <w:p w14:paraId="1A9D16B3" w14:textId="77777777" w:rsidR="009F74FB" w:rsidRPr="007D35D4" w:rsidRDefault="009F74FB" w:rsidP="009F74FB">
      <w:pPr>
        <w:tabs>
          <w:tab w:val="left" w:pos="1134"/>
        </w:tabs>
        <w:spacing w:after="0"/>
        <w:ind w:left="567" w:right="616"/>
        <w:rPr>
          <w:rFonts w:eastAsia="Palatino Linotype" w:cs="Palatino Linotype"/>
          <w:i/>
        </w:rPr>
      </w:pPr>
      <w:r w:rsidRPr="007D35D4">
        <w:rPr>
          <w:rFonts w:eastAsia="Palatino Linotype" w:cs="Palatino Linotype"/>
          <w:i/>
        </w:rPr>
        <w:t>I. Se reciba una solicitud de acceso a la información;</w:t>
      </w:r>
    </w:p>
    <w:p w14:paraId="177C88DA" w14:textId="77777777" w:rsidR="009F74FB" w:rsidRPr="007D35D4" w:rsidRDefault="009F74FB" w:rsidP="009F74FB">
      <w:pPr>
        <w:tabs>
          <w:tab w:val="left" w:pos="1134"/>
        </w:tabs>
        <w:spacing w:after="0"/>
        <w:ind w:left="567" w:right="616"/>
        <w:rPr>
          <w:rFonts w:eastAsia="Palatino Linotype" w:cs="Palatino Linotype"/>
          <w:i/>
        </w:rPr>
      </w:pPr>
      <w:r w:rsidRPr="007D35D4">
        <w:rPr>
          <w:rFonts w:eastAsia="Palatino Linotype" w:cs="Palatino Linotype"/>
          <w:i/>
        </w:rPr>
        <w:t>II. Se determine mediante resolución de autoridad competente; o</w:t>
      </w:r>
    </w:p>
    <w:p w14:paraId="1F9AD309" w14:textId="77777777" w:rsidR="009F74FB" w:rsidRPr="007D35D4" w:rsidRDefault="009F74FB" w:rsidP="009F74FB">
      <w:pPr>
        <w:tabs>
          <w:tab w:val="left" w:pos="1134"/>
        </w:tabs>
        <w:spacing w:after="0"/>
        <w:ind w:left="567" w:right="616"/>
        <w:rPr>
          <w:rFonts w:eastAsia="Palatino Linotype" w:cs="Palatino Linotype"/>
          <w:i/>
        </w:rPr>
      </w:pPr>
      <w:r w:rsidRPr="007D35D4">
        <w:rPr>
          <w:rFonts w:eastAsia="Palatino Linotype" w:cs="Palatino Linotype"/>
          <w:i/>
        </w:rPr>
        <w:lastRenderedPageBreak/>
        <w:t>III. Se generen versiones públicas para dar cumplimiento a las obligaciones de transparencia previstas en esta Ley.</w:t>
      </w:r>
    </w:p>
    <w:p w14:paraId="119ED0D2"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w:t>
      </w:r>
    </w:p>
    <w:p w14:paraId="14BDC5E2"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b/>
          <w:i/>
        </w:rPr>
        <w:t>Artículo 143</w:t>
      </w:r>
      <w:r w:rsidRPr="007D35D4">
        <w:rPr>
          <w:rFonts w:eastAsia="Palatino Linotype" w:cs="Palatino Linotype"/>
          <w:i/>
        </w:rPr>
        <w:t>. Para los efectos de esta Ley se considera información confidencial, la clasificada como tal, de manera permanente, por su naturaleza, cuando:</w:t>
      </w:r>
    </w:p>
    <w:p w14:paraId="4F5D2E6A"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I. Se refiera a la información privada y los datos personales concernientes a una persona física o jurídico colectiva identificada o identificable;</w:t>
      </w:r>
    </w:p>
    <w:p w14:paraId="44CA8501"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285D51CE"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III. La que presenten los particulares a los sujetos obligados, de conformidad con lo dispuesto por las leyes o los tratados internacionales.</w:t>
      </w:r>
    </w:p>
    <w:p w14:paraId="1F180888"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La información confidencial no estará sujeta a temporalidad alguna y sólo podrán tener acceso a ella los titulares de la misma, sus representantes y los servidores públicos facultados para ello.</w:t>
      </w:r>
    </w:p>
    <w:p w14:paraId="780C01D3"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No se considerará confidencial la información que se encuentre en los registros públicos o en fuentes de acceso público, ni tampoco la que sea considerada por la presente ley como información pública.”</w:t>
      </w:r>
    </w:p>
    <w:p w14:paraId="7FAEF33C" w14:textId="77777777" w:rsidR="009F74FB" w:rsidRPr="007D35D4" w:rsidRDefault="009F74FB" w:rsidP="009F74FB">
      <w:pPr>
        <w:spacing w:after="0"/>
        <w:ind w:left="567" w:right="616"/>
        <w:rPr>
          <w:rFonts w:eastAsia="Palatino Linotype" w:cs="Palatino Linotype"/>
          <w:i/>
        </w:rPr>
      </w:pPr>
    </w:p>
    <w:p w14:paraId="75B6411A" w14:textId="77777777" w:rsidR="009F74FB" w:rsidRPr="007D35D4" w:rsidRDefault="009F74FB" w:rsidP="009F74FB">
      <w:pPr>
        <w:spacing w:after="0" w:line="360" w:lineRule="auto"/>
        <w:rPr>
          <w:rFonts w:eastAsia="Palatino Linotype" w:cs="Palatino Linotype"/>
          <w:sz w:val="24"/>
          <w:szCs w:val="24"/>
        </w:rPr>
      </w:pPr>
      <w:r w:rsidRPr="007D35D4">
        <w:rPr>
          <w:rFonts w:eastAsia="Palatino Linotype" w:cs="Palatino Linotype"/>
          <w:sz w:val="24"/>
          <w:szCs w:val="24"/>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BEC6978" w14:textId="77777777" w:rsidR="009F74FB" w:rsidRPr="007D35D4" w:rsidRDefault="009F74FB" w:rsidP="009F74FB">
      <w:pPr>
        <w:spacing w:after="0"/>
        <w:rPr>
          <w:rFonts w:eastAsia="Palatino Linotype" w:cs="Palatino Linotype"/>
          <w:color w:val="000000"/>
          <w:sz w:val="24"/>
          <w:szCs w:val="24"/>
        </w:rPr>
      </w:pPr>
    </w:p>
    <w:p w14:paraId="67971781" w14:textId="77777777" w:rsidR="009F74FB" w:rsidRPr="007D35D4" w:rsidRDefault="009F74FB" w:rsidP="009F74FB">
      <w:pPr>
        <w:spacing w:after="0" w:line="360" w:lineRule="auto"/>
        <w:rPr>
          <w:rFonts w:eastAsia="Palatino Linotype" w:cs="Palatino Linotype"/>
          <w:sz w:val="24"/>
          <w:szCs w:val="24"/>
        </w:rPr>
      </w:pPr>
      <w:r w:rsidRPr="007D35D4">
        <w:rPr>
          <w:rFonts w:eastAsia="Palatino Linotype" w:cs="Palatino Linotype"/>
          <w:sz w:val="24"/>
          <w:szCs w:val="24"/>
        </w:rPr>
        <w:t xml:space="preserve">Por otro lado, es de destacar que los artículos Quincuagésimo, Quincuagésimo primero, Quincuagésimo segundo, de los Lineamientos Generales en Materia de Clasificación y Desclasificación de la Información, así como para la Elaboración de </w:t>
      </w:r>
      <w:r w:rsidRPr="007D35D4">
        <w:rPr>
          <w:rFonts w:eastAsia="Palatino Linotype" w:cs="Palatino Linotype"/>
          <w:sz w:val="24"/>
          <w:szCs w:val="24"/>
        </w:rPr>
        <w:lastRenderedPageBreak/>
        <w:t>Versiones Públicas señalan las formalidades que deberá llevar el acuerdo de clasificación que deberá emitir el Sujeto Obligado, siendo estas las siguientes:</w:t>
      </w:r>
    </w:p>
    <w:p w14:paraId="2A6D93E5" w14:textId="77777777" w:rsidR="009F74FB" w:rsidRPr="007D35D4" w:rsidRDefault="009F74FB" w:rsidP="009F74FB">
      <w:pPr>
        <w:spacing w:after="0" w:line="360" w:lineRule="auto"/>
        <w:rPr>
          <w:rFonts w:eastAsia="Palatino Linotype" w:cs="Palatino Linotype"/>
        </w:rPr>
      </w:pPr>
    </w:p>
    <w:p w14:paraId="48CF7E79"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 xml:space="preserve"> “</w:t>
      </w:r>
      <w:r w:rsidRPr="007D35D4">
        <w:rPr>
          <w:rFonts w:eastAsia="Palatino Linotype" w:cs="Palatino Linotype"/>
          <w:b/>
          <w:i/>
        </w:rPr>
        <w:t>Quincuagésimo</w:t>
      </w:r>
      <w:r w:rsidRPr="007D35D4">
        <w:rPr>
          <w:rFonts w:eastAsia="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B33D055" w14:textId="77777777" w:rsidR="009F74FB" w:rsidRPr="007D35D4" w:rsidRDefault="009F74FB" w:rsidP="009F74FB">
      <w:pPr>
        <w:pBdr>
          <w:top w:val="nil"/>
          <w:left w:val="nil"/>
          <w:bottom w:val="nil"/>
          <w:right w:val="nil"/>
          <w:between w:val="nil"/>
        </w:pBdr>
        <w:spacing w:after="0"/>
        <w:ind w:left="567" w:right="616"/>
        <w:rPr>
          <w:rFonts w:eastAsia="Palatino Linotype" w:cs="Palatino Linotype"/>
          <w:i/>
        </w:rPr>
      </w:pPr>
      <w:r w:rsidRPr="007D35D4">
        <w:rPr>
          <w:rFonts w:eastAsia="Palatino Linotype" w:cs="Palatino Linotype"/>
          <w:b/>
          <w:i/>
        </w:rPr>
        <w:t>Quincuagésimo primero.</w:t>
      </w:r>
      <w:r w:rsidRPr="007D35D4">
        <w:rPr>
          <w:rFonts w:eastAsia="Palatino Linotype" w:cs="Palatino Linotype"/>
          <w:i/>
        </w:rPr>
        <w:t xml:space="preserve"> Toda acta del Comité de Transparencia deberá contener: </w:t>
      </w:r>
    </w:p>
    <w:p w14:paraId="6DCC27B1" w14:textId="77777777" w:rsidR="009F74FB" w:rsidRPr="007D35D4" w:rsidRDefault="009F74FB" w:rsidP="009F74FB">
      <w:pPr>
        <w:pBdr>
          <w:top w:val="nil"/>
          <w:left w:val="nil"/>
          <w:bottom w:val="nil"/>
          <w:right w:val="nil"/>
          <w:between w:val="nil"/>
        </w:pBdr>
        <w:spacing w:after="0"/>
        <w:ind w:left="567" w:right="616"/>
        <w:rPr>
          <w:rFonts w:eastAsia="Palatino Linotype" w:cs="Palatino Linotype"/>
          <w:i/>
        </w:rPr>
      </w:pPr>
      <w:r w:rsidRPr="007D35D4">
        <w:rPr>
          <w:rFonts w:eastAsia="Palatino Linotype" w:cs="Palatino Linotype"/>
          <w:i/>
        </w:rPr>
        <w:t xml:space="preserve">I. El número de sesión y fecha; </w:t>
      </w:r>
    </w:p>
    <w:p w14:paraId="4C1B90D5" w14:textId="77777777" w:rsidR="009F74FB" w:rsidRPr="007D35D4" w:rsidRDefault="009F74FB" w:rsidP="009F74FB">
      <w:pPr>
        <w:pBdr>
          <w:top w:val="nil"/>
          <w:left w:val="nil"/>
          <w:bottom w:val="nil"/>
          <w:right w:val="nil"/>
          <w:between w:val="nil"/>
        </w:pBdr>
        <w:spacing w:after="0"/>
        <w:ind w:left="567" w:right="616"/>
        <w:rPr>
          <w:rFonts w:eastAsia="Palatino Linotype" w:cs="Palatino Linotype"/>
          <w:i/>
        </w:rPr>
      </w:pPr>
      <w:r w:rsidRPr="007D35D4">
        <w:rPr>
          <w:rFonts w:eastAsia="Palatino Linotype" w:cs="Palatino Linotype"/>
          <w:i/>
        </w:rPr>
        <w:t xml:space="preserve">II. El nombre del área que solicitó la clasificación de información; </w:t>
      </w:r>
    </w:p>
    <w:p w14:paraId="58902BFF" w14:textId="77777777" w:rsidR="009F74FB" w:rsidRPr="007D35D4" w:rsidRDefault="009F74FB" w:rsidP="009F74FB">
      <w:pPr>
        <w:pBdr>
          <w:top w:val="nil"/>
          <w:left w:val="nil"/>
          <w:bottom w:val="nil"/>
          <w:right w:val="nil"/>
          <w:between w:val="nil"/>
        </w:pBdr>
        <w:spacing w:after="0"/>
        <w:ind w:left="567" w:right="616"/>
        <w:rPr>
          <w:rFonts w:eastAsia="Palatino Linotype" w:cs="Palatino Linotype"/>
          <w:i/>
        </w:rPr>
      </w:pPr>
      <w:r w:rsidRPr="007D35D4">
        <w:rPr>
          <w:rFonts w:eastAsia="Palatino Linotype" w:cs="Palatino Linotype"/>
          <w:i/>
        </w:rPr>
        <w:t xml:space="preserve">III. La fundamentación legal y motivación correspondiente; </w:t>
      </w:r>
    </w:p>
    <w:p w14:paraId="2DF4AFB4" w14:textId="77777777" w:rsidR="009F74FB" w:rsidRPr="007D35D4" w:rsidRDefault="009F74FB" w:rsidP="009F74FB">
      <w:pPr>
        <w:pBdr>
          <w:top w:val="nil"/>
          <w:left w:val="nil"/>
          <w:bottom w:val="nil"/>
          <w:right w:val="nil"/>
          <w:between w:val="nil"/>
        </w:pBdr>
        <w:spacing w:after="0"/>
        <w:ind w:left="567" w:right="616"/>
        <w:rPr>
          <w:rFonts w:eastAsia="Palatino Linotype" w:cs="Palatino Linotype"/>
          <w:i/>
        </w:rPr>
      </w:pPr>
      <w:r w:rsidRPr="007D35D4">
        <w:rPr>
          <w:rFonts w:eastAsia="Palatino Linotype" w:cs="Palatino Linotype"/>
          <w:i/>
        </w:rPr>
        <w:t xml:space="preserve">IV. La resolución o resoluciones aprobadas; y </w:t>
      </w:r>
    </w:p>
    <w:p w14:paraId="1F054C9B" w14:textId="77777777" w:rsidR="009F74FB" w:rsidRPr="007D35D4" w:rsidRDefault="009F74FB" w:rsidP="009F74FB">
      <w:pPr>
        <w:pBdr>
          <w:top w:val="nil"/>
          <w:left w:val="nil"/>
          <w:bottom w:val="nil"/>
          <w:right w:val="nil"/>
          <w:between w:val="nil"/>
        </w:pBdr>
        <w:spacing w:after="0"/>
        <w:ind w:left="567" w:right="616"/>
        <w:rPr>
          <w:rFonts w:eastAsia="Palatino Linotype" w:cs="Palatino Linotype"/>
          <w:i/>
        </w:rPr>
      </w:pPr>
      <w:r w:rsidRPr="007D35D4">
        <w:rPr>
          <w:rFonts w:eastAsia="Palatino Linotype" w:cs="Palatino Linotype"/>
          <w:i/>
        </w:rPr>
        <w:t xml:space="preserve">V. La rúbrica o firma digital de cada integrante del Comité de Transparencia. </w:t>
      </w:r>
    </w:p>
    <w:p w14:paraId="2958A356" w14:textId="77777777" w:rsidR="009F74FB" w:rsidRPr="007D35D4" w:rsidRDefault="009F74FB" w:rsidP="009F74FB">
      <w:pPr>
        <w:pBdr>
          <w:top w:val="nil"/>
          <w:left w:val="nil"/>
          <w:bottom w:val="nil"/>
          <w:right w:val="nil"/>
          <w:between w:val="nil"/>
        </w:pBdr>
        <w:spacing w:after="0"/>
        <w:ind w:left="567" w:right="616"/>
        <w:rPr>
          <w:rFonts w:eastAsia="Palatino Linotype" w:cs="Palatino Linotype"/>
          <w:i/>
        </w:rPr>
      </w:pPr>
      <w:r w:rsidRPr="007D35D4">
        <w:rPr>
          <w:rFonts w:eastAsia="Palatino Linotype" w:cs="Palatino Linotype"/>
          <w:i/>
        </w:rPr>
        <w:t xml:space="preserve">Las resoluciones del Comité en las que se haya determinado confirmar o modificar la clasificación de información pública como reservada, deberán incluir, cuando menos: </w:t>
      </w:r>
    </w:p>
    <w:p w14:paraId="487EE997" w14:textId="77777777" w:rsidR="009F74FB" w:rsidRPr="007D35D4" w:rsidRDefault="009F74FB" w:rsidP="009F74FB">
      <w:pPr>
        <w:pBdr>
          <w:top w:val="nil"/>
          <w:left w:val="nil"/>
          <w:bottom w:val="nil"/>
          <w:right w:val="nil"/>
          <w:between w:val="nil"/>
        </w:pBdr>
        <w:spacing w:after="0"/>
        <w:ind w:left="567" w:right="616"/>
        <w:rPr>
          <w:rFonts w:eastAsia="Palatino Linotype" w:cs="Palatino Linotype"/>
          <w:i/>
        </w:rPr>
      </w:pPr>
      <w:r w:rsidRPr="007D35D4">
        <w:rPr>
          <w:rFonts w:eastAsia="Palatino Linotype" w:cs="Palatino Linotype"/>
          <w:i/>
        </w:rPr>
        <w:t>I. Los motivos y razonamientos que sustenten la confirmación o modificación de la prueba de daño;</w:t>
      </w:r>
    </w:p>
    <w:p w14:paraId="47D42D68" w14:textId="77777777" w:rsidR="009F74FB" w:rsidRPr="007D35D4" w:rsidRDefault="009F74FB" w:rsidP="009F74FB">
      <w:pPr>
        <w:pBdr>
          <w:top w:val="nil"/>
          <w:left w:val="nil"/>
          <w:bottom w:val="nil"/>
          <w:right w:val="nil"/>
          <w:between w:val="nil"/>
        </w:pBdr>
        <w:spacing w:after="0"/>
        <w:ind w:left="567" w:right="616"/>
        <w:rPr>
          <w:rFonts w:eastAsia="Palatino Linotype" w:cs="Palatino Linotype"/>
          <w:i/>
        </w:rPr>
      </w:pPr>
      <w:r w:rsidRPr="007D35D4">
        <w:rPr>
          <w:rFonts w:eastAsia="Palatino Linotype" w:cs="Palatino Linotype"/>
          <w:i/>
        </w:rPr>
        <w:t xml:space="preserve">II. Descripción de las partes o secciones reservadas, en caso de clasificación parcial; </w:t>
      </w:r>
    </w:p>
    <w:p w14:paraId="31DEC9AC" w14:textId="77777777" w:rsidR="009F74FB" w:rsidRPr="007D35D4" w:rsidRDefault="009F74FB" w:rsidP="009F74FB">
      <w:pPr>
        <w:pBdr>
          <w:top w:val="nil"/>
          <w:left w:val="nil"/>
          <w:bottom w:val="nil"/>
          <w:right w:val="nil"/>
          <w:between w:val="nil"/>
        </w:pBdr>
        <w:spacing w:after="0"/>
        <w:ind w:left="567" w:right="616"/>
        <w:rPr>
          <w:rFonts w:eastAsia="Palatino Linotype" w:cs="Palatino Linotype"/>
          <w:i/>
        </w:rPr>
      </w:pPr>
      <w:r w:rsidRPr="007D35D4">
        <w:rPr>
          <w:rFonts w:eastAsia="Palatino Linotype" w:cs="Palatino Linotype"/>
          <w:i/>
        </w:rPr>
        <w:t xml:space="preserve">III. El periodo por el que mantendrá su clasificación y fecha de expiración; y </w:t>
      </w:r>
    </w:p>
    <w:p w14:paraId="4AEB8B9F" w14:textId="77777777" w:rsidR="009F74FB" w:rsidRPr="007D35D4" w:rsidRDefault="009F74FB" w:rsidP="009F74FB">
      <w:pPr>
        <w:pBdr>
          <w:top w:val="nil"/>
          <w:left w:val="nil"/>
          <w:bottom w:val="nil"/>
          <w:right w:val="nil"/>
          <w:between w:val="nil"/>
        </w:pBdr>
        <w:spacing w:after="0"/>
        <w:ind w:left="567" w:right="616"/>
        <w:rPr>
          <w:rFonts w:eastAsia="Palatino Linotype" w:cs="Palatino Linotype"/>
          <w:i/>
        </w:rPr>
      </w:pPr>
      <w:r w:rsidRPr="007D35D4">
        <w:rPr>
          <w:rFonts w:eastAsia="Palatino Linotype" w:cs="Palatino Linotype"/>
          <w:i/>
        </w:rPr>
        <w:t xml:space="preserve">IV. El nombre del titular y área encargada de realizar la versión pública del documento, en su caso. </w:t>
      </w:r>
    </w:p>
    <w:p w14:paraId="49583F2F" w14:textId="77777777" w:rsidR="009F74FB" w:rsidRPr="007D35D4" w:rsidRDefault="009F74FB" w:rsidP="009F74FB">
      <w:pPr>
        <w:pBdr>
          <w:top w:val="nil"/>
          <w:left w:val="nil"/>
          <w:bottom w:val="nil"/>
          <w:right w:val="nil"/>
          <w:between w:val="nil"/>
        </w:pBdr>
        <w:spacing w:after="0"/>
        <w:ind w:left="567" w:right="616"/>
        <w:rPr>
          <w:rFonts w:eastAsia="Palatino Linotype" w:cs="Palatino Linotype"/>
          <w:i/>
        </w:rPr>
      </w:pPr>
      <w:r w:rsidRPr="007D35D4">
        <w:rPr>
          <w:rFonts w:eastAsia="Palatino Linotype" w:cs="Palatino Linotype"/>
          <w:i/>
        </w:rPr>
        <w:t xml:space="preserve">En los casos en que se clasifique la información como reservada siempre se entregará o anexará la prueba de daño con la respuesta al solicitante. </w:t>
      </w:r>
    </w:p>
    <w:p w14:paraId="597CC18B" w14:textId="77777777" w:rsidR="009F74FB" w:rsidRPr="007D35D4" w:rsidRDefault="009F74FB" w:rsidP="009F74FB">
      <w:pPr>
        <w:pBdr>
          <w:top w:val="nil"/>
          <w:left w:val="nil"/>
          <w:bottom w:val="nil"/>
          <w:right w:val="nil"/>
          <w:between w:val="nil"/>
        </w:pBdr>
        <w:spacing w:after="0"/>
        <w:ind w:left="567" w:right="616"/>
        <w:rPr>
          <w:rFonts w:eastAsia="Palatino Linotype" w:cs="Palatino Linotype"/>
          <w:i/>
        </w:rPr>
      </w:pPr>
      <w:r w:rsidRPr="007D35D4">
        <w:rPr>
          <w:rFonts w:eastAsia="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2219D8AD"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b/>
          <w:i/>
        </w:rPr>
        <w:t>Quincuagésimo segundo.</w:t>
      </w:r>
      <w:r w:rsidRPr="007D35D4">
        <w:rPr>
          <w:rFonts w:eastAsia="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49A1CE5"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 xml:space="preserve">En el caso específico de la clasificación y elaboración de versiones públicas de documentos que contengan información confidencial, las áreas de los sujetos obligados deberán: </w:t>
      </w:r>
    </w:p>
    <w:p w14:paraId="375351F0"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I. Fijar la fecha en que se elaboró la versión pública y la fecha en la cual el Comité de Transparencia confirmó dicha versión;</w:t>
      </w:r>
    </w:p>
    <w:p w14:paraId="127B2860"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lastRenderedPageBreak/>
        <w:t>II. Señalar dentro del documento el tipo de información confidencial que fue testada en cada caso específico, de conformidad con el lineamiento trigésimo octavo; y</w:t>
      </w:r>
    </w:p>
    <w:p w14:paraId="19C8A998"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III. Señalar las personas o instancias autorizadas a acceder a la información clasificada.</w:t>
      </w:r>
    </w:p>
    <w:p w14:paraId="421EE0F8"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En los documentos de difusión electrónica, señalar en la primera hoja y en el nombre del archivo, que la versión pública corresponde a un documento que contiene información confidencial.”</w:t>
      </w:r>
    </w:p>
    <w:p w14:paraId="35A95F23" w14:textId="77777777" w:rsidR="009F74FB" w:rsidRPr="007D35D4" w:rsidRDefault="009F74FB" w:rsidP="009F74FB">
      <w:pPr>
        <w:spacing w:after="0"/>
        <w:ind w:left="567" w:right="616"/>
        <w:rPr>
          <w:rFonts w:eastAsia="Palatino Linotype" w:cs="Palatino Linotype"/>
          <w:i/>
        </w:rPr>
      </w:pPr>
    </w:p>
    <w:p w14:paraId="3DB3A1C6" w14:textId="77777777" w:rsidR="009F74FB" w:rsidRPr="007D35D4" w:rsidRDefault="009F74FB" w:rsidP="009F74FB">
      <w:pPr>
        <w:spacing w:after="0" w:line="360" w:lineRule="auto"/>
        <w:ind w:right="50"/>
        <w:rPr>
          <w:rFonts w:eastAsia="Palatino Linotype" w:cs="Palatino Linotype"/>
          <w:sz w:val="24"/>
          <w:szCs w:val="24"/>
        </w:rPr>
      </w:pPr>
      <w:r w:rsidRPr="007D35D4">
        <w:rPr>
          <w:rFonts w:eastAsia="Palatino Linotype" w:cs="Palatino Linotype"/>
          <w:sz w:val="24"/>
          <w:szCs w:val="24"/>
        </w:rPr>
        <w:t xml:space="preserve">Asimismo, se deberá observar el Lineamiento Quincuagésimo tercero de los Lineamientos Generales en Materia de Clasificación y Desclasificación de la Información </w:t>
      </w:r>
      <w:proofErr w:type="spellStart"/>
      <w:r w:rsidRPr="007D35D4">
        <w:rPr>
          <w:rFonts w:eastAsia="Palatino Linotype" w:cs="Palatino Linotype"/>
          <w:sz w:val="24"/>
          <w:szCs w:val="24"/>
        </w:rPr>
        <w:t>supraindicados</w:t>
      </w:r>
      <w:proofErr w:type="spellEnd"/>
      <w:r w:rsidRPr="007D35D4">
        <w:rPr>
          <w:rFonts w:eastAsia="Palatino Linotype" w:cs="Palatino Linotype"/>
          <w:sz w:val="24"/>
          <w:szCs w:val="24"/>
        </w:rPr>
        <w:t xml:space="preserve"> el cual establece los formatos para la clasificación de los documentos, conforme a lo siguiente: </w:t>
      </w:r>
    </w:p>
    <w:p w14:paraId="2F51FD86" w14:textId="77777777" w:rsidR="009F74FB" w:rsidRPr="007D35D4" w:rsidRDefault="009F74FB" w:rsidP="009F74FB">
      <w:pPr>
        <w:spacing w:after="0" w:line="360" w:lineRule="auto"/>
        <w:ind w:right="50"/>
        <w:rPr>
          <w:rFonts w:eastAsia="Palatino Linotype" w:cs="Palatino Linotype"/>
        </w:rPr>
      </w:pPr>
    </w:p>
    <w:p w14:paraId="7777DA4A" w14:textId="77777777" w:rsidR="009F74FB" w:rsidRPr="007D35D4" w:rsidRDefault="009F74FB" w:rsidP="009F74FB">
      <w:pPr>
        <w:spacing w:after="0"/>
        <w:ind w:left="851" w:right="900"/>
        <w:jc w:val="center"/>
        <w:rPr>
          <w:rFonts w:eastAsia="Palatino Linotype" w:cs="Palatino Linotype"/>
          <w:b/>
          <w:i/>
        </w:rPr>
      </w:pPr>
      <w:r w:rsidRPr="007D35D4">
        <w:rPr>
          <w:rFonts w:eastAsia="Palatino Linotype" w:cs="Palatino Linotype"/>
          <w:b/>
          <w:i/>
        </w:rPr>
        <w:t>CAPÍTULO VIII</w:t>
      </w:r>
    </w:p>
    <w:p w14:paraId="4BFE3634" w14:textId="77777777" w:rsidR="009F74FB" w:rsidRPr="007D35D4" w:rsidRDefault="009F74FB" w:rsidP="009F74FB">
      <w:pPr>
        <w:spacing w:after="0"/>
        <w:ind w:left="851" w:right="900"/>
        <w:jc w:val="center"/>
        <w:rPr>
          <w:rFonts w:eastAsia="Palatino Linotype" w:cs="Palatino Linotype"/>
          <w:b/>
          <w:i/>
        </w:rPr>
      </w:pPr>
      <w:r w:rsidRPr="007D35D4">
        <w:rPr>
          <w:rFonts w:eastAsia="Palatino Linotype" w:cs="Palatino Linotype"/>
          <w:b/>
          <w:i/>
        </w:rPr>
        <w:t xml:space="preserve">DE LOS ELEMENTOS PARA LA CLASIFICACIÓN </w:t>
      </w:r>
    </w:p>
    <w:p w14:paraId="72724354" w14:textId="77777777" w:rsidR="009F74FB" w:rsidRPr="007D35D4" w:rsidRDefault="009F74FB" w:rsidP="009F74FB">
      <w:pPr>
        <w:spacing w:after="0"/>
        <w:ind w:left="851" w:right="902"/>
        <w:rPr>
          <w:rFonts w:eastAsia="Palatino Linotype" w:cs="Palatino Linotype"/>
          <w:i/>
        </w:rPr>
      </w:pPr>
      <w:r w:rsidRPr="007D35D4">
        <w:rPr>
          <w:rFonts w:eastAsia="Palatino Linotype" w:cs="Palatino Linotype"/>
          <w:i/>
        </w:rPr>
        <w:t xml:space="preserve">Quincuagésimo tercero. </w:t>
      </w:r>
      <w:r w:rsidRPr="007D35D4">
        <w:rPr>
          <w:rFonts w:eastAsia="Palatino Linotype" w:cs="Palatino Linotype"/>
          <w:i/>
          <w:u w:val="single"/>
        </w:rPr>
        <w:t>El formato para señalar la clasificación de un documento o expediente que contenga información reservada</w:t>
      </w:r>
      <w:r w:rsidRPr="007D35D4">
        <w:rPr>
          <w:rFonts w:eastAsia="Palatino Linotype" w:cs="Palatino Linotype"/>
          <w:i/>
        </w:rPr>
        <w:t xml:space="preserve">, es el siguiente: </w:t>
      </w:r>
    </w:p>
    <w:p w14:paraId="248DD093" w14:textId="77777777" w:rsidR="009F74FB" w:rsidRPr="007D35D4" w:rsidRDefault="009F74FB" w:rsidP="009F74FB">
      <w:pPr>
        <w:spacing w:after="0"/>
        <w:ind w:left="851" w:right="902"/>
        <w:rPr>
          <w:rFonts w:eastAsia="Palatino Linotype" w:cs="Palatino Linotype"/>
          <w:i/>
        </w:rPr>
      </w:pPr>
    </w:p>
    <w:tbl>
      <w:tblPr>
        <w:tblStyle w:val="Tablaconcuadrcula"/>
        <w:tblW w:w="0" w:type="auto"/>
        <w:jc w:val="center"/>
        <w:tblLook w:val="04A0" w:firstRow="1" w:lastRow="0" w:firstColumn="1" w:lastColumn="0" w:noHBand="0" w:noVBand="1"/>
      </w:tblPr>
      <w:tblGrid>
        <w:gridCol w:w="1271"/>
        <w:gridCol w:w="2693"/>
        <w:gridCol w:w="3691"/>
      </w:tblGrid>
      <w:tr w:rsidR="009F74FB" w:rsidRPr="007D35D4" w14:paraId="5A0F8786" w14:textId="77777777" w:rsidTr="00F44705">
        <w:trPr>
          <w:trHeight w:val="262"/>
          <w:jc w:val="center"/>
        </w:trPr>
        <w:tc>
          <w:tcPr>
            <w:tcW w:w="1271" w:type="dxa"/>
            <w:tcBorders>
              <w:top w:val="nil"/>
              <w:left w:val="nil"/>
            </w:tcBorders>
          </w:tcPr>
          <w:p w14:paraId="6F874FF8" w14:textId="77777777" w:rsidR="009F74FB" w:rsidRPr="007D35D4" w:rsidRDefault="009F74FB" w:rsidP="009F74FB">
            <w:pPr>
              <w:rPr>
                <w:sz w:val="20"/>
              </w:rPr>
            </w:pPr>
          </w:p>
        </w:tc>
        <w:tc>
          <w:tcPr>
            <w:tcW w:w="2693" w:type="dxa"/>
            <w:shd w:val="clear" w:color="auto" w:fill="D9D9D9" w:themeFill="background1" w:themeFillShade="D9"/>
          </w:tcPr>
          <w:p w14:paraId="3513E29E" w14:textId="77777777" w:rsidR="009F74FB" w:rsidRPr="007D35D4" w:rsidRDefault="009F74FB" w:rsidP="009F74FB">
            <w:pPr>
              <w:tabs>
                <w:tab w:val="center" w:pos="1238"/>
                <w:tab w:val="right" w:pos="2477"/>
              </w:tabs>
              <w:rPr>
                <w:b/>
                <w:sz w:val="20"/>
              </w:rPr>
            </w:pPr>
            <w:r w:rsidRPr="007D35D4">
              <w:rPr>
                <w:b/>
                <w:sz w:val="20"/>
              </w:rPr>
              <w:tab/>
              <w:t>Concepto</w:t>
            </w:r>
            <w:r w:rsidRPr="007D35D4">
              <w:rPr>
                <w:b/>
                <w:sz w:val="20"/>
              </w:rPr>
              <w:tab/>
            </w:r>
          </w:p>
        </w:tc>
        <w:tc>
          <w:tcPr>
            <w:tcW w:w="3691" w:type="dxa"/>
            <w:shd w:val="clear" w:color="auto" w:fill="D9D9D9" w:themeFill="background1" w:themeFillShade="D9"/>
          </w:tcPr>
          <w:p w14:paraId="56E9953F" w14:textId="77777777" w:rsidR="009F74FB" w:rsidRPr="007D35D4" w:rsidRDefault="009F74FB" w:rsidP="009F74FB">
            <w:pPr>
              <w:jc w:val="center"/>
              <w:rPr>
                <w:b/>
                <w:sz w:val="20"/>
              </w:rPr>
            </w:pPr>
            <w:r w:rsidRPr="007D35D4">
              <w:rPr>
                <w:b/>
                <w:sz w:val="20"/>
              </w:rPr>
              <w:t>Dónde</w:t>
            </w:r>
          </w:p>
        </w:tc>
      </w:tr>
      <w:tr w:rsidR="009F74FB" w:rsidRPr="007D35D4" w14:paraId="43772B9F" w14:textId="77777777" w:rsidTr="00F44705">
        <w:trPr>
          <w:jc w:val="center"/>
        </w:trPr>
        <w:tc>
          <w:tcPr>
            <w:tcW w:w="1271" w:type="dxa"/>
            <w:vMerge w:val="restart"/>
            <w:shd w:val="clear" w:color="auto" w:fill="D9D9D9" w:themeFill="background1" w:themeFillShade="D9"/>
          </w:tcPr>
          <w:p w14:paraId="20CF0044" w14:textId="77777777" w:rsidR="009F74FB" w:rsidRPr="007D35D4" w:rsidRDefault="009F74FB" w:rsidP="009F74FB">
            <w:pPr>
              <w:rPr>
                <w:b/>
                <w:sz w:val="20"/>
              </w:rPr>
            </w:pPr>
          </w:p>
          <w:p w14:paraId="4049E959" w14:textId="77777777" w:rsidR="009F74FB" w:rsidRPr="007D35D4" w:rsidRDefault="009F74FB" w:rsidP="009F74FB">
            <w:pPr>
              <w:rPr>
                <w:b/>
                <w:sz w:val="20"/>
              </w:rPr>
            </w:pPr>
          </w:p>
          <w:p w14:paraId="6E89E175" w14:textId="77777777" w:rsidR="009F74FB" w:rsidRPr="007D35D4" w:rsidRDefault="009F74FB" w:rsidP="009F74FB">
            <w:pPr>
              <w:rPr>
                <w:b/>
                <w:sz w:val="20"/>
              </w:rPr>
            </w:pPr>
          </w:p>
          <w:p w14:paraId="3A9B3573" w14:textId="77777777" w:rsidR="009F74FB" w:rsidRPr="007D35D4" w:rsidRDefault="009F74FB" w:rsidP="009F74FB">
            <w:pPr>
              <w:rPr>
                <w:b/>
                <w:sz w:val="20"/>
              </w:rPr>
            </w:pPr>
          </w:p>
          <w:p w14:paraId="6F5E3EA3" w14:textId="77777777" w:rsidR="009F74FB" w:rsidRPr="007D35D4" w:rsidRDefault="009F74FB" w:rsidP="009F74FB">
            <w:pPr>
              <w:rPr>
                <w:b/>
                <w:sz w:val="20"/>
              </w:rPr>
            </w:pPr>
          </w:p>
          <w:p w14:paraId="0D95E675" w14:textId="77777777" w:rsidR="009F74FB" w:rsidRPr="007D35D4" w:rsidRDefault="009F74FB" w:rsidP="009F74FB">
            <w:pPr>
              <w:rPr>
                <w:b/>
                <w:sz w:val="20"/>
              </w:rPr>
            </w:pPr>
          </w:p>
          <w:p w14:paraId="4AB6D811" w14:textId="77777777" w:rsidR="009F74FB" w:rsidRPr="007D35D4" w:rsidRDefault="009F74FB" w:rsidP="009F74FB">
            <w:pPr>
              <w:rPr>
                <w:b/>
                <w:sz w:val="20"/>
              </w:rPr>
            </w:pPr>
            <w:r w:rsidRPr="007D35D4">
              <w:rPr>
                <w:b/>
                <w:sz w:val="20"/>
              </w:rPr>
              <w:t xml:space="preserve">Sello oficial o logotipo del sujeto obligado </w:t>
            </w:r>
          </w:p>
        </w:tc>
        <w:tc>
          <w:tcPr>
            <w:tcW w:w="2693" w:type="dxa"/>
          </w:tcPr>
          <w:p w14:paraId="638BDB8A" w14:textId="77777777" w:rsidR="009F74FB" w:rsidRPr="007D35D4" w:rsidRDefault="009F74FB" w:rsidP="009F74FB">
            <w:pPr>
              <w:rPr>
                <w:sz w:val="20"/>
              </w:rPr>
            </w:pPr>
            <w:r w:rsidRPr="007D35D4">
              <w:rPr>
                <w:sz w:val="20"/>
              </w:rPr>
              <w:t>Fecha de clasificación</w:t>
            </w:r>
          </w:p>
        </w:tc>
        <w:tc>
          <w:tcPr>
            <w:tcW w:w="3691" w:type="dxa"/>
          </w:tcPr>
          <w:p w14:paraId="07723566" w14:textId="77777777" w:rsidR="009F74FB" w:rsidRPr="007D35D4" w:rsidRDefault="009F74FB" w:rsidP="009F74FB">
            <w:pPr>
              <w:rPr>
                <w:sz w:val="20"/>
              </w:rPr>
            </w:pPr>
            <w:r w:rsidRPr="007D35D4">
              <w:rPr>
                <w:sz w:val="20"/>
              </w:rPr>
              <w:t xml:space="preserve">Se anotará la fecha en la que el Comité de Transparencia confirmó la clasificación del documento o expediente, en su caso. </w:t>
            </w:r>
          </w:p>
        </w:tc>
      </w:tr>
      <w:tr w:rsidR="009F74FB" w:rsidRPr="007D35D4" w14:paraId="3346319D" w14:textId="77777777" w:rsidTr="00F44705">
        <w:trPr>
          <w:jc w:val="center"/>
        </w:trPr>
        <w:tc>
          <w:tcPr>
            <w:tcW w:w="1271" w:type="dxa"/>
            <w:vMerge/>
            <w:shd w:val="clear" w:color="auto" w:fill="D9D9D9" w:themeFill="background1" w:themeFillShade="D9"/>
          </w:tcPr>
          <w:p w14:paraId="4DD15AFD" w14:textId="77777777" w:rsidR="009F74FB" w:rsidRPr="007D35D4" w:rsidRDefault="009F74FB" w:rsidP="009F74FB">
            <w:pPr>
              <w:rPr>
                <w:sz w:val="20"/>
              </w:rPr>
            </w:pPr>
          </w:p>
        </w:tc>
        <w:tc>
          <w:tcPr>
            <w:tcW w:w="2693" w:type="dxa"/>
          </w:tcPr>
          <w:p w14:paraId="739C68C9" w14:textId="77777777" w:rsidR="009F74FB" w:rsidRPr="007D35D4" w:rsidRDefault="009F74FB" w:rsidP="009F74FB">
            <w:pPr>
              <w:rPr>
                <w:sz w:val="20"/>
              </w:rPr>
            </w:pPr>
            <w:r w:rsidRPr="007D35D4">
              <w:rPr>
                <w:sz w:val="20"/>
              </w:rPr>
              <w:t xml:space="preserve">Área </w:t>
            </w:r>
          </w:p>
        </w:tc>
        <w:tc>
          <w:tcPr>
            <w:tcW w:w="3691" w:type="dxa"/>
          </w:tcPr>
          <w:p w14:paraId="526CCECB" w14:textId="77777777" w:rsidR="009F74FB" w:rsidRPr="007D35D4" w:rsidRDefault="009F74FB" w:rsidP="009F74FB">
            <w:pPr>
              <w:rPr>
                <w:sz w:val="20"/>
              </w:rPr>
            </w:pPr>
            <w:r w:rsidRPr="007D35D4">
              <w:rPr>
                <w:sz w:val="20"/>
              </w:rPr>
              <w:t xml:space="preserve">Se señalará el nombre del área del cual es titular quien clasifica. </w:t>
            </w:r>
          </w:p>
        </w:tc>
      </w:tr>
      <w:tr w:rsidR="009F74FB" w:rsidRPr="007D35D4" w14:paraId="1C2184A6" w14:textId="77777777" w:rsidTr="00F44705">
        <w:trPr>
          <w:jc w:val="center"/>
        </w:trPr>
        <w:tc>
          <w:tcPr>
            <w:tcW w:w="1271" w:type="dxa"/>
            <w:vMerge/>
            <w:shd w:val="clear" w:color="auto" w:fill="D9D9D9" w:themeFill="background1" w:themeFillShade="D9"/>
          </w:tcPr>
          <w:p w14:paraId="26EA3525" w14:textId="77777777" w:rsidR="009F74FB" w:rsidRPr="007D35D4" w:rsidRDefault="009F74FB" w:rsidP="009F74FB">
            <w:pPr>
              <w:rPr>
                <w:sz w:val="20"/>
              </w:rPr>
            </w:pPr>
          </w:p>
        </w:tc>
        <w:tc>
          <w:tcPr>
            <w:tcW w:w="2693" w:type="dxa"/>
          </w:tcPr>
          <w:p w14:paraId="02058F82" w14:textId="77777777" w:rsidR="009F74FB" w:rsidRPr="007D35D4" w:rsidRDefault="009F74FB" w:rsidP="009F74FB">
            <w:pPr>
              <w:rPr>
                <w:sz w:val="20"/>
              </w:rPr>
            </w:pPr>
            <w:r w:rsidRPr="007D35D4">
              <w:rPr>
                <w:sz w:val="20"/>
              </w:rPr>
              <w:t>Información Reservada</w:t>
            </w:r>
          </w:p>
        </w:tc>
        <w:tc>
          <w:tcPr>
            <w:tcW w:w="3691" w:type="dxa"/>
          </w:tcPr>
          <w:p w14:paraId="2A5F1125" w14:textId="77777777" w:rsidR="009F74FB" w:rsidRPr="007D35D4" w:rsidRDefault="009F74FB" w:rsidP="009F74FB">
            <w:pPr>
              <w:rPr>
                <w:sz w:val="20"/>
              </w:rPr>
            </w:pPr>
            <w:r w:rsidRPr="007D35D4">
              <w:rPr>
                <w:sz w:val="20"/>
              </w:rPr>
              <w:t>Se indicarán las partes o páginas del documento que se clasifican como reservadas, o, en su caso, se precisará que se ha reservado el documento o expediente en su totalidad.</w:t>
            </w:r>
          </w:p>
        </w:tc>
      </w:tr>
      <w:tr w:rsidR="009F74FB" w:rsidRPr="007D35D4" w14:paraId="04C2C493" w14:textId="77777777" w:rsidTr="00F44705">
        <w:trPr>
          <w:jc w:val="center"/>
        </w:trPr>
        <w:tc>
          <w:tcPr>
            <w:tcW w:w="1271" w:type="dxa"/>
            <w:vMerge/>
            <w:shd w:val="clear" w:color="auto" w:fill="D9D9D9" w:themeFill="background1" w:themeFillShade="D9"/>
          </w:tcPr>
          <w:p w14:paraId="4CEA945E" w14:textId="77777777" w:rsidR="009F74FB" w:rsidRPr="007D35D4" w:rsidRDefault="009F74FB" w:rsidP="009F74FB">
            <w:pPr>
              <w:rPr>
                <w:sz w:val="20"/>
              </w:rPr>
            </w:pPr>
          </w:p>
        </w:tc>
        <w:tc>
          <w:tcPr>
            <w:tcW w:w="2693" w:type="dxa"/>
          </w:tcPr>
          <w:p w14:paraId="5E4ABF9A" w14:textId="77777777" w:rsidR="009F74FB" w:rsidRPr="007D35D4" w:rsidRDefault="009F74FB" w:rsidP="009F74FB">
            <w:pPr>
              <w:rPr>
                <w:sz w:val="20"/>
              </w:rPr>
            </w:pPr>
            <w:r w:rsidRPr="007D35D4">
              <w:rPr>
                <w:sz w:val="20"/>
              </w:rPr>
              <w:t xml:space="preserve">Periodo de Reserva </w:t>
            </w:r>
          </w:p>
        </w:tc>
        <w:tc>
          <w:tcPr>
            <w:tcW w:w="3691" w:type="dxa"/>
          </w:tcPr>
          <w:p w14:paraId="74A54E89" w14:textId="77777777" w:rsidR="009F74FB" w:rsidRPr="007D35D4" w:rsidRDefault="009F74FB" w:rsidP="009F74FB">
            <w:pPr>
              <w:rPr>
                <w:sz w:val="20"/>
              </w:rPr>
            </w:pPr>
            <w:r w:rsidRPr="007D35D4">
              <w:rPr>
                <w:sz w:val="20"/>
              </w:rPr>
              <w:t xml:space="preserve">Se anotará el número de años o meses por los que se mantendrá reservado el documento, el expediente o, en su caso, las partes o secciones reservadas. </w:t>
            </w:r>
          </w:p>
        </w:tc>
      </w:tr>
      <w:tr w:rsidR="009F74FB" w:rsidRPr="007D35D4" w14:paraId="375D83E5" w14:textId="77777777" w:rsidTr="00F44705">
        <w:trPr>
          <w:jc w:val="center"/>
        </w:trPr>
        <w:tc>
          <w:tcPr>
            <w:tcW w:w="1271" w:type="dxa"/>
            <w:vMerge/>
            <w:shd w:val="clear" w:color="auto" w:fill="D9D9D9" w:themeFill="background1" w:themeFillShade="D9"/>
          </w:tcPr>
          <w:p w14:paraId="3EFBF6F9" w14:textId="77777777" w:rsidR="009F74FB" w:rsidRPr="007D35D4" w:rsidRDefault="009F74FB" w:rsidP="009F74FB">
            <w:pPr>
              <w:rPr>
                <w:sz w:val="20"/>
              </w:rPr>
            </w:pPr>
          </w:p>
        </w:tc>
        <w:tc>
          <w:tcPr>
            <w:tcW w:w="2693" w:type="dxa"/>
          </w:tcPr>
          <w:p w14:paraId="633E7171" w14:textId="77777777" w:rsidR="009F74FB" w:rsidRPr="007D35D4" w:rsidRDefault="009F74FB" w:rsidP="009F74FB">
            <w:pPr>
              <w:rPr>
                <w:sz w:val="20"/>
              </w:rPr>
            </w:pPr>
            <w:r w:rsidRPr="007D35D4">
              <w:rPr>
                <w:sz w:val="20"/>
              </w:rPr>
              <w:t>Fundamento legal</w:t>
            </w:r>
          </w:p>
        </w:tc>
        <w:tc>
          <w:tcPr>
            <w:tcW w:w="3691" w:type="dxa"/>
          </w:tcPr>
          <w:p w14:paraId="6D92E4B9" w14:textId="77777777" w:rsidR="009F74FB" w:rsidRPr="007D35D4" w:rsidRDefault="009F74FB" w:rsidP="009F74FB">
            <w:pPr>
              <w:rPr>
                <w:sz w:val="20"/>
              </w:rPr>
            </w:pPr>
            <w:r w:rsidRPr="007D35D4">
              <w:rPr>
                <w:sz w:val="20"/>
              </w:rPr>
              <w:t xml:space="preserve">Se señalará el nombre del ordenamiento el o los artículos, fracciones, párrafos con base en los cuales se sustente la reserva. </w:t>
            </w:r>
          </w:p>
        </w:tc>
      </w:tr>
      <w:tr w:rsidR="009F74FB" w:rsidRPr="007D35D4" w14:paraId="676F288E" w14:textId="77777777" w:rsidTr="00F44705">
        <w:trPr>
          <w:jc w:val="center"/>
        </w:trPr>
        <w:tc>
          <w:tcPr>
            <w:tcW w:w="1271" w:type="dxa"/>
            <w:vMerge/>
            <w:shd w:val="clear" w:color="auto" w:fill="D9D9D9" w:themeFill="background1" w:themeFillShade="D9"/>
          </w:tcPr>
          <w:p w14:paraId="1999B73E" w14:textId="77777777" w:rsidR="009F74FB" w:rsidRPr="007D35D4" w:rsidRDefault="009F74FB" w:rsidP="009F74FB">
            <w:pPr>
              <w:rPr>
                <w:sz w:val="20"/>
              </w:rPr>
            </w:pPr>
          </w:p>
        </w:tc>
        <w:tc>
          <w:tcPr>
            <w:tcW w:w="2693" w:type="dxa"/>
          </w:tcPr>
          <w:p w14:paraId="39179134" w14:textId="77777777" w:rsidR="009F74FB" w:rsidRPr="007D35D4" w:rsidRDefault="009F74FB" w:rsidP="009F74FB">
            <w:pPr>
              <w:rPr>
                <w:sz w:val="20"/>
              </w:rPr>
            </w:pPr>
            <w:r w:rsidRPr="007D35D4">
              <w:rPr>
                <w:sz w:val="20"/>
              </w:rPr>
              <w:t>Ampliación del periodo de reserva</w:t>
            </w:r>
          </w:p>
        </w:tc>
        <w:tc>
          <w:tcPr>
            <w:tcW w:w="3691" w:type="dxa"/>
          </w:tcPr>
          <w:p w14:paraId="582A3CE6" w14:textId="77777777" w:rsidR="009F74FB" w:rsidRPr="007D35D4" w:rsidRDefault="009F74FB" w:rsidP="009F74FB">
            <w:pPr>
              <w:rPr>
                <w:sz w:val="20"/>
              </w:rPr>
            </w:pPr>
            <w:r w:rsidRPr="007D35D4">
              <w:rPr>
                <w:sz w:val="20"/>
              </w:rPr>
              <w:t xml:space="preserve">En caso de haber solicitado la ampliación del periodo de reserva originalmente establecido, se deberá anotar el número de años o meses por los que se amplía la reserva. </w:t>
            </w:r>
          </w:p>
        </w:tc>
      </w:tr>
      <w:tr w:rsidR="009F74FB" w:rsidRPr="007D35D4" w14:paraId="0BF964CA" w14:textId="77777777" w:rsidTr="00F44705">
        <w:trPr>
          <w:jc w:val="center"/>
        </w:trPr>
        <w:tc>
          <w:tcPr>
            <w:tcW w:w="3964" w:type="dxa"/>
            <w:gridSpan w:val="2"/>
            <w:shd w:val="clear" w:color="auto" w:fill="D9D9D9" w:themeFill="background1" w:themeFillShade="D9"/>
          </w:tcPr>
          <w:p w14:paraId="2E73CA18" w14:textId="77777777" w:rsidR="009F74FB" w:rsidRPr="007D35D4" w:rsidRDefault="009F74FB" w:rsidP="009F74FB">
            <w:pPr>
              <w:rPr>
                <w:sz w:val="20"/>
              </w:rPr>
            </w:pPr>
            <w:r w:rsidRPr="007D35D4">
              <w:rPr>
                <w:sz w:val="20"/>
              </w:rPr>
              <w:t>Rúbrica del titular del área</w:t>
            </w:r>
          </w:p>
        </w:tc>
        <w:tc>
          <w:tcPr>
            <w:tcW w:w="3691" w:type="dxa"/>
            <w:shd w:val="clear" w:color="auto" w:fill="D9D9D9" w:themeFill="background1" w:themeFillShade="D9"/>
          </w:tcPr>
          <w:p w14:paraId="2B1CD3E3" w14:textId="77777777" w:rsidR="009F74FB" w:rsidRPr="007D35D4" w:rsidRDefault="009F74FB" w:rsidP="009F74FB">
            <w:pPr>
              <w:rPr>
                <w:sz w:val="20"/>
              </w:rPr>
            </w:pPr>
            <w:r w:rsidRPr="007D35D4">
              <w:rPr>
                <w:sz w:val="20"/>
              </w:rPr>
              <w:t xml:space="preserve">Rúbrica autógrafa o firma digital de quien clasifica. </w:t>
            </w:r>
          </w:p>
        </w:tc>
      </w:tr>
      <w:tr w:rsidR="009F74FB" w:rsidRPr="007D35D4" w14:paraId="721BCE32" w14:textId="77777777" w:rsidTr="00F44705">
        <w:trPr>
          <w:jc w:val="center"/>
        </w:trPr>
        <w:tc>
          <w:tcPr>
            <w:tcW w:w="3964" w:type="dxa"/>
            <w:gridSpan w:val="2"/>
            <w:shd w:val="clear" w:color="auto" w:fill="D9D9D9" w:themeFill="background1" w:themeFillShade="D9"/>
          </w:tcPr>
          <w:p w14:paraId="799C4B22" w14:textId="77777777" w:rsidR="009F74FB" w:rsidRPr="007D35D4" w:rsidRDefault="009F74FB" w:rsidP="009F74FB">
            <w:pPr>
              <w:rPr>
                <w:sz w:val="20"/>
              </w:rPr>
            </w:pPr>
            <w:r w:rsidRPr="007D35D4">
              <w:rPr>
                <w:sz w:val="20"/>
              </w:rPr>
              <w:t xml:space="preserve">Fecha de desclasificación </w:t>
            </w:r>
          </w:p>
        </w:tc>
        <w:tc>
          <w:tcPr>
            <w:tcW w:w="3691" w:type="dxa"/>
            <w:shd w:val="clear" w:color="auto" w:fill="D9D9D9" w:themeFill="background1" w:themeFillShade="D9"/>
          </w:tcPr>
          <w:p w14:paraId="7BFB4891" w14:textId="77777777" w:rsidR="009F74FB" w:rsidRPr="007D35D4" w:rsidRDefault="009F74FB" w:rsidP="009F74FB">
            <w:pPr>
              <w:rPr>
                <w:sz w:val="20"/>
              </w:rPr>
            </w:pPr>
            <w:r w:rsidRPr="007D35D4">
              <w:rPr>
                <w:sz w:val="20"/>
              </w:rPr>
              <w:t xml:space="preserve">Se anotará la fecha en que se desclasifica el documento. </w:t>
            </w:r>
          </w:p>
        </w:tc>
      </w:tr>
      <w:tr w:rsidR="009F74FB" w:rsidRPr="007D35D4" w14:paraId="456E43CB" w14:textId="77777777" w:rsidTr="00F44705">
        <w:trPr>
          <w:jc w:val="center"/>
        </w:trPr>
        <w:tc>
          <w:tcPr>
            <w:tcW w:w="3964" w:type="dxa"/>
            <w:gridSpan w:val="2"/>
            <w:shd w:val="clear" w:color="auto" w:fill="D9D9D9" w:themeFill="background1" w:themeFillShade="D9"/>
          </w:tcPr>
          <w:p w14:paraId="2FC2472E" w14:textId="77777777" w:rsidR="009F74FB" w:rsidRPr="007D35D4" w:rsidRDefault="009F74FB" w:rsidP="009F74FB">
            <w:pPr>
              <w:rPr>
                <w:sz w:val="20"/>
              </w:rPr>
            </w:pPr>
            <w:r w:rsidRPr="007D35D4">
              <w:rPr>
                <w:sz w:val="20"/>
              </w:rPr>
              <w:t xml:space="preserve">Rúbrica y cargo del servidor público </w:t>
            </w:r>
          </w:p>
        </w:tc>
        <w:tc>
          <w:tcPr>
            <w:tcW w:w="3691" w:type="dxa"/>
            <w:shd w:val="clear" w:color="auto" w:fill="D9D9D9" w:themeFill="background1" w:themeFillShade="D9"/>
          </w:tcPr>
          <w:p w14:paraId="4B3182A8" w14:textId="77777777" w:rsidR="009F74FB" w:rsidRPr="007D35D4" w:rsidRDefault="009F74FB" w:rsidP="009F74FB">
            <w:pPr>
              <w:rPr>
                <w:sz w:val="20"/>
              </w:rPr>
            </w:pPr>
            <w:r w:rsidRPr="007D35D4">
              <w:rPr>
                <w:sz w:val="20"/>
              </w:rPr>
              <w:t xml:space="preserve">Rúbrica autógrafa o firma digital de quien desclasifica. </w:t>
            </w:r>
          </w:p>
        </w:tc>
      </w:tr>
    </w:tbl>
    <w:p w14:paraId="322B97A4" w14:textId="77777777" w:rsidR="009F74FB" w:rsidRPr="007D35D4" w:rsidRDefault="009F74FB" w:rsidP="009F74FB">
      <w:pPr>
        <w:spacing w:after="0" w:line="360" w:lineRule="auto"/>
        <w:ind w:right="902"/>
        <w:rPr>
          <w:rFonts w:eastAsia="Palatino Linotype" w:cs="Palatino Linotype"/>
          <w:i/>
        </w:rPr>
      </w:pPr>
    </w:p>
    <w:p w14:paraId="4D6540B3" w14:textId="77777777" w:rsidR="009F74FB" w:rsidRPr="007D35D4" w:rsidRDefault="009F74FB" w:rsidP="009F74FB">
      <w:pPr>
        <w:spacing w:after="0"/>
        <w:ind w:left="567" w:right="902"/>
        <w:rPr>
          <w:rFonts w:eastAsia="Palatino Linotype" w:cs="Palatino Linotype"/>
          <w:i/>
        </w:rPr>
      </w:pPr>
      <w:r w:rsidRPr="007D35D4">
        <w:rPr>
          <w:rFonts w:eastAsia="Palatino Linotype" w:cs="Palatino Linotype"/>
          <w:i/>
        </w:rPr>
        <w:t>Los documentos que integren un expediente reservado en su totalidad no deberán marcarse en lo individual.</w:t>
      </w:r>
    </w:p>
    <w:p w14:paraId="406FEFDD" w14:textId="77777777" w:rsidR="009F74FB" w:rsidRPr="007D35D4" w:rsidRDefault="009F74FB" w:rsidP="009F74FB">
      <w:pPr>
        <w:spacing w:after="0"/>
        <w:ind w:left="567" w:right="902"/>
        <w:rPr>
          <w:rFonts w:eastAsia="Palatino Linotype" w:cs="Palatino Linotype"/>
          <w:i/>
        </w:rPr>
      </w:pPr>
      <w:r w:rsidRPr="007D35D4">
        <w:rPr>
          <w:rFonts w:eastAsia="Palatino Linotype" w:cs="Palatino Linotype"/>
          <w:i/>
        </w:rPr>
        <w:t>Una vez desclasificados los expedientes, si existieren documentos que tuvieran el carácter de reservados deberán permanecer o ser marcados.”</w:t>
      </w:r>
    </w:p>
    <w:p w14:paraId="2151CD26" w14:textId="77777777" w:rsidR="009F74FB" w:rsidRPr="007D35D4" w:rsidRDefault="009F74FB" w:rsidP="009F74FB">
      <w:pPr>
        <w:spacing w:after="0" w:line="360" w:lineRule="auto"/>
        <w:rPr>
          <w:rFonts w:eastAsia="Palatino Linotype" w:cs="Palatino Linotype"/>
        </w:rPr>
      </w:pPr>
    </w:p>
    <w:p w14:paraId="5A37F8CE" w14:textId="77777777" w:rsidR="009F74FB" w:rsidRPr="007D35D4" w:rsidRDefault="009F74FB" w:rsidP="009F74FB">
      <w:pPr>
        <w:spacing w:after="0" w:line="360" w:lineRule="auto"/>
        <w:rPr>
          <w:rFonts w:eastAsia="Palatino Linotype" w:cs="Palatino Linotype"/>
          <w:sz w:val="24"/>
          <w:szCs w:val="24"/>
        </w:rPr>
      </w:pPr>
      <w:r w:rsidRPr="007D35D4">
        <w:rPr>
          <w:rFonts w:eastAsia="Palatino Linotype" w:cs="Palatino Linotype"/>
          <w:sz w:val="24"/>
          <w:szCs w:val="24"/>
        </w:rPr>
        <w:t>De igual forma, deberá observar los Lineamientos Quincuagésimo cuarto, Quincuagésimo quinto, Quincuagésimo séptimo y Quincuagésimo octavo, establecen lo siguiente:</w:t>
      </w:r>
    </w:p>
    <w:p w14:paraId="3050D40C" w14:textId="77777777" w:rsidR="009F74FB" w:rsidRPr="007D35D4" w:rsidRDefault="009F74FB" w:rsidP="009F74FB">
      <w:pPr>
        <w:spacing w:after="0" w:line="360" w:lineRule="auto"/>
        <w:rPr>
          <w:rFonts w:eastAsia="Palatino Linotype" w:cs="Palatino Linotype"/>
        </w:rPr>
      </w:pPr>
    </w:p>
    <w:p w14:paraId="27E3A8B4" w14:textId="77777777" w:rsidR="009F74FB" w:rsidRPr="007D35D4" w:rsidRDefault="009F74FB" w:rsidP="009F74FB">
      <w:pPr>
        <w:pBdr>
          <w:top w:val="nil"/>
          <w:left w:val="nil"/>
          <w:bottom w:val="nil"/>
          <w:right w:val="nil"/>
          <w:between w:val="nil"/>
        </w:pBdr>
        <w:spacing w:after="0"/>
        <w:ind w:left="567" w:right="616"/>
        <w:rPr>
          <w:rFonts w:eastAsia="Palatino Linotype" w:cs="Palatino Linotype"/>
          <w:i/>
        </w:rPr>
      </w:pPr>
      <w:r w:rsidRPr="007D35D4">
        <w:rPr>
          <w:rFonts w:eastAsia="Palatino Linotype" w:cs="Palatino Linotype"/>
          <w:i/>
        </w:rPr>
        <w:t>“</w:t>
      </w:r>
      <w:r w:rsidRPr="007D35D4">
        <w:rPr>
          <w:rFonts w:eastAsia="Palatino Linotype" w:cs="Palatino Linotype"/>
          <w:b/>
          <w:i/>
        </w:rPr>
        <w:t>Quincuagésimo cuarto.</w:t>
      </w:r>
      <w:r w:rsidRPr="007D35D4">
        <w:rPr>
          <w:rFonts w:eastAsia="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63CBBAC9"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b/>
          <w:i/>
        </w:rPr>
        <w:t>Quincuagésimo quinto.</w:t>
      </w:r>
      <w:r w:rsidRPr="007D35D4">
        <w:rPr>
          <w:rFonts w:eastAsia="Palatino Linotype" w:cs="Palatino Linotype"/>
          <w:i/>
        </w:rPr>
        <w:t xml:space="preserve"> Cada área del sujeto obligado podrá designar formalmente a una o más personas como responsables del </w:t>
      </w:r>
      <w:proofErr w:type="spellStart"/>
      <w:r w:rsidRPr="007D35D4">
        <w:rPr>
          <w:rFonts w:eastAsia="Palatino Linotype" w:cs="Palatino Linotype"/>
          <w:i/>
        </w:rPr>
        <w:t>testado</w:t>
      </w:r>
      <w:proofErr w:type="spellEnd"/>
      <w:r w:rsidRPr="007D35D4">
        <w:rPr>
          <w:rFonts w:eastAsia="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9C9901B"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w:t>
      </w:r>
    </w:p>
    <w:p w14:paraId="64AA228A"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b/>
          <w:i/>
        </w:rPr>
        <w:t>Quincuagésimo séptimo.</w:t>
      </w:r>
      <w:r w:rsidRPr="007D35D4">
        <w:rPr>
          <w:rFonts w:eastAsia="Palatino Linotype" w:cs="Palatino Linotype"/>
          <w:i/>
        </w:rPr>
        <w:t xml:space="preserve"> Se considera, en principio, como información pública y no podrá omitirse de las versiones públicas la siguiente: </w:t>
      </w:r>
    </w:p>
    <w:p w14:paraId="6DFBF3F4"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lastRenderedPageBreak/>
        <w:t xml:space="preserve">I. La relativa a las Obligaciones de Transparencia que contempla el Título V de la Ley General y las demás disposiciones legales aplicables; </w:t>
      </w:r>
    </w:p>
    <w:p w14:paraId="75CAC016"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7E381449"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86F1DF2"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 xml:space="preserve">Lo anterior, siempre y cuando no se acredite alguna causal de clasificación, prevista en las leyes o en los tratados internacionales suscritas por el Estado mexicano.  </w:t>
      </w:r>
    </w:p>
    <w:p w14:paraId="69DC9644" w14:textId="77777777" w:rsidR="009F74FB" w:rsidRPr="007D35D4" w:rsidRDefault="009F74FB" w:rsidP="009F74FB">
      <w:pPr>
        <w:spacing w:after="0"/>
        <w:ind w:left="567" w:right="616"/>
        <w:rPr>
          <w:rFonts w:eastAsia="Palatino Linotype" w:cs="Palatino Linotype"/>
          <w:i/>
        </w:rPr>
      </w:pPr>
      <w:r w:rsidRPr="007D35D4">
        <w:rPr>
          <w:rFonts w:eastAsia="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4E7DA83C" w14:textId="77777777" w:rsidR="009F74FB" w:rsidRPr="007D35D4" w:rsidRDefault="009F74FB" w:rsidP="009F74FB">
      <w:pPr>
        <w:spacing w:after="0" w:line="360" w:lineRule="auto"/>
        <w:ind w:left="567" w:right="616"/>
        <w:rPr>
          <w:rFonts w:eastAsia="Palatino Linotype" w:cs="Palatino Linotype"/>
          <w:i/>
          <w:sz w:val="24"/>
          <w:szCs w:val="24"/>
        </w:rPr>
      </w:pPr>
    </w:p>
    <w:p w14:paraId="45ABF777" w14:textId="77777777" w:rsidR="009F74FB" w:rsidRPr="007D35D4" w:rsidRDefault="009F74FB" w:rsidP="009F74FB">
      <w:pPr>
        <w:spacing w:after="0" w:line="360" w:lineRule="auto"/>
        <w:rPr>
          <w:rFonts w:eastAsia="Palatino Linotype" w:cs="Palatino Linotype"/>
          <w:sz w:val="24"/>
          <w:szCs w:val="24"/>
        </w:rPr>
      </w:pPr>
      <w:r w:rsidRPr="007D35D4">
        <w:rPr>
          <w:rFonts w:eastAsia="Palatino Linotype" w:cs="Palatino Linotype"/>
          <w:sz w:val="24"/>
          <w:szCs w:val="24"/>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24D7CAAD" w14:textId="77777777" w:rsidR="009F74FB" w:rsidRPr="007D35D4" w:rsidRDefault="009F74FB" w:rsidP="009D7017">
      <w:pPr>
        <w:spacing w:after="0" w:line="360" w:lineRule="auto"/>
        <w:ind w:right="49"/>
        <w:rPr>
          <w:rFonts w:eastAsia="Palatino Linotype" w:cs="Palatino Linotype"/>
          <w:b/>
          <w:sz w:val="24"/>
        </w:rPr>
      </w:pPr>
    </w:p>
    <w:p w14:paraId="49E8B083" w14:textId="77777777" w:rsidR="009F74FB" w:rsidRPr="007D35D4" w:rsidRDefault="009F74FB" w:rsidP="009F74FB">
      <w:pPr>
        <w:spacing w:after="0" w:line="360" w:lineRule="auto"/>
        <w:rPr>
          <w:rFonts w:eastAsia="Palatino Linotype" w:cs="Palatino Linotype"/>
          <w:b/>
          <w:sz w:val="24"/>
        </w:rPr>
      </w:pPr>
      <w:r w:rsidRPr="007D35D4">
        <w:rPr>
          <w:rFonts w:eastAsia="Palatino Linotype" w:cs="Palatino Linotype"/>
          <w:sz w:val="24"/>
        </w:rPr>
        <w:t xml:space="preserve">Es así como, en mérito de lo expuesto en líneas anteriores, resultan fundadas las razones o motivos de inconformidad hechos valer por la parte </w:t>
      </w:r>
      <w:r w:rsidRPr="007D35D4">
        <w:rPr>
          <w:rFonts w:eastAsia="Palatino Linotype" w:cs="Palatino Linotype"/>
          <w:b/>
          <w:sz w:val="24"/>
        </w:rPr>
        <w:t>RECURRENTE</w:t>
      </w:r>
      <w:r w:rsidRPr="007D35D4">
        <w:rPr>
          <w:rFonts w:eastAsia="Palatino Linotype" w:cs="Palatino Linotype"/>
          <w:sz w:val="24"/>
        </w:rPr>
        <w:t xml:space="preserve"> dentro del recurso de revisión </w:t>
      </w:r>
      <w:r w:rsidRPr="007D35D4">
        <w:rPr>
          <w:rFonts w:eastAsia="Palatino Linotype" w:cs="Palatino Linotype"/>
          <w:b/>
          <w:sz w:val="24"/>
        </w:rPr>
        <w:t>03904/INFOEM/IP/RR/2023</w:t>
      </w:r>
      <w:r w:rsidRPr="007D35D4">
        <w:rPr>
          <w:rFonts w:eastAsia="Palatino Linotype" w:cs="Palatino Linotype"/>
          <w:sz w:val="24"/>
        </w:rPr>
        <w:t xml:space="preserve">; por ello, y con fundamento en la fracción III del numeral 186 de la Ley de Transparencia y Acceso a la Información </w:t>
      </w:r>
      <w:r w:rsidRPr="007D35D4">
        <w:rPr>
          <w:rFonts w:eastAsia="Palatino Linotype" w:cs="Palatino Linotype"/>
          <w:sz w:val="24"/>
        </w:rPr>
        <w:lastRenderedPageBreak/>
        <w:t xml:space="preserve">Pública del Estado de México y Municipios, por lo que, se </w:t>
      </w:r>
      <w:r w:rsidRPr="007D35D4">
        <w:rPr>
          <w:rFonts w:eastAsia="Palatino Linotype" w:cs="Palatino Linotype"/>
          <w:b/>
          <w:sz w:val="24"/>
        </w:rPr>
        <w:t xml:space="preserve">MODIFICA </w:t>
      </w:r>
      <w:r w:rsidRPr="007D35D4">
        <w:rPr>
          <w:rFonts w:eastAsia="Palatino Linotype" w:cs="Palatino Linotype"/>
          <w:sz w:val="24"/>
        </w:rPr>
        <w:t xml:space="preserve">la respuesta del </w:t>
      </w:r>
      <w:r w:rsidRPr="007D35D4">
        <w:rPr>
          <w:rFonts w:eastAsia="Palatino Linotype" w:cs="Palatino Linotype"/>
          <w:b/>
          <w:sz w:val="24"/>
        </w:rPr>
        <w:t xml:space="preserve">SUJETO OBLIGADO </w:t>
      </w:r>
      <w:r w:rsidRPr="007D35D4">
        <w:rPr>
          <w:rFonts w:eastAsia="Palatino Linotype" w:cs="Palatino Linotype"/>
          <w:sz w:val="24"/>
        </w:rPr>
        <w:t xml:space="preserve">a la solicitud de información </w:t>
      </w:r>
      <w:r w:rsidRPr="007D35D4">
        <w:rPr>
          <w:rFonts w:eastAsia="Palatino Linotype" w:cs="Palatino Linotype"/>
          <w:b/>
          <w:sz w:val="24"/>
        </w:rPr>
        <w:t>00710/PJUDICI/IP/2023</w:t>
      </w:r>
      <w:r w:rsidRPr="007D35D4">
        <w:rPr>
          <w:rFonts w:eastAsia="Palatino Linotype" w:cs="Palatino Linotype"/>
          <w:sz w:val="24"/>
        </w:rPr>
        <w:t xml:space="preserve">.  </w:t>
      </w:r>
      <w:r w:rsidRPr="007D35D4">
        <w:rPr>
          <w:rFonts w:eastAsia="Palatino Linotype" w:cs="Palatino Linotype"/>
          <w:b/>
          <w:sz w:val="24"/>
        </w:rPr>
        <w:t xml:space="preserve"> </w:t>
      </w:r>
    </w:p>
    <w:p w14:paraId="55697635" w14:textId="77777777" w:rsidR="009F74FB" w:rsidRPr="007D35D4" w:rsidRDefault="009F74FB" w:rsidP="009D7017">
      <w:pPr>
        <w:spacing w:after="0" w:line="360" w:lineRule="auto"/>
        <w:ind w:right="49"/>
        <w:rPr>
          <w:rFonts w:eastAsia="Palatino Linotype" w:cs="Palatino Linotype"/>
          <w:b/>
          <w:sz w:val="24"/>
        </w:rPr>
      </w:pPr>
    </w:p>
    <w:p w14:paraId="78CE82BF" w14:textId="32529112" w:rsidR="009D7017" w:rsidRPr="007D35D4" w:rsidRDefault="009D7017" w:rsidP="009D7017">
      <w:pPr>
        <w:spacing w:after="0" w:line="360" w:lineRule="auto"/>
        <w:ind w:right="49"/>
        <w:rPr>
          <w:rFonts w:eastAsia="Palatino Linotype" w:cs="Palatino Linotype"/>
          <w:sz w:val="24"/>
        </w:rPr>
      </w:pPr>
      <w:r w:rsidRPr="007D35D4">
        <w:rPr>
          <w:rFonts w:eastAsia="Palatino Linotype" w:cs="Palatino Linotype"/>
          <w:sz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57AD34C" w14:textId="77777777" w:rsidR="009D7017" w:rsidRPr="007D35D4" w:rsidRDefault="009D7017" w:rsidP="00F40D32">
      <w:pPr>
        <w:spacing w:after="0" w:line="360" w:lineRule="auto"/>
        <w:ind w:right="-28"/>
        <w:jc w:val="center"/>
        <w:rPr>
          <w:b/>
          <w:bCs/>
          <w:sz w:val="24"/>
          <w:szCs w:val="24"/>
        </w:rPr>
      </w:pPr>
    </w:p>
    <w:p w14:paraId="5C5F6794" w14:textId="77777777" w:rsidR="00C853D1" w:rsidRPr="007D35D4" w:rsidRDefault="00C853D1" w:rsidP="00F40D32">
      <w:pPr>
        <w:spacing w:after="0" w:line="360" w:lineRule="auto"/>
        <w:ind w:right="-28"/>
        <w:jc w:val="center"/>
        <w:rPr>
          <w:rFonts w:eastAsia="Calibri" w:cs="Tahoma"/>
          <w:b/>
          <w:bCs/>
          <w:color w:val="auto"/>
          <w:sz w:val="24"/>
          <w:szCs w:val="24"/>
        </w:rPr>
      </w:pPr>
      <w:r w:rsidRPr="007D35D4">
        <w:rPr>
          <w:rFonts w:eastAsia="Calibri" w:cs="Tahoma"/>
          <w:b/>
          <w:bCs/>
          <w:color w:val="auto"/>
          <w:sz w:val="24"/>
          <w:szCs w:val="24"/>
        </w:rPr>
        <w:t>R E S U E L V E:</w:t>
      </w:r>
    </w:p>
    <w:p w14:paraId="5315815D" w14:textId="77777777" w:rsidR="00C853D1" w:rsidRPr="007D35D4" w:rsidRDefault="00C853D1" w:rsidP="00F40D32">
      <w:pPr>
        <w:spacing w:after="0" w:line="360" w:lineRule="auto"/>
        <w:rPr>
          <w:sz w:val="24"/>
          <w:szCs w:val="24"/>
          <w:lang w:val="es-ES" w:eastAsia="es-ES_tradnl"/>
        </w:rPr>
      </w:pPr>
    </w:p>
    <w:p w14:paraId="30961B84" w14:textId="32C99B0C" w:rsidR="009D7017" w:rsidRPr="007D35D4" w:rsidRDefault="00782132" w:rsidP="00F40D32">
      <w:pPr>
        <w:spacing w:after="0" w:line="360" w:lineRule="auto"/>
        <w:contextualSpacing/>
        <w:rPr>
          <w:rFonts w:cs="Tahoma"/>
          <w:bCs/>
          <w:sz w:val="24"/>
          <w:szCs w:val="24"/>
        </w:rPr>
      </w:pPr>
      <w:r w:rsidRPr="007D35D4">
        <w:rPr>
          <w:rFonts w:cs="Tahoma"/>
          <w:b/>
          <w:bCs/>
          <w:sz w:val="24"/>
          <w:szCs w:val="24"/>
        </w:rPr>
        <w:t xml:space="preserve">PRIMERO. </w:t>
      </w:r>
      <w:r w:rsidR="009D7017" w:rsidRPr="007D35D4">
        <w:rPr>
          <w:rFonts w:eastAsia="Palatino Linotype" w:cs="Palatino Linotype"/>
          <w:sz w:val="24"/>
          <w:szCs w:val="24"/>
        </w:rPr>
        <w:t>Resultan</w:t>
      </w:r>
      <w:r w:rsidR="009D7017" w:rsidRPr="007D35D4">
        <w:rPr>
          <w:rFonts w:eastAsia="Palatino Linotype" w:cs="Palatino Linotype"/>
          <w:b/>
          <w:sz w:val="24"/>
          <w:szCs w:val="24"/>
        </w:rPr>
        <w:t xml:space="preserve"> FUNDADOS</w:t>
      </w:r>
      <w:r w:rsidR="009D7017" w:rsidRPr="007D35D4">
        <w:rPr>
          <w:rFonts w:eastAsia="Palatino Linotype" w:cs="Palatino Linotype"/>
          <w:sz w:val="24"/>
          <w:szCs w:val="24"/>
        </w:rPr>
        <w:t xml:space="preserve"> los motivos de inconformidad hechos valer por la parte </w:t>
      </w:r>
      <w:r w:rsidR="009D7017" w:rsidRPr="007D35D4">
        <w:rPr>
          <w:rFonts w:eastAsia="Palatino Linotype" w:cs="Palatino Linotype"/>
          <w:b/>
          <w:sz w:val="24"/>
          <w:szCs w:val="24"/>
        </w:rPr>
        <w:t>RECURRENTE</w:t>
      </w:r>
      <w:r w:rsidR="009D7017" w:rsidRPr="007D35D4">
        <w:rPr>
          <w:rFonts w:eastAsia="Palatino Linotype" w:cs="Palatino Linotype"/>
          <w:sz w:val="24"/>
          <w:szCs w:val="24"/>
        </w:rPr>
        <w:t xml:space="preserve"> en el Recurso de Revisión </w:t>
      </w:r>
      <w:r w:rsidR="009D7017" w:rsidRPr="007D35D4">
        <w:rPr>
          <w:rFonts w:eastAsia="Palatino Linotype" w:cs="Palatino Linotype"/>
          <w:b/>
          <w:sz w:val="24"/>
          <w:szCs w:val="24"/>
        </w:rPr>
        <w:t>03904/INFOEM/IP/RR/2023</w:t>
      </w:r>
      <w:r w:rsidR="009D7017" w:rsidRPr="007D35D4">
        <w:rPr>
          <w:rFonts w:eastAsia="Palatino Linotype" w:cs="Palatino Linotype"/>
          <w:sz w:val="24"/>
          <w:szCs w:val="24"/>
        </w:rPr>
        <w:t xml:space="preserve">, por lo que, en términos del </w:t>
      </w:r>
      <w:r w:rsidR="009D7017" w:rsidRPr="007D35D4">
        <w:rPr>
          <w:rFonts w:eastAsia="Palatino Linotype" w:cs="Palatino Linotype"/>
          <w:b/>
          <w:sz w:val="24"/>
          <w:szCs w:val="24"/>
        </w:rPr>
        <w:t>Considerando Cuarto</w:t>
      </w:r>
      <w:r w:rsidR="009D7017" w:rsidRPr="007D35D4">
        <w:rPr>
          <w:rFonts w:eastAsia="Palatino Linotype" w:cs="Palatino Linotype"/>
          <w:sz w:val="24"/>
          <w:szCs w:val="24"/>
        </w:rPr>
        <w:t xml:space="preserve"> de esta resolución, se </w:t>
      </w:r>
      <w:r w:rsidR="009D7017" w:rsidRPr="007D35D4">
        <w:rPr>
          <w:rFonts w:eastAsia="Palatino Linotype" w:cs="Palatino Linotype"/>
          <w:b/>
          <w:sz w:val="24"/>
          <w:szCs w:val="24"/>
        </w:rPr>
        <w:t>MODIFICA</w:t>
      </w:r>
      <w:r w:rsidR="009D7017" w:rsidRPr="007D35D4">
        <w:rPr>
          <w:rFonts w:eastAsia="Palatino Linotype" w:cs="Palatino Linotype"/>
          <w:sz w:val="24"/>
          <w:szCs w:val="24"/>
        </w:rPr>
        <w:t xml:space="preserve"> la respuesta emitida por el </w:t>
      </w:r>
      <w:r w:rsidR="009D7017" w:rsidRPr="007D35D4">
        <w:rPr>
          <w:rFonts w:eastAsia="Palatino Linotype" w:cs="Palatino Linotype"/>
          <w:b/>
          <w:sz w:val="24"/>
          <w:szCs w:val="24"/>
        </w:rPr>
        <w:t>SUJETO OBLIGADO</w:t>
      </w:r>
      <w:r w:rsidR="009D7017" w:rsidRPr="007D35D4">
        <w:rPr>
          <w:rFonts w:eastAsia="Palatino Linotype" w:cs="Palatino Linotype"/>
          <w:sz w:val="24"/>
          <w:szCs w:val="24"/>
        </w:rPr>
        <w:t>.</w:t>
      </w:r>
    </w:p>
    <w:p w14:paraId="4A6EB131" w14:textId="77777777" w:rsidR="00782132" w:rsidRPr="007D35D4" w:rsidRDefault="00782132" w:rsidP="00F40D32">
      <w:pPr>
        <w:spacing w:after="0" w:line="360" w:lineRule="auto"/>
        <w:contextualSpacing/>
        <w:rPr>
          <w:rFonts w:eastAsia="Calibri" w:cs="Tahoma"/>
          <w:bCs/>
          <w:sz w:val="24"/>
          <w:szCs w:val="24"/>
        </w:rPr>
      </w:pPr>
    </w:p>
    <w:p w14:paraId="13908649" w14:textId="6C60380B" w:rsidR="00782132" w:rsidRPr="007D35D4" w:rsidRDefault="00782132" w:rsidP="00F40D32">
      <w:pPr>
        <w:spacing w:after="0" w:line="360" w:lineRule="auto"/>
        <w:contextualSpacing/>
        <w:rPr>
          <w:rFonts w:cs="Tahoma"/>
          <w:sz w:val="24"/>
          <w:szCs w:val="24"/>
        </w:rPr>
      </w:pPr>
      <w:r w:rsidRPr="007D35D4">
        <w:rPr>
          <w:rFonts w:cs="Tahoma"/>
          <w:b/>
          <w:bCs/>
          <w:sz w:val="24"/>
          <w:szCs w:val="24"/>
        </w:rPr>
        <w:t xml:space="preserve">SEGUNDO. </w:t>
      </w:r>
      <w:r w:rsidRPr="007D35D4">
        <w:rPr>
          <w:rFonts w:cs="Tahoma"/>
          <w:sz w:val="24"/>
          <w:szCs w:val="24"/>
        </w:rPr>
        <w:t xml:space="preserve">Se </w:t>
      </w:r>
      <w:r w:rsidRPr="007D35D4">
        <w:rPr>
          <w:rFonts w:cs="Tahoma"/>
          <w:b/>
          <w:sz w:val="24"/>
          <w:szCs w:val="24"/>
        </w:rPr>
        <w:t xml:space="preserve">ORDENA </w:t>
      </w:r>
      <w:r w:rsidRPr="007D35D4">
        <w:rPr>
          <w:rFonts w:cs="Tahoma"/>
          <w:bCs/>
          <w:sz w:val="24"/>
          <w:szCs w:val="24"/>
        </w:rPr>
        <w:t xml:space="preserve">al </w:t>
      </w:r>
      <w:r w:rsidR="009D7017" w:rsidRPr="007D35D4">
        <w:rPr>
          <w:rFonts w:cs="Tahoma"/>
          <w:sz w:val="24"/>
          <w:szCs w:val="24"/>
        </w:rPr>
        <w:t xml:space="preserve">Sujeto Obligado a </w:t>
      </w:r>
      <w:proofErr w:type="gramStart"/>
      <w:r w:rsidR="009D7017" w:rsidRPr="007D35D4">
        <w:rPr>
          <w:rFonts w:cs="Tahoma"/>
          <w:sz w:val="24"/>
          <w:szCs w:val="24"/>
        </w:rPr>
        <w:t>que</w:t>
      </w:r>
      <w:proofErr w:type="gramEnd"/>
      <w:r w:rsidR="009D7017" w:rsidRPr="007D35D4">
        <w:rPr>
          <w:rFonts w:cs="Tahoma"/>
          <w:sz w:val="24"/>
          <w:szCs w:val="24"/>
        </w:rPr>
        <w:t xml:space="preserve"> en términos del Considerando Cuarto, haga entrega,</w:t>
      </w:r>
      <w:r w:rsidRPr="007D35D4">
        <w:rPr>
          <w:rFonts w:cs="Tahoma"/>
          <w:sz w:val="24"/>
          <w:szCs w:val="24"/>
        </w:rPr>
        <w:t xml:space="preserve"> a través del Sistema de Acceso a la Información Mexiquense (SAIMEX), lo siguiente:</w:t>
      </w:r>
    </w:p>
    <w:p w14:paraId="5B051C95" w14:textId="77777777" w:rsidR="00682222" w:rsidRPr="007D35D4" w:rsidRDefault="00682222" w:rsidP="00F40D32">
      <w:pPr>
        <w:spacing w:after="0" w:line="360" w:lineRule="auto"/>
        <w:contextualSpacing/>
        <w:rPr>
          <w:rFonts w:cs="Tahoma"/>
          <w:sz w:val="24"/>
          <w:szCs w:val="24"/>
        </w:rPr>
      </w:pPr>
    </w:p>
    <w:p w14:paraId="1A21EBF8" w14:textId="67D5864B" w:rsidR="00B413E0" w:rsidRPr="007D35D4" w:rsidRDefault="0092349F" w:rsidP="00F40D32">
      <w:pPr>
        <w:pStyle w:val="Prrafodelista"/>
        <w:numPr>
          <w:ilvl w:val="0"/>
          <w:numId w:val="29"/>
        </w:numPr>
        <w:spacing w:line="360" w:lineRule="auto"/>
        <w:rPr>
          <w:rFonts w:cs="Tahoma"/>
          <w:iCs/>
        </w:rPr>
      </w:pPr>
      <w:r w:rsidRPr="007D35D4">
        <w:rPr>
          <w:rFonts w:cs="Tahoma"/>
          <w:iCs/>
        </w:rPr>
        <w:t xml:space="preserve">El </w:t>
      </w:r>
      <w:r w:rsidR="00B413E0" w:rsidRPr="007D35D4">
        <w:rPr>
          <w:rFonts w:cs="Tahoma"/>
          <w:iCs/>
        </w:rPr>
        <w:t xml:space="preserve">Acuerdo emitido por el Comité de Transparencia, en donde de manera fundada y motivada, confirme la clasificación del pronunciamiento en sentido afirmativo o negativo, sobre la existencia </w:t>
      </w:r>
      <w:r w:rsidR="00B413E0" w:rsidRPr="007D35D4">
        <w:rPr>
          <w:rFonts w:cs="Tahoma"/>
          <w:bCs/>
          <w:iCs/>
        </w:rPr>
        <w:t>de</w:t>
      </w:r>
      <w:r w:rsidR="009D7017" w:rsidRPr="007D35D4">
        <w:rPr>
          <w:rFonts w:cs="Tahoma"/>
          <w:bCs/>
          <w:iCs/>
        </w:rPr>
        <w:t xml:space="preserve"> alguna resolución en la que la persona referida en la solicitud de información sea parte</w:t>
      </w:r>
      <w:r w:rsidR="00B413E0" w:rsidRPr="007D35D4">
        <w:rPr>
          <w:rFonts w:cs="Tahoma"/>
          <w:iCs/>
        </w:rPr>
        <w:t xml:space="preserve">, de conformidad con los artículos 49, fracción II, 132, </w:t>
      </w:r>
      <w:r w:rsidR="00B413E0" w:rsidRPr="007D35D4">
        <w:rPr>
          <w:rFonts w:cs="Tahoma"/>
          <w:iCs/>
        </w:rPr>
        <w:lastRenderedPageBreak/>
        <w:t>fracción II, 143, fracción I, y 149 de la Ley de Transparencia y Acceso a la Información Pública del Estado de México y Municipios.</w:t>
      </w:r>
    </w:p>
    <w:p w14:paraId="2D33E7EA" w14:textId="1B0B434F" w:rsidR="00782132" w:rsidRPr="007D35D4" w:rsidRDefault="00782132" w:rsidP="00F40D32">
      <w:pPr>
        <w:pStyle w:val="Prrafodelista"/>
        <w:spacing w:line="360" w:lineRule="auto"/>
        <w:rPr>
          <w:rFonts w:cs="Tahoma"/>
          <w:bCs/>
          <w:sz w:val="24"/>
        </w:rPr>
      </w:pPr>
    </w:p>
    <w:p w14:paraId="42123BAA" w14:textId="64AD9808" w:rsidR="00347C43" w:rsidRPr="007D35D4" w:rsidRDefault="00F44852" w:rsidP="00347C43">
      <w:pPr>
        <w:spacing w:after="0" w:line="276" w:lineRule="auto"/>
        <w:ind w:left="567"/>
        <w:rPr>
          <w:rFonts w:eastAsia="Times New Roman" w:cs="Tahoma"/>
          <w:bCs/>
          <w:i/>
          <w:iCs/>
          <w:color w:val="auto"/>
          <w:szCs w:val="24"/>
          <w:lang w:val="es-ES" w:eastAsia="es-ES"/>
        </w:rPr>
      </w:pPr>
      <w:r w:rsidRPr="007D35D4">
        <w:rPr>
          <w:rFonts w:eastAsia="Times New Roman" w:cs="Tahoma"/>
          <w:bCs/>
          <w:i/>
          <w:iCs/>
          <w:color w:val="auto"/>
          <w:szCs w:val="24"/>
          <w:lang w:val="es-ES" w:eastAsia="es-ES"/>
        </w:rPr>
        <w:t>En el supuesto de que, la persona referida en la solicitud de información,</w:t>
      </w:r>
      <w:r w:rsidR="00347C43" w:rsidRPr="007D35D4">
        <w:rPr>
          <w:rFonts w:eastAsia="Times New Roman" w:cs="Tahoma"/>
          <w:bCs/>
          <w:i/>
          <w:iCs/>
          <w:color w:val="auto"/>
          <w:szCs w:val="24"/>
          <w:lang w:val="es-ES" w:eastAsia="es-ES"/>
        </w:rPr>
        <w:t xml:space="preserve"> </w:t>
      </w:r>
      <w:r w:rsidR="00347C43" w:rsidRPr="007D35D4">
        <w:rPr>
          <w:rFonts w:eastAsia="Times New Roman" w:cs="Tahoma"/>
          <w:b/>
          <w:bCs/>
          <w:i/>
          <w:iCs/>
          <w:color w:val="auto"/>
          <w:szCs w:val="24"/>
          <w:u w:val="single"/>
          <w:lang w:val="es-ES" w:eastAsia="es-ES"/>
        </w:rPr>
        <w:t>única y exclusivamente</w:t>
      </w:r>
      <w:r w:rsidR="00347C43" w:rsidRPr="007D35D4">
        <w:rPr>
          <w:rFonts w:eastAsia="Times New Roman" w:cs="Tahoma"/>
          <w:bCs/>
          <w:i/>
          <w:iCs/>
          <w:color w:val="auto"/>
          <w:szCs w:val="24"/>
          <w:lang w:val="es-ES" w:eastAsia="es-ES"/>
        </w:rPr>
        <w:t xml:space="preserve"> </w:t>
      </w:r>
      <w:r w:rsidR="00347C43" w:rsidRPr="007D35D4">
        <w:rPr>
          <w:rFonts w:eastAsia="Times New Roman" w:cs="Tahoma"/>
          <w:b/>
          <w:i/>
          <w:iCs/>
          <w:color w:val="auto"/>
          <w:szCs w:val="24"/>
          <w:lang w:val="es-ES" w:eastAsia="es-ES"/>
        </w:rPr>
        <w:t>en su c</w:t>
      </w:r>
      <w:r w:rsidR="00347C43" w:rsidRPr="007D35D4">
        <w:rPr>
          <w:rFonts w:eastAsia="Times New Roman" w:cs="Tahoma"/>
          <w:b/>
          <w:bCs/>
          <w:i/>
          <w:iCs/>
          <w:color w:val="auto"/>
          <w:szCs w:val="24"/>
          <w:lang w:val="es-ES" w:eastAsia="es-ES"/>
        </w:rPr>
        <w:t>alidad de servidor público</w:t>
      </w:r>
      <w:r w:rsidRPr="007D35D4">
        <w:rPr>
          <w:rFonts w:eastAsia="Times New Roman" w:cs="Tahoma"/>
          <w:bCs/>
          <w:i/>
          <w:iCs/>
          <w:color w:val="auto"/>
          <w:szCs w:val="24"/>
          <w:lang w:val="es-ES" w:eastAsia="es-ES"/>
        </w:rPr>
        <w:t>, sea parte de un procedimiento penal como imputado, el Sujeto Obligado deberá hacer entrega de la información s</w:t>
      </w:r>
      <w:r w:rsidR="009F74FB" w:rsidRPr="007D35D4">
        <w:rPr>
          <w:rFonts w:eastAsia="Times New Roman" w:cs="Tahoma"/>
          <w:bCs/>
          <w:i/>
          <w:iCs/>
          <w:color w:val="auto"/>
          <w:szCs w:val="24"/>
          <w:lang w:val="es-ES" w:eastAsia="es-ES"/>
        </w:rPr>
        <w:t>olic</w:t>
      </w:r>
      <w:r w:rsidR="00347C43" w:rsidRPr="007D35D4">
        <w:rPr>
          <w:rFonts w:eastAsia="Times New Roman" w:cs="Tahoma"/>
          <w:bCs/>
          <w:i/>
          <w:iCs/>
          <w:color w:val="auto"/>
          <w:szCs w:val="24"/>
          <w:lang w:val="es-ES" w:eastAsia="es-ES"/>
        </w:rPr>
        <w:t xml:space="preserve">itada, que en su caso se haya generado </w:t>
      </w:r>
      <w:r w:rsidR="009F74FB" w:rsidRPr="007D35D4">
        <w:rPr>
          <w:rFonts w:eastAsia="Times New Roman" w:cs="Tahoma"/>
          <w:bCs/>
          <w:i/>
          <w:iCs/>
          <w:color w:val="auto"/>
          <w:szCs w:val="24"/>
          <w:lang w:val="es-ES" w:eastAsia="es-ES"/>
        </w:rPr>
        <w:t>del uno de enero de dos mil trece al tres de julio de dos mil veintitrés</w:t>
      </w:r>
      <w:r w:rsidRPr="007D35D4">
        <w:rPr>
          <w:rFonts w:eastAsia="Times New Roman" w:cs="Tahoma"/>
          <w:bCs/>
          <w:i/>
          <w:iCs/>
          <w:color w:val="auto"/>
          <w:szCs w:val="24"/>
          <w:lang w:val="es-ES" w:eastAsia="es-ES"/>
        </w:rPr>
        <w:t xml:space="preserve">, </w:t>
      </w:r>
      <w:r w:rsidRPr="007D35D4">
        <w:rPr>
          <w:rFonts w:eastAsia="Times New Roman" w:cs="Tahoma"/>
          <w:b/>
          <w:bCs/>
          <w:i/>
          <w:iCs/>
          <w:color w:val="auto"/>
          <w:szCs w:val="24"/>
          <w:u w:val="single"/>
          <w:lang w:val="es-ES" w:eastAsia="es-ES"/>
        </w:rPr>
        <w:t xml:space="preserve">únicamente para el caso de que se actualice </w:t>
      </w:r>
      <w:r w:rsidR="00880143" w:rsidRPr="007D35D4">
        <w:rPr>
          <w:rFonts w:eastAsia="Times New Roman" w:cs="Tahoma"/>
          <w:b/>
          <w:bCs/>
          <w:i/>
          <w:iCs/>
          <w:color w:val="auto"/>
          <w:szCs w:val="24"/>
          <w:u w:val="single"/>
          <w:lang w:val="es-ES" w:eastAsia="es-ES"/>
        </w:rPr>
        <w:t xml:space="preserve">particularmente </w:t>
      </w:r>
      <w:r w:rsidRPr="007D35D4">
        <w:rPr>
          <w:rFonts w:eastAsia="Times New Roman" w:cs="Tahoma"/>
          <w:b/>
          <w:bCs/>
          <w:i/>
          <w:iCs/>
          <w:color w:val="auto"/>
          <w:szCs w:val="24"/>
          <w:u w:val="single"/>
          <w:lang w:val="es-ES" w:eastAsia="es-ES"/>
        </w:rPr>
        <w:t>algun</w:t>
      </w:r>
      <w:r w:rsidR="00880143" w:rsidRPr="007D35D4">
        <w:rPr>
          <w:rFonts w:eastAsia="Times New Roman" w:cs="Tahoma"/>
          <w:b/>
          <w:bCs/>
          <w:i/>
          <w:iCs/>
          <w:color w:val="auto"/>
          <w:szCs w:val="24"/>
          <w:u w:val="single"/>
          <w:lang w:val="es-ES" w:eastAsia="es-ES"/>
        </w:rPr>
        <w:t>o de los supuestos establecidos relacionados con actos de corrupción o violaciones graves a derechos humanos, en términos d</w:t>
      </w:r>
      <w:r w:rsidRPr="007D35D4">
        <w:rPr>
          <w:rFonts w:eastAsia="Times New Roman" w:cs="Tahoma"/>
          <w:b/>
          <w:bCs/>
          <w:i/>
          <w:iCs/>
          <w:color w:val="auto"/>
          <w:szCs w:val="24"/>
          <w:u w:val="single"/>
          <w:lang w:val="es-ES" w:eastAsia="es-ES"/>
        </w:rPr>
        <w:t>el artículo 142 de la Ley de Transparencia y Acceso a la Información Pública del Estado de México y Municipios</w:t>
      </w:r>
      <w:r w:rsidRPr="007D35D4">
        <w:rPr>
          <w:rFonts w:eastAsia="Times New Roman" w:cs="Tahoma"/>
          <w:bCs/>
          <w:i/>
          <w:iCs/>
          <w:color w:val="auto"/>
          <w:szCs w:val="24"/>
          <w:lang w:val="es-ES" w:eastAsia="es-ES"/>
        </w:rPr>
        <w:t xml:space="preserve">. </w:t>
      </w:r>
      <w:r w:rsidR="00347C43" w:rsidRPr="007D35D4">
        <w:rPr>
          <w:rFonts w:eastAsia="Times New Roman" w:cs="Tahoma"/>
          <w:b/>
          <w:i/>
          <w:iCs/>
          <w:color w:val="auto"/>
          <w:szCs w:val="24"/>
          <w:lang w:val="es-ES" w:eastAsia="es-ES"/>
        </w:rPr>
        <w:t>En caso de no actualizarse este supuesto bastará con que así se lo haga del conocimiento del particular</w:t>
      </w:r>
      <w:r w:rsidR="00347C43" w:rsidRPr="007D35D4">
        <w:rPr>
          <w:rFonts w:eastAsia="Times New Roman" w:cs="Tahoma"/>
          <w:bCs/>
          <w:i/>
          <w:iCs/>
          <w:color w:val="auto"/>
          <w:szCs w:val="24"/>
          <w:lang w:val="es-ES" w:eastAsia="es-ES"/>
        </w:rPr>
        <w:t xml:space="preserve">. </w:t>
      </w:r>
    </w:p>
    <w:p w14:paraId="3D322817" w14:textId="3043DFB1" w:rsidR="00F44852" w:rsidRPr="007D35D4" w:rsidRDefault="00F44852" w:rsidP="00F44852">
      <w:pPr>
        <w:spacing w:after="0" w:line="276" w:lineRule="auto"/>
        <w:ind w:left="567"/>
        <w:rPr>
          <w:rFonts w:eastAsia="Times New Roman" w:cs="Tahoma"/>
          <w:bCs/>
          <w:i/>
          <w:iCs/>
          <w:color w:val="auto"/>
          <w:szCs w:val="24"/>
          <w:lang w:val="es-ES" w:eastAsia="es-ES"/>
        </w:rPr>
      </w:pPr>
    </w:p>
    <w:p w14:paraId="2B334A24" w14:textId="77777777" w:rsidR="009D7017" w:rsidRPr="007D35D4" w:rsidRDefault="009D7017" w:rsidP="00F44852">
      <w:pPr>
        <w:spacing w:after="0" w:line="360" w:lineRule="auto"/>
        <w:ind w:right="49"/>
        <w:rPr>
          <w:rFonts w:eastAsia="Palatino Linotype" w:cs="Palatino Linotype"/>
          <w:sz w:val="24"/>
        </w:rPr>
      </w:pPr>
      <w:r w:rsidRPr="007D35D4">
        <w:rPr>
          <w:rFonts w:eastAsia="Palatino Linotype" w:cs="Palatino Linotype"/>
          <w:b/>
          <w:sz w:val="24"/>
        </w:rPr>
        <w:t>Tercero.</w:t>
      </w:r>
      <w:r w:rsidRPr="007D35D4">
        <w:rPr>
          <w:rFonts w:eastAsia="Palatino Linotype" w:cs="Palatino Linotype"/>
          <w:sz w:val="24"/>
        </w:rPr>
        <w:t xml:space="preserve"> </w:t>
      </w:r>
      <w:r w:rsidRPr="007D35D4">
        <w:rPr>
          <w:rFonts w:eastAsia="Palatino Linotype" w:cs="Palatino Linotype"/>
          <w:b/>
          <w:sz w:val="24"/>
        </w:rPr>
        <w:t xml:space="preserve">Notifíquese </w:t>
      </w:r>
      <w:r w:rsidRPr="007D35D4">
        <w:rPr>
          <w:rFonts w:eastAsia="Palatino Linotype" w:cs="Palatino Linotype"/>
          <w:sz w:val="24"/>
        </w:rPr>
        <w:t>la presente resolución al T</w:t>
      </w:r>
      <w:r w:rsidRPr="007D35D4">
        <w:rPr>
          <w:rFonts w:eastAsia="Palatino Linotype" w:cs="Palatino Linotype"/>
          <w:b/>
          <w:sz w:val="24"/>
        </w:rPr>
        <w:t xml:space="preserve">itular de la Unidad de Transparencia </w:t>
      </w:r>
      <w:r w:rsidRPr="007D35D4">
        <w:rPr>
          <w:rFonts w:eastAsia="Palatino Linotype" w:cs="Palatino Linotype"/>
          <w:sz w:val="24"/>
        </w:rPr>
        <w:t xml:space="preserve">del </w:t>
      </w:r>
      <w:r w:rsidRPr="007D35D4">
        <w:rPr>
          <w:rFonts w:eastAsia="Palatino Linotype" w:cs="Palatino Linotype"/>
          <w:b/>
          <w:sz w:val="24"/>
        </w:rPr>
        <w:t>SUJETO OBLIGADO</w:t>
      </w:r>
      <w:r w:rsidRPr="007D35D4">
        <w:rPr>
          <w:rFonts w:eastAsia="Palatino Linotype" w:cs="Palatino Linotype"/>
          <w:sz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1511AA81" w14:textId="77777777" w:rsidR="00F44852" w:rsidRPr="007D35D4" w:rsidRDefault="00F44852" w:rsidP="00F44852">
      <w:pPr>
        <w:spacing w:after="0" w:line="360" w:lineRule="auto"/>
        <w:ind w:right="49"/>
        <w:rPr>
          <w:rFonts w:eastAsia="Palatino Linotype" w:cs="Palatino Linotype"/>
          <w:sz w:val="24"/>
        </w:rPr>
      </w:pPr>
    </w:p>
    <w:p w14:paraId="3A50BFC6" w14:textId="07E5B364" w:rsidR="00F306FA" w:rsidRPr="007D35D4" w:rsidRDefault="009D7017" w:rsidP="009D7017">
      <w:pPr>
        <w:spacing w:after="0" w:line="360" w:lineRule="auto"/>
        <w:ind w:right="49"/>
        <w:rPr>
          <w:rFonts w:eastAsia="Palatino Linotype" w:cs="Palatino Linotype"/>
          <w:sz w:val="24"/>
          <w:szCs w:val="24"/>
        </w:rPr>
      </w:pPr>
      <w:r w:rsidRPr="007D35D4">
        <w:rPr>
          <w:rFonts w:eastAsia="Palatino Linotype" w:cs="Palatino Linotype"/>
          <w:b/>
          <w:sz w:val="24"/>
          <w:szCs w:val="24"/>
        </w:rPr>
        <w:t>Cuarto.</w:t>
      </w:r>
      <w:r w:rsidRPr="007D35D4">
        <w:rPr>
          <w:rFonts w:eastAsia="Palatino Linotype" w:cs="Palatino Linotype"/>
          <w:sz w:val="24"/>
          <w:szCs w:val="24"/>
        </w:rPr>
        <w:t xml:space="preserve"> </w:t>
      </w:r>
      <w:r w:rsidRPr="007D35D4">
        <w:rPr>
          <w:rFonts w:eastAsia="Palatino Linotype" w:cs="Palatino Linotype"/>
          <w:b/>
          <w:sz w:val="24"/>
          <w:szCs w:val="24"/>
        </w:rPr>
        <w:t>Notifíquese vía SAIMEX</w:t>
      </w:r>
      <w:r w:rsidRPr="007D35D4">
        <w:rPr>
          <w:rFonts w:eastAsia="Palatino Linotype" w:cs="Palatino Linotype"/>
          <w:sz w:val="24"/>
          <w:szCs w:val="24"/>
        </w:rPr>
        <w:t xml:space="preserve"> a la parte </w:t>
      </w:r>
      <w:r w:rsidRPr="007D35D4">
        <w:rPr>
          <w:rFonts w:eastAsia="Palatino Linotype" w:cs="Palatino Linotype"/>
          <w:b/>
          <w:sz w:val="24"/>
          <w:szCs w:val="24"/>
        </w:rPr>
        <w:t xml:space="preserve">RECURRENTE </w:t>
      </w:r>
      <w:r w:rsidRPr="007D35D4">
        <w:rPr>
          <w:rFonts w:eastAsia="Palatino Linotype" w:cs="Palatino Linotype"/>
          <w:sz w:val="24"/>
          <w:szCs w:val="24"/>
        </w:rPr>
        <w:t xml:space="preserve">la presente resolución, así como, que de conformidad con lo establecido en el artículo 196 de la Ley de Transparencia y Acceso a la Información Pública del Estado de México y Municipios, </w:t>
      </w:r>
      <w:r w:rsidRPr="007D35D4">
        <w:rPr>
          <w:rFonts w:eastAsia="Palatino Linotype" w:cs="Palatino Linotype"/>
          <w:sz w:val="24"/>
          <w:szCs w:val="24"/>
        </w:rPr>
        <w:lastRenderedPageBreak/>
        <w:t>podrá impugnar la presente resolución vía Juicio de Amparo en los términos de las leyes aplicables</w:t>
      </w:r>
      <w:r w:rsidR="00F306FA" w:rsidRPr="007D35D4">
        <w:rPr>
          <w:rFonts w:eastAsia="Palatino Linotype" w:cs="Palatino Linotype"/>
          <w:sz w:val="24"/>
          <w:szCs w:val="24"/>
        </w:rPr>
        <w:t xml:space="preserve"> </w:t>
      </w:r>
      <w:r w:rsidR="00F306FA" w:rsidRPr="007D35D4">
        <w:rPr>
          <w:rFonts w:eastAsia="Palatino Linotype" w:cs="Palatino Linotype"/>
          <w:color w:val="auto"/>
          <w:sz w:val="24"/>
          <w:szCs w:val="24"/>
        </w:rPr>
        <w:t>o en su caso, interponer recurso de inconformidad de conformidad con el artículo 159 y 160, de la Ley General de Transparencia y Acceso a la Información Pública.</w:t>
      </w:r>
    </w:p>
    <w:p w14:paraId="27116CCD" w14:textId="77777777" w:rsidR="009D7017" w:rsidRPr="007D35D4" w:rsidRDefault="009D7017" w:rsidP="009D7017">
      <w:pPr>
        <w:spacing w:after="0" w:line="360" w:lineRule="auto"/>
        <w:ind w:right="49"/>
        <w:rPr>
          <w:rFonts w:eastAsia="Palatino Linotype" w:cs="Palatino Linotype"/>
          <w:sz w:val="24"/>
          <w:szCs w:val="24"/>
        </w:rPr>
      </w:pPr>
    </w:p>
    <w:p w14:paraId="6287C684" w14:textId="77777777" w:rsidR="009D7017" w:rsidRPr="007D35D4" w:rsidRDefault="009D7017" w:rsidP="009D7017">
      <w:pPr>
        <w:spacing w:after="0" w:line="360" w:lineRule="auto"/>
        <w:ind w:right="49"/>
        <w:rPr>
          <w:rFonts w:eastAsia="Palatino Linotype" w:cs="Palatino Linotype"/>
          <w:sz w:val="24"/>
          <w:szCs w:val="24"/>
        </w:rPr>
      </w:pPr>
      <w:r w:rsidRPr="007D35D4">
        <w:rPr>
          <w:rFonts w:eastAsia="Palatino Linotype" w:cs="Palatino Linotype"/>
          <w:b/>
          <w:sz w:val="24"/>
          <w:szCs w:val="24"/>
        </w:rPr>
        <w:t>Quinto.</w:t>
      </w:r>
      <w:r w:rsidRPr="007D35D4">
        <w:rPr>
          <w:rFonts w:eastAsia="Palatino Linotype" w:cs="Palatino Linotype"/>
          <w:sz w:val="24"/>
          <w:szCs w:val="24"/>
        </w:rPr>
        <w:t xml:space="preserve"> De conformidad con el artículo 198 de la Ley de Transparencia y Acceso a la Información Pública del Estado de México y Municipios, de considerarlo procedente, el </w:t>
      </w:r>
      <w:r w:rsidRPr="007D35D4">
        <w:rPr>
          <w:rFonts w:eastAsia="Palatino Linotype" w:cs="Palatino Linotype"/>
          <w:b/>
          <w:sz w:val="24"/>
          <w:szCs w:val="24"/>
        </w:rPr>
        <w:t>SUJETO OBLIGADO</w:t>
      </w:r>
      <w:r w:rsidRPr="007D35D4">
        <w:rPr>
          <w:rFonts w:eastAsia="Palatino Linotype" w:cs="Palatino Linotype"/>
          <w:sz w:val="24"/>
          <w:szCs w:val="24"/>
        </w:rPr>
        <w:t xml:space="preserve"> de manera fundada y motivada, podrá solicitar una ampliación de plazo para el cumplimiento de la presente resolución.</w:t>
      </w:r>
    </w:p>
    <w:p w14:paraId="42C8D564" w14:textId="6B79E5D0" w:rsidR="00782132" w:rsidRPr="007D35D4" w:rsidRDefault="00782132" w:rsidP="00F40D32">
      <w:pPr>
        <w:spacing w:after="0" w:line="360" w:lineRule="auto"/>
        <w:rPr>
          <w:rFonts w:eastAsia="Calibri" w:cs="Tahoma"/>
          <w:bCs/>
          <w:sz w:val="24"/>
          <w:szCs w:val="24"/>
          <w:lang w:val="es-ES"/>
        </w:rPr>
      </w:pPr>
    </w:p>
    <w:p w14:paraId="26DB950F" w14:textId="659ACB71" w:rsidR="009D7017" w:rsidRPr="00634588" w:rsidRDefault="009D7017" w:rsidP="009D7017">
      <w:pPr>
        <w:spacing w:after="0" w:line="360" w:lineRule="auto"/>
        <w:ind w:right="49"/>
        <w:rPr>
          <w:rFonts w:eastAsia="Palatino Linotype" w:cs="Palatino Linotype"/>
          <w:sz w:val="24"/>
          <w:szCs w:val="24"/>
        </w:rPr>
      </w:pPr>
      <w:r w:rsidRPr="007D35D4">
        <w:rPr>
          <w:rFonts w:eastAsia="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46FD4" w:rsidRPr="007D35D4">
        <w:rPr>
          <w:rFonts w:eastAsia="Palatino Linotype" w:cs="Palatino Linotype"/>
          <w:sz w:val="24"/>
          <w:szCs w:val="24"/>
        </w:rPr>
        <w:t xml:space="preserve">SEXTA </w:t>
      </w:r>
      <w:r w:rsidRPr="007D35D4">
        <w:rPr>
          <w:rFonts w:eastAsia="Palatino Linotype" w:cs="Palatino Linotype"/>
          <w:sz w:val="24"/>
          <w:szCs w:val="24"/>
        </w:rPr>
        <w:t xml:space="preserve">SESIÓN ORDINARIA CELEBRADA EL </w:t>
      </w:r>
      <w:r w:rsidR="00C46FD4" w:rsidRPr="007D35D4">
        <w:rPr>
          <w:rFonts w:eastAsia="Palatino Linotype" w:cs="Palatino Linotype"/>
          <w:sz w:val="24"/>
          <w:szCs w:val="24"/>
        </w:rPr>
        <w:t>VEINTIUNO</w:t>
      </w:r>
      <w:r w:rsidRPr="007D35D4">
        <w:rPr>
          <w:rFonts w:eastAsia="Palatino Linotype" w:cs="Palatino Linotype"/>
          <w:sz w:val="24"/>
          <w:szCs w:val="24"/>
        </w:rPr>
        <w:t xml:space="preserve"> DE FEBRERO DE DOS MIL VEINTICUATRO, ANTE EL SECRETARIO TÉCNICO DEL PLENO ALEXIS TAPIA RAMÍREZ.</w:t>
      </w:r>
      <w:r w:rsidRPr="00634588">
        <w:rPr>
          <w:rFonts w:eastAsia="Palatino Linotype" w:cs="Palatino Linotype"/>
          <w:sz w:val="24"/>
          <w:szCs w:val="24"/>
        </w:rPr>
        <w:t xml:space="preserve"> </w:t>
      </w:r>
    </w:p>
    <w:p w14:paraId="3A7BF8F4" w14:textId="2F1EBF37" w:rsidR="00A6477D" w:rsidRDefault="00A6477D" w:rsidP="00F306FA">
      <w:pPr>
        <w:spacing w:line="360" w:lineRule="auto"/>
        <w:jc w:val="left"/>
        <w:rPr>
          <w:rFonts w:eastAsia="Calibri" w:cs="Tahoma"/>
          <w:b/>
          <w:bCs/>
          <w:sz w:val="24"/>
          <w:szCs w:val="24"/>
        </w:rPr>
      </w:pPr>
    </w:p>
    <w:p w14:paraId="499A5BE0" w14:textId="41C3715F" w:rsidR="00124E51" w:rsidRDefault="00124E51" w:rsidP="00F306FA">
      <w:pPr>
        <w:spacing w:line="360" w:lineRule="auto"/>
        <w:jc w:val="left"/>
        <w:rPr>
          <w:rFonts w:eastAsia="Calibri" w:cs="Tahoma"/>
          <w:b/>
          <w:bCs/>
          <w:sz w:val="24"/>
          <w:szCs w:val="24"/>
        </w:rPr>
      </w:pPr>
    </w:p>
    <w:p w14:paraId="01E130EB" w14:textId="371E4DF6" w:rsidR="00124E51" w:rsidRDefault="00124E51" w:rsidP="00F306FA">
      <w:pPr>
        <w:spacing w:line="360" w:lineRule="auto"/>
        <w:jc w:val="left"/>
        <w:rPr>
          <w:rFonts w:eastAsia="Calibri" w:cs="Tahoma"/>
          <w:b/>
          <w:bCs/>
          <w:sz w:val="24"/>
          <w:szCs w:val="24"/>
        </w:rPr>
      </w:pPr>
    </w:p>
    <w:p w14:paraId="20A19EC1" w14:textId="7354080F" w:rsidR="00124E51" w:rsidRDefault="00124E51" w:rsidP="00F306FA">
      <w:pPr>
        <w:spacing w:line="360" w:lineRule="auto"/>
        <w:jc w:val="left"/>
        <w:rPr>
          <w:rFonts w:eastAsia="Calibri" w:cs="Tahoma"/>
          <w:b/>
          <w:bCs/>
          <w:sz w:val="24"/>
          <w:szCs w:val="24"/>
        </w:rPr>
      </w:pPr>
    </w:p>
    <w:p w14:paraId="79C61F42" w14:textId="40AA11E6" w:rsidR="00124E51" w:rsidRDefault="00124E51" w:rsidP="00F306FA">
      <w:pPr>
        <w:spacing w:line="360" w:lineRule="auto"/>
        <w:jc w:val="left"/>
        <w:rPr>
          <w:rFonts w:eastAsia="Calibri" w:cs="Tahoma"/>
          <w:b/>
          <w:bCs/>
          <w:sz w:val="24"/>
          <w:szCs w:val="24"/>
        </w:rPr>
      </w:pPr>
    </w:p>
    <w:p w14:paraId="577D862F" w14:textId="77777777" w:rsidR="00124E51" w:rsidRPr="00F306FA" w:rsidRDefault="00124E51" w:rsidP="00F306FA">
      <w:pPr>
        <w:spacing w:line="360" w:lineRule="auto"/>
        <w:jc w:val="left"/>
        <w:rPr>
          <w:rFonts w:eastAsia="Calibri" w:cs="Tahoma"/>
          <w:b/>
          <w:bCs/>
          <w:sz w:val="24"/>
          <w:szCs w:val="24"/>
        </w:rPr>
      </w:pPr>
    </w:p>
    <w:sectPr w:rsidR="00124E51" w:rsidRPr="00F306FA" w:rsidSect="0022679B">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134" w:left="1701" w:header="709" w:footer="10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FA88" w14:textId="77777777" w:rsidR="004D494A" w:rsidRDefault="004D494A" w:rsidP="00C853D1">
      <w:pPr>
        <w:spacing w:after="0" w:line="240" w:lineRule="auto"/>
      </w:pPr>
      <w:r>
        <w:separator/>
      </w:r>
    </w:p>
  </w:endnote>
  <w:endnote w:type="continuationSeparator" w:id="0">
    <w:p w14:paraId="62F4E9F8" w14:textId="77777777" w:rsidR="004D494A" w:rsidRDefault="004D494A" w:rsidP="00C8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8588"/>
      <w:docPartObj>
        <w:docPartGallery w:val="Page Numbers (Bottom of Page)"/>
        <w:docPartUnique/>
      </w:docPartObj>
    </w:sdtPr>
    <w:sdtEndPr/>
    <w:sdtContent>
      <w:sdt>
        <w:sdtPr>
          <w:id w:val="-1486162003"/>
          <w:docPartObj>
            <w:docPartGallery w:val="Page Numbers (Top of Page)"/>
            <w:docPartUnique/>
          </w:docPartObj>
        </w:sdtPr>
        <w:sdtEndPr/>
        <w:sdtContent>
          <w:p w14:paraId="71583055" w14:textId="77777777" w:rsidR="00F44705" w:rsidRDefault="00F4470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F396E">
              <w:rPr>
                <w:b/>
                <w:bCs/>
                <w:noProof/>
              </w:rPr>
              <w:t>52</w:t>
            </w:r>
            <w:r>
              <w:rPr>
                <w:b/>
                <w:bCs/>
                <w:sz w:val="24"/>
                <w:szCs w:val="24"/>
              </w:rPr>
              <w:fldChar w:fldCharType="end"/>
            </w:r>
          </w:p>
        </w:sdtContent>
      </w:sdt>
    </w:sdtContent>
  </w:sdt>
  <w:p w14:paraId="5F4318B3" w14:textId="77777777" w:rsidR="00F44705" w:rsidRDefault="00F447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037141"/>
      <w:docPartObj>
        <w:docPartGallery w:val="Page Numbers (Bottom of Page)"/>
        <w:docPartUnique/>
      </w:docPartObj>
    </w:sdtPr>
    <w:sdtEndPr/>
    <w:sdtContent>
      <w:sdt>
        <w:sdtPr>
          <w:id w:val="-1053769877"/>
          <w:docPartObj>
            <w:docPartGallery w:val="Page Numbers (Top of Page)"/>
            <w:docPartUnique/>
          </w:docPartObj>
        </w:sdtPr>
        <w:sdtEndPr/>
        <w:sdtContent>
          <w:p w14:paraId="1AB8D0FA" w14:textId="77777777" w:rsidR="00F44705" w:rsidRDefault="00F4470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F396E">
              <w:rPr>
                <w:b/>
                <w:bCs/>
                <w:noProof/>
              </w:rPr>
              <w:t>52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F396E">
              <w:rPr>
                <w:b/>
                <w:bCs/>
                <w:noProof/>
              </w:rPr>
              <w:t>52</w:t>
            </w:r>
            <w:r>
              <w:rPr>
                <w:b/>
                <w:bCs/>
                <w:sz w:val="24"/>
                <w:szCs w:val="24"/>
              </w:rPr>
              <w:fldChar w:fldCharType="end"/>
            </w:r>
          </w:p>
        </w:sdtContent>
      </w:sdt>
    </w:sdtContent>
  </w:sdt>
  <w:p w14:paraId="3F35B7C0" w14:textId="77777777" w:rsidR="00F44705" w:rsidRDefault="00F447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25420"/>
      <w:docPartObj>
        <w:docPartGallery w:val="Page Numbers (Bottom of Page)"/>
        <w:docPartUnique/>
      </w:docPartObj>
    </w:sdtPr>
    <w:sdtEndPr/>
    <w:sdtContent>
      <w:sdt>
        <w:sdtPr>
          <w:id w:val="-1769616900"/>
          <w:docPartObj>
            <w:docPartGallery w:val="Page Numbers (Top of Page)"/>
            <w:docPartUnique/>
          </w:docPartObj>
        </w:sdtPr>
        <w:sdtEndPr/>
        <w:sdtContent>
          <w:p w14:paraId="46648C95" w14:textId="77777777" w:rsidR="00F44705" w:rsidRDefault="00F4470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F396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F396E">
              <w:rPr>
                <w:b/>
                <w:bCs/>
                <w:noProof/>
              </w:rPr>
              <w:t>52</w:t>
            </w:r>
            <w:r>
              <w:rPr>
                <w:b/>
                <w:bCs/>
                <w:sz w:val="24"/>
                <w:szCs w:val="24"/>
              </w:rPr>
              <w:fldChar w:fldCharType="end"/>
            </w:r>
          </w:p>
        </w:sdtContent>
      </w:sdt>
    </w:sdtContent>
  </w:sdt>
  <w:p w14:paraId="1A7218CE" w14:textId="77777777" w:rsidR="00F44705" w:rsidRDefault="00F447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5B83" w14:textId="77777777" w:rsidR="004D494A" w:rsidRDefault="004D494A" w:rsidP="00C853D1">
      <w:pPr>
        <w:spacing w:after="0" w:line="240" w:lineRule="auto"/>
      </w:pPr>
      <w:r>
        <w:separator/>
      </w:r>
    </w:p>
  </w:footnote>
  <w:footnote w:type="continuationSeparator" w:id="0">
    <w:p w14:paraId="3289F459" w14:textId="77777777" w:rsidR="004D494A" w:rsidRDefault="004D494A" w:rsidP="00C85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99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3587"/>
    </w:tblGrid>
    <w:tr w:rsidR="00F44705" w14:paraId="282B3A75" w14:textId="77777777" w:rsidTr="002C59A0">
      <w:trPr>
        <w:trHeight w:val="141"/>
      </w:trPr>
      <w:tc>
        <w:tcPr>
          <w:tcW w:w="2404" w:type="dxa"/>
        </w:tcPr>
        <w:p w14:paraId="57F547E7" w14:textId="77777777" w:rsidR="00F44705" w:rsidRPr="001B5FB6" w:rsidRDefault="00F44705" w:rsidP="002C59A0">
          <w:pPr>
            <w:tabs>
              <w:tab w:val="right" w:pos="8838"/>
            </w:tabs>
            <w:ind w:right="-105"/>
            <w:rPr>
              <w:rFonts w:eastAsia="Calibri" w:cs="Tahoma"/>
              <w:b/>
              <w:lang w:val="es-MX"/>
            </w:rPr>
          </w:pPr>
          <w:r w:rsidRPr="001B5FB6">
            <w:rPr>
              <w:rFonts w:eastAsia="Calibri" w:cs="Tahoma"/>
              <w:b/>
              <w:lang w:val="es-MX"/>
            </w:rPr>
            <w:t>Recurso de Revisión:</w:t>
          </w:r>
        </w:p>
      </w:tc>
      <w:tc>
        <w:tcPr>
          <w:tcW w:w="3587" w:type="dxa"/>
        </w:tcPr>
        <w:p w14:paraId="77D4576F" w14:textId="77777777" w:rsidR="00F44705" w:rsidRPr="00A8173F" w:rsidRDefault="00F44705" w:rsidP="002C59A0">
          <w:pPr>
            <w:tabs>
              <w:tab w:val="right" w:pos="8838"/>
            </w:tabs>
            <w:ind w:left="-28" w:right="683"/>
            <w:rPr>
              <w:rFonts w:eastAsia="Calibri" w:cs="Tahoma"/>
            </w:rPr>
          </w:pPr>
          <w:r w:rsidRPr="00A8173F">
            <w:rPr>
              <w:rFonts w:eastAsia="Calibri" w:cs="Tahoma"/>
              <w:lang w:val="es-MX"/>
            </w:rPr>
            <w:t>04196/INFOEM/IP/RR/2020</w:t>
          </w:r>
        </w:p>
      </w:tc>
    </w:tr>
    <w:tr w:rsidR="00F44705" w14:paraId="46AFE2B4" w14:textId="77777777" w:rsidTr="002C59A0">
      <w:trPr>
        <w:trHeight w:val="276"/>
      </w:trPr>
      <w:tc>
        <w:tcPr>
          <w:tcW w:w="2404" w:type="dxa"/>
        </w:tcPr>
        <w:p w14:paraId="1D6E5B2B" w14:textId="77777777" w:rsidR="00F44705" w:rsidRPr="001B5FB6" w:rsidRDefault="00F44705" w:rsidP="002C59A0">
          <w:pPr>
            <w:tabs>
              <w:tab w:val="right" w:pos="8838"/>
            </w:tabs>
            <w:ind w:right="-105"/>
            <w:rPr>
              <w:rFonts w:eastAsia="Calibri" w:cs="Tahoma"/>
              <w:b/>
              <w:lang w:val="es-MX"/>
            </w:rPr>
          </w:pPr>
          <w:r w:rsidRPr="001B5FB6">
            <w:rPr>
              <w:rFonts w:eastAsia="Calibri" w:cs="Tahoma"/>
              <w:b/>
              <w:lang w:val="es-MX"/>
            </w:rPr>
            <w:t>Sujeto Obligado:</w:t>
          </w:r>
        </w:p>
      </w:tc>
      <w:tc>
        <w:tcPr>
          <w:tcW w:w="3587" w:type="dxa"/>
        </w:tcPr>
        <w:p w14:paraId="2DAC5118" w14:textId="77777777" w:rsidR="00F44705" w:rsidRPr="00A8173F" w:rsidRDefault="00F44705" w:rsidP="002C59A0">
          <w:pPr>
            <w:tabs>
              <w:tab w:val="right" w:pos="8838"/>
            </w:tabs>
            <w:ind w:right="116"/>
            <w:rPr>
              <w:rFonts w:eastAsia="Calibri" w:cs="Tahoma"/>
              <w:lang w:val="es-MX"/>
            </w:rPr>
          </w:pPr>
          <w:r w:rsidRPr="00A8173F">
            <w:rPr>
              <w:rFonts w:eastAsia="Calibri" w:cs="Tahoma"/>
              <w:lang w:val="es-MX"/>
            </w:rPr>
            <w:t>Ayuntamiento de Chapultepec</w:t>
          </w:r>
        </w:p>
      </w:tc>
    </w:tr>
    <w:tr w:rsidR="00F44705" w14:paraId="1FA679E9" w14:textId="77777777" w:rsidTr="002C59A0">
      <w:trPr>
        <w:trHeight w:val="276"/>
      </w:trPr>
      <w:tc>
        <w:tcPr>
          <w:tcW w:w="2404" w:type="dxa"/>
        </w:tcPr>
        <w:p w14:paraId="6498FD30" w14:textId="77777777" w:rsidR="00F44705" w:rsidRPr="001B5FB6" w:rsidRDefault="00F44705" w:rsidP="002C59A0">
          <w:pPr>
            <w:tabs>
              <w:tab w:val="right" w:pos="8838"/>
            </w:tabs>
            <w:ind w:right="-105"/>
            <w:rPr>
              <w:rFonts w:eastAsia="Calibri" w:cs="Tahoma"/>
              <w:b/>
              <w:lang w:val="es-MX"/>
            </w:rPr>
          </w:pPr>
          <w:r w:rsidRPr="001B5FB6">
            <w:rPr>
              <w:rFonts w:eastAsia="Calibri" w:cs="Tahoma"/>
              <w:b/>
              <w:lang w:val="es-MX"/>
            </w:rPr>
            <w:t>Comisionado Ponente:</w:t>
          </w:r>
        </w:p>
      </w:tc>
      <w:tc>
        <w:tcPr>
          <w:tcW w:w="3587" w:type="dxa"/>
        </w:tcPr>
        <w:p w14:paraId="5C36068F" w14:textId="77777777" w:rsidR="00F44705" w:rsidRPr="00A8173F" w:rsidRDefault="00F44705" w:rsidP="002C59A0">
          <w:pPr>
            <w:tabs>
              <w:tab w:val="right" w:pos="8838"/>
            </w:tabs>
            <w:ind w:right="-32"/>
            <w:rPr>
              <w:rFonts w:eastAsia="Calibri" w:cs="Tahoma"/>
              <w:lang w:val="es-MX"/>
            </w:rPr>
          </w:pPr>
          <w:r w:rsidRPr="00A8173F">
            <w:rPr>
              <w:rFonts w:eastAsia="Calibri" w:cs="Tahoma"/>
              <w:lang w:val="es-MX"/>
            </w:rPr>
            <w:t>Luis Gustavo Parra Noriega</w:t>
          </w:r>
        </w:p>
      </w:tc>
    </w:tr>
  </w:tbl>
  <w:p w14:paraId="509FB0F1" w14:textId="77777777" w:rsidR="00F44705" w:rsidRDefault="003D6054">
    <w:pPr>
      <w:pStyle w:val="Encabezado"/>
    </w:pPr>
    <w:r>
      <w:rPr>
        <w:noProof/>
      </w:rPr>
      <w:pict w14:anchorId="21C56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2"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93B3" w14:textId="04AF534A" w:rsidR="00F44705" w:rsidRPr="004A705D" w:rsidRDefault="003D6054">
    <w:pPr>
      <w:rPr>
        <w:sz w:val="18"/>
        <w:szCs w:val="18"/>
      </w:rPr>
    </w:pPr>
    <w:r>
      <w:rPr>
        <w:noProof/>
      </w:rPr>
      <w:pict w14:anchorId="2D340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3" o:spid="_x0000_s2050" type="#_x0000_t75" alt="MARCA DE AGUA - HOJA RESOLUCIÓN" style="position:absolute;left:0;text-align:left;margin-left:-64.85pt;margin-top:-128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6521"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4117"/>
    </w:tblGrid>
    <w:tr w:rsidR="00F44705" w14:paraId="1E2FF18B" w14:textId="77777777" w:rsidTr="0022679B">
      <w:trPr>
        <w:trHeight w:val="141"/>
      </w:trPr>
      <w:tc>
        <w:tcPr>
          <w:tcW w:w="2404" w:type="dxa"/>
        </w:tcPr>
        <w:p w14:paraId="6B6D03E8" w14:textId="77777777" w:rsidR="00F44705" w:rsidRPr="001B5FB6" w:rsidRDefault="00F44705" w:rsidP="00682222">
          <w:pPr>
            <w:tabs>
              <w:tab w:val="right" w:pos="8838"/>
            </w:tabs>
            <w:ind w:left="-395" w:right="-105" w:firstLine="395"/>
            <w:rPr>
              <w:rFonts w:eastAsia="Calibri" w:cs="Tahoma"/>
              <w:b/>
              <w:lang w:val="es-MX"/>
            </w:rPr>
          </w:pPr>
          <w:r w:rsidRPr="001B5FB6">
            <w:rPr>
              <w:rFonts w:eastAsia="Calibri" w:cs="Tahoma"/>
              <w:b/>
              <w:lang w:val="es-MX"/>
            </w:rPr>
            <w:t>Recurso de Revisión:</w:t>
          </w:r>
        </w:p>
      </w:tc>
      <w:tc>
        <w:tcPr>
          <w:tcW w:w="4117" w:type="dxa"/>
        </w:tcPr>
        <w:p w14:paraId="503BB8DE" w14:textId="73637423" w:rsidR="00F44705" w:rsidRPr="00EF3BE8" w:rsidRDefault="00F44705" w:rsidP="00682222">
          <w:pPr>
            <w:tabs>
              <w:tab w:val="right" w:pos="8838"/>
            </w:tabs>
            <w:ind w:left="-28" w:right="454"/>
            <w:rPr>
              <w:rFonts w:eastAsia="Calibri" w:cs="Tahoma"/>
            </w:rPr>
          </w:pPr>
          <w:r>
            <w:rPr>
              <w:rFonts w:eastAsia="Calibri" w:cs="Tahoma"/>
              <w:lang w:val="es-MX"/>
            </w:rPr>
            <w:t>03904/INFOEM/IP/RR/2023</w:t>
          </w:r>
        </w:p>
      </w:tc>
    </w:tr>
    <w:tr w:rsidR="00F44705" w14:paraId="110906AA" w14:textId="77777777" w:rsidTr="0022679B">
      <w:trPr>
        <w:trHeight w:val="276"/>
      </w:trPr>
      <w:tc>
        <w:tcPr>
          <w:tcW w:w="2404" w:type="dxa"/>
        </w:tcPr>
        <w:p w14:paraId="3052339E" w14:textId="77777777" w:rsidR="00F44705" w:rsidRPr="001B5FB6" w:rsidRDefault="00F44705" w:rsidP="002C59A0">
          <w:pPr>
            <w:tabs>
              <w:tab w:val="right" w:pos="8838"/>
            </w:tabs>
            <w:ind w:right="-105"/>
            <w:rPr>
              <w:rFonts w:eastAsia="Calibri" w:cs="Tahoma"/>
              <w:b/>
              <w:lang w:val="es-MX"/>
            </w:rPr>
          </w:pPr>
          <w:r w:rsidRPr="001B5FB6">
            <w:rPr>
              <w:rFonts w:eastAsia="Calibri" w:cs="Tahoma"/>
              <w:b/>
              <w:lang w:val="es-MX"/>
            </w:rPr>
            <w:t>Sujeto Obligado:</w:t>
          </w:r>
        </w:p>
      </w:tc>
      <w:tc>
        <w:tcPr>
          <w:tcW w:w="4117" w:type="dxa"/>
        </w:tcPr>
        <w:p w14:paraId="5C93113C" w14:textId="6F24A38B" w:rsidR="00F44705" w:rsidRPr="00A8173F" w:rsidRDefault="00F44705" w:rsidP="00682222">
          <w:pPr>
            <w:tabs>
              <w:tab w:val="right" w:pos="8838"/>
            </w:tabs>
            <w:ind w:right="454"/>
            <w:rPr>
              <w:rFonts w:eastAsia="Calibri" w:cs="Tahoma"/>
              <w:lang w:val="es-MX"/>
            </w:rPr>
          </w:pPr>
          <w:r w:rsidRPr="00960179">
            <w:rPr>
              <w:rFonts w:eastAsia="Calibri" w:cs="Tahoma"/>
              <w:lang w:val="es-MX"/>
            </w:rPr>
            <w:t>Poder Judicial</w:t>
          </w:r>
        </w:p>
      </w:tc>
    </w:tr>
    <w:tr w:rsidR="00F44705" w14:paraId="065F2043" w14:textId="77777777" w:rsidTr="0022679B">
      <w:trPr>
        <w:trHeight w:val="276"/>
      </w:trPr>
      <w:tc>
        <w:tcPr>
          <w:tcW w:w="2404" w:type="dxa"/>
        </w:tcPr>
        <w:p w14:paraId="22514F66" w14:textId="77777777" w:rsidR="00F44705" w:rsidRPr="001B5FB6" w:rsidRDefault="00F44705" w:rsidP="002C59A0">
          <w:pPr>
            <w:tabs>
              <w:tab w:val="right" w:pos="8838"/>
            </w:tabs>
            <w:ind w:right="-105"/>
            <w:rPr>
              <w:rFonts w:eastAsia="Calibri" w:cs="Tahoma"/>
              <w:b/>
              <w:lang w:val="es-MX"/>
            </w:rPr>
          </w:pPr>
          <w:r w:rsidRPr="001B5FB6">
            <w:rPr>
              <w:rFonts w:eastAsia="Calibri" w:cs="Tahoma"/>
              <w:b/>
              <w:lang w:val="es-MX"/>
            </w:rPr>
            <w:t>Comisionado Ponente:</w:t>
          </w:r>
        </w:p>
      </w:tc>
      <w:tc>
        <w:tcPr>
          <w:tcW w:w="4117" w:type="dxa"/>
        </w:tcPr>
        <w:p w14:paraId="245FB2E7" w14:textId="6F83FC01" w:rsidR="00F44705" w:rsidRPr="00A8173F" w:rsidRDefault="00F44705" w:rsidP="00682222">
          <w:pPr>
            <w:tabs>
              <w:tab w:val="right" w:pos="8838"/>
            </w:tabs>
            <w:ind w:right="454"/>
            <w:rPr>
              <w:rFonts w:eastAsia="Calibri" w:cs="Tahoma"/>
              <w:lang w:val="es-MX"/>
            </w:rPr>
          </w:pPr>
          <w:r>
            <w:rPr>
              <w:rFonts w:eastAsia="Calibri" w:cs="Tahoma"/>
              <w:lang w:val="es-MX"/>
            </w:rPr>
            <w:t>Guadalupe Ramírez Peña</w:t>
          </w:r>
        </w:p>
      </w:tc>
    </w:tr>
  </w:tbl>
  <w:p w14:paraId="0A6563BD" w14:textId="2664D0E9" w:rsidR="00F44705" w:rsidRDefault="00F447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127"/>
      <w:gridCol w:w="6945"/>
    </w:tblGrid>
    <w:tr w:rsidR="00F44705" w:rsidRPr="005C106F" w14:paraId="5D26797B" w14:textId="77777777" w:rsidTr="002C59A0">
      <w:trPr>
        <w:trHeight w:val="1546"/>
      </w:trPr>
      <w:tc>
        <w:tcPr>
          <w:tcW w:w="2127" w:type="dxa"/>
          <w:shd w:val="clear" w:color="auto" w:fill="auto"/>
        </w:tcPr>
        <w:p w14:paraId="76E7DE43" w14:textId="77777777" w:rsidR="00F44705" w:rsidRPr="005C106F" w:rsidRDefault="00F44705" w:rsidP="002C59A0">
          <w:pPr>
            <w:tabs>
              <w:tab w:val="right" w:pos="4273"/>
            </w:tabs>
            <w:rPr>
              <w:rFonts w:ascii="Garamond" w:eastAsia="Calibri" w:hAnsi="Garamond"/>
              <w:sz w:val="16"/>
              <w:szCs w:val="16"/>
            </w:rPr>
          </w:pPr>
        </w:p>
      </w:tc>
      <w:tc>
        <w:tcPr>
          <w:tcW w:w="6945" w:type="dxa"/>
          <w:shd w:val="clear" w:color="auto" w:fill="auto"/>
        </w:tcPr>
        <w:tbl>
          <w:tblPr>
            <w:tblStyle w:val="Tablaconcuadrcula"/>
            <w:tblW w:w="6554" w:type="dxa"/>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4150"/>
          </w:tblGrid>
          <w:tr w:rsidR="00F44705" w14:paraId="5CB74832" w14:textId="77777777" w:rsidTr="00D320DD">
            <w:trPr>
              <w:trHeight w:val="141"/>
            </w:trPr>
            <w:tc>
              <w:tcPr>
                <w:tcW w:w="2404" w:type="dxa"/>
                <w:vAlign w:val="bottom"/>
              </w:tcPr>
              <w:p w14:paraId="38469831" w14:textId="77777777" w:rsidR="00F44705" w:rsidRPr="001B5FB6" w:rsidRDefault="00F44705" w:rsidP="002C59A0">
                <w:pPr>
                  <w:tabs>
                    <w:tab w:val="right" w:pos="8838"/>
                  </w:tabs>
                  <w:ind w:right="-105"/>
                  <w:rPr>
                    <w:rFonts w:eastAsia="Calibri" w:cs="Tahoma"/>
                    <w:b/>
                    <w:lang w:val="es-MX"/>
                  </w:rPr>
                </w:pPr>
                <w:r w:rsidRPr="001B5FB6">
                  <w:rPr>
                    <w:rFonts w:eastAsia="Calibri" w:cs="Tahoma"/>
                    <w:b/>
                    <w:lang w:val="es-MX"/>
                  </w:rPr>
                  <w:t>Recurso de Revisión:</w:t>
                </w:r>
              </w:p>
            </w:tc>
            <w:tc>
              <w:tcPr>
                <w:tcW w:w="4150" w:type="dxa"/>
              </w:tcPr>
              <w:p w14:paraId="0749605A" w14:textId="77777777" w:rsidR="00F44705" w:rsidRDefault="00F44705" w:rsidP="002C59A0">
                <w:pPr>
                  <w:tabs>
                    <w:tab w:val="right" w:pos="8838"/>
                  </w:tabs>
                  <w:ind w:left="-28" w:right="-107"/>
                  <w:rPr>
                    <w:rFonts w:eastAsia="Calibri" w:cs="Tahoma"/>
                    <w:lang w:val="es-MX"/>
                  </w:rPr>
                </w:pPr>
              </w:p>
              <w:p w14:paraId="25021A4A" w14:textId="62384378" w:rsidR="00F44705" w:rsidRPr="00EF3BE8" w:rsidRDefault="00F44705" w:rsidP="002C59A0">
                <w:pPr>
                  <w:tabs>
                    <w:tab w:val="right" w:pos="8838"/>
                  </w:tabs>
                  <w:ind w:left="-28" w:right="-107"/>
                  <w:rPr>
                    <w:rFonts w:eastAsia="Calibri" w:cs="Tahoma"/>
                  </w:rPr>
                </w:pPr>
                <w:r>
                  <w:rPr>
                    <w:rFonts w:eastAsia="Calibri" w:cs="Tahoma"/>
                    <w:lang w:val="es-MX"/>
                  </w:rPr>
                  <w:t>03904/INFOEM/IP/RR/2023</w:t>
                </w:r>
              </w:p>
            </w:tc>
          </w:tr>
          <w:tr w:rsidR="00F44705" w14:paraId="65D6C982" w14:textId="77777777" w:rsidTr="00D320DD">
            <w:trPr>
              <w:trHeight w:val="141"/>
            </w:trPr>
            <w:tc>
              <w:tcPr>
                <w:tcW w:w="2404" w:type="dxa"/>
              </w:tcPr>
              <w:p w14:paraId="7E5992A8" w14:textId="77777777" w:rsidR="00F44705" w:rsidRPr="001B5FB6" w:rsidRDefault="00F44705" w:rsidP="002C59A0">
                <w:pPr>
                  <w:tabs>
                    <w:tab w:val="right" w:pos="8838"/>
                  </w:tabs>
                  <w:ind w:right="-105"/>
                  <w:rPr>
                    <w:rFonts w:eastAsia="Calibri" w:cs="Tahoma"/>
                    <w:b/>
                    <w:lang w:val="es-MX"/>
                  </w:rPr>
                </w:pPr>
                <w:r w:rsidRPr="001B5FB6">
                  <w:rPr>
                    <w:rFonts w:eastAsia="Calibri" w:cs="Tahoma"/>
                    <w:b/>
                    <w:lang w:val="es-MX"/>
                  </w:rPr>
                  <w:t>Recurrente:</w:t>
                </w:r>
              </w:p>
            </w:tc>
            <w:tc>
              <w:tcPr>
                <w:tcW w:w="4150" w:type="dxa"/>
              </w:tcPr>
              <w:p w14:paraId="4D5C37D5" w14:textId="1E50CB63" w:rsidR="00F44705" w:rsidRPr="003405AF" w:rsidRDefault="00535055" w:rsidP="002C59A0">
                <w:pPr>
                  <w:tabs>
                    <w:tab w:val="right" w:pos="8838"/>
                  </w:tabs>
                  <w:ind w:right="-107"/>
                  <w:rPr>
                    <w:rFonts w:eastAsia="Calibri" w:cs="Tahoma"/>
                    <w:lang w:val="es-MX"/>
                  </w:rPr>
                </w:pPr>
                <w:r>
                  <w:rPr>
                    <w:rFonts w:eastAsia="Calibri" w:cs="Tahoma"/>
                    <w:lang w:val="es-MX"/>
                  </w:rPr>
                  <w:t>XXXXXXX</w:t>
                </w:r>
                <w:r w:rsidR="00F44705">
                  <w:rPr>
                    <w:rFonts w:eastAsia="Calibri" w:cs="Tahoma"/>
                    <w:lang w:val="es-MX"/>
                  </w:rPr>
                  <w:t xml:space="preserve"> </w:t>
                </w:r>
              </w:p>
            </w:tc>
          </w:tr>
          <w:tr w:rsidR="00F44705" w14:paraId="40A995EA" w14:textId="77777777" w:rsidTr="00D320DD">
            <w:trPr>
              <w:trHeight w:val="276"/>
            </w:trPr>
            <w:tc>
              <w:tcPr>
                <w:tcW w:w="2404" w:type="dxa"/>
              </w:tcPr>
              <w:p w14:paraId="7BFD65FA" w14:textId="77777777" w:rsidR="00F44705" w:rsidRPr="001B5FB6" w:rsidRDefault="00F44705" w:rsidP="002C59A0">
                <w:pPr>
                  <w:tabs>
                    <w:tab w:val="right" w:pos="8838"/>
                  </w:tabs>
                  <w:ind w:right="-105"/>
                  <w:rPr>
                    <w:rFonts w:eastAsia="Calibri" w:cs="Tahoma"/>
                    <w:b/>
                    <w:lang w:val="es-MX"/>
                  </w:rPr>
                </w:pPr>
                <w:r w:rsidRPr="001B5FB6">
                  <w:rPr>
                    <w:rFonts w:eastAsia="Calibri" w:cs="Tahoma"/>
                    <w:b/>
                    <w:lang w:val="es-MX"/>
                  </w:rPr>
                  <w:t>Sujeto Obligado:</w:t>
                </w:r>
              </w:p>
            </w:tc>
            <w:tc>
              <w:tcPr>
                <w:tcW w:w="4150" w:type="dxa"/>
              </w:tcPr>
              <w:p w14:paraId="433E1B49" w14:textId="01A1AE7E" w:rsidR="00F44705" w:rsidRPr="00C853D1" w:rsidRDefault="00F44705" w:rsidP="002C59A0">
                <w:pPr>
                  <w:tabs>
                    <w:tab w:val="right" w:pos="8838"/>
                  </w:tabs>
                  <w:ind w:right="-107"/>
                  <w:rPr>
                    <w:rFonts w:eastAsia="Calibri" w:cs="Tahoma"/>
                    <w:lang w:val="es-MX"/>
                  </w:rPr>
                </w:pPr>
                <w:r>
                  <w:rPr>
                    <w:rFonts w:eastAsia="Calibri" w:cs="Tahoma"/>
                    <w:lang w:val="es-MX"/>
                  </w:rPr>
                  <w:t xml:space="preserve">Poder Judicial </w:t>
                </w:r>
              </w:p>
            </w:tc>
          </w:tr>
          <w:tr w:rsidR="00F44705" w14:paraId="386AB112" w14:textId="77777777" w:rsidTr="00D320DD">
            <w:trPr>
              <w:trHeight w:val="276"/>
            </w:trPr>
            <w:tc>
              <w:tcPr>
                <w:tcW w:w="2404" w:type="dxa"/>
              </w:tcPr>
              <w:p w14:paraId="44E8F60B" w14:textId="77777777" w:rsidR="00F44705" w:rsidRPr="001B5FB6" w:rsidRDefault="00F44705" w:rsidP="002C59A0">
                <w:pPr>
                  <w:tabs>
                    <w:tab w:val="right" w:pos="8838"/>
                  </w:tabs>
                  <w:ind w:right="-105"/>
                  <w:rPr>
                    <w:rFonts w:eastAsia="Calibri" w:cs="Tahoma"/>
                    <w:b/>
                    <w:lang w:val="es-MX"/>
                  </w:rPr>
                </w:pPr>
                <w:r w:rsidRPr="001B5FB6">
                  <w:rPr>
                    <w:rFonts w:eastAsia="Calibri" w:cs="Tahoma"/>
                    <w:b/>
                    <w:lang w:val="es-MX"/>
                  </w:rPr>
                  <w:t>Comisionado Ponente:</w:t>
                </w:r>
              </w:p>
            </w:tc>
            <w:tc>
              <w:tcPr>
                <w:tcW w:w="4150" w:type="dxa"/>
              </w:tcPr>
              <w:p w14:paraId="3833DB23" w14:textId="0C4F925C" w:rsidR="00F44705" w:rsidRPr="00A8173F" w:rsidRDefault="00F44705" w:rsidP="002C59A0">
                <w:pPr>
                  <w:tabs>
                    <w:tab w:val="right" w:pos="8838"/>
                  </w:tabs>
                  <w:ind w:right="-107"/>
                  <w:rPr>
                    <w:rFonts w:eastAsia="Calibri" w:cs="Tahoma"/>
                    <w:lang w:val="es-MX"/>
                  </w:rPr>
                </w:pPr>
                <w:r>
                  <w:rPr>
                    <w:rFonts w:eastAsia="Calibri" w:cs="Tahoma"/>
                    <w:lang w:val="es-MX"/>
                  </w:rPr>
                  <w:t xml:space="preserve">Guadalupe Ramírez Peña </w:t>
                </w:r>
              </w:p>
            </w:tc>
          </w:tr>
        </w:tbl>
        <w:p w14:paraId="7017D3D5" w14:textId="77777777" w:rsidR="00F44705" w:rsidRPr="005C106F" w:rsidRDefault="00F44705" w:rsidP="002C59A0">
          <w:pPr>
            <w:tabs>
              <w:tab w:val="right" w:pos="8838"/>
            </w:tabs>
            <w:ind w:left="-28"/>
            <w:rPr>
              <w:rFonts w:ascii="Arial" w:eastAsia="Calibri" w:hAnsi="Arial" w:cs="Arial"/>
              <w:b/>
            </w:rPr>
          </w:pPr>
        </w:p>
      </w:tc>
    </w:tr>
  </w:tbl>
  <w:p w14:paraId="280F3B20" w14:textId="77777777" w:rsidR="00F44705" w:rsidRDefault="003D6054">
    <w:pPr>
      <w:pStyle w:val="Encabezado"/>
    </w:pPr>
    <w:r>
      <w:rPr>
        <w:noProof/>
      </w:rPr>
      <w:pict w14:anchorId="3F987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1" o:spid="_x0000_s2049" type="#_x0000_t75" alt="MARCA DE AGUA - HOJA RESOLUCIÓN" style="position:absolute;left:0;text-align:left;margin-left:-63.35pt;margin-top:-127.6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2BF"/>
    <w:multiLevelType w:val="hybridMultilevel"/>
    <w:tmpl w:val="B93CCF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1027D9"/>
    <w:multiLevelType w:val="multilevel"/>
    <w:tmpl w:val="CA000D1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7243B"/>
    <w:multiLevelType w:val="hybridMultilevel"/>
    <w:tmpl w:val="351491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D0099"/>
    <w:multiLevelType w:val="hybridMultilevel"/>
    <w:tmpl w:val="33C0DC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2B1400"/>
    <w:multiLevelType w:val="hybridMultilevel"/>
    <w:tmpl w:val="11CE74C8"/>
    <w:lvl w:ilvl="0" w:tplc="7480C6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CC422F"/>
    <w:multiLevelType w:val="hybridMultilevel"/>
    <w:tmpl w:val="8EB6763C"/>
    <w:lvl w:ilvl="0" w:tplc="9EB06EBC">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68914F0"/>
    <w:multiLevelType w:val="hybridMultilevel"/>
    <w:tmpl w:val="DC46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2B627DD0"/>
    <w:multiLevelType w:val="hybridMultilevel"/>
    <w:tmpl w:val="A61AD216"/>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3468F2"/>
    <w:multiLevelType w:val="hybridMultilevel"/>
    <w:tmpl w:val="D9727AD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1746D79"/>
    <w:multiLevelType w:val="hybridMultilevel"/>
    <w:tmpl w:val="4E103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C92CA3"/>
    <w:multiLevelType w:val="hybridMultilevel"/>
    <w:tmpl w:val="407C4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F929F8"/>
    <w:multiLevelType w:val="hybridMultilevel"/>
    <w:tmpl w:val="77AC61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6E0EE2"/>
    <w:multiLevelType w:val="hybridMultilevel"/>
    <w:tmpl w:val="78469DE6"/>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6043D4"/>
    <w:multiLevelType w:val="hybridMultilevel"/>
    <w:tmpl w:val="A0546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77883"/>
    <w:multiLevelType w:val="hybridMultilevel"/>
    <w:tmpl w:val="F7E802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6114E44"/>
    <w:multiLevelType w:val="hybridMultilevel"/>
    <w:tmpl w:val="9FCE3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69749C"/>
    <w:multiLevelType w:val="hybridMultilevel"/>
    <w:tmpl w:val="A9640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60DDA"/>
    <w:multiLevelType w:val="hybridMultilevel"/>
    <w:tmpl w:val="25825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3B6D56"/>
    <w:multiLevelType w:val="hybridMultilevel"/>
    <w:tmpl w:val="53C87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EE2D28"/>
    <w:multiLevelType w:val="hybridMultilevel"/>
    <w:tmpl w:val="82D81098"/>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8C4ADA"/>
    <w:multiLevelType w:val="hybridMultilevel"/>
    <w:tmpl w:val="BAF60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480B7F"/>
    <w:multiLevelType w:val="hybridMultilevel"/>
    <w:tmpl w:val="AC0E0E06"/>
    <w:lvl w:ilvl="0" w:tplc="437EAEFC">
      <w:start w:val="1"/>
      <w:numFmt w:val="lowerLetter"/>
      <w:lvlText w:val="%1."/>
      <w:lvlJc w:val="left"/>
      <w:pPr>
        <w:ind w:left="720" w:hanging="36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C313A0"/>
    <w:multiLevelType w:val="hybridMultilevel"/>
    <w:tmpl w:val="4454BA6C"/>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2E5339"/>
    <w:multiLevelType w:val="hybridMultilevel"/>
    <w:tmpl w:val="EA9CE0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6B7531FB"/>
    <w:multiLevelType w:val="hybridMultilevel"/>
    <w:tmpl w:val="AC0E0E06"/>
    <w:lvl w:ilvl="0" w:tplc="437EAEFC">
      <w:start w:val="1"/>
      <w:numFmt w:val="lowerLetter"/>
      <w:lvlText w:val="%1."/>
      <w:lvlJc w:val="left"/>
      <w:pPr>
        <w:ind w:left="720" w:hanging="360"/>
      </w:pPr>
      <w:rPr>
        <w:rFonts w:ascii="Palatino Linotype" w:hAnsi="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8E4E74"/>
    <w:multiLevelType w:val="hybridMultilevel"/>
    <w:tmpl w:val="EFD215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D92C0A"/>
    <w:multiLevelType w:val="hybridMultilevel"/>
    <w:tmpl w:val="70F4C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D14045"/>
    <w:multiLevelType w:val="hybridMultilevel"/>
    <w:tmpl w:val="AC34B5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7"/>
  </w:num>
  <w:num w:numId="5">
    <w:abstractNumId w:val="27"/>
  </w:num>
  <w:num w:numId="6">
    <w:abstractNumId w:val="2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2"/>
  </w:num>
  <w:num w:numId="10">
    <w:abstractNumId w:val="8"/>
  </w:num>
  <w:num w:numId="11">
    <w:abstractNumId w:val="23"/>
  </w:num>
  <w:num w:numId="12">
    <w:abstractNumId w:val="20"/>
  </w:num>
  <w:num w:numId="13">
    <w:abstractNumId w:val="33"/>
  </w:num>
  <w:num w:numId="14">
    <w:abstractNumId w:val="26"/>
  </w:num>
  <w:num w:numId="15">
    <w:abstractNumId w:val="22"/>
  </w:num>
  <w:num w:numId="16">
    <w:abstractNumId w:val="29"/>
  </w:num>
  <w:num w:numId="17">
    <w:abstractNumId w:val="19"/>
  </w:num>
  <w:num w:numId="18">
    <w:abstractNumId w:val="30"/>
  </w:num>
  <w:num w:numId="19">
    <w:abstractNumId w:val="12"/>
  </w:num>
  <w:num w:numId="20">
    <w:abstractNumId w:val="0"/>
  </w:num>
  <w:num w:numId="21">
    <w:abstractNumId w:val="28"/>
  </w:num>
  <w:num w:numId="22">
    <w:abstractNumId w:val="15"/>
  </w:num>
  <w:num w:numId="23">
    <w:abstractNumId w:val="4"/>
  </w:num>
  <w:num w:numId="24">
    <w:abstractNumId w:val="35"/>
  </w:num>
  <w:num w:numId="25">
    <w:abstractNumId w:val="5"/>
  </w:num>
  <w:num w:numId="26">
    <w:abstractNumId w:val="14"/>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6"/>
  </w:num>
  <w:num w:numId="29">
    <w:abstractNumId w:val="25"/>
  </w:num>
  <w:num w:numId="30">
    <w:abstractNumId w:val="1"/>
  </w:num>
  <w:num w:numId="31">
    <w:abstractNumId w:val="10"/>
  </w:num>
  <w:num w:numId="32">
    <w:abstractNumId w:val="21"/>
  </w:num>
  <w:num w:numId="33">
    <w:abstractNumId w:val="34"/>
  </w:num>
  <w:num w:numId="34">
    <w:abstractNumId w:val="9"/>
  </w:num>
  <w:num w:numId="35">
    <w:abstractNumId w:val="13"/>
  </w:num>
  <w:num w:numId="36">
    <w:abstractNumId w:val="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D1"/>
    <w:rsid w:val="00001F87"/>
    <w:rsid w:val="00002860"/>
    <w:rsid w:val="000028C5"/>
    <w:rsid w:val="00002E53"/>
    <w:rsid w:val="000039BC"/>
    <w:rsid w:val="000051F1"/>
    <w:rsid w:val="00007008"/>
    <w:rsid w:val="00007EB8"/>
    <w:rsid w:val="0001499A"/>
    <w:rsid w:val="00017D8C"/>
    <w:rsid w:val="000223B0"/>
    <w:rsid w:val="00025A15"/>
    <w:rsid w:val="000278B7"/>
    <w:rsid w:val="00027981"/>
    <w:rsid w:val="00027FA3"/>
    <w:rsid w:val="00030561"/>
    <w:rsid w:val="00032C7F"/>
    <w:rsid w:val="00044214"/>
    <w:rsid w:val="000477C6"/>
    <w:rsid w:val="00051426"/>
    <w:rsid w:val="00052A57"/>
    <w:rsid w:val="00062AAC"/>
    <w:rsid w:val="00062C8B"/>
    <w:rsid w:val="000705A9"/>
    <w:rsid w:val="000727F0"/>
    <w:rsid w:val="00072D6B"/>
    <w:rsid w:val="00075BF7"/>
    <w:rsid w:val="00081145"/>
    <w:rsid w:val="00091028"/>
    <w:rsid w:val="00092F8D"/>
    <w:rsid w:val="000939CD"/>
    <w:rsid w:val="00096694"/>
    <w:rsid w:val="000A2588"/>
    <w:rsid w:val="000A259F"/>
    <w:rsid w:val="000A3518"/>
    <w:rsid w:val="000A61A2"/>
    <w:rsid w:val="000A785D"/>
    <w:rsid w:val="000B0EAF"/>
    <w:rsid w:val="000B47AA"/>
    <w:rsid w:val="000B7029"/>
    <w:rsid w:val="000B7F8B"/>
    <w:rsid w:val="000C715C"/>
    <w:rsid w:val="000C7407"/>
    <w:rsid w:val="000D1A72"/>
    <w:rsid w:val="000D2522"/>
    <w:rsid w:val="000D45D9"/>
    <w:rsid w:val="000D59F5"/>
    <w:rsid w:val="000D69EB"/>
    <w:rsid w:val="000D6E68"/>
    <w:rsid w:val="000D73F7"/>
    <w:rsid w:val="000E28E6"/>
    <w:rsid w:val="000E4E10"/>
    <w:rsid w:val="000F05A6"/>
    <w:rsid w:val="000F123F"/>
    <w:rsid w:val="000F2A9A"/>
    <w:rsid w:val="000F3403"/>
    <w:rsid w:val="000F4364"/>
    <w:rsid w:val="000F45A1"/>
    <w:rsid w:val="00100001"/>
    <w:rsid w:val="001004CE"/>
    <w:rsid w:val="00100EB3"/>
    <w:rsid w:val="0010232F"/>
    <w:rsid w:val="0010413E"/>
    <w:rsid w:val="00105219"/>
    <w:rsid w:val="001059E3"/>
    <w:rsid w:val="00105EF9"/>
    <w:rsid w:val="00106F17"/>
    <w:rsid w:val="001105F1"/>
    <w:rsid w:val="00115309"/>
    <w:rsid w:val="001202DE"/>
    <w:rsid w:val="0012257C"/>
    <w:rsid w:val="001231A7"/>
    <w:rsid w:val="00124E51"/>
    <w:rsid w:val="00134C39"/>
    <w:rsid w:val="00142455"/>
    <w:rsid w:val="00146731"/>
    <w:rsid w:val="00152CB4"/>
    <w:rsid w:val="001561CC"/>
    <w:rsid w:val="001601CC"/>
    <w:rsid w:val="00161E74"/>
    <w:rsid w:val="00164599"/>
    <w:rsid w:val="00165B2A"/>
    <w:rsid w:val="001675D9"/>
    <w:rsid w:val="0017427D"/>
    <w:rsid w:val="00174F57"/>
    <w:rsid w:val="00175572"/>
    <w:rsid w:val="00180003"/>
    <w:rsid w:val="00182CB0"/>
    <w:rsid w:val="001830B7"/>
    <w:rsid w:val="001860CC"/>
    <w:rsid w:val="001900B4"/>
    <w:rsid w:val="00190EBA"/>
    <w:rsid w:val="001935D3"/>
    <w:rsid w:val="00194530"/>
    <w:rsid w:val="00194DD1"/>
    <w:rsid w:val="0019678D"/>
    <w:rsid w:val="00197AEB"/>
    <w:rsid w:val="001A0F6E"/>
    <w:rsid w:val="001A641F"/>
    <w:rsid w:val="001B062D"/>
    <w:rsid w:val="001B18B6"/>
    <w:rsid w:val="001B3B40"/>
    <w:rsid w:val="001B77BD"/>
    <w:rsid w:val="001C0D50"/>
    <w:rsid w:val="001C1007"/>
    <w:rsid w:val="001C3C7E"/>
    <w:rsid w:val="001C3D02"/>
    <w:rsid w:val="001C6764"/>
    <w:rsid w:val="001D02DD"/>
    <w:rsid w:val="001D1D57"/>
    <w:rsid w:val="001D37BB"/>
    <w:rsid w:val="001E386E"/>
    <w:rsid w:val="001E6D1F"/>
    <w:rsid w:val="001F7C51"/>
    <w:rsid w:val="00204AF1"/>
    <w:rsid w:val="002111A8"/>
    <w:rsid w:val="002132D0"/>
    <w:rsid w:val="00213776"/>
    <w:rsid w:val="00213D62"/>
    <w:rsid w:val="00220583"/>
    <w:rsid w:val="0022261D"/>
    <w:rsid w:val="00224FE4"/>
    <w:rsid w:val="0022679B"/>
    <w:rsid w:val="00230FCF"/>
    <w:rsid w:val="00235BA0"/>
    <w:rsid w:val="00235F6E"/>
    <w:rsid w:val="002402DE"/>
    <w:rsid w:val="002419E9"/>
    <w:rsid w:val="0024313A"/>
    <w:rsid w:val="0024421B"/>
    <w:rsid w:val="002456D2"/>
    <w:rsid w:val="00251261"/>
    <w:rsid w:val="00251A4C"/>
    <w:rsid w:val="00252EF3"/>
    <w:rsid w:val="0025433F"/>
    <w:rsid w:val="002557A7"/>
    <w:rsid w:val="00257056"/>
    <w:rsid w:val="00257F3B"/>
    <w:rsid w:val="00260AAA"/>
    <w:rsid w:val="00261807"/>
    <w:rsid w:val="00261BED"/>
    <w:rsid w:val="002634E5"/>
    <w:rsid w:val="00266416"/>
    <w:rsid w:val="00267D02"/>
    <w:rsid w:val="002718A0"/>
    <w:rsid w:val="00271D9C"/>
    <w:rsid w:val="00272886"/>
    <w:rsid w:val="00273E3B"/>
    <w:rsid w:val="00274490"/>
    <w:rsid w:val="0028305A"/>
    <w:rsid w:val="00291F2D"/>
    <w:rsid w:val="00295883"/>
    <w:rsid w:val="00296E2A"/>
    <w:rsid w:val="002A42F9"/>
    <w:rsid w:val="002B01ED"/>
    <w:rsid w:val="002B2F06"/>
    <w:rsid w:val="002B3565"/>
    <w:rsid w:val="002B39B0"/>
    <w:rsid w:val="002B3FDA"/>
    <w:rsid w:val="002B54AE"/>
    <w:rsid w:val="002B612A"/>
    <w:rsid w:val="002C25C3"/>
    <w:rsid w:val="002C514D"/>
    <w:rsid w:val="002C59A0"/>
    <w:rsid w:val="002C6390"/>
    <w:rsid w:val="002C7309"/>
    <w:rsid w:val="002D07D5"/>
    <w:rsid w:val="002D2E5D"/>
    <w:rsid w:val="002E0552"/>
    <w:rsid w:val="002E05D6"/>
    <w:rsid w:val="002E25E7"/>
    <w:rsid w:val="002E333F"/>
    <w:rsid w:val="002E33E8"/>
    <w:rsid w:val="002E5CED"/>
    <w:rsid w:val="002E77BA"/>
    <w:rsid w:val="002F18C5"/>
    <w:rsid w:val="002F7EAF"/>
    <w:rsid w:val="00300286"/>
    <w:rsid w:val="00300A5B"/>
    <w:rsid w:val="003025DE"/>
    <w:rsid w:val="00311288"/>
    <w:rsid w:val="003114A1"/>
    <w:rsid w:val="00311811"/>
    <w:rsid w:val="00311BBA"/>
    <w:rsid w:val="003160D6"/>
    <w:rsid w:val="00316C63"/>
    <w:rsid w:val="00320671"/>
    <w:rsid w:val="00320B93"/>
    <w:rsid w:val="003265A2"/>
    <w:rsid w:val="00327EA3"/>
    <w:rsid w:val="0033392A"/>
    <w:rsid w:val="00334B20"/>
    <w:rsid w:val="00335563"/>
    <w:rsid w:val="00336980"/>
    <w:rsid w:val="00337208"/>
    <w:rsid w:val="00337E33"/>
    <w:rsid w:val="00340262"/>
    <w:rsid w:val="00340603"/>
    <w:rsid w:val="0034130C"/>
    <w:rsid w:val="0034462A"/>
    <w:rsid w:val="00345528"/>
    <w:rsid w:val="00347C43"/>
    <w:rsid w:val="00350D55"/>
    <w:rsid w:val="00352188"/>
    <w:rsid w:val="003537E3"/>
    <w:rsid w:val="00355553"/>
    <w:rsid w:val="00360690"/>
    <w:rsid w:val="00362DE2"/>
    <w:rsid w:val="00363046"/>
    <w:rsid w:val="003647F7"/>
    <w:rsid w:val="00365075"/>
    <w:rsid w:val="00371DAE"/>
    <w:rsid w:val="00372BAB"/>
    <w:rsid w:val="00376559"/>
    <w:rsid w:val="00380368"/>
    <w:rsid w:val="00381FDE"/>
    <w:rsid w:val="003831F8"/>
    <w:rsid w:val="00384A4A"/>
    <w:rsid w:val="0038779D"/>
    <w:rsid w:val="00391189"/>
    <w:rsid w:val="00392400"/>
    <w:rsid w:val="00392421"/>
    <w:rsid w:val="003936D2"/>
    <w:rsid w:val="003955C4"/>
    <w:rsid w:val="003975AD"/>
    <w:rsid w:val="00397660"/>
    <w:rsid w:val="003A1702"/>
    <w:rsid w:val="003A1B84"/>
    <w:rsid w:val="003A6198"/>
    <w:rsid w:val="003B0BA2"/>
    <w:rsid w:val="003B16A9"/>
    <w:rsid w:val="003B2277"/>
    <w:rsid w:val="003B287D"/>
    <w:rsid w:val="003B46DC"/>
    <w:rsid w:val="003C2ED7"/>
    <w:rsid w:val="003C470A"/>
    <w:rsid w:val="003C5B59"/>
    <w:rsid w:val="003D15D4"/>
    <w:rsid w:val="003D30B4"/>
    <w:rsid w:val="003D4A58"/>
    <w:rsid w:val="003D589C"/>
    <w:rsid w:val="003D5E1B"/>
    <w:rsid w:val="003D6054"/>
    <w:rsid w:val="003D7ED4"/>
    <w:rsid w:val="003E2FB0"/>
    <w:rsid w:val="003E3CAA"/>
    <w:rsid w:val="003E5EB3"/>
    <w:rsid w:val="003E6425"/>
    <w:rsid w:val="003E6F01"/>
    <w:rsid w:val="003E7060"/>
    <w:rsid w:val="003F0CE1"/>
    <w:rsid w:val="003F0E14"/>
    <w:rsid w:val="003F0F63"/>
    <w:rsid w:val="003F1D4C"/>
    <w:rsid w:val="003F4308"/>
    <w:rsid w:val="003F4323"/>
    <w:rsid w:val="003F4DE2"/>
    <w:rsid w:val="004059D0"/>
    <w:rsid w:val="004122A9"/>
    <w:rsid w:val="00415A15"/>
    <w:rsid w:val="00417EED"/>
    <w:rsid w:val="0042422A"/>
    <w:rsid w:val="004250C8"/>
    <w:rsid w:val="00425CB1"/>
    <w:rsid w:val="00430B0D"/>
    <w:rsid w:val="00432A91"/>
    <w:rsid w:val="00433CAA"/>
    <w:rsid w:val="00434BA3"/>
    <w:rsid w:val="004471D9"/>
    <w:rsid w:val="00450E6E"/>
    <w:rsid w:val="00451E2F"/>
    <w:rsid w:val="00452038"/>
    <w:rsid w:val="004542DC"/>
    <w:rsid w:val="004548CD"/>
    <w:rsid w:val="004573A0"/>
    <w:rsid w:val="00460EAD"/>
    <w:rsid w:val="004619E4"/>
    <w:rsid w:val="00462A63"/>
    <w:rsid w:val="004633F1"/>
    <w:rsid w:val="00463A70"/>
    <w:rsid w:val="00464242"/>
    <w:rsid w:val="00465EC8"/>
    <w:rsid w:val="00465F96"/>
    <w:rsid w:val="00466A44"/>
    <w:rsid w:val="004673C4"/>
    <w:rsid w:val="00467751"/>
    <w:rsid w:val="00470A7A"/>
    <w:rsid w:val="00470AF6"/>
    <w:rsid w:val="00471A6E"/>
    <w:rsid w:val="00474538"/>
    <w:rsid w:val="00474E4C"/>
    <w:rsid w:val="00476ED1"/>
    <w:rsid w:val="00481C52"/>
    <w:rsid w:val="004829B9"/>
    <w:rsid w:val="00482BF9"/>
    <w:rsid w:val="0048648B"/>
    <w:rsid w:val="004877A1"/>
    <w:rsid w:val="0049061B"/>
    <w:rsid w:val="00491C3E"/>
    <w:rsid w:val="00494387"/>
    <w:rsid w:val="004949AC"/>
    <w:rsid w:val="00496426"/>
    <w:rsid w:val="00496948"/>
    <w:rsid w:val="004A1E88"/>
    <w:rsid w:val="004A27DB"/>
    <w:rsid w:val="004A528D"/>
    <w:rsid w:val="004B15BE"/>
    <w:rsid w:val="004B720F"/>
    <w:rsid w:val="004B726A"/>
    <w:rsid w:val="004C1B53"/>
    <w:rsid w:val="004C34C6"/>
    <w:rsid w:val="004C3C1A"/>
    <w:rsid w:val="004C5BBE"/>
    <w:rsid w:val="004C710D"/>
    <w:rsid w:val="004D2468"/>
    <w:rsid w:val="004D3675"/>
    <w:rsid w:val="004D4220"/>
    <w:rsid w:val="004D494A"/>
    <w:rsid w:val="004D66A3"/>
    <w:rsid w:val="004E1BF6"/>
    <w:rsid w:val="004E2875"/>
    <w:rsid w:val="004E5602"/>
    <w:rsid w:val="004E617D"/>
    <w:rsid w:val="004E6D06"/>
    <w:rsid w:val="004F4445"/>
    <w:rsid w:val="004F5573"/>
    <w:rsid w:val="004F6003"/>
    <w:rsid w:val="004F662C"/>
    <w:rsid w:val="004F736C"/>
    <w:rsid w:val="004F7666"/>
    <w:rsid w:val="00506685"/>
    <w:rsid w:val="00506F24"/>
    <w:rsid w:val="00510D65"/>
    <w:rsid w:val="00510F61"/>
    <w:rsid w:val="00513F33"/>
    <w:rsid w:val="0051439D"/>
    <w:rsid w:val="00515CA2"/>
    <w:rsid w:val="00517B06"/>
    <w:rsid w:val="00520182"/>
    <w:rsid w:val="00522F3F"/>
    <w:rsid w:val="005230CF"/>
    <w:rsid w:val="005277CB"/>
    <w:rsid w:val="00530F1C"/>
    <w:rsid w:val="00533C3F"/>
    <w:rsid w:val="00534853"/>
    <w:rsid w:val="00534932"/>
    <w:rsid w:val="00535055"/>
    <w:rsid w:val="00536506"/>
    <w:rsid w:val="00536DA8"/>
    <w:rsid w:val="0054028E"/>
    <w:rsid w:val="00540994"/>
    <w:rsid w:val="00544569"/>
    <w:rsid w:val="00550D10"/>
    <w:rsid w:val="00551230"/>
    <w:rsid w:val="0055653C"/>
    <w:rsid w:val="005706CC"/>
    <w:rsid w:val="00571737"/>
    <w:rsid w:val="00571A6D"/>
    <w:rsid w:val="00572AAD"/>
    <w:rsid w:val="005747FF"/>
    <w:rsid w:val="00581915"/>
    <w:rsid w:val="0058284A"/>
    <w:rsid w:val="00583138"/>
    <w:rsid w:val="00585FC4"/>
    <w:rsid w:val="005861E7"/>
    <w:rsid w:val="00586FBB"/>
    <w:rsid w:val="00587FE6"/>
    <w:rsid w:val="00593E62"/>
    <w:rsid w:val="0059523B"/>
    <w:rsid w:val="0059585A"/>
    <w:rsid w:val="00596883"/>
    <w:rsid w:val="00597E2F"/>
    <w:rsid w:val="005A2982"/>
    <w:rsid w:val="005B1CA2"/>
    <w:rsid w:val="005B2299"/>
    <w:rsid w:val="005B5A9D"/>
    <w:rsid w:val="005C40CA"/>
    <w:rsid w:val="005C6308"/>
    <w:rsid w:val="005C7219"/>
    <w:rsid w:val="005D0F1D"/>
    <w:rsid w:val="005D2E05"/>
    <w:rsid w:val="005D3368"/>
    <w:rsid w:val="005E0A33"/>
    <w:rsid w:val="005E1588"/>
    <w:rsid w:val="005E5646"/>
    <w:rsid w:val="005F0AA5"/>
    <w:rsid w:val="005F0F77"/>
    <w:rsid w:val="005F251F"/>
    <w:rsid w:val="005F2BAD"/>
    <w:rsid w:val="005F461C"/>
    <w:rsid w:val="005F4E56"/>
    <w:rsid w:val="006026B5"/>
    <w:rsid w:val="00604FB9"/>
    <w:rsid w:val="0060621A"/>
    <w:rsid w:val="00606752"/>
    <w:rsid w:val="00606CE8"/>
    <w:rsid w:val="00607213"/>
    <w:rsid w:val="00607F00"/>
    <w:rsid w:val="0061081E"/>
    <w:rsid w:val="00612796"/>
    <w:rsid w:val="006134B9"/>
    <w:rsid w:val="0061403D"/>
    <w:rsid w:val="00614CDB"/>
    <w:rsid w:val="006177DE"/>
    <w:rsid w:val="00621E91"/>
    <w:rsid w:val="00625320"/>
    <w:rsid w:val="0062568E"/>
    <w:rsid w:val="00625925"/>
    <w:rsid w:val="00630576"/>
    <w:rsid w:val="00631373"/>
    <w:rsid w:val="00631FD1"/>
    <w:rsid w:val="0063438C"/>
    <w:rsid w:val="00635177"/>
    <w:rsid w:val="0063599F"/>
    <w:rsid w:val="00636974"/>
    <w:rsid w:val="0064274F"/>
    <w:rsid w:val="006441E1"/>
    <w:rsid w:val="00644838"/>
    <w:rsid w:val="00644CE6"/>
    <w:rsid w:val="006473A8"/>
    <w:rsid w:val="006507ED"/>
    <w:rsid w:val="00650FD8"/>
    <w:rsid w:val="006510F8"/>
    <w:rsid w:val="00660363"/>
    <w:rsid w:val="00660E60"/>
    <w:rsid w:val="006631C9"/>
    <w:rsid w:val="006642B4"/>
    <w:rsid w:val="0066442E"/>
    <w:rsid w:val="0066472E"/>
    <w:rsid w:val="006703A5"/>
    <w:rsid w:val="006733E5"/>
    <w:rsid w:val="0067776C"/>
    <w:rsid w:val="00682222"/>
    <w:rsid w:val="00687641"/>
    <w:rsid w:val="006901C3"/>
    <w:rsid w:val="00690DE6"/>
    <w:rsid w:val="0069249E"/>
    <w:rsid w:val="00695E03"/>
    <w:rsid w:val="00696200"/>
    <w:rsid w:val="006A0781"/>
    <w:rsid w:val="006A0B45"/>
    <w:rsid w:val="006A4247"/>
    <w:rsid w:val="006A4E8D"/>
    <w:rsid w:val="006B06CA"/>
    <w:rsid w:val="006B5B3E"/>
    <w:rsid w:val="006C03ED"/>
    <w:rsid w:val="006D1782"/>
    <w:rsid w:val="006D4AB9"/>
    <w:rsid w:val="006D6872"/>
    <w:rsid w:val="006D6F5A"/>
    <w:rsid w:val="006E035D"/>
    <w:rsid w:val="006E0643"/>
    <w:rsid w:val="006E283C"/>
    <w:rsid w:val="006E353E"/>
    <w:rsid w:val="006E5273"/>
    <w:rsid w:val="006F0351"/>
    <w:rsid w:val="006F0508"/>
    <w:rsid w:val="006F2C0F"/>
    <w:rsid w:val="006F3217"/>
    <w:rsid w:val="006F54CE"/>
    <w:rsid w:val="006F6104"/>
    <w:rsid w:val="00705E26"/>
    <w:rsid w:val="00706604"/>
    <w:rsid w:val="007132F9"/>
    <w:rsid w:val="007158A6"/>
    <w:rsid w:val="00721566"/>
    <w:rsid w:val="00723034"/>
    <w:rsid w:val="00723CF2"/>
    <w:rsid w:val="00724A49"/>
    <w:rsid w:val="007268C8"/>
    <w:rsid w:val="00726A94"/>
    <w:rsid w:val="00727467"/>
    <w:rsid w:val="00732599"/>
    <w:rsid w:val="007359A2"/>
    <w:rsid w:val="007375C5"/>
    <w:rsid w:val="00740CD0"/>
    <w:rsid w:val="007411FC"/>
    <w:rsid w:val="007430FE"/>
    <w:rsid w:val="00743B72"/>
    <w:rsid w:val="00744439"/>
    <w:rsid w:val="00745282"/>
    <w:rsid w:val="00745AEC"/>
    <w:rsid w:val="007474FF"/>
    <w:rsid w:val="00750797"/>
    <w:rsid w:val="00752A6C"/>
    <w:rsid w:val="007550F6"/>
    <w:rsid w:val="00755741"/>
    <w:rsid w:val="0075605D"/>
    <w:rsid w:val="0076077F"/>
    <w:rsid w:val="00762999"/>
    <w:rsid w:val="00765CC0"/>
    <w:rsid w:val="00771336"/>
    <w:rsid w:val="007745CA"/>
    <w:rsid w:val="00777185"/>
    <w:rsid w:val="00777721"/>
    <w:rsid w:val="00781577"/>
    <w:rsid w:val="00782132"/>
    <w:rsid w:val="0079077D"/>
    <w:rsid w:val="00792748"/>
    <w:rsid w:val="00796FD4"/>
    <w:rsid w:val="007A0941"/>
    <w:rsid w:val="007A0978"/>
    <w:rsid w:val="007A0D0B"/>
    <w:rsid w:val="007A330E"/>
    <w:rsid w:val="007A50D8"/>
    <w:rsid w:val="007A5334"/>
    <w:rsid w:val="007A66D1"/>
    <w:rsid w:val="007B086F"/>
    <w:rsid w:val="007B18F1"/>
    <w:rsid w:val="007C7F7D"/>
    <w:rsid w:val="007D1F52"/>
    <w:rsid w:val="007D35D4"/>
    <w:rsid w:val="007D42C2"/>
    <w:rsid w:val="007D49B6"/>
    <w:rsid w:val="007D5DC6"/>
    <w:rsid w:val="007D61BA"/>
    <w:rsid w:val="007D779A"/>
    <w:rsid w:val="007D7AB9"/>
    <w:rsid w:val="007E2548"/>
    <w:rsid w:val="007E38E8"/>
    <w:rsid w:val="007E5D97"/>
    <w:rsid w:val="007E600B"/>
    <w:rsid w:val="007E6917"/>
    <w:rsid w:val="007F06F2"/>
    <w:rsid w:val="007F400F"/>
    <w:rsid w:val="007F771C"/>
    <w:rsid w:val="007F7BFF"/>
    <w:rsid w:val="007F7D92"/>
    <w:rsid w:val="008006C4"/>
    <w:rsid w:val="00800C47"/>
    <w:rsid w:val="00800FED"/>
    <w:rsid w:val="0080143E"/>
    <w:rsid w:val="00804053"/>
    <w:rsid w:val="00804248"/>
    <w:rsid w:val="00810184"/>
    <w:rsid w:val="00811434"/>
    <w:rsid w:val="00813903"/>
    <w:rsid w:val="00814CAB"/>
    <w:rsid w:val="0081663D"/>
    <w:rsid w:val="00820C1B"/>
    <w:rsid w:val="00820EC7"/>
    <w:rsid w:val="00823130"/>
    <w:rsid w:val="0082578E"/>
    <w:rsid w:val="008262C2"/>
    <w:rsid w:val="00827B0C"/>
    <w:rsid w:val="00827CE4"/>
    <w:rsid w:val="008309FD"/>
    <w:rsid w:val="008316CB"/>
    <w:rsid w:val="00831EAC"/>
    <w:rsid w:val="00834A0C"/>
    <w:rsid w:val="00836F1F"/>
    <w:rsid w:val="008402CE"/>
    <w:rsid w:val="00842168"/>
    <w:rsid w:val="00843AB9"/>
    <w:rsid w:val="00845AB7"/>
    <w:rsid w:val="008508E2"/>
    <w:rsid w:val="00850A5F"/>
    <w:rsid w:val="00852049"/>
    <w:rsid w:val="008538DF"/>
    <w:rsid w:val="00853ACB"/>
    <w:rsid w:val="00853F28"/>
    <w:rsid w:val="0085649B"/>
    <w:rsid w:val="00857F62"/>
    <w:rsid w:val="008644E3"/>
    <w:rsid w:val="008702B3"/>
    <w:rsid w:val="00873CDE"/>
    <w:rsid w:val="00875107"/>
    <w:rsid w:val="00880143"/>
    <w:rsid w:val="00880F6A"/>
    <w:rsid w:val="00882159"/>
    <w:rsid w:val="00884387"/>
    <w:rsid w:val="00884AD3"/>
    <w:rsid w:val="00892595"/>
    <w:rsid w:val="008934EE"/>
    <w:rsid w:val="008949CD"/>
    <w:rsid w:val="00896B28"/>
    <w:rsid w:val="008977F6"/>
    <w:rsid w:val="00897AC3"/>
    <w:rsid w:val="00897D57"/>
    <w:rsid w:val="008A0978"/>
    <w:rsid w:val="008A1C22"/>
    <w:rsid w:val="008A34BD"/>
    <w:rsid w:val="008A34BF"/>
    <w:rsid w:val="008A43BA"/>
    <w:rsid w:val="008A6A42"/>
    <w:rsid w:val="008B0792"/>
    <w:rsid w:val="008B2FFC"/>
    <w:rsid w:val="008B42C1"/>
    <w:rsid w:val="008B4F02"/>
    <w:rsid w:val="008B5B74"/>
    <w:rsid w:val="008C1062"/>
    <w:rsid w:val="008C4F3D"/>
    <w:rsid w:val="008C5A8C"/>
    <w:rsid w:val="008C61BF"/>
    <w:rsid w:val="008D1382"/>
    <w:rsid w:val="008D4F4A"/>
    <w:rsid w:val="008E3B00"/>
    <w:rsid w:val="008E55E6"/>
    <w:rsid w:val="008E702E"/>
    <w:rsid w:val="008F3C49"/>
    <w:rsid w:val="008F5FA0"/>
    <w:rsid w:val="008F619E"/>
    <w:rsid w:val="008F6ACD"/>
    <w:rsid w:val="0090136A"/>
    <w:rsid w:val="00904433"/>
    <w:rsid w:val="00904E6F"/>
    <w:rsid w:val="00910A70"/>
    <w:rsid w:val="00911857"/>
    <w:rsid w:val="009120D8"/>
    <w:rsid w:val="00912D87"/>
    <w:rsid w:val="009142E5"/>
    <w:rsid w:val="009144C6"/>
    <w:rsid w:val="0091790E"/>
    <w:rsid w:val="00920CD4"/>
    <w:rsid w:val="0092349F"/>
    <w:rsid w:val="009237C1"/>
    <w:rsid w:val="00925645"/>
    <w:rsid w:val="0092599F"/>
    <w:rsid w:val="009264DB"/>
    <w:rsid w:val="00927AEA"/>
    <w:rsid w:val="0093192E"/>
    <w:rsid w:val="00931FCD"/>
    <w:rsid w:val="0093249D"/>
    <w:rsid w:val="009328D4"/>
    <w:rsid w:val="009337A6"/>
    <w:rsid w:val="009366D5"/>
    <w:rsid w:val="009402FE"/>
    <w:rsid w:val="009418D2"/>
    <w:rsid w:val="00942065"/>
    <w:rsid w:val="009430B1"/>
    <w:rsid w:val="00943531"/>
    <w:rsid w:val="00943E54"/>
    <w:rsid w:val="00945FD4"/>
    <w:rsid w:val="009506DD"/>
    <w:rsid w:val="009508A6"/>
    <w:rsid w:val="00951B5E"/>
    <w:rsid w:val="00951F34"/>
    <w:rsid w:val="00960179"/>
    <w:rsid w:val="0096288F"/>
    <w:rsid w:val="00963588"/>
    <w:rsid w:val="009650C0"/>
    <w:rsid w:val="009656D7"/>
    <w:rsid w:val="009723AC"/>
    <w:rsid w:val="0097775B"/>
    <w:rsid w:val="00977903"/>
    <w:rsid w:val="00977D0A"/>
    <w:rsid w:val="009873A6"/>
    <w:rsid w:val="009906FD"/>
    <w:rsid w:val="0099358F"/>
    <w:rsid w:val="00993F22"/>
    <w:rsid w:val="009953FC"/>
    <w:rsid w:val="009A48BF"/>
    <w:rsid w:val="009A57DD"/>
    <w:rsid w:val="009B2A82"/>
    <w:rsid w:val="009B31FE"/>
    <w:rsid w:val="009B3CF0"/>
    <w:rsid w:val="009B7004"/>
    <w:rsid w:val="009B772D"/>
    <w:rsid w:val="009C2849"/>
    <w:rsid w:val="009D6CD2"/>
    <w:rsid w:val="009D7017"/>
    <w:rsid w:val="009D771F"/>
    <w:rsid w:val="009D7F75"/>
    <w:rsid w:val="009E3B82"/>
    <w:rsid w:val="009E5AC3"/>
    <w:rsid w:val="009E6313"/>
    <w:rsid w:val="009F197F"/>
    <w:rsid w:val="009F508D"/>
    <w:rsid w:val="009F74FB"/>
    <w:rsid w:val="00A0114C"/>
    <w:rsid w:val="00A0499F"/>
    <w:rsid w:val="00A04D6A"/>
    <w:rsid w:val="00A05BA1"/>
    <w:rsid w:val="00A1044E"/>
    <w:rsid w:val="00A15501"/>
    <w:rsid w:val="00A159E8"/>
    <w:rsid w:val="00A17DFE"/>
    <w:rsid w:val="00A22D36"/>
    <w:rsid w:val="00A24235"/>
    <w:rsid w:val="00A26733"/>
    <w:rsid w:val="00A27233"/>
    <w:rsid w:val="00A304B1"/>
    <w:rsid w:val="00A330C7"/>
    <w:rsid w:val="00A3342E"/>
    <w:rsid w:val="00A449FC"/>
    <w:rsid w:val="00A45087"/>
    <w:rsid w:val="00A46802"/>
    <w:rsid w:val="00A477DA"/>
    <w:rsid w:val="00A47DC9"/>
    <w:rsid w:val="00A50618"/>
    <w:rsid w:val="00A50E5C"/>
    <w:rsid w:val="00A519CC"/>
    <w:rsid w:val="00A53F84"/>
    <w:rsid w:val="00A556D2"/>
    <w:rsid w:val="00A60037"/>
    <w:rsid w:val="00A6477D"/>
    <w:rsid w:val="00A7345F"/>
    <w:rsid w:val="00A760F1"/>
    <w:rsid w:val="00A775F3"/>
    <w:rsid w:val="00A8099E"/>
    <w:rsid w:val="00A82B69"/>
    <w:rsid w:val="00A8588E"/>
    <w:rsid w:val="00A912B9"/>
    <w:rsid w:val="00A91D47"/>
    <w:rsid w:val="00A92676"/>
    <w:rsid w:val="00A944F4"/>
    <w:rsid w:val="00AA1E45"/>
    <w:rsid w:val="00AA3654"/>
    <w:rsid w:val="00AA484B"/>
    <w:rsid w:val="00AA64FB"/>
    <w:rsid w:val="00AB0C45"/>
    <w:rsid w:val="00AB4D8D"/>
    <w:rsid w:val="00AB4F7D"/>
    <w:rsid w:val="00AC3397"/>
    <w:rsid w:val="00AC4743"/>
    <w:rsid w:val="00AC5758"/>
    <w:rsid w:val="00AC6254"/>
    <w:rsid w:val="00AD4CDA"/>
    <w:rsid w:val="00AD546F"/>
    <w:rsid w:val="00AD5B92"/>
    <w:rsid w:val="00AE1BEB"/>
    <w:rsid w:val="00AE29CA"/>
    <w:rsid w:val="00AE3AE5"/>
    <w:rsid w:val="00AE6E01"/>
    <w:rsid w:val="00AF5CDA"/>
    <w:rsid w:val="00B01879"/>
    <w:rsid w:val="00B042A0"/>
    <w:rsid w:val="00B04582"/>
    <w:rsid w:val="00B051BA"/>
    <w:rsid w:val="00B125A8"/>
    <w:rsid w:val="00B12B46"/>
    <w:rsid w:val="00B13C90"/>
    <w:rsid w:val="00B15379"/>
    <w:rsid w:val="00B20B03"/>
    <w:rsid w:val="00B259EB"/>
    <w:rsid w:val="00B25B74"/>
    <w:rsid w:val="00B265BF"/>
    <w:rsid w:val="00B30B2A"/>
    <w:rsid w:val="00B30D07"/>
    <w:rsid w:val="00B31157"/>
    <w:rsid w:val="00B332FC"/>
    <w:rsid w:val="00B33A5D"/>
    <w:rsid w:val="00B34AB0"/>
    <w:rsid w:val="00B37370"/>
    <w:rsid w:val="00B413E0"/>
    <w:rsid w:val="00B43451"/>
    <w:rsid w:val="00B476F1"/>
    <w:rsid w:val="00B50F7D"/>
    <w:rsid w:val="00B561F9"/>
    <w:rsid w:val="00B57547"/>
    <w:rsid w:val="00B57EC4"/>
    <w:rsid w:val="00B606C3"/>
    <w:rsid w:val="00B65640"/>
    <w:rsid w:val="00B67B92"/>
    <w:rsid w:val="00B70C84"/>
    <w:rsid w:val="00B75DDD"/>
    <w:rsid w:val="00B8071B"/>
    <w:rsid w:val="00B808EE"/>
    <w:rsid w:val="00B81498"/>
    <w:rsid w:val="00B839EE"/>
    <w:rsid w:val="00B85DBE"/>
    <w:rsid w:val="00B86A34"/>
    <w:rsid w:val="00B935E7"/>
    <w:rsid w:val="00BA48D6"/>
    <w:rsid w:val="00BA75B1"/>
    <w:rsid w:val="00BA7960"/>
    <w:rsid w:val="00BB118C"/>
    <w:rsid w:val="00BB1C7F"/>
    <w:rsid w:val="00BB672D"/>
    <w:rsid w:val="00BB7365"/>
    <w:rsid w:val="00BC012A"/>
    <w:rsid w:val="00BC1ED6"/>
    <w:rsid w:val="00BC2DAE"/>
    <w:rsid w:val="00BC3F9C"/>
    <w:rsid w:val="00BC54EA"/>
    <w:rsid w:val="00BC6F77"/>
    <w:rsid w:val="00BD48B7"/>
    <w:rsid w:val="00BD4D9E"/>
    <w:rsid w:val="00BD691C"/>
    <w:rsid w:val="00BD6BDC"/>
    <w:rsid w:val="00BE0C4E"/>
    <w:rsid w:val="00BE2A2E"/>
    <w:rsid w:val="00BE5B32"/>
    <w:rsid w:val="00BF0782"/>
    <w:rsid w:val="00BF27F5"/>
    <w:rsid w:val="00BF548C"/>
    <w:rsid w:val="00BF7714"/>
    <w:rsid w:val="00BF77FC"/>
    <w:rsid w:val="00C00FE4"/>
    <w:rsid w:val="00C02CEE"/>
    <w:rsid w:val="00C04DBE"/>
    <w:rsid w:val="00C108B2"/>
    <w:rsid w:val="00C160F9"/>
    <w:rsid w:val="00C1639F"/>
    <w:rsid w:val="00C171B9"/>
    <w:rsid w:val="00C21871"/>
    <w:rsid w:val="00C21CEE"/>
    <w:rsid w:val="00C222FD"/>
    <w:rsid w:val="00C228A9"/>
    <w:rsid w:val="00C252B9"/>
    <w:rsid w:val="00C25F3E"/>
    <w:rsid w:val="00C26F66"/>
    <w:rsid w:val="00C32EDE"/>
    <w:rsid w:val="00C334F1"/>
    <w:rsid w:val="00C34EEB"/>
    <w:rsid w:val="00C35A21"/>
    <w:rsid w:val="00C44AC8"/>
    <w:rsid w:val="00C452FF"/>
    <w:rsid w:val="00C46FD4"/>
    <w:rsid w:val="00C546C5"/>
    <w:rsid w:val="00C65798"/>
    <w:rsid w:val="00C65F0F"/>
    <w:rsid w:val="00C70CF6"/>
    <w:rsid w:val="00C72970"/>
    <w:rsid w:val="00C72F8C"/>
    <w:rsid w:val="00C74988"/>
    <w:rsid w:val="00C84C2B"/>
    <w:rsid w:val="00C853D1"/>
    <w:rsid w:val="00C85A96"/>
    <w:rsid w:val="00CA0C1D"/>
    <w:rsid w:val="00CA1E5F"/>
    <w:rsid w:val="00CA2F84"/>
    <w:rsid w:val="00CA66FB"/>
    <w:rsid w:val="00CB2B7B"/>
    <w:rsid w:val="00CB5A9E"/>
    <w:rsid w:val="00CC12D9"/>
    <w:rsid w:val="00CC2EBD"/>
    <w:rsid w:val="00CC4563"/>
    <w:rsid w:val="00CC5561"/>
    <w:rsid w:val="00CC7111"/>
    <w:rsid w:val="00CC7EAC"/>
    <w:rsid w:val="00CD573E"/>
    <w:rsid w:val="00CE06BE"/>
    <w:rsid w:val="00CE0E89"/>
    <w:rsid w:val="00CE1403"/>
    <w:rsid w:val="00CE3B14"/>
    <w:rsid w:val="00CF1FCE"/>
    <w:rsid w:val="00CF38E2"/>
    <w:rsid w:val="00CF3F17"/>
    <w:rsid w:val="00CF5199"/>
    <w:rsid w:val="00CF75CB"/>
    <w:rsid w:val="00CF7911"/>
    <w:rsid w:val="00D02413"/>
    <w:rsid w:val="00D04493"/>
    <w:rsid w:val="00D060B7"/>
    <w:rsid w:val="00D069DF"/>
    <w:rsid w:val="00D07CC0"/>
    <w:rsid w:val="00D104DB"/>
    <w:rsid w:val="00D10BBE"/>
    <w:rsid w:val="00D114F9"/>
    <w:rsid w:val="00D11E84"/>
    <w:rsid w:val="00D121F9"/>
    <w:rsid w:val="00D13A19"/>
    <w:rsid w:val="00D15032"/>
    <w:rsid w:val="00D15A9C"/>
    <w:rsid w:val="00D16932"/>
    <w:rsid w:val="00D16C0D"/>
    <w:rsid w:val="00D2245B"/>
    <w:rsid w:val="00D237F3"/>
    <w:rsid w:val="00D2535A"/>
    <w:rsid w:val="00D30C0E"/>
    <w:rsid w:val="00D320DD"/>
    <w:rsid w:val="00D349C8"/>
    <w:rsid w:val="00D36B32"/>
    <w:rsid w:val="00D43062"/>
    <w:rsid w:val="00D5012F"/>
    <w:rsid w:val="00D53A0C"/>
    <w:rsid w:val="00D553B2"/>
    <w:rsid w:val="00D57B6B"/>
    <w:rsid w:val="00D603BF"/>
    <w:rsid w:val="00D612E7"/>
    <w:rsid w:val="00D617C8"/>
    <w:rsid w:val="00D62C6E"/>
    <w:rsid w:val="00D63966"/>
    <w:rsid w:val="00D6407D"/>
    <w:rsid w:val="00D70E4F"/>
    <w:rsid w:val="00D727A5"/>
    <w:rsid w:val="00D733EF"/>
    <w:rsid w:val="00D75131"/>
    <w:rsid w:val="00D752D2"/>
    <w:rsid w:val="00D76975"/>
    <w:rsid w:val="00D772C9"/>
    <w:rsid w:val="00D77542"/>
    <w:rsid w:val="00D83EA5"/>
    <w:rsid w:val="00D85C1F"/>
    <w:rsid w:val="00D87335"/>
    <w:rsid w:val="00D878C6"/>
    <w:rsid w:val="00D90E06"/>
    <w:rsid w:val="00D93EFD"/>
    <w:rsid w:val="00D94C0C"/>
    <w:rsid w:val="00D96276"/>
    <w:rsid w:val="00DA3751"/>
    <w:rsid w:val="00DA4EBC"/>
    <w:rsid w:val="00DA5485"/>
    <w:rsid w:val="00DA7965"/>
    <w:rsid w:val="00DB0488"/>
    <w:rsid w:val="00DB10DD"/>
    <w:rsid w:val="00DB268E"/>
    <w:rsid w:val="00DB2789"/>
    <w:rsid w:val="00DB35F9"/>
    <w:rsid w:val="00DB4812"/>
    <w:rsid w:val="00DB6D27"/>
    <w:rsid w:val="00DB70E0"/>
    <w:rsid w:val="00DB7EC7"/>
    <w:rsid w:val="00DC6387"/>
    <w:rsid w:val="00DC66A2"/>
    <w:rsid w:val="00DD116F"/>
    <w:rsid w:val="00DD1FF5"/>
    <w:rsid w:val="00DD2536"/>
    <w:rsid w:val="00DD5573"/>
    <w:rsid w:val="00DD6442"/>
    <w:rsid w:val="00DD7D38"/>
    <w:rsid w:val="00DE031D"/>
    <w:rsid w:val="00DE0B3B"/>
    <w:rsid w:val="00DE6290"/>
    <w:rsid w:val="00DE65E3"/>
    <w:rsid w:val="00DF2DD7"/>
    <w:rsid w:val="00DF3BC9"/>
    <w:rsid w:val="00DF4611"/>
    <w:rsid w:val="00DF63B1"/>
    <w:rsid w:val="00E00C55"/>
    <w:rsid w:val="00E00CF7"/>
    <w:rsid w:val="00E010F7"/>
    <w:rsid w:val="00E0369E"/>
    <w:rsid w:val="00E04D30"/>
    <w:rsid w:val="00E04DDD"/>
    <w:rsid w:val="00E06552"/>
    <w:rsid w:val="00E07480"/>
    <w:rsid w:val="00E160CE"/>
    <w:rsid w:val="00E23964"/>
    <w:rsid w:val="00E240BC"/>
    <w:rsid w:val="00E2462E"/>
    <w:rsid w:val="00E278F2"/>
    <w:rsid w:val="00E30E7E"/>
    <w:rsid w:val="00E317EA"/>
    <w:rsid w:val="00E32D11"/>
    <w:rsid w:val="00E33E03"/>
    <w:rsid w:val="00E378A7"/>
    <w:rsid w:val="00E41E5D"/>
    <w:rsid w:val="00E42502"/>
    <w:rsid w:val="00E42B43"/>
    <w:rsid w:val="00E45953"/>
    <w:rsid w:val="00E46DA8"/>
    <w:rsid w:val="00E472FC"/>
    <w:rsid w:val="00E52E64"/>
    <w:rsid w:val="00E5473E"/>
    <w:rsid w:val="00E560D3"/>
    <w:rsid w:val="00E566D9"/>
    <w:rsid w:val="00E61E5E"/>
    <w:rsid w:val="00E8346C"/>
    <w:rsid w:val="00E83494"/>
    <w:rsid w:val="00E83964"/>
    <w:rsid w:val="00E86E4E"/>
    <w:rsid w:val="00E87D8B"/>
    <w:rsid w:val="00E9045B"/>
    <w:rsid w:val="00E905D2"/>
    <w:rsid w:val="00E9186A"/>
    <w:rsid w:val="00E92B4A"/>
    <w:rsid w:val="00E93EDF"/>
    <w:rsid w:val="00E966F3"/>
    <w:rsid w:val="00E97929"/>
    <w:rsid w:val="00EA1004"/>
    <w:rsid w:val="00EA1A80"/>
    <w:rsid w:val="00EA2CF6"/>
    <w:rsid w:val="00EA30B1"/>
    <w:rsid w:val="00EA701B"/>
    <w:rsid w:val="00EB051B"/>
    <w:rsid w:val="00EB0AEA"/>
    <w:rsid w:val="00EB1E57"/>
    <w:rsid w:val="00EB43DB"/>
    <w:rsid w:val="00EB4A38"/>
    <w:rsid w:val="00EC01B9"/>
    <w:rsid w:val="00EC023F"/>
    <w:rsid w:val="00EC2B04"/>
    <w:rsid w:val="00EC3AC9"/>
    <w:rsid w:val="00ED23EB"/>
    <w:rsid w:val="00EE23E5"/>
    <w:rsid w:val="00EE53C5"/>
    <w:rsid w:val="00EF0402"/>
    <w:rsid w:val="00EF0D39"/>
    <w:rsid w:val="00EF1835"/>
    <w:rsid w:val="00EF22D0"/>
    <w:rsid w:val="00EF3BE8"/>
    <w:rsid w:val="00EF639E"/>
    <w:rsid w:val="00F03666"/>
    <w:rsid w:val="00F05DDC"/>
    <w:rsid w:val="00F060A2"/>
    <w:rsid w:val="00F121AE"/>
    <w:rsid w:val="00F2115D"/>
    <w:rsid w:val="00F306FA"/>
    <w:rsid w:val="00F31662"/>
    <w:rsid w:val="00F35A10"/>
    <w:rsid w:val="00F4029B"/>
    <w:rsid w:val="00F40D32"/>
    <w:rsid w:val="00F44120"/>
    <w:rsid w:val="00F44705"/>
    <w:rsid w:val="00F44852"/>
    <w:rsid w:val="00F516F1"/>
    <w:rsid w:val="00F54246"/>
    <w:rsid w:val="00F561D0"/>
    <w:rsid w:val="00F56EC2"/>
    <w:rsid w:val="00F63581"/>
    <w:rsid w:val="00F64B0B"/>
    <w:rsid w:val="00F6780F"/>
    <w:rsid w:val="00F71AF0"/>
    <w:rsid w:val="00F7369F"/>
    <w:rsid w:val="00F74C3E"/>
    <w:rsid w:val="00F762D3"/>
    <w:rsid w:val="00F81A9B"/>
    <w:rsid w:val="00F821C8"/>
    <w:rsid w:val="00F9148F"/>
    <w:rsid w:val="00F926A0"/>
    <w:rsid w:val="00FA3952"/>
    <w:rsid w:val="00FA5759"/>
    <w:rsid w:val="00FA7201"/>
    <w:rsid w:val="00FB0EAE"/>
    <w:rsid w:val="00FC4CB0"/>
    <w:rsid w:val="00FC6454"/>
    <w:rsid w:val="00FC6B3E"/>
    <w:rsid w:val="00FD1A44"/>
    <w:rsid w:val="00FD56AB"/>
    <w:rsid w:val="00FD7174"/>
    <w:rsid w:val="00FE3038"/>
    <w:rsid w:val="00FE53FE"/>
    <w:rsid w:val="00FE5E84"/>
    <w:rsid w:val="00FE7151"/>
    <w:rsid w:val="00FF396E"/>
    <w:rsid w:val="00FF4FB7"/>
    <w:rsid w:val="00FF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629B6"/>
  <w15:chartTrackingRefBased/>
  <w15:docId w15:val="{79F345A3-8A39-49A9-900F-38268F30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D1"/>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194530"/>
    <w:rPr>
      <w:rFonts w:ascii="Palatino Linotype" w:eastAsia="Times New Roman" w:hAnsi="Palatino Linotype"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94530"/>
    <w:pPr>
      <w:spacing w:after="0" w:line="240" w:lineRule="auto"/>
      <w:ind w:left="720"/>
      <w:contextualSpacing/>
    </w:pPr>
    <w:rPr>
      <w:rFonts w:eastAsia="Times New Roman" w:cs="Times New Roman"/>
      <w:color w:val="auto"/>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59322">
      <w:bodyDiv w:val="1"/>
      <w:marLeft w:val="0"/>
      <w:marRight w:val="0"/>
      <w:marTop w:val="0"/>
      <w:marBottom w:val="0"/>
      <w:divBdr>
        <w:top w:val="none" w:sz="0" w:space="0" w:color="auto"/>
        <w:left w:val="none" w:sz="0" w:space="0" w:color="auto"/>
        <w:bottom w:val="none" w:sz="0" w:space="0" w:color="auto"/>
        <w:right w:val="none" w:sz="0" w:space="0" w:color="auto"/>
      </w:divBdr>
    </w:div>
    <w:div w:id="322047306">
      <w:bodyDiv w:val="1"/>
      <w:marLeft w:val="0"/>
      <w:marRight w:val="0"/>
      <w:marTop w:val="0"/>
      <w:marBottom w:val="0"/>
      <w:divBdr>
        <w:top w:val="none" w:sz="0" w:space="0" w:color="auto"/>
        <w:left w:val="none" w:sz="0" w:space="0" w:color="auto"/>
        <w:bottom w:val="none" w:sz="0" w:space="0" w:color="auto"/>
        <w:right w:val="none" w:sz="0" w:space="0" w:color="auto"/>
      </w:divBdr>
    </w:div>
    <w:div w:id="355080558">
      <w:bodyDiv w:val="1"/>
      <w:marLeft w:val="0"/>
      <w:marRight w:val="0"/>
      <w:marTop w:val="0"/>
      <w:marBottom w:val="0"/>
      <w:divBdr>
        <w:top w:val="none" w:sz="0" w:space="0" w:color="auto"/>
        <w:left w:val="none" w:sz="0" w:space="0" w:color="auto"/>
        <w:bottom w:val="none" w:sz="0" w:space="0" w:color="auto"/>
        <w:right w:val="none" w:sz="0" w:space="0" w:color="auto"/>
      </w:divBdr>
    </w:div>
    <w:div w:id="387798768">
      <w:bodyDiv w:val="1"/>
      <w:marLeft w:val="0"/>
      <w:marRight w:val="0"/>
      <w:marTop w:val="0"/>
      <w:marBottom w:val="0"/>
      <w:divBdr>
        <w:top w:val="none" w:sz="0" w:space="0" w:color="auto"/>
        <w:left w:val="none" w:sz="0" w:space="0" w:color="auto"/>
        <w:bottom w:val="none" w:sz="0" w:space="0" w:color="auto"/>
        <w:right w:val="none" w:sz="0" w:space="0" w:color="auto"/>
      </w:divBdr>
    </w:div>
    <w:div w:id="423455479">
      <w:bodyDiv w:val="1"/>
      <w:marLeft w:val="0"/>
      <w:marRight w:val="0"/>
      <w:marTop w:val="0"/>
      <w:marBottom w:val="0"/>
      <w:divBdr>
        <w:top w:val="none" w:sz="0" w:space="0" w:color="auto"/>
        <w:left w:val="none" w:sz="0" w:space="0" w:color="auto"/>
        <w:bottom w:val="none" w:sz="0" w:space="0" w:color="auto"/>
        <w:right w:val="none" w:sz="0" w:space="0" w:color="auto"/>
      </w:divBdr>
    </w:div>
    <w:div w:id="612901374">
      <w:bodyDiv w:val="1"/>
      <w:marLeft w:val="0"/>
      <w:marRight w:val="0"/>
      <w:marTop w:val="0"/>
      <w:marBottom w:val="0"/>
      <w:divBdr>
        <w:top w:val="none" w:sz="0" w:space="0" w:color="auto"/>
        <w:left w:val="none" w:sz="0" w:space="0" w:color="auto"/>
        <w:bottom w:val="none" w:sz="0" w:space="0" w:color="auto"/>
        <w:right w:val="none" w:sz="0" w:space="0" w:color="auto"/>
      </w:divBdr>
      <w:divsChild>
        <w:div w:id="773287151">
          <w:marLeft w:val="0"/>
          <w:marRight w:val="0"/>
          <w:marTop w:val="0"/>
          <w:marBottom w:val="0"/>
          <w:divBdr>
            <w:top w:val="none" w:sz="0" w:space="0" w:color="auto"/>
            <w:left w:val="none" w:sz="0" w:space="0" w:color="auto"/>
            <w:bottom w:val="none" w:sz="0" w:space="0" w:color="auto"/>
            <w:right w:val="none" w:sz="0" w:space="0" w:color="auto"/>
          </w:divBdr>
          <w:divsChild>
            <w:div w:id="1658723871">
              <w:marLeft w:val="0"/>
              <w:marRight w:val="0"/>
              <w:marTop w:val="0"/>
              <w:marBottom w:val="0"/>
              <w:divBdr>
                <w:top w:val="none" w:sz="0" w:space="0" w:color="auto"/>
                <w:left w:val="none" w:sz="0" w:space="0" w:color="auto"/>
                <w:bottom w:val="none" w:sz="0" w:space="0" w:color="auto"/>
                <w:right w:val="none" w:sz="0" w:space="0" w:color="auto"/>
              </w:divBdr>
              <w:divsChild>
                <w:div w:id="133371374">
                  <w:marLeft w:val="0"/>
                  <w:marRight w:val="0"/>
                  <w:marTop w:val="0"/>
                  <w:marBottom w:val="0"/>
                  <w:divBdr>
                    <w:top w:val="none" w:sz="0" w:space="0" w:color="auto"/>
                    <w:left w:val="none" w:sz="0" w:space="0" w:color="auto"/>
                    <w:bottom w:val="none" w:sz="0" w:space="0" w:color="auto"/>
                    <w:right w:val="none" w:sz="0" w:space="0" w:color="auto"/>
                  </w:divBdr>
                  <w:divsChild>
                    <w:div w:id="16661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18514">
      <w:bodyDiv w:val="1"/>
      <w:marLeft w:val="0"/>
      <w:marRight w:val="0"/>
      <w:marTop w:val="0"/>
      <w:marBottom w:val="0"/>
      <w:divBdr>
        <w:top w:val="none" w:sz="0" w:space="0" w:color="auto"/>
        <w:left w:val="none" w:sz="0" w:space="0" w:color="auto"/>
        <w:bottom w:val="none" w:sz="0" w:space="0" w:color="auto"/>
        <w:right w:val="none" w:sz="0" w:space="0" w:color="auto"/>
      </w:divBdr>
    </w:div>
    <w:div w:id="7760949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448">
          <w:marLeft w:val="0"/>
          <w:marRight w:val="0"/>
          <w:marTop w:val="0"/>
          <w:marBottom w:val="0"/>
          <w:divBdr>
            <w:top w:val="none" w:sz="0" w:space="0" w:color="auto"/>
            <w:left w:val="none" w:sz="0" w:space="0" w:color="auto"/>
            <w:bottom w:val="none" w:sz="0" w:space="0" w:color="auto"/>
            <w:right w:val="none" w:sz="0" w:space="0" w:color="auto"/>
          </w:divBdr>
          <w:divsChild>
            <w:div w:id="2054648796">
              <w:marLeft w:val="0"/>
              <w:marRight w:val="0"/>
              <w:marTop w:val="0"/>
              <w:marBottom w:val="0"/>
              <w:divBdr>
                <w:top w:val="none" w:sz="0" w:space="0" w:color="auto"/>
                <w:left w:val="none" w:sz="0" w:space="0" w:color="auto"/>
                <w:bottom w:val="none" w:sz="0" w:space="0" w:color="auto"/>
                <w:right w:val="none" w:sz="0" w:space="0" w:color="auto"/>
              </w:divBdr>
              <w:divsChild>
                <w:div w:id="498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9245">
      <w:bodyDiv w:val="1"/>
      <w:marLeft w:val="0"/>
      <w:marRight w:val="0"/>
      <w:marTop w:val="0"/>
      <w:marBottom w:val="0"/>
      <w:divBdr>
        <w:top w:val="none" w:sz="0" w:space="0" w:color="auto"/>
        <w:left w:val="none" w:sz="0" w:space="0" w:color="auto"/>
        <w:bottom w:val="none" w:sz="0" w:space="0" w:color="auto"/>
        <w:right w:val="none" w:sz="0" w:space="0" w:color="auto"/>
      </w:divBdr>
    </w:div>
    <w:div w:id="1240023026">
      <w:bodyDiv w:val="1"/>
      <w:marLeft w:val="0"/>
      <w:marRight w:val="0"/>
      <w:marTop w:val="0"/>
      <w:marBottom w:val="0"/>
      <w:divBdr>
        <w:top w:val="none" w:sz="0" w:space="0" w:color="auto"/>
        <w:left w:val="none" w:sz="0" w:space="0" w:color="auto"/>
        <w:bottom w:val="none" w:sz="0" w:space="0" w:color="auto"/>
        <w:right w:val="none" w:sz="0" w:space="0" w:color="auto"/>
      </w:divBdr>
      <w:divsChild>
        <w:div w:id="2006083033">
          <w:marLeft w:val="0"/>
          <w:marRight w:val="0"/>
          <w:marTop w:val="0"/>
          <w:marBottom w:val="0"/>
          <w:divBdr>
            <w:top w:val="none" w:sz="0" w:space="0" w:color="auto"/>
            <w:left w:val="none" w:sz="0" w:space="0" w:color="auto"/>
            <w:bottom w:val="none" w:sz="0" w:space="0" w:color="auto"/>
            <w:right w:val="none" w:sz="0" w:space="0" w:color="auto"/>
          </w:divBdr>
          <w:divsChild>
            <w:div w:id="2093238247">
              <w:marLeft w:val="0"/>
              <w:marRight w:val="0"/>
              <w:marTop w:val="0"/>
              <w:marBottom w:val="0"/>
              <w:divBdr>
                <w:top w:val="none" w:sz="0" w:space="0" w:color="auto"/>
                <w:left w:val="none" w:sz="0" w:space="0" w:color="auto"/>
                <w:bottom w:val="none" w:sz="0" w:space="0" w:color="auto"/>
                <w:right w:val="none" w:sz="0" w:space="0" w:color="auto"/>
              </w:divBdr>
              <w:divsChild>
                <w:div w:id="1115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8334">
      <w:bodyDiv w:val="1"/>
      <w:marLeft w:val="0"/>
      <w:marRight w:val="0"/>
      <w:marTop w:val="0"/>
      <w:marBottom w:val="0"/>
      <w:divBdr>
        <w:top w:val="none" w:sz="0" w:space="0" w:color="auto"/>
        <w:left w:val="none" w:sz="0" w:space="0" w:color="auto"/>
        <w:bottom w:val="none" w:sz="0" w:space="0" w:color="auto"/>
        <w:right w:val="none" w:sz="0" w:space="0" w:color="auto"/>
      </w:divBdr>
    </w:div>
    <w:div w:id="1891377070">
      <w:bodyDiv w:val="1"/>
      <w:marLeft w:val="0"/>
      <w:marRight w:val="0"/>
      <w:marTop w:val="0"/>
      <w:marBottom w:val="0"/>
      <w:divBdr>
        <w:top w:val="none" w:sz="0" w:space="0" w:color="auto"/>
        <w:left w:val="none" w:sz="0" w:space="0" w:color="auto"/>
        <w:bottom w:val="none" w:sz="0" w:space="0" w:color="auto"/>
        <w:right w:val="none" w:sz="0" w:space="0" w:color="auto"/>
      </w:divBdr>
    </w:div>
    <w:div w:id="19022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5D36B-1808-4CBB-8567-C17EEB4B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52</Pages>
  <Words>13793</Words>
  <Characters>75863</Characters>
  <Application>Microsoft Office Word</Application>
  <DocSecurity>0</DocSecurity>
  <Lines>632</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Maricela Villagómez Martínez</cp:lastModifiedBy>
  <cp:revision>2</cp:revision>
  <cp:lastPrinted>2024-02-23T15:54:00Z</cp:lastPrinted>
  <dcterms:created xsi:type="dcterms:W3CDTF">2024-03-06T17:52:00Z</dcterms:created>
  <dcterms:modified xsi:type="dcterms:W3CDTF">2024-03-06T17:52:00Z</dcterms:modified>
</cp:coreProperties>
</file>