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D1464" w:rsidRDefault="00782C62">
      <w:pPr>
        <w:pBdr>
          <w:top w:val="nil"/>
          <w:left w:val="nil"/>
          <w:bottom w:val="nil"/>
          <w:right w:val="nil"/>
          <w:between w:val="nil"/>
        </w:pBdr>
        <w:spacing w:line="360" w:lineRule="auto"/>
        <w:jc w:val="both"/>
        <w:rPr>
          <w:rFonts w:ascii="Palatino Linotype" w:eastAsia="Palatino Linotype" w:hAnsi="Palatino Linotype" w:cs="Palatino Linotype"/>
          <w:color w:val="000000"/>
        </w:rPr>
      </w:pPr>
      <w:bookmarkStart w:id="0" w:name="_GoBack"/>
      <w:bookmarkEnd w:id="0"/>
      <w:r>
        <w:rPr>
          <w:rFonts w:ascii="Palatino Linotype" w:eastAsia="Palatino Linotype" w:hAnsi="Palatino Linotype" w:cs="Palatino Linotype"/>
          <w:color w:val="000000"/>
        </w:rPr>
        <w:t>Resolución del Pleno del Instituto de Transparencia, Acceso a la Información Pública y Protección de Datos Personales del Estado de México y Municipios, con domicilio en Metepec,</w:t>
      </w:r>
      <w:r w:rsidR="001E1623">
        <w:rPr>
          <w:rFonts w:ascii="Palatino Linotype" w:eastAsia="Palatino Linotype" w:hAnsi="Palatino Linotype" w:cs="Palatino Linotype"/>
          <w:color w:val="000000"/>
        </w:rPr>
        <w:t xml:space="preserve"> Estado de México; de seis (06)</w:t>
      </w:r>
      <w:r>
        <w:rPr>
          <w:rFonts w:ascii="Palatino Linotype" w:eastAsia="Palatino Linotype" w:hAnsi="Palatino Linotype" w:cs="Palatino Linotype"/>
          <w:color w:val="000000"/>
        </w:rPr>
        <w:t xml:space="preserve"> de </w:t>
      </w:r>
      <w:r w:rsidR="001E1623">
        <w:rPr>
          <w:rFonts w:ascii="Palatino Linotype" w:eastAsia="Palatino Linotype" w:hAnsi="Palatino Linotype" w:cs="Palatino Linotype"/>
          <w:color w:val="000000"/>
        </w:rPr>
        <w:t>noviembre</w:t>
      </w:r>
      <w:r>
        <w:rPr>
          <w:rFonts w:ascii="Palatino Linotype" w:eastAsia="Palatino Linotype" w:hAnsi="Palatino Linotype" w:cs="Palatino Linotype"/>
          <w:color w:val="000000"/>
        </w:rPr>
        <w:t xml:space="preserve"> de dos mil veinticuatro.</w:t>
      </w:r>
    </w:p>
    <w:p w:rsidR="009D1464" w:rsidRDefault="009D1464">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rsidR="009D1464" w:rsidRDefault="00782C62">
      <w:pPr>
        <w:pBdr>
          <w:top w:val="nil"/>
          <w:left w:val="nil"/>
          <w:bottom w:val="nil"/>
          <w:right w:val="nil"/>
          <w:between w:val="nil"/>
        </w:pBdr>
        <w:spacing w:line="360" w:lineRule="auto"/>
        <w:jc w:val="both"/>
        <w:rPr>
          <w:rFonts w:ascii="Palatino Linotype" w:eastAsia="Palatino Linotype" w:hAnsi="Palatino Linotype" w:cs="Palatino Linotype"/>
          <w:color w:val="000000"/>
        </w:rPr>
      </w:pPr>
      <w:bookmarkStart w:id="1" w:name="_heading=h.gjdgxs" w:colFirst="0" w:colLast="0"/>
      <w:bookmarkEnd w:id="1"/>
      <w:r>
        <w:rPr>
          <w:rFonts w:ascii="Palatino Linotype" w:eastAsia="Palatino Linotype" w:hAnsi="Palatino Linotype" w:cs="Palatino Linotype"/>
          <w:color w:val="000000"/>
        </w:rPr>
        <w:t xml:space="preserve">VISTOS los expedientes electrónicos formados con motivo de los Recursos de Revisión </w:t>
      </w:r>
      <w:r>
        <w:rPr>
          <w:rFonts w:ascii="Palatino Linotype" w:eastAsia="Palatino Linotype" w:hAnsi="Palatino Linotype" w:cs="Palatino Linotype"/>
          <w:b/>
          <w:color w:val="000000"/>
          <w:sz w:val="22"/>
          <w:szCs w:val="22"/>
        </w:rPr>
        <w:t>04393/INFOEM/IP/RR/2024, 04581/INFOEM/IP/RR/2024, 04583/INFOEM/IP/RR/2024, 04585/INFOEM/IP/RR/2024, 04592/INFOEM/IP/RR/2024, 04765/INFOEM/IP/RR/2024, 05394/INFOEM/IP/RR/2024, 05395/INFOEM/IP/RR/2024, 05721/INFOEM/IP/RR/2024 y 05722/INFOEM/IP/RR/2024</w:t>
      </w:r>
      <w:r>
        <w:rPr>
          <w:rFonts w:ascii="Palatino Linotype" w:eastAsia="Palatino Linotype" w:hAnsi="Palatino Linotype" w:cs="Palatino Linotype"/>
          <w:b/>
          <w:color w:val="000000"/>
        </w:rPr>
        <w:t xml:space="preserve">, </w:t>
      </w:r>
      <w:r>
        <w:rPr>
          <w:rFonts w:ascii="Palatino Linotype" w:eastAsia="Palatino Linotype" w:hAnsi="Palatino Linotype" w:cs="Palatino Linotype"/>
          <w:color w:val="000000"/>
        </w:rPr>
        <w:t>acumulados, promovidos por  </w:t>
      </w:r>
      <w:r>
        <w:rPr>
          <w:rFonts w:ascii="Palatino Linotype" w:eastAsia="Palatino Linotype" w:hAnsi="Palatino Linotype" w:cs="Palatino Linotype"/>
          <w:b/>
          <w:color w:val="000000"/>
        </w:rPr>
        <w:t> </w:t>
      </w:r>
      <w:r w:rsidR="001E1623">
        <w:rPr>
          <w:rFonts w:ascii="Palatino Linotype" w:eastAsia="Palatino Linotype" w:hAnsi="Palatino Linotype" w:cs="Palatino Linotype"/>
          <w:b/>
        </w:rPr>
        <w:t>Anónimo</w:t>
      </w:r>
      <w:r>
        <w:rPr>
          <w:rFonts w:ascii="Palatino Linotype" w:eastAsia="Palatino Linotype" w:hAnsi="Palatino Linotype" w:cs="Palatino Linotype"/>
          <w:color w:val="000000"/>
        </w:rPr>
        <w:t xml:space="preserve">, a través del Sistema de Acceso a la Información Mexiquense (SAIMEX), a quien en lo sucesivo se le identificará como </w:t>
      </w:r>
      <w:r>
        <w:rPr>
          <w:rFonts w:ascii="Palatino Linotype" w:eastAsia="Palatino Linotype" w:hAnsi="Palatino Linotype" w:cs="Palatino Linotype"/>
          <w:b/>
          <w:color w:val="000000"/>
        </w:rPr>
        <w:t>EL RECURRENTE</w:t>
      </w:r>
      <w:r>
        <w:rPr>
          <w:rFonts w:ascii="Palatino Linotype" w:eastAsia="Palatino Linotype" w:hAnsi="Palatino Linotype" w:cs="Palatino Linotype"/>
          <w:color w:val="000000"/>
        </w:rPr>
        <w:t xml:space="preserve">, en contra de las respuestas del </w:t>
      </w:r>
      <w:r>
        <w:rPr>
          <w:rFonts w:ascii="Palatino Linotype" w:eastAsia="Palatino Linotype" w:hAnsi="Palatino Linotype" w:cs="Palatino Linotype"/>
          <w:b/>
          <w:color w:val="000000"/>
        </w:rPr>
        <w:t>Ayuntamiento de Toluca</w:t>
      </w:r>
      <w:r>
        <w:rPr>
          <w:rFonts w:ascii="Palatino Linotype" w:eastAsia="Palatino Linotype" w:hAnsi="Palatino Linotype" w:cs="Palatino Linotype"/>
          <w:color w:val="000000"/>
        </w:rPr>
        <w:t xml:space="preserve">, en lo sucesivo </w:t>
      </w:r>
      <w:r>
        <w:rPr>
          <w:rFonts w:ascii="Palatino Linotype" w:eastAsia="Palatino Linotype" w:hAnsi="Palatino Linotype" w:cs="Palatino Linotype"/>
          <w:b/>
          <w:color w:val="000000"/>
        </w:rPr>
        <w:t>EL SUJETO OBLIGADO</w:t>
      </w:r>
      <w:r>
        <w:rPr>
          <w:rFonts w:ascii="Palatino Linotype" w:eastAsia="Palatino Linotype" w:hAnsi="Palatino Linotype" w:cs="Palatino Linotype"/>
          <w:color w:val="000000"/>
        </w:rPr>
        <w:t>, se procede a dictar la presente resolución, con base en los siguientes:</w:t>
      </w:r>
    </w:p>
    <w:p w:rsidR="009D1464" w:rsidRDefault="009D1464">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rsidR="009D1464" w:rsidRDefault="00782C62">
      <w:pPr>
        <w:pBdr>
          <w:top w:val="nil"/>
          <w:left w:val="nil"/>
          <w:bottom w:val="nil"/>
          <w:right w:val="nil"/>
          <w:between w:val="nil"/>
        </w:pBdr>
        <w:spacing w:line="360" w:lineRule="auto"/>
        <w:jc w:val="center"/>
        <w:rPr>
          <w:rFonts w:ascii="Palatino Linotype" w:eastAsia="Palatino Linotype" w:hAnsi="Palatino Linotype" w:cs="Palatino Linotype"/>
          <w:color w:val="000000"/>
        </w:rPr>
      </w:pPr>
      <w:r>
        <w:rPr>
          <w:rFonts w:ascii="Palatino Linotype" w:eastAsia="Palatino Linotype" w:hAnsi="Palatino Linotype" w:cs="Palatino Linotype"/>
          <w:color w:val="000000"/>
        </w:rPr>
        <w:t>A N T E C E D E N T E S</w:t>
      </w:r>
    </w:p>
    <w:p w:rsidR="009D1464" w:rsidRDefault="009D1464">
      <w:pPr>
        <w:spacing w:line="360" w:lineRule="auto"/>
        <w:rPr>
          <w:rFonts w:ascii="Palatino Linotype" w:eastAsia="Palatino Linotype" w:hAnsi="Palatino Linotype" w:cs="Palatino Linotype"/>
        </w:rPr>
      </w:pPr>
    </w:p>
    <w:p w:rsidR="009D1464" w:rsidRDefault="00782C62">
      <w:pPr>
        <w:numPr>
          <w:ilvl w:val="0"/>
          <w:numId w:val="7"/>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El día </w:t>
      </w:r>
      <w:r>
        <w:rPr>
          <w:rFonts w:ascii="Palatino Linotype" w:eastAsia="Palatino Linotype" w:hAnsi="Palatino Linotype" w:cs="Palatino Linotype"/>
          <w:b/>
          <w:color w:val="000000"/>
        </w:rPr>
        <w:t xml:space="preserve">treinta y uno de mayo, tres, doce y dieciocho de junio, así como  el dieciocho de julio y doce de agosto de dos mil veinticuatro, </w:t>
      </w:r>
      <w:r>
        <w:rPr>
          <w:rFonts w:ascii="Palatino Linotype" w:eastAsia="Palatino Linotype" w:hAnsi="Palatino Linotype" w:cs="Palatino Linotype"/>
          <w:color w:val="000000"/>
        </w:rPr>
        <w:t xml:space="preserve">se presentó ante el </w:t>
      </w:r>
      <w:r>
        <w:rPr>
          <w:rFonts w:ascii="Palatino Linotype" w:eastAsia="Palatino Linotype" w:hAnsi="Palatino Linotype" w:cs="Palatino Linotype"/>
          <w:b/>
          <w:color w:val="000000"/>
        </w:rPr>
        <w:t>SUJETO OBLIGADO</w:t>
      </w:r>
      <w:r>
        <w:rPr>
          <w:rFonts w:ascii="Palatino Linotype" w:eastAsia="Palatino Linotype" w:hAnsi="Palatino Linotype" w:cs="Palatino Linotype"/>
          <w:color w:val="000000"/>
        </w:rPr>
        <w:t xml:space="preserve"> vía </w:t>
      </w:r>
      <w:r>
        <w:rPr>
          <w:rFonts w:ascii="Palatino Linotype" w:eastAsia="Palatino Linotype" w:hAnsi="Palatino Linotype" w:cs="Palatino Linotype"/>
          <w:b/>
          <w:color w:val="000000"/>
        </w:rPr>
        <w:t>SAIMEX</w:t>
      </w:r>
      <w:r>
        <w:rPr>
          <w:rFonts w:ascii="Palatino Linotype" w:eastAsia="Palatino Linotype" w:hAnsi="Palatino Linotype" w:cs="Palatino Linotype"/>
          <w:color w:val="000000"/>
        </w:rPr>
        <w:t>, las solicitudes de información pública registradas con los números</w:t>
      </w:r>
      <w:r>
        <w:rPr>
          <w:rFonts w:ascii="Palatino Linotype" w:eastAsia="Palatino Linotype" w:hAnsi="Palatino Linotype" w:cs="Palatino Linotype"/>
          <w:b/>
          <w:color w:val="000000"/>
        </w:rPr>
        <w:t xml:space="preserve"> 01315/TOLUCA/IP/2024, 01300/TOLUCA/IP/2024, 01401/TOLUCA/IP/2024, 01402/TOLUCA/IP/2024, 01468/TOLUCA/IP/2024, 01469/TOLUCA/IP/2024, 01730/TOLUCA/IP/2024, 01731/TOLUCA/IP/2024, </w:t>
      </w:r>
      <w:r>
        <w:rPr>
          <w:rFonts w:ascii="Palatino Linotype" w:eastAsia="Palatino Linotype" w:hAnsi="Palatino Linotype" w:cs="Palatino Linotype"/>
          <w:b/>
          <w:color w:val="000000"/>
        </w:rPr>
        <w:lastRenderedPageBreak/>
        <w:t xml:space="preserve">01844/TOLUCA/IP/2024 y 01845/TOLUCA/IP/2024, </w:t>
      </w:r>
      <w:r>
        <w:rPr>
          <w:rFonts w:ascii="Palatino Linotype" w:eastAsia="Palatino Linotype" w:hAnsi="Palatino Linotype" w:cs="Palatino Linotype"/>
          <w:color w:val="000000"/>
        </w:rPr>
        <w:t>mediante las cuales se solicitó la siguiente información:</w:t>
      </w:r>
    </w:p>
    <w:tbl>
      <w:tblPr>
        <w:tblStyle w:val="a"/>
        <w:tblW w:w="882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0"/>
        <w:gridCol w:w="5998"/>
      </w:tblGrid>
      <w:tr w:rsidR="009D1464">
        <w:tc>
          <w:tcPr>
            <w:tcW w:w="2830"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 xml:space="preserve">Número de Solicitud </w:t>
            </w:r>
          </w:p>
        </w:tc>
        <w:tc>
          <w:tcPr>
            <w:tcW w:w="5998"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 xml:space="preserve">Información solicitada </w:t>
            </w:r>
          </w:p>
        </w:tc>
      </w:tr>
      <w:tr w:rsidR="009D1464">
        <w:tc>
          <w:tcPr>
            <w:tcW w:w="2830"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01315/TOLUCA/IP/2024</w:t>
            </w:r>
          </w:p>
        </w:tc>
        <w:tc>
          <w:tcPr>
            <w:tcW w:w="5998"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 xml:space="preserve">“oficios recibidos en la unidad de transparencia en el ultimo mes de octubre” </w:t>
            </w:r>
          </w:p>
        </w:tc>
      </w:tr>
      <w:tr w:rsidR="009D1464">
        <w:tc>
          <w:tcPr>
            <w:tcW w:w="2830"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01300/TOLUCA/IP/2024</w:t>
            </w:r>
          </w:p>
        </w:tc>
        <w:tc>
          <w:tcPr>
            <w:tcW w:w="5998"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 xml:space="preserve">“- oficios recibidos en el mes de octubre - criterio de interpretación 3/19 del INAI” </w:t>
            </w:r>
          </w:p>
        </w:tc>
      </w:tr>
      <w:tr w:rsidR="009D1464">
        <w:tc>
          <w:tcPr>
            <w:tcW w:w="2830"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01401/TOLUCA/IP/2024</w:t>
            </w:r>
          </w:p>
        </w:tc>
        <w:tc>
          <w:tcPr>
            <w:tcW w:w="5998"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“oficios emitidos por la unidad de transparencia en el ultimo mes de agosto”</w:t>
            </w:r>
          </w:p>
        </w:tc>
      </w:tr>
      <w:tr w:rsidR="009D1464">
        <w:tc>
          <w:tcPr>
            <w:tcW w:w="2830"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01402/TOLUCA/IP/2024</w:t>
            </w:r>
          </w:p>
        </w:tc>
        <w:tc>
          <w:tcPr>
            <w:tcW w:w="5998"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“oficios recibidos por la unidad de transparencia en el ultimo mes de agosto”</w:t>
            </w:r>
          </w:p>
        </w:tc>
      </w:tr>
      <w:tr w:rsidR="009D1464">
        <w:tc>
          <w:tcPr>
            <w:tcW w:w="2830"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01468/TOLUCA/IP/2024</w:t>
            </w:r>
          </w:p>
        </w:tc>
        <w:tc>
          <w:tcPr>
            <w:tcW w:w="5998"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“oficios enviados por la unidad de transparencia en el ultimo septiembre”</w:t>
            </w:r>
          </w:p>
        </w:tc>
      </w:tr>
      <w:tr w:rsidR="009D1464">
        <w:tc>
          <w:tcPr>
            <w:tcW w:w="2830"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01469/TOLUCA/IP/2024</w:t>
            </w:r>
          </w:p>
        </w:tc>
        <w:tc>
          <w:tcPr>
            <w:tcW w:w="5998"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“oficios recibidos por la unidad de transparencia en el ultimo septiembre”</w:t>
            </w:r>
          </w:p>
        </w:tc>
      </w:tr>
      <w:tr w:rsidR="009D1464">
        <w:tc>
          <w:tcPr>
            <w:tcW w:w="2830"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01730/TOLUCA/IP/2024</w:t>
            </w:r>
          </w:p>
        </w:tc>
        <w:tc>
          <w:tcPr>
            <w:tcW w:w="5998"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“oficios enviados por la Unidad de Transparencia en el ultimo mes de agosto”</w:t>
            </w:r>
          </w:p>
        </w:tc>
      </w:tr>
      <w:tr w:rsidR="009D1464">
        <w:tc>
          <w:tcPr>
            <w:tcW w:w="2830"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01731/TOLUCA/IP/2024</w:t>
            </w:r>
          </w:p>
        </w:tc>
        <w:tc>
          <w:tcPr>
            <w:tcW w:w="5998"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“oficios recibidos por la Unidad de Transparencia en el ultimo mes de agosto”</w:t>
            </w:r>
          </w:p>
        </w:tc>
      </w:tr>
      <w:tr w:rsidR="009D1464">
        <w:tc>
          <w:tcPr>
            <w:tcW w:w="2830"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01844/TOLUCA/IP/2024</w:t>
            </w:r>
          </w:p>
        </w:tc>
        <w:tc>
          <w:tcPr>
            <w:tcW w:w="5998"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“oficios recibidos por la Unidad de Transparencia durante el mes de julio de 2023”</w:t>
            </w:r>
          </w:p>
        </w:tc>
      </w:tr>
      <w:tr w:rsidR="009D1464">
        <w:tc>
          <w:tcPr>
            <w:tcW w:w="2830"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01845/TOLUCA/IP/2024</w:t>
            </w:r>
          </w:p>
        </w:tc>
        <w:tc>
          <w:tcPr>
            <w:tcW w:w="5998"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“oficios enviados por la Unidad de Transparencia durante el mes de julio de 2023”</w:t>
            </w:r>
          </w:p>
        </w:tc>
      </w:tr>
    </w:tbl>
    <w:p w:rsidR="009D1464" w:rsidRDefault="009D1464">
      <w:pPr>
        <w:pBdr>
          <w:top w:val="nil"/>
          <w:left w:val="nil"/>
          <w:bottom w:val="nil"/>
          <w:right w:val="nil"/>
          <w:between w:val="nil"/>
        </w:pBdr>
        <w:spacing w:line="360" w:lineRule="auto"/>
        <w:jc w:val="both"/>
        <w:rPr>
          <w:rFonts w:ascii="Palatino Linotype" w:eastAsia="Palatino Linotype" w:hAnsi="Palatino Linotype" w:cs="Palatino Linotype"/>
          <w:i/>
          <w:color w:val="000000"/>
          <w:sz w:val="22"/>
          <w:szCs w:val="22"/>
        </w:rPr>
      </w:pPr>
    </w:p>
    <w:p w:rsidR="009D1464" w:rsidRDefault="00782C62">
      <w:pPr>
        <w:numPr>
          <w:ilvl w:val="0"/>
          <w:numId w:val="6"/>
        </w:numPr>
        <w:pBdr>
          <w:top w:val="nil"/>
          <w:left w:val="nil"/>
          <w:bottom w:val="nil"/>
          <w:right w:val="nil"/>
          <w:between w:val="nil"/>
        </w:pBdr>
        <w:spacing w:line="360" w:lineRule="auto"/>
        <w:ind w:left="709" w:right="474"/>
        <w:jc w:val="both"/>
        <w:rPr>
          <w:rFonts w:ascii="Palatino Linotype" w:eastAsia="Palatino Linotype" w:hAnsi="Palatino Linotype" w:cs="Palatino Linotype"/>
          <w:color w:val="000000"/>
        </w:rPr>
      </w:pPr>
      <w:r>
        <w:rPr>
          <w:rFonts w:ascii="Palatino Linotype" w:eastAsia="Palatino Linotype" w:hAnsi="Palatino Linotype" w:cs="Palatino Linotype"/>
          <w:b/>
          <w:color w:val="000000"/>
        </w:rPr>
        <w:t>Modalidad de entrega</w:t>
      </w:r>
      <w:r>
        <w:rPr>
          <w:rFonts w:ascii="Palatino Linotype" w:eastAsia="Palatino Linotype" w:hAnsi="Palatino Linotype" w:cs="Palatino Linotype"/>
          <w:color w:val="000000"/>
        </w:rPr>
        <w:t>: Vía SAIMEX.</w:t>
      </w:r>
    </w:p>
    <w:p w:rsidR="009D1464" w:rsidRDefault="009D1464">
      <w:pPr>
        <w:pBdr>
          <w:top w:val="nil"/>
          <w:left w:val="nil"/>
          <w:bottom w:val="nil"/>
          <w:right w:val="nil"/>
          <w:between w:val="nil"/>
        </w:pBdr>
        <w:spacing w:line="360" w:lineRule="auto"/>
        <w:jc w:val="both"/>
        <w:rPr>
          <w:rFonts w:ascii="Palatino Linotype" w:eastAsia="Palatino Linotype" w:hAnsi="Palatino Linotype" w:cs="Palatino Linotype"/>
          <w:i/>
          <w:color w:val="000000"/>
        </w:rPr>
      </w:pPr>
    </w:p>
    <w:p w:rsidR="009D1464" w:rsidRDefault="00782C62">
      <w:pPr>
        <w:numPr>
          <w:ilvl w:val="0"/>
          <w:numId w:val="7"/>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Seguidamente para el recurso de revisión </w:t>
      </w:r>
      <w:r>
        <w:rPr>
          <w:rFonts w:ascii="Palatino Linotype" w:eastAsia="Palatino Linotype" w:hAnsi="Palatino Linotype" w:cs="Palatino Linotype"/>
          <w:b/>
          <w:color w:val="000000"/>
        </w:rPr>
        <w:t xml:space="preserve">04393/INFOEM/IP/RR/2024 </w:t>
      </w:r>
      <w:r>
        <w:rPr>
          <w:rFonts w:ascii="Palatino Linotype" w:eastAsia="Palatino Linotype" w:hAnsi="Palatino Linotype" w:cs="Palatino Linotype"/>
          <w:color w:val="000000"/>
        </w:rPr>
        <w:t xml:space="preserve">el </w:t>
      </w:r>
      <w:r>
        <w:rPr>
          <w:rFonts w:ascii="Palatino Linotype" w:eastAsia="Palatino Linotype" w:hAnsi="Palatino Linotype" w:cs="Palatino Linotype"/>
          <w:b/>
          <w:color w:val="000000"/>
        </w:rPr>
        <w:t xml:space="preserve">SUJETO OBLIGADO </w:t>
      </w:r>
      <w:r>
        <w:rPr>
          <w:rFonts w:ascii="Palatino Linotype" w:eastAsia="Palatino Linotype" w:hAnsi="Palatino Linotype" w:cs="Palatino Linotype"/>
          <w:color w:val="000000"/>
        </w:rPr>
        <w:t xml:space="preserve">emitió el acuerdo de aclaración para que el </w:t>
      </w:r>
      <w:r>
        <w:rPr>
          <w:rFonts w:ascii="Palatino Linotype" w:eastAsia="Palatino Linotype" w:hAnsi="Palatino Linotype" w:cs="Palatino Linotype"/>
          <w:b/>
          <w:color w:val="000000"/>
        </w:rPr>
        <w:t xml:space="preserve">SOLICITANTE </w:t>
      </w:r>
      <w:r>
        <w:rPr>
          <w:rFonts w:ascii="Palatino Linotype" w:eastAsia="Palatino Linotype" w:hAnsi="Palatino Linotype" w:cs="Palatino Linotype"/>
          <w:color w:val="000000"/>
        </w:rPr>
        <w:t xml:space="preserve">especificara de que dependencia requiere la información. </w:t>
      </w:r>
    </w:p>
    <w:p w:rsidR="009D1464" w:rsidRDefault="009D1464">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rsidR="009D1464" w:rsidRDefault="00782C62">
      <w:pPr>
        <w:numPr>
          <w:ilvl w:val="0"/>
          <w:numId w:val="7"/>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lastRenderedPageBreak/>
        <w:t xml:space="preserve">En esa línea el </w:t>
      </w:r>
      <w:r>
        <w:rPr>
          <w:rFonts w:ascii="Palatino Linotype" w:eastAsia="Palatino Linotype" w:hAnsi="Palatino Linotype" w:cs="Palatino Linotype"/>
          <w:b/>
          <w:color w:val="000000"/>
        </w:rPr>
        <w:t xml:space="preserve">SOLICITANTE </w:t>
      </w:r>
      <w:r>
        <w:rPr>
          <w:rFonts w:ascii="Palatino Linotype" w:eastAsia="Palatino Linotype" w:hAnsi="Palatino Linotype" w:cs="Palatino Linotype"/>
          <w:color w:val="000000"/>
        </w:rPr>
        <w:t xml:space="preserve">atendió el acuerdo de aclaración y señalo que la información solicitada es la Unidad de Transparencia. </w:t>
      </w:r>
    </w:p>
    <w:p w:rsidR="009D1464" w:rsidRDefault="009D1464">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rsidR="009D1464" w:rsidRDefault="00782C62">
      <w:pPr>
        <w:numPr>
          <w:ilvl w:val="0"/>
          <w:numId w:val="7"/>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Seguidamente el </w:t>
      </w:r>
      <w:r>
        <w:rPr>
          <w:rFonts w:ascii="Palatino Linotype" w:eastAsia="Palatino Linotype" w:hAnsi="Palatino Linotype" w:cs="Palatino Linotype"/>
          <w:b/>
          <w:color w:val="000000"/>
        </w:rPr>
        <w:t xml:space="preserve">SUJETO OBLIGADO </w:t>
      </w:r>
      <w:r>
        <w:rPr>
          <w:rFonts w:ascii="Palatino Linotype" w:eastAsia="Palatino Linotype" w:hAnsi="Palatino Linotype" w:cs="Palatino Linotype"/>
          <w:color w:val="000000"/>
        </w:rPr>
        <w:t xml:space="preserve">el </w:t>
      </w:r>
      <w:r>
        <w:rPr>
          <w:rFonts w:ascii="Palatino Linotype" w:eastAsia="Palatino Linotype" w:hAnsi="Palatino Linotype" w:cs="Palatino Linotype"/>
          <w:b/>
          <w:color w:val="000000"/>
        </w:rPr>
        <w:t xml:space="preserve">veinticuatro de junio, dos y nueve de julio, dos de septiembre, veintiuno y treinta de agosto de dos mil veinticuatro, </w:t>
      </w:r>
      <w:r>
        <w:rPr>
          <w:rFonts w:ascii="Palatino Linotype" w:eastAsia="Palatino Linotype" w:hAnsi="Palatino Linotype" w:cs="Palatino Linotype"/>
          <w:color w:val="000000"/>
        </w:rPr>
        <w:t xml:space="preserve">emitió el acuerdo de prórroga para atender las solicitudes de información </w:t>
      </w:r>
      <w:r>
        <w:rPr>
          <w:rFonts w:ascii="Palatino Linotype" w:eastAsia="Palatino Linotype" w:hAnsi="Palatino Linotype" w:cs="Palatino Linotype"/>
          <w:b/>
          <w:color w:val="000000"/>
        </w:rPr>
        <w:t xml:space="preserve">01315/TOLUCA/IP/2024, 01300/TOLUCA/IP/2024, 01401/TOLUCA/IP/2024, 01402/TOLUCA/IP/2024, 01468/TOLUCA/IP/2024, 01469/TOLUCA/IP/2024, 01730/TOLUCA/IP/2024, 01731/TOLUCA/IP/2024, 01844/TOLUCA/IP/2024 y 01845/TOLUCA/IP/2024. </w:t>
      </w:r>
    </w:p>
    <w:p w:rsidR="009D1464" w:rsidRDefault="009D1464">
      <w:pPr>
        <w:pBdr>
          <w:top w:val="nil"/>
          <w:left w:val="nil"/>
          <w:bottom w:val="nil"/>
          <w:right w:val="nil"/>
          <w:between w:val="nil"/>
        </w:pBdr>
        <w:ind w:left="708"/>
        <w:rPr>
          <w:rFonts w:ascii="Palatino Linotype" w:eastAsia="Palatino Linotype" w:hAnsi="Palatino Linotype" w:cs="Palatino Linotype"/>
          <w:color w:val="000000"/>
        </w:rPr>
      </w:pPr>
    </w:p>
    <w:p w:rsidR="009D1464" w:rsidRDefault="00782C62">
      <w:pPr>
        <w:numPr>
          <w:ilvl w:val="0"/>
          <w:numId w:val="7"/>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Posteriormente, en fecha </w:t>
      </w:r>
      <w:r>
        <w:rPr>
          <w:rFonts w:ascii="Palatino Linotype" w:eastAsia="Palatino Linotype" w:hAnsi="Palatino Linotype" w:cs="Palatino Linotype"/>
          <w:b/>
          <w:color w:val="000000"/>
        </w:rPr>
        <w:t>tres, doce y dieciocho de julio, así como dos y once de septiembre de dos mil veinticuatro</w:t>
      </w:r>
      <w:r>
        <w:rPr>
          <w:rFonts w:ascii="Palatino Linotype" w:eastAsia="Palatino Linotype" w:hAnsi="Palatino Linotype" w:cs="Palatino Linotype"/>
          <w:color w:val="000000"/>
        </w:rPr>
        <w:t xml:space="preserve"> el </w:t>
      </w:r>
      <w:r>
        <w:rPr>
          <w:rFonts w:ascii="Palatino Linotype" w:eastAsia="Palatino Linotype" w:hAnsi="Palatino Linotype" w:cs="Palatino Linotype"/>
          <w:b/>
          <w:color w:val="000000"/>
        </w:rPr>
        <w:t xml:space="preserve">SUJETO OBLIGADO </w:t>
      </w:r>
      <w:r>
        <w:rPr>
          <w:rFonts w:ascii="Palatino Linotype" w:eastAsia="Palatino Linotype" w:hAnsi="Palatino Linotype" w:cs="Palatino Linotype"/>
          <w:color w:val="000000"/>
        </w:rPr>
        <w:t xml:space="preserve">dio respuesta a las solicitudes de información </w:t>
      </w:r>
      <w:r>
        <w:rPr>
          <w:rFonts w:ascii="Palatino Linotype" w:eastAsia="Palatino Linotype" w:hAnsi="Palatino Linotype" w:cs="Palatino Linotype"/>
          <w:b/>
          <w:color w:val="000000"/>
        </w:rPr>
        <w:t xml:space="preserve">01315/TOLUCA/IP/2024, 01300/TOLUCA/IP/2024, 01401/TOLUCA/IP/2024, 01402/TOLUCA/IP/2024, 01468/TOLUCA/IP/2024, 01469/TOLUCA/IP/2024, 01730/TOLUCA/IP/2024, 01731/TOLUCA/IP/2024, 01844/TOLUCA/IP/2024 y 01845/TOLUCA/IP/2024, </w:t>
      </w:r>
      <w:r>
        <w:rPr>
          <w:rFonts w:ascii="Palatino Linotype" w:eastAsia="Palatino Linotype" w:hAnsi="Palatino Linotype" w:cs="Palatino Linotype"/>
          <w:color w:val="000000"/>
        </w:rPr>
        <w:t xml:space="preserve">con los siguientes documentos cuyo contenido grosso modo es: </w:t>
      </w:r>
    </w:p>
    <w:p w:rsidR="009D1464" w:rsidRDefault="009D1464">
      <w:pPr>
        <w:pBdr>
          <w:top w:val="nil"/>
          <w:left w:val="nil"/>
          <w:bottom w:val="nil"/>
          <w:right w:val="nil"/>
          <w:between w:val="nil"/>
        </w:pBdr>
        <w:spacing w:line="360" w:lineRule="auto"/>
        <w:jc w:val="both"/>
        <w:rPr>
          <w:rFonts w:ascii="Palatino Linotype" w:eastAsia="Palatino Linotype" w:hAnsi="Palatino Linotype" w:cs="Palatino Linotype"/>
          <w:b/>
          <w:i/>
          <w:color w:val="000000"/>
          <w:sz w:val="22"/>
          <w:szCs w:val="22"/>
        </w:rPr>
      </w:pPr>
    </w:p>
    <w:tbl>
      <w:tblPr>
        <w:tblStyle w:val="a0"/>
        <w:tblW w:w="882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0"/>
        <w:gridCol w:w="5998"/>
      </w:tblGrid>
      <w:tr w:rsidR="009D1464">
        <w:tc>
          <w:tcPr>
            <w:tcW w:w="2830"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 xml:space="preserve">Número de Solicitud </w:t>
            </w:r>
          </w:p>
        </w:tc>
        <w:tc>
          <w:tcPr>
            <w:tcW w:w="5998" w:type="dxa"/>
          </w:tcPr>
          <w:p w:rsidR="009D1464" w:rsidRDefault="00782C62">
            <w:pPr>
              <w:pBdr>
                <w:top w:val="nil"/>
                <w:left w:val="nil"/>
                <w:bottom w:val="nil"/>
                <w:right w:val="nil"/>
                <w:between w:val="nil"/>
              </w:pBdr>
              <w:jc w:val="both"/>
              <w:rPr>
                <w:rFonts w:ascii="Palatino Linotype" w:eastAsia="Palatino Linotype" w:hAnsi="Palatino Linotype" w:cs="Palatino Linotype"/>
                <w:b/>
                <w:i/>
                <w:color w:val="000000"/>
                <w:sz w:val="22"/>
                <w:szCs w:val="22"/>
              </w:rPr>
            </w:pPr>
            <w:r>
              <w:rPr>
                <w:rFonts w:ascii="Palatino Linotype" w:eastAsia="Palatino Linotype" w:hAnsi="Palatino Linotype" w:cs="Palatino Linotype"/>
                <w:i/>
                <w:color w:val="000000"/>
                <w:sz w:val="22"/>
                <w:szCs w:val="22"/>
              </w:rPr>
              <w:t xml:space="preserve">Respuesta del </w:t>
            </w:r>
            <w:r>
              <w:rPr>
                <w:rFonts w:ascii="Palatino Linotype" w:eastAsia="Palatino Linotype" w:hAnsi="Palatino Linotype" w:cs="Palatino Linotype"/>
                <w:b/>
                <w:i/>
                <w:color w:val="000000"/>
                <w:sz w:val="22"/>
                <w:szCs w:val="22"/>
              </w:rPr>
              <w:t xml:space="preserve">SUJETO OBLIGADO </w:t>
            </w:r>
          </w:p>
        </w:tc>
      </w:tr>
      <w:tr w:rsidR="009D1464">
        <w:tc>
          <w:tcPr>
            <w:tcW w:w="2830"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01315/TOLUCA/IP/2024</w:t>
            </w:r>
          </w:p>
        </w:tc>
        <w:tc>
          <w:tcPr>
            <w:tcW w:w="5998"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 xml:space="preserve">1315.pdf: </w:t>
            </w:r>
            <w:r>
              <w:rPr>
                <w:rFonts w:ascii="Palatino Linotype" w:eastAsia="Palatino Linotype" w:hAnsi="Palatino Linotype" w:cs="Palatino Linotype"/>
                <w:i/>
                <w:color w:val="000000"/>
                <w:sz w:val="22"/>
                <w:szCs w:val="22"/>
              </w:rPr>
              <w:t xml:space="preserve">Oficio de la Titular de la Unidad de Transparencia, mediante el cual informa que el requerimiento se refiere al año inmediato anterior y que se localizaron los documentos que colman la pretensión pero que no se encuentran digitalizados por no existir un precepto legal para determinar la obligatoriedad, </w:t>
            </w:r>
            <w:r>
              <w:rPr>
                <w:rFonts w:ascii="Palatino Linotype" w:eastAsia="Palatino Linotype" w:hAnsi="Palatino Linotype" w:cs="Palatino Linotype"/>
                <w:i/>
                <w:color w:val="000000"/>
                <w:sz w:val="22"/>
                <w:szCs w:val="22"/>
              </w:rPr>
              <w:lastRenderedPageBreak/>
              <w:t xml:space="preserve">situación por la cual le hace del conocimiento que tendrá que pagar la digitalización de las 456 hojas. </w:t>
            </w:r>
          </w:p>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 xml:space="preserve">1315.pdf: </w:t>
            </w:r>
            <w:r>
              <w:rPr>
                <w:rFonts w:ascii="Palatino Linotype" w:eastAsia="Palatino Linotype" w:hAnsi="Palatino Linotype" w:cs="Palatino Linotype"/>
                <w:i/>
                <w:color w:val="000000"/>
                <w:sz w:val="22"/>
                <w:szCs w:val="22"/>
              </w:rPr>
              <w:t xml:space="preserve">orden de pago del dos de julio de dos mil veinticuatro, mediante cobran el escaneo y digitalización de los documentos por una cantidad de trescientos setenta y cuatro pesos con noventa y seis centavos. </w:t>
            </w:r>
          </w:p>
        </w:tc>
      </w:tr>
      <w:tr w:rsidR="009D1464">
        <w:tc>
          <w:tcPr>
            <w:tcW w:w="2830"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lastRenderedPageBreak/>
              <w:t>01300/TOLUCA/IP/2024</w:t>
            </w:r>
          </w:p>
        </w:tc>
        <w:tc>
          <w:tcPr>
            <w:tcW w:w="5998"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 xml:space="preserve">1300.pdf: </w:t>
            </w:r>
            <w:r>
              <w:rPr>
                <w:rFonts w:ascii="Palatino Linotype" w:eastAsia="Palatino Linotype" w:hAnsi="Palatino Linotype" w:cs="Palatino Linotype"/>
                <w:i/>
                <w:color w:val="000000"/>
                <w:sz w:val="22"/>
                <w:szCs w:val="22"/>
              </w:rPr>
              <w:t xml:space="preserve">orden de pago del doce de julio de dos mil veinticuatro, mediante la cual el </w:t>
            </w:r>
            <w:r>
              <w:rPr>
                <w:rFonts w:ascii="Palatino Linotype" w:eastAsia="Palatino Linotype" w:hAnsi="Palatino Linotype" w:cs="Palatino Linotype"/>
                <w:b/>
                <w:i/>
                <w:color w:val="000000"/>
                <w:sz w:val="22"/>
                <w:szCs w:val="22"/>
              </w:rPr>
              <w:t xml:space="preserve">SUJETO OBLIGADO </w:t>
            </w:r>
            <w:r>
              <w:rPr>
                <w:rFonts w:ascii="Palatino Linotype" w:eastAsia="Palatino Linotype" w:hAnsi="Palatino Linotype" w:cs="Palatino Linotype"/>
                <w:i/>
                <w:color w:val="000000"/>
                <w:sz w:val="22"/>
                <w:szCs w:val="22"/>
              </w:rPr>
              <w:t xml:space="preserve">cobra el escaneo y digitalización de documentos por la cantidad de trescientos setenta y cuatro pesos con noventa y seis centavos. </w:t>
            </w:r>
          </w:p>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 xml:space="preserve">1300.pdf: </w:t>
            </w:r>
            <w:r>
              <w:rPr>
                <w:rFonts w:ascii="Palatino Linotype" w:eastAsia="Palatino Linotype" w:hAnsi="Palatino Linotype" w:cs="Palatino Linotype"/>
                <w:i/>
                <w:color w:val="000000"/>
                <w:sz w:val="22"/>
                <w:szCs w:val="22"/>
              </w:rPr>
              <w:t>Oficio de la Titular de la Unidad de Transparencia, mediante el cual informa que el requerimiento se refiere al año inmediato anterior y que se localizaron los documentos que colman la pretensión pero que no se encuentran digitalizados por no existir un precepto legal para determinar la obligatoriedad, situación por la cual le hace del conocimiento que tendrá que pagar la digitalización de las 436 hojas.</w:t>
            </w:r>
          </w:p>
        </w:tc>
      </w:tr>
      <w:tr w:rsidR="009D1464">
        <w:tc>
          <w:tcPr>
            <w:tcW w:w="2830"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01401/TOLUCA/IP/2024</w:t>
            </w:r>
          </w:p>
        </w:tc>
        <w:tc>
          <w:tcPr>
            <w:tcW w:w="5998"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 xml:space="preserve">1401.pdf: </w:t>
            </w:r>
            <w:r>
              <w:rPr>
                <w:rFonts w:ascii="Palatino Linotype" w:eastAsia="Palatino Linotype" w:hAnsi="Palatino Linotype" w:cs="Palatino Linotype"/>
                <w:i/>
                <w:color w:val="000000"/>
                <w:sz w:val="22"/>
                <w:szCs w:val="22"/>
              </w:rPr>
              <w:t xml:space="preserve">orden de pago del doce de julio de dos mil veinticuatro por el cobro de escaneo y digitalización de documentos por la cantidad de ciento sesenta y seis pesos con ochenta y cuatro centavos. </w:t>
            </w:r>
          </w:p>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 xml:space="preserve">1401.pdf: </w:t>
            </w:r>
            <w:r>
              <w:rPr>
                <w:rFonts w:ascii="Palatino Linotype" w:eastAsia="Palatino Linotype" w:hAnsi="Palatino Linotype" w:cs="Palatino Linotype"/>
                <w:i/>
                <w:color w:val="000000"/>
                <w:sz w:val="22"/>
                <w:szCs w:val="22"/>
              </w:rPr>
              <w:t xml:space="preserve">Oficio de la Titular de la Unidad de Transparencia, mediante el cual informase localizaron los documentos que colman la pretensión pero que no se encuentran digitalizados por no existir un precepto legal para determinar la obligatoriedad, situación por la cual le hace del conocimiento que tendrá que pagar la digitalización de las 194 hojas. </w:t>
            </w:r>
          </w:p>
          <w:p w:rsidR="009D1464" w:rsidRDefault="009D1464">
            <w:pPr>
              <w:pBdr>
                <w:top w:val="nil"/>
                <w:left w:val="nil"/>
                <w:bottom w:val="nil"/>
                <w:right w:val="nil"/>
                <w:between w:val="nil"/>
              </w:pBdr>
              <w:jc w:val="both"/>
              <w:rPr>
                <w:rFonts w:ascii="Palatino Linotype" w:eastAsia="Palatino Linotype" w:hAnsi="Palatino Linotype" w:cs="Palatino Linotype"/>
                <w:i/>
                <w:color w:val="000000"/>
                <w:sz w:val="22"/>
                <w:szCs w:val="22"/>
              </w:rPr>
            </w:pPr>
          </w:p>
        </w:tc>
      </w:tr>
      <w:tr w:rsidR="009D1464">
        <w:tc>
          <w:tcPr>
            <w:tcW w:w="2830"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01402/TOLUCA/IP/2024</w:t>
            </w:r>
          </w:p>
        </w:tc>
        <w:tc>
          <w:tcPr>
            <w:tcW w:w="5998" w:type="dxa"/>
          </w:tcPr>
          <w:p w:rsidR="009D1464" w:rsidRDefault="00782C62">
            <w:pPr>
              <w:jc w:val="both"/>
              <w:rPr>
                <w:rFonts w:ascii="Palatino Linotype" w:eastAsia="Palatino Linotype" w:hAnsi="Palatino Linotype" w:cs="Palatino Linotype"/>
                <w:i/>
              </w:rPr>
            </w:pPr>
            <w:r>
              <w:rPr>
                <w:rFonts w:ascii="Palatino Linotype" w:eastAsia="Palatino Linotype" w:hAnsi="Palatino Linotype" w:cs="Palatino Linotype"/>
                <w:b/>
                <w:i/>
              </w:rPr>
              <w:t xml:space="preserve">1402.pdf: </w:t>
            </w:r>
            <w:r>
              <w:rPr>
                <w:rFonts w:ascii="Palatino Linotype" w:eastAsia="Palatino Linotype" w:hAnsi="Palatino Linotype" w:cs="Palatino Linotype"/>
                <w:i/>
              </w:rPr>
              <w:t xml:space="preserve">orden de pago del doce de julio de dos mil veinticuatro por medio del cual el </w:t>
            </w:r>
            <w:r>
              <w:rPr>
                <w:rFonts w:ascii="Palatino Linotype" w:eastAsia="Palatino Linotype" w:hAnsi="Palatino Linotype" w:cs="Palatino Linotype"/>
                <w:b/>
                <w:i/>
              </w:rPr>
              <w:t xml:space="preserve">SUJETO OBLIGADO </w:t>
            </w:r>
            <w:r>
              <w:rPr>
                <w:rFonts w:ascii="Palatino Linotype" w:eastAsia="Palatino Linotype" w:hAnsi="Palatino Linotype" w:cs="Palatino Linotype"/>
                <w:i/>
              </w:rPr>
              <w:t xml:space="preserve">cobra por el escaneo y digitalización de documentos por una cantidad de ciento cincuenta y nueve pesos con noventa y seis centavos. </w:t>
            </w:r>
          </w:p>
          <w:p w:rsidR="009D1464" w:rsidRDefault="00782C62">
            <w:pPr>
              <w:pBdr>
                <w:top w:val="nil"/>
                <w:left w:val="nil"/>
                <w:bottom w:val="nil"/>
                <w:right w:val="nil"/>
                <w:between w:val="nil"/>
              </w:pBdr>
              <w:jc w:val="both"/>
              <w:rPr>
                <w:rFonts w:ascii="Palatino Linotype" w:eastAsia="Palatino Linotype" w:hAnsi="Palatino Linotype" w:cs="Palatino Linotype"/>
                <w:b/>
                <w:i/>
                <w:color w:val="000000"/>
                <w:sz w:val="22"/>
                <w:szCs w:val="22"/>
              </w:rPr>
            </w:pPr>
            <w:r>
              <w:rPr>
                <w:rFonts w:ascii="Palatino Linotype" w:eastAsia="Palatino Linotype" w:hAnsi="Palatino Linotype" w:cs="Palatino Linotype"/>
                <w:b/>
                <w:i/>
                <w:color w:val="000000"/>
                <w:sz w:val="22"/>
                <w:szCs w:val="22"/>
              </w:rPr>
              <w:t xml:space="preserve">1402.pdf: </w:t>
            </w:r>
            <w:r>
              <w:rPr>
                <w:rFonts w:ascii="Palatino Linotype" w:eastAsia="Palatino Linotype" w:hAnsi="Palatino Linotype" w:cs="Palatino Linotype"/>
                <w:i/>
                <w:color w:val="000000"/>
                <w:sz w:val="22"/>
                <w:szCs w:val="22"/>
              </w:rPr>
              <w:t xml:space="preserve">Oficio de la Titular de la Unidad de Transparencia, mediante el cual informase localizaron los documentos que colman la pretensión pero que no se encuentran digitalizados por no existir un precepto legal para determinar la obligatoriedad, </w:t>
            </w:r>
            <w:r>
              <w:rPr>
                <w:rFonts w:ascii="Palatino Linotype" w:eastAsia="Palatino Linotype" w:hAnsi="Palatino Linotype" w:cs="Palatino Linotype"/>
                <w:i/>
                <w:color w:val="000000"/>
                <w:sz w:val="22"/>
                <w:szCs w:val="22"/>
              </w:rPr>
              <w:lastRenderedPageBreak/>
              <w:t>situación por la cual le hace del conocimiento que tendrá que pagar la digitalización de las 186 hojas.</w:t>
            </w:r>
          </w:p>
        </w:tc>
      </w:tr>
      <w:tr w:rsidR="009D1464">
        <w:tc>
          <w:tcPr>
            <w:tcW w:w="2830"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lastRenderedPageBreak/>
              <w:t>01468/TOLUCA/IP/2024</w:t>
            </w:r>
          </w:p>
        </w:tc>
        <w:tc>
          <w:tcPr>
            <w:tcW w:w="5998" w:type="dxa"/>
          </w:tcPr>
          <w:p w:rsidR="009D1464" w:rsidRDefault="00782C62">
            <w:pPr>
              <w:jc w:val="both"/>
              <w:rPr>
                <w:rFonts w:ascii="Palatino Linotype" w:eastAsia="Palatino Linotype" w:hAnsi="Palatino Linotype" w:cs="Palatino Linotype"/>
                <w:i/>
              </w:rPr>
            </w:pPr>
            <w:r>
              <w:rPr>
                <w:rFonts w:ascii="Palatino Linotype" w:eastAsia="Palatino Linotype" w:hAnsi="Palatino Linotype" w:cs="Palatino Linotype"/>
                <w:b/>
                <w:i/>
              </w:rPr>
              <w:t xml:space="preserve">1468.pdf: </w:t>
            </w:r>
            <w:r>
              <w:rPr>
                <w:rFonts w:ascii="Palatino Linotype" w:eastAsia="Palatino Linotype" w:hAnsi="Palatino Linotype" w:cs="Palatino Linotype"/>
                <w:i/>
              </w:rPr>
              <w:t xml:space="preserve">documento que no abre el contenido </w:t>
            </w:r>
          </w:p>
          <w:p w:rsidR="009D1464" w:rsidRDefault="009D1464">
            <w:pPr>
              <w:jc w:val="both"/>
              <w:rPr>
                <w:rFonts w:ascii="Palatino Linotype" w:eastAsia="Palatino Linotype" w:hAnsi="Palatino Linotype" w:cs="Palatino Linotype"/>
                <w:i/>
              </w:rPr>
            </w:pPr>
          </w:p>
          <w:p w:rsidR="009D1464" w:rsidRDefault="00782C62">
            <w:pPr>
              <w:jc w:val="center"/>
              <w:rPr>
                <w:rFonts w:ascii="Palatino Linotype" w:eastAsia="Palatino Linotype" w:hAnsi="Palatino Linotype" w:cs="Palatino Linotype"/>
                <w:i/>
              </w:rPr>
            </w:pPr>
            <w:r>
              <w:rPr>
                <w:rFonts w:ascii="Palatino Linotype" w:eastAsia="Palatino Linotype" w:hAnsi="Palatino Linotype" w:cs="Palatino Linotype"/>
                <w:i/>
                <w:noProof/>
              </w:rPr>
              <w:drawing>
                <wp:inline distT="0" distB="0" distL="0" distR="0">
                  <wp:extent cx="2278115" cy="694243"/>
                  <wp:effectExtent l="0" t="0" r="0" b="0"/>
                  <wp:docPr id="18"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8"/>
                          <a:srcRect/>
                          <a:stretch>
                            <a:fillRect/>
                          </a:stretch>
                        </pic:blipFill>
                        <pic:spPr>
                          <a:xfrm>
                            <a:off x="0" y="0"/>
                            <a:ext cx="2278115" cy="694243"/>
                          </a:xfrm>
                          <a:prstGeom prst="rect">
                            <a:avLst/>
                          </a:prstGeom>
                          <a:ln/>
                        </pic:spPr>
                      </pic:pic>
                    </a:graphicData>
                  </a:graphic>
                </wp:inline>
              </w:drawing>
            </w:r>
          </w:p>
          <w:p w:rsidR="009D1464" w:rsidRDefault="009D1464">
            <w:pPr>
              <w:jc w:val="center"/>
              <w:rPr>
                <w:rFonts w:ascii="Palatino Linotype" w:eastAsia="Palatino Linotype" w:hAnsi="Palatino Linotype" w:cs="Palatino Linotype"/>
                <w:i/>
              </w:rPr>
            </w:pPr>
          </w:p>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 xml:space="preserve">1468.pdf: </w:t>
            </w:r>
            <w:r>
              <w:rPr>
                <w:rFonts w:ascii="Palatino Linotype" w:eastAsia="Palatino Linotype" w:hAnsi="Palatino Linotype" w:cs="Palatino Linotype"/>
                <w:i/>
                <w:color w:val="000000"/>
                <w:sz w:val="22"/>
                <w:szCs w:val="22"/>
              </w:rPr>
              <w:t>Oficio de la Titular de la Unidad de Transparencia, mediante el cual informase localizaron los documentos que colman la pretensión pero que no se encuentran digitalizados por no existir un precepto legal para determinar la obligatoriedad, situación por la cual le hace del conocimiento que tendrá que pagar la digitalización de las 89 hojas.</w:t>
            </w:r>
          </w:p>
        </w:tc>
      </w:tr>
      <w:tr w:rsidR="009D1464">
        <w:tc>
          <w:tcPr>
            <w:tcW w:w="2830"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01469/TOLUCA/IP/2024</w:t>
            </w:r>
          </w:p>
        </w:tc>
        <w:tc>
          <w:tcPr>
            <w:tcW w:w="5998" w:type="dxa"/>
          </w:tcPr>
          <w:p w:rsidR="009D1464" w:rsidRDefault="00782C62">
            <w:pPr>
              <w:jc w:val="both"/>
              <w:rPr>
                <w:rFonts w:ascii="Palatino Linotype" w:eastAsia="Palatino Linotype" w:hAnsi="Palatino Linotype" w:cs="Palatino Linotype"/>
                <w:i/>
              </w:rPr>
            </w:pPr>
            <w:r>
              <w:rPr>
                <w:rFonts w:ascii="Palatino Linotype" w:eastAsia="Palatino Linotype" w:hAnsi="Palatino Linotype" w:cs="Palatino Linotype"/>
                <w:b/>
                <w:i/>
              </w:rPr>
              <w:t xml:space="preserve">1469 (1).pdf: </w:t>
            </w:r>
            <w:r>
              <w:rPr>
                <w:rFonts w:ascii="Palatino Linotype" w:eastAsia="Palatino Linotype" w:hAnsi="Palatino Linotype" w:cs="Palatino Linotype"/>
                <w:i/>
              </w:rPr>
              <w:t xml:space="preserve">orden de pago del dieciocho de julio de dos mil veinticuatro, mediante el cual el </w:t>
            </w:r>
            <w:r>
              <w:rPr>
                <w:rFonts w:ascii="Palatino Linotype" w:eastAsia="Palatino Linotype" w:hAnsi="Palatino Linotype" w:cs="Palatino Linotype"/>
                <w:b/>
                <w:i/>
              </w:rPr>
              <w:t xml:space="preserve">SUJETO OBLIGADO </w:t>
            </w:r>
            <w:r>
              <w:rPr>
                <w:rFonts w:ascii="Palatino Linotype" w:eastAsia="Palatino Linotype" w:hAnsi="Palatino Linotype" w:cs="Palatino Linotype"/>
                <w:i/>
              </w:rPr>
              <w:t xml:space="preserve">cobre por el escaneo y digitalización de documentos por la cantidad de noventa y tres pesos con setenta y cuatro centavos. </w:t>
            </w:r>
          </w:p>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 xml:space="preserve">1469 (2).pdf: </w:t>
            </w:r>
            <w:r>
              <w:rPr>
                <w:rFonts w:ascii="Palatino Linotype" w:eastAsia="Palatino Linotype" w:hAnsi="Palatino Linotype" w:cs="Palatino Linotype"/>
                <w:i/>
                <w:color w:val="000000"/>
                <w:sz w:val="22"/>
                <w:szCs w:val="22"/>
              </w:rPr>
              <w:t>Oficio de la Titular de la Unidad de Transparencia, mediante el cual informase localizaron los documentos que colman la pretensión pero que no se encuentran digitalizados por no existir un precepto legal para determinar la obligatoriedad, situación por la cual le hace del conocimiento que tendrá que pagar la digitalización de las 109 hojas.</w:t>
            </w:r>
          </w:p>
        </w:tc>
      </w:tr>
      <w:tr w:rsidR="009D1464">
        <w:tc>
          <w:tcPr>
            <w:tcW w:w="2830"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01730/TOLUCA/IP/2024</w:t>
            </w:r>
          </w:p>
        </w:tc>
        <w:tc>
          <w:tcPr>
            <w:tcW w:w="5998" w:type="dxa"/>
          </w:tcPr>
          <w:p w:rsidR="009D1464" w:rsidRDefault="00782C62">
            <w:pPr>
              <w:pBdr>
                <w:top w:val="nil"/>
                <w:left w:val="nil"/>
                <w:bottom w:val="nil"/>
                <w:right w:val="nil"/>
                <w:between w:val="nil"/>
              </w:pBdr>
              <w:jc w:val="both"/>
              <w:rPr>
                <w:rFonts w:ascii="Palatino Linotype" w:eastAsia="Palatino Linotype" w:hAnsi="Palatino Linotype" w:cs="Palatino Linotype"/>
                <w:b/>
                <w:i/>
                <w:color w:val="000000"/>
                <w:sz w:val="22"/>
                <w:szCs w:val="22"/>
              </w:rPr>
            </w:pPr>
            <w:r>
              <w:rPr>
                <w:rFonts w:ascii="Palatino Linotype" w:eastAsia="Palatino Linotype" w:hAnsi="Palatino Linotype" w:cs="Palatino Linotype"/>
                <w:b/>
                <w:i/>
                <w:color w:val="000000"/>
                <w:sz w:val="22"/>
                <w:szCs w:val="22"/>
              </w:rPr>
              <w:t xml:space="preserve">1730.pdf: </w:t>
            </w:r>
            <w:r>
              <w:rPr>
                <w:rFonts w:ascii="Palatino Linotype" w:eastAsia="Palatino Linotype" w:hAnsi="Palatino Linotype" w:cs="Palatino Linotype"/>
                <w:i/>
                <w:color w:val="000000"/>
                <w:sz w:val="22"/>
                <w:szCs w:val="22"/>
              </w:rPr>
              <w:t>Oficio de la Titular de la Unidad de Transparencia, mediante el cual informase localizaron los documentos que colman la pretensión pero que no se encuentran digitalizados por no existir un precepto legal para determinar la obligatoriedad, situación por la cual le hace del conocimiento que tendrá que pagar la digitalización de las 194 hojas.</w:t>
            </w:r>
          </w:p>
        </w:tc>
      </w:tr>
      <w:tr w:rsidR="009D1464">
        <w:tc>
          <w:tcPr>
            <w:tcW w:w="2830"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01731/TOLUCA/IP/2024</w:t>
            </w:r>
          </w:p>
        </w:tc>
        <w:tc>
          <w:tcPr>
            <w:tcW w:w="5998"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 xml:space="preserve">1731.pdf: </w:t>
            </w:r>
            <w:r>
              <w:rPr>
                <w:rFonts w:ascii="Palatino Linotype" w:eastAsia="Palatino Linotype" w:hAnsi="Palatino Linotype" w:cs="Palatino Linotype"/>
                <w:i/>
                <w:color w:val="000000"/>
                <w:sz w:val="22"/>
                <w:szCs w:val="22"/>
              </w:rPr>
              <w:t xml:space="preserve">Oficio de la Titular de la Unidad de Transparencia, mediante el cual informase localizaron los documentos que colman la pretensión pero que no se encuentran digitalizados por no existir un precepto legal para determinar la obligatoriedad, </w:t>
            </w:r>
            <w:r>
              <w:rPr>
                <w:rFonts w:ascii="Palatino Linotype" w:eastAsia="Palatino Linotype" w:hAnsi="Palatino Linotype" w:cs="Palatino Linotype"/>
                <w:i/>
                <w:color w:val="000000"/>
                <w:sz w:val="22"/>
                <w:szCs w:val="22"/>
              </w:rPr>
              <w:lastRenderedPageBreak/>
              <w:t>situación por la cual le hace del conocimiento que tendrá que pagar la digitalización de las 186 hojas.</w:t>
            </w:r>
          </w:p>
        </w:tc>
      </w:tr>
      <w:tr w:rsidR="009D1464">
        <w:tc>
          <w:tcPr>
            <w:tcW w:w="2830"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lastRenderedPageBreak/>
              <w:t>01844/TOLUCA/IP/2024</w:t>
            </w:r>
          </w:p>
        </w:tc>
        <w:tc>
          <w:tcPr>
            <w:tcW w:w="5998" w:type="dxa"/>
          </w:tcPr>
          <w:p w:rsidR="009D1464" w:rsidRDefault="00782C62">
            <w:pPr>
              <w:pBdr>
                <w:top w:val="nil"/>
                <w:left w:val="nil"/>
                <w:bottom w:val="nil"/>
                <w:right w:val="nil"/>
                <w:between w:val="nil"/>
              </w:pBdr>
              <w:jc w:val="both"/>
              <w:rPr>
                <w:rFonts w:ascii="Palatino Linotype" w:eastAsia="Palatino Linotype" w:hAnsi="Palatino Linotype" w:cs="Palatino Linotype"/>
                <w:b/>
                <w:i/>
                <w:color w:val="000000"/>
                <w:sz w:val="22"/>
                <w:szCs w:val="22"/>
              </w:rPr>
            </w:pPr>
            <w:r>
              <w:rPr>
                <w:rFonts w:ascii="Palatino Linotype" w:eastAsia="Palatino Linotype" w:hAnsi="Palatino Linotype" w:cs="Palatino Linotype"/>
                <w:b/>
                <w:i/>
                <w:color w:val="000000"/>
                <w:sz w:val="22"/>
                <w:szCs w:val="22"/>
              </w:rPr>
              <w:t xml:space="preserve">1844.pdf: </w:t>
            </w:r>
            <w:r>
              <w:rPr>
                <w:rFonts w:ascii="Palatino Linotype" w:eastAsia="Palatino Linotype" w:hAnsi="Palatino Linotype" w:cs="Palatino Linotype"/>
                <w:i/>
                <w:color w:val="000000"/>
                <w:sz w:val="22"/>
                <w:szCs w:val="22"/>
              </w:rPr>
              <w:t>Oficio de la Titular de la Unidad de Transparencia, mediante el cual informase localizaron los documentos que colman la pretensión pero que no se encuentran digitalizados por no existir un precepto legal para determinar la obligatoriedad, situación por la cual le hace del conocimiento que tendrá que pagar la digitalización de las 46 hojas.</w:t>
            </w:r>
          </w:p>
        </w:tc>
      </w:tr>
      <w:tr w:rsidR="009D1464">
        <w:tc>
          <w:tcPr>
            <w:tcW w:w="2830"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01845/TOLUCA/IP/2024</w:t>
            </w:r>
          </w:p>
        </w:tc>
        <w:tc>
          <w:tcPr>
            <w:tcW w:w="5998"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 xml:space="preserve">1845.pdf: </w:t>
            </w:r>
            <w:r>
              <w:rPr>
                <w:rFonts w:ascii="Palatino Linotype" w:eastAsia="Palatino Linotype" w:hAnsi="Palatino Linotype" w:cs="Palatino Linotype"/>
                <w:i/>
                <w:color w:val="000000"/>
                <w:sz w:val="22"/>
                <w:szCs w:val="22"/>
              </w:rPr>
              <w:t>Oficio de la Titular de la Unidad de Transparencia, mediante el cual informase localizaron los documentos que colman la pretensión pero que no se encuentran digitalizados por no existir un precepto legal para determinar la obligatoriedad, situación por la cual le hace del conocimiento que tendrá que pagar la digitalización de las 21 hojas.</w:t>
            </w:r>
          </w:p>
        </w:tc>
      </w:tr>
    </w:tbl>
    <w:p w:rsidR="009D1464" w:rsidRDefault="009D1464">
      <w:pPr>
        <w:pBdr>
          <w:top w:val="nil"/>
          <w:left w:val="nil"/>
          <w:bottom w:val="nil"/>
          <w:right w:val="nil"/>
          <w:between w:val="nil"/>
        </w:pBdr>
        <w:ind w:left="1134" w:right="900"/>
        <w:jc w:val="both"/>
        <w:rPr>
          <w:rFonts w:ascii="Palatino Linotype" w:eastAsia="Palatino Linotype" w:hAnsi="Palatino Linotype" w:cs="Palatino Linotype"/>
          <w:color w:val="000000"/>
        </w:rPr>
      </w:pPr>
    </w:p>
    <w:p w:rsidR="009D1464" w:rsidRDefault="009D1464">
      <w:pPr>
        <w:pBdr>
          <w:top w:val="nil"/>
          <w:left w:val="nil"/>
          <w:bottom w:val="nil"/>
          <w:right w:val="nil"/>
          <w:between w:val="nil"/>
        </w:pBdr>
        <w:ind w:left="1134" w:right="900"/>
        <w:jc w:val="both"/>
        <w:rPr>
          <w:rFonts w:ascii="Palatino Linotype" w:eastAsia="Palatino Linotype" w:hAnsi="Palatino Linotype" w:cs="Palatino Linotype"/>
          <w:color w:val="000000"/>
        </w:rPr>
      </w:pPr>
    </w:p>
    <w:p w:rsidR="009D1464" w:rsidRDefault="00782C62">
      <w:pPr>
        <w:numPr>
          <w:ilvl w:val="0"/>
          <w:numId w:val="7"/>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El </w:t>
      </w:r>
      <w:r>
        <w:rPr>
          <w:rFonts w:ascii="Palatino Linotype" w:eastAsia="Palatino Linotype" w:hAnsi="Palatino Linotype" w:cs="Palatino Linotype"/>
          <w:b/>
          <w:color w:val="000000"/>
        </w:rPr>
        <w:t>once de julio, diecisiete y dieciocho de julio, el nueve de agosto, cuatro de septiembre y diecinueve de septiembre de dos mil veinticuatro</w:t>
      </w:r>
      <w:r>
        <w:rPr>
          <w:rFonts w:ascii="Palatino Linotype" w:eastAsia="Palatino Linotype" w:hAnsi="Palatino Linotype" w:cs="Palatino Linotype"/>
          <w:color w:val="000000"/>
        </w:rPr>
        <w:t xml:space="preserve">, el solicitante interpuso recurso de revisión en las solicitudes de información </w:t>
      </w:r>
      <w:r>
        <w:rPr>
          <w:rFonts w:ascii="Palatino Linotype" w:eastAsia="Palatino Linotype" w:hAnsi="Palatino Linotype" w:cs="Palatino Linotype"/>
          <w:b/>
          <w:color w:val="000000"/>
        </w:rPr>
        <w:t xml:space="preserve">01315/TOLUCA/IP/2024, 01300/TOLUCA/IP/2024, 01401/TOLUCA/IP/2024, 01402/TOLUCA/IP/2024, 01468/TOLUCA/IP/2024, 01469/TOLUCA/IP/2024, 01730/TOLUCA/IP/2024, 01731/TOLUCA/IP/2024, 01844/TOLUCA/IP/2024 y 01845/TOLUCA/IP/2024, </w:t>
      </w:r>
      <w:r>
        <w:rPr>
          <w:rFonts w:ascii="Palatino Linotype" w:eastAsia="Palatino Linotype" w:hAnsi="Palatino Linotype" w:cs="Palatino Linotype"/>
          <w:color w:val="000000"/>
        </w:rPr>
        <w:t xml:space="preserve">en contra de las respuestas emitidas a las por el </w:t>
      </w:r>
      <w:r>
        <w:rPr>
          <w:rFonts w:ascii="Palatino Linotype" w:eastAsia="Palatino Linotype" w:hAnsi="Palatino Linotype" w:cs="Palatino Linotype"/>
          <w:b/>
          <w:color w:val="000000"/>
        </w:rPr>
        <w:t>SUJETO OBLIGADO</w:t>
      </w:r>
      <w:r>
        <w:rPr>
          <w:rFonts w:ascii="Palatino Linotype" w:eastAsia="Palatino Linotype" w:hAnsi="Palatino Linotype" w:cs="Palatino Linotype"/>
          <w:color w:val="000000"/>
        </w:rPr>
        <w:t>, señalando las siguientes razones o motivos de inconformidad:</w:t>
      </w:r>
    </w:p>
    <w:tbl>
      <w:tblPr>
        <w:tblStyle w:val="a1"/>
        <w:tblW w:w="882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38"/>
        <w:gridCol w:w="5890"/>
      </w:tblGrid>
      <w:tr w:rsidR="009D1464">
        <w:tc>
          <w:tcPr>
            <w:tcW w:w="2938"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 xml:space="preserve">Recurso de revisión  </w:t>
            </w:r>
          </w:p>
        </w:tc>
        <w:tc>
          <w:tcPr>
            <w:tcW w:w="5890" w:type="dxa"/>
          </w:tcPr>
          <w:p w:rsidR="009D1464" w:rsidRDefault="00782C62">
            <w:pPr>
              <w:pBdr>
                <w:top w:val="nil"/>
                <w:left w:val="nil"/>
                <w:bottom w:val="nil"/>
                <w:right w:val="nil"/>
                <w:between w:val="nil"/>
              </w:pBdr>
              <w:jc w:val="both"/>
              <w:rPr>
                <w:rFonts w:ascii="Palatino Linotype" w:eastAsia="Palatino Linotype" w:hAnsi="Palatino Linotype" w:cs="Palatino Linotype"/>
                <w:b/>
                <w:i/>
                <w:color w:val="000000"/>
                <w:sz w:val="22"/>
                <w:szCs w:val="22"/>
              </w:rPr>
            </w:pPr>
            <w:r>
              <w:rPr>
                <w:rFonts w:ascii="Palatino Linotype" w:eastAsia="Palatino Linotype" w:hAnsi="Palatino Linotype" w:cs="Palatino Linotype"/>
                <w:i/>
                <w:color w:val="000000"/>
                <w:sz w:val="22"/>
                <w:szCs w:val="22"/>
              </w:rPr>
              <w:t xml:space="preserve">Interposición </w:t>
            </w:r>
          </w:p>
        </w:tc>
      </w:tr>
      <w:tr w:rsidR="009D1464">
        <w:tc>
          <w:tcPr>
            <w:tcW w:w="2938"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04393/INFOEM/IP/RR/2024</w:t>
            </w:r>
          </w:p>
        </w:tc>
        <w:tc>
          <w:tcPr>
            <w:tcW w:w="5890"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 xml:space="preserve"> </w:t>
            </w:r>
            <w:r>
              <w:rPr>
                <w:rFonts w:ascii="Palatino Linotype" w:eastAsia="Palatino Linotype" w:hAnsi="Palatino Linotype" w:cs="Palatino Linotype"/>
                <w:b/>
                <w:i/>
                <w:color w:val="000000"/>
                <w:sz w:val="22"/>
                <w:szCs w:val="22"/>
              </w:rPr>
              <w:t>Acto impugnado: “</w:t>
            </w:r>
            <w:r>
              <w:rPr>
                <w:rFonts w:ascii="Palatino Linotype" w:eastAsia="Palatino Linotype" w:hAnsi="Palatino Linotype" w:cs="Palatino Linotype"/>
                <w:i/>
                <w:color w:val="000000"/>
                <w:sz w:val="22"/>
                <w:szCs w:val="22"/>
              </w:rPr>
              <w:t>la prorroga y la falta de entrega de la información: el cobro”</w:t>
            </w:r>
          </w:p>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Razones o motivos de inconformidad:</w:t>
            </w:r>
            <w:r>
              <w:rPr>
                <w:rFonts w:ascii="Palatino Linotype" w:eastAsia="Palatino Linotype" w:hAnsi="Palatino Linotype" w:cs="Palatino Linotype"/>
                <w:i/>
                <w:color w:val="000000"/>
                <w:sz w:val="22"/>
                <w:szCs w:val="22"/>
              </w:rPr>
              <w:t xml:space="preserve"> “pide prorroga para decir que me va a cobrar por la documentación, cuando infoem claramente dice en sus resoluciones que no procede cobro por digitalización, no me hagan buscar la resolución que lo dice”</w:t>
            </w:r>
          </w:p>
        </w:tc>
      </w:tr>
      <w:tr w:rsidR="009D1464">
        <w:tc>
          <w:tcPr>
            <w:tcW w:w="2938"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04581/INFOEM/IP/RR/2024</w:t>
            </w:r>
          </w:p>
        </w:tc>
        <w:tc>
          <w:tcPr>
            <w:tcW w:w="5890" w:type="dxa"/>
          </w:tcPr>
          <w:p w:rsidR="009D1464" w:rsidRDefault="00782C62">
            <w:pPr>
              <w:pBdr>
                <w:top w:val="nil"/>
                <w:left w:val="nil"/>
                <w:bottom w:val="nil"/>
                <w:right w:val="nil"/>
                <w:between w:val="nil"/>
              </w:pBdr>
              <w:jc w:val="both"/>
              <w:rPr>
                <w:rFonts w:ascii="Palatino Linotype" w:eastAsia="Palatino Linotype" w:hAnsi="Palatino Linotype" w:cs="Palatino Linotype"/>
                <w:b/>
                <w:i/>
                <w:color w:val="000000"/>
                <w:sz w:val="22"/>
                <w:szCs w:val="22"/>
              </w:rPr>
            </w:pPr>
            <w:r>
              <w:rPr>
                <w:rFonts w:ascii="Palatino Linotype" w:eastAsia="Palatino Linotype" w:hAnsi="Palatino Linotype" w:cs="Palatino Linotype"/>
                <w:b/>
                <w:i/>
                <w:color w:val="000000"/>
                <w:sz w:val="22"/>
                <w:szCs w:val="22"/>
              </w:rPr>
              <w:t xml:space="preserve">Acto impugnado: </w:t>
            </w:r>
            <w:r>
              <w:rPr>
                <w:rFonts w:ascii="Palatino Linotype" w:eastAsia="Palatino Linotype" w:hAnsi="Palatino Linotype" w:cs="Palatino Linotype"/>
                <w:i/>
                <w:color w:val="000000"/>
                <w:sz w:val="22"/>
                <w:szCs w:val="22"/>
              </w:rPr>
              <w:t>“la burda respuesta”</w:t>
            </w:r>
          </w:p>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lastRenderedPageBreak/>
              <w:t xml:space="preserve">Razones o motivos de inconformidad: </w:t>
            </w:r>
            <w:r>
              <w:rPr>
                <w:rFonts w:ascii="Palatino Linotype" w:eastAsia="Palatino Linotype" w:hAnsi="Palatino Linotype" w:cs="Palatino Linotype"/>
                <w:i/>
                <w:color w:val="000000"/>
                <w:sz w:val="22"/>
                <w:szCs w:val="22"/>
              </w:rPr>
              <w:t>“no me proporciona la información solicitada ademas de diversas irregularidades, no comprueba los esfuerzos tenicos, humanos y administrativos que el proporcionar la información, le conlleva, ademas de no ofrecerme otras opciones de entrega, insisto, ratifico mi solicitud inicial solicitando la información de acuerdo al principio de gratuidad y mediante el sistema ex profeso para ello: Saimex”</w:t>
            </w:r>
          </w:p>
        </w:tc>
      </w:tr>
      <w:tr w:rsidR="009D1464">
        <w:tc>
          <w:tcPr>
            <w:tcW w:w="2938"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lastRenderedPageBreak/>
              <w:t>04583/INFOEM/IP/RR/2024</w:t>
            </w:r>
          </w:p>
        </w:tc>
        <w:tc>
          <w:tcPr>
            <w:tcW w:w="5890" w:type="dxa"/>
          </w:tcPr>
          <w:p w:rsidR="009D1464" w:rsidRDefault="00782C62">
            <w:pPr>
              <w:pBdr>
                <w:top w:val="nil"/>
                <w:left w:val="nil"/>
                <w:bottom w:val="nil"/>
                <w:right w:val="nil"/>
                <w:between w:val="nil"/>
              </w:pBdr>
              <w:jc w:val="both"/>
              <w:rPr>
                <w:rFonts w:ascii="Palatino Linotype" w:eastAsia="Palatino Linotype" w:hAnsi="Palatino Linotype" w:cs="Palatino Linotype"/>
                <w:b/>
                <w:i/>
                <w:color w:val="000000"/>
                <w:sz w:val="22"/>
                <w:szCs w:val="22"/>
              </w:rPr>
            </w:pPr>
            <w:r>
              <w:rPr>
                <w:rFonts w:ascii="Palatino Linotype" w:eastAsia="Palatino Linotype" w:hAnsi="Palatino Linotype" w:cs="Palatino Linotype"/>
                <w:b/>
                <w:i/>
                <w:color w:val="000000"/>
                <w:sz w:val="22"/>
                <w:szCs w:val="22"/>
              </w:rPr>
              <w:t xml:space="preserve">Acto impugnado: </w:t>
            </w:r>
            <w:r>
              <w:rPr>
                <w:rFonts w:ascii="Palatino Linotype" w:eastAsia="Palatino Linotype" w:hAnsi="Palatino Linotype" w:cs="Palatino Linotype"/>
                <w:i/>
                <w:color w:val="000000"/>
                <w:sz w:val="22"/>
                <w:szCs w:val="22"/>
              </w:rPr>
              <w:t>“la insustancial respuesta”</w:t>
            </w:r>
            <w:r>
              <w:rPr>
                <w:rFonts w:ascii="Palatino Linotype" w:eastAsia="Palatino Linotype" w:hAnsi="Palatino Linotype" w:cs="Palatino Linotype"/>
                <w:b/>
                <w:i/>
                <w:color w:val="000000"/>
                <w:sz w:val="22"/>
                <w:szCs w:val="22"/>
              </w:rPr>
              <w:t xml:space="preserve"> </w:t>
            </w:r>
          </w:p>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 xml:space="preserve">Razones o motivos de inconformidad: </w:t>
            </w:r>
            <w:r>
              <w:rPr>
                <w:rFonts w:ascii="Palatino Linotype" w:eastAsia="Palatino Linotype" w:hAnsi="Palatino Linotype" w:cs="Palatino Linotype"/>
                <w:i/>
                <w:color w:val="000000"/>
                <w:sz w:val="22"/>
                <w:szCs w:val="22"/>
              </w:rPr>
              <w:t>“primero, la inútil prorroga (prorroga para no proporcionar nada),no me proporciona la información solicitada ademas de diversas irregularidades, no comprueba los esfuerzos tecnicos, humanos y administrativos que el proporcionar la información, le conlleva, ademas de no ofrecerme otras opciones de entrega, insisto, ratifico mi solicitud inicial solicitando la información de acuerdo al principio de gratuidad y mediante el sistema ex profeso para ello: Saimex”</w:t>
            </w:r>
          </w:p>
        </w:tc>
      </w:tr>
      <w:tr w:rsidR="009D1464">
        <w:tc>
          <w:tcPr>
            <w:tcW w:w="2938"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04585/INFOEM/IP/RR/2024</w:t>
            </w:r>
          </w:p>
        </w:tc>
        <w:tc>
          <w:tcPr>
            <w:tcW w:w="5890"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 xml:space="preserve">Acto impugnado: </w:t>
            </w:r>
            <w:r>
              <w:rPr>
                <w:rFonts w:ascii="Palatino Linotype" w:eastAsia="Palatino Linotype" w:hAnsi="Palatino Linotype" w:cs="Palatino Linotype"/>
                <w:i/>
                <w:color w:val="000000"/>
                <w:sz w:val="22"/>
                <w:szCs w:val="22"/>
              </w:rPr>
              <w:t>“la obsoleta respuesta”</w:t>
            </w:r>
          </w:p>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 xml:space="preserve">Razones o motivos de inconformidad: </w:t>
            </w:r>
            <w:r>
              <w:rPr>
                <w:rFonts w:ascii="Palatino Linotype" w:eastAsia="Palatino Linotype" w:hAnsi="Palatino Linotype" w:cs="Palatino Linotype"/>
                <w:i/>
                <w:color w:val="000000"/>
                <w:sz w:val="22"/>
                <w:szCs w:val="22"/>
              </w:rPr>
              <w:t>“primero, la inútil prorroga (prorroga para no proporcionar nada),no me proporciona la información solicitada además de diversas irregularidades, no comprueba los esfuerzos técnicos, humanos y administrativos que el proporcionar la información, le conlleva, además de no ofrecerme otras opciones de entrega, insisto, ratifico mi solicitud inicial solicitando la información de acuerdo al principio de gratuidad y mediante el sistema ex profeso para ello: Saimex”</w:t>
            </w:r>
          </w:p>
        </w:tc>
      </w:tr>
      <w:tr w:rsidR="009D1464">
        <w:tc>
          <w:tcPr>
            <w:tcW w:w="2938"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04592/INFOEM/IP/RR/2024</w:t>
            </w:r>
          </w:p>
        </w:tc>
        <w:tc>
          <w:tcPr>
            <w:tcW w:w="5890" w:type="dxa"/>
          </w:tcPr>
          <w:p w:rsidR="009D1464" w:rsidRDefault="00782C62">
            <w:pPr>
              <w:pBdr>
                <w:top w:val="nil"/>
                <w:left w:val="nil"/>
                <w:bottom w:val="nil"/>
                <w:right w:val="nil"/>
                <w:between w:val="nil"/>
              </w:pBdr>
              <w:jc w:val="both"/>
              <w:rPr>
                <w:rFonts w:ascii="Palatino Linotype" w:eastAsia="Palatino Linotype" w:hAnsi="Palatino Linotype" w:cs="Palatino Linotype"/>
                <w:b/>
                <w:i/>
                <w:color w:val="000000"/>
                <w:sz w:val="22"/>
                <w:szCs w:val="22"/>
              </w:rPr>
            </w:pPr>
            <w:r>
              <w:rPr>
                <w:rFonts w:ascii="Palatino Linotype" w:eastAsia="Palatino Linotype" w:hAnsi="Palatino Linotype" w:cs="Palatino Linotype"/>
                <w:b/>
                <w:i/>
                <w:color w:val="000000"/>
                <w:sz w:val="22"/>
                <w:szCs w:val="22"/>
              </w:rPr>
              <w:t xml:space="preserve">Acto impugnado: </w:t>
            </w:r>
            <w:r>
              <w:rPr>
                <w:rFonts w:ascii="Palatino Linotype" w:eastAsia="Palatino Linotype" w:hAnsi="Palatino Linotype" w:cs="Palatino Linotype"/>
                <w:i/>
                <w:color w:val="000000"/>
                <w:sz w:val="22"/>
                <w:szCs w:val="22"/>
              </w:rPr>
              <w:t>“la rustica respuesta”</w:t>
            </w:r>
          </w:p>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 xml:space="preserve">Razones o motivos de inconformidad: </w:t>
            </w:r>
            <w:r>
              <w:rPr>
                <w:rFonts w:ascii="Palatino Linotype" w:eastAsia="Palatino Linotype" w:hAnsi="Palatino Linotype" w:cs="Palatino Linotype"/>
                <w:i/>
                <w:color w:val="000000"/>
                <w:sz w:val="22"/>
                <w:szCs w:val="22"/>
              </w:rPr>
              <w:t>“primero, la inútil prorroga (prorroga para no proporcionar nada),no me proporciona la información solicitada ademas de diversas irregularidades, no comprueba los esfuerzos tecnicos, humanos y administrativos que el proporcionar la información, le conlleva, ademas de no ofrecerme otras opciones de entrega, insisto, ratifico mi solicitud inicial solicitando la información de acuerdo al principio de gratuidad y mediante el sistema ex profeso para ello: Saimex”</w:t>
            </w:r>
          </w:p>
        </w:tc>
      </w:tr>
      <w:tr w:rsidR="009D1464">
        <w:tc>
          <w:tcPr>
            <w:tcW w:w="2938"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04765/INFOEM/IP/RR/2024</w:t>
            </w:r>
          </w:p>
        </w:tc>
        <w:tc>
          <w:tcPr>
            <w:tcW w:w="5890" w:type="dxa"/>
          </w:tcPr>
          <w:p w:rsidR="009D1464" w:rsidRDefault="00782C62">
            <w:pPr>
              <w:pBdr>
                <w:top w:val="nil"/>
                <w:left w:val="nil"/>
                <w:bottom w:val="nil"/>
                <w:right w:val="nil"/>
                <w:between w:val="nil"/>
              </w:pBdr>
              <w:jc w:val="both"/>
              <w:rPr>
                <w:rFonts w:ascii="Palatino Linotype" w:eastAsia="Palatino Linotype" w:hAnsi="Palatino Linotype" w:cs="Palatino Linotype"/>
                <w:b/>
                <w:i/>
                <w:color w:val="000000"/>
                <w:sz w:val="22"/>
                <w:szCs w:val="22"/>
              </w:rPr>
            </w:pPr>
            <w:r>
              <w:rPr>
                <w:rFonts w:ascii="Palatino Linotype" w:eastAsia="Palatino Linotype" w:hAnsi="Palatino Linotype" w:cs="Palatino Linotype"/>
                <w:b/>
                <w:i/>
                <w:color w:val="000000"/>
                <w:sz w:val="22"/>
                <w:szCs w:val="22"/>
              </w:rPr>
              <w:t xml:space="preserve">Acto impugnado: </w:t>
            </w:r>
            <w:r>
              <w:rPr>
                <w:rFonts w:ascii="Palatino Linotype" w:eastAsia="Palatino Linotype" w:hAnsi="Palatino Linotype" w:cs="Palatino Linotype"/>
                <w:i/>
                <w:color w:val="000000"/>
                <w:sz w:val="22"/>
                <w:szCs w:val="22"/>
              </w:rPr>
              <w:t>“la zafia respuesta”</w:t>
            </w:r>
          </w:p>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lastRenderedPageBreak/>
              <w:t xml:space="preserve">Razones o motivos de inconformidad: </w:t>
            </w:r>
            <w:r>
              <w:rPr>
                <w:rFonts w:ascii="Palatino Linotype" w:eastAsia="Palatino Linotype" w:hAnsi="Palatino Linotype" w:cs="Palatino Linotype"/>
                <w:i/>
                <w:color w:val="000000"/>
                <w:sz w:val="22"/>
                <w:szCs w:val="22"/>
              </w:rPr>
              <w:t>“1 solicita prorroga para no proporcionar nada atentando el principio de celeridad y accesibilidad 2 como el comite de transparencia pudo aprobar una prorroga pa que al final no den nada? cero transaprencia 3 pretende un cobro atentando el principio de gratuidad+ 4 no señala otras formas de acceso a la información Requiero la información solicitada inicialmente via Saimex”</w:t>
            </w:r>
          </w:p>
        </w:tc>
      </w:tr>
      <w:tr w:rsidR="009D1464">
        <w:tc>
          <w:tcPr>
            <w:tcW w:w="2938"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lastRenderedPageBreak/>
              <w:t>05394/INFOEM/IP/RR/2024</w:t>
            </w:r>
          </w:p>
        </w:tc>
        <w:tc>
          <w:tcPr>
            <w:tcW w:w="5890" w:type="dxa"/>
          </w:tcPr>
          <w:p w:rsidR="009D1464" w:rsidRDefault="00782C62">
            <w:pPr>
              <w:pBdr>
                <w:top w:val="nil"/>
                <w:left w:val="nil"/>
                <w:bottom w:val="nil"/>
                <w:right w:val="nil"/>
                <w:between w:val="nil"/>
              </w:pBdr>
              <w:jc w:val="both"/>
              <w:rPr>
                <w:rFonts w:ascii="Palatino Linotype" w:eastAsia="Palatino Linotype" w:hAnsi="Palatino Linotype" w:cs="Palatino Linotype"/>
                <w:b/>
                <w:i/>
                <w:color w:val="000000"/>
                <w:sz w:val="22"/>
                <w:szCs w:val="22"/>
              </w:rPr>
            </w:pPr>
            <w:r>
              <w:rPr>
                <w:rFonts w:ascii="Palatino Linotype" w:eastAsia="Palatino Linotype" w:hAnsi="Palatino Linotype" w:cs="Palatino Linotype"/>
                <w:b/>
                <w:i/>
                <w:color w:val="000000"/>
                <w:sz w:val="22"/>
                <w:szCs w:val="22"/>
              </w:rPr>
              <w:t xml:space="preserve">Acto impugnado: </w:t>
            </w:r>
            <w:r>
              <w:rPr>
                <w:rFonts w:ascii="Palatino Linotype" w:eastAsia="Palatino Linotype" w:hAnsi="Palatino Linotype" w:cs="Palatino Linotype"/>
                <w:i/>
                <w:color w:val="000000"/>
                <w:sz w:val="22"/>
                <w:szCs w:val="22"/>
              </w:rPr>
              <w:t>“la arrabalera y fatua respuesta proporcionada por la unidad de transparencia”</w:t>
            </w:r>
          </w:p>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 xml:space="preserve">Razones o motivos de inconformidad: </w:t>
            </w:r>
            <w:r>
              <w:rPr>
                <w:rFonts w:ascii="Palatino Linotype" w:eastAsia="Palatino Linotype" w:hAnsi="Palatino Linotype" w:cs="Palatino Linotype"/>
                <w:i/>
                <w:color w:val="000000"/>
                <w:sz w:val="22"/>
                <w:szCs w:val="22"/>
              </w:rPr>
              <w:t>“1 la desatinada prorroga 2 la desconcertante respuesta, ya que primero pide prorroga y luego no entrega nada 3 el deleznable cobro, por algo que ya se tiene digitalizado, verificar su Ley de Archivos, y la misma ley de transparencia 4 requiero la informacion como la pedi: via saimex y de manera gratuita de conformidad con la ley”</w:t>
            </w:r>
          </w:p>
        </w:tc>
      </w:tr>
      <w:tr w:rsidR="009D1464">
        <w:tc>
          <w:tcPr>
            <w:tcW w:w="2938"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05395/INFOEM/IP/RR/2024</w:t>
            </w:r>
          </w:p>
        </w:tc>
        <w:tc>
          <w:tcPr>
            <w:tcW w:w="5890"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 xml:space="preserve">Acto impugnado: </w:t>
            </w:r>
            <w:r>
              <w:rPr>
                <w:rFonts w:ascii="Palatino Linotype" w:eastAsia="Palatino Linotype" w:hAnsi="Palatino Linotype" w:cs="Palatino Linotype"/>
                <w:i/>
                <w:color w:val="000000"/>
                <w:sz w:val="22"/>
                <w:szCs w:val="22"/>
              </w:rPr>
              <w:t>“la bisoña respuesta proporcionada por la titular de la unidad de transparencia”</w:t>
            </w:r>
          </w:p>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 xml:space="preserve">Razones o motivos de inconformidad: </w:t>
            </w:r>
            <w:r>
              <w:rPr>
                <w:rFonts w:ascii="Palatino Linotype" w:eastAsia="Palatino Linotype" w:hAnsi="Palatino Linotype" w:cs="Palatino Linotype"/>
                <w:i/>
                <w:color w:val="000000"/>
                <w:sz w:val="22"/>
                <w:szCs w:val="22"/>
              </w:rPr>
              <w:t>“1 la indigna prorroga que no tenia razon de ser 2 la ruin disque respuesta proporcionada, osea, tardaron 15 dias habiles mas prorroga para decir que no lo van a dar 3la vileza de pretender un cobro por algo que se debe tener digitalizado, solo reflejan su opaco actuar 4 requiero nuevamente la información solicitada inicilamente de manera gratuita y via saimex”</w:t>
            </w:r>
          </w:p>
        </w:tc>
      </w:tr>
      <w:tr w:rsidR="009D1464">
        <w:tc>
          <w:tcPr>
            <w:tcW w:w="2938"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05721/INFOEM/IP/RR/2024</w:t>
            </w:r>
          </w:p>
        </w:tc>
        <w:tc>
          <w:tcPr>
            <w:tcW w:w="5890"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 xml:space="preserve">Acto impugnado: </w:t>
            </w:r>
            <w:r>
              <w:rPr>
                <w:rFonts w:ascii="Palatino Linotype" w:eastAsia="Palatino Linotype" w:hAnsi="Palatino Linotype" w:cs="Palatino Linotype"/>
                <w:i/>
                <w:color w:val="000000"/>
                <w:sz w:val="22"/>
                <w:szCs w:val="22"/>
              </w:rPr>
              <w:t>“la malhadada respuesta”</w:t>
            </w:r>
          </w:p>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 xml:space="preserve">Razones o motivos de inconformidad: </w:t>
            </w:r>
            <w:r>
              <w:rPr>
                <w:rFonts w:ascii="Palatino Linotype" w:eastAsia="Palatino Linotype" w:hAnsi="Palatino Linotype" w:cs="Palatino Linotype"/>
                <w:i/>
                <w:color w:val="000000"/>
                <w:sz w:val="22"/>
                <w:szCs w:val="22"/>
              </w:rPr>
              <w:t>“la befa prorroga, seguida de la ludibria de intentar cobrar por 46 fojas, ademas de no darme mas opciones para la entrega de la información, reitero, requiero la informacion via SAIMEX. ES DE LEY QUE EN EL ACUSE DE LA SOLICITUD VIENE LA FORMA DE ENTREGA SELECCIONADA, SELECCIONE SAIMEX, Y LOS PRINCIPIOS DE TRANSPARENCIA ESTABLECEN QUE DEBEN SER DE FORMA GRATUITA”</w:t>
            </w:r>
          </w:p>
        </w:tc>
      </w:tr>
      <w:tr w:rsidR="009D1464">
        <w:tc>
          <w:tcPr>
            <w:tcW w:w="2938"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05722/INFOEM/IP/RR/2024</w:t>
            </w:r>
          </w:p>
        </w:tc>
        <w:tc>
          <w:tcPr>
            <w:tcW w:w="5890" w:type="dxa"/>
          </w:tcPr>
          <w:p w:rsidR="009D1464" w:rsidRDefault="00782C62">
            <w:pPr>
              <w:pBdr>
                <w:top w:val="nil"/>
                <w:left w:val="nil"/>
                <w:bottom w:val="nil"/>
                <w:right w:val="nil"/>
                <w:between w:val="nil"/>
              </w:pBdr>
              <w:jc w:val="both"/>
              <w:rPr>
                <w:rFonts w:ascii="Palatino Linotype" w:eastAsia="Palatino Linotype" w:hAnsi="Palatino Linotype" w:cs="Palatino Linotype"/>
                <w:b/>
                <w:i/>
                <w:color w:val="000000"/>
                <w:sz w:val="22"/>
                <w:szCs w:val="22"/>
              </w:rPr>
            </w:pPr>
            <w:r>
              <w:rPr>
                <w:rFonts w:ascii="Palatino Linotype" w:eastAsia="Palatino Linotype" w:hAnsi="Palatino Linotype" w:cs="Palatino Linotype"/>
                <w:b/>
                <w:i/>
                <w:color w:val="000000"/>
                <w:sz w:val="22"/>
                <w:szCs w:val="22"/>
              </w:rPr>
              <w:t xml:space="preserve">Acto impugnado: </w:t>
            </w:r>
            <w:r>
              <w:rPr>
                <w:rFonts w:ascii="Palatino Linotype" w:eastAsia="Palatino Linotype" w:hAnsi="Palatino Linotype" w:cs="Palatino Linotype"/>
                <w:i/>
                <w:color w:val="000000"/>
                <w:sz w:val="22"/>
                <w:szCs w:val="22"/>
              </w:rPr>
              <w:t>“la escarnecedora respuesta”</w:t>
            </w:r>
          </w:p>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 xml:space="preserve">Razones o motivos de inconformidad: </w:t>
            </w:r>
            <w:r>
              <w:rPr>
                <w:rFonts w:ascii="Palatino Linotype" w:eastAsia="Palatino Linotype" w:hAnsi="Palatino Linotype" w:cs="Palatino Linotype"/>
                <w:i/>
                <w:color w:val="000000"/>
                <w:sz w:val="22"/>
                <w:szCs w:val="22"/>
              </w:rPr>
              <w:t xml:space="preserve">“la ridícula prorroga para contar 21 fojas, la grotesca respuesta, pretender un cobro para digitalizar 21 fojas, atentando contra todos los principios de la transparencia y el acceso a la información, no queda duda que </w:t>
            </w:r>
            <w:r>
              <w:rPr>
                <w:rFonts w:ascii="Palatino Linotype" w:eastAsia="Palatino Linotype" w:hAnsi="Palatino Linotype" w:cs="Palatino Linotype"/>
                <w:i/>
                <w:color w:val="000000"/>
                <w:sz w:val="22"/>
                <w:szCs w:val="22"/>
              </w:rPr>
              <w:lastRenderedPageBreak/>
              <w:t>norma perez es solo una sombra de raymundo martinez, pretende el cobro de 21 fojas, total opacidad”</w:t>
            </w:r>
          </w:p>
        </w:tc>
      </w:tr>
    </w:tbl>
    <w:p w:rsidR="009D1464" w:rsidRDefault="009D1464">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rsidR="009D1464" w:rsidRDefault="009D1464">
      <w:pPr>
        <w:pBdr>
          <w:top w:val="nil"/>
          <w:left w:val="nil"/>
          <w:bottom w:val="nil"/>
          <w:right w:val="nil"/>
          <w:between w:val="nil"/>
        </w:pBdr>
        <w:jc w:val="both"/>
        <w:rPr>
          <w:rFonts w:ascii="Palatino Linotype" w:eastAsia="Palatino Linotype" w:hAnsi="Palatino Linotype" w:cs="Palatino Linotype"/>
          <w:color w:val="000000"/>
        </w:rPr>
      </w:pPr>
    </w:p>
    <w:p w:rsidR="009D1464" w:rsidRDefault="00782C62">
      <w:pPr>
        <w:numPr>
          <w:ilvl w:val="0"/>
          <w:numId w:val="7"/>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Consecutivamente</w:t>
      </w:r>
      <w:r>
        <w:rPr>
          <w:rFonts w:ascii="Palatino Linotype" w:eastAsia="Palatino Linotype" w:hAnsi="Palatino Linotype" w:cs="Palatino Linotype"/>
          <w:i/>
          <w:color w:val="000000"/>
        </w:rPr>
        <w:t xml:space="preserve">, </w:t>
      </w:r>
      <w:r>
        <w:rPr>
          <w:rFonts w:ascii="Palatino Linotype" w:eastAsia="Palatino Linotype" w:hAnsi="Palatino Linotype" w:cs="Palatino Linotype"/>
          <w:color w:val="000000"/>
        </w:rPr>
        <w:t>con fundamento en lo dispuesto por el artículo 185 fracción I de la Ley de Transparencia y Acceso a la Información Pública del Estado de México y Municipios, los recursos de referencia, fueron turnados</w:t>
      </w:r>
      <w:r>
        <w:rPr>
          <w:rFonts w:ascii="Palatino Linotype" w:eastAsia="Palatino Linotype" w:hAnsi="Palatino Linotype" w:cs="Palatino Linotype"/>
          <w:b/>
          <w:color w:val="000000"/>
        </w:rPr>
        <w:t xml:space="preserve"> al Comisionado Presidente José Martínez Vilchis;  al Comisionado Luis Gustavo Parra Noriega y a las Comisionadas María del Rosario Mejía Ayala; Sharon Cristina Morales Martínez; y Guadalupe Ramírez Peña</w:t>
      </w:r>
      <w:r>
        <w:rPr>
          <w:rFonts w:ascii="Palatino Linotype" w:eastAsia="Palatino Linotype" w:hAnsi="Palatino Linotype" w:cs="Palatino Linotype"/>
          <w:color w:val="000000"/>
        </w:rPr>
        <w:t>, respectivamente,</w:t>
      </w:r>
      <w:r>
        <w:rPr>
          <w:rFonts w:ascii="Palatino Linotype" w:eastAsia="Palatino Linotype" w:hAnsi="Palatino Linotype" w:cs="Palatino Linotype"/>
          <w:b/>
          <w:color w:val="000000"/>
        </w:rPr>
        <w:t xml:space="preserve"> </w:t>
      </w:r>
      <w:r>
        <w:rPr>
          <w:rFonts w:ascii="Palatino Linotype" w:eastAsia="Palatino Linotype" w:hAnsi="Palatino Linotype" w:cs="Palatino Linotype"/>
          <w:color w:val="000000"/>
        </w:rPr>
        <w:t>con el objeto de su análisis.</w:t>
      </w:r>
    </w:p>
    <w:p w:rsidR="009D1464" w:rsidRDefault="009D1464">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rsidR="009D1464" w:rsidRDefault="00782C62">
      <w:pPr>
        <w:numPr>
          <w:ilvl w:val="0"/>
          <w:numId w:val="7"/>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Los Comisionados Ponentes de origen con fundamento en lo dispuesto por el artículo 185 fracción II de la ley de la materia, a través de los </w:t>
      </w:r>
      <w:r>
        <w:rPr>
          <w:rFonts w:ascii="Palatino Linotype" w:eastAsia="Palatino Linotype" w:hAnsi="Palatino Linotype" w:cs="Palatino Linotype"/>
          <w:b/>
          <w:color w:val="000000"/>
        </w:rPr>
        <w:t xml:space="preserve">acuerdos de admisión </w:t>
      </w:r>
      <w:r>
        <w:rPr>
          <w:rFonts w:ascii="Palatino Linotype" w:eastAsia="Palatino Linotype" w:hAnsi="Palatino Linotype" w:cs="Palatino Linotype"/>
          <w:color w:val="000000"/>
        </w:rPr>
        <w:t xml:space="preserve">de fechas </w:t>
      </w:r>
      <w:r>
        <w:rPr>
          <w:rFonts w:ascii="Palatino Linotype" w:eastAsia="Palatino Linotype" w:hAnsi="Palatino Linotype" w:cs="Palatino Linotype"/>
          <w:b/>
          <w:color w:val="000000"/>
        </w:rPr>
        <w:t>dieciocho de julio, cinco, seis, catorce de agosto, nueve, diez,  veinte y veinticuatro de septiembre de dos mil veinticuatro</w:t>
      </w:r>
      <w:r>
        <w:rPr>
          <w:rFonts w:ascii="Palatino Linotype" w:eastAsia="Palatino Linotype" w:hAnsi="Palatino Linotype" w:cs="Palatino Linotype"/>
          <w:color w:val="000000"/>
        </w:rPr>
        <w:t xml:space="preserve">, pusieron a disposición de las partes el expediente electrónico vía SAIMEX a efecto de que en un plazo máximo de siete días manifestaran lo que a su derecho conviniera, ofrecieran pruebas y alegatos según corresponda al caso concreto, de esta forma para que el </w:t>
      </w:r>
      <w:r>
        <w:rPr>
          <w:rFonts w:ascii="Palatino Linotype" w:eastAsia="Palatino Linotype" w:hAnsi="Palatino Linotype" w:cs="Palatino Linotype"/>
          <w:b/>
          <w:color w:val="000000"/>
        </w:rPr>
        <w:t xml:space="preserve">SUJETO OBLIGADO </w:t>
      </w:r>
      <w:r>
        <w:rPr>
          <w:rFonts w:ascii="Palatino Linotype" w:eastAsia="Palatino Linotype" w:hAnsi="Palatino Linotype" w:cs="Palatino Linotype"/>
          <w:color w:val="000000"/>
        </w:rPr>
        <w:t>presentara el Informe Justificado procedente.</w:t>
      </w:r>
    </w:p>
    <w:p w:rsidR="009D1464" w:rsidRDefault="009D1464">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rsidR="009D1464" w:rsidRDefault="00782C62">
      <w:pPr>
        <w:numPr>
          <w:ilvl w:val="0"/>
          <w:numId w:val="7"/>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Posteriormente el Pleno de este Órgano Autónomo, en la</w:t>
      </w:r>
      <w:r>
        <w:rPr>
          <w:rFonts w:ascii="Palatino Linotype" w:eastAsia="Palatino Linotype" w:hAnsi="Palatino Linotype" w:cs="Palatino Linotype"/>
          <w:b/>
          <w:color w:val="000000"/>
        </w:rPr>
        <w:t xml:space="preserve"> Vigésima Octava Sesión Ordinaria </w:t>
      </w:r>
      <w:r>
        <w:rPr>
          <w:rFonts w:ascii="Palatino Linotype" w:eastAsia="Palatino Linotype" w:hAnsi="Palatino Linotype" w:cs="Palatino Linotype"/>
          <w:color w:val="000000"/>
        </w:rPr>
        <w:t>de fecha</w:t>
      </w:r>
      <w:r>
        <w:rPr>
          <w:rFonts w:ascii="Palatino Linotype" w:eastAsia="Palatino Linotype" w:hAnsi="Palatino Linotype" w:cs="Palatino Linotype"/>
          <w:b/>
          <w:color w:val="000000"/>
        </w:rPr>
        <w:t xml:space="preserve"> catorce de agosto de dos mil veinticuatro, así como en la Vigésima Novena Sesión Ordinaria del veintiuno de agosto de dos mil veinticuatro y en la Trigésima Tercera Sesión Ordinaria del diecinueve de </w:t>
      </w:r>
      <w:r>
        <w:rPr>
          <w:rFonts w:ascii="Palatino Linotype" w:eastAsia="Palatino Linotype" w:hAnsi="Palatino Linotype" w:cs="Palatino Linotype"/>
          <w:b/>
          <w:color w:val="000000"/>
        </w:rPr>
        <w:lastRenderedPageBreak/>
        <w:t>septiembre del dos mil veinticuatro y en la Trigésima Quinta Sesión Ordinaria, celebrada el tres de octubre de dos mil veinticuatro</w:t>
      </w:r>
      <w:r>
        <w:rPr>
          <w:rFonts w:ascii="Palatino Linotype" w:eastAsia="Palatino Linotype" w:hAnsi="Palatino Linotype" w:cs="Palatino Linotype"/>
          <w:color w:val="000000"/>
        </w:rPr>
        <w:t xml:space="preserve">; ordenó la acumulación de los recursos de revisión de mérito, a efecto de que la Ponencia de la </w:t>
      </w:r>
      <w:r>
        <w:rPr>
          <w:rFonts w:ascii="Palatino Linotype" w:eastAsia="Palatino Linotype" w:hAnsi="Palatino Linotype" w:cs="Palatino Linotype"/>
          <w:b/>
          <w:color w:val="000000"/>
        </w:rPr>
        <w:t xml:space="preserve">Comisionada María del Rosario Mejía Ayala </w:t>
      </w:r>
      <w:r>
        <w:rPr>
          <w:rFonts w:ascii="Palatino Linotype" w:eastAsia="Palatino Linotype" w:hAnsi="Palatino Linotype" w:cs="Palatino Linotype"/>
          <w:color w:val="000000"/>
        </w:rPr>
        <w:t>formulara y presentara el proyecto de resolución correspondiente, de conformidad con el numeral ONCE incisos b) y c) de los Lineamientos para la Recepción, Trámite y Resolución de las Solicitudes de Acceso a la Información Pública, así como de los Recursos de Revisión que deberán observar los Sujetos Obligados por la Ley de Transparencia Estatal</w:t>
      </w:r>
      <w:r>
        <w:rPr>
          <w:rFonts w:ascii="Palatino Linotype" w:eastAsia="Palatino Linotype" w:hAnsi="Palatino Linotype" w:cs="Palatino Linotype"/>
          <w:i/>
          <w:color w:val="000000"/>
          <w:vertAlign w:val="superscript"/>
        </w:rPr>
        <w:footnoteReference w:id="1"/>
      </w:r>
      <w:r>
        <w:rPr>
          <w:rFonts w:ascii="Palatino Linotype" w:eastAsia="Palatino Linotype" w:hAnsi="Palatino Linotype" w:cs="Palatino Linotype"/>
          <w:color w:val="000000"/>
        </w:rPr>
        <w:t>, que señala:</w:t>
      </w:r>
    </w:p>
    <w:p w:rsidR="009D1464" w:rsidRDefault="009D1464">
      <w:pPr>
        <w:pBdr>
          <w:top w:val="nil"/>
          <w:left w:val="nil"/>
          <w:bottom w:val="nil"/>
          <w:right w:val="nil"/>
          <w:between w:val="nil"/>
        </w:pBdr>
        <w:tabs>
          <w:tab w:val="left" w:pos="0"/>
        </w:tabs>
        <w:spacing w:line="360" w:lineRule="auto"/>
        <w:ind w:right="49"/>
        <w:jc w:val="both"/>
        <w:rPr>
          <w:rFonts w:ascii="Palatino Linotype" w:eastAsia="Palatino Linotype" w:hAnsi="Palatino Linotype" w:cs="Palatino Linotype"/>
          <w:color w:val="000000"/>
        </w:rPr>
      </w:pPr>
    </w:p>
    <w:p w:rsidR="009D1464" w:rsidRDefault="00782C62">
      <w:pPr>
        <w:pBdr>
          <w:top w:val="nil"/>
          <w:left w:val="nil"/>
          <w:bottom w:val="nil"/>
          <w:right w:val="nil"/>
          <w:between w:val="nil"/>
        </w:pBd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“ONCE.</w:t>
      </w:r>
      <w:r>
        <w:rPr>
          <w:rFonts w:ascii="Palatino Linotype" w:eastAsia="Palatino Linotype" w:hAnsi="Palatino Linotype" w:cs="Palatino Linotype"/>
          <w:i/>
          <w:color w:val="000000"/>
          <w:sz w:val="22"/>
          <w:szCs w:val="22"/>
        </w:rPr>
        <w:t xml:space="preserve"> El Instituto, para mejor resolver y evitar la emisión de resoluciones contradictorias,</w:t>
      </w:r>
      <w:r>
        <w:rPr>
          <w:rFonts w:ascii="Palatino Linotype" w:eastAsia="Palatino Linotype" w:hAnsi="Palatino Linotype" w:cs="Palatino Linotype"/>
          <w:i/>
          <w:color w:val="000000"/>
          <w:sz w:val="22"/>
          <w:szCs w:val="22"/>
        </w:rPr>
        <w:tab/>
        <w:t xml:space="preserve"> podrá acordar la acumulación de los expedientes de recursos de revisión, de oficio o a petición de parte cuando:</w:t>
      </w:r>
    </w:p>
    <w:p w:rsidR="009D1464" w:rsidRDefault="00782C62">
      <w:pPr>
        <w:pBdr>
          <w:top w:val="nil"/>
          <w:left w:val="nil"/>
          <w:bottom w:val="nil"/>
          <w:right w:val="nil"/>
          <w:between w:val="nil"/>
        </w:pBd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w:t>
      </w:r>
      <w:r>
        <w:rPr>
          <w:rFonts w:ascii="Palatino Linotype" w:eastAsia="Palatino Linotype" w:hAnsi="Palatino Linotype" w:cs="Palatino Linotype"/>
          <w:i/>
          <w:color w:val="000000"/>
          <w:sz w:val="22"/>
          <w:szCs w:val="22"/>
        </w:rPr>
        <w:tab/>
      </w:r>
    </w:p>
    <w:p w:rsidR="009D1464" w:rsidRDefault="00782C62">
      <w:pPr>
        <w:pBdr>
          <w:top w:val="nil"/>
          <w:left w:val="nil"/>
          <w:bottom w:val="nil"/>
          <w:right w:val="nil"/>
          <w:between w:val="nil"/>
        </w:pBd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b) Las partes o los actos impugnados sean iguales</w:t>
      </w:r>
    </w:p>
    <w:p w:rsidR="009D1464" w:rsidRDefault="00782C62">
      <w:pPr>
        <w:pBdr>
          <w:top w:val="nil"/>
          <w:left w:val="nil"/>
          <w:bottom w:val="nil"/>
          <w:right w:val="nil"/>
          <w:between w:val="nil"/>
        </w:pBd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c) Cuando se trate del mismo solicitante, el mismo SUJETO OBLIGADO, aunque se trate de solicitudes diversas;</w:t>
      </w:r>
    </w:p>
    <w:p w:rsidR="009D1464" w:rsidRDefault="00782C62">
      <w:pPr>
        <w:pBdr>
          <w:top w:val="nil"/>
          <w:left w:val="nil"/>
          <w:bottom w:val="nil"/>
          <w:right w:val="nil"/>
          <w:between w:val="nil"/>
        </w:pBd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w:t>
      </w:r>
    </w:p>
    <w:p w:rsidR="009D1464" w:rsidRDefault="00782C62">
      <w:pPr>
        <w:pBdr>
          <w:top w:val="nil"/>
          <w:left w:val="nil"/>
          <w:bottom w:val="nil"/>
          <w:right w:val="nil"/>
          <w:between w:val="nil"/>
        </w:pBdr>
        <w:ind w:left="1134" w:right="900"/>
        <w:jc w:val="both"/>
        <w:rPr>
          <w:rFonts w:ascii="Palatino Linotype" w:eastAsia="Palatino Linotype" w:hAnsi="Palatino Linotype" w:cs="Palatino Linotype"/>
          <w:color w:val="000000"/>
          <w:sz w:val="22"/>
          <w:szCs w:val="22"/>
        </w:rPr>
      </w:pPr>
      <w:r>
        <w:rPr>
          <w:rFonts w:ascii="Palatino Linotype" w:eastAsia="Palatino Linotype" w:hAnsi="Palatino Linotype" w:cs="Palatino Linotype"/>
          <w:color w:val="000000"/>
          <w:sz w:val="22"/>
          <w:szCs w:val="22"/>
        </w:rPr>
        <w:t>(Énfasis añadido)</w:t>
      </w:r>
    </w:p>
    <w:p w:rsidR="009D1464" w:rsidRDefault="009D1464">
      <w:pPr>
        <w:pBdr>
          <w:top w:val="nil"/>
          <w:left w:val="nil"/>
          <w:bottom w:val="nil"/>
          <w:right w:val="nil"/>
          <w:between w:val="nil"/>
        </w:pBdr>
        <w:ind w:left="1134" w:right="900"/>
        <w:jc w:val="both"/>
        <w:rPr>
          <w:rFonts w:ascii="Palatino Linotype" w:eastAsia="Palatino Linotype" w:hAnsi="Palatino Linotype" w:cs="Palatino Linotype"/>
          <w:color w:val="000000"/>
          <w:sz w:val="22"/>
          <w:szCs w:val="22"/>
        </w:rPr>
      </w:pPr>
    </w:p>
    <w:p w:rsidR="009D1464" w:rsidRDefault="00782C62">
      <w:pPr>
        <w:numPr>
          <w:ilvl w:val="0"/>
          <w:numId w:val="7"/>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Es así que,</w:t>
      </w:r>
      <w:r>
        <w:rPr>
          <w:rFonts w:ascii="Palatino Linotype" w:eastAsia="Palatino Linotype" w:hAnsi="Palatino Linotype" w:cs="Palatino Linotype"/>
          <w:i/>
          <w:color w:val="000000"/>
        </w:rPr>
        <w:t xml:space="preserve"> </w:t>
      </w:r>
      <w:r>
        <w:rPr>
          <w:rFonts w:ascii="Palatino Linotype" w:eastAsia="Palatino Linotype" w:hAnsi="Palatino Linotype" w:cs="Palatino Linotype"/>
          <w:color w:val="000000"/>
        </w:rPr>
        <w:t xml:space="preserve">resulta conveniente su trámite de forma unificada para mejor resolver y evitar la emisión de resoluciones contradictorias, por ello resultó procedente que este Órgano Garante realizara la acumulación respectiva, de conformidad con lo dispuesto en el artículo 18 del Código de Procedimientos Administrativos del Estado de México, de aplicación supletoria, en términos del </w:t>
      </w:r>
      <w:r>
        <w:rPr>
          <w:rFonts w:ascii="Palatino Linotype" w:eastAsia="Palatino Linotype" w:hAnsi="Palatino Linotype" w:cs="Palatino Linotype"/>
          <w:color w:val="000000"/>
        </w:rPr>
        <w:lastRenderedPageBreak/>
        <w:t>artículo 195 de la Ley de Transparencia y Acceso a la Información Pública del Estado de México y Municipios en vigor, que a la letra señalan:</w:t>
      </w:r>
    </w:p>
    <w:p w:rsidR="009D1464" w:rsidRDefault="009D1464">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rsidR="009D1464" w:rsidRDefault="00782C62">
      <w:pPr>
        <w:pBdr>
          <w:top w:val="nil"/>
          <w:left w:val="nil"/>
          <w:bottom w:val="nil"/>
          <w:right w:val="nil"/>
          <w:between w:val="nil"/>
        </w:pBdr>
        <w:ind w:left="1134" w:right="900"/>
        <w:jc w:val="both"/>
        <w:rPr>
          <w:rFonts w:ascii="Palatino Linotype" w:eastAsia="Palatino Linotype" w:hAnsi="Palatino Linotype" w:cs="Palatino Linotype"/>
          <w:b/>
          <w:i/>
          <w:color w:val="000000"/>
          <w:sz w:val="22"/>
          <w:szCs w:val="22"/>
        </w:rPr>
      </w:pPr>
      <w:r>
        <w:rPr>
          <w:rFonts w:ascii="Palatino Linotype" w:eastAsia="Palatino Linotype" w:hAnsi="Palatino Linotype" w:cs="Palatino Linotype"/>
          <w:b/>
          <w:i/>
          <w:color w:val="000000"/>
          <w:sz w:val="22"/>
          <w:szCs w:val="22"/>
        </w:rPr>
        <w:t>Código de Procedimientos Administrativos del Estado de México.</w:t>
      </w:r>
    </w:p>
    <w:p w:rsidR="009D1464" w:rsidRDefault="00782C62">
      <w:pPr>
        <w:pBdr>
          <w:top w:val="nil"/>
          <w:left w:val="nil"/>
          <w:bottom w:val="nil"/>
          <w:right w:val="nil"/>
          <w:between w:val="nil"/>
        </w:pBd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“Artículo 18.-</w:t>
      </w:r>
      <w:r>
        <w:rPr>
          <w:rFonts w:ascii="Palatino Linotype" w:eastAsia="Palatino Linotype" w:hAnsi="Palatino Linotype" w:cs="Palatino Linotype"/>
          <w:i/>
          <w:color w:val="000000"/>
          <w:sz w:val="22"/>
          <w:szCs w:val="22"/>
        </w:rPr>
        <w:t xml:space="preserve"> La autoridad administrativa o el Tribunal acordarán la acumulación de los expedientes del procedimiento y proceso administrativo que ante ellos se sigan, de oficio o a petición de parte, cuando las partes o los actos administrativos sean iguales, se trate de actos conexos o resulte conveniente el trámite unificado de los asuntos, para evitar la emisión de resoluciones contradictorias. La misma regla se aplicará, en lo conducente, para la separación de los expedientes.”</w:t>
      </w:r>
    </w:p>
    <w:p w:rsidR="009D1464" w:rsidRDefault="00782C62">
      <w:pPr>
        <w:pBdr>
          <w:top w:val="nil"/>
          <w:left w:val="nil"/>
          <w:bottom w:val="nil"/>
          <w:right w:val="nil"/>
          <w:between w:val="nil"/>
        </w:pBdr>
        <w:ind w:left="1134" w:right="900"/>
        <w:jc w:val="both"/>
        <w:rPr>
          <w:rFonts w:ascii="Palatino Linotype" w:eastAsia="Palatino Linotype" w:hAnsi="Palatino Linotype" w:cs="Palatino Linotype"/>
          <w:b/>
          <w:i/>
          <w:color w:val="000000"/>
          <w:sz w:val="22"/>
          <w:szCs w:val="22"/>
        </w:rPr>
      </w:pPr>
      <w:r>
        <w:rPr>
          <w:rFonts w:ascii="Palatino Linotype" w:eastAsia="Palatino Linotype" w:hAnsi="Palatino Linotype" w:cs="Palatino Linotype"/>
          <w:b/>
          <w:i/>
          <w:color w:val="000000"/>
          <w:sz w:val="22"/>
          <w:szCs w:val="22"/>
        </w:rPr>
        <w:t>Ley de Transparencia y Acceso a la Información Pública del Estado de México y Municipios</w:t>
      </w:r>
    </w:p>
    <w:p w:rsidR="009D1464" w:rsidRDefault="00782C62">
      <w:pPr>
        <w:pBdr>
          <w:top w:val="nil"/>
          <w:left w:val="nil"/>
          <w:bottom w:val="nil"/>
          <w:right w:val="nil"/>
          <w:between w:val="nil"/>
        </w:pBd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“Artículo 195.</w:t>
      </w:r>
      <w:r>
        <w:rPr>
          <w:rFonts w:ascii="Palatino Linotype" w:eastAsia="Palatino Linotype" w:hAnsi="Palatino Linotype" w:cs="Palatino Linotype"/>
          <w:i/>
          <w:color w:val="000000"/>
          <w:sz w:val="22"/>
          <w:szCs w:val="22"/>
        </w:rPr>
        <w:t xml:space="preserve"> En la tramitación del recurso de revisión se aplicarán supletoriamente las disposiciones contenidas en el Código de Procedimientos Administrativos del Estado de México.”</w:t>
      </w:r>
    </w:p>
    <w:p w:rsidR="009D1464" w:rsidRDefault="00782C62">
      <w:pPr>
        <w:pBdr>
          <w:top w:val="nil"/>
          <w:left w:val="nil"/>
          <w:bottom w:val="nil"/>
          <w:right w:val="nil"/>
          <w:between w:val="nil"/>
        </w:pBdr>
        <w:ind w:left="1134" w:right="900" w:firstLine="36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(Énfasis añadido)</w:t>
      </w:r>
    </w:p>
    <w:p w:rsidR="009D1464" w:rsidRDefault="009D1464">
      <w:pPr>
        <w:pBdr>
          <w:top w:val="nil"/>
          <w:left w:val="nil"/>
          <w:bottom w:val="nil"/>
          <w:right w:val="nil"/>
          <w:between w:val="nil"/>
        </w:pBdr>
        <w:ind w:left="360" w:firstLine="360"/>
        <w:rPr>
          <w:i/>
          <w:color w:val="000000"/>
        </w:rPr>
      </w:pPr>
    </w:p>
    <w:p w:rsidR="009D1464" w:rsidRDefault="00782C62">
      <w:pPr>
        <w:numPr>
          <w:ilvl w:val="0"/>
          <w:numId w:val="7"/>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De lo anterior el </w:t>
      </w:r>
      <w:r>
        <w:rPr>
          <w:rFonts w:ascii="Palatino Linotype" w:eastAsia="Palatino Linotype" w:hAnsi="Palatino Linotype" w:cs="Palatino Linotype"/>
          <w:b/>
          <w:color w:val="000000"/>
        </w:rPr>
        <w:t xml:space="preserve">SUJETO OBLIGADO </w:t>
      </w:r>
      <w:r>
        <w:rPr>
          <w:rFonts w:ascii="Palatino Linotype" w:eastAsia="Palatino Linotype" w:hAnsi="Palatino Linotype" w:cs="Palatino Linotype"/>
          <w:color w:val="000000"/>
        </w:rPr>
        <w:t xml:space="preserve">el </w:t>
      </w:r>
      <w:r>
        <w:rPr>
          <w:rFonts w:ascii="Palatino Linotype" w:eastAsia="Palatino Linotype" w:hAnsi="Palatino Linotype" w:cs="Palatino Linotype"/>
          <w:b/>
          <w:color w:val="000000"/>
        </w:rPr>
        <w:t xml:space="preserve">nueve, catorce y quince de agosto de dos mil veinticuatro </w:t>
      </w:r>
      <w:r>
        <w:rPr>
          <w:rFonts w:ascii="Palatino Linotype" w:eastAsia="Palatino Linotype" w:hAnsi="Palatino Linotype" w:cs="Palatino Linotype"/>
          <w:color w:val="000000"/>
        </w:rPr>
        <w:t xml:space="preserve">presento sus informes justificados de los siguientes recursos de revisión. </w:t>
      </w:r>
    </w:p>
    <w:tbl>
      <w:tblPr>
        <w:tblStyle w:val="a2"/>
        <w:tblW w:w="882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38"/>
        <w:gridCol w:w="5890"/>
      </w:tblGrid>
      <w:tr w:rsidR="009D1464">
        <w:tc>
          <w:tcPr>
            <w:tcW w:w="2938"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 xml:space="preserve">Recurso de revisión  </w:t>
            </w:r>
          </w:p>
        </w:tc>
        <w:tc>
          <w:tcPr>
            <w:tcW w:w="5890" w:type="dxa"/>
          </w:tcPr>
          <w:p w:rsidR="009D1464" w:rsidRDefault="00782C62">
            <w:pPr>
              <w:pBdr>
                <w:top w:val="nil"/>
                <w:left w:val="nil"/>
                <w:bottom w:val="nil"/>
                <w:right w:val="nil"/>
                <w:between w:val="nil"/>
              </w:pBdr>
              <w:jc w:val="both"/>
              <w:rPr>
                <w:rFonts w:ascii="Palatino Linotype" w:eastAsia="Palatino Linotype" w:hAnsi="Palatino Linotype" w:cs="Palatino Linotype"/>
                <w:b/>
                <w:i/>
                <w:color w:val="000000"/>
                <w:sz w:val="22"/>
                <w:szCs w:val="22"/>
              </w:rPr>
            </w:pPr>
            <w:r>
              <w:rPr>
                <w:rFonts w:ascii="Palatino Linotype" w:eastAsia="Palatino Linotype" w:hAnsi="Palatino Linotype" w:cs="Palatino Linotype"/>
                <w:i/>
                <w:color w:val="000000"/>
                <w:sz w:val="22"/>
                <w:szCs w:val="22"/>
              </w:rPr>
              <w:t>Manifestaciones</w:t>
            </w:r>
          </w:p>
        </w:tc>
      </w:tr>
      <w:tr w:rsidR="009D1464">
        <w:tc>
          <w:tcPr>
            <w:tcW w:w="2938"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04393/INFOEM/IP/RR/2024</w:t>
            </w:r>
          </w:p>
        </w:tc>
        <w:tc>
          <w:tcPr>
            <w:tcW w:w="5890"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 xml:space="preserve">4393.pdf: </w:t>
            </w:r>
            <w:r>
              <w:rPr>
                <w:rFonts w:ascii="Palatino Linotype" w:eastAsia="Palatino Linotype" w:hAnsi="Palatino Linotype" w:cs="Palatino Linotype"/>
                <w:i/>
                <w:color w:val="000000"/>
                <w:sz w:val="22"/>
                <w:szCs w:val="22"/>
              </w:rPr>
              <w:t xml:space="preserve">oficio mediante el cual la Titular de la Unidad de Transparencia ratifica su respuesta inicial. </w:t>
            </w:r>
          </w:p>
        </w:tc>
      </w:tr>
      <w:tr w:rsidR="009D1464">
        <w:tc>
          <w:tcPr>
            <w:tcW w:w="2938"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04581/INFOEM/IP/RR/2024</w:t>
            </w:r>
          </w:p>
        </w:tc>
        <w:tc>
          <w:tcPr>
            <w:tcW w:w="5890"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 xml:space="preserve">04581.pdf: </w:t>
            </w:r>
            <w:r>
              <w:rPr>
                <w:rFonts w:ascii="Palatino Linotype" w:eastAsia="Palatino Linotype" w:hAnsi="Palatino Linotype" w:cs="Palatino Linotype"/>
                <w:i/>
                <w:color w:val="000000"/>
                <w:sz w:val="22"/>
                <w:szCs w:val="22"/>
              </w:rPr>
              <w:t xml:space="preserve">oficio mediante el cual la Titular de la Unidad de Transparencia ratifica su respuesta inicial. </w:t>
            </w:r>
          </w:p>
        </w:tc>
      </w:tr>
      <w:tr w:rsidR="009D1464">
        <w:tc>
          <w:tcPr>
            <w:tcW w:w="2938"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04583/INFOEM/IP/RR/2024</w:t>
            </w:r>
          </w:p>
        </w:tc>
        <w:tc>
          <w:tcPr>
            <w:tcW w:w="5890"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 xml:space="preserve">04583 .pdf; </w:t>
            </w:r>
            <w:r>
              <w:rPr>
                <w:rFonts w:ascii="Palatino Linotype" w:eastAsia="Palatino Linotype" w:hAnsi="Palatino Linotype" w:cs="Palatino Linotype"/>
                <w:i/>
                <w:color w:val="000000"/>
                <w:sz w:val="22"/>
                <w:szCs w:val="22"/>
              </w:rPr>
              <w:t xml:space="preserve">oficio mediante el cual el Titular de la Unidad de Transparencia ratifica su respuesta inicial. </w:t>
            </w:r>
          </w:p>
        </w:tc>
      </w:tr>
      <w:tr w:rsidR="009D1464">
        <w:tc>
          <w:tcPr>
            <w:tcW w:w="2938"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04585/INFOEM/IP/RR/2024</w:t>
            </w:r>
          </w:p>
        </w:tc>
        <w:tc>
          <w:tcPr>
            <w:tcW w:w="5890"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 xml:space="preserve">04585.pdf: </w:t>
            </w:r>
            <w:r>
              <w:rPr>
                <w:rFonts w:ascii="Palatino Linotype" w:eastAsia="Palatino Linotype" w:hAnsi="Palatino Linotype" w:cs="Palatino Linotype"/>
                <w:i/>
                <w:color w:val="000000"/>
                <w:sz w:val="22"/>
                <w:szCs w:val="22"/>
              </w:rPr>
              <w:t xml:space="preserve">oficio mediante el cual el Titular de la Unidad de Transparencia ratifica su respuesta inicial. </w:t>
            </w:r>
          </w:p>
        </w:tc>
      </w:tr>
      <w:tr w:rsidR="009D1464">
        <w:tc>
          <w:tcPr>
            <w:tcW w:w="2938"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04592/INFOEM/IP/RR/2024</w:t>
            </w:r>
          </w:p>
        </w:tc>
        <w:tc>
          <w:tcPr>
            <w:tcW w:w="5890" w:type="dxa"/>
          </w:tcPr>
          <w:p w:rsidR="009D1464" w:rsidRDefault="00782C62">
            <w:pPr>
              <w:pBdr>
                <w:top w:val="nil"/>
                <w:left w:val="nil"/>
                <w:bottom w:val="nil"/>
                <w:right w:val="nil"/>
                <w:between w:val="nil"/>
              </w:pBdr>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 xml:space="preserve">04592.pdf: </w:t>
            </w:r>
            <w:r>
              <w:rPr>
                <w:rFonts w:ascii="Palatino Linotype" w:eastAsia="Palatino Linotype" w:hAnsi="Palatino Linotype" w:cs="Palatino Linotype"/>
                <w:i/>
                <w:color w:val="000000"/>
                <w:sz w:val="22"/>
                <w:szCs w:val="22"/>
              </w:rPr>
              <w:t xml:space="preserve">oficio mediante el cual la Titular de la Unidad de Transparencia ratifica su respuesta inicial. </w:t>
            </w:r>
          </w:p>
        </w:tc>
      </w:tr>
    </w:tbl>
    <w:p w:rsidR="009D1464" w:rsidRDefault="009D1464">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rsidR="009D1464" w:rsidRDefault="00782C62">
      <w:pPr>
        <w:numPr>
          <w:ilvl w:val="0"/>
          <w:numId w:val="7"/>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b/>
          <w:color w:val="000000"/>
        </w:rPr>
        <w:lastRenderedPageBreak/>
        <w:t xml:space="preserve"> </w:t>
      </w:r>
      <w:r>
        <w:rPr>
          <w:rFonts w:ascii="Palatino Linotype" w:eastAsia="Palatino Linotype" w:hAnsi="Palatino Linotype" w:cs="Palatino Linotype"/>
          <w:color w:val="000000"/>
        </w:rPr>
        <w:t xml:space="preserve">En esa  línea de los recursos se revisión </w:t>
      </w:r>
      <w:r>
        <w:rPr>
          <w:rFonts w:ascii="Palatino Linotype" w:eastAsia="Palatino Linotype" w:hAnsi="Palatino Linotype" w:cs="Palatino Linotype"/>
          <w:b/>
          <w:i/>
          <w:color w:val="000000"/>
          <w:sz w:val="22"/>
          <w:szCs w:val="22"/>
        </w:rPr>
        <w:t>04765/INFOEM/IP/RR/2024, 05394/INFOEM/IP/RR/2024, 05395/INFOEM/IP/RR/2024, 05721/INFOEM/IP/RR/2024 y 05722/INFOEM/IP/RR/2024</w:t>
      </w:r>
      <w:r>
        <w:rPr>
          <w:rFonts w:ascii="Palatino Linotype" w:eastAsia="Palatino Linotype" w:hAnsi="Palatino Linotype" w:cs="Palatino Linotype"/>
          <w:color w:val="000000"/>
        </w:rPr>
        <w:t xml:space="preserve"> el </w:t>
      </w:r>
      <w:r>
        <w:rPr>
          <w:rFonts w:ascii="Palatino Linotype" w:eastAsia="Palatino Linotype" w:hAnsi="Palatino Linotype" w:cs="Palatino Linotype"/>
          <w:b/>
          <w:color w:val="000000"/>
        </w:rPr>
        <w:t xml:space="preserve">SUJETO OBLIGADO </w:t>
      </w:r>
      <w:r>
        <w:rPr>
          <w:rFonts w:ascii="Palatino Linotype" w:eastAsia="Palatino Linotype" w:hAnsi="Palatino Linotype" w:cs="Palatino Linotype"/>
          <w:color w:val="000000"/>
        </w:rPr>
        <w:t xml:space="preserve">no rindió sus informes justificados </w:t>
      </w:r>
    </w:p>
    <w:p w:rsidR="009D1464" w:rsidRDefault="00782C62">
      <w:pPr>
        <w:numPr>
          <w:ilvl w:val="0"/>
          <w:numId w:val="7"/>
        </w:numPr>
        <w:pBdr>
          <w:top w:val="nil"/>
          <w:left w:val="nil"/>
          <w:bottom w:val="nil"/>
          <w:right w:val="nil"/>
          <w:between w:val="nil"/>
        </w:pBdr>
        <w:spacing w:line="360" w:lineRule="auto"/>
        <w:ind w:left="0" w:firstLine="0"/>
        <w:jc w:val="both"/>
        <w:rPr>
          <w:rFonts w:ascii="Palatino Linotype" w:eastAsia="Palatino Linotype" w:hAnsi="Palatino Linotype" w:cs="Palatino Linotype"/>
          <w:b/>
          <w:color w:val="000000"/>
        </w:rPr>
      </w:pPr>
      <w:r>
        <w:rPr>
          <w:rFonts w:ascii="Palatino Linotype" w:eastAsia="Palatino Linotype" w:hAnsi="Palatino Linotype" w:cs="Palatino Linotype"/>
          <w:color w:val="000000"/>
        </w:rPr>
        <w:t xml:space="preserve">Por su parte el </w:t>
      </w:r>
      <w:r>
        <w:rPr>
          <w:rFonts w:ascii="Palatino Linotype" w:eastAsia="Palatino Linotype" w:hAnsi="Palatino Linotype" w:cs="Palatino Linotype"/>
          <w:b/>
          <w:color w:val="000000"/>
        </w:rPr>
        <w:t xml:space="preserve">RECURRENTE </w:t>
      </w:r>
      <w:r>
        <w:rPr>
          <w:rFonts w:ascii="Palatino Linotype" w:eastAsia="Palatino Linotype" w:hAnsi="Palatino Linotype" w:cs="Palatino Linotype"/>
          <w:color w:val="000000"/>
        </w:rPr>
        <w:t xml:space="preserve">fue omiso en manifestar lo que a su derecho conviniera y asistiera. </w:t>
      </w:r>
    </w:p>
    <w:p w:rsidR="009D1464" w:rsidRDefault="009D1464">
      <w:pPr>
        <w:pBdr>
          <w:top w:val="nil"/>
          <w:left w:val="nil"/>
          <w:bottom w:val="nil"/>
          <w:right w:val="nil"/>
          <w:between w:val="nil"/>
        </w:pBdr>
        <w:spacing w:line="360" w:lineRule="auto"/>
        <w:jc w:val="both"/>
        <w:rPr>
          <w:rFonts w:ascii="Palatino Linotype" w:eastAsia="Palatino Linotype" w:hAnsi="Palatino Linotype" w:cs="Palatino Linotype"/>
          <w:b/>
          <w:color w:val="000000"/>
        </w:rPr>
      </w:pPr>
    </w:p>
    <w:p w:rsidR="009D1464" w:rsidRDefault="00782C62">
      <w:pPr>
        <w:numPr>
          <w:ilvl w:val="0"/>
          <w:numId w:val="7"/>
        </w:numPr>
        <w:pBdr>
          <w:top w:val="nil"/>
          <w:left w:val="nil"/>
          <w:bottom w:val="nil"/>
          <w:right w:val="nil"/>
          <w:between w:val="nil"/>
        </w:pBdr>
        <w:spacing w:line="360" w:lineRule="auto"/>
        <w:ind w:left="0" w:firstLine="0"/>
        <w:jc w:val="both"/>
        <w:rPr>
          <w:color w:val="000000"/>
        </w:rPr>
      </w:pPr>
      <w:r>
        <w:rPr>
          <w:rFonts w:ascii="Palatino Linotype" w:eastAsia="Palatino Linotype" w:hAnsi="Palatino Linotype" w:cs="Palatino Linotype"/>
          <w:color w:val="000000"/>
        </w:rPr>
        <w:t xml:space="preserve">El </w:t>
      </w:r>
      <w:r>
        <w:rPr>
          <w:rFonts w:ascii="Palatino Linotype" w:eastAsia="Palatino Linotype" w:hAnsi="Palatino Linotype" w:cs="Palatino Linotype"/>
          <w:b/>
          <w:color w:val="000000"/>
        </w:rPr>
        <w:t>quince de octubre de dos mil veinticuatro</w:t>
      </w:r>
      <w:r>
        <w:rPr>
          <w:rFonts w:ascii="Palatino Linotype" w:eastAsia="Palatino Linotype" w:hAnsi="Palatino Linotype" w:cs="Palatino Linotype"/>
          <w:color w:val="000000"/>
        </w:rPr>
        <w:t>, la Comisionada Ponente notificó el acuerdo de ampliación para emitir resolución.</w:t>
      </w:r>
    </w:p>
    <w:p w:rsidR="009D1464" w:rsidRDefault="009D1464">
      <w:pPr>
        <w:pBdr>
          <w:top w:val="nil"/>
          <w:left w:val="nil"/>
          <w:bottom w:val="nil"/>
          <w:right w:val="nil"/>
          <w:between w:val="nil"/>
        </w:pBdr>
        <w:spacing w:line="360" w:lineRule="auto"/>
        <w:jc w:val="both"/>
        <w:rPr>
          <w:rFonts w:ascii="Palatino Linotype" w:eastAsia="Palatino Linotype" w:hAnsi="Palatino Linotype" w:cs="Palatino Linotype"/>
          <w:color w:val="000000"/>
          <w:sz w:val="28"/>
          <w:szCs w:val="28"/>
        </w:rPr>
      </w:pPr>
    </w:p>
    <w:p w:rsidR="009D1464" w:rsidRDefault="00782C62">
      <w:pPr>
        <w:numPr>
          <w:ilvl w:val="0"/>
          <w:numId w:val="7"/>
        </w:numPr>
        <w:pBdr>
          <w:top w:val="nil"/>
          <w:left w:val="nil"/>
          <w:bottom w:val="nil"/>
          <w:right w:val="nil"/>
          <w:between w:val="nil"/>
        </w:pBdr>
        <w:spacing w:line="360" w:lineRule="auto"/>
        <w:ind w:left="0" w:firstLine="0"/>
        <w:jc w:val="both"/>
        <w:rPr>
          <w:color w:val="000000"/>
        </w:rPr>
      </w:pPr>
      <w:r>
        <w:rPr>
          <w:rFonts w:ascii="Palatino Linotype" w:eastAsia="Palatino Linotype" w:hAnsi="Palatino Linotype" w:cs="Palatino Linotype"/>
          <w:color w:val="000000"/>
        </w:rPr>
        <w:t>Este organismo garante no pasa por alto explicar que la dilación en la resolución del presente asunto encuentra su justificación en que, el alto número de recursos de revisión recibidos ha incrementado el número de medios de impugnación que deben resolverse por este instituto, circunstancia atípica que ha rebasado las capacidades técnicas y humanas del personal encargado de la elaboración de resoluciones a dichos medios de impugnación.</w:t>
      </w:r>
    </w:p>
    <w:p w:rsidR="009D1464" w:rsidRDefault="009D1464">
      <w:pPr>
        <w:pBdr>
          <w:top w:val="nil"/>
          <w:left w:val="nil"/>
          <w:bottom w:val="nil"/>
          <w:right w:val="nil"/>
          <w:between w:val="nil"/>
        </w:pBdr>
        <w:spacing w:line="360" w:lineRule="auto"/>
        <w:jc w:val="both"/>
        <w:rPr>
          <w:rFonts w:ascii="Palatino Linotype" w:eastAsia="Palatino Linotype" w:hAnsi="Palatino Linotype" w:cs="Palatino Linotype"/>
          <w:color w:val="000000"/>
          <w:sz w:val="28"/>
          <w:szCs w:val="28"/>
        </w:rPr>
      </w:pPr>
    </w:p>
    <w:p w:rsidR="009D1464" w:rsidRDefault="00782C62">
      <w:pPr>
        <w:numPr>
          <w:ilvl w:val="0"/>
          <w:numId w:val="7"/>
        </w:numPr>
        <w:pBdr>
          <w:top w:val="nil"/>
          <w:left w:val="nil"/>
          <w:bottom w:val="nil"/>
          <w:right w:val="nil"/>
          <w:between w:val="nil"/>
        </w:pBdr>
        <w:spacing w:line="360" w:lineRule="auto"/>
        <w:ind w:left="0" w:firstLine="0"/>
        <w:jc w:val="both"/>
        <w:rPr>
          <w:color w:val="000000"/>
        </w:rPr>
      </w:pPr>
      <w:r>
        <w:rPr>
          <w:rFonts w:ascii="Palatino Linotype" w:eastAsia="Palatino Linotype" w:hAnsi="Palatino Linotype" w:cs="Palatino Linotype"/>
          <w:color w:val="000000"/>
        </w:rPr>
        <w:t>Por ello, es menester precisar que, si bien se ha excedido el plazo para resolver el presente medio de impugnación, de conformidad con la ley de la materia, el plazo para emitir resolución se encuentra justificado en los elementos para medir su razonabilidad de asuntos conforme a los parámetros establecidos por diversos órganos jurisdiccionales federales, aplicables también en procedimientos análogos, como el que nos ocupa.</w:t>
      </w:r>
    </w:p>
    <w:p w:rsidR="009D1464" w:rsidRDefault="009D1464">
      <w:pPr>
        <w:pBdr>
          <w:top w:val="nil"/>
          <w:left w:val="nil"/>
          <w:bottom w:val="nil"/>
          <w:right w:val="nil"/>
          <w:between w:val="nil"/>
        </w:pBdr>
        <w:spacing w:line="360" w:lineRule="auto"/>
        <w:jc w:val="both"/>
        <w:rPr>
          <w:rFonts w:ascii="Palatino Linotype" w:eastAsia="Palatino Linotype" w:hAnsi="Palatino Linotype" w:cs="Palatino Linotype"/>
          <w:color w:val="000000"/>
          <w:sz w:val="28"/>
          <w:szCs w:val="28"/>
        </w:rPr>
      </w:pPr>
    </w:p>
    <w:p w:rsidR="009D1464" w:rsidRDefault="00782C62">
      <w:pPr>
        <w:numPr>
          <w:ilvl w:val="0"/>
          <w:numId w:val="7"/>
        </w:numPr>
        <w:pBdr>
          <w:top w:val="nil"/>
          <w:left w:val="nil"/>
          <w:bottom w:val="nil"/>
          <w:right w:val="nil"/>
          <w:between w:val="nil"/>
        </w:pBdr>
        <w:spacing w:line="360" w:lineRule="auto"/>
        <w:ind w:left="0" w:firstLine="0"/>
        <w:jc w:val="both"/>
        <w:rPr>
          <w:color w:val="000000"/>
        </w:rPr>
      </w:pPr>
      <w:r>
        <w:rPr>
          <w:rFonts w:ascii="Palatino Linotype" w:eastAsia="Palatino Linotype" w:hAnsi="Palatino Linotype" w:cs="Palatino Linotype"/>
          <w:color w:val="000000"/>
        </w:rPr>
        <w:t>Así, en términos de lo que establecen los artículos 8.1 y 25 de la Convención Americana sobre Derechos Humanos, los recursos deben ser sencillos y resolverse en el menor tiempo posible, tomando en consideración la dilación total del procedimiento; esto es, en un plazo razonable.</w:t>
      </w:r>
    </w:p>
    <w:p w:rsidR="009D1464" w:rsidRDefault="009D1464">
      <w:pPr>
        <w:pBdr>
          <w:top w:val="nil"/>
          <w:left w:val="nil"/>
          <w:bottom w:val="nil"/>
          <w:right w:val="nil"/>
          <w:between w:val="nil"/>
        </w:pBdr>
        <w:ind w:left="720"/>
        <w:rPr>
          <w:rFonts w:ascii="Palatino Linotype" w:eastAsia="Palatino Linotype" w:hAnsi="Palatino Linotype" w:cs="Palatino Linotype"/>
          <w:color w:val="000000"/>
          <w:sz w:val="28"/>
          <w:szCs w:val="28"/>
        </w:rPr>
      </w:pPr>
    </w:p>
    <w:p w:rsidR="009D1464" w:rsidRDefault="00782C62">
      <w:pPr>
        <w:numPr>
          <w:ilvl w:val="0"/>
          <w:numId w:val="7"/>
        </w:numPr>
        <w:pBdr>
          <w:top w:val="nil"/>
          <w:left w:val="nil"/>
          <w:bottom w:val="nil"/>
          <w:right w:val="nil"/>
          <w:between w:val="nil"/>
        </w:pBdr>
        <w:spacing w:line="360" w:lineRule="auto"/>
        <w:ind w:left="0" w:firstLine="0"/>
        <w:jc w:val="both"/>
        <w:rPr>
          <w:color w:val="000000"/>
        </w:rPr>
      </w:pPr>
      <w:r>
        <w:rPr>
          <w:rFonts w:ascii="Palatino Linotype" w:eastAsia="Palatino Linotype" w:hAnsi="Palatino Linotype" w:cs="Palatino Linotype"/>
          <w:color w:val="000000"/>
        </w:rPr>
        <w:t xml:space="preserve">En ese sentido, el legislador fijó los términos procesales en las leyes, de manera general, sin que pudiera prever la variada gama de casos que son resueltos por los órganos jurisdiccionales o cuasi jurisdiccionales, tanto por la complejidad de los hechos, como por el número de casos que conocen. </w:t>
      </w:r>
    </w:p>
    <w:p w:rsidR="009D1464" w:rsidRDefault="009D1464">
      <w:pPr>
        <w:pBdr>
          <w:top w:val="nil"/>
          <w:left w:val="nil"/>
          <w:bottom w:val="nil"/>
          <w:right w:val="nil"/>
          <w:between w:val="nil"/>
        </w:pBdr>
        <w:spacing w:line="360" w:lineRule="auto"/>
        <w:jc w:val="both"/>
        <w:rPr>
          <w:rFonts w:ascii="Palatino Linotype" w:eastAsia="Palatino Linotype" w:hAnsi="Palatino Linotype" w:cs="Palatino Linotype"/>
          <w:color w:val="000000"/>
          <w:sz w:val="28"/>
          <w:szCs w:val="28"/>
        </w:rPr>
      </w:pPr>
    </w:p>
    <w:p w:rsidR="009D1464" w:rsidRDefault="00782C62">
      <w:pPr>
        <w:numPr>
          <w:ilvl w:val="0"/>
          <w:numId w:val="7"/>
        </w:numPr>
        <w:pBdr>
          <w:top w:val="nil"/>
          <w:left w:val="nil"/>
          <w:bottom w:val="nil"/>
          <w:right w:val="nil"/>
          <w:between w:val="nil"/>
        </w:pBdr>
        <w:spacing w:line="360" w:lineRule="auto"/>
        <w:ind w:left="0" w:firstLine="0"/>
        <w:jc w:val="both"/>
        <w:rPr>
          <w:color w:val="000000"/>
        </w:rPr>
      </w:pPr>
      <w:r>
        <w:rPr>
          <w:rFonts w:ascii="Palatino Linotype" w:eastAsia="Palatino Linotype" w:hAnsi="Palatino Linotype" w:cs="Palatino Linotype"/>
          <w:color w:val="000000"/>
        </w:rPr>
        <w:t xml:space="preserve">Por ello, excepcionalmente, si un asunto es resuelto con posterioridad a los plazos señalados por la norma debe analizarse la razonabilidad del tiempo necesario para su resolución, atentos a los siguientes criterios:   </w:t>
      </w:r>
    </w:p>
    <w:p w:rsidR="009D1464" w:rsidRDefault="009D1464">
      <w:pPr>
        <w:pBdr>
          <w:top w:val="nil"/>
          <w:left w:val="nil"/>
          <w:bottom w:val="nil"/>
          <w:right w:val="nil"/>
          <w:between w:val="nil"/>
        </w:pBdr>
        <w:spacing w:line="360" w:lineRule="auto"/>
        <w:jc w:val="both"/>
        <w:rPr>
          <w:rFonts w:ascii="Palatino Linotype" w:eastAsia="Palatino Linotype" w:hAnsi="Palatino Linotype" w:cs="Palatino Linotype"/>
          <w:color w:val="000000"/>
          <w:sz w:val="28"/>
          <w:szCs w:val="28"/>
        </w:rPr>
      </w:pPr>
    </w:p>
    <w:p w:rsidR="009D1464" w:rsidRDefault="00782C62">
      <w:pPr>
        <w:pBdr>
          <w:top w:val="nil"/>
          <w:left w:val="nil"/>
          <w:bottom w:val="nil"/>
          <w:right w:val="nil"/>
          <w:between w:val="nil"/>
        </w:pBdr>
        <w:spacing w:line="360" w:lineRule="auto"/>
        <w:ind w:left="284" w:right="399"/>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a)   Complejidad del asunto: La complejidad de la prueba, la pluralidad de sujetos procesales, el tiempo transcurrido, las características y contexto del recurso.</w:t>
      </w:r>
    </w:p>
    <w:p w:rsidR="009D1464" w:rsidRDefault="00782C62">
      <w:pPr>
        <w:pBdr>
          <w:top w:val="nil"/>
          <w:left w:val="nil"/>
          <w:bottom w:val="nil"/>
          <w:right w:val="nil"/>
          <w:between w:val="nil"/>
        </w:pBdr>
        <w:spacing w:line="360" w:lineRule="auto"/>
        <w:ind w:left="284" w:right="399"/>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b)     Actividad Procesal del interesado: Acciones u omisiones del interesado.</w:t>
      </w:r>
    </w:p>
    <w:p w:rsidR="009D1464" w:rsidRDefault="00782C62">
      <w:pPr>
        <w:pBdr>
          <w:top w:val="nil"/>
          <w:left w:val="nil"/>
          <w:bottom w:val="nil"/>
          <w:right w:val="nil"/>
          <w:between w:val="nil"/>
        </w:pBdr>
        <w:spacing w:line="360" w:lineRule="auto"/>
        <w:ind w:left="284" w:right="399"/>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c)      Conducta de la Autoridad: Las Acciones u omisiones realizadas en el procedimiento. Así como si la autoridad actuó con la debida diligencia.</w:t>
      </w:r>
    </w:p>
    <w:p w:rsidR="009D1464" w:rsidRDefault="00782C62">
      <w:pPr>
        <w:pBdr>
          <w:top w:val="nil"/>
          <w:left w:val="nil"/>
          <w:bottom w:val="nil"/>
          <w:right w:val="nil"/>
          <w:between w:val="nil"/>
        </w:pBdr>
        <w:spacing w:line="360" w:lineRule="auto"/>
        <w:ind w:left="284" w:right="399"/>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d)   La afectación generada en la situación jurídica de la persona involucrada en el proceso: Violación a sus derechos humanos.</w:t>
      </w:r>
    </w:p>
    <w:p w:rsidR="009D1464" w:rsidRDefault="009D1464">
      <w:pPr>
        <w:pBdr>
          <w:top w:val="nil"/>
          <w:left w:val="nil"/>
          <w:bottom w:val="nil"/>
          <w:right w:val="nil"/>
          <w:between w:val="nil"/>
        </w:pBdr>
        <w:spacing w:line="360" w:lineRule="auto"/>
        <w:jc w:val="both"/>
        <w:rPr>
          <w:rFonts w:ascii="Palatino Linotype" w:eastAsia="Palatino Linotype" w:hAnsi="Palatino Linotype" w:cs="Palatino Linotype"/>
          <w:color w:val="000000"/>
          <w:sz w:val="28"/>
          <w:szCs w:val="28"/>
        </w:rPr>
      </w:pPr>
    </w:p>
    <w:p w:rsidR="009D1464" w:rsidRDefault="00782C62">
      <w:pPr>
        <w:numPr>
          <w:ilvl w:val="0"/>
          <w:numId w:val="7"/>
        </w:numPr>
        <w:pBdr>
          <w:top w:val="nil"/>
          <w:left w:val="nil"/>
          <w:bottom w:val="nil"/>
          <w:right w:val="nil"/>
          <w:between w:val="nil"/>
        </w:pBdr>
        <w:spacing w:line="360" w:lineRule="auto"/>
        <w:ind w:left="0" w:firstLine="0"/>
        <w:jc w:val="both"/>
        <w:rPr>
          <w:color w:val="000000"/>
        </w:rPr>
      </w:pPr>
      <w:r>
        <w:rPr>
          <w:rFonts w:ascii="Palatino Linotype" w:eastAsia="Palatino Linotype" w:hAnsi="Palatino Linotype" w:cs="Palatino Linotype"/>
          <w:color w:val="000000"/>
        </w:rPr>
        <w:t>De modo que, cuando se trate de un asunto excepcional, por alguna o todas las características mencionadas o bien, cuando el ingreso de asuntos al órgano jurisdiccional o cuasi jurisdiccional respectivo supere notoriamente al que podría considerarse normal, debe concluirse que es una excluyente de responsabilidad en relación con la actuación del funcionario, como ha acontecido en el caso que nos ocupa.</w:t>
      </w:r>
    </w:p>
    <w:p w:rsidR="009D1464" w:rsidRDefault="009D1464">
      <w:pPr>
        <w:pBdr>
          <w:top w:val="nil"/>
          <w:left w:val="nil"/>
          <w:bottom w:val="nil"/>
          <w:right w:val="nil"/>
          <w:between w:val="nil"/>
        </w:pBdr>
        <w:spacing w:line="360" w:lineRule="auto"/>
        <w:jc w:val="both"/>
        <w:rPr>
          <w:rFonts w:ascii="Palatino Linotype" w:eastAsia="Palatino Linotype" w:hAnsi="Palatino Linotype" w:cs="Palatino Linotype"/>
          <w:color w:val="000000"/>
          <w:sz w:val="28"/>
          <w:szCs w:val="28"/>
        </w:rPr>
      </w:pPr>
    </w:p>
    <w:p w:rsidR="009D1464" w:rsidRDefault="00782C62">
      <w:pPr>
        <w:numPr>
          <w:ilvl w:val="0"/>
          <w:numId w:val="7"/>
        </w:numPr>
        <w:pBdr>
          <w:top w:val="nil"/>
          <w:left w:val="nil"/>
          <w:bottom w:val="nil"/>
          <w:right w:val="nil"/>
          <w:between w:val="nil"/>
        </w:pBdr>
        <w:spacing w:line="360" w:lineRule="auto"/>
        <w:ind w:left="0" w:firstLine="0"/>
        <w:jc w:val="both"/>
        <w:rPr>
          <w:color w:val="000000"/>
        </w:rPr>
      </w:pPr>
      <w:r>
        <w:rPr>
          <w:rFonts w:ascii="Palatino Linotype" w:eastAsia="Palatino Linotype" w:hAnsi="Palatino Linotype" w:cs="Palatino Linotype"/>
          <w:color w:val="000000"/>
        </w:rPr>
        <w:t>Argumento que encuentra sustento en la jurisprudencia P./J. 32/92 emitida por el Pleno de la Suprema Corte de Justicia de la Nación del rubro “TÉRMINOS PROCESALES. PARA DETERMINAR SI UN FUNCIONARIO JUDICIAL ACTUÓ INDEBIDAMENTE POR NO RESPETARLOS SE DEBE ATENDER AL PRESUPUESTO QUE CONSIDERÓ EL LEGISLADOR AL FIJARLOS Y LAS CARACTERÍSTICAS DEL CASO.”, visible en la Gaceta del Semanario Judicial de la Federación con el registro digital 205635.</w:t>
      </w:r>
    </w:p>
    <w:p w:rsidR="009D1464" w:rsidRDefault="009D1464">
      <w:pPr>
        <w:pBdr>
          <w:top w:val="nil"/>
          <w:left w:val="nil"/>
          <w:bottom w:val="nil"/>
          <w:right w:val="nil"/>
          <w:between w:val="nil"/>
        </w:pBdr>
        <w:ind w:left="720"/>
        <w:rPr>
          <w:rFonts w:ascii="Palatino Linotype" w:eastAsia="Palatino Linotype" w:hAnsi="Palatino Linotype" w:cs="Palatino Linotype"/>
          <w:color w:val="000000"/>
          <w:sz w:val="28"/>
          <w:szCs w:val="28"/>
        </w:rPr>
      </w:pPr>
    </w:p>
    <w:p w:rsidR="009D1464" w:rsidRDefault="00782C62">
      <w:pPr>
        <w:numPr>
          <w:ilvl w:val="0"/>
          <w:numId w:val="7"/>
        </w:numPr>
        <w:pBdr>
          <w:top w:val="nil"/>
          <w:left w:val="nil"/>
          <w:bottom w:val="nil"/>
          <w:right w:val="nil"/>
          <w:between w:val="nil"/>
        </w:pBdr>
        <w:spacing w:line="360" w:lineRule="auto"/>
        <w:ind w:left="0" w:firstLine="0"/>
        <w:jc w:val="both"/>
        <w:rPr>
          <w:color w:val="000000"/>
        </w:rPr>
      </w:pPr>
      <w:r>
        <w:rPr>
          <w:rFonts w:ascii="Palatino Linotype" w:eastAsia="Palatino Linotype" w:hAnsi="Palatino Linotype" w:cs="Palatino Linotype"/>
          <w:color w:val="000000"/>
        </w:rPr>
        <w:t xml:space="preserve">Razones por las cuales cabe concluir que, la resolución al recurso de revisión se solventa hasta esta fecha, debido a que existe una excesiva carga de trabajo en desproporción a la capacidad de los recursos materiales y humanos con que cuenta este Instituto para atender la enorme demanda de usuarios que acuden para que se les garantice su Derecho de acceso a la información Pública y Protección de Datos Personales, aunado a la complejidad de los hechos a los que se refieren, así como al volumen del expediente, la extensión de los escritos y pruebas aportadas y </w:t>
      </w:r>
      <w:r>
        <w:rPr>
          <w:rFonts w:ascii="Palatino Linotype" w:eastAsia="Palatino Linotype" w:hAnsi="Palatino Linotype" w:cs="Palatino Linotype"/>
          <w:color w:val="000000"/>
        </w:rPr>
        <w:lastRenderedPageBreak/>
        <w:t>desahogadas por las partes; lo que impide la tramitación de los recursos dentro de los términos legales previamente establecidos por la Ley, por tratarse de causas de fuerza mayor.</w:t>
      </w:r>
    </w:p>
    <w:p w:rsidR="009D1464" w:rsidRDefault="009D1464">
      <w:pPr>
        <w:pBdr>
          <w:top w:val="nil"/>
          <w:left w:val="nil"/>
          <w:bottom w:val="nil"/>
          <w:right w:val="nil"/>
          <w:between w:val="nil"/>
        </w:pBdr>
        <w:spacing w:line="360" w:lineRule="auto"/>
        <w:jc w:val="both"/>
        <w:rPr>
          <w:rFonts w:ascii="Palatino Linotype" w:eastAsia="Palatino Linotype" w:hAnsi="Palatino Linotype" w:cs="Palatino Linotype"/>
          <w:color w:val="000000"/>
          <w:sz w:val="28"/>
          <w:szCs w:val="28"/>
        </w:rPr>
      </w:pPr>
    </w:p>
    <w:p w:rsidR="009D1464" w:rsidRDefault="00782C62">
      <w:pPr>
        <w:numPr>
          <w:ilvl w:val="0"/>
          <w:numId w:val="7"/>
        </w:numPr>
        <w:pBdr>
          <w:top w:val="nil"/>
          <w:left w:val="nil"/>
          <w:bottom w:val="nil"/>
          <w:right w:val="nil"/>
          <w:between w:val="nil"/>
        </w:pBdr>
        <w:spacing w:line="360" w:lineRule="auto"/>
        <w:ind w:left="0" w:firstLine="0"/>
        <w:jc w:val="both"/>
        <w:rPr>
          <w:color w:val="000000"/>
        </w:rPr>
      </w:pPr>
      <w:r>
        <w:rPr>
          <w:rFonts w:ascii="Palatino Linotype" w:eastAsia="Palatino Linotype" w:hAnsi="Palatino Linotype" w:cs="Palatino Linotype"/>
          <w:color w:val="000000"/>
        </w:rPr>
        <w:t>Al respecto, también son de considerar los criterios sostenidos por el Cuarto Tribunal Colegiado en Materia Administrativa del Primer Circuito, cuyos rubros y datos de identificación son los siguientes:</w:t>
      </w:r>
    </w:p>
    <w:p w:rsidR="009D1464" w:rsidRDefault="009D1464">
      <w:pPr>
        <w:ind w:left="720"/>
        <w:rPr>
          <w:color w:val="000000"/>
          <w:sz w:val="28"/>
          <w:szCs w:val="28"/>
        </w:rPr>
      </w:pPr>
    </w:p>
    <w:p w:rsidR="009D1464" w:rsidRDefault="00782C62">
      <w:pPr>
        <w:pBdr>
          <w:top w:val="nil"/>
          <w:left w:val="nil"/>
          <w:bottom w:val="nil"/>
          <w:right w:val="nil"/>
          <w:between w:val="nil"/>
        </w:pBdr>
        <w:spacing w:line="360" w:lineRule="auto"/>
        <w:ind w:left="567" w:right="541"/>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“PLAZO RAZONABLE PARA RESOLVER. DIMENSIÓN Y EFECTOS DE ESTE CONCEPTO CUANDO SE ADUCE EXCESIVA CARGA DE TRABAJO.” consultable en el Seminario Judicial de la Federación y su gaceta, con el registro digital 2002351.</w:t>
      </w:r>
    </w:p>
    <w:p w:rsidR="009D1464" w:rsidRDefault="00782C62">
      <w:pPr>
        <w:pBdr>
          <w:top w:val="nil"/>
          <w:left w:val="nil"/>
          <w:bottom w:val="nil"/>
          <w:right w:val="nil"/>
          <w:between w:val="nil"/>
        </w:pBdr>
        <w:spacing w:line="360" w:lineRule="auto"/>
        <w:ind w:left="567" w:right="541"/>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“PLAZO RAZONABLE PARA RESOLVER. CONCEPTO Y ELEMENTOS QUE LO INTEGRAN A LA LUZ DEL DERECHO INTERNACIONAL DE LOS DERECHOS HUMANOS.”, visible en el Seminario Judicial de la Federación y su gaceta, con el registro digital 2002350.</w:t>
      </w:r>
    </w:p>
    <w:p w:rsidR="009D1464" w:rsidRDefault="009D1464">
      <w:pPr>
        <w:pBdr>
          <w:top w:val="nil"/>
          <w:left w:val="nil"/>
          <w:bottom w:val="nil"/>
          <w:right w:val="nil"/>
          <w:between w:val="nil"/>
        </w:pBdr>
        <w:spacing w:line="360" w:lineRule="auto"/>
        <w:ind w:left="708"/>
        <w:jc w:val="both"/>
        <w:rPr>
          <w:rFonts w:ascii="Palatino Linotype" w:eastAsia="Palatino Linotype" w:hAnsi="Palatino Linotype" w:cs="Palatino Linotype"/>
          <w:color w:val="000000"/>
          <w:sz w:val="28"/>
          <w:szCs w:val="28"/>
        </w:rPr>
      </w:pPr>
    </w:p>
    <w:p w:rsidR="009D1464" w:rsidRDefault="00782C62">
      <w:pPr>
        <w:numPr>
          <w:ilvl w:val="0"/>
          <w:numId w:val="7"/>
        </w:numPr>
        <w:pBdr>
          <w:top w:val="nil"/>
          <w:left w:val="nil"/>
          <w:bottom w:val="nil"/>
          <w:right w:val="nil"/>
          <w:between w:val="nil"/>
        </w:pBdr>
        <w:spacing w:line="360" w:lineRule="auto"/>
        <w:ind w:left="0" w:firstLine="0"/>
        <w:jc w:val="both"/>
        <w:rPr>
          <w:color w:val="000000"/>
        </w:rPr>
      </w:pPr>
      <w:r>
        <w:rPr>
          <w:rFonts w:ascii="Palatino Linotype" w:eastAsia="Palatino Linotype" w:hAnsi="Palatino Linotype" w:cs="Palatino Linotype"/>
          <w:color w:val="000000"/>
        </w:rPr>
        <w:t>Por ello, este organismo garante comprometido con la tutela de los derechos humanos confiados, señala que este exceso del plazo legal para resolver el presente asunto, resulta de carácter excepcional.</w:t>
      </w:r>
    </w:p>
    <w:p w:rsidR="009D1464" w:rsidRDefault="009D1464">
      <w:pPr>
        <w:pBdr>
          <w:top w:val="nil"/>
          <w:left w:val="nil"/>
          <w:bottom w:val="nil"/>
          <w:right w:val="nil"/>
          <w:between w:val="nil"/>
        </w:pBdr>
        <w:ind w:left="708"/>
        <w:rPr>
          <w:rFonts w:ascii="Palatino Linotype" w:eastAsia="Palatino Linotype" w:hAnsi="Palatino Linotype" w:cs="Palatino Linotype"/>
          <w:color w:val="000000"/>
        </w:rPr>
      </w:pPr>
    </w:p>
    <w:p w:rsidR="009D1464" w:rsidRDefault="00782C62">
      <w:pPr>
        <w:numPr>
          <w:ilvl w:val="0"/>
          <w:numId w:val="7"/>
        </w:numPr>
        <w:pBdr>
          <w:top w:val="nil"/>
          <w:left w:val="nil"/>
          <w:bottom w:val="nil"/>
          <w:right w:val="nil"/>
          <w:between w:val="nil"/>
        </w:pBdr>
        <w:spacing w:line="360" w:lineRule="auto"/>
        <w:ind w:left="0" w:firstLine="0"/>
        <w:jc w:val="both"/>
        <w:rPr>
          <w:rFonts w:ascii="Palatino Linotype" w:eastAsia="Palatino Linotype" w:hAnsi="Palatino Linotype" w:cs="Palatino Linotype"/>
          <w:b/>
          <w:color w:val="000000"/>
        </w:rPr>
      </w:pPr>
      <w:bookmarkStart w:id="2" w:name="_heading=h.30j0zll" w:colFirst="0" w:colLast="0"/>
      <w:bookmarkEnd w:id="2"/>
      <w:r>
        <w:rPr>
          <w:rFonts w:ascii="Palatino Linotype" w:eastAsia="Palatino Linotype" w:hAnsi="Palatino Linotype" w:cs="Palatino Linotype"/>
          <w:color w:val="000000"/>
        </w:rPr>
        <w:t>Finalmente, la Comisionada Ponente mediante acuerdo de fecha</w:t>
      </w:r>
      <w:r>
        <w:rPr>
          <w:rFonts w:ascii="Palatino Linotype" w:eastAsia="Palatino Linotype" w:hAnsi="Palatino Linotype" w:cs="Palatino Linotype"/>
          <w:b/>
          <w:color w:val="000000"/>
        </w:rPr>
        <w:t xml:space="preserve"> catorce y veintiuno de octubre de dos mil veinticuatro, decretó el cierre de instrucción</w:t>
      </w:r>
      <w:r>
        <w:rPr>
          <w:rFonts w:ascii="Palatino Linotype" w:eastAsia="Palatino Linotype" w:hAnsi="Palatino Linotype" w:cs="Palatino Linotype"/>
          <w:color w:val="000000"/>
        </w:rPr>
        <w:t xml:space="preserve"> de los expedientes, por lo que no habiendo más que hacer constar, y ------------------------</w:t>
      </w:r>
    </w:p>
    <w:p w:rsidR="009D1464" w:rsidRDefault="009D1464">
      <w:pPr>
        <w:spacing w:line="360" w:lineRule="auto"/>
        <w:rPr>
          <w:rFonts w:ascii="Palatino Linotype" w:eastAsia="Palatino Linotype" w:hAnsi="Palatino Linotype" w:cs="Palatino Linotype"/>
          <w:b/>
          <w:color w:val="000000"/>
        </w:rPr>
      </w:pPr>
    </w:p>
    <w:p w:rsidR="009D1464" w:rsidRDefault="00782C62">
      <w:pPr>
        <w:pBdr>
          <w:top w:val="nil"/>
          <w:left w:val="nil"/>
          <w:bottom w:val="nil"/>
          <w:right w:val="nil"/>
          <w:between w:val="nil"/>
        </w:pBdr>
        <w:spacing w:line="360" w:lineRule="auto"/>
        <w:jc w:val="center"/>
        <w:rPr>
          <w:rFonts w:ascii="Palatino Linotype" w:eastAsia="Palatino Linotype" w:hAnsi="Palatino Linotype" w:cs="Palatino Linotype"/>
          <w:b/>
          <w:color w:val="000000"/>
        </w:rPr>
      </w:pPr>
      <w:r>
        <w:rPr>
          <w:rFonts w:ascii="Palatino Linotype" w:eastAsia="Palatino Linotype" w:hAnsi="Palatino Linotype" w:cs="Palatino Linotype"/>
          <w:b/>
          <w:color w:val="000000"/>
        </w:rPr>
        <w:t>CONSIDERANDO</w:t>
      </w:r>
    </w:p>
    <w:p w:rsidR="009D1464" w:rsidRDefault="00782C62">
      <w:pPr>
        <w:pStyle w:val="Ttulo2"/>
        <w:spacing w:before="0" w:line="360" w:lineRule="auto"/>
        <w:rPr>
          <w:rFonts w:ascii="Palatino Linotype" w:eastAsia="Palatino Linotype" w:hAnsi="Palatino Linotype" w:cs="Palatino Linotype"/>
          <w:b/>
          <w:color w:val="000000"/>
          <w:sz w:val="24"/>
          <w:szCs w:val="24"/>
        </w:rPr>
      </w:pPr>
      <w:bookmarkStart w:id="3" w:name="_heading=h.1fob9te" w:colFirst="0" w:colLast="0"/>
      <w:bookmarkEnd w:id="3"/>
      <w:r>
        <w:rPr>
          <w:rFonts w:ascii="Palatino Linotype" w:eastAsia="Palatino Linotype" w:hAnsi="Palatino Linotype" w:cs="Palatino Linotype"/>
          <w:b/>
          <w:color w:val="000000"/>
          <w:sz w:val="24"/>
          <w:szCs w:val="24"/>
        </w:rPr>
        <w:t>PRIMERO. De la competencia</w:t>
      </w:r>
    </w:p>
    <w:p w:rsidR="009D1464" w:rsidRDefault="00782C62">
      <w:pPr>
        <w:numPr>
          <w:ilvl w:val="0"/>
          <w:numId w:val="7"/>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Este Instituto de Transparencia, Acceso a la Información Pública y Protección de Datos Personales del Estado de México y Municipios, es competente para conocer y resolver del presente recurso de conformidad con el artículo: 6, apartado A, fracción IV de la Constitución Política de los Estados Unidos Mexicanos; 5, párrafos trigésimo segundo, trigésimo tercero y trigésimo cuarto, fracciones IV y V, de la Constitución Política del Estado Libre y Soberano de México; artículos 1, 2 fracción II, 13, 29, 36 fracciones I y II, 176, 178, 179, 181 párrafo tercero y 185 de la Ley de Transparencia y Acceso a la Información Pública del Estado de México y Municipios; y 7, 9 fracciones I y XXIV, y 11 del Reglamento Interior del Instituto de Transparencia, Acceso a la Información Pública y Protección de Datos Personales del Estado de México y Municipios.</w:t>
      </w:r>
    </w:p>
    <w:p w:rsidR="009D1464" w:rsidRDefault="009D1464">
      <w:pPr>
        <w:pBdr>
          <w:top w:val="nil"/>
          <w:left w:val="nil"/>
          <w:bottom w:val="nil"/>
          <w:right w:val="nil"/>
          <w:between w:val="nil"/>
        </w:pBdr>
        <w:tabs>
          <w:tab w:val="left" w:pos="426"/>
        </w:tabs>
        <w:spacing w:line="360" w:lineRule="auto"/>
        <w:jc w:val="both"/>
        <w:rPr>
          <w:rFonts w:ascii="Palatino Linotype" w:eastAsia="Palatino Linotype" w:hAnsi="Palatino Linotype" w:cs="Palatino Linotype"/>
          <w:b/>
          <w:color w:val="000000"/>
        </w:rPr>
      </w:pPr>
      <w:bookmarkStart w:id="4" w:name="_heading=h.3znysh7" w:colFirst="0" w:colLast="0"/>
      <w:bookmarkEnd w:id="4"/>
    </w:p>
    <w:p w:rsidR="009D1464" w:rsidRDefault="00782C62">
      <w:pPr>
        <w:pBdr>
          <w:top w:val="nil"/>
          <w:left w:val="nil"/>
          <w:bottom w:val="nil"/>
          <w:right w:val="nil"/>
          <w:between w:val="nil"/>
        </w:pBdr>
        <w:tabs>
          <w:tab w:val="left" w:pos="426"/>
        </w:tabs>
        <w:spacing w:line="360" w:lineRule="auto"/>
        <w:jc w:val="both"/>
        <w:rPr>
          <w:rFonts w:ascii="Palatino Linotype" w:eastAsia="Palatino Linotype" w:hAnsi="Palatino Linotype" w:cs="Palatino Linotype"/>
          <w:b/>
          <w:color w:val="000000"/>
        </w:rPr>
      </w:pPr>
      <w:bookmarkStart w:id="5" w:name="_heading=h.2et92p0" w:colFirst="0" w:colLast="0"/>
      <w:bookmarkEnd w:id="5"/>
      <w:r>
        <w:rPr>
          <w:rFonts w:ascii="Palatino Linotype" w:eastAsia="Palatino Linotype" w:hAnsi="Palatino Linotype" w:cs="Palatino Linotype"/>
          <w:b/>
          <w:color w:val="000000"/>
        </w:rPr>
        <w:t>SEGUNDO. De la oportunidad y procedencia.</w:t>
      </w:r>
    </w:p>
    <w:p w:rsidR="009D1464" w:rsidRDefault="009D1464">
      <w:pPr>
        <w:pBdr>
          <w:top w:val="nil"/>
          <w:left w:val="nil"/>
          <w:bottom w:val="nil"/>
          <w:right w:val="nil"/>
          <w:between w:val="nil"/>
        </w:pBdr>
        <w:tabs>
          <w:tab w:val="left" w:pos="426"/>
        </w:tabs>
        <w:spacing w:line="360" w:lineRule="auto"/>
        <w:jc w:val="both"/>
        <w:rPr>
          <w:rFonts w:ascii="Palatino Linotype" w:eastAsia="Palatino Linotype" w:hAnsi="Palatino Linotype" w:cs="Palatino Linotype"/>
          <w:b/>
          <w:color w:val="000000"/>
        </w:rPr>
      </w:pPr>
    </w:p>
    <w:p w:rsidR="009D1464" w:rsidRDefault="00782C62">
      <w:pPr>
        <w:numPr>
          <w:ilvl w:val="0"/>
          <w:numId w:val="7"/>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bookmarkStart w:id="6" w:name="_heading=h.tyjcwt" w:colFirst="0" w:colLast="0"/>
      <w:bookmarkEnd w:id="6"/>
      <w:r>
        <w:rPr>
          <w:rFonts w:ascii="Palatino Linotype" w:eastAsia="Palatino Linotype" w:hAnsi="Palatino Linotype" w:cs="Palatino Linotype"/>
          <w:color w:val="000000"/>
        </w:rPr>
        <w:t xml:space="preserve">Los medios de impugnación fueron presentados a través del </w:t>
      </w:r>
      <w:r>
        <w:rPr>
          <w:rFonts w:ascii="Palatino Linotype" w:eastAsia="Palatino Linotype" w:hAnsi="Palatino Linotype" w:cs="Palatino Linotype"/>
          <w:b/>
          <w:color w:val="000000"/>
        </w:rPr>
        <w:t>SAIMEX,</w:t>
      </w:r>
      <w:r>
        <w:rPr>
          <w:rFonts w:ascii="Palatino Linotype" w:eastAsia="Palatino Linotype" w:hAnsi="Palatino Linotype" w:cs="Palatino Linotype"/>
          <w:color w:val="000000"/>
        </w:rPr>
        <w:t xml:space="preserve"> en el formato previamente aprobado para tal efecto y dentro del plazo legal de quince días hábiles otorgados; para el caso en particular es de señalar que el </w:t>
      </w:r>
      <w:r>
        <w:rPr>
          <w:rFonts w:ascii="Palatino Linotype" w:eastAsia="Palatino Linotype" w:hAnsi="Palatino Linotype" w:cs="Palatino Linotype"/>
          <w:b/>
          <w:color w:val="000000"/>
        </w:rPr>
        <w:t>SUJETO OBLIGADO</w:t>
      </w:r>
      <w:r>
        <w:rPr>
          <w:rFonts w:ascii="Palatino Linotype" w:eastAsia="Palatino Linotype" w:hAnsi="Palatino Linotype" w:cs="Palatino Linotype"/>
          <w:color w:val="000000"/>
        </w:rPr>
        <w:t xml:space="preserve"> entregó sus respuestas el </w:t>
      </w:r>
      <w:r>
        <w:rPr>
          <w:rFonts w:ascii="Palatino Linotype" w:eastAsia="Palatino Linotype" w:hAnsi="Palatino Linotype" w:cs="Palatino Linotype"/>
          <w:b/>
          <w:color w:val="000000"/>
        </w:rPr>
        <w:t>tres, doce y dieciocho de julio, así como el dos y once de septiembre de dos mil veinticuatro</w:t>
      </w:r>
      <w:r>
        <w:rPr>
          <w:rFonts w:ascii="Palatino Linotype" w:eastAsia="Palatino Linotype" w:hAnsi="Palatino Linotype" w:cs="Palatino Linotype"/>
          <w:color w:val="000000"/>
        </w:rPr>
        <w:t xml:space="preserve">, de tal forma que el plazo para interponer el recurso de revisión transcurrió del día </w:t>
      </w:r>
      <w:r>
        <w:rPr>
          <w:rFonts w:ascii="Palatino Linotype" w:eastAsia="Palatino Linotype" w:hAnsi="Palatino Linotype" w:cs="Palatino Linotype"/>
          <w:b/>
          <w:color w:val="000000"/>
        </w:rPr>
        <w:t xml:space="preserve">cuatro de julio al siete de </w:t>
      </w:r>
      <w:r>
        <w:rPr>
          <w:rFonts w:ascii="Palatino Linotype" w:eastAsia="Palatino Linotype" w:hAnsi="Palatino Linotype" w:cs="Palatino Linotype"/>
          <w:b/>
          <w:color w:val="000000"/>
        </w:rPr>
        <w:lastRenderedPageBreak/>
        <w:t>agosto, del quince de julio al dieciséis de agosto, del diecinueve de julio al veintidós de agosto, del tres al veinticuatro septiembre y del y del doce de septiembre al cuatro de octubre de dos mil veinticuatro</w:t>
      </w:r>
      <w:r>
        <w:rPr>
          <w:rFonts w:ascii="Palatino Linotype" w:eastAsia="Palatino Linotype" w:hAnsi="Palatino Linotype" w:cs="Palatino Linotype"/>
          <w:color w:val="000000"/>
        </w:rPr>
        <w:t xml:space="preserve">; en consecuencia, el ahora </w:t>
      </w:r>
      <w:r>
        <w:rPr>
          <w:rFonts w:ascii="Palatino Linotype" w:eastAsia="Palatino Linotype" w:hAnsi="Palatino Linotype" w:cs="Palatino Linotype"/>
          <w:b/>
          <w:color w:val="000000"/>
        </w:rPr>
        <w:t>RECURRENTE</w:t>
      </w:r>
      <w:r>
        <w:rPr>
          <w:rFonts w:ascii="Palatino Linotype" w:eastAsia="Palatino Linotype" w:hAnsi="Palatino Linotype" w:cs="Palatino Linotype"/>
          <w:color w:val="000000"/>
        </w:rPr>
        <w:t xml:space="preserve"> presentó sus inconformidades el día </w:t>
      </w:r>
      <w:r>
        <w:rPr>
          <w:rFonts w:ascii="Palatino Linotype" w:eastAsia="Palatino Linotype" w:hAnsi="Palatino Linotype" w:cs="Palatino Linotype"/>
          <w:b/>
          <w:color w:val="000000"/>
        </w:rPr>
        <w:t>once, diecisiete y  dieciocho de  julio, así como</w:t>
      </w:r>
      <w:r>
        <w:rPr>
          <w:rFonts w:ascii="Palatino Linotype" w:eastAsia="Palatino Linotype" w:hAnsi="Palatino Linotype" w:cs="Palatino Linotype"/>
          <w:color w:val="000000"/>
        </w:rPr>
        <w:t xml:space="preserve"> el nueve de agosto y el cuatro y diecinueve de septiembre de dos mil veinticuatro; es decir dentro del lapso legalmente establecido para tal efecto.</w:t>
      </w:r>
    </w:p>
    <w:p w:rsidR="009D1464" w:rsidRDefault="009D1464">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rsidR="009D1464" w:rsidRDefault="00782C62">
      <w:pPr>
        <w:numPr>
          <w:ilvl w:val="0"/>
          <w:numId w:val="7"/>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Ahora bien, para el recurso de revisión </w:t>
      </w:r>
      <w:r>
        <w:rPr>
          <w:rFonts w:ascii="Palatino Linotype" w:eastAsia="Palatino Linotype" w:hAnsi="Palatino Linotype" w:cs="Palatino Linotype"/>
          <w:b/>
          <w:color w:val="000000"/>
        </w:rPr>
        <w:t xml:space="preserve">4592/INFOEM/IP/RR/2024 </w:t>
      </w:r>
      <w:r>
        <w:rPr>
          <w:rFonts w:ascii="Palatino Linotype" w:eastAsia="Palatino Linotype" w:hAnsi="Palatino Linotype" w:cs="Palatino Linotype"/>
          <w:color w:val="000000"/>
        </w:rPr>
        <w:t xml:space="preserve">que se interpuso el día de la respuesta es aplicable lo siguiente. </w:t>
      </w:r>
    </w:p>
    <w:p w:rsidR="009D1464" w:rsidRDefault="009D1464">
      <w:pPr>
        <w:pBdr>
          <w:top w:val="nil"/>
          <w:left w:val="nil"/>
          <w:bottom w:val="nil"/>
          <w:right w:val="nil"/>
          <w:between w:val="nil"/>
        </w:pBdr>
        <w:ind w:left="708"/>
        <w:rPr>
          <w:rFonts w:ascii="Palatino Linotype" w:eastAsia="Palatino Linotype" w:hAnsi="Palatino Linotype" w:cs="Palatino Linotype"/>
          <w:color w:val="000000"/>
          <w:sz w:val="28"/>
          <w:szCs w:val="28"/>
        </w:rPr>
      </w:pPr>
    </w:p>
    <w:p w:rsidR="009D1464" w:rsidRDefault="00782C62">
      <w:pPr>
        <w:numPr>
          <w:ilvl w:val="0"/>
          <w:numId w:val="7"/>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555555"/>
        </w:rPr>
      </w:pPr>
      <w:r>
        <w:rPr>
          <w:rFonts w:ascii="Palatino Linotype" w:eastAsia="Palatino Linotype" w:hAnsi="Palatino Linotype" w:cs="Palatino Linotype"/>
          <w:color w:val="000000"/>
        </w:rPr>
        <w:t>Al respecto resulta necesario precisar que cuando el medio de impugnación, se haya interpuesto antes que inicie el término para tal efecto, resulta insuficiente para tener por extemporáneo el recurso de revisión de mérito, toda vez que el precepto legal citado, sólo establece que este medio de defensa se ha de promover dentro de los quince días hábiles siguientes en que se tenga conocimiento de la respuesta impugnada; sin embargo, no prohíbe que el recurso de revisión, se presente el mismo día en que esta fue notificada. Por lo que es de señalar que en aras de privilegiar el derecho de acceso a la información se entra al estudio del presente recurso de revisión sin que la fecha en que se presentó afecte la resolución.</w:t>
      </w:r>
    </w:p>
    <w:p w:rsidR="009D1464" w:rsidRDefault="009D1464">
      <w:pPr>
        <w:spacing w:line="360" w:lineRule="auto"/>
        <w:ind w:left="360" w:hanging="360"/>
        <w:rPr>
          <w:rFonts w:ascii="Palatino Linotype" w:eastAsia="Palatino Linotype" w:hAnsi="Palatino Linotype" w:cs="Palatino Linotype"/>
          <w:sz w:val="28"/>
          <w:szCs w:val="28"/>
        </w:rPr>
      </w:pPr>
    </w:p>
    <w:p w:rsidR="009D1464" w:rsidRDefault="00782C62">
      <w:pPr>
        <w:numPr>
          <w:ilvl w:val="0"/>
          <w:numId w:val="7"/>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555555"/>
        </w:rPr>
      </w:pPr>
      <w:r>
        <w:rPr>
          <w:rFonts w:ascii="Palatino Linotype" w:eastAsia="Palatino Linotype" w:hAnsi="Palatino Linotype" w:cs="Palatino Linotype"/>
          <w:color w:val="000000"/>
        </w:rPr>
        <w:t xml:space="preserve">Lo anterior se robustece con la jurisprudencia número 1a./J. 41/2015 (10a.), Décima época, sustentada por la Primera Sala de la Suprema Corte de Justicia de la </w:t>
      </w:r>
      <w:r>
        <w:rPr>
          <w:rFonts w:ascii="Palatino Linotype" w:eastAsia="Palatino Linotype" w:hAnsi="Palatino Linotype" w:cs="Palatino Linotype"/>
          <w:color w:val="000000"/>
        </w:rPr>
        <w:lastRenderedPageBreak/>
        <w:t xml:space="preserve">Nación, visible en la página 569, libro 19, tomo I, de la Gaceta del Semanario Judicial de la Federación, del diecinueve de junio de 2015, cuyo rubro y texto disponen: </w:t>
      </w:r>
    </w:p>
    <w:p w:rsidR="009D1464" w:rsidRDefault="00782C62">
      <w:pPr>
        <w:tabs>
          <w:tab w:val="left" w:pos="3670"/>
        </w:tabs>
        <w:spacing w:line="360" w:lineRule="auto"/>
        <w:ind w:left="720"/>
        <w:rPr>
          <w:rFonts w:ascii="Palatino Linotype" w:eastAsia="Palatino Linotype" w:hAnsi="Palatino Linotype" w:cs="Palatino Linotype"/>
          <w:color w:val="555555"/>
          <w:sz w:val="28"/>
          <w:szCs w:val="28"/>
        </w:rPr>
      </w:pPr>
      <w:r>
        <w:rPr>
          <w:rFonts w:ascii="Palatino Linotype" w:eastAsia="Palatino Linotype" w:hAnsi="Palatino Linotype" w:cs="Palatino Linotype"/>
          <w:color w:val="555555"/>
          <w:sz w:val="28"/>
          <w:szCs w:val="28"/>
        </w:rPr>
        <w:tab/>
      </w:r>
    </w:p>
    <w:p w:rsidR="009D1464" w:rsidRDefault="00782C62">
      <w:pPr>
        <w:ind w:left="1134"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b/>
          <w:i/>
          <w:sz w:val="22"/>
          <w:szCs w:val="22"/>
        </w:rPr>
        <w:t>“RECURSO DE RECLAMACIÓN. SU INTERPOSICIÓN NO ES EXTEMPORÁNEA SI SE REALIZA ANTES DE QUE INICIE EL PLAZO PARA HACERLO</w:t>
      </w:r>
      <w:r>
        <w:rPr>
          <w:rFonts w:ascii="Palatino Linotype" w:eastAsia="Palatino Linotype" w:hAnsi="Palatino Linotype" w:cs="Palatino Linotype"/>
          <w:i/>
          <w:sz w:val="22"/>
          <w:szCs w:val="22"/>
        </w:rPr>
        <w:t>. Conforme al artículo 104, párrafo segundo, de la Ley de Amparo, el recurso de reclamación podrá interponerse por cualquiera de las partes, por escrito, dentro del término de tres días siguientes al en que surta efectos la notificación de la resolución impugnada. Ahora bien, dicho numeral sólo refiere que el aludido medio de defensa no puede hacerse valer después de tres días, por tanto, no impide que el escrito correspondiente se presente antes de iniciado ese término. De ahí que si dicho recurso se interpone antes de que inicie el plazo para hacerlo, su presentación no es extemporánea.”</w:t>
      </w:r>
    </w:p>
    <w:p w:rsidR="009D1464" w:rsidRDefault="009D1464">
      <w:pPr>
        <w:spacing w:line="360" w:lineRule="auto"/>
        <w:ind w:left="426" w:right="616"/>
        <w:jc w:val="both"/>
        <w:rPr>
          <w:rFonts w:ascii="Palatino Linotype" w:eastAsia="Palatino Linotype" w:hAnsi="Palatino Linotype" w:cs="Palatino Linotype"/>
          <w:i/>
          <w:sz w:val="28"/>
          <w:szCs w:val="28"/>
        </w:rPr>
      </w:pPr>
    </w:p>
    <w:p w:rsidR="009D1464" w:rsidRDefault="00782C62">
      <w:pPr>
        <w:numPr>
          <w:ilvl w:val="0"/>
          <w:numId w:val="7"/>
        </w:numPr>
        <w:pBdr>
          <w:top w:val="nil"/>
          <w:left w:val="nil"/>
          <w:bottom w:val="nil"/>
          <w:right w:val="nil"/>
          <w:between w:val="nil"/>
        </w:pBdr>
        <w:spacing w:line="360" w:lineRule="auto"/>
        <w:ind w:left="0" w:firstLine="0"/>
        <w:jc w:val="both"/>
        <w:rPr>
          <w:rFonts w:ascii="Palatino Linotype" w:eastAsia="Palatino Linotype" w:hAnsi="Palatino Linotype" w:cs="Palatino Linotype"/>
          <w:i/>
          <w:color w:val="000000"/>
        </w:rPr>
      </w:pPr>
      <w:r>
        <w:rPr>
          <w:rFonts w:ascii="Palatino Linotype" w:eastAsia="Palatino Linotype" w:hAnsi="Palatino Linotype" w:cs="Palatino Linotype"/>
          <w:color w:val="000000"/>
        </w:rPr>
        <w:t xml:space="preserve">Esto es así porque en primer lugar es necesario que </w:t>
      </w:r>
      <w:r>
        <w:rPr>
          <w:rFonts w:ascii="Palatino Linotype" w:eastAsia="Palatino Linotype" w:hAnsi="Palatino Linotype" w:cs="Palatino Linotype"/>
          <w:b/>
          <w:color w:val="000000"/>
        </w:rPr>
        <w:t>EL RECURRENTE</w:t>
      </w:r>
      <w:r>
        <w:rPr>
          <w:rFonts w:ascii="Palatino Linotype" w:eastAsia="Palatino Linotype" w:hAnsi="Palatino Linotype" w:cs="Palatino Linotype"/>
          <w:color w:val="000000"/>
        </w:rPr>
        <w:t xml:space="preserve"> conozca el acto que le provoca agravio y a partir de ahí formular su recurso de revisión señalando tanto el acto impugnado como el motivo de inconformidad. Y si bien la ley señala que el plazo corre un día después de haber sido notificada la respuesta, en nada se afecta al proceso que el mismo día de </w:t>
      </w:r>
      <w:r>
        <w:rPr>
          <w:rFonts w:ascii="Palatino Linotype" w:eastAsia="Palatino Linotype" w:hAnsi="Palatino Linotype" w:cs="Palatino Linotype"/>
          <w:b/>
          <w:color w:val="000000"/>
        </w:rPr>
        <w:t>notificada EL RECURRENTE</w:t>
      </w:r>
      <w:r>
        <w:rPr>
          <w:rFonts w:ascii="Palatino Linotype" w:eastAsia="Palatino Linotype" w:hAnsi="Palatino Linotype" w:cs="Palatino Linotype"/>
          <w:color w:val="000000"/>
        </w:rPr>
        <w:t xml:space="preserve"> actúe, ya que al contrario lo que demuestra es el interés del mismo para ejercer su derecho bajo el principio constitucional de justicia expedita.</w:t>
      </w:r>
    </w:p>
    <w:p w:rsidR="009D1464" w:rsidRDefault="009D1464">
      <w:pPr>
        <w:tabs>
          <w:tab w:val="left" w:pos="0"/>
        </w:tabs>
        <w:spacing w:line="360" w:lineRule="auto"/>
        <w:ind w:left="360" w:right="49" w:hanging="360"/>
        <w:jc w:val="both"/>
        <w:rPr>
          <w:rFonts w:ascii="Palatino Linotype" w:eastAsia="Palatino Linotype" w:hAnsi="Palatino Linotype" w:cs="Palatino Linotype"/>
          <w:i/>
          <w:sz w:val="28"/>
          <w:szCs w:val="28"/>
        </w:rPr>
      </w:pPr>
    </w:p>
    <w:p w:rsidR="009D1464" w:rsidRDefault="00782C62">
      <w:pPr>
        <w:numPr>
          <w:ilvl w:val="0"/>
          <w:numId w:val="7"/>
        </w:numPr>
        <w:pBdr>
          <w:top w:val="nil"/>
          <w:left w:val="nil"/>
          <w:bottom w:val="nil"/>
          <w:right w:val="nil"/>
          <w:between w:val="nil"/>
        </w:pBdr>
        <w:spacing w:line="360" w:lineRule="auto"/>
        <w:ind w:left="0" w:firstLine="0"/>
        <w:jc w:val="both"/>
        <w:rPr>
          <w:rFonts w:ascii="Palatino Linotype" w:eastAsia="Palatino Linotype" w:hAnsi="Palatino Linotype" w:cs="Palatino Linotype"/>
          <w:i/>
          <w:color w:val="000000"/>
        </w:rPr>
      </w:pPr>
      <w:r>
        <w:rPr>
          <w:rFonts w:ascii="Palatino Linotype" w:eastAsia="Palatino Linotype" w:hAnsi="Palatino Linotype" w:cs="Palatino Linotype"/>
          <w:color w:val="000000"/>
        </w:rPr>
        <w:t>Por lo que la presentación del recurso, el mismo día del conocimiento de la respuesta, -se insiste- no constituye un acto que altere el procedimiento, solo permite su gestión de manera rápida lo que no afecta ningún principio procesal y es protector del derecho de acceso a la justicia pronta y expedita.</w:t>
      </w:r>
    </w:p>
    <w:p w:rsidR="009D1464" w:rsidRDefault="009D1464">
      <w:pPr>
        <w:spacing w:line="360" w:lineRule="auto"/>
        <w:ind w:left="360" w:hanging="360"/>
        <w:rPr>
          <w:rFonts w:ascii="Palatino Linotype" w:eastAsia="Palatino Linotype" w:hAnsi="Palatino Linotype" w:cs="Palatino Linotype"/>
          <w:sz w:val="28"/>
          <w:szCs w:val="28"/>
        </w:rPr>
      </w:pPr>
    </w:p>
    <w:p w:rsidR="009D1464" w:rsidRDefault="00782C62">
      <w:pPr>
        <w:numPr>
          <w:ilvl w:val="0"/>
          <w:numId w:val="7"/>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sz w:val="28"/>
          <w:szCs w:val="28"/>
        </w:rPr>
      </w:pPr>
      <w:r>
        <w:rPr>
          <w:rFonts w:ascii="Palatino Linotype" w:eastAsia="Palatino Linotype" w:hAnsi="Palatino Linotype" w:cs="Palatino Linotype"/>
          <w:color w:val="000000"/>
        </w:rPr>
        <w:lastRenderedPageBreak/>
        <w:t xml:space="preserve">Por lo tanto, la interposición del recurso de revisión antes de que inicie el plazo para su presentación no es determinante para declararlo extemporáneo, siempre y cuando ello ocurra de manera posterior a que se ha notificado la respuesta del </w:t>
      </w:r>
      <w:r>
        <w:rPr>
          <w:rFonts w:ascii="Palatino Linotype" w:eastAsia="Palatino Linotype" w:hAnsi="Palatino Linotype" w:cs="Palatino Linotype"/>
          <w:b/>
          <w:color w:val="000000"/>
        </w:rPr>
        <w:t>SUJETO OBLIGADO</w:t>
      </w:r>
    </w:p>
    <w:p w:rsidR="009D1464" w:rsidRDefault="009D1464">
      <w:pPr>
        <w:pBdr>
          <w:top w:val="nil"/>
          <w:left w:val="nil"/>
          <w:bottom w:val="nil"/>
          <w:right w:val="nil"/>
          <w:between w:val="nil"/>
        </w:pBdr>
        <w:ind w:left="708"/>
        <w:rPr>
          <w:rFonts w:ascii="Palatino Linotype" w:eastAsia="Palatino Linotype" w:hAnsi="Palatino Linotype" w:cs="Palatino Linotype"/>
          <w:color w:val="000000"/>
        </w:rPr>
      </w:pPr>
    </w:p>
    <w:p w:rsidR="009D1464" w:rsidRDefault="00782C62">
      <w:pPr>
        <w:numPr>
          <w:ilvl w:val="0"/>
          <w:numId w:val="7"/>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Por otro lado, es de suma importancia señalar que la parte recurrente no proporciona un nombre completo o datos de identificación como se advierte en el detalle de seguimiento del SAIMEX, no obstante lo anterior, no proporcionar el nombre completo no es motivo para archivar la solicitud de acceso a la información pública como concluida, conforme a lo previsto en el artículo 155, penúltimo párrafo de la Ley de Transparencia y Acceso a la Información Pública del Estado de México y Municipios que establece lo siguiente:</w:t>
      </w:r>
    </w:p>
    <w:p w:rsidR="009D1464" w:rsidRDefault="009D1464">
      <w:pPr>
        <w:pBdr>
          <w:top w:val="nil"/>
          <w:left w:val="nil"/>
          <w:bottom w:val="nil"/>
          <w:right w:val="nil"/>
          <w:between w:val="nil"/>
        </w:pBdr>
        <w:spacing w:line="360" w:lineRule="auto"/>
        <w:jc w:val="both"/>
        <w:rPr>
          <w:rFonts w:ascii="Palatino Linotype" w:eastAsia="Palatino Linotype" w:hAnsi="Palatino Linotype" w:cs="Palatino Linotype"/>
          <w:color w:val="000000"/>
          <w:sz w:val="22"/>
          <w:szCs w:val="22"/>
        </w:rPr>
      </w:pPr>
    </w:p>
    <w:p w:rsidR="009D1464" w:rsidRDefault="00782C62">
      <w:pPr>
        <w:pBdr>
          <w:top w:val="nil"/>
          <w:left w:val="nil"/>
          <w:bottom w:val="nil"/>
          <w:right w:val="nil"/>
          <w:between w:val="nil"/>
        </w:pBd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w:t>
      </w:r>
      <w:r>
        <w:rPr>
          <w:rFonts w:ascii="Palatino Linotype" w:eastAsia="Palatino Linotype" w:hAnsi="Palatino Linotype" w:cs="Palatino Linotype"/>
          <w:b/>
          <w:i/>
          <w:color w:val="000000"/>
          <w:sz w:val="22"/>
          <w:szCs w:val="22"/>
        </w:rPr>
        <w:t>Las solicitudes anónimas</w:t>
      </w:r>
      <w:r>
        <w:rPr>
          <w:rFonts w:ascii="Palatino Linotype" w:eastAsia="Palatino Linotype" w:hAnsi="Palatino Linotype" w:cs="Palatino Linotype"/>
          <w:i/>
          <w:color w:val="000000"/>
          <w:sz w:val="22"/>
          <w:szCs w:val="22"/>
        </w:rPr>
        <w:t xml:space="preserve">, con nombre incompleto o seudónimo </w:t>
      </w:r>
      <w:r>
        <w:rPr>
          <w:rFonts w:ascii="Palatino Linotype" w:eastAsia="Palatino Linotype" w:hAnsi="Palatino Linotype" w:cs="Palatino Linotype"/>
          <w:b/>
          <w:i/>
          <w:color w:val="000000"/>
          <w:sz w:val="22"/>
          <w:szCs w:val="22"/>
        </w:rPr>
        <w:t>serán procedentes para su trámite por parte del sujeto obligado ante quien se presente</w:t>
      </w:r>
      <w:r>
        <w:rPr>
          <w:rFonts w:ascii="Palatino Linotype" w:eastAsia="Palatino Linotype" w:hAnsi="Palatino Linotype" w:cs="Palatino Linotype"/>
          <w:i/>
          <w:color w:val="000000"/>
          <w:sz w:val="22"/>
          <w:szCs w:val="22"/>
        </w:rPr>
        <w:t>. No podrá requerirse información adicional con motivo del nombre proporcionado por el solicitante.”</w:t>
      </w:r>
    </w:p>
    <w:p w:rsidR="009D1464" w:rsidRDefault="009D1464">
      <w:pPr>
        <w:pBdr>
          <w:top w:val="nil"/>
          <w:left w:val="nil"/>
          <w:bottom w:val="nil"/>
          <w:right w:val="nil"/>
          <w:between w:val="nil"/>
        </w:pBdr>
        <w:ind w:right="758"/>
        <w:rPr>
          <w:rFonts w:ascii="Palatino Linotype" w:eastAsia="Palatino Linotype" w:hAnsi="Palatino Linotype" w:cs="Palatino Linotype"/>
          <w:i/>
          <w:color w:val="000000"/>
        </w:rPr>
      </w:pPr>
    </w:p>
    <w:p w:rsidR="009D1464" w:rsidRDefault="00782C62">
      <w:pPr>
        <w:numPr>
          <w:ilvl w:val="0"/>
          <w:numId w:val="7"/>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Robusteciendo lo anterior se encuentra lo dispuesto en el artículo 6, Apartado A, fracciones III de la Constitución Política de los Estados Unidos Mexicanos que establece:</w:t>
      </w:r>
    </w:p>
    <w:p w:rsidR="009D1464" w:rsidRDefault="00782C62">
      <w:pPr>
        <w:pBdr>
          <w:top w:val="nil"/>
          <w:left w:val="nil"/>
          <w:bottom w:val="nil"/>
          <w:right w:val="nil"/>
          <w:between w:val="nil"/>
        </w:pBd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rPr>
        <w:t>“</w:t>
      </w:r>
      <w:r>
        <w:rPr>
          <w:rFonts w:ascii="Palatino Linotype" w:eastAsia="Palatino Linotype" w:hAnsi="Palatino Linotype" w:cs="Palatino Linotype"/>
          <w:b/>
          <w:i/>
          <w:color w:val="000000"/>
          <w:sz w:val="22"/>
          <w:szCs w:val="22"/>
        </w:rPr>
        <w:t>Artículo 6.-</w:t>
      </w:r>
      <w:r>
        <w:rPr>
          <w:rFonts w:ascii="Palatino Linotype" w:eastAsia="Palatino Linotype" w:hAnsi="Palatino Linotype" w:cs="Palatino Linotype"/>
          <w:i/>
          <w:color w:val="000000"/>
          <w:sz w:val="22"/>
          <w:szCs w:val="22"/>
        </w:rPr>
        <w:t xml:space="preserve"> La manifestación de las ideas no será objeto de ninguna inquisición judicial o administrativa, sino en el caso de que ataque a la moral, la vida privada o los derechos de terceros, provoque algún delito, o perturbe el orden público; el derecho de réplica será ejercido en los términos dispuestos por la ley. El derecho a la información será garantizado por el Estado.</w:t>
      </w:r>
    </w:p>
    <w:p w:rsidR="009D1464" w:rsidRDefault="00782C62">
      <w:pPr>
        <w:pBdr>
          <w:top w:val="nil"/>
          <w:left w:val="nil"/>
          <w:bottom w:val="nil"/>
          <w:right w:val="nil"/>
          <w:between w:val="nil"/>
        </w:pBdr>
        <w:spacing w:after="120"/>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Para efectos de lo dispuesto en el presente artículo se observará lo siguiente:</w:t>
      </w:r>
    </w:p>
    <w:p w:rsidR="009D1464" w:rsidRDefault="00782C62">
      <w:pPr>
        <w:pBdr>
          <w:top w:val="nil"/>
          <w:left w:val="nil"/>
          <w:bottom w:val="nil"/>
          <w:right w:val="nil"/>
          <w:between w:val="nil"/>
        </w:pBd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lastRenderedPageBreak/>
        <w:t>A. Para el ejercicio del derecho de acceso a la información, la Federación, los Estados y el Distrito Federal, en el ámbito de sus respectivas competencias, se regirán por los siguientes principios y bases:</w:t>
      </w:r>
    </w:p>
    <w:p w:rsidR="009D1464" w:rsidRDefault="00782C62">
      <w:pPr>
        <w:pBdr>
          <w:top w:val="nil"/>
          <w:left w:val="nil"/>
          <w:bottom w:val="nil"/>
          <w:right w:val="nil"/>
          <w:between w:val="nil"/>
        </w:pBd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III. Toda persona, sin necesidad de acreditar interés alguno o justificar su utilización, tendrá acceso gratuito a la información pública, a sus datos personales o a la rectificación de éstos.”(Sic)</w:t>
      </w:r>
    </w:p>
    <w:p w:rsidR="009D1464" w:rsidRDefault="009D1464">
      <w:pPr>
        <w:pBdr>
          <w:top w:val="nil"/>
          <w:left w:val="nil"/>
          <w:bottom w:val="nil"/>
          <w:right w:val="nil"/>
          <w:between w:val="nil"/>
        </w:pBdr>
        <w:ind w:left="360" w:hanging="76"/>
        <w:rPr>
          <w:rFonts w:ascii="Palatino Linotype" w:eastAsia="Palatino Linotype" w:hAnsi="Palatino Linotype" w:cs="Palatino Linotype"/>
          <w:i/>
          <w:color w:val="000000"/>
        </w:rPr>
      </w:pPr>
    </w:p>
    <w:p w:rsidR="009D1464" w:rsidRDefault="00782C62">
      <w:pPr>
        <w:numPr>
          <w:ilvl w:val="0"/>
          <w:numId w:val="7"/>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Así como el artículo 5 fracción III, párrafo vigésimo noveno, trigésimo y trigésimo primero, de la Constitución Política del Estado Libre y Soberano de México, que determina lo siguiente:</w:t>
      </w:r>
    </w:p>
    <w:p w:rsidR="009D1464" w:rsidRDefault="009D1464">
      <w:pPr>
        <w:pBdr>
          <w:top w:val="nil"/>
          <w:left w:val="nil"/>
          <w:bottom w:val="nil"/>
          <w:right w:val="nil"/>
          <w:between w:val="nil"/>
        </w:pBdr>
        <w:jc w:val="both"/>
        <w:rPr>
          <w:rFonts w:ascii="Palatino Linotype" w:eastAsia="Palatino Linotype" w:hAnsi="Palatino Linotype" w:cs="Palatino Linotype"/>
          <w:color w:val="000000"/>
          <w:sz w:val="22"/>
          <w:szCs w:val="22"/>
        </w:rPr>
      </w:pPr>
    </w:p>
    <w:p w:rsidR="009D1464" w:rsidRDefault="00782C62">
      <w:pPr>
        <w:pBdr>
          <w:top w:val="nil"/>
          <w:left w:val="nil"/>
          <w:bottom w:val="nil"/>
          <w:right w:val="nil"/>
          <w:between w:val="nil"/>
        </w:pBd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w:t>
      </w:r>
      <w:r>
        <w:rPr>
          <w:rFonts w:ascii="Palatino Linotype" w:eastAsia="Palatino Linotype" w:hAnsi="Palatino Linotype" w:cs="Palatino Linotype"/>
          <w:b/>
          <w:i/>
          <w:color w:val="000000"/>
          <w:sz w:val="22"/>
          <w:szCs w:val="22"/>
        </w:rPr>
        <w:t>Artículo 5.-</w:t>
      </w:r>
      <w:r>
        <w:rPr>
          <w:rFonts w:ascii="Palatino Linotype" w:eastAsia="Palatino Linotype" w:hAnsi="Palatino Linotype" w:cs="Palatino Linotype"/>
          <w:i/>
          <w:color w:val="000000"/>
          <w:sz w:val="22"/>
          <w:szCs w:val="22"/>
        </w:rPr>
        <w:t xml:space="preserve"> En el Estado de México todas las personas gozarán de los derechos humanos reconocidos en la Constitución Política de los Estados Unidos Mexicanos, en los tratados internacionales en los que el Estado mexicano sea parte, en esta Constitución y en las leyes que de ésta emanen, por lo que gozarán de las garantías para su protección, las cuales no podrán restringirse ni suspenderse salvo en los casos y bajo las condiciones que la Constitución Política de los Estados Unidos Mexicanos establece”.(Sic)</w:t>
      </w:r>
    </w:p>
    <w:p w:rsidR="009D1464" w:rsidRDefault="00782C62">
      <w:pPr>
        <w:ind w:left="1134"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w:t>
      </w:r>
    </w:p>
    <w:p w:rsidR="009D1464" w:rsidRDefault="00782C62">
      <w:pPr>
        <w:pBdr>
          <w:top w:val="nil"/>
          <w:left w:val="nil"/>
          <w:bottom w:val="nil"/>
          <w:right w:val="nil"/>
          <w:between w:val="nil"/>
        </w:pBd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Toda persona en el Estado de México, tiene derecho al libre acceso a la información plural y oportuna, así como a buscar recibir y difundir información e ideas de toda índole por cualquier medio de expresión.</w:t>
      </w:r>
    </w:p>
    <w:p w:rsidR="009D1464" w:rsidRDefault="00782C62">
      <w:pPr>
        <w:ind w:left="1134"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w:t>
      </w:r>
    </w:p>
    <w:p w:rsidR="009D1464" w:rsidRDefault="00782C62">
      <w:pPr>
        <w:pBdr>
          <w:top w:val="nil"/>
          <w:left w:val="nil"/>
          <w:bottom w:val="nil"/>
          <w:right w:val="nil"/>
          <w:between w:val="nil"/>
        </w:pBd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El derecho a la información será garantizado por el Estado. La ley establecerá las previsiones que permitan asegurar la protección, el respeto y la difusión de este derecho.</w:t>
      </w:r>
    </w:p>
    <w:p w:rsidR="009D1464" w:rsidRDefault="009D1464">
      <w:pPr>
        <w:pBdr>
          <w:top w:val="nil"/>
          <w:left w:val="nil"/>
          <w:bottom w:val="nil"/>
          <w:right w:val="nil"/>
          <w:between w:val="nil"/>
        </w:pBdr>
        <w:ind w:left="1134" w:right="900"/>
        <w:jc w:val="both"/>
        <w:rPr>
          <w:rFonts w:ascii="Palatino Linotype" w:eastAsia="Palatino Linotype" w:hAnsi="Palatino Linotype" w:cs="Palatino Linotype"/>
          <w:i/>
          <w:color w:val="000000"/>
          <w:sz w:val="22"/>
          <w:szCs w:val="22"/>
        </w:rPr>
      </w:pPr>
    </w:p>
    <w:p w:rsidR="009D1464" w:rsidRDefault="00782C62">
      <w:pPr>
        <w:pBdr>
          <w:top w:val="nil"/>
          <w:left w:val="nil"/>
          <w:bottom w:val="nil"/>
          <w:right w:val="nil"/>
          <w:between w:val="nil"/>
        </w:pBd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Para garantizar el ejercicio del derecho de transparencia, acceso a la información pública y protección de datos personales, los poderes públicos y los organismos autónomos, transparentarán sus acciones, en términos de las disposiciones aplicables, la información será oportuna, clara, veraz y de fácil acceso. Este derecho se regirá por los principios y bases siguientes:</w:t>
      </w:r>
    </w:p>
    <w:p w:rsidR="009D1464" w:rsidRDefault="00782C62">
      <w:pPr>
        <w:pBdr>
          <w:top w:val="nil"/>
          <w:left w:val="nil"/>
          <w:bottom w:val="nil"/>
          <w:right w:val="nil"/>
          <w:between w:val="nil"/>
        </w:pBd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III. Toda persona, sin necesidad de acreditar interés alguno o justificar su utilización, tendrá acceso gratuito a la información pública, a sus datos personales o a la rectificación de éstos;</w:t>
      </w:r>
    </w:p>
    <w:p w:rsidR="009D1464" w:rsidRDefault="00782C62">
      <w:pPr>
        <w:ind w:left="1134"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w:t>
      </w:r>
    </w:p>
    <w:p w:rsidR="009D1464" w:rsidRDefault="00782C62">
      <w:pPr>
        <w:pBdr>
          <w:top w:val="nil"/>
          <w:left w:val="nil"/>
          <w:bottom w:val="nil"/>
          <w:right w:val="nil"/>
          <w:between w:val="nil"/>
        </w:pBd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lastRenderedPageBreak/>
        <w:t>VIII. El Estado contará con un organismo autónomo, especializado, imparcial, colegiado, con personalidad jurídica y patrimonio propio, con plena autonomía técnica y de gestión, con capacidad para decidir sobre el ejercicio de su presupuesto y determinar su organización interna, responsable de garantizar el cumplimiento del derecho de transparencia, acceso a la información pública y a la protección de datos personales en posesión de los sujetos obligados en los términos que establezca la ley.” (Sic)</w:t>
      </w:r>
    </w:p>
    <w:p w:rsidR="009D1464" w:rsidRDefault="009D1464">
      <w:pPr>
        <w:pBdr>
          <w:top w:val="nil"/>
          <w:left w:val="nil"/>
          <w:bottom w:val="nil"/>
          <w:right w:val="nil"/>
          <w:between w:val="nil"/>
        </w:pBdr>
        <w:ind w:left="360" w:hanging="76"/>
        <w:rPr>
          <w:rFonts w:ascii="Palatino Linotype" w:eastAsia="Palatino Linotype" w:hAnsi="Palatino Linotype" w:cs="Palatino Linotype"/>
          <w:i/>
          <w:color w:val="000000"/>
        </w:rPr>
      </w:pPr>
    </w:p>
    <w:p w:rsidR="009D1464" w:rsidRDefault="00782C62">
      <w:pPr>
        <w:numPr>
          <w:ilvl w:val="0"/>
          <w:numId w:val="7"/>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Por otra parte, del contenido del artículo 1 de la Constitución Política de los Estados Unidos mexicanos, se destaca lo siguiente:</w:t>
      </w:r>
    </w:p>
    <w:p w:rsidR="009D1464" w:rsidRDefault="009D1464">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rsidR="009D1464" w:rsidRDefault="00782C62">
      <w:pPr>
        <w:pBdr>
          <w:top w:val="nil"/>
          <w:left w:val="nil"/>
          <w:bottom w:val="nil"/>
          <w:right w:val="nil"/>
          <w:between w:val="nil"/>
        </w:pBd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w:t>
      </w:r>
      <w:r>
        <w:rPr>
          <w:rFonts w:ascii="Palatino Linotype" w:eastAsia="Palatino Linotype" w:hAnsi="Palatino Linotype" w:cs="Palatino Linotype"/>
          <w:b/>
          <w:i/>
          <w:color w:val="000000"/>
          <w:sz w:val="22"/>
          <w:szCs w:val="22"/>
        </w:rPr>
        <w:t>Artículo 1</w:t>
      </w:r>
      <w:r>
        <w:rPr>
          <w:rFonts w:ascii="Palatino Linotype" w:eastAsia="Palatino Linotype" w:hAnsi="Palatino Linotype" w:cs="Palatino Linotype"/>
          <w:i/>
          <w:color w:val="000000"/>
          <w:sz w:val="22"/>
          <w:szCs w:val="22"/>
        </w:rPr>
        <w:t>. En los Estados Unidos Mexicanos todas las personas gozarán de los derechos humanos reconocidos en esta Constitución y en los tratados  internacionales de los que el Estado Mexicano sea parte, así como de las garantías para su protección, cuyo ejercicio no podrá restringirse ni suspenderse, salvo en los casos y bajo las condiciones que esta Constitución establece.</w:t>
      </w:r>
    </w:p>
    <w:p w:rsidR="009D1464" w:rsidRDefault="00782C62">
      <w:pPr>
        <w:pBdr>
          <w:top w:val="nil"/>
          <w:left w:val="nil"/>
          <w:bottom w:val="nil"/>
          <w:right w:val="nil"/>
          <w:between w:val="nil"/>
        </w:pBd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Las normas relativas a los derechos humanos se interpretarán de conformidad con esta Constitución y con los tratados internacionales de la materia favoreciendo en todo tiempo a las personas la protección más amplia.</w:t>
      </w:r>
    </w:p>
    <w:p w:rsidR="009D1464" w:rsidRDefault="00782C62">
      <w:pPr>
        <w:pBdr>
          <w:top w:val="nil"/>
          <w:left w:val="nil"/>
          <w:bottom w:val="nil"/>
          <w:right w:val="nil"/>
          <w:between w:val="nil"/>
        </w:pBd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Todas las autoridades, en el ámbito de sus competencias, tienen la obligación de promover, respetar, proteger y garantizar los derechos humanos de conformidad con los principios de universalidad, interdependencia, indivisibilidad y progresividad. En consecuencia, el Estado deberá prevenir, investigar, sancionar y reparar las violaciones a los derechos humanos, en los términos que establezca la ley.”(Sic)</w:t>
      </w:r>
    </w:p>
    <w:p w:rsidR="009D1464" w:rsidRDefault="009D1464">
      <w:pPr>
        <w:pBdr>
          <w:top w:val="nil"/>
          <w:left w:val="nil"/>
          <w:bottom w:val="nil"/>
          <w:right w:val="nil"/>
          <w:between w:val="nil"/>
        </w:pBdr>
        <w:ind w:left="360" w:firstLine="66"/>
        <w:rPr>
          <w:rFonts w:ascii="Palatino Linotype" w:eastAsia="Palatino Linotype" w:hAnsi="Palatino Linotype" w:cs="Palatino Linotype"/>
          <w:i/>
          <w:color w:val="000000"/>
          <w:sz w:val="22"/>
          <w:szCs w:val="22"/>
        </w:rPr>
      </w:pPr>
    </w:p>
    <w:p w:rsidR="009D1464" w:rsidRDefault="00782C62">
      <w:pPr>
        <w:numPr>
          <w:ilvl w:val="0"/>
          <w:numId w:val="7"/>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Esto es, que el derecho humano de acceso a la información pública, se aprecia que toda persona, sin necesidad de acreditar interés alguno o justificar su interposición, deberá tener acceso a la información pública, es decir, dicho </w:t>
      </w:r>
      <w:r>
        <w:rPr>
          <w:rFonts w:ascii="Palatino Linotype" w:eastAsia="Palatino Linotype" w:hAnsi="Palatino Linotype" w:cs="Palatino Linotype"/>
          <w:i/>
          <w:color w:val="000000"/>
        </w:rPr>
        <w:t>derecho fundamental exime a quien lo ejerce</w:t>
      </w:r>
      <w:r>
        <w:rPr>
          <w:rFonts w:ascii="Palatino Linotype" w:eastAsia="Palatino Linotype" w:hAnsi="Palatino Linotype" w:cs="Palatino Linotype"/>
          <w:color w:val="000000"/>
        </w:rPr>
        <w:t xml:space="preserve">, de acreditar su legitimación en la causa o su interés en el asunto, lo que permite la posibilidad de que, incluso, la solicitud de acceso a la </w:t>
      </w:r>
      <w:r>
        <w:rPr>
          <w:rFonts w:ascii="Palatino Linotype" w:eastAsia="Palatino Linotype" w:hAnsi="Palatino Linotype" w:cs="Palatino Linotype"/>
          <w:color w:val="000000"/>
        </w:rPr>
        <w:lastRenderedPageBreak/>
        <w:t>información pueda ser anónima o no contener un nombre que identifique al solicitante o que permita tener certeza sobre su identidad.</w:t>
      </w:r>
    </w:p>
    <w:p w:rsidR="009D1464" w:rsidRDefault="009D1464">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rsidR="009D1464" w:rsidRDefault="00782C62">
      <w:pPr>
        <w:numPr>
          <w:ilvl w:val="0"/>
          <w:numId w:val="7"/>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Lo que se fortalece con el Criterio 6/2014 del entonces Instituto Federal de Acceso a la Información y Protección de Datos, ahora Instituto Nacional de Transparencia Acceso a la Información y Protección de Datos Personales, el cual se reproduce para una mayor referencia:</w:t>
      </w:r>
    </w:p>
    <w:p w:rsidR="009D1464" w:rsidRDefault="009D1464">
      <w:pPr>
        <w:spacing w:line="360" w:lineRule="auto"/>
        <w:jc w:val="both"/>
        <w:rPr>
          <w:rFonts w:ascii="Palatino Linotype" w:eastAsia="Palatino Linotype" w:hAnsi="Palatino Linotype" w:cs="Palatino Linotype"/>
        </w:rPr>
      </w:pPr>
    </w:p>
    <w:p w:rsidR="009D1464" w:rsidRDefault="00782C62">
      <w:pPr>
        <w:pBdr>
          <w:top w:val="nil"/>
          <w:left w:val="nil"/>
          <w:bottom w:val="nil"/>
          <w:right w:val="nil"/>
          <w:between w:val="nil"/>
        </w:pBd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“Acceso a información gubernamental. No debe condicionarse a que el solicitante acredite su personalidad, demuestre interés alguno o justifique su utilización. De conformidad con lo dispuesto en los artículos 6º., apartado A, fracción III de la Constitución Política de los Estados Unidos Mexicanos, y 1º, 2º, 4º y 40 de la Ley Federal de Transparencia y Acceso a la Información Pública Gubernamental, la respuesta a una solicitud de acceso a información y entrega de la misma, no debe estar condicionada a que el particular acredite su personalidad, demuestre interés alguno o justifique su utilización, en virtud de que los sujetos obligados no deben requerir al solicitante mayores requisitos que los establecidos en la Ley. En este sentido, las dependencias y entidades, sólo deberán asegurarse de que, en su caso, se haya cubierto el pago de reproducción y envío de la información, mediante la exhibición del recibo correspondiente.”(Sic)</w:t>
      </w:r>
    </w:p>
    <w:p w:rsidR="009D1464" w:rsidRDefault="009D1464">
      <w:pPr>
        <w:pBdr>
          <w:top w:val="nil"/>
          <w:left w:val="nil"/>
          <w:bottom w:val="nil"/>
          <w:right w:val="nil"/>
          <w:between w:val="nil"/>
        </w:pBdr>
        <w:ind w:left="360" w:hanging="76"/>
        <w:jc w:val="both"/>
        <w:rPr>
          <w:rFonts w:ascii="Palatino Linotype" w:eastAsia="Palatino Linotype" w:hAnsi="Palatino Linotype" w:cs="Palatino Linotype"/>
          <w:i/>
          <w:color w:val="000000"/>
        </w:rPr>
      </w:pPr>
    </w:p>
    <w:p w:rsidR="009D1464" w:rsidRDefault="00782C62">
      <w:pPr>
        <w:numPr>
          <w:ilvl w:val="0"/>
          <w:numId w:val="7"/>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Asimismo, los escritos contienen las formalidades previstas por el artículo 180 último párrafo de la Ley de la materia actual, por lo que es procedente que este Instituto de Transparencia, Acceso a la Información Pública y Protección de Datos Personales del Estado de México y Municipios, conozca y resuelva el presente recurso.</w:t>
      </w:r>
    </w:p>
    <w:p w:rsidR="009D1464" w:rsidRDefault="009D1464">
      <w:pPr>
        <w:spacing w:line="360" w:lineRule="auto"/>
        <w:rPr>
          <w:rFonts w:ascii="Palatino Linotype" w:eastAsia="Palatino Linotype" w:hAnsi="Palatino Linotype" w:cs="Palatino Linotype"/>
        </w:rPr>
      </w:pPr>
    </w:p>
    <w:p w:rsidR="009D1464" w:rsidRDefault="00782C62">
      <w:pPr>
        <w:pStyle w:val="Ttulo1"/>
        <w:spacing w:before="0" w:line="360" w:lineRule="auto"/>
        <w:rPr>
          <w:rFonts w:ascii="Palatino Linotype" w:eastAsia="Palatino Linotype" w:hAnsi="Palatino Linotype" w:cs="Palatino Linotype"/>
          <w:b/>
          <w:color w:val="000000"/>
          <w:sz w:val="24"/>
          <w:szCs w:val="24"/>
        </w:rPr>
      </w:pPr>
      <w:bookmarkStart w:id="7" w:name="_heading=h.3dy6vkm" w:colFirst="0" w:colLast="0"/>
      <w:bookmarkEnd w:id="7"/>
      <w:r>
        <w:rPr>
          <w:rFonts w:ascii="Palatino Linotype" w:eastAsia="Palatino Linotype" w:hAnsi="Palatino Linotype" w:cs="Palatino Linotype"/>
          <w:b/>
          <w:color w:val="000000"/>
          <w:sz w:val="24"/>
          <w:szCs w:val="24"/>
        </w:rPr>
        <w:lastRenderedPageBreak/>
        <w:t xml:space="preserve">TERCERO. Del planteamiento de la </w:t>
      </w:r>
      <w:r>
        <w:rPr>
          <w:rFonts w:ascii="Palatino Linotype" w:eastAsia="Palatino Linotype" w:hAnsi="Palatino Linotype" w:cs="Palatino Linotype"/>
          <w:b/>
          <w:i/>
          <w:color w:val="000000"/>
          <w:sz w:val="24"/>
          <w:szCs w:val="24"/>
        </w:rPr>
        <w:t>Litis</w:t>
      </w:r>
      <w:r>
        <w:rPr>
          <w:rFonts w:ascii="Palatino Linotype" w:eastAsia="Palatino Linotype" w:hAnsi="Palatino Linotype" w:cs="Palatino Linotype"/>
          <w:b/>
          <w:color w:val="000000"/>
          <w:sz w:val="24"/>
          <w:szCs w:val="24"/>
        </w:rPr>
        <w:t>.</w:t>
      </w:r>
    </w:p>
    <w:p w:rsidR="009D1464" w:rsidRDefault="00782C62">
      <w:pPr>
        <w:numPr>
          <w:ilvl w:val="0"/>
          <w:numId w:val="7"/>
        </w:numPr>
        <w:pBdr>
          <w:top w:val="nil"/>
          <w:left w:val="nil"/>
          <w:bottom w:val="nil"/>
          <w:right w:val="nil"/>
          <w:between w:val="nil"/>
        </w:pBdr>
        <w:spacing w:line="360" w:lineRule="auto"/>
        <w:ind w:left="0" w:firstLine="0"/>
        <w:jc w:val="both"/>
        <w:rPr>
          <w:rFonts w:ascii="Palatino Linotype" w:eastAsia="Palatino Linotype" w:hAnsi="Palatino Linotype" w:cs="Palatino Linotype"/>
          <w:b/>
          <w:color w:val="000000"/>
        </w:rPr>
      </w:pPr>
      <w:r>
        <w:rPr>
          <w:rFonts w:ascii="Palatino Linotype" w:eastAsia="Palatino Linotype" w:hAnsi="Palatino Linotype" w:cs="Palatino Linotype"/>
          <w:color w:val="000000"/>
        </w:rPr>
        <w:t>De las constancias en el expediente al rubro indicado, se desprende que la particular solicitó la información que a continuación se desagrega:</w:t>
      </w:r>
    </w:p>
    <w:p w:rsidR="009D1464" w:rsidRDefault="009D1464">
      <w:pPr>
        <w:pBdr>
          <w:top w:val="nil"/>
          <w:left w:val="nil"/>
          <w:bottom w:val="nil"/>
          <w:right w:val="nil"/>
          <w:between w:val="nil"/>
        </w:pBdr>
        <w:spacing w:line="360" w:lineRule="auto"/>
        <w:ind w:left="1134" w:right="900"/>
        <w:jc w:val="both"/>
        <w:rPr>
          <w:rFonts w:ascii="Palatino Linotype" w:eastAsia="Palatino Linotype" w:hAnsi="Palatino Linotype" w:cs="Palatino Linotype"/>
          <w:b/>
          <w:color w:val="000000"/>
        </w:rPr>
      </w:pPr>
    </w:p>
    <w:p w:rsidR="009D1464" w:rsidRDefault="00782C62">
      <w:pPr>
        <w:pBdr>
          <w:top w:val="nil"/>
          <w:left w:val="nil"/>
          <w:bottom w:val="nil"/>
          <w:right w:val="nil"/>
          <w:between w:val="nil"/>
        </w:pBdr>
        <w:spacing w:line="360" w:lineRule="auto"/>
        <w:ind w:left="1134" w:right="900"/>
        <w:jc w:val="both"/>
        <w:rPr>
          <w:rFonts w:ascii="Palatino Linotype" w:eastAsia="Palatino Linotype" w:hAnsi="Palatino Linotype" w:cs="Palatino Linotype"/>
          <w:b/>
          <w:i/>
          <w:color w:val="000000"/>
        </w:rPr>
      </w:pPr>
      <w:r>
        <w:rPr>
          <w:rFonts w:ascii="Palatino Linotype" w:eastAsia="Palatino Linotype" w:hAnsi="Palatino Linotype" w:cs="Palatino Linotype"/>
          <w:b/>
          <w:i/>
          <w:color w:val="000000"/>
        </w:rPr>
        <w:t>De la Unidad de Transparencia del Ayuntamiento de Toluca</w:t>
      </w:r>
    </w:p>
    <w:p w:rsidR="009D1464" w:rsidRDefault="00782C62">
      <w:pPr>
        <w:numPr>
          <w:ilvl w:val="0"/>
          <w:numId w:val="6"/>
        </w:numPr>
        <w:pBdr>
          <w:top w:val="nil"/>
          <w:left w:val="nil"/>
          <w:bottom w:val="nil"/>
          <w:right w:val="nil"/>
          <w:between w:val="nil"/>
        </w:pBdr>
        <w:rPr>
          <w:rFonts w:ascii="Palatino Linotype" w:eastAsia="Palatino Linotype" w:hAnsi="Palatino Linotype" w:cs="Palatino Linotype"/>
          <w:b/>
          <w:i/>
          <w:color w:val="000000"/>
        </w:rPr>
      </w:pPr>
      <w:r>
        <w:rPr>
          <w:rFonts w:ascii="Palatino Linotype" w:eastAsia="Palatino Linotype" w:hAnsi="Palatino Linotype" w:cs="Palatino Linotype"/>
          <w:b/>
          <w:i/>
          <w:color w:val="000000"/>
        </w:rPr>
        <w:t xml:space="preserve">Oficios recibidos en el último mes de octubre </w:t>
      </w:r>
    </w:p>
    <w:p w:rsidR="009D1464" w:rsidRDefault="00782C62">
      <w:pPr>
        <w:numPr>
          <w:ilvl w:val="0"/>
          <w:numId w:val="6"/>
        </w:numPr>
        <w:pBdr>
          <w:top w:val="nil"/>
          <w:left w:val="nil"/>
          <w:bottom w:val="nil"/>
          <w:right w:val="nil"/>
          <w:between w:val="nil"/>
        </w:pBdr>
        <w:rPr>
          <w:rFonts w:ascii="Palatino Linotype" w:eastAsia="Palatino Linotype" w:hAnsi="Palatino Linotype" w:cs="Palatino Linotype"/>
          <w:b/>
          <w:i/>
          <w:color w:val="000000"/>
        </w:rPr>
      </w:pPr>
      <w:r>
        <w:rPr>
          <w:rFonts w:ascii="Palatino Linotype" w:eastAsia="Palatino Linotype" w:hAnsi="Palatino Linotype" w:cs="Palatino Linotype"/>
          <w:b/>
          <w:i/>
          <w:color w:val="000000"/>
        </w:rPr>
        <w:t xml:space="preserve">Oficio emitidos y recibidos en el último mes de agosto </w:t>
      </w:r>
    </w:p>
    <w:p w:rsidR="009D1464" w:rsidRDefault="00782C62">
      <w:pPr>
        <w:numPr>
          <w:ilvl w:val="0"/>
          <w:numId w:val="6"/>
        </w:numPr>
        <w:pBdr>
          <w:top w:val="nil"/>
          <w:left w:val="nil"/>
          <w:bottom w:val="nil"/>
          <w:right w:val="nil"/>
          <w:between w:val="nil"/>
        </w:pBdr>
        <w:rPr>
          <w:rFonts w:ascii="Palatino Linotype" w:eastAsia="Palatino Linotype" w:hAnsi="Palatino Linotype" w:cs="Palatino Linotype"/>
          <w:b/>
          <w:i/>
          <w:color w:val="000000"/>
        </w:rPr>
      </w:pPr>
      <w:r>
        <w:rPr>
          <w:rFonts w:ascii="Palatino Linotype" w:eastAsia="Palatino Linotype" w:hAnsi="Palatino Linotype" w:cs="Palatino Linotype"/>
          <w:b/>
          <w:i/>
          <w:color w:val="000000"/>
        </w:rPr>
        <w:t>Oficio emitidos y recibidos en el último mes de septiembre</w:t>
      </w:r>
    </w:p>
    <w:p w:rsidR="009D1464" w:rsidRDefault="00782C62">
      <w:pPr>
        <w:numPr>
          <w:ilvl w:val="0"/>
          <w:numId w:val="6"/>
        </w:numPr>
        <w:pBdr>
          <w:top w:val="nil"/>
          <w:left w:val="nil"/>
          <w:bottom w:val="nil"/>
          <w:right w:val="nil"/>
          <w:between w:val="nil"/>
        </w:pBdr>
        <w:rPr>
          <w:rFonts w:ascii="Palatino Linotype" w:eastAsia="Palatino Linotype" w:hAnsi="Palatino Linotype" w:cs="Palatino Linotype"/>
          <w:b/>
          <w:i/>
          <w:color w:val="000000"/>
        </w:rPr>
      </w:pPr>
      <w:r>
        <w:rPr>
          <w:rFonts w:ascii="Palatino Linotype" w:eastAsia="Palatino Linotype" w:hAnsi="Palatino Linotype" w:cs="Palatino Linotype"/>
          <w:b/>
          <w:i/>
          <w:color w:val="000000"/>
        </w:rPr>
        <w:t xml:space="preserve">Oficios emitidos y recibidos en el último mes de julio de dos mil veintitrés </w:t>
      </w:r>
    </w:p>
    <w:p w:rsidR="009D1464" w:rsidRDefault="009D1464">
      <w:pPr>
        <w:pBdr>
          <w:top w:val="nil"/>
          <w:left w:val="nil"/>
          <w:bottom w:val="nil"/>
          <w:right w:val="nil"/>
          <w:between w:val="nil"/>
        </w:pBdr>
        <w:ind w:left="1146"/>
        <w:rPr>
          <w:rFonts w:ascii="Palatino Linotype" w:eastAsia="Palatino Linotype" w:hAnsi="Palatino Linotype" w:cs="Palatino Linotype"/>
          <w:b/>
          <w:i/>
        </w:rPr>
      </w:pPr>
    </w:p>
    <w:p w:rsidR="009D1464" w:rsidRDefault="00782C62">
      <w:pPr>
        <w:numPr>
          <w:ilvl w:val="0"/>
          <w:numId w:val="7"/>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En respuesta, el </w:t>
      </w:r>
      <w:r>
        <w:rPr>
          <w:rFonts w:ascii="Palatino Linotype" w:eastAsia="Palatino Linotype" w:hAnsi="Palatino Linotype" w:cs="Palatino Linotype"/>
          <w:b/>
          <w:color w:val="000000"/>
        </w:rPr>
        <w:t xml:space="preserve">SUJETO OBLIGADO </w:t>
      </w:r>
      <w:r>
        <w:rPr>
          <w:rFonts w:ascii="Palatino Linotype" w:eastAsia="Palatino Linotype" w:hAnsi="Palatino Linotype" w:cs="Palatino Linotype"/>
          <w:color w:val="000000"/>
        </w:rPr>
        <w:t xml:space="preserve">remitió un archivo en formato pdf, por cada recurso de revisión, refiere </w:t>
      </w:r>
      <w:r>
        <w:rPr>
          <w:rFonts w:ascii="Palatino Linotype" w:eastAsia="Palatino Linotype" w:hAnsi="Palatino Linotype" w:cs="Palatino Linotype"/>
          <w:sz w:val="22"/>
          <w:szCs w:val="22"/>
        </w:rPr>
        <w:t xml:space="preserve">que se localizaron los documentos que colman la pretensión pero que no se encuentran digitalizados por no existir un precepto legal para determinar la obligatoriedad, situación por la cual le hace del conocimiento que tendrá que pagar la digitalización de las hojas. </w:t>
      </w:r>
    </w:p>
    <w:p w:rsidR="009D1464" w:rsidRDefault="009D1464">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rsidR="009D1464" w:rsidRDefault="00782C62">
      <w:pPr>
        <w:numPr>
          <w:ilvl w:val="0"/>
          <w:numId w:val="7"/>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En dichas condiciones, la </w:t>
      </w:r>
      <w:r>
        <w:rPr>
          <w:rFonts w:ascii="Palatino Linotype" w:eastAsia="Palatino Linotype" w:hAnsi="Palatino Linotype" w:cs="Palatino Linotype"/>
          <w:i/>
          <w:color w:val="000000"/>
        </w:rPr>
        <w:t>Litis</w:t>
      </w:r>
      <w:r>
        <w:rPr>
          <w:rFonts w:ascii="Palatino Linotype" w:eastAsia="Palatino Linotype" w:hAnsi="Palatino Linotype" w:cs="Palatino Linotype"/>
          <w:color w:val="000000"/>
        </w:rPr>
        <w:t xml:space="preserve"> a resolver en este recurso se circunscribe a determinar si se actualizan las causales de procedencia previstas en el artículo 179, </w:t>
      </w:r>
      <w:r>
        <w:rPr>
          <w:rFonts w:ascii="Palatino Linotype" w:eastAsia="Palatino Linotype" w:hAnsi="Palatino Linotype" w:cs="Palatino Linotype"/>
          <w:b/>
          <w:color w:val="000000"/>
        </w:rPr>
        <w:t xml:space="preserve">fracciones I y X </w:t>
      </w:r>
      <w:r>
        <w:rPr>
          <w:rFonts w:ascii="Palatino Linotype" w:eastAsia="Palatino Linotype" w:hAnsi="Palatino Linotype" w:cs="Palatino Linotype"/>
          <w:color w:val="000000"/>
        </w:rPr>
        <w:t>de la Ley</w:t>
      </w:r>
      <w:r>
        <w:rPr>
          <w:rFonts w:ascii="Palatino Linotype" w:eastAsia="Palatino Linotype" w:hAnsi="Palatino Linotype" w:cs="Palatino Linotype"/>
          <w:b/>
          <w:color w:val="000000"/>
        </w:rPr>
        <w:t xml:space="preserve"> de Transparencia y Acceso a la Información Pública del Estado de </w:t>
      </w:r>
      <w:r>
        <w:rPr>
          <w:rFonts w:ascii="Palatino Linotype" w:eastAsia="Palatino Linotype" w:hAnsi="Palatino Linotype" w:cs="Palatino Linotype"/>
          <w:color w:val="000000"/>
        </w:rPr>
        <w:t>México</w:t>
      </w:r>
      <w:r>
        <w:rPr>
          <w:rFonts w:ascii="Palatino Linotype" w:eastAsia="Palatino Linotype" w:hAnsi="Palatino Linotype" w:cs="Palatino Linotype"/>
          <w:b/>
          <w:color w:val="000000"/>
        </w:rPr>
        <w:t xml:space="preserve"> y Municipios</w:t>
      </w:r>
      <w:r>
        <w:rPr>
          <w:rFonts w:ascii="Palatino Linotype" w:eastAsia="Palatino Linotype" w:hAnsi="Palatino Linotype" w:cs="Palatino Linotype"/>
          <w:color w:val="000000"/>
        </w:rPr>
        <w:t xml:space="preserve">; fracciones que determinas las hipótesis jurídicas relativas a la negativa de la información solicitada y a los costos o tiempos de entrega de la información por parte del </w:t>
      </w:r>
      <w:r>
        <w:rPr>
          <w:rFonts w:ascii="Palatino Linotype" w:eastAsia="Palatino Linotype" w:hAnsi="Palatino Linotype" w:cs="Palatino Linotype"/>
          <w:b/>
          <w:color w:val="000000"/>
        </w:rPr>
        <w:t>SUJETO OBLIGADO</w:t>
      </w:r>
      <w:r>
        <w:rPr>
          <w:rFonts w:ascii="Palatino Linotype" w:eastAsia="Palatino Linotype" w:hAnsi="Palatino Linotype" w:cs="Palatino Linotype"/>
          <w:color w:val="000000"/>
        </w:rPr>
        <w:t xml:space="preserve">; contexto del cual se dolió </w:t>
      </w:r>
      <w:r>
        <w:rPr>
          <w:rFonts w:ascii="Palatino Linotype" w:eastAsia="Palatino Linotype" w:hAnsi="Palatino Linotype" w:cs="Palatino Linotype"/>
          <w:b/>
          <w:color w:val="000000"/>
        </w:rPr>
        <w:t xml:space="preserve">EL RECURRENTE </w:t>
      </w:r>
      <w:r>
        <w:rPr>
          <w:rFonts w:ascii="Palatino Linotype" w:eastAsia="Palatino Linotype" w:hAnsi="Palatino Linotype" w:cs="Palatino Linotype"/>
          <w:color w:val="000000"/>
        </w:rPr>
        <w:t>al momento de interponer su inconformidad.</w:t>
      </w:r>
    </w:p>
    <w:p w:rsidR="009D1464" w:rsidRDefault="009D1464">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rsidR="009D1464" w:rsidRDefault="00782C62">
      <w:pPr>
        <w:numPr>
          <w:ilvl w:val="0"/>
          <w:numId w:val="7"/>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lastRenderedPageBreak/>
        <w:t xml:space="preserve">De modo tal que el presente recurso de revisión se abocara en determinar si el </w:t>
      </w:r>
      <w:r>
        <w:rPr>
          <w:rFonts w:ascii="Palatino Linotype" w:eastAsia="Palatino Linotype" w:hAnsi="Palatino Linotype" w:cs="Palatino Linotype"/>
          <w:b/>
          <w:color w:val="000000"/>
        </w:rPr>
        <w:t>SUJETO OBLIGADO</w:t>
      </w:r>
      <w:r>
        <w:rPr>
          <w:rFonts w:ascii="Palatino Linotype" w:eastAsia="Palatino Linotype" w:hAnsi="Palatino Linotype" w:cs="Palatino Linotype"/>
          <w:color w:val="000000"/>
        </w:rPr>
        <w:t xml:space="preserve"> con su respuesta ciertamente actualiza las causales de procedencia</w:t>
      </w:r>
      <w:r>
        <w:rPr>
          <w:rFonts w:ascii="Palatino Linotype" w:eastAsia="Palatino Linotype" w:hAnsi="Palatino Linotype" w:cs="Palatino Linotype"/>
          <w:b/>
          <w:color w:val="000000"/>
        </w:rPr>
        <w:t xml:space="preserve"> </w:t>
      </w:r>
      <w:r>
        <w:rPr>
          <w:rFonts w:ascii="Palatino Linotype" w:eastAsia="Palatino Linotype" w:hAnsi="Palatino Linotype" w:cs="Palatino Linotype"/>
          <w:color w:val="000000"/>
        </w:rPr>
        <w:t>antes señaladas; asimismo, determinar si se vulnera el derecho de acceso a la información del particular por la inobservancia a los principios contenidos en el artículo 11 de la Ley de Transparencia y Acceso a la Información Pública del Estado de México y Municipios, los cuales señala entre otros, que en la generación y entrega de información se deberá garantizar que sea oportuna, expedita, completa e integral.</w:t>
      </w:r>
    </w:p>
    <w:p w:rsidR="009D1464" w:rsidRDefault="009D1464">
      <w:pPr>
        <w:pBdr>
          <w:top w:val="nil"/>
          <w:left w:val="nil"/>
          <w:bottom w:val="nil"/>
          <w:right w:val="nil"/>
          <w:between w:val="nil"/>
        </w:pBdr>
        <w:spacing w:line="360" w:lineRule="auto"/>
        <w:ind w:left="709"/>
        <w:rPr>
          <w:rFonts w:ascii="Palatino Linotype" w:eastAsia="Palatino Linotype" w:hAnsi="Palatino Linotype" w:cs="Palatino Linotype"/>
          <w:color w:val="000000"/>
        </w:rPr>
      </w:pPr>
    </w:p>
    <w:p w:rsidR="009D1464" w:rsidRDefault="00782C62">
      <w:pPr>
        <w:keepNext/>
        <w:keepLines/>
        <w:spacing w:line="360" w:lineRule="auto"/>
        <w:rPr>
          <w:rFonts w:ascii="Palatino Linotype" w:eastAsia="Palatino Linotype" w:hAnsi="Palatino Linotype" w:cs="Palatino Linotype"/>
          <w:b/>
          <w:color w:val="000000"/>
        </w:rPr>
      </w:pPr>
      <w:r>
        <w:rPr>
          <w:rFonts w:ascii="Palatino Linotype" w:eastAsia="Palatino Linotype" w:hAnsi="Palatino Linotype" w:cs="Palatino Linotype"/>
          <w:b/>
          <w:color w:val="000000"/>
        </w:rPr>
        <w:t>CUARTO. Del estudio y resolución del estudio.</w:t>
      </w:r>
    </w:p>
    <w:p w:rsidR="009D1464" w:rsidRDefault="00782C62">
      <w:pPr>
        <w:keepNext/>
        <w:keepLines/>
        <w:numPr>
          <w:ilvl w:val="0"/>
          <w:numId w:val="1"/>
        </w:numPr>
        <w:spacing w:after="240" w:line="360" w:lineRule="auto"/>
        <w:ind w:left="786"/>
        <w:rPr>
          <w:rFonts w:ascii="Palatino Linotype" w:eastAsia="Palatino Linotype" w:hAnsi="Palatino Linotype" w:cs="Palatino Linotype"/>
          <w:b/>
          <w:color w:val="000000"/>
        </w:rPr>
      </w:pPr>
      <w:r>
        <w:rPr>
          <w:rFonts w:ascii="Palatino Linotype" w:eastAsia="Palatino Linotype" w:hAnsi="Palatino Linotype" w:cs="Palatino Linotype"/>
          <w:b/>
          <w:color w:val="000000"/>
        </w:rPr>
        <w:t>Del derecho de acceso a la información.</w:t>
      </w:r>
    </w:p>
    <w:p w:rsidR="009D1464" w:rsidRDefault="00782C62">
      <w:pPr>
        <w:numPr>
          <w:ilvl w:val="0"/>
          <w:numId w:val="7"/>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El Derecho de Acceso a la Información Pública, es un derecho humano reconocido en el Pacto de Derechos Civiles y Políticos en su artículo 19.2; en la Convención Americana sobre Derechos Humanos en su artículo 13.1; en el artículo sexto de la Constitución Política de los Estados Unidos Mexicanos y en el artículo quinto de la Particular del Estado de México. </w:t>
      </w:r>
    </w:p>
    <w:p w:rsidR="009D1464" w:rsidRDefault="00782C62">
      <w:pPr>
        <w:numPr>
          <w:ilvl w:val="0"/>
          <w:numId w:val="7"/>
        </w:numPr>
        <w:spacing w:before="240" w:line="360" w:lineRule="auto"/>
        <w:ind w:left="0" w:right="49" w:firstLine="0"/>
        <w:jc w:val="both"/>
        <w:rPr>
          <w:rFonts w:ascii="Palatino Linotype" w:eastAsia="Palatino Linotype" w:hAnsi="Palatino Linotype" w:cs="Palatino Linotype"/>
        </w:rPr>
      </w:pPr>
      <w:r>
        <w:rPr>
          <w:rFonts w:ascii="Palatino Linotype" w:eastAsia="Palatino Linotype" w:hAnsi="Palatino Linotype" w:cs="Palatino Linotype"/>
        </w:rPr>
        <w:t xml:space="preserve">Definiendo el Derecho de Acceso a la Información Pública como: </w:t>
      </w:r>
      <w:r>
        <w:rPr>
          <w:rFonts w:ascii="Palatino Linotype" w:eastAsia="Palatino Linotype" w:hAnsi="Palatino Linotype" w:cs="Palatino Linotype"/>
          <w:i/>
          <w:color w:val="000000"/>
        </w:rPr>
        <w:t>La igualdad de oportunidades para recibir, buscar e impartir información</w:t>
      </w:r>
      <w:r>
        <w:rPr>
          <w:rFonts w:ascii="Palatino Linotype" w:eastAsia="Palatino Linotype" w:hAnsi="Palatino Linotype" w:cs="Palatino Linotype"/>
          <w:i/>
          <w:vertAlign w:val="superscript"/>
        </w:rPr>
        <w:footnoteReference w:id="2"/>
      </w:r>
      <w:r>
        <w:rPr>
          <w:rFonts w:ascii="Palatino Linotype" w:eastAsia="Palatino Linotype" w:hAnsi="Palatino Linotype" w:cs="Palatino Linotype"/>
          <w:i/>
          <w:color w:val="000000"/>
        </w:rPr>
        <w:t xml:space="preserve">en posesión de cualquier autoridad, entidad, órgano y organismo de los poderes Ejecutivo, Legislativo y Judicial, órganos autónomos, partidos políticos, fideicomisos y fondos públicos, así como de cualquier persona física, moral o sindicato que reciba y ejerza recursos públicos o realice actos de </w:t>
      </w:r>
      <w:r>
        <w:rPr>
          <w:rFonts w:ascii="Palatino Linotype" w:eastAsia="Palatino Linotype" w:hAnsi="Palatino Linotype" w:cs="Palatino Linotype"/>
          <w:i/>
          <w:color w:val="000000"/>
        </w:rPr>
        <w:lastRenderedPageBreak/>
        <w:t>autoridad en el ámbito federal, estatal y municipal,</w:t>
      </w:r>
      <w:r>
        <w:rPr>
          <w:rFonts w:ascii="Palatino Linotype" w:eastAsia="Palatino Linotype" w:hAnsi="Palatino Linotype" w:cs="Palatino Linotype"/>
          <w:i/>
          <w:vertAlign w:val="superscript"/>
        </w:rPr>
        <w:footnoteReference w:id="3"/>
      </w:r>
      <w:r>
        <w:rPr>
          <w:rFonts w:ascii="Palatino Linotype" w:eastAsia="Palatino Linotype" w:hAnsi="Palatino Linotype" w:cs="Palatino Linotype"/>
          <w:color w:val="000000"/>
        </w:rPr>
        <w:t>que se constituye como una herramienta fundamental para ejercer</w:t>
      </w:r>
      <w:r>
        <w:rPr>
          <w:rFonts w:ascii="Palatino Linotype" w:eastAsia="Palatino Linotype" w:hAnsi="Palatino Linotype" w:cs="Palatino Linotype"/>
          <w:i/>
          <w:color w:val="000000"/>
        </w:rPr>
        <w:t xml:space="preserve"> el control democrático de las gestiones estatales, de forma tal que puedan cuestionar, indagar y considerar si se está dando un adecuado cumplimiento a las funciones públicas,</w:t>
      </w:r>
      <w:r>
        <w:rPr>
          <w:rFonts w:ascii="Palatino Linotype" w:eastAsia="Palatino Linotype" w:hAnsi="Palatino Linotype" w:cs="Palatino Linotype"/>
          <w:i/>
          <w:vertAlign w:val="superscript"/>
        </w:rPr>
        <w:footnoteReference w:id="4"/>
      </w:r>
      <w:r>
        <w:rPr>
          <w:rFonts w:ascii="Palatino Linotype" w:eastAsia="Palatino Linotype" w:hAnsi="Palatino Linotype" w:cs="Palatino Linotype"/>
          <w:color w:val="000000"/>
        </w:rPr>
        <w:t>fomentando</w:t>
      </w:r>
      <w:r>
        <w:rPr>
          <w:rFonts w:ascii="Palatino Linotype" w:eastAsia="Palatino Linotype" w:hAnsi="Palatino Linotype" w:cs="Palatino Linotype"/>
          <w:i/>
          <w:color w:val="000000"/>
        </w:rPr>
        <w:t xml:space="preserve"> la transparencia de las actividades estatales y </w:t>
      </w:r>
      <w:r>
        <w:rPr>
          <w:rFonts w:ascii="Palatino Linotype" w:eastAsia="Palatino Linotype" w:hAnsi="Palatino Linotype" w:cs="Palatino Linotype"/>
          <w:color w:val="000000"/>
        </w:rPr>
        <w:t>promoviendo</w:t>
      </w:r>
      <w:r>
        <w:rPr>
          <w:rFonts w:ascii="Palatino Linotype" w:eastAsia="Palatino Linotype" w:hAnsi="Palatino Linotype" w:cs="Palatino Linotype"/>
          <w:i/>
          <w:color w:val="000000"/>
        </w:rPr>
        <w:t xml:space="preserve"> la responsabilidad de los funcionarios sobre su gestión pública,</w:t>
      </w:r>
      <w:r>
        <w:rPr>
          <w:rFonts w:ascii="Palatino Linotype" w:eastAsia="Palatino Linotype" w:hAnsi="Palatino Linotype" w:cs="Palatino Linotype"/>
          <w:i/>
          <w:vertAlign w:val="superscript"/>
        </w:rPr>
        <w:footnoteReference w:id="5"/>
      </w:r>
      <w:r>
        <w:rPr>
          <w:rFonts w:ascii="Palatino Linotype" w:eastAsia="Palatino Linotype" w:hAnsi="Palatino Linotype" w:cs="Palatino Linotype"/>
          <w:color w:val="000000"/>
        </w:rPr>
        <w:t>que permite</w:t>
      </w:r>
      <w:r>
        <w:rPr>
          <w:rFonts w:ascii="Palatino Linotype" w:eastAsia="Palatino Linotype" w:hAnsi="Palatino Linotype" w:cs="Palatino Linotype"/>
          <w:i/>
          <w:color w:val="000000"/>
        </w:rPr>
        <w:t xml:space="preserve"> saber qué están haciendo los gobiernos por sus pueblos, sin lo cual la verdad languidecería y la participación en el gobierno permanecería fragmentada.</w:t>
      </w:r>
    </w:p>
    <w:p w:rsidR="009D1464" w:rsidRDefault="009D1464">
      <w:pPr>
        <w:spacing w:line="360" w:lineRule="auto"/>
        <w:ind w:right="49"/>
        <w:jc w:val="both"/>
        <w:rPr>
          <w:rFonts w:ascii="Palatino Linotype" w:eastAsia="Palatino Linotype" w:hAnsi="Palatino Linotype" w:cs="Palatino Linotype"/>
        </w:rPr>
      </w:pPr>
    </w:p>
    <w:p w:rsidR="009D1464" w:rsidRDefault="00782C62">
      <w:pPr>
        <w:numPr>
          <w:ilvl w:val="0"/>
          <w:numId w:val="7"/>
        </w:numPr>
        <w:spacing w:line="360" w:lineRule="auto"/>
        <w:ind w:left="0" w:right="49" w:firstLine="0"/>
        <w:jc w:val="both"/>
        <w:rPr>
          <w:rFonts w:ascii="Palatino Linotype" w:eastAsia="Palatino Linotype" w:hAnsi="Palatino Linotype" w:cs="Palatino Linotype"/>
        </w:rPr>
      </w:pPr>
      <w:r>
        <w:rPr>
          <w:rFonts w:ascii="Palatino Linotype" w:eastAsia="Palatino Linotype" w:hAnsi="Palatino Linotype" w:cs="Palatino Linotype"/>
        </w:rPr>
        <w:t>En México, además de los derechos, están reconocidas las garantías para su protección, en ese sentido el párrafo tercero de artículo primero de la Constitución Política de los Estados Unidos Mexicanos dispone lo siguiente:</w:t>
      </w:r>
    </w:p>
    <w:p w:rsidR="009D1464" w:rsidRDefault="009D1464">
      <w:pPr>
        <w:ind w:right="49"/>
        <w:jc w:val="both"/>
        <w:rPr>
          <w:rFonts w:ascii="Palatino Linotype" w:eastAsia="Palatino Linotype" w:hAnsi="Palatino Linotype" w:cs="Palatino Linotype"/>
        </w:rPr>
      </w:pPr>
    </w:p>
    <w:p w:rsidR="009D1464" w:rsidRDefault="00782C62">
      <w:pPr>
        <w:ind w:left="1134"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w:t>
      </w:r>
      <w:r>
        <w:rPr>
          <w:rFonts w:ascii="Palatino Linotype" w:eastAsia="Palatino Linotype" w:hAnsi="Palatino Linotype" w:cs="Palatino Linotype"/>
          <w:b/>
          <w:i/>
          <w:sz w:val="22"/>
          <w:szCs w:val="22"/>
        </w:rPr>
        <w:t>Artículo 1.-</w:t>
      </w:r>
      <w:r>
        <w:rPr>
          <w:rFonts w:ascii="Palatino Linotype" w:eastAsia="Palatino Linotype" w:hAnsi="Palatino Linotype" w:cs="Palatino Linotype"/>
          <w:i/>
          <w:sz w:val="22"/>
          <w:szCs w:val="22"/>
        </w:rPr>
        <w:t xml:space="preserve"> </w:t>
      </w:r>
    </w:p>
    <w:p w:rsidR="009D1464" w:rsidRDefault="00782C62">
      <w:pPr>
        <w:ind w:left="1134"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w:t>
      </w:r>
    </w:p>
    <w:p w:rsidR="009D1464" w:rsidRDefault="00782C62">
      <w:pPr>
        <w:ind w:left="1134"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Todas las</w:t>
      </w:r>
      <w:r>
        <w:rPr>
          <w:rFonts w:ascii="Palatino Linotype" w:eastAsia="Palatino Linotype" w:hAnsi="Palatino Linotype" w:cs="Palatino Linotype"/>
          <w:sz w:val="22"/>
          <w:szCs w:val="22"/>
        </w:rPr>
        <w:t xml:space="preserve"> </w:t>
      </w:r>
      <w:r>
        <w:rPr>
          <w:rFonts w:ascii="Palatino Linotype" w:eastAsia="Palatino Linotype" w:hAnsi="Palatino Linotype" w:cs="Palatino Linotype"/>
          <w:i/>
          <w:sz w:val="22"/>
          <w:szCs w:val="22"/>
        </w:rPr>
        <w:t>autoridades, en el ámbito de sus competencias, tienen la obligación de promover, respetar, proteger y garantizar los derechos humanos de conformidad con los principios de universalidad, interdependencia, indivisibilidad y progresividad. En consecuencia, el Estado deberá prevenir, investigar, sancionar y reparar las violaciones a los derechos humanos, en los términos que establezca la ley.</w:t>
      </w:r>
    </w:p>
    <w:p w:rsidR="009D1464" w:rsidRDefault="00782C62">
      <w:pPr>
        <w:ind w:left="1134" w:right="900"/>
        <w:jc w:val="both"/>
        <w:rPr>
          <w:rFonts w:ascii="Palatino Linotype" w:eastAsia="Palatino Linotype" w:hAnsi="Palatino Linotype" w:cs="Palatino Linotype"/>
          <w:sz w:val="22"/>
          <w:szCs w:val="22"/>
        </w:rPr>
      </w:pPr>
      <w:r>
        <w:rPr>
          <w:rFonts w:ascii="Palatino Linotype" w:eastAsia="Palatino Linotype" w:hAnsi="Palatino Linotype" w:cs="Palatino Linotype"/>
          <w:i/>
          <w:sz w:val="22"/>
          <w:szCs w:val="22"/>
        </w:rPr>
        <w:t>(…)</w:t>
      </w:r>
      <w:r>
        <w:rPr>
          <w:rFonts w:ascii="Palatino Linotype" w:eastAsia="Palatino Linotype" w:hAnsi="Palatino Linotype" w:cs="Palatino Linotype"/>
          <w:sz w:val="22"/>
          <w:szCs w:val="22"/>
        </w:rPr>
        <w:t>”.</w:t>
      </w:r>
    </w:p>
    <w:p w:rsidR="009D1464" w:rsidRDefault="009D1464">
      <w:pPr>
        <w:ind w:right="567"/>
        <w:jc w:val="both"/>
        <w:rPr>
          <w:rFonts w:ascii="Palatino Linotype" w:eastAsia="Palatino Linotype" w:hAnsi="Palatino Linotype" w:cs="Palatino Linotype"/>
          <w:b/>
        </w:rPr>
      </w:pPr>
    </w:p>
    <w:p w:rsidR="009D1464" w:rsidRDefault="00782C62">
      <w:pPr>
        <w:numPr>
          <w:ilvl w:val="0"/>
          <w:numId w:val="7"/>
        </w:numPr>
        <w:spacing w:line="360" w:lineRule="auto"/>
        <w:ind w:left="0" w:right="49" w:firstLine="0"/>
        <w:jc w:val="both"/>
        <w:rPr>
          <w:rFonts w:ascii="Palatino Linotype" w:eastAsia="Palatino Linotype" w:hAnsi="Palatino Linotype" w:cs="Palatino Linotype"/>
        </w:rPr>
      </w:pPr>
      <w:r>
        <w:rPr>
          <w:rFonts w:ascii="Palatino Linotype" w:eastAsia="Palatino Linotype" w:hAnsi="Palatino Linotype" w:cs="Palatino Linotype"/>
        </w:rPr>
        <w:t xml:space="preserve">Por lo anterior, se deduce que el Derecho de Acceso a la Información Pública es un Derecho Humano de Fuente Internacional y Constitucionalmente reconocido. </w:t>
      </w:r>
      <w:r>
        <w:rPr>
          <w:rFonts w:ascii="Palatino Linotype" w:eastAsia="Palatino Linotype" w:hAnsi="Palatino Linotype" w:cs="Palatino Linotype"/>
        </w:rPr>
        <w:lastRenderedPageBreak/>
        <w:t>Además del derecho, también se reconocen garantías para su protección, lo que vincula con el mandato del párrafo tercero del mismo artículo.</w:t>
      </w:r>
    </w:p>
    <w:p w:rsidR="009D1464" w:rsidRDefault="009D1464">
      <w:pPr>
        <w:spacing w:line="360" w:lineRule="auto"/>
        <w:ind w:right="49"/>
        <w:jc w:val="both"/>
        <w:rPr>
          <w:rFonts w:ascii="Palatino Linotype" w:eastAsia="Palatino Linotype" w:hAnsi="Palatino Linotype" w:cs="Palatino Linotype"/>
        </w:rPr>
      </w:pPr>
    </w:p>
    <w:p w:rsidR="009D1464" w:rsidRDefault="00782C62">
      <w:pPr>
        <w:numPr>
          <w:ilvl w:val="0"/>
          <w:numId w:val="7"/>
        </w:numPr>
        <w:spacing w:line="360" w:lineRule="auto"/>
        <w:ind w:left="0" w:right="49" w:firstLine="0"/>
        <w:jc w:val="both"/>
        <w:rPr>
          <w:rFonts w:ascii="Palatino Linotype" w:eastAsia="Palatino Linotype" w:hAnsi="Palatino Linotype" w:cs="Palatino Linotype"/>
        </w:rPr>
      </w:pPr>
      <w:r>
        <w:rPr>
          <w:rFonts w:ascii="Palatino Linotype" w:eastAsia="Palatino Linotype" w:hAnsi="Palatino Linotype" w:cs="Palatino Linotype"/>
        </w:rPr>
        <w:t>Así, conforme a la Constitución Política de las Estado Unidos Mexicanos y la Constitución Política del Estado Libre y Soberano de México respectivamente, el cumplimiento de las garantías primarias, entendidas como obligaciones inmediatamente relacionadas con el Derecho de Acceso a la Información Pública, permiten que todas las autoridades, en el ámbito de sus atribuciones lo respeten, protejan y garanticen.</w:t>
      </w:r>
    </w:p>
    <w:p w:rsidR="009D1464" w:rsidRDefault="009D1464">
      <w:pPr>
        <w:spacing w:line="360" w:lineRule="auto"/>
        <w:ind w:right="49"/>
        <w:jc w:val="both"/>
        <w:rPr>
          <w:rFonts w:ascii="Palatino Linotype" w:eastAsia="Palatino Linotype" w:hAnsi="Palatino Linotype" w:cs="Palatino Linotype"/>
        </w:rPr>
      </w:pPr>
    </w:p>
    <w:p w:rsidR="009D1464" w:rsidRDefault="00782C62">
      <w:pPr>
        <w:spacing w:after="240"/>
        <w:ind w:left="1134" w:right="900"/>
        <w:jc w:val="both"/>
        <w:rPr>
          <w:rFonts w:ascii="Palatino Linotype" w:eastAsia="Palatino Linotype" w:hAnsi="Palatino Linotype" w:cs="Palatino Linotype"/>
          <w:b/>
          <w:i/>
          <w:sz w:val="22"/>
          <w:szCs w:val="22"/>
        </w:rPr>
      </w:pPr>
      <w:r>
        <w:rPr>
          <w:rFonts w:ascii="Palatino Linotype" w:eastAsia="Palatino Linotype" w:hAnsi="Palatino Linotype" w:cs="Palatino Linotype"/>
          <w:b/>
          <w:i/>
          <w:sz w:val="22"/>
          <w:szCs w:val="22"/>
        </w:rPr>
        <w:t>Constitución Política de los Estados Unidos Mexicanos</w:t>
      </w:r>
    </w:p>
    <w:p w:rsidR="009D1464" w:rsidRDefault="00782C62">
      <w:pPr>
        <w:spacing w:before="240" w:after="240"/>
        <w:ind w:left="1134" w:right="900"/>
        <w:jc w:val="both"/>
        <w:rPr>
          <w:rFonts w:ascii="Palatino Linotype" w:eastAsia="Palatino Linotype" w:hAnsi="Palatino Linotype" w:cs="Palatino Linotype"/>
          <w:b/>
          <w:i/>
          <w:sz w:val="22"/>
          <w:szCs w:val="22"/>
        </w:rPr>
      </w:pPr>
      <w:r>
        <w:rPr>
          <w:rFonts w:ascii="Palatino Linotype" w:eastAsia="Palatino Linotype" w:hAnsi="Palatino Linotype" w:cs="Palatino Linotype"/>
          <w:b/>
          <w:i/>
          <w:sz w:val="22"/>
          <w:szCs w:val="22"/>
        </w:rPr>
        <w:t>“Artículo 6.</w:t>
      </w:r>
    </w:p>
    <w:p w:rsidR="009D1464" w:rsidRDefault="00782C62">
      <w:pPr>
        <w:spacing w:before="240" w:after="240"/>
        <w:ind w:left="1134"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w:t>
      </w:r>
    </w:p>
    <w:p w:rsidR="009D1464" w:rsidRDefault="00782C62">
      <w:pPr>
        <w:spacing w:before="240" w:after="240"/>
        <w:ind w:left="1134"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Para efectos de lo dispuesto en el presente artículo se observará lo siguiente:</w:t>
      </w:r>
    </w:p>
    <w:p w:rsidR="009D1464" w:rsidRDefault="00782C62">
      <w:pPr>
        <w:spacing w:before="240" w:after="240"/>
        <w:ind w:left="1134" w:right="900"/>
        <w:jc w:val="both"/>
        <w:rPr>
          <w:rFonts w:ascii="Palatino Linotype" w:eastAsia="Palatino Linotype" w:hAnsi="Palatino Linotype" w:cs="Palatino Linotype"/>
          <w:b/>
          <w:i/>
          <w:sz w:val="22"/>
          <w:szCs w:val="22"/>
        </w:rPr>
      </w:pPr>
      <w:r>
        <w:rPr>
          <w:rFonts w:ascii="Palatino Linotype" w:eastAsia="Palatino Linotype" w:hAnsi="Palatino Linotype" w:cs="Palatino Linotype"/>
          <w:b/>
          <w:i/>
          <w:sz w:val="22"/>
          <w:szCs w:val="22"/>
        </w:rPr>
        <w:t>A</w:t>
      </w:r>
      <w:r>
        <w:rPr>
          <w:rFonts w:ascii="Palatino Linotype" w:eastAsia="Palatino Linotype" w:hAnsi="Palatino Linotype" w:cs="Palatino Linotype"/>
          <w:i/>
          <w:sz w:val="22"/>
          <w:szCs w:val="22"/>
        </w:rPr>
        <w:t xml:space="preserve">. </w:t>
      </w:r>
      <w:r>
        <w:rPr>
          <w:rFonts w:ascii="Palatino Linotype" w:eastAsia="Palatino Linotype" w:hAnsi="Palatino Linotype" w:cs="Palatino Linotype"/>
          <w:b/>
          <w:i/>
          <w:sz w:val="22"/>
          <w:szCs w:val="22"/>
        </w:rPr>
        <w:t>Para el ejercicio del derecho de acceso a la información</w:t>
      </w:r>
      <w:r>
        <w:rPr>
          <w:rFonts w:ascii="Palatino Linotype" w:eastAsia="Palatino Linotype" w:hAnsi="Palatino Linotype" w:cs="Palatino Linotype"/>
          <w:i/>
          <w:sz w:val="22"/>
          <w:szCs w:val="22"/>
        </w:rPr>
        <w:t xml:space="preserve">, la Federación y </w:t>
      </w:r>
      <w:r>
        <w:rPr>
          <w:rFonts w:ascii="Palatino Linotype" w:eastAsia="Palatino Linotype" w:hAnsi="Palatino Linotype" w:cs="Palatino Linotype"/>
          <w:b/>
          <w:i/>
          <w:sz w:val="22"/>
          <w:szCs w:val="22"/>
        </w:rPr>
        <w:t>las entidades federativas, en el ámbito de sus respectivas competencias, se regirán por los siguientes principios y bases:</w:t>
      </w:r>
    </w:p>
    <w:p w:rsidR="009D1464" w:rsidRDefault="00782C62">
      <w:pPr>
        <w:spacing w:before="240" w:after="240"/>
        <w:ind w:left="1134"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b/>
          <w:i/>
          <w:sz w:val="22"/>
          <w:szCs w:val="22"/>
        </w:rPr>
        <w:t xml:space="preserve">I. </w:t>
      </w:r>
      <w:r>
        <w:rPr>
          <w:rFonts w:ascii="Palatino Linotype" w:eastAsia="Palatino Linotype" w:hAnsi="Palatino Linotype" w:cs="Palatino Linotype"/>
          <w:b/>
          <w:i/>
          <w:sz w:val="22"/>
          <w:szCs w:val="22"/>
        </w:rPr>
        <w:tab/>
        <w:t>Toda la información en posesión de cualquier</w:t>
      </w:r>
      <w:r>
        <w:rPr>
          <w:rFonts w:ascii="Palatino Linotype" w:eastAsia="Palatino Linotype" w:hAnsi="Palatino Linotype" w:cs="Palatino Linotype"/>
          <w:i/>
          <w:sz w:val="22"/>
          <w:szCs w:val="22"/>
        </w:rPr>
        <w:t xml:space="preserve"> </w:t>
      </w:r>
      <w:r>
        <w:rPr>
          <w:rFonts w:ascii="Palatino Linotype" w:eastAsia="Palatino Linotype" w:hAnsi="Palatino Linotype" w:cs="Palatino Linotype"/>
          <w:b/>
          <w:i/>
          <w:sz w:val="22"/>
          <w:szCs w:val="22"/>
        </w:rPr>
        <w:t>autoridad</w:t>
      </w:r>
      <w:r>
        <w:rPr>
          <w:rFonts w:ascii="Palatino Linotype" w:eastAsia="Palatino Linotype" w:hAnsi="Palatino Linotype" w:cs="Palatino Linotype"/>
          <w:i/>
          <w:sz w:val="22"/>
          <w:szCs w:val="22"/>
        </w:rPr>
        <w:t xml:space="preserve">, entidad, órgano y organismo de los Poderes Ejecutivo, Legislativo y Judicial, órganos autónomos, partidos políticos, fideicomisos y fondos públicos, así como de cualquier persona física, moral o sindicato que reciba y ejerza recursos públicos o realice actos de autoridad en el ámbito federal, estatal y </w:t>
      </w:r>
      <w:r>
        <w:rPr>
          <w:rFonts w:ascii="Palatino Linotype" w:eastAsia="Palatino Linotype" w:hAnsi="Palatino Linotype" w:cs="Palatino Linotype"/>
          <w:b/>
          <w:i/>
          <w:sz w:val="22"/>
          <w:szCs w:val="22"/>
        </w:rPr>
        <w:t>municipal</w:t>
      </w:r>
      <w:r>
        <w:rPr>
          <w:rFonts w:ascii="Palatino Linotype" w:eastAsia="Palatino Linotype" w:hAnsi="Palatino Linotype" w:cs="Palatino Linotype"/>
          <w:i/>
          <w:sz w:val="22"/>
          <w:szCs w:val="22"/>
        </w:rPr>
        <w:t xml:space="preserve">, </w:t>
      </w:r>
      <w:r>
        <w:rPr>
          <w:rFonts w:ascii="Palatino Linotype" w:eastAsia="Palatino Linotype" w:hAnsi="Palatino Linotype" w:cs="Palatino Linotype"/>
          <w:b/>
          <w:i/>
          <w:sz w:val="22"/>
          <w:szCs w:val="22"/>
        </w:rPr>
        <w:t>es pública</w:t>
      </w:r>
      <w:r>
        <w:rPr>
          <w:rFonts w:ascii="Palatino Linotype" w:eastAsia="Palatino Linotype" w:hAnsi="Palatino Linotype" w:cs="Palatino Linotype"/>
          <w:i/>
          <w:sz w:val="22"/>
          <w:szCs w:val="22"/>
        </w:rPr>
        <w:t xml:space="preserve"> y sólo podrá ser reservada temporalmente por razones de interés público y seguridad nacional, en los términos que fijen las leyes. </w:t>
      </w:r>
      <w:r>
        <w:rPr>
          <w:rFonts w:ascii="Palatino Linotype" w:eastAsia="Palatino Linotype" w:hAnsi="Palatino Linotype" w:cs="Palatino Linotype"/>
          <w:b/>
          <w:i/>
          <w:sz w:val="22"/>
          <w:szCs w:val="22"/>
        </w:rPr>
        <w:t xml:space="preserve">En la interpretación de este derecho deberá prevalecer el principio de máxima publicidad. Los sujetos obligados deberán documentar todo acto que derive del ejercicio de sus facultades, competencias o </w:t>
      </w:r>
      <w:r>
        <w:rPr>
          <w:rFonts w:ascii="Palatino Linotype" w:eastAsia="Palatino Linotype" w:hAnsi="Palatino Linotype" w:cs="Palatino Linotype"/>
          <w:b/>
          <w:i/>
          <w:sz w:val="22"/>
          <w:szCs w:val="22"/>
        </w:rPr>
        <w:lastRenderedPageBreak/>
        <w:t>funciones</w:t>
      </w:r>
      <w:r>
        <w:rPr>
          <w:rFonts w:ascii="Palatino Linotype" w:eastAsia="Palatino Linotype" w:hAnsi="Palatino Linotype" w:cs="Palatino Linotype"/>
          <w:i/>
          <w:sz w:val="22"/>
          <w:szCs w:val="22"/>
        </w:rPr>
        <w:t>, la ley determinará los supuestos específicos bajo los cuales procederá la declaración de inexistencia de la información.”</w:t>
      </w:r>
    </w:p>
    <w:p w:rsidR="009D1464" w:rsidRDefault="009D1464">
      <w:pPr>
        <w:pBdr>
          <w:top w:val="nil"/>
          <w:left w:val="nil"/>
          <w:bottom w:val="nil"/>
          <w:right w:val="nil"/>
          <w:between w:val="nil"/>
        </w:pBdr>
        <w:tabs>
          <w:tab w:val="left" w:pos="567"/>
        </w:tabs>
        <w:spacing w:before="240" w:after="240"/>
        <w:ind w:left="1134" w:right="900"/>
        <w:jc w:val="both"/>
        <w:rPr>
          <w:rFonts w:ascii="Palatino Linotype" w:eastAsia="Palatino Linotype" w:hAnsi="Palatino Linotype" w:cs="Palatino Linotype"/>
          <w:b/>
          <w:i/>
          <w:color w:val="000000"/>
          <w:sz w:val="22"/>
          <w:szCs w:val="22"/>
        </w:rPr>
      </w:pPr>
    </w:p>
    <w:p w:rsidR="009D1464" w:rsidRDefault="00782C62">
      <w:pPr>
        <w:spacing w:before="240" w:after="240"/>
        <w:ind w:left="1134" w:right="900"/>
        <w:jc w:val="both"/>
        <w:rPr>
          <w:rFonts w:ascii="Palatino Linotype" w:eastAsia="Palatino Linotype" w:hAnsi="Palatino Linotype" w:cs="Palatino Linotype"/>
          <w:b/>
          <w:i/>
          <w:sz w:val="22"/>
          <w:szCs w:val="22"/>
        </w:rPr>
      </w:pPr>
      <w:r>
        <w:rPr>
          <w:rFonts w:ascii="Palatino Linotype" w:eastAsia="Palatino Linotype" w:hAnsi="Palatino Linotype" w:cs="Palatino Linotype"/>
          <w:b/>
          <w:i/>
          <w:sz w:val="22"/>
          <w:szCs w:val="22"/>
        </w:rPr>
        <w:t>Constitución Política del Estado Libre y Soberano de México</w:t>
      </w:r>
    </w:p>
    <w:p w:rsidR="009D1464" w:rsidRDefault="00782C62">
      <w:pPr>
        <w:spacing w:before="240" w:after="240"/>
        <w:ind w:left="1134"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b/>
          <w:i/>
          <w:sz w:val="22"/>
          <w:szCs w:val="22"/>
        </w:rPr>
        <w:t>“Artículo 5</w:t>
      </w:r>
      <w:r>
        <w:rPr>
          <w:rFonts w:ascii="Palatino Linotype" w:eastAsia="Palatino Linotype" w:hAnsi="Palatino Linotype" w:cs="Palatino Linotype"/>
          <w:i/>
          <w:sz w:val="22"/>
          <w:szCs w:val="22"/>
        </w:rPr>
        <w:t xml:space="preserve">.- </w:t>
      </w:r>
    </w:p>
    <w:p w:rsidR="009D1464" w:rsidRDefault="00782C62">
      <w:pPr>
        <w:spacing w:before="240" w:after="240"/>
        <w:ind w:left="1134"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w:t>
      </w:r>
    </w:p>
    <w:p w:rsidR="009D1464" w:rsidRDefault="00782C62">
      <w:pPr>
        <w:spacing w:before="240" w:after="240"/>
        <w:ind w:left="1134"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b/>
          <w:i/>
          <w:sz w:val="22"/>
          <w:szCs w:val="22"/>
        </w:rPr>
        <w:t>El derecho a la información será garantizado por el Estado. La ley establecerá las previsiones que permitan asegurar la protección, el respeto y la difusión de este derecho</w:t>
      </w:r>
      <w:r>
        <w:rPr>
          <w:rFonts w:ascii="Palatino Linotype" w:eastAsia="Palatino Linotype" w:hAnsi="Palatino Linotype" w:cs="Palatino Linotype"/>
          <w:i/>
          <w:sz w:val="22"/>
          <w:szCs w:val="22"/>
        </w:rPr>
        <w:t>.</w:t>
      </w:r>
    </w:p>
    <w:p w:rsidR="009D1464" w:rsidRDefault="00782C62">
      <w:pPr>
        <w:spacing w:before="240" w:after="240"/>
        <w:ind w:left="1134"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Para garantizar el ejercicio del derecho de transparencia, acceso a la información pública y protección de datos personales, los poderes públicos y los organismos autónomos, transparentarán sus acciones, en términos de las disposiciones aplicables, la información será oportuna, clara, veraz y de fácil acceso.</w:t>
      </w:r>
    </w:p>
    <w:p w:rsidR="009D1464" w:rsidRDefault="00782C62">
      <w:pPr>
        <w:spacing w:before="240" w:after="240"/>
        <w:ind w:left="1134"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b/>
          <w:i/>
          <w:sz w:val="22"/>
          <w:szCs w:val="22"/>
        </w:rPr>
        <w:t>Este derecho se regirá por los principios y bases siguientes</w:t>
      </w:r>
      <w:r>
        <w:rPr>
          <w:rFonts w:ascii="Palatino Linotype" w:eastAsia="Palatino Linotype" w:hAnsi="Palatino Linotype" w:cs="Palatino Linotype"/>
          <w:i/>
          <w:sz w:val="22"/>
          <w:szCs w:val="22"/>
        </w:rPr>
        <w:t>:</w:t>
      </w:r>
    </w:p>
    <w:p w:rsidR="009D1464" w:rsidRDefault="00782C62">
      <w:pPr>
        <w:spacing w:before="240" w:after="240"/>
        <w:ind w:left="1134"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b/>
          <w:i/>
          <w:sz w:val="22"/>
          <w:szCs w:val="22"/>
        </w:rPr>
        <w:t>I. Toda la información en posesión de cualquier autoridad, entidad, órgano y organismos de los</w:t>
      </w:r>
      <w:r>
        <w:rPr>
          <w:rFonts w:ascii="Palatino Linotype" w:eastAsia="Palatino Linotype" w:hAnsi="Palatino Linotype" w:cs="Palatino Linotype"/>
          <w:i/>
          <w:sz w:val="22"/>
          <w:szCs w:val="22"/>
        </w:rPr>
        <w:t xml:space="preserve"> Poderes Ejecutivo, Legislativo y Judicial, órganos autónomos, partidos políticos, fideicomisos y fondos públicos estatales y </w:t>
      </w:r>
      <w:r>
        <w:rPr>
          <w:rFonts w:ascii="Palatino Linotype" w:eastAsia="Palatino Linotype" w:hAnsi="Palatino Linotype" w:cs="Palatino Linotype"/>
          <w:b/>
          <w:i/>
          <w:sz w:val="22"/>
          <w:szCs w:val="22"/>
        </w:rPr>
        <w:t>municipales</w:t>
      </w:r>
      <w:r>
        <w:rPr>
          <w:rFonts w:ascii="Palatino Linotype" w:eastAsia="Palatino Linotype" w:hAnsi="Palatino Linotype" w:cs="Palatino Linotype"/>
          <w:i/>
          <w:sz w:val="22"/>
          <w:szCs w:val="22"/>
        </w:rPr>
        <w:t xml:space="preserve">, así como del gobierno y de la administración pública municipal y sus organismos descentralizados, asimismo de cualquier persona física, jurídica colectiva o sindicato que reciba y ejerza recursos públicos o realice actos de autoridad en el ámbito estatal y municipal, </w:t>
      </w:r>
      <w:r>
        <w:rPr>
          <w:rFonts w:ascii="Palatino Linotype" w:eastAsia="Palatino Linotype" w:hAnsi="Palatino Linotype" w:cs="Palatino Linotype"/>
          <w:b/>
          <w:i/>
          <w:sz w:val="22"/>
          <w:szCs w:val="22"/>
        </w:rPr>
        <w:t>es pública</w:t>
      </w:r>
      <w:r>
        <w:rPr>
          <w:rFonts w:ascii="Palatino Linotype" w:eastAsia="Palatino Linotype" w:hAnsi="Palatino Linotype" w:cs="Palatino Linotype"/>
          <w:i/>
          <w:sz w:val="22"/>
          <w:szCs w:val="22"/>
        </w:rPr>
        <w:t xml:space="preserve"> y sólo podrá ser reservada temporalmente por razones previstas en la Constitución Política de los Estados Unidos Mexicanos de interés público y seguridad, en los términos que fijen las leyes. </w:t>
      </w:r>
      <w:r>
        <w:rPr>
          <w:rFonts w:ascii="Palatino Linotype" w:eastAsia="Palatino Linotype" w:hAnsi="Palatino Linotype" w:cs="Palatino Linotype"/>
          <w:b/>
          <w:i/>
          <w:sz w:val="22"/>
          <w:szCs w:val="22"/>
        </w:rPr>
        <w:t>En la interpretación de este derecho deberá prevalecer el principio de máxima publicidad</w:t>
      </w:r>
      <w:r>
        <w:rPr>
          <w:rFonts w:ascii="Palatino Linotype" w:eastAsia="Palatino Linotype" w:hAnsi="Palatino Linotype" w:cs="Palatino Linotype"/>
          <w:i/>
          <w:sz w:val="22"/>
          <w:szCs w:val="22"/>
        </w:rPr>
        <w:t xml:space="preserve">. </w:t>
      </w:r>
      <w:r>
        <w:rPr>
          <w:rFonts w:ascii="Palatino Linotype" w:eastAsia="Palatino Linotype" w:hAnsi="Palatino Linotype" w:cs="Palatino Linotype"/>
          <w:b/>
          <w:i/>
          <w:sz w:val="22"/>
          <w:szCs w:val="22"/>
        </w:rPr>
        <w:t>Los sujetos obligados deberán documentar todo acto que derive del ejercicio de sus facultades, competencias o funciones</w:t>
      </w:r>
      <w:r>
        <w:rPr>
          <w:rFonts w:ascii="Palatino Linotype" w:eastAsia="Palatino Linotype" w:hAnsi="Palatino Linotype" w:cs="Palatino Linotype"/>
          <w:i/>
          <w:sz w:val="22"/>
          <w:szCs w:val="22"/>
        </w:rPr>
        <w:t>, la ley determinará los supuestos específicos bajo los cuales procederá la declaración de inexistencia de la información.”</w:t>
      </w:r>
    </w:p>
    <w:p w:rsidR="009D1464" w:rsidRDefault="009D1464">
      <w:pPr>
        <w:tabs>
          <w:tab w:val="left" w:pos="567"/>
        </w:tabs>
        <w:spacing w:before="240" w:after="240"/>
        <w:ind w:right="567"/>
        <w:jc w:val="both"/>
        <w:rPr>
          <w:rFonts w:ascii="Palatino Linotype" w:eastAsia="Palatino Linotype" w:hAnsi="Palatino Linotype" w:cs="Palatino Linotype"/>
          <w:b/>
          <w:i/>
        </w:rPr>
      </w:pPr>
    </w:p>
    <w:p w:rsidR="009D1464" w:rsidRDefault="00782C62">
      <w:pPr>
        <w:numPr>
          <w:ilvl w:val="0"/>
          <w:numId w:val="7"/>
        </w:numPr>
        <w:spacing w:before="240" w:line="360" w:lineRule="auto"/>
        <w:ind w:left="0" w:right="49" w:firstLine="0"/>
        <w:jc w:val="both"/>
        <w:rPr>
          <w:rFonts w:ascii="Palatino Linotype" w:eastAsia="Palatino Linotype" w:hAnsi="Palatino Linotype" w:cs="Palatino Linotype"/>
        </w:rPr>
      </w:pPr>
      <w:r>
        <w:rPr>
          <w:rFonts w:ascii="Palatino Linotype" w:eastAsia="Palatino Linotype" w:hAnsi="Palatino Linotype" w:cs="Palatino Linotype"/>
        </w:rPr>
        <w:lastRenderedPageBreak/>
        <w:t xml:space="preserve">Según el artículo 150 de la Ley de Transparencia del Estado, la solicitud es la garantía primaria del Derecho de Acceso a la Información, además, establece que se regirá </w:t>
      </w:r>
      <w:r>
        <w:rPr>
          <w:rFonts w:ascii="Palatino Linotype" w:eastAsia="Palatino Linotype" w:hAnsi="Palatino Linotype" w:cs="Palatino Linotype"/>
          <w:i/>
        </w:rPr>
        <w:t>por los principios de simplicidad, rapidez gratuidad del procedimiento, auxilio y orientación a los particulares</w:t>
      </w:r>
      <w:r>
        <w:rPr>
          <w:rFonts w:ascii="Palatino Linotype" w:eastAsia="Palatino Linotype" w:hAnsi="Palatino Linotype" w:cs="Palatino Linotype"/>
        </w:rPr>
        <w:t>, contemplando el derecho de las personas con discapacidad y hablantes de lengua indígena.</w:t>
      </w:r>
    </w:p>
    <w:p w:rsidR="009D1464" w:rsidRDefault="009D1464">
      <w:pPr>
        <w:spacing w:line="360" w:lineRule="auto"/>
        <w:ind w:right="49"/>
        <w:jc w:val="both"/>
        <w:rPr>
          <w:rFonts w:ascii="Palatino Linotype" w:eastAsia="Palatino Linotype" w:hAnsi="Palatino Linotype" w:cs="Palatino Linotype"/>
        </w:rPr>
      </w:pPr>
    </w:p>
    <w:p w:rsidR="009D1464" w:rsidRDefault="00782C62">
      <w:pPr>
        <w:numPr>
          <w:ilvl w:val="0"/>
          <w:numId w:val="7"/>
        </w:numPr>
        <w:spacing w:line="360" w:lineRule="auto"/>
        <w:ind w:left="0" w:right="49" w:firstLine="0"/>
        <w:jc w:val="both"/>
        <w:rPr>
          <w:rFonts w:ascii="Palatino Linotype" w:eastAsia="Palatino Linotype" w:hAnsi="Palatino Linotype" w:cs="Palatino Linotype"/>
        </w:rPr>
      </w:pPr>
      <w:r>
        <w:rPr>
          <w:rFonts w:ascii="Palatino Linotype" w:eastAsia="Palatino Linotype" w:hAnsi="Palatino Linotype" w:cs="Palatino Linotype"/>
        </w:rPr>
        <w:t xml:space="preserve">El Derecho de Acceso a la Información se garantiza y respeta oportunamente, y según lo que dispone la Ley, las </w:t>
      </w:r>
      <w:r>
        <w:rPr>
          <w:rFonts w:ascii="Palatino Linotype" w:eastAsia="Palatino Linotype" w:hAnsi="Palatino Linotype" w:cs="Palatino Linotype"/>
          <w:i/>
        </w:rPr>
        <w:t>solicitudes de acceso a la información</w:t>
      </w:r>
      <w:r>
        <w:rPr>
          <w:rFonts w:ascii="Palatino Linotype" w:eastAsia="Palatino Linotype" w:hAnsi="Palatino Linotype" w:cs="Palatino Linotype"/>
        </w:rPr>
        <w:t>.</w:t>
      </w:r>
    </w:p>
    <w:p w:rsidR="009D1464" w:rsidRDefault="009D1464">
      <w:pPr>
        <w:spacing w:line="360" w:lineRule="auto"/>
        <w:ind w:right="49"/>
        <w:jc w:val="both"/>
        <w:rPr>
          <w:rFonts w:ascii="Palatino Linotype" w:eastAsia="Palatino Linotype" w:hAnsi="Palatino Linotype" w:cs="Palatino Linotype"/>
        </w:rPr>
      </w:pPr>
    </w:p>
    <w:p w:rsidR="009D1464" w:rsidRDefault="00782C62">
      <w:pPr>
        <w:numPr>
          <w:ilvl w:val="0"/>
          <w:numId w:val="7"/>
        </w:numPr>
        <w:spacing w:line="360" w:lineRule="auto"/>
        <w:ind w:left="0" w:right="49" w:firstLine="0"/>
        <w:jc w:val="both"/>
        <w:rPr>
          <w:rFonts w:ascii="Palatino Linotype" w:eastAsia="Palatino Linotype" w:hAnsi="Palatino Linotype" w:cs="Palatino Linotype"/>
        </w:rPr>
      </w:pPr>
      <w:bookmarkStart w:id="8" w:name="_heading=h.4d34og8" w:colFirst="0" w:colLast="0"/>
      <w:bookmarkEnd w:id="8"/>
      <w:r>
        <w:rPr>
          <w:rFonts w:ascii="Palatino Linotype" w:eastAsia="Palatino Linotype" w:hAnsi="Palatino Linotype" w:cs="Palatino Linotype"/>
        </w:rPr>
        <w:t xml:space="preserve">Así entonces, se procede analizar, en primer lugar, si el </w:t>
      </w:r>
      <w:r>
        <w:rPr>
          <w:rFonts w:ascii="Palatino Linotype" w:eastAsia="Palatino Linotype" w:hAnsi="Palatino Linotype" w:cs="Palatino Linotype"/>
          <w:b/>
        </w:rPr>
        <w:t>SUJETO OBLIGADO</w:t>
      </w:r>
      <w:r>
        <w:rPr>
          <w:rFonts w:ascii="Palatino Linotype" w:eastAsia="Palatino Linotype" w:hAnsi="Palatino Linotype" w:cs="Palatino Linotype"/>
        </w:rPr>
        <w:t xml:space="preserve"> al atender la solicitud de acceso a la información, satisfizo la garantía primaria del derecho según lo dispuesto por el artículo 150 de la Ley de Transparencia y Acceso a la Información Pública del Estado de México y Municipios y en segundo término si cumplió con su deber de respetar y garantizar el derecho, entregando la información solicitada.</w:t>
      </w:r>
    </w:p>
    <w:p w:rsidR="009D1464" w:rsidRDefault="009D1464">
      <w:pPr>
        <w:spacing w:line="360" w:lineRule="auto"/>
        <w:ind w:right="49"/>
        <w:jc w:val="both"/>
        <w:rPr>
          <w:rFonts w:ascii="Palatino Linotype" w:eastAsia="Palatino Linotype" w:hAnsi="Palatino Linotype" w:cs="Palatino Linotype"/>
        </w:rPr>
      </w:pPr>
    </w:p>
    <w:p w:rsidR="009D1464" w:rsidRDefault="00782C62">
      <w:pPr>
        <w:keepNext/>
        <w:keepLines/>
        <w:spacing w:after="240" w:line="360" w:lineRule="auto"/>
        <w:rPr>
          <w:rFonts w:ascii="Palatino Linotype" w:eastAsia="Palatino Linotype" w:hAnsi="Palatino Linotype" w:cs="Palatino Linotype"/>
          <w:b/>
          <w:color w:val="000000"/>
        </w:rPr>
      </w:pPr>
      <w:bookmarkStart w:id="9" w:name="_heading=h.2s8eyo1" w:colFirst="0" w:colLast="0"/>
      <w:bookmarkEnd w:id="9"/>
      <w:r>
        <w:rPr>
          <w:rFonts w:ascii="Palatino Linotype" w:eastAsia="Palatino Linotype" w:hAnsi="Palatino Linotype" w:cs="Palatino Linotype"/>
          <w:b/>
          <w:color w:val="000000"/>
        </w:rPr>
        <w:t>II. De la información solicitada y la respuesta del SUJETO OBLIGADO</w:t>
      </w:r>
    </w:p>
    <w:p w:rsidR="009D1464" w:rsidRDefault="009D1464">
      <w:pPr>
        <w:rPr>
          <w:rFonts w:ascii="Calibri" w:eastAsia="Calibri" w:hAnsi="Calibri" w:cs="Calibri"/>
        </w:rPr>
      </w:pPr>
    </w:p>
    <w:p w:rsidR="009D1464" w:rsidRDefault="00782C62">
      <w:pPr>
        <w:numPr>
          <w:ilvl w:val="0"/>
          <w:numId w:val="7"/>
        </w:numPr>
        <w:spacing w:line="360" w:lineRule="auto"/>
        <w:ind w:left="0" w:firstLine="0"/>
        <w:jc w:val="both"/>
        <w:rPr>
          <w:rFonts w:ascii="Palatino Linotype" w:eastAsia="Palatino Linotype" w:hAnsi="Palatino Linotype" w:cs="Palatino Linotype"/>
          <w:b/>
          <w:i/>
          <w:color w:val="000000"/>
        </w:rPr>
      </w:pPr>
      <w:r>
        <w:rPr>
          <w:rFonts w:ascii="Palatino Linotype" w:eastAsia="Palatino Linotype" w:hAnsi="Palatino Linotype" w:cs="Palatino Linotype"/>
          <w:color w:val="000000"/>
        </w:rPr>
        <w:t xml:space="preserve">Por lo que, se procede al análisis de la información objeto de impugnación y análisis del presente recurso de revisión, es necesario mencionar que el </w:t>
      </w:r>
      <w:r>
        <w:rPr>
          <w:rFonts w:ascii="Palatino Linotype" w:eastAsia="Palatino Linotype" w:hAnsi="Palatino Linotype" w:cs="Palatino Linotype"/>
          <w:b/>
          <w:color w:val="000000"/>
        </w:rPr>
        <w:t xml:space="preserve">SUJETO OBLIGADO </w:t>
      </w:r>
      <w:r>
        <w:rPr>
          <w:rFonts w:ascii="Palatino Linotype" w:eastAsia="Palatino Linotype" w:hAnsi="Palatino Linotype" w:cs="Palatino Linotype"/>
          <w:color w:val="000000"/>
        </w:rPr>
        <w:t>solicito la siguiente información que se desglosa a continuación.</w:t>
      </w:r>
    </w:p>
    <w:p w:rsidR="009D1464" w:rsidRDefault="00782C62">
      <w:pPr>
        <w:pBdr>
          <w:top w:val="nil"/>
          <w:left w:val="nil"/>
          <w:bottom w:val="nil"/>
          <w:right w:val="nil"/>
          <w:between w:val="nil"/>
        </w:pBdr>
        <w:spacing w:line="360" w:lineRule="auto"/>
        <w:ind w:left="1134" w:right="900"/>
        <w:jc w:val="both"/>
        <w:rPr>
          <w:rFonts w:ascii="Palatino Linotype" w:eastAsia="Palatino Linotype" w:hAnsi="Palatino Linotype" w:cs="Palatino Linotype"/>
          <w:b/>
          <w:i/>
          <w:color w:val="000000"/>
        </w:rPr>
      </w:pPr>
      <w:r>
        <w:rPr>
          <w:rFonts w:ascii="Palatino Linotype" w:eastAsia="Palatino Linotype" w:hAnsi="Palatino Linotype" w:cs="Palatino Linotype"/>
          <w:b/>
          <w:i/>
          <w:color w:val="000000"/>
        </w:rPr>
        <w:t>De la Unidad de Transparencia del Ayuntamiento de Toluca</w:t>
      </w:r>
    </w:p>
    <w:p w:rsidR="009D1464" w:rsidRDefault="00782C62">
      <w:pPr>
        <w:numPr>
          <w:ilvl w:val="0"/>
          <w:numId w:val="6"/>
        </w:numPr>
        <w:pBdr>
          <w:top w:val="nil"/>
          <w:left w:val="nil"/>
          <w:bottom w:val="nil"/>
          <w:right w:val="nil"/>
          <w:between w:val="nil"/>
        </w:pBdr>
        <w:jc w:val="both"/>
        <w:rPr>
          <w:rFonts w:ascii="Palatino Linotype" w:eastAsia="Palatino Linotype" w:hAnsi="Palatino Linotype" w:cs="Palatino Linotype"/>
          <w:b/>
          <w:i/>
          <w:color w:val="000000"/>
        </w:rPr>
      </w:pPr>
      <w:r>
        <w:rPr>
          <w:rFonts w:ascii="Palatino Linotype" w:eastAsia="Palatino Linotype" w:hAnsi="Palatino Linotype" w:cs="Palatino Linotype"/>
          <w:b/>
          <w:i/>
          <w:color w:val="000000"/>
        </w:rPr>
        <w:t xml:space="preserve">Oficios recibidos en el último mes de octubre </w:t>
      </w:r>
    </w:p>
    <w:p w:rsidR="009D1464" w:rsidRDefault="00782C62">
      <w:pPr>
        <w:numPr>
          <w:ilvl w:val="0"/>
          <w:numId w:val="6"/>
        </w:numPr>
        <w:pBdr>
          <w:top w:val="nil"/>
          <w:left w:val="nil"/>
          <w:bottom w:val="nil"/>
          <w:right w:val="nil"/>
          <w:between w:val="nil"/>
        </w:pBdr>
        <w:jc w:val="both"/>
        <w:rPr>
          <w:rFonts w:ascii="Palatino Linotype" w:eastAsia="Palatino Linotype" w:hAnsi="Palatino Linotype" w:cs="Palatino Linotype"/>
          <w:b/>
          <w:i/>
          <w:color w:val="000000"/>
        </w:rPr>
      </w:pPr>
      <w:r>
        <w:rPr>
          <w:rFonts w:ascii="Palatino Linotype" w:eastAsia="Palatino Linotype" w:hAnsi="Palatino Linotype" w:cs="Palatino Linotype"/>
          <w:b/>
          <w:i/>
          <w:color w:val="000000"/>
        </w:rPr>
        <w:t xml:space="preserve">Oficio emitidos y recibidos en el último mes de agosto </w:t>
      </w:r>
    </w:p>
    <w:p w:rsidR="009D1464" w:rsidRDefault="00782C62">
      <w:pPr>
        <w:numPr>
          <w:ilvl w:val="0"/>
          <w:numId w:val="6"/>
        </w:numPr>
        <w:pBdr>
          <w:top w:val="nil"/>
          <w:left w:val="nil"/>
          <w:bottom w:val="nil"/>
          <w:right w:val="nil"/>
          <w:between w:val="nil"/>
        </w:pBdr>
        <w:jc w:val="both"/>
        <w:rPr>
          <w:rFonts w:ascii="Palatino Linotype" w:eastAsia="Palatino Linotype" w:hAnsi="Palatino Linotype" w:cs="Palatino Linotype"/>
          <w:b/>
          <w:i/>
          <w:color w:val="000000"/>
        </w:rPr>
      </w:pPr>
      <w:r>
        <w:rPr>
          <w:rFonts w:ascii="Palatino Linotype" w:eastAsia="Palatino Linotype" w:hAnsi="Palatino Linotype" w:cs="Palatino Linotype"/>
          <w:b/>
          <w:i/>
          <w:color w:val="000000"/>
        </w:rPr>
        <w:lastRenderedPageBreak/>
        <w:t>Oficio emitidos y recibidos en el último mes de septiembre</w:t>
      </w:r>
    </w:p>
    <w:p w:rsidR="009D1464" w:rsidRDefault="00782C62">
      <w:pPr>
        <w:numPr>
          <w:ilvl w:val="0"/>
          <w:numId w:val="6"/>
        </w:numPr>
        <w:pBdr>
          <w:top w:val="nil"/>
          <w:left w:val="nil"/>
          <w:bottom w:val="nil"/>
          <w:right w:val="nil"/>
          <w:between w:val="nil"/>
        </w:pBdr>
        <w:jc w:val="both"/>
        <w:rPr>
          <w:rFonts w:ascii="Palatino Linotype" w:eastAsia="Palatino Linotype" w:hAnsi="Palatino Linotype" w:cs="Palatino Linotype"/>
          <w:b/>
          <w:i/>
          <w:color w:val="000000"/>
        </w:rPr>
      </w:pPr>
      <w:r>
        <w:rPr>
          <w:rFonts w:ascii="Palatino Linotype" w:eastAsia="Palatino Linotype" w:hAnsi="Palatino Linotype" w:cs="Palatino Linotype"/>
          <w:b/>
          <w:i/>
          <w:color w:val="000000"/>
        </w:rPr>
        <w:t xml:space="preserve">Oficios emitidos y recibidos en el último mes de julio de dos mil veintitrés </w:t>
      </w:r>
    </w:p>
    <w:p w:rsidR="009D1464" w:rsidRDefault="009D1464">
      <w:pPr>
        <w:pBdr>
          <w:top w:val="nil"/>
          <w:left w:val="nil"/>
          <w:bottom w:val="nil"/>
          <w:right w:val="nil"/>
          <w:between w:val="nil"/>
        </w:pBdr>
        <w:ind w:left="1146"/>
        <w:jc w:val="both"/>
        <w:rPr>
          <w:rFonts w:ascii="Palatino Linotype" w:eastAsia="Palatino Linotype" w:hAnsi="Palatino Linotype" w:cs="Palatino Linotype"/>
          <w:b/>
          <w:i/>
          <w:color w:val="000000"/>
        </w:rPr>
      </w:pPr>
    </w:p>
    <w:p w:rsidR="009D1464" w:rsidRDefault="00782C62">
      <w:pPr>
        <w:numPr>
          <w:ilvl w:val="0"/>
          <w:numId w:val="7"/>
        </w:numP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De lo anterior, el </w:t>
      </w:r>
      <w:r>
        <w:rPr>
          <w:rFonts w:ascii="Palatino Linotype" w:eastAsia="Palatino Linotype" w:hAnsi="Palatino Linotype" w:cs="Palatino Linotype"/>
          <w:b/>
          <w:color w:val="000000"/>
        </w:rPr>
        <w:t xml:space="preserve">SUJETO OBLIGADO </w:t>
      </w:r>
      <w:r>
        <w:rPr>
          <w:rFonts w:ascii="Palatino Linotype" w:eastAsia="Palatino Linotype" w:hAnsi="Palatino Linotype" w:cs="Palatino Linotype"/>
        </w:rPr>
        <w:t>entregó</w:t>
      </w:r>
      <w:r>
        <w:rPr>
          <w:rFonts w:ascii="Palatino Linotype" w:eastAsia="Palatino Linotype" w:hAnsi="Palatino Linotype" w:cs="Palatino Linotype"/>
          <w:color w:val="000000"/>
        </w:rPr>
        <w:t xml:space="preserve"> </w:t>
      </w:r>
      <w:r>
        <w:rPr>
          <w:rFonts w:ascii="Palatino Linotype" w:eastAsia="Palatino Linotype" w:hAnsi="Palatino Linotype" w:cs="Palatino Linotype"/>
        </w:rPr>
        <w:t xml:space="preserve">los </w:t>
      </w:r>
      <w:r>
        <w:rPr>
          <w:rFonts w:ascii="Palatino Linotype" w:eastAsia="Palatino Linotype" w:hAnsi="Palatino Linotype" w:cs="Palatino Linotype"/>
          <w:color w:val="000000"/>
        </w:rPr>
        <w:t xml:space="preserve">archivos de respuesta en cada recurso de revisión, </w:t>
      </w:r>
      <w:r>
        <w:rPr>
          <w:rFonts w:ascii="Palatino Linotype" w:eastAsia="Palatino Linotype" w:hAnsi="Palatino Linotype" w:cs="Palatino Linotype"/>
        </w:rPr>
        <w:t xml:space="preserve">refiere </w:t>
      </w:r>
      <w:r>
        <w:rPr>
          <w:rFonts w:ascii="Palatino Linotype" w:eastAsia="Palatino Linotype" w:hAnsi="Palatino Linotype" w:cs="Palatino Linotype"/>
          <w:sz w:val="22"/>
          <w:szCs w:val="22"/>
        </w:rPr>
        <w:t xml:space="preserve">que se localizaron los documentos que colman la pretensión pero que no se encuentran digitalizados por no existir un precepto legal para determinar la obligatoriedad, situación por la cual le hace del conocimiento que tendrá que pagar la digitalización de las hojas. </w:t>
      </w:r>
    </w:p>
    <w:p w:rsidR="009D1464" w:rsidRDefault="009D1464">
      <w:pPr>
        <w:spacing w:line="360" w:lineRule="auto"/>
        <w:jc w:val="both"/>
        <w:rPr>
          <w:rFonts w:ascii="Palatino Linotype" w:eastAsia="Palatino Linotype" w:hAnsi="Palatino Linotype" w:cs="Palatino Linotype"/>
        </w:rPr>
      </w:pPr>
    </w:p>
    <w:p w:rsidR="009D1464" w:rsidRDefault="00782C62">
      <w:pPr>
        <w:numPr>
          <w:ilvl w:val="0"/>
          <w:numId w:val="7"/>
        </w:numP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De la respuesta emitida por el </w:t>
      </w:r>
      <w:r>
        <w:rPr>
          <w:rFonts w:ascii="Palatino Linotype" w:eastAsia="Palatino Linotype" w:hAnsi="Palatino Linotype" w:cs="Palatino Linotype"/>
          <w:b/>
          <w:color w:val="000000"/>
        </w:rPr>
        <w:t xml:space="preserve">SUJETO OBLIGADO </w:t>
      </w:r>
      <w:r>
        <w:rPr>
          <w:rFonts w:ascii="Palatino Linotype" w:eastAsia="Palatino Linotype" w:hAnsi="Palatino Linotype" w:cs="Palatino Linotype"/>
          <w:color w:val="000000"/>
        </w:rPr>
        <w:t xml:space="preserve">se observa que le informa al </w:t>
      </w:r>
      <w:r>
        <w:rPr>
          <w:rFonts w:ascii="Palatino Linotype" w:eastAsia="Palatino Linotype" w:hAnsi="Palatino Linotype" w:cs="Palatino Linotype"/>
          <w:b/>
          <w:color w:val="000000"/>
        </w:rPr>
        <w:t xml:space="preserve">RECURRENTE </w:t>
      </w:r>
      <w:r>
        <w:rPr>
          <w:rFonts w:ascii="Palatino Linotype" w:eastAsia="Palatino Linotype" w:hAnsi="Palatino Linotype" w:cs="Palatino Linotype"/>
          <w:color w:val="000000"/>
        </w:rPr>
        <w:t xml:space="preserve">que se localizó la información que colma el derecho de acceso a la información. </w:t>
      </w:r>
    </w:p>
    <w:p w:rsidR="009D1464" w:rsidRDefault="009D1464">
      <w:pPr>
        <w:spacing w:line="360" w:lineRule="auto"/>
        <w:jc w:val="both"/>
        <w:rPr>
          <w:rFonts w:ascii="Palatino Linotype" w:eastAsia="Palatino Linotype" w:hAnsi="Palatino Linotype" w:cs="Palatino Linotype"/>
          <w:color w:val="000000"/>
        </w:rPr>
      </w:pPr>
    </w:p>
    <w:p w:rsidR="009D1464" w:rsidRDefault="00782C62">
      <w:pPr>
        <w:numPr>
          <w:ilvl w:val="0"/>
          <w:numId w:val="7"/>
        </w:numP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Sin embargo de la respuesta emitida se debe de referir que el </w:t>
      </w:r>
      <w:r>
        <w:rPr>
          <w:rFonts w:ascii="Palatino Linotype" w:eastAsia="Palatino Linotype" w:hAnsi="Palatino Linotype" w:cs="Palatino Linotype"/>
          <w:b/>
          <w:color w:val="000000"/>
        </w:rPr>
        <w:t xml:space="preserve">SUJETO OBLIGADO </w:t>
      </w:r>
      <w:r>
        <w:rPr>
          <w:rFonts w:ascii="Palatino Linotype" w:eastAsia="Palatino Linotype" w:hAnsi="Palatino Linotype" w:cs="Palatino Linotype"/>
          <w:color w:val="000000"/>
        </w:rPr>
        <w:t xml:space="preserve">hace del conocimiento del </w:t>
      </w:r>
      <w:r>
        <w:rPr>
          <w:rFonts w:ascii="Palatino Linotype" w:eastAsia="Palatino Linotype" w:hAnsi="Palatino Linotype" w:cs="Palatino Linotype"/>
          <w:b/>
          <w:color w:val="000000"/>
        </w:rPr>
        <w:t xml:space="preserve">RECURRENTE </w:t>
      </w:r>
      <w:r>
        <w:rPr>
          <w:rFonts w:ascii="Palatino Linotype" w:eastAsia="Palatino Linotype" w:hAnsi="Palatino Linotype" w:cs="Palatino Linotype"/>
          <w:color w:val="000000"/>
        </w:rPr>
        <w:t xml:space="preserve">que para poder acceder a la información tiene que pagar por el cobro para el escaneo y la digitalización de los oficios solicitados. </w:t>
      </w:r>
    </w:p>
    <w:p w:rsidR="009D1464" w:rsidRDefault="009D1464">
      <w:pPr>
        <w:pBdr>
          <w:top w:val="nil"/>
          <w:left w:val="nil"/>
          <w:bottom w:val="nil"/>
          <w:right w:val="nil"/>
          <w:between w:val="nil"/>
        </w:pBdr>
        <w:ind w:left="708"/>
        <w:rPr>
          <w:rFonts w:ascii="Palatino Linotype" w:eastAsia="Palatino Linotype" w:hAnsi="Palatino Linotype" w:cs="Palatino Linotype"/>
          <w:color w:val="000000"/>
          <w:sz w:val="22"/>
          <w:szCs w:val="22"/>
        </w:rPr>
      </w:pPr>
    </w:p>
    <w:p w:rsidR="009D1464" w:rsidRDefault="00782C62">
      <w:pPr>
        <w:numPr>
          <w:ilvl w:val="0"/>
          <w:numId w:val="7"/>
        </w:numP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En esa línea de estudio, de acuerdo con el organigrama publicado en la página oficial del IPOMEX 4.0 del Ayuntamiento de Toluca, se observa </w:t>
      </w:r>
      <w:r>
        <w:rPr>
          <w:rFonts w:ascii="Palatino Linotype" w:eastAsia="Palatino Linotype" w:hAnsi="Palatino Linotype" w:cs="Palatino Linotype"/>
        </w:rPr>
        <w:t xml:space="preserve">a </w:t>
      </w:r>
      <w:r>
        <w:rPr>
          <w:rFonts w:ascii="Palatino Linotype" w:eastAsia="Palatino Linotype" w:hAnsi="Palatino Linotype" w:cs="Palatino Linotype"/>
          <w:color w:val="000000"/>
        </w:rPr>
        <w:t xml:space="preserve">la Unidad de </w:t>
      </w:r>
      <w:r>
        <w:rPr>
          <w:rFonts w:ascii="Palatino Linotype" w:eastAsia="Palatino Linotype" w:hAnsi="Palatino Linotype" w:cs="Palatino Linotype"/>
        </w:rPr>
        <w:t>Transparencia</w:t>
      </w:r>
      <w:r>
        <w:rPr>
          <w:rFonts w:ascii="Palatino Linotype" w:eastAsia="Palatino Linotype" w:hAnsi="Palatino Linotype" w:cs="Palatino Linotype"/>
          <w:color w:val="000000"/>
        </w:rPr>
        <w:t xml:space="preserve">, tal y como se muestra a continuación. </w:t>
      </w:r>
    </w:p>
    <w:p w:rsidR="009D1464" w:rsidRDefault="00782C62">
      <w:pPr>
        <w:pBdr>
          <w:top w:val="nil"/>
          <w:left w:val="nil"/>
          <w:bottom w:val="nil"/>
          <w:right w:val="nil"/>
          <w:between w:val="nil"/>
        </w:pBdr>
        <w:ind w:left="708"/>
        <w:rPr>
          <w:rFonts w:ascii="Palatino Linotype" w:eastAsia="Palatino Linotype" w:hAnsi="Palatino Linotype" w:cs="Palatino Linotype"/>
          <w:color w:val="000000"/>
          <w:sz w:val="22"/>
          <w:szCs w:val="22"/>
        </w:rPr>
      </w:pPr>
      <w:r>
        <w:rPr>
          <w:noProof/>
        </w:rPr>
        <mc:AlternateContent>
          <mc:Choice Requires="wpg">
            <w:drawing>
              <wp:anchor distT="0" distB="0" distL="114300" distR="114300" simplePos="0" relativeHeight="251658240" behindDoc="0" locked="0" layoutInCell="1" hidden="0" allowOverlap="1">
                <wp:simplePos x="0" y="0"/>
                <wp:positionH relativeFrom="column">
                  <wp:posOffset>-38099</wp:posOffset>
                </wp:positionH>
                <wp:positionV relativeFrom="paragraph">
                  <wp:posOffset>139700</wp:posOffset>
                </wp:positionV>
                <wp:extent cx="6252872" cy="3334744"/>
                <wp:effectExtent l="0" t="0" r="0" b="0"/>
                <wp:wrapNone/>
                <wp:docPr id="16" name="Conector recto de flecha 16"/>
                <wp:cNvGraphicFramePr/>
                <a:graphic xmlns:a="http://schemas.openxmlformats.org/drawingml/2006/main">
                  <a:graphicData uri="http://schemas.microsoft.com/office/word/2010/wordprocessingShape">
                    <wps:wsp>
                      <wps:cNvCnPr/>
                      <wps:spPr>
                        <a:xfrm>
                          <a:off x="2229089" y="2122153"/>
                          <a:ext cx="6233822" cy="3315694"/>
                        </a:xfrm>
                        <a:prstGeom prst="straightConnector1">
                          <a:avLst/>
                        </a:prstGeom>
                        <a:noFill/>
                        <a:ln w="19050" cap="flat" cmpd="sng">
                          <a:solidFill>
                            <a:schemeClr val="dk1"/>
                          </a:solidFill>
                          <a:prstDash val="solid"/>
                          <a:miter lim="800000"/>
                          <a:headEnd type="none" w="sm" len="sm"/>
                          <a:tailEnd type="none" w="sm" len="sm"/>
                        </a:ln>
                      </wps:spPr>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rawing>
              <wp:anchor allowOverlap="1" behindDoc="0" distB="0" distT="0" distL="114300" distR="114300" hidden="0" layoutInCell="1" locked="0" relativeHeight="0" simplePos="0">
                <wp:simplePos x="0" y="0"/>
                <wp:positionH relativeFrom="column">
                  <wp:posOffset>-38099</wp:posOffset>
                </wp:positionH>
                <wp:positionV relativeFrom="paragraph">
                  <wp:posOffset>139700</wp:posOffset>
                </wp:positionV>
                <wp:extent cx="6252872" cy="3334744"/>
                <wp:effectExtent b="0" l="0" r="0" t="0"/>
                <wp:wrapNone/>
                <wp:docPr id="16" name="image4.png"/>
                <a:graphic>
                  <a:graphicData uri="http://schemas.openxmlformats.org/drawingml/2006/picture">
                    <pic:pic>
                      <pic:nvPicPr>
                        <pic:cNvPr id="0" name="image4.png"/>
                        <pic:cNvPicPr preferRelativeResize="0"/>
                      </pic:nvPicPr>
                      <pic:blipFill>
                        <a:blip r:embed="rId9"/>
                        <a:srcRect/>
                        <a:stretch>
                          <a:fillRect/>
                        </a:stretch>
                      </pic:blipFill>
                      <pic:spPr>
                        <a:xfrm>
                          <a:off x="0" y="0"/>
                          <a:ext cx="6252872" cy="3334744"/>
                        </a:xfrm>
                        <a:prstGeom prst="rect"/>
                        <a:ln/>
                      </pic:spPr>
                    </pic:pic>
                  </a:graphicData>
                </a:graphic>
              </wp:anchor>
            </w:drawing>
          </mc:Fallback>
        </mc:AlternateContent>
      </w:r>
    </w:p>
    <w:p w:rsidR="009D1464" w:rsidRDefault="00782C62">
      <w:pPr>
        <w:spacing w:line="360" w:lineRule="auto"/>
        <w:jc w:val="both"/>
        <w:rPr>
          <w:rFonts w:ascii="Palatino Linotype" w:eastAsia="Palatino Linotype" w:hAnsi="Palatino Linotype" w:cs="Palatino Linotype"/>
          <w:color w:val="000000"/>
        </w:rPr>
      </w:pPr>
      <w:r>
        <w:rPr>
          <w:rFonts w:ascii="Palatino Linotype" w:eastAsia="Palatino Linotype" w:hAnsi="Palatino Linotype" w:cs="Palatino Linotype"/>
          <w:noProof/>
          <w:color w:val="000000"/>
        </w:rPr>
        <w:lastRenderedPageBreak/>
        <w:drawing>
          <wp:inline distT="0" distB="0" distL="0" distR="0">
            <wp:extent cx="5612130" cy="3979545"/>
            <wp:effectExtent l="0" t="0" r="0" b="0"/>
            <wp:docPr id="19"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0"/>
                    <a:srcRect/>
                    <a:stretch>
                      <a:fillRect/>
                    </a:stretch>
                  </pic:blipFill>
                  <pic:spPr>
                    <a:xfrm>
                      <a:off x="0" y="0"/>
                      <a:ext cx="5612130" cy="3979545"/>
                    </a:xfrm>
                    <a:prstGeom prst="rect">
                      <a:avLst/>
                    </a:prstGeom>
                    <a:ln/>
                  </pic:spPr>
                </pic:pic>
              </a:graphicData>
            </a:graphic>
          </wp:inline>
        </w:drawing>
      </w:r>
    </w:p>
    <w:p w:rsidR="009D1464" w:rsidRDefault="00782C62">
      <w:pPr>
        <w:numPr>
          <w:ilvl w:val="0"/>
          <w:numId w:val="7"/>
        </w:numP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Seguidamente de acuerdo con el Manual de Organización de la Secretaría del Ayuntamiento, la Unidad de Transparencia tiene las siguientes funciones. </w:t>
      </w:r>
    </w:p>
    <w:p w:rsidR="009D1464" w:rsidRDefault="00782C62">
      <w:pPr>
        <w:ind w:left="1134" w:right="900"/>
        <w:jc w:val="both"/>
        <w:rPr>
          <w:rFonts w:ascii="Palatino Linotype" w:eastAsia="Palatino Linotype" w:hAnsi="Palatino Linotype" w:cs="Palatino Linotype"/>
          <w:b/>
          <w:i/>
          <w:color w:val="000000"/>
          <w:sz w:val="22"/>
          <w:szCs w:val="22"/>
        </w:rPr>
      </w:pPr>
      <w:r>
        <w:rPr>
          <w:rFonts w:ascii="Palatino Linotype" w:eastAsia="Palatino Linotype" w:hAnsi="Palatino Linotype" w:cs="Palatino Linotype"/>
          <w:b/>
          <w:i/>
          <w:color w:val="000000"/>
          <w:sz w:val="22"/>
          <w:szCs w:val="22"/>
        </w:rPr>
        <w:t xml:space="preserve">Objetivo </w:t>
      </w:r>
    </w:p>
    <w:p w:rsidR="009D1464" w:rsidRDefault="00782C62">
      <w:pP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Tutelar y garantizar a toda persona el ejercicio del derecho humano de acceso a la información pública privilegiando el principio de máxima publicidad de la información; garantizando la protección de los datos personales en poder del Sujeto Obligado; así como el derecho al acceso, rectificación, cancelación y oposición de los datos personales. Además de promover la transparencia de la gestión pública y la rendición de cuentas como una herramienta esencial para ejercer el control democrático y eficiente de la administración pública municipal.</w:t>
      </w:r>
    </w:p>
    <w:p w:rsidR="009D1464" w:rsidRDefault="00782C62">
      <w:pPr>
        <w:ind w:left="1134" w:right="900"/>
        <w:jc w:val="both"/>
        <w:rPr>
          <w:rFonts w:ascii="Palatino Linotype" w:eastAsia="Palatino Linotype" w:hAnsi="Palatino Linotype" w:cs="Palatino Linotype"/>
          <w:b/>
          <w:i/>
          <w:color w:val="000000"/>
          <w:sz w:val="22"/>
          <w:szCs w:val="22"/>
        </w:rPr>
      </w:pPr>
      <w:r>
        <w:rPr>
          <w:rFonts w:ascii="Palatino Linotype" w:eastAsia="Palatino Linotype" w:hAnsi="Palatino Linotype" w:cs="Palatino Linotype"/>
          <w:b/>
          <w:i/>
          <w:color w:val="000000"/>
          <w:sz w:val="22"/>
          <w:szCs w:val="22"/>
        </w:rPr>
        <w:t xml:space="preserve">Funciones: </w:t>
      </w:r>
    </w:p>
    <w:p w:rsidR="009D1464" w:rsidRDefault="00782C62">
      <w:pPr>
        <w:ind w:left="1134" w:right="900"/>
        <w:jc w:val="both"/>
        <w:rPr>
          <w:rFonts w:ascii="Palatino Linotype" w:eastAsia="Palatino Linotype" w:hAnsi="Palatino Linotype" w:cs="Palatino Linotype"/>
          <w:b/>
          <w:i/>
          <w:color w:val="000000"/>
          <w:sz w:val="22"/>
          <w:szCs w:val="22"/>
        </w:rPr>
      </w:pPr>
      <w:r>
        <w:rPr>
          <w:rFonts w:ascii="Palatino Linotype" w:eastAsia="Palatino Linotype" w:hAnsi="Palatino Linotype" w:cs="Palatino Linotype"/>
          <w:b/>
          <w:i/>
          <w:color w:val="000000"/>
          <w:sz w:val="22"/>
          <w:szCs w:val="22"/>
        </w:rPr>
        <w:t xml:space="preserve">1. Dirigir y coordinar las actividades de transparencia, acceso a la información y protección de datos personales del Sujeto Obligado, a </w:t>
      </w:r>
      <w:r>
        <w:rPr>
          <w:rFonts w:ascii="Palatino Linotype" w:eastAsia="Palatino Linotype" w:hAnsi="Palatino Linotype" w:cs="Palatino Linotype"/>
          <w:b/>
          <w:i/>
          <w:color w:val="000000"/>
          <w:sz w:val="22"/>
          <w:szCs w:val="22"/>
        </w:rPr>
        <w:lastRenderedPageBreak/>
        <w:t>efecto de que se conduzcan conforme a lo establecido en la normatividad vigente;</w:t>
      </w:r>
    </w:p>
    <w:p w:rsidR="009D1464" w:rsidRDefault="00782C62">
      <w:pPr>
        <w:ind w:left="1134" w:right="900"/>
        <w:jc w:val="both"/>
        <w:rPr>
          <w:rFonts w:ascii="Palatino Linotype" w:eastAsia="Palatino Linotype" w:hAnsi="Palatino Linotype" w:cs="Palatino Linotype"/>
          <w:b/>
          <w:i/>
          <w:color w:val="000000"/>
          <w:sz w:val="22"/>
          <w:szCs w:val="22"/>
        </w:rPr>
      </w:pPr>
      <w:r>
        <w:rPr>
          <w:rFonts w:ascii="Palatino Linotype" w:eastAsia="Palatino Linotype" w:hAnsi="Palatino Linotype" w:cs="Palatino Linotype"/>
          <w:b/>
          <w:i/>
          <w:color w:val="000000"/>
          <w:sz w:val="22"/>
          <w:szCs w:val="22"/>
        </w:rPr>
        <w:t xml:space="preserve"> 2. Garantizar el funcionamiento de la Unidad de Transparencia del Sujeto Obligado, para ingresar, actualizar y mantener vigente las obligaciones de información pública en sus respectivos portales de transparencia; </w:t>
      </w:r>
    </w:p>
    <w:p w:rsidR="009D1464" w:rsidRDefault="00782C62">
      <w:pP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 xml:space="preserve">3. Proveer lo necesario para garantizar a toda persona el derecho de acceso a la información pública, a través de procedimientos sencillos, expeditos, oportunos y gratuitos; </w:t>
      </w:r>
    </w:p>
    <w:p w:rsidR="009D1464" w:rsidRDefault="00782C62">
      <w:pPr>
        <w:ind w:left="1134" w:right="900"/>
        <w:jc w:val="both"/>
        <w:rPr>
          <w:rFonts w:ascii="Palatino Linotype" w:eastAsia="Palatino Linotype" w:hAnsi="Palatino Linotype" w:cs="Palatino Linotype"/>
          <w:b/>
          <w:i/>
          <w:color w:val="000000"/>
          <w:sz w:val="22"/>
          <w:szCs w:val="22"/>
        </w:rPr>
      </w:pPr>
      <w:r>
        <w:rPr>
          <w:rFonts w:ascii="Palatino Linotype" w:eastAsia="Palatino Linotype" w:hAnsi="Palatino Linotype" w:cs="Palatino Linotype"/>
          <w:b/>
          <w:i/>
          <w:color w:val="000000"/>
          <w:sz w:val="22"/>
          <w:szCs w:val="22"/>
        </w:rPr>
        <w:t xml:space="preserve">4. Recibir, tramitar, coordinar, recopilar, analizar y entregar, en su caso, a las y los particulares la información solicitada de acceso a la información, así como las del Sistema de Acceso, Rectificación, Cancelación y Oposición de datos personales del Estado de México, en apego a lo señalado en la Ley de Transparencia y Acceso a la Información Pública del Estado de México y Municipios y, Ley de Protección de Datos Personales en posesión de los Sujetos Obligados del Estado de México y Municipios; </w:t>
      </w:r>
    </w:p>
    <w:p w:rsidR="009D1464" w:rsidRDefault="00782C62">
      <w:pP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 xml:space="preserve">5. Atender y orientar las solicitudes de acceso a la información pública (SAIMEX), y de acceso, rectificación, cancelación y oposición de datos personales (SARCOEM); además de cumplir con las obligaciones que señala la ley en la materia; </w:t>
      </w:r>
    </w:p>
    <w:p w:rsidR="009D1464" w:rsidRDefault="00782C62">
      <w:pP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 xml:space="preserve">6. Coordinar las actividades y operaciones de la Unidad de Transparencia en apego a las atribuciones que tiene encomendadas de conformidad con la Ley de Transparencia y Acceso a la Información Pública del Estado de México y Municipios, así como a la Ley de Protección de Datos Personales en posesión de los Sujetos Obligados del Estado de México y Municipios; </w:t>
      </w:r>
    </w:p>
    <w:p w:rsidR="009D1464" w:rsidRDefault="00782C62">
      <w:pP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 xml:space="preserve">7. Participar, coadyuvar y atender las obligaciones del Comité de Transparencia del Sujeto Obligado para cumplir con las disposiciones jurídicas administrativas aplicables en la materia de Transparencia y Acceso a la Información Pública del Estado de México y Protección de Datos Personales en posesión de los Sujetos Obligados del Estado de México y Municipios; </w:t>
      </w:r>
    </w:p>
    <w:p w:rsidR="009D1464" w:rsidRDefault="00782C62">
      <w:pP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 xml:space="preserve">8. Coadyuvar con el Comité de Transparencia del Ayuntamiento de Toluca en las actividades para resolver y determinar la información que deberá clasificarse, así como para atender y resolver los requerimientos de las y los Servidores Públicos Habilitados y del Instituto de Transparencia, Acceso a la Información Pública y Protección de Datos Personales del Estado de México y Municipios; </w:t>
      </w:r>
    </w:p>
    <w:p w:rsidR="009D1464" w:rsidRDefault="00782C62">
      <w:pP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lastRenderedPageBreak/>
        <w:t xml:space="preserve">9. Proponer al Comité de Transparencia, los procedimientos internos que aseguren la mayor eficiencia en la gestión de las solicitudes de acceso a la información, conforme a la normatividad aplicable; </w:t>
      </w:r>
    </w:p>
    <w:p w:rsidR="009D1464" w:rsidRDefault="00782C62">
      <w:pP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 xml:space="preserve">10. Proponer a quien preside el Comité de Transparencia, personal habilitado que sea necesario para recibir y dar trámite a las solicitudes de acceso a la información; </w:t>
      </w:r>
    </w:p>
    <w:p w:rsidR="009D1464" w:rsidRDefault="00782C62">
      <w:pP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 xml:space="preserve">11. Efectuar las notificaciones a las y los solicitantes de acceso a la información en apego a lo señalado en la normatividad vigente en la materia; </w:t>
      </w:r>
    </w:p>
    <w:p w:rsidR="009D1464" w:rsidRDefault="00782C62">
      <w:pP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 xml:space="preserve">12. Coordinar, recopilar, verificar, integrar, actualizar y difundir la información pública de oficio de competencia de cada uno de las y los Servidores Públicos Habilitados de este Ayuntamiento para cumplir con las obligaciones comunes y específicas determinadas en la plataforma de información Pública de Oficio de los Sujetos Obligados del Estado de México y Municipios (IPOMEX), conforme a la normatividad aplicable; </w:t>
      </w:r>
    </w:p>
    <w:p w:rsidR="009D1464" w:rsidRDefault="00782C62">
      <w:pP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 xml:space="preserve">13. Orientar a las y los Servidores Públicos Habilitados del Sujeto Obligado en materia de transparencia, información pública de oficio, clasificación de la información y protección de datos personales; </w:t>
      </w:r>
    </w:p>
    <w:p w:rsidR="009D1464" w:rsidRDefault="00782C62">
      <w:pP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 xml:space="preserve">14. Auxiliar a las y los particulares en la elaboración de solicitudes de acceso a la información y, en su caso, orientarlos sobre los Sujetos Obligados competentes conforme a la normatividad aplicable; </w:t>
      </w:r>
    </w:p>
    <w:p w:rsidR="009D1464" w:rsidRDefault="00782C62">
      <w:pP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 xml:space="preserve">15. Garantizar y atender las determinaciones del Instituto de Transparencia y Acceso a la Información Pública del Estado de México y Municipios; </w:t>
      </w:r>
    </w:p>
    <w:p w:rsidR="009D1464" w:rsidRDefault="00782C62">
      <w:pP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 xml:space="preserve">16. Establecer mecanismos para asegurar que los datos personales en posesión del Sujeto Obligado, sólo se entreguen a su titular o su representante debidamente acreditado; </w:t>
      </w:r>
    </w:p>
    <w:p w:rsidR="009D1464" w:rsidRDefault="00782C62">
      <w:pPr>
        <w:ind w:left="1134" w:right="900"/>
        <w:jc w:val="both"/>
        <w:rPr>
          <w:rFonts w:ascii="Palatino Linotype" w:eastAsia="Palatino Linotype" w:hAnsi="Palatino Linotype" w:cs="Palatino Linotype"/>
          <w:b/>
          <w:i/>
          <w:color w:val="000000"/>
          <w:sz w:val="22"/>
          <w:szCs w:val="22"/>
        </w:rPr>
      </w:pPr>
      <w:r>
        <w:rPr>
          <w:rFonts w:ascii="Palatino Linotype" w:eastAsia="Palatino Linotype" w:hAnsi="Palatino Linotype" w:cs="Palatino Linotype"/>
          <w:b/>
          <w:i/>
          <w:color w:val="000000"/>
          <w:sz w:val="22"/>
          <w:szCs w:val="22"/>
        </w:rPr>
        <w:t xml:space="preserve">17. Llevar un registro de las solicitudes de acceso a la información, sus respuestas, resultados, costos de reproducción y envío, resolución a los recursos de revisión que se hayan emitido en contra de sus respuestas y del cumplimiento de las mismas; </w:t>
      </w:r>
    </w:p>
    <w:p w:rsidR="009D1464" w:rsidRDefault="00782C62">
      <w:pP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 xml:space="preserve">18. Promover e implementar políticas de transparencia proactiva y de interés público procurando su accesibilidad; </w:t>
      </w:r>
    </w:p>
    <w:p w:rsidR="009D1464" w:rsidRDefault="00782C62">
      <w:pP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 xml:space="preserve">19. Contribuir a la mejora de procedimientos y mecanismos que permitan transparentar la gestión pública y mejorar la toma de decisiones de la ciudadanía; </w:t>
      </w:r>
    </w:p>
    <w:p w:rsidR="009D1464" w:rsidRDefault="00782C62">
      <w:pP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20. Fomentar y coordinar políticas públicas para implementar la transparencia y accesibilidad al interior del Sujeto Obligado;</w:t>
      </w:r>
    </w:p>
    <w:p w:rsidR="009D1464" w:rsidRDefault="00782C62">
      <w:pP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 xml:space="preserve">21. Coadyuvar y establecer políticas públicas con las y los Servidores Públicos Habilitados de este Ayuntamiento para facilitar la obtención y entrega de </w:t>
      </w:r>
      <w:r>
        <w:rPr>
          <w:rFonts w:ascii="Palatino Linotype" w:eastAsia="Palatino Linotype" w:hAnsi="Palatino Linotype" w:cs="Palatino Linotype"/>
          <w:i/>
          <w:color w:val="000000"/>
          <w:sz w:val="22"/>
          <w:szCs w:val="22"/>
        </w:rPr>
        <w:lastRenderedPageBreak/>
        <w:t xml:space="preserve">información en las solicitudes que permita el adecuado ejercicio del derecho de acceso a la información; </w:t>
      </w:r>
    </w:p>
    <w:p w:rsidR="009D1464" w:rsidRDefault="00782C62">
      <w:pP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 xml:space="preserve">22. Promover y establecer un programa de capacitación en materia de transparencia, acceso a la información, accesibilidad y protección de datos personales, para las y los servidores públicos habilitados o integrantes del Sujeto Obligado; </w:t>
      </w:r>
    </w:p>
    <w:p w:rsidR="009D1464" w:rsidRDefault="00782C62">
      <w:pP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 xml:space="preserve">23. Hacer del conocimiento de la instancia competente la probable responsabilidad por el incumplimiento de las obligaciones previstas en la normatividad vigente en la materia de acceso a la información pública y protección de datos personales; </w:t>
      </w:r>
    </w:p>
    <w:p w:rsidR="009D1464" w:rsidRDefault="00782C62">
      <w:pP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 xml:space="preserve">24. Informar a la o el solicitante o su representante el monto de los costos a cubrir por la reproducción de información y/o envío de los datos personales, con base en lo establecido en las disposiciones normativas aplicables; </w:t>
      </w:r>
    </w:p>
    <w:p w:rsidR="009D1464" w:rsidRDefault="00782C62">
      <w:pP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 xml:space="preserve">25. Observar la incorporación de principios y políticas de transparencia en la operatividad de la gestión de la administración pública municipal; </w:t>
      </w:r>
    </w:p>
    <w:p w:rsidR="009D1464" w:rsidRDefault="00782C62">
      <w:pP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 xml:space="preserve">26. Promover, fomentar y difundir la cultura de la transparencia en el ejercicio de la función pública, el acceso a la información, la participación ciudadana, así como la rendición de cuentas, en coordinación con las y los Servidores Públicos Habilitados garantizando que la información sea oportuna, verificable, comprensible, actualizada y completa; </w:t>
      </w:r>
    </w:p>
    <w:p w:rsidR="009D1464" w:rsidRDefault="00782C62">
      <w:pP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 xml:space="preserve">27. Elaborar, establecer y ejecutar el Programa Anual de Sistematización y Actualización de la Información del Sujeto Obligado; y </w:t>
      </w:r>
    </w:p>
    <w:p w:rsidR="009D1464" w:rsidRDefault="00782C62">
      <w:pP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28. Realizar todas aquellas actividades que sean inherentes y aplicables al área de su competencia.</w:t>
      </w:r>
    </w:p>
    <w:p w:rsidR="009D1464" w:rsidRDefault="009D1464">
      <w:pPr>
        <w:ind w:left="1134" w:right="900"/>
        <w:jc w:val="both"/>
        <w:rPr>
          <w:rFonts w:ascii="Palatino Linotype" w:eastAsia="Palatino Linotype" w:hAnsi="Palatino Linotype" w:cs="Palatino Linotype"/>
          <w:i/>
          <w:color w:val="000000"/>
          <w:sz w:val="22"/>
          <w:szCs w:val="22"/>
        </w:rPr>
      </w:pPr>
    </w:p>
    <w:p w:rsidR="009D1464" w:rsidRDefault="00782C62">
      <w:pPr>
        <w:numPr>
          <w:ilvl w:val="0"/>
          <w:numId w:val="7"/>
        </w:numP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De lo anterior, se observa que la Unidad de Transparencia de acuerdo con el Manual de Organización de la Secretaría del Ayuntamiento, tiene la función de llevar todo el procedimiento de las solicitudes de información, así como de dirigir y coordinar las actividades de transparencia de manera interna. </w:t>
      </w:r>
    </w:p>
    <w:p w:rsidR="009D1464" w:rsidRDefault="009D1464">
      <w:pPr>
        <w:spacing w:line="360" w:lineRule="auto"/>
        <w:jc w:val="both"/>
        <w:rPr>
          <w:rFonts w:ascii="Palatino Linotype" w:eastAsia="Palatino Linotype" w:hAnsi="Palatino Linotype" w:cs="Palatino Linotype"/>
          <w:color w:val="000000"/>
        </w:rPr>
      </w:pPr>
    </w:p>
    <w:p w:rsidR="009D1464" w:rsidRDefault="00782C62">
      <w:pPr>
        <w:numPr>
          <w:ilvl w:val="0"/>
          <w:numId w:val="7"/>
        </w:numP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Seguidamente la Ley de Transparencia y Acceso a la Información Pública del Estado de México y Municipios, regula que las Unidades de Transparencia de los sujetos obligados tienen las siguientes funciones. </w:t>
      </w:r>
    </w:p>
    <w:p w:rsidR="009D1464" w:rsidRDefault="009D1464">
      <w:pPr>
        <w:pBdr>
          <w:top w:val="nil"/>
          <w:left w:val="nil"/>
          <w:bottom w:val="nil"/>
          <w:right w:val="nil"/>
          <w:between w:val="nil"/>
        </w:pBdr>
        <w:ind w:left="708"/>
        <w:rPr>
          <w:rFonts w:ascii="Palatino Linotype" w:eastAsia="Palatino Linotype" w:hAnsi="Palatino Linotype" w:cs="Palatino Linotype"/>
          <w:color w:val="000000"/>
          <w:sz w:val="22"/>
          <w:szCs w:val="22"/>
        </w:rPr>
      </w:pPr>
    </w:p>
    <w:p w:rsidR="009D1464" w:rsidRDefault="00782C62">
      <w:pPr>
        <w:ind w:left="1134" w:right="900"/>
        <w:jc w:val="both"/>
        <w:rPr>
          <w:rFonts w:ascii="Palatino Linotype" w:eastAsia="Palatino Linotype" w:hAnsi="Palatino Linotype" w:cs="Palatino Linotype"/>
          <w:b/>
          <w:i/>
          <w:color w:val="000000"/>
          <w:sz w:val="22"/>
          <w:szCs w:val="22"/>
        </w:rPr>
      </w:pPr>
      <w:r>
        <w:rPr>
          <w:rFonts w:ascii="Palatino Linotype" w:eastAsia="Palatino Linotype" w:hAnsi="Palatino Linotype" w:cs="Palatino Linotype"/>
          <w:b/>
          <w:i/>
          <w:color w:val="000000"/>
          <w:sz w:val="22"/>
          <w:szCs w:val="22"/>
        </w:rPr>
        <w:t xml:space="preserve">Artículo 53. Las Unidades de Transparencia tendrán las siguientes funciones: </w:t>
      </w:r>
    </w:p>
    <w:p w:rsidR="009D1464" w:rsidRDefault="00782C62">
      <w:pPr>
        <w:numPr>
          <w:ilvl w:val="0"/>
          <w:numId w:val="2"/>
        </w:numPr>
        <w:pBdr>
          <w:top w:val="nil"/>
          <w:left w:val="nil"/>
          <w:bottom w:val="nil"/>
          <w:right w:val="nil"/>
          <w:between w:val="nil"/>
        </w:pBdr>
        <w:ind w:left="1134" w:right="900" w:firstLine="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 xml:space="preserve">Recabar, difundir y actualizar la información relativa a las obligaciones de transparencia comunes y específicas a la que se refiere la Ley General, esta Ley, la que determine el Instituto y las demás disposiciones de la materia, así como propiciar que las áreas la actualicen periódicamente conforme a la normatividad aplicable; </w:t>
      </w:r>
    </w:p>
    <w:p w:rsidR="009D1464" w:rsidRDefault="00782C62">
      <w:pPr>
        <w:pBdr>
          <w:top w:val="nil"/>
          <w:left w:val="nil"/>
          <w:bottom w:val="nil"/>
          <w:right w:val="nil"/>
          <w:between w:val="nil"/>
        </w:pBdr>
        <w:ind w:left="1134" w:right="900"/>
        <w:jc w:val="both"/>
        <w:rPr>
          <w:rFonts w:ascii="Palatino Linotype" w:eastAsia="Palatino Linotype" w:hAnsi="Palatino Linotype" w:cs="Palatino Linotype"/>
          <w:b/>
          <w:i/>
          <w:color w:val="000000"/>
          <w:sz w:val="22"/>
          <w:szCs w:val="22"/>
        </w:rPr>
      </w:pPr>
      <w:r>
        <w:rPr>
          <w:rFonts w:ascii="Palatino Linotype" w:eastAsia="Palatino Linotype" w:hAnsi="Palatino Linotype" w:cs="Palatino Linotype"/>
          <w:b/>
          <w:i/>
          <w:color w:val="000000"/>
          <w:sz w:val="22"/>
          <w:szCs w:val="22"/>
        </w:rPr>
        <w:t>II. Recibir, tramitar y dar respuesta a las solicitudes de acceso a la información;</w:t>
      </w:r>
      <w:r>
        <w:rPr>
          <w:b/>
          <w:i/>
          <w:color w:val="000000"/>
          <w:sz w:val="22"/>
          <w:szCs w:val="22"/>
        </w:rPr>
        <w:t xml:space="preserve"> </w:t>
      </w:r>
    </w:p>
    <w:p w:rsidR="009D1464" w:rsidRDefault="00782C62">
      <w:pPr>
        <w:pBdr>
          <w:top w:val="nil"/>
          <w:left w:val="nil"/>
          <w:bottom w:val="nil"/>
          <w:right w:val="nil"/>
          <w:between w:val="nil"/>
        </w:pBd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 xml:space="preserve">III. Auxiliar a los particulares en la elaboración de solicitudes de acceso a la información y, en su caso, orientarlos sobre los sujetos obligados competentes conforme a la normatividad aplicable; </w:t>
      </w:r>
    </w:p>
    <w:p w:rsidR="009D1464" w:rsidRDefault="00782C62">
      <w:pPr>
        <w:pBdr>
          <w:top w:val="nil"/>
          <w:left w:val="nil"/>
          <w:bottom w:val="nil"/>
          <w:right w:val="nil"/>
          <w:between w:val="nil"/>
        </w:pBdr>
        <w:ind w:left="1134" w:right="900"/>
        <w:jc w:val="both"/>
        <w:rPr>
          <w:rFonts w:ascii="Palatino Linotype" w:eastAsia="Palatino Linotype" w:hAnsi="Palatino Linotype" w:cs="Palatino Linotype"/>
          <w:b/>
          <w:i/>
          <w:color w:val="000000"/>
          <w:sz w:val="22"/>
          <w:szCs w:val="22"/>
        </w:rPr>
      </w:pPr>
      <w:r>
        <w:rPr>
          <w:rFonts w:ascii="Palatino Linotype" w:eastAsia="Palatino Linotype" w:hAnsi="Palatino Linotype" w:cs="Palatino Linotype"/>
          <w:b/>
          <w:i/>
          <w:color w:val="000000"/>
          <w:sz w:val="22"/>
          <w:szCs w:val="22"/>
        </w:rPr>
        <w:t xml:space="preserve">IV. Realizar, con efectividad, los trámites internos necesarios para la atención de las solicitudes de acceso a la información; </w:t>
      </w:r>
    </w:p>
    <w:p w:rsidR="009D1464" w:rsidRDefault="00782C62">
      <w:pPr>
        <w:pBdr>
          <w:top w:val="nil"/>
          <w:left w:val="nil"/>
          <w:bottom w:val="nil"/>
          <w:right w:val="nil"/>
          <w:between w:val="nil"/>
        </w:pBd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 xml:space="preserve">V. Entregar, en su caso, a los particulares la información solicitada; </w:t>
      </w:r>
    </w:p>
    <w:p w:rsidR="009D1464" w:rsidRDefault="00782C62">
      <w:pPr>
        <w:pBdr>
          <w:top w:val="nil"/>
          <w:left w:val="nil"/>
          <w:bottom w:val="nil"/>
          <w:right w:val="nil"/>
          <w:between w:val="nil"/>
        </w:pBd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 xml:space="preserve">VI. Efectuar las notificaciones a los solicitantes; </w:t>
      </w:r>
    </w:p>
    <w:p w:rsidR="009D1464" w:rsidRDefault="00782C62">
      <w:pPr>
        <w:pBdr>
          <w:top w:val="nil"/>
          <w:left w:val="nil"/>
          <w:bottom w:val="nil"/>
          <w:right w:val="nil"/>
          <w:between w:val="nil"/>
        </w:pBd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 xml:space="preserve">VII. Proponer al Comité de Transparencia, los procedimientos internos que aseguren la mayor eficiencia en la gestión de las solicitudes de acceso a la información, conforme a la normatividad aplicable; </w:t>
      </w:r>
    </w:p>
    <w:p w:rsidR="009D1464" w:rsidRDefault="00782C62">
      <w:pPr>
        <w:pBdr>
          <w:top w:val="nil"/>
          <w:left w:val="nil"/>
          <w:bottom w:val="nil"/>
          <w:right w:val="nil"/>
          <w:between w:val="nil"/>
        </w:pBd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 xml:space="preserve">VIII. Proponer a quien preside el Comité de Transparencia, personal habilitado que sea necesario para recibir y dar trámite a las solicitudes de acceso a la información; </w:t>
      </w:r>
    </w:p>
    <w:p w:rsidR="009D1464" w:rsidRDefault="00782C62">
      <w:pPr>
        <w:pBdr>
          <w:top w:val="nil"/>
          <w:left w:val="nil"/>
          <w:bottom w:val="nil"/>
          <w:right w:val="nil"/>
          <w:between w:val="nil"/>
        </w:pBdr>
        <w:ind w:left="1134" w:right="900"/>
        <w:jc w:val="both"/>
        <w:rPr>
          <w:rFonts w:ascii="Palatino Linotype" w:eastAsia="Palatino Linotype" w:hAnsi="Palatino Linotype" w:cs="Palatino Linotype"/>
          <w:b/>
          <w:i/>
          <w:color w:val="000000"/>
          <w:sz w:val="22"/>
          <w:szCs w:val="22"/>
        </w:rPr>
      </w:pPr>
      <w:r>
        <w:rPr>
          <w:rFonts w:ascii="Palatino Linotype" w:eastAsia="Palatino Linotype" w:hAnsi="Palatino Linotype" w:cs="Palatino Linotype"/>
          <w:b/>
          <w:i/>
          <w:color w:val="000000"/>
          <w:sz w:val="22"/>
          <w:szCs w:val="22"/>
        </w:rPr>
        <w:t xml:space="preserve">IX. Llevar un registro de las solicitudes de acceso a la información, sus respuestas, resultados, costos de reproducción y envío, resolución a los recursos de revisión que se hayan emitido en contra de sus respuestas y del cumplimiento de las mismas; </w:t>
      </w:r>
    </w:p>
    <w:p w:rsidR="009D1464" w:rsidRDefault="00782C62">
      <w:pPr>
        <w:pBdr>
          <w:top w:val="nil"/>
          <w:left w:val="nil"/>
          <w:bottom w:val="nil"/>
          <w:right w:val="nil"/>
          <w:between w:val="nil"/>
        </w:pBd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 xml:space="preserve">X. Presentar ante el Comité, el proyecto de clasificación de información; </w:t>
      </w:r>
    </w:p>
    <w:p w:rsidR="009D1464" w:rsidRDefault="00782C62">
      <w:pPr>
        <w:pBdr>
          <w:top w:val="nil"/>
          <w:left w:val="nil"/>
          <w:bottom w:val="nil"/>
          <w:right w:val="nil"/>
          <w:between w:val="nil"/>
        </w:pBd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 xml:space="preserve">XI. Promover e implementar políticas de transparencia proactiva procurando su accesibilidad; </w:t>
      </w:r>
    </w:p>
    <w:p w:rsidR="009D1464" w:rsidRDefault="00782C62">
      <w:pPr>
        <w:pBdr>
          <w:top w:val="nil"/>
          <w:left w:val="nil"/>
          <w:bottom w:val="nil"/>
          <w:right w:val="nil"/>
          <w:between w:val="nil"/>
        </w:pBd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 xml:space="preserve">XII. Fomentar la transparencia y accesibilidad al interior del sujeto obligado; </w:t>
      </w:r>
    </w:p>
    <w:p w:rsidR="009D1464" w:rsidRDefault="00782C62">
      <w:pPr>
        <w:pBdr>
          <w:top w:val="nil"/>
          <w:left w:val="nil"/>
          <w:bottom w:val="nil"/>
          <w:right w:val="nil"/>
          <w:between w:val="nil"/>
        </w:pBd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 xml:space="preserve">XIII. Hacer del conocimiento de la instancia competente la probable responsabilidad por el incumplimiento de las obligaciones previstas en la presente Ley; y </w:t>
      </w:r>
    </w:p>
    <w:p w:rsidR="009D1464" w:rsidRDefault="00782C62">
      <w:pPr>
        <w:pBdr>
          <w:top w:val="nil"/>
          <w:left w:val="nil"/>
          <w:bottom w:val="nil"/>
          <w:right w:val="nil"/>
          <w:between w:val="nil"/>
        </w:pBdr>
        <w:ind w:left="1134"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XIV. Las demás que resulten necesarias para facilitar el acceso a la información y aquellas que se desprenden de la presente Ley y demás disposiciones jurídicas aplicables.</w:t>
      </w:r>
    </w:p>
    <w:p w:rsidR="009D1464" w:rsidRDefault="009D1464">
      <w:pPr>
        <w:spacing w:line="360" w:lineRule="auto"/>
        <w:jc w:val="both"/>
        <w:rPr>
          <w:rFonts w:ascii="Palatino Linotype" w:eastAsia="Palatino Linotype" w:hAnsi="Palatino Linotype" w:cs="Palatino Linotype"/>
          <w:color w:val="000000"/>
        </w:rPr>
      </w:pPr>
    </w:p>
    <w:p w:rsidR="009D1464" w:rsidRDefault="00782C62">
      <w:pPr>
        <w:numPr>
          <w:ilvl w:val="0"/>
          <w:numId w:val="7"/>
        </w:numPr>
        <w:spacing w:line="360" w:lineRule="auto"/>
        <w:ind w:left="0" w:firstLine="0"/>
        <w:jc w:val="both"/>
        <w:rPr>
          <w:rFonts w:ascii="Palatino Linotype" w:eastAsia="Palatino Linotype" w:hAnsi="Palatino Linotype" w:cs="Palatino Linotype"/>
          <w:b/>
          <w:i/>
          <w:color w:val="000000"/>
        </w:rPr>
      </w:pPr>
      <w:r>
        <w:rPr>
          <w:rFonts w:ascii="Palatino Linotype" w:eastAsia="Palatino Linotype" w:hAnsi="Palatino Linotype" w:cs="Palatino Linotype"/>
          <w:color w:val="000000"/>
        </w:rPr>
        <w:lastRenderedPageBreak/>
        <w:t>De lo anterior, se colige que la Unidad de Transparencia tiene la función de realizar, con efectividad, los trámites internos necesarios para la atención de las solicitudes de acceso a la información;</w:t>
      </w:r>
      <w:r>
        <w:rPr>
          <w:rFonts w:ascii="Palatino Linotype" w:eastAsia="Palatino Linotype" w:hAnsi="Palatino Linotype" w:cs="Palatino Linotype"/>
          <w:b/>
          <w:i/>
          <w:color w:val="000000"/>
        </w:rPr>
        <w:t xml:space="preserve"> </w:t>
      </w:r>
      <w:r>
        <w:rPr>
          <w:rFonts w:ascii="Palatino Linotype" w:eastAsia="Palatino Linotype" w:hAnsi="Palatino Linotype" w:cs="Palatino Linotype"/>
          <w:color w:val="000000"/>
        </w:rPr>
        <w:t xml:space="preserve">entre los que se encuentra la emisión y recepción de oficios. </w:t>
      </w:r>
    </w:p>
    <w:p w:rsidR="009D1464" w:rsidRDefault="009D1464">
      <w:pPr>
        <w:spacing w:line="360" w:lineRule="auto"/>
        <w:rPr>
          <w:rFonts w:ascii="Palatino Linotype" w:eastAsia="Palatino Linotype" w:hAnsi="Palatino Linotype" w:cs="Palatino Linotype"/>
          <w:b/>
          <w:i/>
          <w:color w:val="000000"/>
        </w:rPr>
      </w:pPr>
    </w:p>
    <w:p w:rsidR="009D1464" w:rsidRDefault="00782C62">
      <w:pPr>
        <w:numPr>
          <w:ilvl w:val="0"/>
          <w:numId w:val="7"/>
        </w:numP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Ahora bien, una vez que el </w:t>
      </w:r>
      <w:r>
        <w:rPr>
          <w:rFonts w:ascii="Palatino Linotype" w:eastAsia="Palatino Linotype" w:hAnsi="Palatino Linotype" w:cs="Palatino Linotype"/>
          <w:b/>
          <w:color w:val="000000"/>
        </w:rPr>
        <w:t xml:space="preserve">SUJETO OBLIGADO </w:t>
      </w:r>
      <w:r>
        <w:rPr>
          <w:rFonts w:ascii="Palatino Linotype" w:eastAsia="Palatino Linotype" w:hAnsi="Palatino Linotype" w:cs="Palatino Linotype"/>
        </w:rPr>
        <w:t>aceptó</w:t>
      </w:r>
      <w:r>
        <w:rPr>
          <w:rFonts w:ascii="Palatino Linotype" w:eastAsia="Palatino Linotype" w:hAnsi="Palatino Linotype" w:cs="Palatino Linotype"/>
          <w:color w:val="000000"/>
        </w:rPr>
        <w:t xml:space="preserve"> tener la información y que se estableció la fuente obligacional en párrafos anteriores, es que se debe de analizar lo referente al cobro por el escaneo y digitalización que se le </w:t>
      </w:r>
      <w:r>
        <w:rPr>
          <w:rFonts w:ascii="Palatino Linotype" w:eastAsia="Palatino Linotype" w:hAnsi="Palatino Linotype" w:cs="Palatino Linotype"/>
        </w:rPr>
        <w:t>notificó</w:t>
      </w:r>
      <w:r>
        <w:rPr>
          <w:rFonts w:ascii="Palatino Linotype" w:eastAsia="Palatino Linotype" w:hAnsi="Palatino Linotype" w:cs="Palatino Linotype"/>
          <w:color w:val="000000"/>
        </w:rPr>
        <w:t xml:space="preserve"> al </w:t>
      </w:r>
      <w:r>
        <w:rPr>
          <w:rFonts w:ascii="Palatino Linotype" w:eastAsia="Palatino Linotype" w:hAnsi="Palatino Linotype" w:cs="Palatino Linotype"/>
          <w:b/>
          <w:color w:val="000000"/>
        </w:rPr>
        <w:t xml:space="preserve">RECURRENTE </w:t>
      </w:r>
      <w:r>
        <w:rPr>
          <w:rFonts w:ascii="Palatino Linotype" w:eastAsia="Palatino Linotype" w:hAnsi="Palatino Linotype" w:cs="Palatino Linotype"/>
          <w:color w:val="000000"/>
        </w:rPr>
        <w:t xml:space="preserve">en cada una de las respuestas de las solicitudes de información. </w:t>
      </w:r>
    </w:p>
    <w:p w:rsidR="009D1464" w:rsidRDefault="009D1464">
      <w:pPr>
        <w:pBdr>
          <w:top w:val="nil"/>
          <w:left w:val="nil"/>
          <w:bottom w:val="nil"/>
          <w:right w:val="nil"/>
          <w:between w:val="nil"/>
        </w:pBdr>
        <w:ind w:left="708"/>
        <w:rPr>
          <w:rFonts w:ascii="Palatino Linotype" w:eastAsia="Palatino Linotype" w:hAnsi="Palatino Linotype" w:cs="Palatino Linotype"/>
          <w:color w:val="000000"/>
          <w:sz w:val="22"/>
          <w:szCs w:val="22"/>
        </w:rPr>
      </w:pPr>
    </w:p>
    <w:p w:rsidR="009D1464" w:rsidRDefault="00782C62">
      <w:pPr>
        <w:numPr>
          <w:ilvl w:val="0"/>
          <w:numId w:val="7"/>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rPr>
        <w:t xml:space="preserve">El derecho de acceso a la información es universal, por lo que todas las </w:t>
      </w:r>
      <w:r>
        <w:rPr>
          <w:rFonts w:ascii="Palatino Linotype" w:eastAsia="Palatino Linotype" w:hAnsi="Palatino Linotype" w:cs="Palatino Linotype"/>
          <w:color w:val="000000"/>
        </w:rPr>
        <w:t>personas</w:t>
      </w:r>
      <w:r>
        <w:rPr>
          <w:rFonts w:ascii="Palatino Linotype" w:eastAsia="Palatino Linotype" w:hAnsi="Palatino Linotype" w:cs="Palatino Linotype"/>
        </w:rPr>
        <w:t xml:space="preserve"> pueden ejercerlo, sin distinción alguna, cuando alguien solicita </w:t>
      </w:r>
      <w:r>
        <w:rPr>
          <w:rFonts w:ascii="Palatino Linotype" w:eastAsia="Palatino Linotype" w:hAnsi="Palatino Linotype" w:cs="Palatino Linotype"/>
          <w:i/>
        </w:rPr>
        <w:t>información</w:t>
      </w:r>
      <w:r>
        <w:rPr>
          <w:rFonts w:ascii="Palatino Linotype" w:eastAsia="Palatino Linotype" w:hAnsi="Palatino Linotype" w:cs="Palatino Linotype"/>
        </w:rPr>
        <w:t xml:space="preserve"> pública, los sujetos obligados tienen la obligación de privilegiar los principios de máxima accesibilidad, de sencillez y, sobre todo, de gratuidad, como ejes rectores de estos procedimientos; si bien las instituciones públicas deben anteponer el </w:t>
      </w:r>
      <w:r>
        <w:rPr>
          <w:rFonts w:ascii="Palatino Linotype" w:eastAsia="Palatino Linotype" w:hAnsi="Palatino Linotype" w:cs="Palatino Linotype"/>
          <w:b/>
        </w:rPr>
        <w:t>principio de gratuidad</w:t>
      </w:r>
      <w:r>
        <w:rPr>
          <w:rFonts w:ascii="Palatino Linotype" w:eastAsia="Palatino Linotype" w:hAnsi="Palatino Linotype" w:cs="Palatino Linotype"/>
        </w:rPr>
        <w:t>, en razón de lo anterior es que los particulares estiman conveniente que la entrega de la información se realice a través del Sistema de Acceso a la Información Mexiquense (SAIMEX) como la vía principal para la consulta de la información, como se actualiza del caso concreto.</w:t>
      </w:r>
    </w:p>
    <w:p w:rsidR="009D1464" w:rsidRDefault="009D1464">
      <w:pPr>
        <w:pBdr>
          <w:top w:val="nil"/>
          <w:left w:val="nil"/>
          <w:bottom w:val="nil"/>
          <w:right w:val="nil"/>
          <w:between w:val="nil"/>
        </w:pBdr>
        <w:ind w:left="720"/>
        <w:rPr>
          <w:rFonts w:ascii="Palatino Linotype" w:eastAsia="Palatino Linotype" w:hAnsi="Palatino Linotype" w:cs="Palatino Linotype"/>
          <w:color w:val="000000"/>
        </w:rPr>
      </w:pPr>
    </w:p>
    <w:p w:rsidR="009D1464" w:rsidRDefault="00782C62">
      <w:pPr>
        <w:numPr>
          <w:ilvl w:val="0"/>
          <w:numId w:val="7"/>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rPr>
        <w:t xml:space="preserve">En esa tesitura, la información debe entregarse en la modalidad especificada por cada solicitante, debiéndose adjuntar </w:t>
      </w:r>
      <w:r>
        <w:rPr>
          <w:rFonts w:ascii="Palatino Linotype" w:eastAsia="Palatino Linotype" w:hAnsi="Palatino Linotype" w:cs="Palatino Linotype"/>
          <w:b/>
          <w:u w:val="single"/>
        </w:rPr>
        <w:t>los documentos digitalizados sin costo algu</w:t>
      </w:r>
      <w:r>
        <w:rPr>
          <w:rFonts w:ascii="Palatino Linotype" w:eastAsia="Palatino Linotype" w:hAnsi="Palatino Linotype" w:cs="Palatino Linotype"/>
        </w:rPr>
        <w:t xml:space="preserve">no como pretende el </w:t>
      </w:r>
      <w:r>
        <w:rPr>
          <w:rFonts w:ascii="Palatino Linotype" w:eastAsia="Palatino Linotype" w:hAnsi="Palatino Linotype" w:cs="Palatino Linotype"/>
          <w:b/>
        </w:rPr>
        <w:t>SUJETO OBLIGADO</w:t>
      </w:r>
      <w:r>
        <w:rPr>
          <w:rFonts w:ascii="Palatino Linotype" w:eastAsia="Palatino Linotype" w:hAnsi="Palatino Linotype" w:cs="Palatino Linotype"/>
        </w:rPr>
        <w:t xml:space="preserve">, lo cual representa un ahorro significativo, tanto para los particulares como para las instituciones, ya que en </w:t>
      </w:r>
      <w:r>
        <w:rPr>
          <w:rFonts w:ascii="Palatino Linotype" w:eastAsia="Palatino Linotype" w:hAnsi="Palatino Linotype" w:cs="Palatino Linotype"/>
        </w:rPr>
        <w:lastRenderedPageBreak/>
        <w:t>algunos casos, las personas no ejercen este derecho fundamental mediante el SAIMEX, sino a través de copias simples, copias certificadas o discos compactos, modalidades que sí requieren el pago de derechos correspondiente, según las prescripciones del Código Financiero del Estado de México y Municipios, situación que de los escritos iniciales no se requirió al solicitar la información pública de su interés por medio de dicha plataforma electrónica, lo cual no implica el pago por digitalización de información, por el contrario, la elección del SAIMEX es con la finalidad de evitar dicho pago y, además, facilitar su entrega.</w:t>
      </w:r>
    </w:p>
    <w:p w:rsidR="009D1464" w:rsidRDefault="009D1464">
      <w:pPr>
        <w:spacing w:line="360" w:lineRule="auto"/>
        <w:jc w:val="both"/>
        <w:rPr>
          <w:rFonts w:ascii="Palatino Linotype" w:eastAsia="Palatino Linotype" w:hAnsi="Palatino Linotype" w:cs="Palatino Linotype"/>
        </w:rPr>
      </w:pPr>
    </w:p>
    <w:p w:rsidR="009D1464" w:rsidRDefault="00782C62">
      <w:pPr>
        <w:numPr>
          <w:ilvl w:val="0"/>
          <w:numId w:val="7"/>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rPr>
        <w:t>Externado lo anterior, es dable traer a contexto el primer párrafo del artículo primero de la Constitución Política de los Estados Unidos Mexicanos, en nuestro país las personas gozan de los derechos reconocidos en dicho instrumento fundamental y en los tratados internacionales así como de las garantías para su protección. Entre estos derechos se encuentra el derecho de acceso a la información pública reconocido en el Pacto de Derechos Civiles y Políticos en su artículo 19 numeral 2; en la Convención Americana sobre Derechos Humanos en su artículo 13 numeral 1; en el artículo sexto de la Constitución Política de los Estados Unidos Mexicanos y en el artículo quinto de la Particular del Estado de México. Ya sea que entendamos a los derechos como realidades positivas que forman parte de la esfera de lo indecidible que o de lo indecidible que no  o bien como principios que constituyen mandatos de optimización,  lo cierto es que son piedra cardinal en el Estado Constitucional de Derecho que estamos llamados a hacer prevalecer en nuestro país.</w:t>
      </w:r>
    </w:p>
    <w:p w:rsidR="009D1464" w:rsidRDefault="009D1464">
      <w:pPr>
        <w:pBdr>
          <w:top w:val="nil"/>
          <w:left w:val="nil"/>
          <w:bottom w:val="nil"/>
          <w:right w:val="nil"/>
          <w:between w:val="nil"/>
        </w:pBdr>
        <w:ind w:left="720"/>
        <w:rPr>
          <w:rFonts w:ascii="Palatino Linotype" w:eastAsia="Palatino Linotype" w:hAnsi="Palatino Linotype" w:cs="Palatino Linotype"/>
          <w:color w:val="000000"/>
        </w:rPr>
      </w:pPr>
    </w:p>
    <w:p w:rsidR="009D1464" w:rsidRDefault="00782C62">
      <w:pPr>
        <w:numPr>
          <w:ilvl w:val="0"/>
          <w:numId w:val="7"/>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rPr>
        <w:t>Por lo tanto, para que los Sujetos obligados hagan efectivo el derecho de acceso a la información pública que generen, administren o posean, deben poner a disposición de los particulares los documentos en los que conste el ejercicio de sus atribuciones legales o que por cualquier circunstancia obre en sus archivos.</w:t>
      </w:r>
    </w:p>
    <w:p w:rsidR="009D1464" w:rsidRDefault="009D1464">
      <w:pPr>
        <w:spacing w:line="360" w:lineRule="auto"/>
        <w:rPr>
          <w:rFonts w:ascii="Palatino Linotype" w:eastAsia="Palatino Linotype" w:hAnsi="Palatino Linotype" w:cs="Palatino Linotype"/>
        </w:rPr>
      </w:pPr>
    </w:p>
    <w:p w:rsidR="009D1464" w:rsidRDefault="00782C62">
      <w:pPr>
        <w:numPr>
          <w:ilvl w:val="0"/>
          <w:numId w:val="3"/>
        </w:numPr>
        <w:pBdr>
          <w:top w:val="nil"/>
          <w:left w:val="nil"/>
          <w:bottom w:val="nil"/>
          <w:right w:val="nil"/>
          <w:between w:val="nil"/>
        </w:pBdr>
        <w:spacing w:line="360" w:lineRule="auto"/>
        <w:rPr>
          <w:rFonts w:ascii="Palatino Linotype" w:eastAsia="Palatino Linotype" w:hAnsi="Palatino Linotype" w:cs="Palatino Linotype"/>
          <w:b/>
          <w:color w:val="000000"/>
        </w:rPr>
      </w:pPr>
      <w:r>
        <w:rPr>
          <w:rFonts w:ascii="Palatino Linotype" w:eastAsia="Palatino Linotype" w:hAnsi="Palatino Linotype" w:cs="Palatino Linotype"/>
          <w:b/>
          <w:color w:val="000000"/>
        </w:rPr>
        <w:t>Del Principio de Gratuidad.</w:t>
      </w:r>
    </w:p>
    <w:p w:rsidR="009D1464" w:rsidRDefault="009D1464">
      <w:pPr>
        <w:pBdr>
          <w:top w:val="nil"/>
          <w:left w:val="nil"/>
          <w:bottom w:val="nil"/>
          <w:right w:val="nil"/>
          <w:between w:val="nil"/>
        </w:pBdr>
        <w:spacing w:line="360" w:lineRule="auto"/>
        <w:ind w:left="720"/>
        <w:rPr>
          <w:rFonts w:ascii="Palatino Linotype" w:eastAsia="Palatino Linotype" w:hAnsi="Palatino Linotype" w:cs="Palatino Linotype"/>
          <w:b/>
        </w:rPr>
      </w:pPr>
    </w:p>
    <w:p w:rsidR="009D1464" w:rsidRDefault="00782C62">
      <w:pPr>
        <w:numPr>
          <w:ilvl w:val="0"/>
          <w:numId w:val="7"/>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rPr>
        <w:t xml:space="preserve">Como parte del Derecho de Acceso a la Información Pública se contempla la observancia de principios en su carácter </w:t>
      </w:r>
      <w:r>
        <w:rPr>
          <w:rFonts w:ascii="Palatino Linotype" w:eastAsia="Palatino Linotype" w:hAnsi="Palatino Linotype" w:cs="Palatino Linotype"/>
          <w:b/>
          <w:u w:val="single"/>
        </w:rPr>
        <w:t>de gratuita</w:t>
      </w:r>
      <w:r>
        <w:rPr>
          <w:rFonts w:ascii="Palatino Linotype" w:eastAsia="Palatino Linotype" w:hAnsi="Palatino Linotype" w:cs="Palatino Linotype"/>
        </w:rPr>
        <w:t xml:space="preserve">, veraz, confiable, oportuna, congruente, integral, actualizada, accesible, comprensible, verificable y de fácil acceso. </w:t>
      </w:r>
    </w:p>
    <w:p w:rsidR="009D1464" w:rsidRDefault="009D1464">
      <w:pPr>
        <w:spacing w:line="360" w:lineRule="auto"/>
        <w:rPr>
          <w:rFonts w:ascii="Palatino Linotype" w:eastAsia="Palatino Linotype" w:hAnsi="Palatino Linotype" w:cs="Palatino Linotype"/>
        </w:rPr>
      </w:pPr>
    </w:p>
    <w:p w:rsidR="009D1464" w:rsidRDefault="00782C62">
      <w:pPr>
        <w:numPr>
          <w:ilvl w:val="0"/>
          <w:numId w:val="7"/>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rPr>
        <w:t>La Ley General de Transparencia y Acceso a la Información Pública señala claramente que el ejercicio del derecho de acceso a la información será gratuito y sólo podrá requerirse el cobro correspondiente a la modalidad de reproducción y entrega solicitada.</w:t>
      </w:r>
    </w:p>
    <w:p w:rsidR="009D1464" w:rsidRDefault="009D1464">
      <w:pPr>
        <w:pBdr>
          <w:top w:val="nil"/>
          <w:left w:val="nil"/>
          <w:bottom w:val="nil"/>
          <w:right w:val="nil"/>
          <w:between w:val="nil"/>
        </w:pBdr>
        <w:ind w:left="720"/>
        <w:rPr>
          <w:rFonts w:ascii="Palatino Linotype" w:eastAsia="Palatino Linotype" w:hAnsi="Palatino Linotype" w:cs="Palatino Linotype"/>
          <w:color w:val="000000"/>
        </w:rPr>
      </w:pPr>
    </w:p>
    <w:p w:rsidR="009D1464" w:rsidRDefault="00782C62">
      <w:pPr>
        <w:numPr>
          <w:ilvl w:val="0"/>
          <w:numId w:val="7"/>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rPr>
        <w:t xml:space="preserve">Dentro de los principios que la constitución local señala para hacer efectivo el derecho de acceso a la información pública, se encuentra el de gratuidad y el uso de las herramientas tecnológicas de la información puesta a disposición, tanto de los particulares como de los Sujetos Obligados. Es por esta razón que la Ley de Transparencia y Acceso a la Información Pública del Estado de México y Municipios, en concordancia con la Ley General de Transparencia y la Constitución local, señala </w:t>
      </w:r>
      <w:r>
        <w:rPr>
          <w:rFonts w:ascii="Palatino Linotype" w:eastAsia="Palatino Linotype" w:hAnsi="Palatino Linotype" w:cs="Palatino Linotype"/>
        </w:rPr>
        <w:lastRenderedPageBreak/>
        <w:t xml:space="preserve">las directrices y procedimientos que deben seguirse para poner a disposición de las personas la información. </w:t>
      </w:r>
    </w:p>
    <w:p w:rsidR="009D1464" w:rsidRDefault="009D1464">
      <w:pPr>
        <w:spacing w:line="360" w:lineRule="auto"/>
        <w:rPr>
          <w:rFonts w:ascii="Palatino Linotype" w:eastAsia="Palatino Linotype" w:hAnsi="Palatino Linotype" w:cs="Palatino Linotype"/>
        </w:rPr>
      </w:pPr>
    </w:p>
    <w:p w:rsidR="009D1464" w:rsidRDefault="00782C62">
      <w:pPr>
        <w:numPr>
          <w:ilvl w:val="0"/>
          <w:numId w:val="7"/>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rPr>
        <w:t xml:space="preserve">De manera específica, el artículo 9°, fracción III, de la Ley de Transparencia y Acceso a la Información Pública del Estado de México y Municipios establece: </w:t>
      </w:r>
    </w:p>
    <w:p w:rsidR="009D1464" w:rsidRDefault="00782C62">
      <w:pPr>
        <w:ind w:left="1134"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“Artículo 9. El Instituto deberá regir su funcionamiento de acuerdo a los siguientes principios:</w:t>
      </w:r>
    </w:p>
    <w:p w:rsidR="009D1464" w:rsidRDefault="00782C62">
      <w:pPr>
        <w:ind w:left="1134"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w:t>
      </w:r>
    </w:p>
    <w:p w:rsidR="009D1464" w:rsidRDefault="00782C62">
      <w:pPr>
        <w:ind w:left="1134"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III. Gratuidad: Consiste en que el acceso a la información pública no genera costo alguno para los solicitantes, sólo podrá requerirse el cobro correspondiente a la modalidad de reproducción y entrega solicitada conforme a lo establecido en la presente Ley y demás disposiciones jurídicas aplicables;”</w:t>
      </w:r>
    </w:p>
    <w:p w:rsidR="009D1464" w:rsidRDefault="009D1464">
      <w:pPr>
        <w:ind w:left="1134" w:right="900"/>
        <w:jc w:val="both"/>
        <w:rPr>
          <w:rFonts w:ascii="Palatino Linotype" w:eastAsia="Palatino Linotype" w:hAnsi="Palatino Linotype" w:cs="Palatino Linotype"/>
          <w:i/>
          <w:sz w:val="22"/>
          <w:szCs w:val="22"/>
        </w:rPr>
      </w:pPr>
    </w:p>
    <w:p w:rsidR="009D1464" w:rsidRDefault="00782C62">
      <w:pPr>
        <w:ind w:left="1134"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 xml:space="preserve">En este orden de ideas el artículo 150 de la ley en referencia en su texto refiere: </w:t>
      </w:r>
    </w:p>
    <w:p w:rsidR="009D1464" w:rsidRDefault="00782C62">
      <w:pPr>
        <w:ind w:left="1134"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“Artículo 150. El procedimiento de acceso a la información es la garantía primaria del derecho en cuestión y se rige por los principios de simplicidad, rapidez gratuidad del procedimiento, auxilio y orientación a los particulares, así como atención adecuada a las personas con discapacidad y a los hablantes de lengua indígena con el objeto de otorgar la protección más amplia del derecho de las personas.</w:t>
      </w:r>
    </w:p>
    <w:p w:rsidR="009D1464" w:rsidRDefault="009D1464">
      <w:pPr>
        <w:spacing w:line="360" w:lineRule="auto"/>
        <w:ind w:left="1134" w:right="900"/>
        <w:rPr>
          <w:rFonts w:ascii="Palatino Linotype" w:eastAsia="Palatino Linotype" w:hAnsi="Palatino Linotype" w:cs="Palatino Linotype"/>
        </w:rPr>
      </w:pPr>
    </w:p>
    <w:p w:rsidR="009D1464" w:rsidRDefault="00782C62">
      <w:pPr>
        <w:numPr>
          <w:ilvl w:val="0"/>
          <w:numId w:val="7"/>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rPr>
        <w:t xml:space="preserve">Para satisfacer plenamente el Derecho de Acceso a la Información Pública, este Órgano Garante debe velar por que el procedimiento de Acceso a la Información que es la garantía primaria del derecho en cuestión, se observen los principios de simplicidad, rapidez gratuidad del procedimiento, así como auxilio y orientación a los particulares con el propósito de otorgar la protección más amplia del derecho humano de las personas. </w:t>
      </w:r>
    </w:p>
    <w:p w:rsidR="009D1464" w:rsidRDefault="009D1464">
      <w:pPr>
        <w:spacing w:line="360" w:lineRule="auto"/>
        <w:jc w:val="both"/>
        <w:rPr>
          <w:rFonts w:ascii="Palatino Linotype" w:eastAsia="Palatino Linotype" w:hAnsi="Palatino Linotype" w:cs="Palatino Linotype"/>
        </w:rPr>
      </w:pPr>
    </w:p>
    <w:p w:rsidR="009D1464" w:rsidRDefault="00782C62">
      <w:pPr>
        <w:numPr>
          <w:ilvl w:val="0"/>
          <w:numId w:val="7"/>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rPr>
        <w:lastRenderedPageBreak/>
        <w:t xml:space="preserve">De los preceptos jurídicos citados se advierte que para garantizar plenamente el Derecho de Acceso a la Información Pública, se deben observar cada uno de los principios que la propia Ley señala y, así como es importante el principio de máxima publicidad, también el principio de gratuidad del procedimiento los es, ya que la Ley es muy clara al especificar que: “sólo podrá requerirse el cobro correspondiente a la modalidad de reproducción y entrega solicitada” y en el asunto de mérito, solicitó que la información le fuera entregada </w:t>
      </w:r>
      <w:r>
        <w:rPr>
          <w:rFonts w:ascii="Palatino Linotype" w:eastAsia="Palatino Linotype" w:hAnsi="Palatino Linotype" w:cs="Palatino Linotype"/>
          <w:b/>
          <w:u w:val="single"/>
        </w:rPr>
        <w:t>vía SAIMEX</w:t>
      </w:r>
      <w:r>
        <w:rPr>
          <w:rFonts w:ascii="Palatino Linotype" w:eastAsia="Palatino Linotype" w:hAnsi="Palatino Linotype" w:cs="Palatino Linotype"/>
        </w:rPr>
        <w:t xml:space="preserve">, lo que no implica un costo por </w:t>
      </w:r>
      <w:r>
        <w:rPr>
          <w:rFonts w:ascii="Palatino Linotype" w:eastAsia="Palatino Linotype" w:hAnsi="Palatino Linotype" w:cs="Palatino Linotype"/>
          <w:b/>
          <w:u w:val="single"/>
        </w:rPr>
        <w:t>digitalización o escaneo</w:t>
      </w:r>
      <w:r>
        <w:rPr>
          <w:rFonts w:ascii="Palatino Linotype" w:eastAsia="Palatino Linotype" w:hAnsi="Palatino Linotype" w:cs="Palatino Linotype"/>
        </w:rPr>
        <w:t xml:space="preserve">, o que para emitir la respuesta existiera la necesidad de generar o utilizar materiales que implican un costo que deba ser cubierto por el particular. </w:t>
      </w:r>
    </w:p>
    <w:p w:rsidR="009D1464" w:rsidRDefault="009D1464">
      <w:pPr>
        <w:pBdr>
          <w:top w:val="nil"/>
          <w:left w:val="nil"/>
          <w:bottom w:val="nil"/>
          <w:right w:val="nil"/>
          <w:between w:val="nil"/>
        </w:pBdr>
        <w:spacing w:line="360" w:lineRule="auto"/>
        <w:ind w:left="720"/>
        <w:rPr>
          <w:rFonts w:ascii="Palatino Linotype" w:eastAsia="Palatino Linotype" w:hAnsi="Palatino Linotype" w:cs="Palatino Linotype"/>
          <w:color w:val="000000"/>
        </w:rPr>
      </w:pPr>
    </w:p>
    <w:p w:rsidR="009D1464" w:rsidRDefault="00782C62">
      <w:pPr>
        <w:numPr>
          <w:ilvl w:val="0"/>
          <w:numId w:val="7"/>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rPr>
        <w:t xml:space="preserve">De las consideraciones señaladas y derivado de la funciones y atribuciones conferidas al Ayuntamiento de Toluca se deduce que </w:t>
      </w:r>
      <w:r>
        <w:rPr>
          <w:rFonts w:ascii="Palatino Linotype" w:eastAsia="Palatino Linotype" w:hAnsi="Palatino Linotype" w:cs="Palatino Linotype"/>
          <w:b/>
        </w:rPr>
        <w:t>cuenta con las capacidades, técnicas y presupuestales por lo que no tiene limitantes para observar el principio de gratuidad</w:t>
      </w:r>
      <w:r>
        <w:rPr>
          <w:rFonts w:ascii="Palatino Linotype" w:eastAsia="Palatino Linotype" w:hAnsi="Palatino Linotype" w:cs="Palatino Linotype"/>
        </w:rPr>
        <w:t xml:space="preserve"> previamente estudiado y por lo tanto, entregar la información en la modalidad requerida por el recurrente sin necesidad de que previo a la entrega de la información realice pago alguno, ya que actuar como se propone en la respuesta inicial resulta una carga desproporcionada que limita el derecho, afecta el ejercicio del mismo por parte de la ciudadanía. Por tanto, se </w:t>
      </w:r>
      <w:r>
        <w:rPr>
          <w:rFonts w:ascii="Palatino Linotype" w:eastAsia="Palatino Linotype" w:hAnsi="Palatino Linotype" w:cs="Palatino Linotype"/>
          <w:b/>
        </w:rPr>
        <w:t xml:space="preserve">REVOCAN </w:t>
      </w:r>
      <w:r>
        <w:rPr>
          <w:rFonts w:ascii="Palatino Linotype" w:eastAsia="Palatino Linotype" w:hAnsi="Palatino Linotype" w:cs="Palatino Linotype"/>
        </w:rPr>
        <w:t>las respuestas y se ordena su entrega de ser el caso en versión publica de conformidad con el Considerando siguiente.</w:t>
      </w:r>
    </w:p>
    <w:p w:rsidR="009D1464" w:rsidRDefault="009D1464">
      <w:pPr>
        <w:pBdr>
          <w:top w:val="nil"/>
          <w:left w:val="nil"/>
          <w:bottom w:val="nil"/>
          <w:right w:val="nil"/>
          <w:between w:val="nil"/>
        </w:pBdr>
        <w:ind w:left="708"/>
        <w:rPr>
          <w:rFonts w:ascii="Palatino Linotype" w:eastAsia="Palatino Linotype" w:hAnsi="Palatino Linotype" w:cs="Palatino Linotype"/>
          <w:color w:val="000000"/>
          <w:sz w:val="22"/>
          <w:szCs w:val="22"/>
        </w:rPr>
      </w:pPr>
    </w:p>
    <w:p w:rsidR="009D1464" w:rsidRDefault="00782C62">
      <w:pPr>
        <w:numPr>
          <w:ilvl w:val="0"/>
          <w:numId w:val="7"/>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rPr>
        <w:t xml:space="preserve">Por último se debe de señalar que como la información solicitada consiste en obtener oficios de la Unidad de Transparencia, puede ser el caso que hubiera oficios </w:t>
      </w:r>
      <w:r>
        <w:rPr>
          <w:rFonts w:ascii="Palatino Linotype" w:eastAsia="Palatino Linotype" w:hAnsi="Palatino Linotype" w:cs="Palatino Linotype"/>
        </w:rPr>
        <w:lastRenderedPageBreak/>
        <w:t xml:space="preserve">que pudieron ser cancelados, situación por la cual el </w:t>
      </w:r>
      <w:r>
        <w:rPr>
          <w:rFonts w:ascii="Palatino Linotype" w:eastAsia="Palatino Linotype" w:hAnsi="Palatino Linotype" w:cs="Palatino Linotype"/>
          <w:b/>
        </w:rPr>
        <w:t xml:space="preserve">SUJETO OBLIGADO </w:t>
      </w:r>
      <w:r>
        <w:rPr>
          <w:rFonts w:ascii="Palatino Linotype" w:eastAsia="Palatino Linotype" w:hAnsi="Palatino Linotype" w:cs="Palatino Linotype"/>
        </w:rPr>
        <w:t xml:space="preserve">lo hará del conocimiento del </w:t>
      </w:r>
      <w:r>
        <w:rPr>
          <w:rFonts w:ascii="Palatino Linotype" w:eastAsia="Palatino Linotype" w:hAnsi="Palatino Linotype" w:cs="Palatino Linotype"/>
          <w:b/>
        </w:rPr>
        <w:t xml:space="preserve">RECURRENTE </w:t>
      </w:r>
      <w:r>
        <w:rPr>
          <w:rFonts w:ascii="Palatino Linotype" w:eastAsia="Palatino Linotype" w:hAnsi="Palatino Linotype" w:cs="Palatino Linotype"/>
        </w:rPr>
        <w:t xml:space="preserve">en términos del artículo 19 párrafo segundo de la Ley de Transparencia y Acceso a la Información Pública del Estado de México y Municipios. </w:t>
      </w:r>
    </w:p>
    <w:p w:rsidR="009D1464" w:rsidRDefault="009D1464">
      <w:pPr>
        <w:spacing w:line="360" w:lineRule="auto"/>
        <w:jc w:val="both"/>
        <w:rPr>
          <w:rFonts w:ascii="Palatino Linotype" w:eastAsia="Palatino Linotype" w:hAnsi="Palatino Linotype" w:cs="Palatino Linotype"/>
          <w:color w:val="000000"/>
        </w:rPr>
      </w:pPr>
    </w:p>
    <w:p w:rsidR="009D1464" w:rsidRDefault="00782C62">
      <w:pPr>
        <w:keepNext/>
        <w:keepLines/>
        <w:spacing w:line="360" w:lineRule="auto"/>
        <w:rPr>
          <w:rFonts w:ascii="Palatino Linotype" w:eastAsia="Palatino Linotype" w:hAnsi="Palatino Linotype" w:cs="Palatino Linotype"/>
          <w:b/>
          <w:color w:val="000000"/>
        </w:rPr>
      </w:pPr>
      <w:r>
        <w:rPr>
          <w:rFonts w:ascii="Palatino Linotype" w:eastAsia="Palatino Linotype" w:hAnsi="Palatino Linotype" w:cs="Palatino Linotype"/>
          <w:color w:val="000000"/>
        </w:rPr>
        <w:t xml:space="preserve"> </w:t>
      </w:r>
      <w:r>
        <w:rPr>
          <w:rFonts w:ascii="Palatino Linotype" w:eastAsia="Palatino Linotype" w:hAnsi="Palatino Linotype" w:cs="Palatino Linotype"/>
          <w:b/>
          <w:color w:val="000000"/>
        </w:rPr>
        <w:t>QUINTO. De la versión pública.</w:t>
      </w:r>
    </w:p>
    <w:p w:rsidR="009D1464" w:rsidRDefault="009D1464">
      <w:pPr>
        <w:keepNext/>
        <w:keepLines/>
        <w:tabs>
          <w:tab w:val="left" w:pos="284"/>
        </w:tabs>
        <w:spacing w:line="360" w:lineRule="auto"/>
        <w:rPr>
          <w:rFonts w:ascii="Palatino Linotype" w:eastAsia="Palatino Linotype" w:hAnsi="Palatino Linotype" w:cs="Palatino Linotype"/>
          <w:b/>
          <w:color w:val="000000"/>
        </w:rPr>
      </w:pPr>
    </w:p>
    <w:p w:rsidR="009D1464" w:rsidRDefault="00782C62">
      <w:pPr>
        <w:keepNext/>
        <w:keepLines/>
        <w:numPr>
          <w:ilvl w:val="0"/>
          <w:numId w:val="4"/>
        </w:numPr>
        <w:tabs>
          <w:tab w:val="left" w:pos="284"/>
        </w:tabs>
        <w:spacing w:line="360" w:lineRule="auto"/>
        <w:ind w:left="0" w:firstLine="0"/>
        <w:rPr>
          <w:rFonts w:ascii="Palatino Linotype" w:eastAsia="Palatino Linotype" w:hAnsi="Palatino Linotype" w:cs="Palatino Linotype"/>
          <w:b/>
          <w:color w:val="000000"/>
        </w:rPr>
      </w:pPr>
      <w:r>
        <w:rPr>
          <w:rFonts w:ascii="Palatino Linotype" w:eastAsia="Palatino Linotype" w:hAnsi="Palatino Linotype" w:cs="Palatino Linotype"/>
          <w:b/>
          <w:color w:val="000000"/>
        </w:rPr>
        <w:t xml:space="preserve">Nociones generales. </w:t>
      </w:r>
    </w:p>
    <w:p w:rsidR="009D1464" w:rsidRDefault="00782C62">
      <w:pPr>
        <w:numPr>
          <w:ilvl w:val="0"/>
          <w:numId w:val="7"/>
        </w:numP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Debe destacarse, que debido a la información solicitada por el </w:t>
      </w:r>
      <w:r>
        <w:rPr>
          <w:rFonts w:ascii="Palatino Linotype" w:eastAsia="Palatino Linotype" w:hAnsi="Palatino Linotype" w:cs="Palatino Linotype"/>
          <w:b/>
        </w:rPr>
        <w:t>Recurrente</w:t>
      </w:r>
      <w:r>
        <w:rPr>
          <w:rFonts w:ascii="Palatino Linotype" w:eastAsia="Palatino Linotype" w:hAnsi="Palatino Linotype" w:cs="Palatino Linotype"/>
          <w:b/>
          <w:color w:val="000000"/>
        </w:rPr>
        <w:t xml:space="preserve">, </w:t>
      </w:r>
      <w:r>
        <w:rPr>
          <w:rFonts w:ascii="Palatino Linotype" w:eastAsia="Palatino Linotype" w:hAnsi="Palatino Linotype" w:cs="Palatino Linotype"/>
          <w:color w:val="000000"/>
        </w:rPr>
        <w:t xml:space="preserve">eventualmente, pueden obran datos personales susceptibles de protegerse, como lo es de manera enunciativa mas no limitativa, nombres de los particulares solicitantes, la cual es susceptible de clasificarse como confidencial,  por lo que, el </w:t>
      </w:r>
      <w:r>
        <w:rPr>
          <w:rFonts w:ascii="Palatino Linotype" w:eastAsia="Palatino Linotype" w:hAnsi="Palatino Linotype" w:cs="Palatino Linotype"/>
          <w:b/>
          <w:color w:val="000000"/>
        </w:rPr>
        <w:t xml:space="preserve">Sujeto Obligado </w:t>
      </w:r>
      <w:r>
        <w:rPr>
          <w:rFonts w:ascii="Palatino Linotype" w:eastAsia="Palatino Linotype" w:hAnsi="Palatino Linotype" w:cs="Palatino Linotype"/>
        </w:rPr>
        <w:t>deberá</w:t>
      </w:r>
      <w:r>
        <w:rPr>
          <w:rFonts w:ascii="Palatino Linotype" w:eastAsia="Palatino Linotype" w:hAnsi="Palatino Linotype" w:cs="Palatino Linotype"/>
          <w:color w:val="000000"/>
        </w:rPr>
        <w:t xml:space="preserve"> de hacer la adecuada versión pública, protegiendo los datos que no son susceptibles de ser proporcionados. </w:t>
      </w:r>
    </w:p>
    <w:p w:rsidR="009D1464" w:rsidRDefault="009D1464">
      <w:pPr>
        <w:tabs>
          <w:tab w:val="left" w:pos="0"/>
          <w:tab w:val="left" w:pos="284"/>
        </w:tabs>
        <w:spacing w:line="360" w:lineRule="auto"/>
        <w:ind w:right="49"/>
        <w:jc w:val="both"/>
        <w:rPr>
          <w:rFonts w:ascii="Palatino Linotype" w:eastAsia="Palatino Linotype" w:hAnsi="Palatino Linotype" w:cs="Palatino Linotype"/>
        </w:rPr>
      </w:pPr>
    </w:p>
    <w:p w:rsidR="009D1464" w:rsidRDefault="00782C62">
      <w:pPr>
        <w:numPr>
          <w:ilvl w:val="0"/>
          <w:numId w:val="7"/>
        </w:numP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No pasa desapercibido para este Órgano Garante que los sujetos obligados</w:t>
      </w:r>
      <w:r>
        <w:rPr>
          <w:rFonts w:ascii="Palatino Linotype" w:eastAsia="Palatino Linotype" w:hAnsi="Palatino Linotype" w:cs="Palatino Linotype"/>
          <w:b/>
          <w:color w:val="000000"/>
        </w:rPr>
        <w:t xml:space="preserve"> </w:t>
      </w:r>
      <w:r>
        <w:rPr>
          <w:rFonts w:ascii="Palatino Linotype" w:eastAsia="Palatino Linotype" w:hAnsi="Palatino Linotype" w:cs="Palatino Linotype"/>
          <w:color w:val="000000"/>
        </w:rPr>
        <w:t>serán responsables de los datos personales en su posesión y que, en caso de localizarse datos concernientes a terceros, éstos no podrán difundir, distribuir o comercializar los datos personales.  Cabe destacar que, para la realización de la clasificación de la información, se deben seguir una serie de pasos y procedimientos, por lo que es menester reiterar los mismos:</w:t>
      </w:r>
    </w:p>
    <w:tbl>
      <w:tblPr>
        <w:tblStyle w:val="a3"/>
        <w:tblW w:w="9209" w:type="dxa"/>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2689"/>
        <w:gridCol w:w="6520"/>
      </w:tblGrid>
      <w:tr w:rsidR="009D1464">
        <w:tc>
          <w:tcPr>
            <w:tcW w:w="2689" w:type="dxa"/>
          </w:tcPr>
          <w:p w:rsidR="009D1464" w:rsidRDefault="00782C62">
            <w:pPr>
              <w:tabs>
                <w:tab w:val="left" w:pos="284"/>
              </w:tabs>
              <w:rPr>
                <w:rFonts w:ascii="Palatino Linotype" w:eastAsia="Palatino Linotype" w:hAnsi="Palatino Linotype" w:cs="Palatino Linotype"/>
                <w:b/>
              </w:rPr>
            </w:pPr>
            <w:r>
              <w:rPr>
                <w:rFonts w:ascii="Palatino Linotype" w:eastAsia="Palatino Linotype" w:hAnsi="Palatino Linotype" w:cs="Palatino Linotype"/>
                <w:b/>
              </w:rPr>
              <w:t>a) Requisitos previos.</w:t>
            </w:r>
          </w:p>
        </w:tc>
        <w:tc>
          <w:tcPr>
            <w:tcW w:w="6520" w:type="dxa"/>
          </w:tcPr>
          <w:p w:rsidR="009D1464" w:rsidRDefault="00782C62">
            <w:pPr>
              <w:tabs>
                <w:tab w:val="left" w:pos="284"/>
              </w:tabs>
              <w:ind w:right="49"/>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Los artículos 100 y 122 de la Ley Estatal y de la Ley General, respectivamente, señalan que si los Sujetos Obligados determinan que la información actualiza alguno de los </w:t>
            </w:r>
            <w:r>
              <w:rPr>
                <w:rFonts w:ascii="Palatino Linotype" w:eastAsia="Palatino Linotype" w:hAnsi="Palatino Linotype" w:cs="Palatino Linotype"/>
                <w:color w:val="000000"/>
              </w:rPr>
              <w:lastRenderedPageBreak/>
              <w:t xml:space="preserve">supuestos de clasificación, es deber de los titulares de las áreas proponer su clasificación y no del Comité de Transparencia. </w:t>
            </w:r>
          </w:p>
          <w:p w:rsidR="009D1464" w:rsidRDefault="009D1464">
            <w:pPr>
              <w:tabs>
                <w:tab w:val="left" w:pos="284"/>
              </w:tabs>
              <w:ind w:right="49"/>
              <w:jc w:val="both"/>
              <w:rPr>
                <w:rFonts w:ascii="Palatino Linotype" w:eastAsia="Palatino Linotype" w:hAnsi="Palatino Linotype" w:cs="Palatino Linotype"/>
                <w:color w:val="000000"/>
              </w:rPr>
            </w:pPr>
          </w:p>
          <w:p w:rsidR="009D1464" w:rsidRDefault="00782C62">
            <w:pPr>
              <w:tabs>
                <w:tab w:val="left" w:pos="284"/>
              </w:tabs>
              <w:ind w:right="49"/>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Al hacerlo tienen que precisar de qué información se trata, señalando el supuesto de clasificación (confidencialidad o reserva).</w:t>
            </w:r>
          </w:p>
          <w:p w:rsidR="009D1464" w:rsidRDefault="00782C62">
            <w:pPr>
              <w:tabs>
                <w:tab w:val="left" w:pos="284"/>
              </w:tabs>
              <w:ind w:right="49"/>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Además, se debe señalar el procedimiento, de los tres que establecen los artículos 132 y 106 de la Ley Estatal y General, respectivamente.</w:t>
            </w:r>
          </w:p>
          <w:p w:rsidR="009D1464" w:rsidRDefault="009D1464">
            <w:pPr>
              <w:tabs>
                <w:tab w:val="left" w:pos="284"/>
              </w:tabs>
              <w:ind w:right="49"/>
              <w:jc w:val="both"/>
              <w:rPr>
                <w:rFonts w:ascii="Palatino Linotype" w:eastAsia="Palatino Linotype" w:hAnsi="Palatino Linotype" w:cs="Palatino Linotype"/>
                <w:color w:val="000000"/>
              </w:rPr>
            </w:pPr>
          </w:p>
          <w:p w:rsidR="009D1464" w:rsidRDefault="00782C62">
            <w:pPr>
              <w:tabs>
                <w:tab w:val="left" w:pos="284"/>
              </w:tabs>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El último de estos requisitos previos consiste en que no se pueden emitir acuerdos de carácter general ni particular, esto es, </w:t>
            </w:r>
            <w:r>
              <w:rPr>
                <w:rFonts w:ascii="Palatino Linotype" w:eastAsia="Palatino Linotype" w:hAnsi="Palatino Linotype" w:cs="Palatino Linotype"/>
                <w:color w:val="000000"/>
                <w:u w:val="single"/>
              </w:rPr>
              <w:t>no se puede hacer un acuerdo para clasificar de manera general todos los documentos de un expediente o área, sin</w:t>
            </w:r>
            <w:r>
              <w:rPr>
                <w:rFonts w:ascii="Palatino Linotype" w:eastAsia="Palatino Linotype" w:hAnsi="Palatino Linotype" w:cs="Palatino Linotype"/>
                <w:color w:val="000000"/>
              </w:rPr>
              <w:t xml:space="preserve"> individualizar su análisis y tampoco se puede hacer un acuerdo por cada dato que se vaya a clasificar dentro de un documento con diez datos, por ejemplo, susceptibles de ser clasificados.</w:t>
            </w:r>
          </w:p>
          <w:p w:rsidR="009D1464" w:rsidRDefault="009D1464">
            <w:pPr>
              <w:tabs>
                <w:tab w:val="left" w:pos="284"/>
              </w:tabs>
              <w:jc w:val="both"/>
              <w:rPr>
                <w:rFonts w:ascii="Palatino Linotype" w:eastAsia="Palatino Linotype" w:hAnsi="Palatino Linotype" w:cs="Palatino Linotype"/>
              </w:rPr>
            </w:pPr>
          </w:p>
        </w:tc>
      </w:tr>
      <w:tr w:rsidR="009D1464">
        <w:tc>
          <w:tcPr>
            <w:tcW w:w="2689" w:type="dxa"/>
          </w:tcPr>
          <w:p w:rsidR="009D1464" w:rsidRDefault="00782C62">
            <w:pPr>
              <w:tabs>
                <w:tab w:val="left" w:pos="284"/>
              </w:tabs>
              <w:rPr>
                <w:rFonts w:ascii="Palatino Linotype" w:eastAsia="Palatino Linotype" w:hAnsi="Palatino Linotype" w:cs="Palatino Linotype"/>
                <w:b/>
              </w:rPr>
            </w:pPr>
            <w:r>
              <w:rPr>
                <w:rFonts w:ascii="Palatino Linotype" w:eastAsia="Palatino Linotype" w:hAnsi="Palatino Linotype" w:cs="Palatino Linotype"/>
                <w:b/>
              </w:rPr>
              <w:lastRenderedPageBreak/>
              <w:t>b) Supuestos de clasificación.</w:t>
            </w:r>
          </w:p>
        </w:tc>
        <w:tc>
          <w:tcPr>
            <w:tcW w:w="6520" w:type="dxa"/>
          </w:tcPr>
          <w:p w:rsidR="009D1464" w:rsidRDefault="00782C62">
            <w:pPr>
              <w:tabs>
                <w:tab w:val="left" w:pos="284"/>
              </w:tabs>
              <w:ind w:right="49"/>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Las disposiciones constitucionales y legales en la materia establecen los dos supuestos generales para clasificar la información: por reserva y por confidencialidad.</w:t>
            </w:r>
          </w:p>
          <w:p w:rsidR="009D1464" w:rsidRDefault="009D1464">
            <w:pPr>
              <w:tabs>
                <w:tab w:val="left" w:pos="284"/>
              </w:tabs>
              <w:ind w:right="49"/>
              <w:jc w:val="both"/>
              <w:rPr>
                <w:rFonts w:ascii="Palatino Linotype" w:eastAsia="Palatino Linotype" w:hAnsi="Palatino Linotype" w:cs="Palatino Linotype"/>
                <w:color w:val="000000"/>
              </w:rPr>
            </w:pPr>
          </w:p>
          <w:p w:rsidR="009D1464" w:rsidRDefault="00782C62">
            <w:pPr>
              <w:tabs>
                <w:tab w:val="left" w:pos="284"/>
              </w:tabs>
              <w:ind w:right="49"/>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Los artículos 116 y 143 de la Ley Estatal y de la Ley General, respectivamente, señalan los supuestos para que la información pueda ser clasificada como confidencial. Mientras que los artículos 105 y 130 de la Ley Estatal y de la Ley General, respectivamente, señalan que la aplicación de estos supuestos debe realizarse de manera restrictiva y limitada, por lo que debe acreditarse que se cumple con esta condición y no se pueden ampliar las excepciones o supuestos de clasificación aduciendo analogía o mayoría de razón.</w:t>
            </w:r>
          </w:p>
          <w:p w:rsidR="009D1464" w:rsidRDefault="009D1464">
            <w:pPr>
              <w:tabs>
                <w:tab w:val="left" w:pos="284"/>
              </w:tabs>
              <w:ind w:right="49"/>
              <w:jc w:val="both"/>
              <w:rPr>
                <w:rFonts w:ascii="Palatino Linotype" w:eastAsia="Palatino Linotype" w:hAnsi="Palatino Linotype" w:cs="Palatino Linotype"/>
                <w:color w:val="000000"/>
              </w:rPr>
            </w:pPr>
          </w:p>
          <w:p w:rsidR="009D1464" w:rsidRDefault="00782C62">
            <w:pPr>
              <w:tabs>
                <w:tab w:val="left" w:pos="284"/>
              </w:tabs>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lastRenderedPageBreak/>
              <w:t xml:space="preserve">El </w:t>
            </w:r>
            <w:r>
              <w:rPr>
                <w:rFonts w:ascii="Palatino Linotype" w:eastAsia="Palatino Linotype" w:hAnsi="Palatino Linotype" w:cs="Palatino Linotype"/>
                <w:b/>
                <w:color w:val="000000"/>
              </w:rPr>
              <w:t>Sujeto Obligado</w:t>
            </w:r>
            <w:r>
              <w:rPr>
                <w:rFonts w:ascii="Palatino Linotype" w:eastAsia="Palatino Linotype" w:hAnsi="Palatino Linotype" w:cs="Palatino Linotype"/>
                <w:color w:val="000000"/>
              </w:rPr>
              <w:t xml:space="preserve"> debe identificar claramente el tipo de información y hacer un juicio de subsunción o encaje para acreditar que el supuesto de hecho corresponde estrictamente con la hipótesis jurídica. Esto también lo debe de realizar el servidor público habilitado y el titular del área que administra la información.</w:t>
            </w:r>
          </w:p>
          <w:p w:rsidR="009D1464" w:rsidRDefault="009D1464">
            <w:pPr>
              <w:tabs>
                <w:tab w:val="left" w:pos="284"/>
              </w:tabs>
              <w:jc w:val="both"/>
              <w:rPr>
                <w:rFonts w:ascii="Palatino Linotype" w:eastAsia="Palatino Linotype" w:hAnsi="Palatino Linotype" w:cs="Palatino Linotype"/>
              </w:rPr>
            </w:pPr>
          </w:p>
        </w:tc>
      </w:tr>
      <w:tr w:rsidR="009D1464">
        <w:tc>
          <w:tcPr>
            <w:tcW w:w="2689" w:type="dxa"/>
          </w:tcPr>
          <w:p w:rsidR="009D1464" w:rsidRDefault="00782C62">
            <w:pPr>
              <w:tabs>
                <w:tab w:val="left" w:pos="284"/>
              </w:tabs>
              <w:rPr>
                <w:rFonts w:ascii="Palatino Linotype" w:eastAsia="Palatino Linotype" w:hAnsi="Palatino Linotype" w:cs="Palatino Linotype"/>
                <w:b/>
              </w:rPr>
            </w:pPr>
            <w:r>
              <w:rPr>
                <w:rFonts w:ascii="Palatino Linotype" w:eastAsia="Palatino Linotype" w:hAnsi="Palatino Linotype" w:cs="Palatino Linotype"/>
                <w:b/>
              </w:rPr>
              <w:lastRenderedPageBreak/>
              <w:t>c) Formalidades para emitir el acuerdo de clasificación.</w:t>
            </w:r>
          </w:p>
        </w:tc>
        <w:tc>
          <w:tcPr>
            <w:tcW w:w="6520" w:type="dxa"/>
          </w:tcPr>
          <w:p w:rsidR="009D1464" w:rsidRDefault="00782C62">
            <w:pPr>
              <w:tabs>
                <w:tab w:val="left" w:pos="284"/>
              </w:tabs>
              <w:ind w:right="49"/>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El Comité de Transparencia, según lo dispuesto en los artículos cuenta con las facultades para aprobar, modificar o revocar la clasificación de la información que haya propuesto. </w:t>
            </w:r>
          </w:p>
          <w:p w:rsidR="009D1464" w:rsidRDefault="009D1464">
            <w:pPr>
              <w:tabs>
                <w:tab w:val="left" w:pos="284"/>
              </w:tabs>
              <w:ind w:right="49"/>
              <w:jc w:val="both"/>
              <w:rPr>
                <w:rFonts w:ascii="Palatino Linotype" w:eastAsia="Palatino Linotype" w:hAnsi="Palatino Linotype" w:cs="Palatino Linotype"/>
                <w:color w:val="000000"/>
              </w:rPr>
            </w:pPr>
          </w:p>
          <w:p w:rsidR="009D1464" w:rsidRDefault="00782C62">
            <w:pPr>
              <w:tabs>
                <w:tab w:val="left" w:pos="284"/>
              </w:tabs>
              <w:ind w:right="49"/>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Es necesario que </w:t>
            </w:r>
            <w:r>
              <w:rPr>
                <w:rFonts w:ascii="Palatino Linotype" w:eastAsia="Palatino Linotype" w:hAnsi="Palatino Linotype" w:cs="Palatino Linotype"/>
                <w:b/>
                <w:color w:val="000000"/>
                <w:u w:val="single"/>
              </w:rPr>
              <w:t>el acto reúna con los requisitos elementales</w:t>
            </w:r>
            <w:r>
              <w:rPr>
                <w:rFonts w:ascii="Palatino Linotype" w:eastAsia="Palatino Linotype" w:hAnsi="Palatino Linotype" w:cs="Palatino Linotype"/>
                <w:color w:val="000000"/>
              </w:rPr>
              <w:t>, entre ellos, que la autoridad que va a emitir el acto de autoridad sea la legalmente facultada para ello.</w:t>
            </w:r>
          </w:p>
          <w:p w:rsidR="009D1464" w:rsidRDefault="00782C62">
            <w:pPr>
              <w:tabs>
                <w:tab w:val="left" w:pos="284"/>
              </w:tabs>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La decisión de aprobar, modificar o revocar la clasificación deberá de asentarse en un documento que registre la determinación a la que se llegue después de un análisis minucioso a partir de lo propuesto por el Titular del I. área que administra la información, cuyo análisis debe integrarse en la agenda de los asuntos a tratar en las sesiones, se insiste, a partir de las decisiones adoptadas previamente por los titulares de áreas y que son sujetas a control, en primera instancia, por el Comité de Transparencia.</w:t>
            </w:r>
          </w:p>
          <w:p w:rsidR="009D1464" w:rsidRDefault="009D1464">
            <w:pPr>
              <w:tabs>
                <w:tab w:val="left" w:pos="284"/>
              </w:tabs>
              <w:jc w:val="both"/>
              <w:rPr>
                <w:rFonts w:ascii="Palatino Linotype" w:eastAsia="Palatino Linotype" w:hAnsi="Palatino Linotype" w:cs="Palatino Linotype"/>
              </w:rPr>
            </w:pPr>
          </w:p>
        </w:tc>
      </w:tr>
      <w:tr w:rsidR="009D1464">
        <w:tc>
          <w:tcPr>
            <w:tcW w:w="2689" w:type="dxa"/>
          </w:tcPr>
          <w:p w:rsidR="009D1464" w:rsidRDefault="009D1464">
            <w:pPr>
              <w:tabs>
                <w:tab w:val="left" w:pos="284"/>
              </w:tabs>
              <w:rPr>
                <w:rFonts w:ascii="Palatino Linotype" w:eastAsia="Palatino Linotype" w:hAnsi="Palatino Linotype" w:cs="Palatino Linotype"/>
                <w:b/>
              </w:rPr>
            </w:pPr>
          </w:p>
          <w:p w:rsidR="009D1464" w:rsidRDefault="00782C62">
            <w:pPr>
              <w:tabs>
                <w:tab w:val="left" w:pos="284"/>
              </w:tabs>
              <w:jc w:val="both"/>
              <w:rPr>
                <w:rFonts w:ascii="Palatino Linotype" w:eastAsia="Palatino Linotype" w:hAnsi="Palatino Linotype" w:cs="Palatino Linotype"/>
                <w:b/>
              </w:rPr>
            </w:pPr>
            <w:r>
              <w:rPr>
                <w:rFonts w:ascii="Palatino Linotype" w:eastAsia="Palatino Linotype" w:hAnsi="Palatino Linotype" w:cs="Palatino Linotype"/>
                <w:b/>
                <w:color w:val="000000"/>
              </w:rPr>
              <w:t xml:space="preserve">d) Requisitos de fondo del acuerdo de clasificación. </w:t>
            </w:r>
          </w:p>
        </w:tc>
        <w:tc>
          <w:tcPr>
            <w:tcW w:w="6520" w:type="dxa"/>
          </w:tcPr>
          <w:p w:rsidR="009D1464" w:rsidRDefault="00782C62">
            <w:pPr>
              <w:tabs>
                <w:tab w:val="left" w:pos="284"/>
              </w:tabs>
              <w:ind w:right="49"/>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Como se ha señalado antes, al hacer el juicio de subsunción o encaje entre el supuesto de hecho y la hipótesis jurídica, se debe acreditar la estricta correspondencia entre un elemento y otro. Ahora, en esta parte del procedimiento, que se desahoga en sede del Comité de Transparencia, la ley señala que la carga de la prueba, para justificar las restricciones, corresponde a los </w:t>
            </w:r>
            <w:r>
              <w:rPr>
                <w:rFonts w:ascii="Palatino Linotype" w:eastAsia="Palatino Linotype" w:hAnsi="Palatino Linotype" w:cs="Palatino Linotype"/>
                <w:b/>
                <w:color w:val="000000"/>
              </w:rPr>
              <w:t>Sujetos Obligados</w:t>
            </w:r>
            <w:r>
              <w:rPr>
                <w:rFonts w:ascii="Palatino Linotype" w:eastAsia="Palatino Linotype" w:hAnsi="Palatino Linotype" w:cs="Palatino Linotype"/>
                <w:color w:val="000000"/>
              </w:rPr>
              <w:t xml:space="preserve">, por lo que deberán fundar y motivar debidamente la clasificación. </w:t>
            </w:r>
          </w:p>
          <w:p w:rsidR="009D1464" w:rsidRDefault="00782C62">
            <w:pPr>
              <w:tabs>
                <w:tab w:val="left" w:pos="284"/>
              </w:tabs>
              <w:ind w:right="49"/>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De lo anterior, se desprende que para una correcta </w:t>
            </w:r>
            <w:r>
              <w:rPr>
                <w:rFonts w:ascii="Palatino Linotype" w:eastAsia="Palatino Linotype" w:hAnsi="Palatino Linotype" w:cs="Palatino Linotype"/>
                <w:b/>
                <w:color w:val="000000"/>
              </w:rPr>
              <w:t>clasificación total o parcial</w:t>
            </w:r>
            <w:r>
              <w:rPr>
                <w:rFonts w:ascii="Palatino Linotype" w:eastAsia="Palatino Linotype" w:hAnsi="Palatino Linotype" w:cs="Palatino Linotype"/>
                <w:color w:val="000000"/>
              </w:rPr>
              <w:t xml:space="preserve">, esto es determinar los datos </w:t>
            </w:r>
            <w:r>
              <w:rPr>
                <w:rFonts w:ascii="Palatino Linotype" w:eastAsia="Palatino Linotype" w:hAnsi="Palatino Linotype" w:cs="Palatino Linotype"/>
                <w:color w:val="000000"/>
              </w:rPr>
              <w:lastRenderedPageBreak/>
              <w:t>que se suprimen en las versiones públicas, es necesario fundar y motivar, de manera correcta, la clasificación; considerando que todo acto que la autoridad pronuncie en el ejercicio de sus atribuciones, debe expresar los fundamentos legales que le dieron origen y las razones por las que se deben aplicar al caso concreto.</w:t>
            </w:r>
          </w:p>
          <w:p w:rsidR="009D1464" w:rsidRDefault="009D1464">
            <w:pPr>
              <w:tabs>
                <w:tab w:val="left" w:pos="284"/>
              </w:tabs>
              <w:ind w:right="49"/>
              <w:jc w:val="both"/>
              <w:rPr>
                <w:rFonts w:ascii="Palatino Linotype" w:eastAsia="Palatino Linotype" w:hAnsi="Palatino Linotype" w:cs="Palatino Linotype"/>
                <w:color w:val="000000"/>
              </w:rPr>
            </w:pPr>
          </w:p>
          <w:p w:rsidR="009D1464" w:rsidRDefault="00782C62">
            <w:pPr>
              <w:tabs>
                <w:tab w:val="left" w:pos="284"/>
              </w:tabs>
              <w:ind w:right="49"/>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Así, en un acto de autoridad se cumple con la debida fundamentación cuando se cita el precepto legal aplicable al caso concreto y la debida motivación cuando se expresan las razones, motivos o circunstancias que tomó en cuenta la autoridad para adecuar el hecho a los fundamentos de derecho. De este modo, la persona que se sienta afectada pueda impugnar la decisión, permitiéndole una real y auténtica defensa.</w:t>
            </w:r>
          </w:p>
          <w:p w:rsidR="009D1464" w:rsidRDefault="009D1464">
            <w:pPr>
              <w:tabs>
                <w:tab w:val="left" w:pos="284"/>
              </w:tabs>
              <w:ind w:right="49"/>
              <w:jc w:val="both"/>
              <w:rPr>
                <w:rFonts w:ascii="Palatino Linotype" w:eastAsia="Palatino Linotype" w:hAnsi="Palatino Linotype" w:cs="Palatino Linotype"/>
                <w:color w:val="000000"/>
              </w:rPr>
            </w:pPr>
          </w:p>
          <w:p w:rsidR="009D1464" w:rsidRDefault="00782C62">
            <w:pPr>
              <w:tabs>
                <w:tab w:val="left" w:pos="284"/>
              </w:tabs>
              <w:ind w:right="49"/>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En ese mismo sentido, el numeral trigésimo tercero fracción V de los Lineamientos Generales, precisa que para motivar la clasificación se deben acreditar las circunstancias de tiempo, modo y lugar.</w:t>
            </w:r>
          </w:p>
          <w:p w:rsidR="009D1464" w:rsidRDefault="009D1464">
            <w:pPr>
              <w:tabs>
                <w:tab w:val="left" w:pos="284"/>
              </w:tabs>
              <w:ind w:right="49"/>
              <w:jc w:val="both"/>
              <w:rPr>
                <w:rFonts w:ascii="Palatino Linotype" w:eastAsia="Palatino Linotype" w:hAnsi="Palatino Linotype" w:cs="Palatino Linotype"/>
                <w:color w:val="000000"/>
              </w:rPr>
            </w:pPr>
          </w:p>
          <w:p w:rsidR="009D1464" w:rsidRDefault="00782C62">
            <w:pPr>
              <w:tabs>
                <w:tab w:val="left" w:pos="284"/>
              </w:tabs>
              <w:ind w:right="49"/>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Ahora bien, </w:t>
            </w:r>
            <w:r>
              <w:rPr>
                <w:rFonts w:ascii="Palatino Linotype" w:eastAsia="Palatino Linotype" w:hAnsi="Palatino Linotype" w:cs="Palatino Linotype"/>
                <w:b/>
                <w:color w:val="000000"/>
                <w:u w:val="single"/>
              </w:rPr>
              <w:t>para cada caso además de fundar y motivar</w:t>
            </w:r>
            <w:r>
              <w:rPr>
                <w:rFonts w:ascii="Palatino Linotype" w:eastAsia="Palatino Linotype" w:hAnsi="Palatino Linotype" w:cs="Palatino Linotype"/>
                <w:color w:val="000000"/>
              </w:rPr>
              <w:t>, se debe identificar con claridad que datos contenidos en las documentales que son susceptibles de suprimirse, por ejemplo; Clave Única de Registro de Población (CURP), Registro Federal de Contribuyentes (R.F.C.), claves de seguros, préstamos o descuentos personales, secretos bancario, fiduciario, industrial, comercial, fiscal, bursátil y postal, cuya titularidad corresponda a particulares, entre otros.</w:t>
            </w:r>
          </w:p>
          <w:p w:rsidR="009D1464" w:rsidRDefault="009D1464">
            <w:pPr>
              <w:tabs>
                <w:tab w:val="left" w:pos="284"/>
              </w:tabs>
              <w:ind w:right="49"/>
              <w:jc w:val="both"/>
              <w:rPr>
                <w:rFonts w:ascii="Palatino Linotype" w:eastAsia="Palatino Linotype" w:hAnsi="Palatino Linotype" w:cs="Palatino Linotype"/>
                <w:color w:val="000000"/>
              </w:rPr>
            </w:pPr>
          </w:p>
        </w:tc>
      </w:tr>
      <w:tr w:rsidR="009D1464">
        <w:tc>
          <w:tcPr>
            <w:tcW w:w="2689" w:type="dxa"/>
          </w:tcPr>
          <w:p w:rsidR="009D1464" w:rsidRDefault="00782C62">
            <w:pPr>
              <w:tabs>
                <w:tab w:val="left" w:pos="284"/>
              </w:tabs>
              <w:ind w:right="49"/>
              <w:jc w:val="both"/>
              <w:rPr>
                <w:rFonts w:ascii="Palatino Linotype" w:eastAsia="Palatino Linotype" w:hAnsi="Palatino Linotype" w:cs="Palatino Linotype"/>
                <w:b/>
              </w:rPr>
            </w:pPr>
            <w:r>
              <w:rPr>
                <w:rFonts w:ascii="Palatino Linotype" w:eastAsia="Palatino Linotype" w:hAnsi="Palatino Linotype" w:cs="Palatino Linotype"/>
                <w:b/>
              </w:rPr>
              <w:lastRenderedPageBreak/>
              <w:t xml:space="preserve">e) Condiciones especiales de la clasificación de la </w:t>
            </w:r>
            <w:r>
              <w:rPr>
                <w:rFonts w:ascii="Palatino Linotype" w:eastAsia="Palatino Linotype" w:hAnsi="Palatino Linotype" w:cs="Palatino Linotype"/>
                <w:b/>
              </w:rPr>
              <w:lastRenderedPageBreak/>
              <w:t xml:space="preserve">información como confidencial. </w:t>
            </w:r>
          </w:p>
        </w:tc>
        <w:tc>
          <w:tcPr>
            <w:tcW w:w="6520" w:type="dxa"/>
          </w:tcPr>
          <w:p w:rsidR="009D1464" w:rsidRDefault="00782C62">
            <w:pPr>
              <w:tabs>
                <w:tab w:val="left" w:pos="284"/>
              </w:tabs>
              <w:ind w:right="49"/>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lastRenderedPageBreak/>
              <w:t xml:space="preserve">Los artículos 148 y 120 de la Ley Estatal y de la Ley General, respectivamente, establecen que aun tratándose de datos personales, se podrán proporcionar, incluso sin solicitar el consentimiento de su titular. </w:t>
            </w:r>
          </w:p>
          <w:p w:rsidR="009D1464" w:rsidRDefault="009D1464">
            <w:pPr>
              <w:tabs>
                <w:tab w:val="left" w:pos="284"/>
              </w:tabs>
              <w:ind w:right="49"/>
              <w:jc w:val="both"/>
              <w:rPr>
                <w:rFonts w:ascii="Palatino Linotype" w:eastAsia="Palatino Linotype" w:hAnsi="Palatino Linotype" w:cs="Palatino Linotype"/>
                <w:color w:val="000000"/>
              </w:rPr>
            </w:pPr>
          </w:p>
          <w:p w:rsidR="009D1464" w:rsidRDefault="00782C62">
            <w:pPr>
              <w:tabs>
                <w:tab w:val="left" w:pos="284"/>
              </w:tabs>
              <w:ind w:right="49"/>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En el caso de lo señalado en la fracción IV, será el Instituto quien deba aplicar la prueba de interés público, considerando también que como recientemente ha discutido la Suprema Corte de Justicia de la Nación, los servidores públicos nos encontramos sujetos a un régimen menor de protección. </w:t>
            </w:r>
          </w:p>
          <w:p w:rsidR="009D1464" w:rsidRDefault="009D1464">
            <w:pPr>
              <w:tabs>
                <w:tab w:val="left" w:pos="284"/>
              </w:tabs>
              <w:ind w:right="49"/>
              <w:jc w:val="both"/>
              <w:rPr>
                <w:rFonts w:ascii="Palatino Linotype" w:eastAsia="Palatino Linotype" w:hAnsi="Palatino Linotype" w:cs="Palatino Linotype"/>
                <w:color w:val="000000"/>
              </w:rPr>
            </w:pPr>
          </w:p>
          <w:p w:rsidR="009D1464" w:rsidRDefault="00782C62">
            <w:pPr>
              <w:tabs>
                <w:tab w:val="left" w:pos="284"/>
              </w:tabs>
              <w:jc w:val="both"/>
              <w:rPr>
                <w:rFonts w:ascii="Palatino Linotype" w:eastAsia="Palatino Linotype" w:hAnsi="Palatino Linotype" w:cs="Palatino Linotype"/>
              </w:rPr>
            </w:pPr>
            <w:r>
              <w:rPr>
                <w:rFonts w:ascii="Palatino Linotype" w:eastAsia="Palatino Linotype" w:hAnsi="Palatino Linotype" w:cs="Palatino Linotype"/>
                <w:color w:val="000000"/>
              </w:rPr>
              <w:t>Pero si la información que se pretende clasificar como confidencial no se encuentra en los supuestos de los artículos señalados y es posible, se deberá consultar al titular de los datos si permite o no el acceso. De no ser posible, la realización de la consulta, procede, fundando y motivando, la clasificación.</w:t>
            </w:r>
          </w:p>
        </w:tc>
      </w:tr>
    </w:tbl>
    <w:p w:rsidR="009D1464" w:rsidRDefault="009D1464">
      <w:pPr>
        <w:tabs>
          <w:tab w:val="left" w:pos="284"/>
        </w:tabs>
        <w:spacing w:line="360" w:lineRule="auto"/>
        <w:rPr>
          <w:rFonts w:ascii="Palatino Linotype" w:eastAsia="Palatino Linotype" w:hAnsi="Palatino Linotype" w:cs="Palatino Linotype"/>
          <w:color w:val="000000"/>
        </w:rPr>
      </w:pPr>
    </w:p>
    <w:p w:rsidR="009D1464" w:rsidRDefault="00782C62">
      <w:pPr>
        <w:numPr>
          <w:ilvl w:val="0"/>
          <w:numId w:val="7"/>
        </w:numP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rPr>
        <w:t xml:space="preserve">Si el </w:t>
      </w:r>
      <w:r>
        <w:rPr>
          <w:rFonts w:ascii="Palatino Linotype" w:eastAsia="Palatino Linotype" w:hAnsi="Palatino Linotype" w:cs="Palatino Linotype"/>
          <w:color w:val="000000"/>
        </w:rPr>
        <w:t>servidor</w:t>
      </w:r>
      <w:r>
        <w:rPr>
          <w:rFonts w:ascii="Palatino Linotype" w:eastAsia="Palatino Linotype" w:hAnsi="Palatino Linotype" w:cs="Palatino Linotype"/>
        </w:rPr>
        <w:t xml:space="preserve"> público incumple con estas formalidades y entrega la información sin proteger los datos personales incumple con lo que estipula las disposiciones legales </w:t>
      </w:r>
      <w:r>
        <w:rPr>
          <w:rFonts w:ascii="Palatino Linotype" w:eastAsia="Palatino Linotype" w:hAnsi="Palatino Linotype" w:cs="Palatino Linotype"/>
          <w:color w:val="000000"/>
        </w:rPr>
        <w:t>establecidas</w:t>
      </w:r>
      <w:r>
        <w:rPr>
          <w:rFonts w:ascii="Palatino Linotype" w:eastAsia="Palatino Linotype" w:hAnsi="Palatino Linotype" w:cs="Palatino Linotype"/>
        </w:rPr>
        <w:t>, asimismo que si entrega un documento testado sin el debido acuerdo de clasificación.</w:t>
      </w:r>
    </w:p>
    <w:p w:rsidR="009D1464" w:rsidRDefault="009D1464">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rsidR="009D1464" w:rsidRDefault="00782C62">
      <w:pPr>
        <w:numPr>
          <w:ilvl w:val="0"/>
          <w:numId w:val="7"/>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color w:val="222222"/>
        </w:rPr>
        <w:t xml:space="preserve">Por lo anteriormente expuesto y fundado, este </w:t>
      </w:r>
      <w:r>
        <w:rPr>
          <w:rFonts w:ascii="Palatino Linotype" w:eastAsia="Palatino Linotype" w:hAnsi="Palatino Linotype" w:cs="Palatino Linotype"/>
          <w:b/>
          <w:color w:val="222222"/>
        </w:rPr>
        <w:t>ÓRGANO GARANTE</w:t>
      </w:r>
      <w:r>
        <w:rPr>
          <w:rFonts w:ascii="Palatino Linotype" w:eastAsia="Palatino Linotype" w:hAnsi="Palatino Linotype" w:cs="Palatino Linotype"/>
          <w:color w:val="222222"/>
        </w:rPr>
        <w:t xml:space="preserve"> emite los siguientes:</w:t>
      </w:r>
    </w:p>
    <w:p w:rsidR="009D1464" w:rsidRDefault="009D1464">
      <w:pPr>
        <w:spacing w:line="360" w:lineRule="auto"/>
        <w:ind w:right="34"/>
        <w:jc w:val="both"/>
        <w:rPr>
          <w:rFonts w:ascii="Palatino Linotype" w:eastAsia="Palatino Linotype" w:hAnsi="Palatino Linotype" w:cs="Palatino Linotype"/>
          <w:color w:val="000000"/>
        </w:rPr>
      </w:pPr>
    </w:p>
    <w:p w:rsidR="009D1464" w:rsidRDefault="00782C62">
      <w:pPr>
        <w:keepNext/>
        <w:keepLines/>
        <w:spacing w:line="360" w:lineRule="auto"/>
        <w:jc w:val="center"/>
        <w:rPr>
          <w:rFonts w:ascii="Palatino Linotype" w:eastAsia="Palatino Linotype" w:hAnsi="Palatino Linotype" w:cs="Palatino Linotype"/>
          <w:b/>
          <w:color w:val="000000"/>
        </w:rPr>
      </w:pPr>
      <w:r>
        <w:rPr>
          <w:rFonts w:ascii="Palatino Linotype" w:eastAsia="Palatino Linotype" w:hAnsi="Palatino Linotype" w:cs="Palatino Linotype"/>
          <w:b/>
          <w:color w:val="000000"/>
        </w:rPr>
        <w:t>R E S O L U T I V O S</w:t>
      </w:r>
    </w:p>
    <w:p w:rsidR="009D1464" w:rsidRDefault="009D1464">
      <w:pPr>
        <w:spacing w:line="360" w:lineRule="auto"/>
        <w:jc w:val="center"/>
        <w:rPr>
          <w:rFonts w:ascii="Palatino Linotype" w:eastAsia="Palatino Linotype" w:hAnsi="Palatino Linotype" w:cs="Palatino Linotype"/>
        </w:rPr>
      </w:pPr>
    </w:p>
    <w:p w:rsidR="009D1464" w:rsidRDefault="00782C62">
      <w:pPr>
        <w:spacing w:line="360" w:lineRule="auto"/>
        <w:jc w:val="both"/>
        <w:rPr>
          <w:rFonts w:ascii="Palatino Linotype" w:eastAsia="Palatino Linotype" w:hAnsi="Palatino Linotype" w:cs="Palatino Linotype"/>
        </w:rPr>
      </w:pPr>
      <w:r>
        <w:rPr>
          <w:rFonts w:ascii="Palatino Linotype" w:eastAsia="Palatino Linotype" w:hAnsi="Palatino Linotype" w:cs="Palatino Linotype"/>
          <w:b/>
        </w:rPr>
        <w:t>PRIMERO</w:t>
      </w:r>
      <w:r>
        <w:rPr>
          <w:rFonts w:ascii="Palatino Linotype" w:eastAsia="Palatino Linotype" w:hAnsi="Palatino Linotype" w:cs="Palatino Linotype"/>
        </w:rPr>
        <w:t xml:space="preserve">. Resultan fundadas las razones o motivos de inconformidad hechos valer en los Recursos de Revisión </w:t>
      </w:r>
      <w:r>
        <w:rPr>
          <w:rFonts w:ascii="Palatino Linotype" w:eastAsia="Palatino Linotype" w:hAnsi="Palatino Linotype" w:cs="Palatino Linotype"/>
          <w:b/>
          <w:color w:val="000000"/>
          <w:sz w:val="22"/>
          <w:szCs w:val="22"/>
        </w:rPr>
        <w:t xml:space="preserve">04393/INFOEM/IP/RR/2024, 04581/INFOEM/IP/RR/2024, 04583/INFOEM/IP/RR/2024, 04585/INFOEM/IP/RR/2024, 04592/INFOEM/IP/RR/2024, </w:t>
      </w:r>
      <w:r>
        <w:rPr>
          <w:rFonts w:ascii="Palatino Linotype" w:eastAsia="Palatino Linotype" w:hAnsi="Palatino Linotype" w:cs="Palatino Linotype"/>
          <w:b/>
          <w:color w:val="000000"/>
          <w:sz w:val="22"/>
          <w:szCs w:val="22"/>
        </w:rPr>
        <w:lastRenderedPageBreak/>
        <w:t>04765/INFOEM/IP/RR/2024, 05394/INFOEM/IP/RR/2024, 05395/INFOEM/IP/RR/2024, 05721/INFOEM/IP/RR/2024 y 05722/INFOEM/IP/RR/2024</w:t>
      </w:r>
      <w:r>
        <w:rPr>
          <w:rFonts w:ascii="Palatino Linotype" w:eastAsia="Palatino Linotype" w:hAnsi="Palatino Linotype" w:cs="Palatino Linotype"/>
          <w:b/>
        </w:rPr>
        <w:t xml:space="preserve"> </w:t>
      </w:r>
      <w:r>
        <w:rPr>
          <w:rFonts w:ascii="Palatino Linotype" w:eastAsia="Palatino Linotype" w:hAnsi="Palatino Linotype" w:cs="Palatino Linotype"/>
        </w:rPr>
        <w:t xml:space="preserve">en términos de los Considerandos </w:t>
      </w:r>
      <w:r>
        <w:rPr>
          <w:rFonts w:ascii="Palatino Linotype" w:eastAsia="Palatino Linotype" w:hAnsi="Palatino Linotype" w:cs="Palatino Linotype"/>
          <w:b/>
        </w:rPr>
        <w:t xml:space="preserve">CUARTO y QUINTO </w:t>
      </w:r>
      <w:r>
        <w:rPr>
          <w:rFonts w:ascii="Palatino Linotype" w:eastAsia="Palatino Linotype" w:hAnsi="Palatino Linotype" w:cs="Palatino Linotype"/>
        </w:rPr>
        <w:t xml:space="preserve">de la presente resolución. </w:t>
      </w:r>
    </w:p>
    <w:p w:rsidR="009D1464" w:rsidRDefault="009D1464">
      <w:pPr>
        <w:spacing w:line="360" w:lineRule="auto"/>
        <w:jc w:val="both"/>
        <w:rPr>
          <w:rFonts w:ascii="Palatino Linotype" w:eastAsia="Palatino Linotype" w:hAnsi="Palatino Linotype" w:cs="Palatino Linotype"/>
        </w:rPr>
      </w:pPr>
    </w:p>
    <w:p w:rsidR="009D1464" w:rsidRDefault="00782C62">
      <w:pPr>
        <w:spacing w:line="360" w:lineRule="auto"/>
        <w:jc w:val="both"/>
        <w:rPr>
          <w:rFonts w:ascii="Palatino Linotype" w:eastAsia="Palatino Linotype" w:hAnsi="Palatino Linotype" w:cs="Palatino Linotype"/>
        </w:rPr>
      </w:pPr>
      <w:bookmarkStart w:id="10" w:name="_heading=h.26in1rg" w:colFirst="0" w:colLast="0"/>
      <w:bookmarkEnd w:id="10"/>
      <w:r>
        <w:rPr>
          <w:rFonts w:ascii="Palatino Linotype" w:eastAsia="Palatino Linotype" w:hAnsi="Palatino Linotype" w:cs="Palatino Linotype"/>
          <w:b/>
        </w:rPr>
        <w:t xml:space="preserve">SEGUNDO. </w:t>
      </w:r>
      <w:r>
        <w:rPr>
          <w:rFonts w:ascii="Palatino Linotype" w:eastAsia="Palatino Linotype" w:hAnsi="Palatino Linotype" w:cs="Palatino Linotype"/>
          <w:color w:val="000000"/>
        </w:rPr>
        <w:t xml:space="preserve">Se </w:t>
      </w:r>
      <w:r>
        <w:rPr>
          <w:rFonts w:ascii="Palatino Linotype" w:eastAsia="Palatino Linotype" w:hAnsi="Palatino Linotype" w:cs="Palatino Linotype"/>
          <w:b/>
          <w:color w:val="000000"/>
        </w:rPr>
        <w:t xml:space="preserve">REVOCAN </w:t>
      </w:r>
      <w:r>
        <w:rPr>
          <w:rFonts w:ascii="Palatino Linotype" w:eastAsia="Palatino Linotype" w:hAnsi="Palatino Linotype" w:cs="Palatino Linotype"/>
          <w:color w:val="000000"/>
        </w:rPr>
        <w:t xml:space="preserve">las respuestas emitida por el </w:t>
      </w:r>
      <w:r>
        <w:rPr>
          <w:rFonts w:ascii="Palatino Linotype" w:eastAsia="Palatino Linotype" w:hAnsi="Palatino Linotype" w:cs="Palatino Linotype"/>
          <w:b/>
          <w:color w:val="000000"/>
        </w:rPr>
        <w:t>Ayuntamiento de Toluca</w:t>
      </w:r>
      <w:r>
        <w:rPr>
          <w:rFonts w:ascii="Palatino Linotype" w:eastAsia="Palatino Linotype" w:hAnsi="Palatino Linotype" w:cs="Palatino Linotype"/>
          <w:color w:val="000000"/>
        </w:rPr>
        <w:t xml:space="preserve"> a </w:t>
      </w:r>
      <w:r>
        <w:rPr>
          <w:rFonts w:ascii="Palatino Linotype" w:eastAsia="Palatino Linotype" w:hAnsi="Palatino Linotype" w:cs="Palatino Linotype"/>
        </w:rPr>
        <w:t>las solicitudes de información pública registradas con los números</w:t>
      </w:r>
      <w:r>
        <w:rPr>
          <w:rFonts w:ascii="Palatino Linotype" w:eastAsia="Palatino Linotype" w:hAnsi="Palatino Linotype" w:cs="Palatino Linotype"/>
          <w:b/>
        </w:rPr>
        <w:t xml:space="preserve"> </w:t>
      </w:r>
      <w:r w:rsidR="004B7B81">
        <w:rPr>
          <w:rFonts w:ascii="Palatino Linotype" w:eastAsia="Palatino Linotype" w:hAnsi="Palatino Linotype" w:cs="Palatino Linotype"/>
          <w:b/>
          <w:color w:val="000000"/>
          <w:sz w:val="22"/>
          <w:szCs w:val="22"/>
        </w:rPr>
        <w:t>04393/INFOEM/IP/RR/2024, 04581/INFOEM/IP/RR/2024, 04583/INFOEM/IP/RR/2024, 04585/INFOEM/IP/RR/2024, 04592/INFOEM/IP/RR/2024, 04765/INFOEM/IP/RR/2024, 05394/INFOEM/IP/RR/2024, 05395/INFOEM/IP/RR/2024, 05721/INFOEM/IP/RR/2024 y 05722/INFOEM/IP/RR/2024</w:t>
      </w:r>
      <w:r>
        <w:rPr>
          <w:rFonts w:ascii="Palatino Linotype" w:eastAsia="Palatino Linotype" w:hAnsi="Palatino Linotype" w:cs="Palatino Linotype"/>
          <w:b/>
        </w:rPr>
        <w:t xml:space="preserve"> </w:t>
      </w:r>
      <w:r>
        <w:rPr>
          <w:rFonts w:ascii="Palatino Linotype" w:eastAsia="Palatino Linotype" w:hAnsi="Palatino Linotype" w:cs="Palatino Linotype"/>
          <w:color w:val="000000"/>
        </w:rPr>
        <w:t xml:space="preserve">y se </w:t>
      </w:r>
      <w:r>
        <w:rPr>
          <w:rFonts w:ascii="Palatino Linotype" w:eastAsia="Palatino Linotype" w:hAnsi="Palatino Linotype" w:cs="Palatino Linotype"/>
          <w:b/>
          <w:color w:val="000000"/>
        </w:rPr>
        <w:t>ORDENA</w:t>
      </w:r>
      <w:r>
        <w:rPr>
          <w:rFonts w:ascii="Palatino Linotype" w:eastAsia="Palatino Linotype" w:hAnsi="Palatino Linotype" w:cs="Palatino Linotype"/>
          <w:color w:val="000000"/>
        </w:rPr>
        <w:t xml:space="preserve"> entregar vía Sistema de Acceso a la Información Mexiquense </w:t>
      </w:r>
      <w:r>
        <w:rPr>
          <w:rFonts w:ascii="Palatino Linotype" w:eastAsia="Palatino Linotype" w:hAnsi="Palatino Linotype" w:cs="Palatino Linotype"/>
          <w:b/>
          <w:color w:val="000000"/>
        </w:rPr>
        <w:t>(SAIMEX)</w:t>
      </w:r>
      <w:r>
        <w:rPr>
          <w:rFonts w:ascii="Palatino Linotype" w:eastAsia="Palatino Linotype" w:hAnsi="Palatino Linotype" w:cs="Palatino Linotype"/>
          <w:color w:val="000000"/>
        </w:rPr>
        <w:t xml:space="preserve">, </w:t>
      </w:r>
      <w:r>
        <w:rPr>
          <w:rFonts w:ascii="Palatino Linotype" w:eastAsia="Palatino Linotype" w:hAnsi="Palatino Linotype" w:cs="Palatino Linotype"/>
        </w:rPr>
        <w:t>en versión pública lo siguiente:</w:t>
      </w:r>
    </w:p>
    <w:p w:rsidR="009D1464" w:rsidRDefault="009D1464">
      <w:pPr>
        <w:spacing w:line="360" w:lineRule="auto"/>
        <w:ind w:right="900"/>
        <w:jc w:val="both"/>
        <w:rPr>
          <w:rFonts w:ascii="Palatino Linotype" w:eastAsia="Palatino Linotype" w:hAnsi="Palatino Linotype" w:cs="Palatino Linotype"/>
          <w:b/>
        </w:rPr>
      </w:pPr>
    </w:p>
    <w:p w:rsidR="009D1464" w:rsidRDefault="00782C62">
      <w:pPr>
        <w:spacing w:line="360" w:lineRule="auto"/>
        <w:ind w:right="900"/>
        <w:jc w:val="both"/>
        <w:rPr>
          <w:rFonts w:ascii="Palatino Linotype" w:eastAsia="Palatino Linotype" w:hAnsi="Palatino Linotype" w:cs="Palatino Linotype"/>
          <w:b/>
        </w:rPr>
      </w:pPr>
      <w:r>
        <w:rPr>
          <w:rFonts w:ascii="Palatino Linotype" w:eastAsia="Palatino Linotype" w:hAnsi="Palatino Linotype" w:cs="Palatino Linotype"/>
          <w:b/>
        </w:rPr>
        <w:t xml:space="preserve">    De la Unidad de Transparencia:</w:t>
      </w:r>
    </w:p>
    <w:p w:rsidR="009D1464" w:rsidRDefault="009D1464">
      <w:pPr>
        <w:pBdr>
          <w:top w:val="nil"/>
          <w:left w:val="nil"/>
          <w:bottom w:val="nil"/>
          <w:right w:val="nil"/>
          <w:between w:val="nil"/>
        </w:pBdr>
        <w:tabs>
          <w:tab w:val="left" w:pos="8080"/>
        </w:tabs>
        <w:spacing w:line="360" w:lineRule="auto"/>
        <w:ind w:left="1866" w:right="758"/>
        <w:jc w:val="both"/>
        <w:rPr>
          <w:rFonts w:ascii="Palatino Linotype" w:eastAsia="Palatino Linotype" w:hAnsi="Palatino Linotype" w:cs="Palatino Linotype"/>
          <w:b/>
          <w:i/>
        </w:rPr>
      </w:pPr>
    </w:p>
    <w:p w:rsidR="009D1464" w:rsidRDefault="00782C62">
      <w:pPr>
        <w:numPr>
          <w:ilvl w:val="0"/>
          <w:numId w:val="5"/>
        </w:numPr>
        <w:pBdr>
          <w:top w:val="nil"/>
          <w:left w:val="nil"/>
          <w:bottom w:val="nil"/>
          <w:right w:val="nil"/>
          <w:between w:val="nil"/>
        </w:pBdr>
        <w:tabs>
          <w:tab w:val="left" w:pos="8080"/>
        </w:tabs>
        <w:spacing w:line="360" w:lineRule="auto"/>
        <w:ind w:left="1134" w:right="758"/>
        <w:jc w:val="both"/>
        <w:rPr>
          <w:rFonts w:ascii="Palatino Linotype" w:eastAsia="Palatino Linotype" w:hAnsi="Palatino Linotype" w:cs="Palatino Linotype"/>
          <w:b/>
          <w:i/>
          <w:color w:val="000000"/>
        </w:rPr>
      </w:pPr>
      <w:r>
        <w:rPr>
          <w:rFonts w:ascii="Palatino Linotype" w:eastAsia="Palatino Linotype" w:hAnsi="Palatino Linotype" w:cs="Palatino Linotype"/>
          <w:b/>
          <w:i/>
          <w:color w:val="000000"/>
        </w:rPr>
        <w:t>Oficios recibidos en el mes de octubre del dos mil veintitrés;</w:t>
      </w:r>
    </w:p>
    <w:p w:rsidR="009D1464" w:rsidRDefault="00782C62">
      <w:pPr>
        <w:numPr>
          <w:ilvl w:val="0"/>
          <w:numId w:val="5"/>
        </w:numPr>
        <w:pBdr>
          <w:top w:val="nil"/>
          <w:left w:val="nil"/>
          <w:bottom w:val="nil"/>
          <w:right w:val="nil"/>
          <w:between w:val="nil"/>
        </w:pBdr>
        <w:tabs>
          <w:tab w:val="left" w:pos="8080"/>
        </w:tabs>
        <w:spacing w:line="360" w:lineRule="auto"/>
        <w:ind w:left="1134" w:right="758"/>
        <w:jc w:val="both"/>
        <w:rPr>
          <w:rFonts w:ascii="Palatino Linotype" w:eastAsia="Palatino Linotype" w:hAnsi="Palatino Linotype" w:cs="Palatino Linotype"/>
          <w:b/>
          <w:i/>
          <w:color w:val="000000"/>
        </w:rPr>
      </w:pPr>
      <w:r>
        <w:rPr>
          <w:rFonts w:ascii="Palatino Linotype" w:eastAsia="Palatino Linotype" w:hAnsi="Palatino Linotype" w:cs="Palatino Linotype"/>
          <w:b/>
          <w:i/>
          <w:color w:val="000000"/>
        </w:rPr>
        <w:t xml:space="preserve">Oficio emitidos y recibidos en el mes de agosto del dos mil veintitrés; </w:t>
      </w:r>
    </w:p>
    <w:p w:rsidR="009D1464" w:rsidRDefault="00782C62">
      <w:pPr>
        <w:numPr>
          <w:ilvl w:val="0"/>
          <w:numId w:val="5"/>
        </w:numPr>
        <w:pBdr>
          <w:top w:val="nil"/>
          <w:left w:val="nil"/>
          <w:bottom w:val="nil"/>
          <w:right w:val="nil"/>
          <w:between w:val="nil"/>
        </w:pBdr>
        <w:tabs>
          <w:tab w:val="left" w:pos="8080"/>
        </w:tabs>
        <w:spacing w:line="360" w:lineRule="auto"/>
        <w:ind w:left="1134" w:right="758"/>
        <w:jc w:val="both"/>
        <w:rPr>
          <w:rFonts w:ascii="Palatino Linotype" w:eastAsia="Palatino Linotype" w:hAnsi="Palatino Linotype" w:cs="Palatino Linotype"/>
          <w:b/>
          <w:i/>
          <w:color w:val="000000"/>
        </w:rPr>
      </w:pPr>
      <w:r>
        <w:rPr>
          <w:rFonts w:ascii="Palatino Linotype" w:eastAsia="Palatino Linotype" w:hAnsi="Palatino Linotype" w:cs="Palatino Linotype"/>
          <w:b/>
          <w:i/>
          <w:color w:val="000000"/>
        </w:rPr>
        <w:t xml:space="preserve">Oficio emitidos y recibidos en el mes de septiembre del dos mil veintitrés; y </w:t>
      </w:r>
    </w:p>
    <w:p w:rsidR="009D1464" w:rsidRDefault="00782C62">
      <w:pPr>
        <w:numPr>
          <w:ilvl w:val="0"/>
          <w:numId w:val="5"/>
        </w:numPr>
        <w:pBdr>
          <w:top w:val="nil"/>
          <w:left w:val="nil"/>
          <w:bottom w:val="nil"/>
          <w:right w:val="nil"/>
          <w:between w:val="nil"/>
        </w:pBdr>
        <w:tabs>
          <w:tab w:val="left" w:pos="8080"/>
        </w:tabs>
        <w:spacing w:line="360" w:lineRule="auto"/>
        <w:ind w:left="1134" w:right="758"/>
        <w:jc w:val="both"/>
        <w:rPr>
          <w:rFonts w:ascii="Palatino Linotype" w:eastAsia="Palatino Linotype" w:hAnsi="Palatino Linotype" w:cs="Palatino Linotype"/>
          <w:b/>
          <w:i/>
          <w:color w:val="000000"/>
        </w:rPr>
      </w:pPr>
      <w:r>
        <w:rPr>
          <w:rFonts w:ascii="Palatino Linotype" w:eastAsia="Palatino Linotype" w:hAnsi="Palatino Linotype" w:cs="Palatino Linotype"/>
          <w:b/>
          <w:i/>
          <w:color w:val="000000"/>
        </w:rPr>
        <w:t xml:space="preserve">Oficio emitidos y recibidos en el mes de julio de dos mil veintitrés. </w:t>
      </w:r>
    </w:p>
    <w:p w:rsidR="009D1464" w:rsidRDefault="009D1464">
      <w:pPr>
        <w:pBdr>
          <w:top w:val="nil"/>
          <w:left w:val="nil"/>
          <w:bottom w:val="nil"/>
          <w:right w:val="nil"/>
          <w:between w:val="nil"/>
        </w:pBdr>
        <w:tabs>
          <w:tab w:val="left" w:pos="8080"/>
        </w:tabs>
        <w:spacing w:line="360" w:lineRule="auto"/>
        <w:ind w:left="1134" w:right="758"/>
        <w:jc w:val="both"/>
        <w:rPr>
          <w:rFonts w:ascii="Palatino Linotype" w:eastAsia="Palatino Linotype" w:hAnsi="Palatino Linotype" w:cs="Palatino Linotype"/>
          <w:b/>
          <w:i/>
          <w:color w:val="000000"/>
        </w:rPr>
      </w:pPr>
    </w:p>
    <w:p w:rsidR="009D1464" w:rsidRDefault="00782C62">
      <w:pPr>
        <w:pBdr>
          <w:top w:val="nil"/>
          <w:left w:val="nil"/>
          <w:bottom w:val="nil"/>
          <w:right w:val="nil"/>
          <w:between w:val="nil"/>
        </w:pBdr>
        <w:tabs>
          <w:tab w:val="left" w:pos="8080"/>
        </w:tabs>
        <w:spacing w:line="360" w:lineRule="auto"/>
        <w:ind w:right="-93"/>
        <w:jc w:val="both"/>
        <w:rPr>
          <w:rFonts w:ascii="Palatino Linotype" w:eastAsia="Palatino Linotype" w:hAnsi="Palatino Linotype" w:cs="Palatino Linotype"/>
          <w:b/>
          <w:color w:val="000000"/>
        </w:rPr>
      </w:pPr>
      <w:r>
        <w:rPr>
          <w:rFonts w:ascii="Palatino Linotype" w:eastAsia="Palatino Linotype" w:hAnsi="Palatino Linotype" w:cs="Palatino Linotype"/>
          <w:color w:val="000000"/>
        </w:rPr>
        <w:t xml:space="preserve">Para efectos de lo anterior, se deberá emitir el Acuerdo del Comité de Transparencia en términos de los artículos 49, fracción VIII y 132, fracción II de la Ley de Transparencia y Acceso a la Información Pública del Estado de México y Municipios, </w:t>
      </w:r>
      <w:r>
        <w:rPr>
          <w:rFonts w:ascii="Palatino Linotype" w:eastAsia="Palatino Linotype" w:hAnsi="Palatino Linotype" w:cs="Palatino Linotype"/>
          <w:color w:val="000000"/>
        </w:rPr>
        <w:lastRenderedPageBreak/>
        <w:t xml:space="preserve">en el que funde y motive las razones sobre los datos que se supriman o eliminen dentro del soporte documental respectivo objeto de las versiones públicas que se formulen y se pongan a disposición del </w:t>
      </w:r>
      <w:r>
        <w:rPr>
          <w:rFonts w:ascii="Palatino Linotype" w:eastAsia="Palatino Linotype" w:hAnsi="Palatino Linotype" w:cs="Palatino Linotype"/>
          <w:b/>
          <w:color w:val="000000"/>
        </w:rPr>
        <w:t>RECURRENTE.</w:t>
      </w:r>
    </w:p>
    <w:p w:rsidR="009D1464" w:rsidRDefault="009D1464">
      <w:pPr>
        <w:pBdr>
          <w:top w:val="nil"/>
          <w:left w:val="nil"/>
          <w:bottom w:val="nil"/>
          <w:right w:val="nil"/>
          <w:between w:val="nil"/>
        </w:pBdr>
        <w:tabs>
          <w:tab w:val="left" w:pos="8080"/>
        </w:tabs>
        <w:spacing w:line="360" w:lineRule="auto"/>
        <w:ind w:right="-93"/>
        <w:jc w:val="both"/>
        <w:rPr>
          <w:rFonts w:ascii="Palatino Linotype" w:eastAsia="Palatino Linotype" w:hAnsi="Palatino Linotype" w:cs="Palatino Linotype"/>
          <w:b/>
          <w:color w:val="000000"/>
        </w:rPr>
      </w:pPr>
    </w:p>
    <w:p w:rsidR="009D1464" w:rsidRDefault="00782C62">
      <w:pPr>
        <w:spacing w:line="360" w:lineRule="auto"/>
        <w:jc w:val="both"/>
        <w:rPr>
          <w:rFonts w:ascii="Palatino Linotype" w:eastAsia="Palatino Linotype" w:hAnsi="Palatino Linotype" w:cs="Palatino Linotype"/>
        </w:rPr>
      </w:pPr>
      <w:r>
        <w:rPr>
          <w:rFonts w:ascii="Palatino Linotype" w:eastAsia="Palatino Linotype" w:hAnsi="Palatino Linotype" w:cs="Palatino Linotype"/>
        </w:rPr>
        <w:t xml:space="preserve">De ser el caso que hubiera oficios  cancelados, el </w:t>
      </w:r>
      <w:r>
        <w:rPr>
          <w:rFonts w:ascii="Palatino Linotype" w:eastAsia="Palatino Linotype" w:hAnsi="Palatino Linotype" w:cs="Palatino Linotype"/>
          <w:b/>
        </w:rPr>
        <w:t xml:space="preserve">SUJETO OBLIGADO </w:t>
      </w:r>
      <w:r>
        <w:rPr>
          <w:rFonts w:ascii="Palatino Linotype" w:eastAsia="Palatino Linotype" w:hAnsi="Palatino Linotype" w:cs="Palatino Linotype"/>
        </w:rPr>
        <w:t xml:space="preserve">lo hará del conocimiento del </w:t>
      </w:r>
      <w:r>
        <w:rPr>
          <w:rFonts w:ascii="Palatino Linotype" w:eastAsia="Palatino Linotype" w:hAnsi="Palatino Linotype" w:cs="Palatino Linotype"/>
          <w:b/>
        </w:rPr>
        <w:t xml:space="preserve">RECURRENTE </w:t>
      </w:r>
      <w:r>
        <w:rPr>
          <w:rFonts w:ascii="Palatino Linotype" w:eastAsia="Palatino Linotype" w:hAnsi="Palatino Linotype" w:cs="Palatino Linotype"/>
        </w:rPr>
        <w:t xml:space="preserve">en términos del artículo 19 párrafo segundo de la Ley de Transparencia y Acceso a la Información Pública del Estado de México y Municipios. </w:t>
      </w:r>
    </w:p>
    <w:p w:rsidR="009D1464" w:rsidRDefault="009D1464">
      <w:pPr>
        <w:spacing w:line="360" w:lineRule="auto"/>
        <w:jc w:val="both"/>
        <w:rPr>
          <w:rFonts w:ascii="Palatino Linotype" w:eastAsia="Palatino Linotype" w:hAnsi="Palatino Linotype" w:cs="Palatino Linotype"/>
          <w:b/>
        </w:rPr>
      </w:pPr>
    </w:p>
    <w:p w:rsidR="009D1464" w:rsidRDefault="00782C62">
      <w:pPr>
        <w:tabs>
          <w:tab w:val="left" w:pos="284"/>
          <w:tab w:val="left" w:pos="8080"/>
        </w:tabs>
        <w:spacing w:line="360" w:lineRule="auto"/>
        <w:ind w:right="49"/>
        <w:jc w:val="both"/>
        <w:rPr>
          <w:rFonts w:ascii="Palatino Linotype" w:eastAsia="Palatino Linotype" w:hAnsi="Palatino Linotype" w:cs="Palatino Linotype"/>
          <w:color w:val="222222"/>
        </w:rPr>
      </w:pPr>
      <w:bookmarkStart w:id="11" w:name="_heading=h.1t3h5sf" w:colFirst="0" w:colLast="0"/>
      <w:bookmarkEnd w:id="11"/>
      <w:r>
        <w:rPr>
          <w:rFonts w:ascii="Palatino Linotype" w:eastAsia="Palatino Linotype" w:hAnsi="Palatino Linotype" w:cs="Palatino Linotype"/>
          <w:b/>
        </w:rPr>
        <w:t>TERCERO</w:t>
      </w:r>
      <w:r>
        <w:rPr>
          <w:rFonts w:ascii="Palatino Linotype" w:eastAsia="Palatino Linotype" w:hAnsi="Palatino Linotype" w:cs="Palatino Linotype"/>
        </w:rPr>
        <w:t xml:space="preserve">. </w:t>
      </w:r>
      <w:r>
        <w:rPr>
          <w:rFonts w:ascii="Palatino Linotype" w:eastAsia="Palatino Linotype" w:hAnsi="Palatino Linotype" w:cs="Palatino Linotype"/>
          <w:b/>
          <w:color w:val="222222"/>
        </w:rPr>
        <w:t>NOTIFÍQUESE</w:t>
      </w:r>
      <w:r>
        <w:rPr>
          <w:rFonts w:ascii="Palatino Linotype" w:eastAsia="Palatino Linotype" w:hAnsi="Palatino Linotype" w:cs="Palatino Linotype"/>
          <w:color w:val="222222"/>
        </w:rPr>
        <w:t xml:space="preserve"> la presente resolución al Titular de la Unidad de Transparencia del Sujeto Obligado vía SAIMEX, para que conforme al artículo 186 último párrafo, 189 segundo párrafo y 194 de la Ley de Transparencia y Acceso a la Información Pública del Estado de México y Municipios; </w:t>
      </w:r>
      <w:r>
        <w:rPr>
          <w:rFonts w:ascii="Palatino Linotype" w:eastAsia="Palatino Linotype" w:hAnsi="Palatino Linotype" w:cs="Palatino Linotype"/>
          <w:b/>
          <w:color w:val="222222"/>
        </w:rPr>
        <w:t>dé cumplimiento a lo ordenado dentro del plazo de diez días hábiles</w:t>
      </w:r>
      <w:r>
        <w:rPr>
          <w:rFonts w:ascii="Palatino Linotype" w:eastAsia="Palatino Linotype" w:hAnsi="Palatino Linotype" w:cs="Palatino Linotype"/>
          <w:color w:val="222222"/>
        </w:rPr>
        <w:t>, e informe a este Instituto en un plazo de tres días hábiles siguientes sobre el cumplimiento dado a la presente y, se le apercibe que en caso de negarse a cumplir la presente resolución o hacerlo de manera parcial, se le impondrá una medida de apremio de conformidad con lo previsto en los artículos 198, 200, fracción III; 214, 215 y 216 de la Ley  de Transparencia y Acceso a la Información Pública del Estado de México y Municipios.</w:t>
      </w:r>
    </w:p>
    <w:p w:rsidR="009D1464" w:rsidRDefault="009D1464">
      <w:pPr>
        <w:spacing w:line="360" w:lineRule="auto"/>
        <w:jc w:val="both"/>
        <w:rPr>
          <w:rFonts w:ascii="Palatino Linotype" w:eastAsia="Palatino Linotype" w:hAnsi="Palatino Linotype" w:cs="Palatino Linotype"/>
          <w:highlight w:val="white"/>
        </w:rPr>
      </w:pPr>
    </w:p>
    <w:p w:rsidR="009D1464" w:rsidRDefault="00782C62">
      <w:pPr>
        <w:spacing w:line="360" w:lineRule="auto"/>
        <w:jc w:val="both"/>
        <w:rPr>
          <w:rFonts w:ascii="Palatino Linotype" w:eastAsia="Palatino Linotype" w:hAnsi="Palatino Linotype" w:cs="Palatino Linotype"/>
        </w:rPr>
      </w:pPr>
      <w:r>
        <w:rPr>
          <w:rFonts w:ascii="Palatino Linotype" w:eastAsia="Palatino Linotype" w:hAnsi="Palatino Linotype" w:cs="Palatino Linotype"/>
          <w:b/>
        </w:rPr>
        <w:t xml:space="preserve">CUARTO. </w:t>
      </w:r>
      <w:r>
        <w:rPr>
          <w:rFonts w:ascii="Palatino Linotype" w:eastAsia="Palatino Linotype" w:hAnsi="Palatino Linotype" w:cs="Palatino Linotype"/>
        </w:rPr>
        <w:t xml:space="preserve">De conformidad con el artículo 198 de la Ley de Transparencia y Acceso a la Información Pública del Estado de México y Municipios, de considerarlo </w:t>
      </w:r>
      <w:r>
        <w:rPr>
          <w:rFonts w:ascii="Palatino Linotype" w:eastAsia="Palatino Linotype" w:hAnsi="Palatino Linotype" w:cs="Palatino Linotype"/>
        </w:rPr>
        <w:lastRenderedPageBreak/>
        <w:t xml:space="preserve">procedente, el </w:t>
      </w:r>
      <w:r>
        <w:rPr>
          <w:rFonts w:ascii="Palatino Linotype" w:eastAsia="Palatino Linotype" w:hAnsi="Palatino Linotype" w:cs="Palatino Linotype"/>
          <w:b/>
        </w:rPr>
        <w:t>SUJETO OBLIGADO</w:t>
      </w:r>
      <w:r>
        <w:rPr>
          <w:rFonts w:ascii="Palatino Linotype" w:eastAsia="Palatino Linotype" w:hAnsi="Palatino Linotype" w:cs="Palatino Linotype"/>
        </w:rPr>
        <w:t xml:space="preserve"> de manera fundada y motivada, podrá solicitar una ampliación de plazo para el cumplimiento de la presente resolución.</w:t>
      </w:r>
    </w:p>
    <w:p w:rsidR="009D1464" w:rsidRDefault="009D1464">
      <w:pPr>
        <w:spacing w:line="360" w:lineRule="auto"/>
        <w:jc w:val="both"/>
        <w:rPr>
          <w:rFonts w:ascii="Palatino Linotype" w:eastAsia="Palatino Linotype" w:hAnsi="Palatino Linotype" w:cs="Palatino Linotype"/>
        </w:rPr>
      </w:pPr>
    </w:p>
    <w:p w:rsidR="009D1464" w:rsidRDefault="00782C62">
      <w:pPr>
        <w:tabs>
          <w:tab w:val="left" w:pos="8080"/>
        </w:tabs>
        <w:spacing w:line="360" w:lineRule="auto"/>
        <w:ind w:right="49"/>
        <w:jc w:val="both"/>
        <w:rPr>
          <w:rFonts w:ascii="Palatino Linotype" w:eastAsia="Palatino Linotype" w:hAnsi="Palatino Linotype" w:cs="Palatino Linotype"/>
        </w:rPr>
      </w:pPr>
      <w:bookmarkStart w:id="12" w:name="_heading=h.lnxbz9" w:colFirst="0" w:colLast="0"/>
      <w:bookmarkEnd w:id="12"/>
      <w:r>
        <w:rPr>
          <w:rFonts w:ascii="Palatino Linotype" w:eastAsia="Palatino Linotype" w:hAnsi="Palatino Linotype" w:cs="Palatino Linotype"/>
          <w:b/>
        </w:rPr>
        <w:t xml:space="preserve">QUINTO. </w:t>
      </w:r>
      <w:r>
        <w:rPr>
          <w:rFonts w:ascii="Palatino Linotype" w:eastAsia="Palatino Linotype" w:hAnsi="Palatino Linotype" w:cs="Palatino Linotype"/>
        </w:rPr>
        <w:t xml:space="preserve">Notifíquese a </w:t>
      </w:r>
      <w:r>
        <w:rPr>
          <w:rFonts w:ascii="Palatino Linotype" w:eastAsia="Palatino Linotype" w:hAnsi="Palatino Linotype" w:cs="Palatino Linotype"/>
          <w:b/>
        </w:rPr>
        <w:t>EL RECURRENTE</w:t>
      </w:r>
      <w:r>
        <w:rPr>
          <w:rFonts w:ascii="Palatino Linotype" w:eastAsia="Palatino Linotype" w:hAnsi="Palatino Linotype" w:cs="Palatino Linotype"/>
        </w:rPr>
        <w:t xml:space="preserve"> la presente resolución, vía SAIMEX.</w:t>
      </w:r>
    </w:p>
    <w:p w:rsidR="009D1464" w:rsidRDefault="009D1464">
      <w:pPr>
        <w:tabs>
          <w:tab w:val="left" w:pos="8080"/>
        </w:tabs>
        <w:spacing w:line="360" w:lineRule="auto"/>
        <w:ind w:right="49"/>
        <w:jc w:val="both"/>
        <w:rPr>
          <w:rFonts w:ascii="Palatino Linotype" w:eastAsia="Palatino Linotype" w:hAnsi="Palatino Linotype" w:cs="Palatino Linotype"/>
        </w:rPr>
      </w:pPr>
    </w:p>
    <w:p w:rsidR="009D1464" w:rsidRDefault="00782C62">
      <w:pPr>
        <w:shd w:val="clear" w:color="auto" w:fill="FFFFFF"/>
        <w:spacing w:line="360" w:lineRule="auto"/>
        <w:jc w:val="both"/>
        <w:rPr>
          <w:rFonts w:ascii="Palatino Linotype" w:eastAsia="Palatino Linotype" w:hAnsi="Palatino Linotype" w:cs="Palatino Linotype"/>
        </w:rPr>
      </w:pPr>
      <w:r>
        <w:rPr>
          <w:rFonts w:ascii="Palatino Linotype" w:eastAsia="Palatino Linotype" w:hAnsi="Palatino Linotype" w:cs="Palatino Linotype"/>
          <w:b/>
        </w:rPr>
        <w:t>SEXTO.</w:t>
      </w:r>
      <w:r>
        <w:rPr>
          <w:rFonts w:ascii="Palatino Linotype" w:eastAsia="Palatino Linotype" w:hAnsi="Palatino Linotype" w:cs="Palatino Linotype"/>
        </w:rPr>
        <w:t xml:space="preserve"> Se hace del conocimiento de </w:t>
      </w:r>
      <w:r>
        <w:rPr>
          <w:rFonts w:ascii="Palatino Linotype" w:eastAsia="Palatino Linotype" w:hAnsi="Palatino Linotype" w:cs="Palatino Linotype"/>
          <w:b/>
        </w:rPr>
        <w:t>EL RECURRENTE</w:t>
      </w:r>
      <w:r>
        <w:rPr>
          <w:rFonts w:ascii="Palatino Linotype" w:eastAsia="Palatino Linotype" w:hAnsi="Palatino Linotype" w:cs="Palatino Linotype"/>
        </w:rPr>
        <w:t xml:space="preserve"> que, de conformidad con lo establecido en el artículo 196 de la Ley de Transparencia y Acceso a la Información Pública del Estado de México y Municipios, en caso de que considere que la resolución le cause algún perjuicio podrá impugnarla vía juicio de amparo en los términos de las leyes aplicables.</w:t>
      </w:r>
    </w:p>
    <w:p w:rsidR="009D1464" w:rsidRDefault="009D1464">
      <w:pPr>
        <w:shd w:val="clear" w:color="auto" w:fill="FFFFFF"/>
        <w:spacing w:line="360" w:lineRule="auto"/>
        <w:jc w:val="both"/>
        <w:rPr>
          <w:rFonts w:ascii="Palatino Linotype" w:eastAsia="Palatino Linotype" w:hAnsi="Palatino Linotype" w:cs="Palatino Linotype"/>
        </w:rPr>
      </w:pPr>
    </w:p>
    <w:p w:rsidR="004B7B81" w:rsidRPr="003C7186" w:rsidRDefault="004B7B81" w:rsidP="004B7B81">
      <w:pPr>
        <w:spacing w:line="360" w:lineRule="auto"/>
        <w:ind w:left="-142" w:right="-234" w:firstLine="1"/>
        <w:jc w:val="both"/>
        <w:rPr>
          <w:rFonts w:ascii="Palatino Linotype" w:hAnsi="Palatino Linotype"/>
        </w:rPr>
      </w:pPr>
      <w:bookmarkStart w:id="13" w:name="_heading=h.35nkun2" w:colFirst="0" w:colLast="0"/>
      <w:bookmarkEnd w:id="13"/>
      <w:r w:rsidRPr="003C7186">
        <w:rPr>
          <w:rFonts w:ascii="Palatino Linotype" w:hAnsi="Palatino Linotype"/>
        </w:rPr>
        <w:t>ASÍ LO RESUELVE, POR UNANIMIDAD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w:t>
      </w:r>
      <w:r>
        <w:rPr>
          <w:rFonts w:ascii="Palatino Linotype" w:hAnsi="Palatino Linotype"/>
        </w:rPr>
        <w:t xml:space="preserve"> Y GUADALUPE RAMÍREZ PEÑA; </w:t>
      </w:r>
      <w:r w:rsidRPr="003C7186">
        <w:rPr>
          <w:rFonts w:ascii="Palatino Linotype" w:hAnsi="Palatino Linotype"/>
        </w:rPr>
        <w:t xml:space="preserve">EN LA </w:t>
      </w:r>
      <w:r>
        <w:rPr>
          <w:rFonts w:ascii="Palatino Linotype" w:hAnsi="Palatino Linotype"/>
        </w:rPr>
        <w:t>TRIGÉSIMA</w:t>
      </w:r>
      <w:r w:rsidRPr="003C7186">
        <w:rPr>
          <w:rFonts w:ascii="Palatino Linotype" w:hAnsi="Palatino Linotype"/>
        </w:rPr>
        <w:t xml:space="preserve"> </w:t>
      </w:r>
      <w:r>
        <w:rPr>
          <w:rFonts w:ascii="Palatino Linotype" w:hAnsi="Palatino Linotype"/>
        </w:rPr>
        <w:t xml:space="preserve">OCTAVA </w:t>
      </w:r>
      <w:r w:rsidRPr="003C7186">
        <w:rPr>
          <w:rFonts w:ascii="Palatino Linotype" w:hAnsi="Palatino Linotype"/>
        </w:rPr>
        <w:t xml:space="preserve">SESIÓN ORDINARIA CELEBRADA EL </w:t>
      </w:r>
      <w:r>
        <w:rPr>
          <w:rFonts w:ascii="Palatino Linotype" w:hAnsi="Palatino Linotype"/>
        </w:rPr>
        <w:t>SEIS</w:t>
      </w:r>
      <w:r w:rsidRPr="003C7186">
        <w:rPr>
          <w:rFonts w:ascii="Palatino Linotype" w:hAnsi="Palatino Linotype"/>
        </w:rPr>
        <w:t xml:space="preserve"> </w:t>
      </w:r>
      <w:r>
        <w:rPr>
          <w:rFonts w:ascii="Palatino Linotype" w:hAnsi="Palatino Linotype"/>
        </w:rPr>
        <w:t>(06) DE NOVIEMBRE</w:t>
      </w:r>
      <w:r w:rsidRPr="003C7186">
        <w:rPr>
          <w:rFonts w:ascii="Palatino Linotype" w:hAnsi="Palatino Linotype"/>
        </w:rPr>
        <w:t xml:space="preserve"> DE DOS MIL VEINTICUATRO, ANTE EL SECRETARIO TÉCNICO DEL PLENO ALEXIS TAPIA RAMÍREZ. </w:t>
      </w:r>
    </w:p>
    <w:p w:rsidR="009D1464" w:rsidRDefault="009D1464">
      <w:pPr>
        <w:spacing w:line="360" w:lineRule="auto"/>
        <w:rPr>
          <w:rFonts w:ascii="Palatino Linotype" w:eastAsia="Palatino Linotype" w:hAnsi="Palatino Linotype" w:cs="Palatino Linotype"/>
        </w:rPr>
      </w:pPr>
    </w:p>
    <w:p w:rsidR="009D1464" w:rsidRDefault="009D1464">
      <w:pPr>
        <w:spacing w:line="360" w:lineRule="auto"/>
        <w:rPr>
          <w:rFonts w:ascii="Palatino Linotype" w:eastAsia="Palatino Linotype" w:hAnsi="Palatino Linotype" w:cs="Palatino Linotype"/>
        </w:rPr>
      </w:pPr>
    </w:p>
    <w:p w:rsidR="009D1464" w:rsidRDefault="009D1464">
      <w:pPr>
        <w:spacing w:line="360" w:lineRule="auto"/>
        <w:rPr>
          <w:rFonts w:ascii="Palatino Linotype" w:eastAsia="Palatino Linotype" w:hAnsi="Palatino Linotype" w:cs="Palatino Linotype"/>
        </w:rPr>
      </w:pPr>
    </w:p>
    <w:p w:rsidR="009D1464" w:rsidRDefault="009D1464">
      <w:pPr>
        <w:spacing w:line="360" w:lineRule="auto"/>
        <w:rPr>
          <w:rFonts w:ascii="Palatino Linotype" w:eastAsia="Palatino Linotype" w:hAnsi="Palatino Linotype" w:cs="Palatino Linotype"/>
        </w:rPr>
      </w:pPr>
    </w:p>
    <w:p w:rsidR="009D1464" w:rsidRDefault="009D1464">
      <w:pPr>
        <w:spacing w:line="360" w:lineRule="auto"/>
        <w:rPr>
          <w:rFonts w:ascii="Palatino Linotype" w:eastAsia="Palatino Linotype" w:hAnsi="Palatino Linotype" w:cs="Palatino Linotype"/>
        </w:rPr>
      </w:pPr>
    </w:p>
    <w:p w:rsidR="009D1464" w:rsidRDefault="009D1464">
      <w:pPr>
        <w:spacing w:line="360" w:lineRule="auto"/>
        <w:rPr>
          <w:rFonts w:ascii="Palatino Linotype" w:eastAsia="Palatino Linotype" w:hAnsi="Palatino Linotype" w:cs="Palatino Linotype"/>
        </w:rPr>
      </w:pPr>
    </w:p>
    <w:p w:rsidR="009D1464" w:rsidRDefault="009D1464">
      <w:pPr>
        <w:spacing w:line="360" w:lineRule="auto"/>
        <w:rPr>
          <w:rFonts w:ascii="Palatino Linotype" w:eastAsia="Palatino Linotype" w:hAnsi="Palatino Linotype" w:cs="Palatino Linotype"/>
        </w:rPr>
      </w:pPr>
    </w:p>
    <w:p w:rsidR="009D1464" w:rsidRDefault="009D1464">
      <w:pPr>
        <w:spacing w:line="360" w:lineRule="auto"/>
        <w:rPr>
          <w:rFonts w:ascii="Palatino Linotype" w:eastAsia="Palatino Linotype" w:hAnsi="Palatino Linotype" w:cs="Palatino Linotype"/>
        </w:rPr>
      </w:pPr>
    </w:p>
    <w:p w:rsidR="009D1464" w:rsidRDefault="009D1464">
      <w:pPr>
        <w:spacing w:line="360" w:lineRule="auto"/>
        <w:rPr>
          <w:rFonts w:ascii="Palatino Linotype" w:eastAsia="Palatino Linotype" w:hAnsi="Palatino Linotype" w:cs="Palatino Linotype"/>
        </w:rPr>
      </w:pPr>
    </w:p>
    <w:p w:rsidR="009D1464" w:rsidRDefault="009D1464">
      <w:pPr>
        <w:spacing w:line="360" w:lineRule="auto"/>
        <w:rPr>
          <w:rFonts w:ascii="Palatino Linotype" w:eastAsia="Palatino Linotype" w:hAnsi="Palatino Linotype" w:cs="Palatino Linotype"/>
        </w:rPr>
      </w:pPr>
    </w:p>
    <w:p w:rsidR="009D1464" w:rsidRDefault="009D1464">
      <w:pPr>
        <w:spacing w:line="360" w:lineRule="auto"/>
        <w:rPr>
          <w:rFonts w:ascii="Palatino Linotype" w:eastAsia="Palatino Linotype" w:hAnsi="Palatino Linotype" w:cs="Palatino Linotype"/>
        </w:rPr>
      </w:pPr>
    </w:p>
    <w:p w:rsidR="009D1464" w:rsidRDefault="009D1464">
      <w:pPr>
        <w:spacing w:line="360" w:lineRule="auto"/>
        <w:rPr>
          <w:rFonts w:ascii="Palatino Linotype" w:eastAsia="Palatino Linotype" w:hAnsi="Palatino Linotype" w:cs="Palatino Linotype"/>
        </w:rPr>
      </w:pPr>
    </w:p>
    <w:p w:rsidR="009D1464" w:rsidRDefault="009D1464">
      <w:pPr>
        <w:spacing w:line="360" w:lineRule="auto"/>
        <w:rPr>
          <w:rFonts w:ascii="Palatino Linotype" w:eastAsia="Palatino Linotype" w:hAnsi="Palatino Linotype" w:cs="Palatino Linotype"/>
        </w:rPr>
      </w:pPr>
    </w:p>
    <w:p w:rsidR="009D1464" w:rsidRDefault="009D1464">
      <w:pPr>
        <w:spacing w:line="360" w:lineRule="auto"/>
        <w:rPr>
          <w:rFonts w:ascii="Palatino Linotype" w:eastAsia="Palatino Linotype" w:hAnsi="Palatino Linotype" w:cs="Palatino Linotype"/>
        </w:rPr>
      </w:pPr>
    </w:p>
    <w:p w:rsidR="009D1464" w:rsidRDefault="009D1464">
      <w:pPr>
        <w:spacing w:line="360" w:lineRule="auto"/>
        <w:rPr>
          <w:rFonts w:ascii="Palatino Linotype" w:eastAsia="Palatino Linotype" w:hAnsi="Palatino Linotype" w:cs="Palatino Linotype"/>
        </w:rPr>
      </w:pPr>
    </w:p>
    <w:p w:rsidR="009D1464" w:rsidRDefault="009D1464">
      <w:pPr>
        <w:spacing w:line="360" w:lineRule="auto"/>
        <w:rPr>
          <w:rFonts w:ascii="Palatino Linotype" w:eastAsia="Palatino Linotype" w:hAnsi="Palatino Linotype" w:cs="Palatino Linotype"/>
        </w:rPr>
      </w:pPr>
    </w:p>
    <w:sectPr w:rsidR="009D1464">
      <w:headerReference w:type="default" r:id="rId11"/>
      <w:footerReference w:type="default" r:id="rId12"/>
      <w:headerReference w:type="first" r:id="rId13"/>
      <w:footerReference w:type="first" r:id="rId14"/>
      <w:pgSz w:w="12240" w:h="15840"/>
      <w:pgMar w:top="2410" w:right="1701" w:bottom="1985" w:left="1701" w:header="709" w:footer="709"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84340" w:rsidRDefault="00284340">
      <w:r>
        <w:separator/>
      </w:r>
    </w:p>
  </w:endnote>
  <w:endnote w:type="continuationSeparator" w:id="0">
    <w:p w:rsidR="00284340" w:rsidRDefault="002843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2C62" w:rsidRDefault="00782C62">
    <w:pPr>
      <w:pBdr>
        <w:top w:val="nil"/>
        <w:left w:val="nil"/>
        <w:bottom w:val="nil"/>
        <w:right w:val="nil"/>
        <w:between w:val="nil"/>
      </w:pBdr>
      <w:tabs>
        <w:tab w:val="center" w:pos="4252"/>
        <w:tab w:val="right" w:pos="8504"/>
      </w:tabs>
      <w:jc w:val="right"/>
      <w:rPr>
        <w:rFonts w:ascii="Arial" w:eastAsia="Arial" w:hAnsi="Arial" w:cs="Arial"/>
        <w:color w:val="000000"/>
        <w:sz w:val="20"/>
        <w:szCs w:val="20"/>
      </w:rPr>
    </w:pPr>
    <w:r>
      <w:rPr>
        <w:rFonts w:ascii="Arial" w:eastAsia="Arial" w:hAnsi="Arial" w:cs="Arial"/>
        <w:b/>
        <w:color w:val="000000"/>
        <w:sz w:val="20"/>
        <w:szCs w:val="20"/>
      </w:rPr>
      <w:t xml:space="preserve">Página </w:t>
    </w:r>
    <w:r>
      <w:rPr>
        <w:rFonts w:ascii="Arial" w:eastAsia="Arial" w:hAnsi="Arial" w:cs="Arial"/>
        <w:b/>
        <w:color w:val="000000"/>
        <w:sz w:val="20"/>
        <w:szCs w:val="20"/>
      </w:rPr>
      <w:fldChar w:fldCharType="begin"/>
    </w:r>
    <w:r>
      <w:rPr>
        <w:rFonts w:ascii="Arial" w:eastAsia="Arial" w:hAnsi="Arial" w:cs="Arial"/>
        <w:b/>
        <w:color w:val="000000"/>
        <w:sz w:val="20"/>
        <w:szCs w:val="20"/>
      </w:rPr>
      <w:instrText>PAGE</w:instrText>
    </w:r>
    <w:r>
      <w:rPr>
        <w:rFonts w:ascii="Arial" w:eastAsia="Arial" w:hAnsi="Arial" w:cs="Arial"/>
        <w:b/>
        <w:color w:val="000000"/>
        <w:sz w:val="20"/>
        <w:szCs w:val="20"/>
      </w:rPr>
      <w:fldChar w:fldCharType="separate"/>
    </w:r>
    <w:r w:rsidR="003F0C88">
      <w:rPr>
        <w:rFonts w:ascii="Arial" w:eastAsia="Arial" w:hAnsi="Arial" w:cs="Arial"/>
        <w:b/>
        <w:noProof/>
        <w:color w:val="000000"/>
        <w:sz w:val="20"/>
        <w:szCs w:val="20"/>
      </w:rPr>
      <w:t>21</w:t>
    </w:r>
    <w:r>
      <w:rPr>
        <w:rFonts w:ascii="Arial" w:eastAsia="Arial" w:hAnsi="Arial" w:cs="Arial"/>
        <w:b/>
        <w:color w:val="000000"/>
        <w:sz w:val="20"/>
        <w:szCs w:val="20"/>
      </w:rPr>
      <w:fldChar w:fldCharType="end"/>
    </w:r>
    <w:r>
      <w:rPr>
        <w:rFonts w:ascii="Arial" w:eastAsia="Arial" w:hAnsi="Arial" w:cs="Arial"/>
        <w:color w:val="000000"/>
        <w:sz w:val="20"/>
        <w:szCs w:val="20"/>
      </w:rPr>
      <w:t xml:space="preserve"> de </w:t>
    </w:r>
    <w:r>
      <w:rPr>
        <w:rFonts w:ascii="Arial" w:eastAsia="Arial" w:hAnsi="Arial" w:cs="Arial"/>
        <w:b/>
        <w:color w:val="000000"/>
        <w:sz w:val="20"/>
        <w:szCs w:val="20"/>
      </w:rPr>
      <w:fldChar w:fldCharType="begin"/>
    </w:r>
    <w:r>
      <w:rPr>
        <w:rFonts w:ascii="Arial" w:eastAsia="Arial" w:hAnsi="Arial" w:cs="Arial"/>
        <w:b/>
        <w:color w:val="000000"/>
        <w:sz w:val="20"/>
        <w:szCs w:val="20"/>
      </w:rPr>
      <w:instrText>NUMPAGES</w:instrText>
    </w:r>
    <w:r>
      <w:rPr>
        <w:rFonts w:ascii="Arial" w:eastAsia="Arial" w:hAnsi="Arial" w:cs="Arial"/>
        <w:b/>
        <w:color w:val="000000"/>
        <w:sz w:val="20"/>
        <w:szCs w:val="20"/>
      </w:rPr>
      <w:fldChar w:fldCharType="separate"/>
    </w:r>
    <w:r w:rsidR="003F0C88">
      <w:rPr>
        <w:rFonts w:ascii="Arial" w:eastAsia="Arial" w:hAnsi="Arial" w:cs="Arial"/>
        <w:b/>
        <w:noProof/>
        <w:color w:val="000000"/>
        <w:sz w:val="20"/>
        <w:szCs w:val="20"/>
      </w:rPr>
      <w:t>48</w:t>
    </w:r>
    <w:r>
      <w:rPr>
        <w:rFonts w:ascii="Arial" w:eastAsia="Arial" w:hAnsi="Arial" w:cs="Arial"/>
        <w:b/>
        <w:color w:val="000000"/>
        <w:sz w:val="20"/>
        <w:szCs w:val="20"/>
      </w:rPr>
      <w:fldChar w:fldCharType="end"/>
    </w:r>
  </w:p>
  <w:p w:rsidR="00782C62" w:rsidRDefault="00782C62">
    <w:pPr>
      <w:pBdr>
        <w:top w:val="nil"/>
        <w:left w:val="nil"/>
        <w:bottom w:val="nil"/>
        <w:right w:val="nil"/>
        <w:between w:val="nil"/>
      </w:pBdr>
      <w:tabs>
        <w:tab w:val="center" w:pos="4252"/>
        <w:tab w:val="right" w:pos="8504"/>
      </w:tabs>
      <w:rPr>
        <w:color w:val="000000"/>
      </w:rPr>
    </w:pPr>
  </w:p>
  <w:p w:rsidR="00782C62" w:rsidRDefault="00782C62">
    <w:pPr>
      <w:pBdr>
        <w:top w:val="nil"/>
        <w:left w:val="nil"/>
        <w:bottom w:val="nil"/>
        <w:right w:val="nil"/>
        <w:between w:val="nil"/>
      </w:pBdr>
      <w:tabs>
        <w:tab w:val="center" w:pos="4252"/>
        <w:tab w:val="right" w:pos="8504"/>
      </w:tabs>
      <w:ind w:firstLine="708"/>
      <w:rPr>
        <w:rFonts w:ascii="Calibri" w:eastAsia="Calibri" w:hAnsi="Calibri" w:cs="Calibri"/>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2C62" w:rsidRDefault="00782C62">
    <w:pPr>
      <w:pBdr>
        <w:top w:val="nil"/>
        <w:left w:val="nil"/>
        <w:bottom w:val="nil"/>
        <w:right w:val="nil"/>
        <w:between w:val="nil"/>
      </w:pBdr>
      <w:tabs>
        <w:tab w:val="center" w:pos="4252"/>
        <w:tab w:val="right" w:pos="8504"/>
      </w:tabs>
      <w:jc w:val="right"/>
      <w:rPr>
        <w:rFonts w:ascii="Arial" w:eastAsia="Arial" w:hAnsi="Arial" w:cs="Arial"/>
        <w:color w:val="000000"/>
        <w:sz w:val="20"/>
        <w:szCs w:val="20"/>
      </w:rPr>
    </w:pPr>
    <w:r>
      <w:rPr>
        <w:rFonts w:ascii="Arial" w:eastAsia="Arial" w:hAnsi="Arial" w:cs="Arial"/>
        <w:b/>
        <w:color w:val="000000"/>
        <w:sz w:val="20"/>
        <w:szCs w:val="20"/>
      </w:rPr>
      <w:t xml:space="preserve">Página </w:t>
    </w:r>
    <w:r>
      <w:rPr>
        <w:rFonts w:ascii="Arial" w:eastAsia="Arial" w:hAnsi="Arial" w:cs="Arial"/>
        <w:b/>
        <w:color w:val="000000"/>
        <w:sz w:val="20"/>
        <w:szCs w:val="20"/>
      </w:rPr>
      <w:fldChar w:fldCharType="begin"/>
    </w:r>
    <w:r>
      <w:rPr>
        <w:rFonts w:ascii="Arial" w:eastAsia="Arial" w:hAnsi="Arial" w:cs="Arial"/>
        <w:b/>
        <w:color w:val="000000"/>
        <w:sz w:val="20"/>
        <w:szCs w:val="20"/>
      </w:rPr>
      <w:instrText>PAGE</w:instrText>
    </w:r>
    <w:r>
      <w:rPr>
        <w:rFonts w:ascii="Arial" w:eastAsia="Arial" w:hAnsi="Arial" w:cs="Arial"/>
        <w:b/>
        <w:color w:val="000000"/>
        <w:sz w:val="20"/>
        <w:szCs w:val="20"/>
      </w:rPr>
      <w:fldChar w:fldCharType="separate"/>
    </w:r>
    <w:r w:rsidR="003F0C88">
      <w:rPr>
        <w:rFonts w:ascii="Arial" w:eastAsia="Arial" w:hAnsi="Arial" w:cs="Arial"/>
        <w:b/>
        <w:noProof/>
        <w:color w:val="000000"/>
        <w:sz w:val="20"/>
        <w:szCs w:val="20"/>
      </w:rPr>
      <w:t>1</w:t>
    </w:r>
    <w:r>
      <w:rPr>
        <w:rFonts w:ascii="Arial" w:eastAsia="Arial" w:hAnsi="Arial" w:cs="Arial"/>
        <w:b/>
        <w:color w:val="000000"/>
        <w:sz w:val="20"/>
        <w:szCs w:val="20"/>
      </w:rPr>
      <w:fldChar w:fldCharType="end"/>
    </w:r>
    <w:r>
      <w:rPr>
        <w:rFonts w:ascii="Arial" w:eastAsia="Arial" w:hAnsi="Arial" w:cs="Arial"/>
        <w:color w:val="000000"/>
        <w:sz w:val="20"/>
        <w:szCs w:val="20"/>
      </w:rPr>
      <w:t xml:space="preserve"> de </w:t>
    </w:r>
    <w:r>
      <w:rPr>
        <w:rFonts w:ascii="Arial" w:eastAsia="Arial" w:hAnsi="Arial" w:cs="Arial"/>
        <w:b/>
        <w:color w:val="000000"/>
        <w:sz w:val="20"/>
        <w:szCs w:val="20"/>
      </w:rPr>
      <w:fldChar w:fldCharType="begin"/>
    </w:r>
    <w:r>
      <w:rPr>
        <w:rFonts w:ascii="Arial" w:eastAsia="Arial" w:hAnsi="Arial" w:cs="Arial"/>
        <w:b/>
        <w:color w:val="000000"/>
        <w:sz w:val="20"/>
        <w:szCs w:val="20"/>
      </w:rPr>
      <w:instrText>NUMPAGES</w:instrText>
    </w:r>
    <w:r>
      <w:rPr>
        <w:rFonts w:ascii="Arial" w:eastAsia="Arial" w:hAnsi="Arial" w:cs="Arial"/>
        <w:b/>
        <w:color w:val="000000"/>
        <w:sz w:val="20"/>
        <w:szCs w:val="20"/>
      </w:rPr>
      <w:fldChar w:fldCharType="separate"/>
    </w:r>
    <w:r w:rsidR="003F0C88">
      <w:rPr>
        <w:rFonts w:ascii="Arial" w:eastAsia="Arial" w:hAnsi="Arial" w:cs="Arial"/>
        <w:b/>
        <w:noProof/>
        <w:color w:val="000000"/>
        <w:sz w:val="20"/>
        <w:szCs w:val="20"/>
      </w:rPr>
      <w:t>48</w:t>
    </w:r>
    <w:r>
      <w:rPr>
        <w:rFonts w:ascii="Arial" w:eastAsia="Arial" w:hAnsi="Arial" w:cs="Arial"/>
        <w:b/>
        <w:color w:val="000000"/>
        <w:sz w:val="20"/>
        <w:szCs w:val="20"/>
      </w:rPr>
      <w:fldChar w:fldCharType="end"/>
    </w:r>
  </w:p>
  <w:p w:rsidR="00782C62" w:rsidRDefault="00782C62">
    <w:pPr>
      <w:pBdr>
        <w:top w:val="nil"/>
        <w:left w:val="nil"/>
        <w:bottom w:val="nil"/>
        <w:right w:val="nil"/>
        <w:between w:val="nil"/>
      </w:pBdr>
      <w:tabs>
        <w:tab w:val="center" w:pos="4252"/>
        <w:tab w:val="right" w:pos="8504"/>
      </w:tabs>
      <w:rPr>
        <w:rFonts w:ascii="Calibri" w:eastAsia="Calibri" w:hAnsi="Calibri" w:cs="Calibri"/>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84340" w:rsidRDefault="00284340">
      <w:r>
        <w:separator/>
      </w:r>
    </w:p>
  </w:footnote>
  <w:footnote w:type="continuationSeparator" w:id="0">
    <w:p w:rsidR="00284340" w:rsidRDefault="00284340">
      <w:r>
        <w:continuationSeparator/>
      </w:r>
    </w:p>
  </w:footnote>
  <w:footnote w:id="1">
    <w:p w:rsidR="00782C62" w:rsidRDefault="00782C62">
      <w:pPr>
        <w:pBdr>
          <w:top w:val="nil"/>
          <w:left w:val="nil"/>
          <w:bottom w:val="nil"/>
          <w:right w:val="nil"/>
          <w:between w:val="nil"/>
        </w:pBdr>
        <w:jc w:val="both"/>
        <w:rPr>
          <w:rFonts w:ascii="Palatino Linotype" w:eastAsia="Palatino Linotype" w:hAnsi="Palatino Linotype" w:cs="Palatino Linotype"/>
          <w:color w:val="000000"/>
          <w:sz w:val="16"/>
          <w:szCs w:val="16"/>
        </w:rPr>
      </w:pPr>
      <w:r>
        <w:rPr>
          <w:vertAlign w:val="superscript"/>
        </w:rPr>
        <w:footnoteRef/>
      </w:r>
      <w:r>
        <w:rPr>
          <w:rFonts w:ascii="Palatino Linotype" w:eastAsia="Palatino Linotype" w:hAnsi="Palatino Linotype" w:cs="Palatino Linotype"/>
          <w:color w:val="000000"/>
          <w:sz w:val="16"/>
          <w:szCs w:val="16"/>
        </w:rPr>
        <w:t xml:space="preserve"> Emitidos por este Instituto y publicados en el Periódico Oficial del Gobierno del Estado de México “Gaceta del Gobierno” en fecha treinta de octubre de dos mil ocho.</w:t>
      </w:r>
    </w:p>
  </w:footnote>
  <w:footnote w:id="2">
    <w:p w:rsidR="00782C62" w:rsidRDefault="00782C62">
      <w:pPr>
        <w:pBdr>
          <w:top w:val="nil"/>
          <w:left w:val="nil"/>
          <w:bottom w:val="nil"/>
          <w:right w:val="nil"/>
          <w:between w:val="nil"/>
        </w:pBdr>
        <w:rPr>
          <w:color w:val="000000"/>
          <w:sz w:val="20"/>
          <w:szCs w:val="20"/>
        </w:rPr>
      </w:pPr>
      <w:r>
        <w:rPr>
          <w:vertAlign w:val="superscript"/>
        </w:rPr>
        <w:footnoteRef/>
      </w:r>
      <w:r>
        <w:rPr>
          <w:color w:val="000000"/>
          <w:sz w:val="20"/>
          <w:szCs w:val="20"/>
        </w:rPr>
        <w:t xml:space="preserve"> Convención Americana sobre Derechos Humanos. Artículo 13.</w:t>
      </w:r>
    </w:p>
  </w:footnote>
  <w:footnote w:id="3">
    <w:p w:rsidR="00782C62" w:rsidRDefault="00782C62">
      <w:pPr>
        <w:pBdr>
          <w:top w:val="nil"/>
          <w:left w:val="nil"/>
          <w:bottom w:val="nil"/>
          <w:right w:val="nil"/>
          <w:between w:val="nil"/>
        </w:pBdr>
        <w:rPr>
          <w:color w:val="000000"/>
          <w:sz w:val="20"/>
          <w:szCs w:val="20"/>
        </w:rPr>
      </w:pPr>
      <w:r>
        <w:rPr>
          <w:vertAlign w:val="superscript"/>
        </w:rPr>
        <w:footnoteRef/>
      </w:r>
      <w:r>
        <w:rPr>
          <w:color w:val="000000"/>
          <w:sz w:val="20"/>
          <w:szCs w:val="20"/>
        </w:rPr>
        <w:t xml:space="preserve"> Constitución Política de los Estados Unidos Mexicanos. Artículo sexto, sección A, fracción I.</w:t>
      </w:r>
    </w:p>
  </w:footnote>
  <w:footnote w:id="4">
    <w:p w:rsidR="00782C62" w:rsidRDefault="00782C62">
      <w:pPr>
        <w:pBdr>
          <w:top w:val="nil"/>
          <w:left w:val="nil"/>
          <w:bottom w:val="nil"/>
          <w:right w:val="nil"/>
          <w:between w:val="nil"/>
        </w:pBdr>
        <w:rPr>
          <w:color w:val="000000"/>
          <w:sz w:val="20"/>
          <w:szCs w:val="20"/>
        </w:rPr>
      </w:pPr>
      <w:r>
        <w:rPr>
          <w:vertAlign w:val="superscript"/>
        </w:rPr>
        <w:footnoteRef/>
      </w:r>
      <w:r>
        <w:rPr>
          <w:color w:val="000000"/>
          <w:sz w:val="20"/>
          <w:szCs w:val="20"/>
        </w:rPr>
        <w:t xml:space="preserve"> Corte Interamericana de Derechos Humanos. Caso Claude Reyes y otros vs. Chile. Sentencia de 19 de septiembre de 2006. Serie C. No. 151. Párr. 86.</w:t>
      </w:r>
    </w:p>
  </w:footnote>
  <w:footnote w:id="5">
    <w:p w:rsidR="00782C62" w:rsidRDefault="00782C62">
      <w:pPr>
        <w:pBdr>
          <w:top w:val="nil"/>
          <w:left w:val="nil"/>
          <w:bottom w:val="nil"/>
          <w:right w:val="nil"/>
          <w:between w:val="nil"/>
        </w:pBdr>
        <w:rPr>
          <w:color w:val="000000"/>
          <w:sz w:val="20"/>
          <w:szCs w:val="20"/>
        </w:rPr>
      </w:pPr>
      <w:r>
        <w:rPr>
          <w:vertAlign w:val="superscript"/>
        </w:rPr>
        <w:footnoteRef/>
      </w:r>
      <w:r>
        <w:rPr>
          <w:color w:val="000000"/>
          <w:sz w:val="20"/>
          <w:szCs w:val="20"/>
        </w:rPr>
        <w:t xml:space="preserve"> Ibídem. Parr. 87.</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2C62" w:rsidRDefault="00782C62">
    <w:pPr>
      <w:widowControl w:val="0"/>
      <w:pBdr>
        <w:top w:val="nil"/>
        <w:left w:val="nil"/>
        <w:bottom w:val="nil"/>
        <w:right w:val="nil"/>
        <w:between w:val="nil"/>
      </w:pBdr>
      <w:spacing w:line="276" w:lineRule="auto"/>
      <w:rPr>
        <w:color w:val="000000"/>
        <w:sz w:val="20"/>
        <w:szCs w:val="20"/>
      </w:rPr>
    </w:pPr>
  </w:p>
  <w:tbl>
    <w:tblPr>
      <w:tblStyle w:val="a4"/>
      <w:tblW w:w="6095" w:type="dxa"/>
      <w:tblInd w:w="2977" w:type="dxa"/>
      <w:tblLayout w:type="fixed"/>
      <w:tblLook w:val="0400" w:firstRow="0" w:lastRow="0" w:firstColumn="0" w:lastColumn="0" w:noHBand="0" w:noVBand="1"/>
    </w:tblPr>
    <w:tblGrid>
      <w:gridCol w:w="2552"/>
      <w:gridCol w:w="3543"/>
    </w:tblGrid>
    <w:tr w:rsidR="00782C62">
      <w:tc>
        <w:tcPr>
          <w:tcW w:w="2552" w:type="dxa"/>
          <w:vAlign w:val="center"/>
        </w:tcPr>
        <w:p w:rsidR="00782C62" w:rsidRDefault="00782C62">
          <w:pPr>
            <w:rPr>
              <w:rFonts w:ascii="Palatino Linotype" w:eastAsia="Palatino Linotype" w:hAnsi="Palatino Linotype" w:cs="Palatino Linotype"/>
              <w:b/>
              <w:sz w:val="21"/>
              <w:szCs w:val="21"/>
            </w:rPr>
          </w:pPr>
          <w:r>
            <w:rPr>
              <w:rFonts w:ascii="Palatino Linotype" w:eastAsia="Palatino Linotype" w:hAnsi="Palatino Linotype" w:cs="Palatino Linotype"/>
              <w:b/>
              <w:sz w:val="21"/>
              <w:szCs w:val="21"/>
            </w:rPr>
            <w:t>Recurso de Revisión:</w:t>
          </w:r>
        </w:p>
      </w:tc>
      <w:tc>
        <w:tcPr>
          <w:tcW w:w="3543" w:type="dxa"/>
          <w:vAlign w:val="center"/>
        </w:tcPr>
        <w:p w:rsidR="00782C62" w:rsidRDefault="00782C62">
          <w:pPr>
            <w:jc w:val="both"/>
            <w:rPr>
              <w:rFonts w:ascii="Palatino Linotype" w:eastAsia="Palatino Linotype" w:hAnsi="Palatino Linotype" w:cs="Palatino Linotype"/>
              <w:b/>
              <w:sz w:val="21"/>
              <w:szCs w:val="21"/>
            </w:rPr>
          </w:pPr>
          <w:r>
            <w:rPr>
              <w:rFonts w:ascii="Palatino Linotype" w:eastAsia="Palatino Linotype" w:hAnsi="Palatino Linotype" w:cs="Palatino Linotype"/>
              <w:b/>
              <w:sz w:val="22"/>
              <w:szCs w:val="22"/>
            </w:rPr>
            <w:t>04393/INFOEM/IP/RR/2024</w:t>
          </w:r>
          <w:r>
            <w:rPr>
              <w:rFonts w:ascii="Palatino Linotype" w:eastAsia="Palatino Linotype" w:hAnsi="Palatino Linotype" w:cs="Palatino Linotype"/>
              <w:b/>
              <w:sz w:val="20"/>
              <w:szCs w:val="20"/>
            </w:rPr>
            <w:t xml:space="preserve"> </w:t>
          </w:r>
          <w:r>
            <w:rPr>
              <w:rFonts w:ascii="Palatino Linotype" w:eastAsia="Palatino Linotype" w:hAnsi="Palatino Linotype" w:cs="Palatino Linotype"/>
              <w:b/>
              <w:sz w:val="21"/>
              <w:szCs w:val="21"/>
            </w:rPr>
            <w:t>y acumulados</w:t>
          </w:r>
        </w:p>
      </w:tc>
    </w:tr>
    <w:tr w:rsidR="00782C62">
      <w:trPr>
        <w:trHeight w:val="228"/>
      </w:trPr>
      <w:tc>
        <w:tcPr>
          <w:tcW w:w="2552" w:type="dxa"/>
          <w:vAlign w:val="center"/>
        </w:tcPr>
        <w:p w:rsidR="00782C62" w:rsidRDefault="00782C62">
          <w:pPr>
            <w:rPr>
              <w:rFonts w:ascii="Palatino Linotype" w:eastAsia="Palatino Linotype" w:hAnsi="Palatino Linotype" w:cs="Palatino Linotype"/>
              <w:b/>
              <w:sz w:val="21"/>
              <w:szCs w:val="21"/>
            </w:rPr>
          </w:pPr>
          <w:r>
            <w:rPr>
              <w:rFonts w:ascii="Palatino Linotype" w:eastAsia="Palatino Linotype" w:hAnsi="Palatino Linotype" w:cs="Palatino Linotype"/>
              <w:b/>
              <w:sz w:val="21"/>
              <w:szCs w:val="21"/>
            </w:rPr>
            <w:t>Sujeto Obligado:</w:t>
          </w:r>
        </w:p>
      </w:tc>
      <w:tc>
        <w:tcPr>
          <w:tcW w:w="3543" w:type="dxa"/>
          <w:shd w:val="clear" w:color="auto" w:fill="auto"/>
          <w:vAlign w:val="center"/>
        </w:tcPr>
        <w:p w:rsidR="00782C62" w:rsidRDefault="00782C62">
          <w:pPr>
            <w:rPr>
              <w:rFonts w:ascii="Palatino Linotype" w:eastAsia="Palatino Linotype" w:hAnsi="Palatino Linotype" w:cs="Palatino Linotype"/>
              <w:b/>
              <w:sz w:val="21"/>
              <w:szCs w:val="21"/>
            </w:rPr>
          </w:pPr>
          <w:r>
            <w:rPr>
              <w:rFonts w:ascii="Palatino Linotype" w:eastAsia="Palatino Linotype" w:hAnsi="Palatino Linotype" w:cs="Palatino Linotype"/>
              <w:b/>
              <w:color w:val="000000"/>
              <w:sz w:val="22"/>
              <w:szCs w:val="22"/>
            </w:rPr>
            <w:t>Ayuntamiento de Toluca</w:t>
          </w:r>
        </w:p>
      </w:tc>
    </w:tr>
    <w:tr w:rsidR="00782C62">
      <w:tc>
        <w:tcPr>
          <w:tcW w:w="2552" w:type="dxa"/>
          <w:vAlign w:val="center"/>
        </w:tcPr>
        <w:p w:rsidR="00782C62" w:rsidRDefault="00782C62">
          <w:pPr>
            <w:rPr>
              <w:rFonts w:ascii="Palatino Linotype" w:eastAsia="Palatino Linotype" w:hAnsi="Palatino Linotype" w:cs="Palatino Linotype"/>
              <w:b/>
              <w:sz w:val="21"/>
              <w:szCs w:val="21"/>
            </w:rPr>
          </w:pPr>
          <w:r>
            <w:rPr>
              <w:rFonts w:ascii="Palatino Linotype" w:eastAsia="Palatino Linotype" w:hAnsi="Palatino Linotype" w:cs="Palatino Linotype"/>
              <w:b/>
              <w:sz w:val="21"/>
              <w:szCs w:val="21"/>
            </w:rPr>
            <w:t>Comisionada Ponente:</w:t>
          </w:r>
        </w:p>
      </w:tc>
      <w:tc>
        <w:tcPr>
          <w:tcW w:w="3543" w:type="dxa"/>
          <w:vAlign w:val="center"/>
        </w:tcPr>
        <w:p w:rsidR="00782C62" w:rsidRDefault="00782C62">
          <w:pPr>
            <w:ind w:right="-533"/>
            <w:jc w:val="both"/>
            <w:rPr>
              <w:rFonts w:ascii="Palatino Linotype" w:eastAsia="Palatino Linotype" w:hAnsi="Palatino Linotype" w:cs="Palatino Linotype"/>
              <w:b/>
              <w:sz w:val="21"/>
              <w:szCs w:val="21"/>
            </w:rPr>
          </w:pPr>
          <w:r>
            <w:rPr>
              <w:rFonts w:ascii="Palatino Linotype" w:eastAsia="Palatino Linotype" w:hAnsi="Palatino Linotype" w:cs="Palatino Linotype"/>
              <w:b/>
              <w:sz w:val="21"/>
              <w:szCs w:val="21"/>
            </w:rPr>
            <w:t>María del Rosario Mejía Ayala</w:t>
          </w:r>
        </w:p>
      </w:tc>
    </w:tr>
  </w:tbl>
  <w:p w:rsidR="00782C62" w:rsidRDefault="00782C62">
    <w:pPr>
      <w:pBdr>
        <w:top w:val="nil"/>
        <w:left w:val="nil"/>
        <w:bottom w:val="nil"/>
        <w:right w:val="nil"/>
        <w:between w:val="nil"/>
      </w:pBdr>
      <w:tabs>
        <w:tab w:val="center" w:pos="4252"/>
        <w:tab w:val="right" w:pos="8504"/>
        <w:tab w:val="left" w:pos="2326"/>
      </w:tabs>
      <w:rPr>
        <w:rFonts w:ascii="Calibri" w:eastAsia="Calibri" w:hAnsi="Calibri" w:cs="Calibri"/>
        <w:color w:val="000000"/>
      </w:rPr>
    </w:pPr>
    <w:r>
      <w:rPr>
        <w:rFonts w:ascii="Calibri" w:eastAsia="Calibri" w:hAnsi="Calibri" w:cs="Calibri"/>
        <w:color w:val="000000"/>
      </w:rPr>
      <w:tab/>
    </w:r>
    <w:r>
      <w:rPr>
        <w:noProof/>
      </w:rPr>
      <w:drawing>
        <wp:anchor distT="0" distB="0" distL="0" distR="0" simplePos="0" relativeHeight="251658240" behindDoc="1" locked="0" layoutInCell="1" hidden="0" allowOverlap="1">
          <wp:simplePos x="0" y="0"/>
          <wp:positionH relativeFrom="column">
            <wp:posOffset>-1080134</wp:posOffset>
          </wp:positionH>
          <wp:positionV relativeFrom="paragraph">
            <wp:posOffset>-1492935</wp:posOffset>
          </wp:positionV>
          <wp:extent cx="7813085" cy="10170000"/>
          <wp:effectExtent l="0" t="0" r="0" b="0"/>
          <wp:wrapNone/>
          <wp:docPr id="2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7813085" cy="10170000"/>
                  </a:xfrm>
                  <a:prstGeom prst="rect">
                    <a:avLst/>
                  </a:prstGeom>
                  <a:ln/>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2C62" w:rsidRDefault="00782C62">
    <w:pPr>
      <w:pBdr>
        <w:top w:val="nil"/>
        <w:left w:val="nil"/>
        <w:bottom w:val="nil"/>
        <w:right w:val="nil"/>
        <w:between w:val="nil"/>
      </w:pBdr>
      <w:tabs>
        <w:tab w:val="center" w:pos="4252"/>
        <w:tab w:val="right" w:pos="8504"/>
        <w:tab w:val="left" w:pos="7154"/>
      </w:tabs>
      <w:jc w:val="both"/>
      <w:rPr>
        <w:rFonts w:ascii="Calibri" w:eastAsia="Calibri" w:hAnsi="Calibri" w:cs="Calibri"/>
        <w:color w:val="000000"/>
      </w:rPr>
    </w:pPr>
    <w:r>
      <w:rPr>
        <w:rFonts w:ascii="Calibri" w:eastAsia="Calibri" w:hAnsi="Calibri" w:cs="Calibri"/>
        <w:color w:val="000000"/>
      </w:rPr>
      <w:t xml:space="preserve">                                  </w:t>
    </w:r>
    <w:r>
      <w:rPr>
        <w:rFonts w:ascii="Calibri" w:eastAsia="Calibri" w:hAnsi="Calibri" w:cs="Calibri"/>
        <w:color w:val="000000"/>
      </w:rPr>
      <w:tab/>
    </w:r>
    <w:r>
      <w:rPr>
        <w:noProof/>
      </w:rPr>
      <w:drawing>
        <wp:anchor distT="0" distB="0" distL="0" distR="0" simplePos="0" relativeHeight="251659264" behindDoc="1" locked="0" layoutInCell="1" hidden="0" allowOverlap="1">
          <wp:simplePos x="0" y="0"/>
          <wp:positionH relativeFrom="column">
            <wp:posOffset>-1078864</wp:posOffset>
          </wp:positionH>
          <wp:positionV relativeFrom="paragraph">
            <wp:posOffset>-411479</wp:posOffset>
          </wp:positionV>
          <wp:extent cx="7813085" cy="10170000"/>
          <wp:effectExtent l="0" t="0" r="0" b="0"/>
          <wp:wrapNone/>
          <wp:docPr id="17"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7813085" cy="10170000"/>
                  </a:xfrm>
                  <a:prstGeom prst="rect">
                    <a:avLst/>
                  </a:prstGeom>
                  <a:ln/>
                </pic:spPr>
              </pic:pic>
            </a:graphicData>
          </a:graphic>
        </wp:anchor>
      </w:drawing>
    </w:r>
  </w:p>
  <w:tbl>
    <w:tblPr>
      <w:tblStyle w:val="a5"/>
      <w:tblW w:w="6095" w:type="dxa"/>
      <w:tblInd w:w="3119" w:type="dxa"/>
      <w:tblLayout w:type="fixed"/>
      <w:tblLook w:val="0400" w:firstRow="0" w:lastRow="0" w:firstColumn="0" w:lastColumn="0" w:noHBand="0" w:noVBand="1"/>
    </w:tblPr>
    <w:tblGrid>
      <w:gridCol w:w="2551"/>
      <w:gridCol w:w="3544"/>
    </w:tblGrid>
    <w:tr w:rsidR="00782C62">
      <w:tc>
        <w:tcPr>
          <w:tcW w:w="2551" w:type="dxa"/>
          <w:vAlign w:val="center"/>
        </w:tcPr>
        <w:p w:rsidR="00782C62" w:rsidRDefault="00782C62">
          <w:pPr>
            <w:rPr>
              <w:rFonts w:ascii="Palatino Linotype" w:eastAsia="Palatino Linotype" w:hAnsi="Palatino Linotype" w:cs="Palatino Linotype"/>
              <w:b/>
              <w:sz w:val="21"/>
              <w:szCs w:val="21"/>
            </w:rPr>
          </w:pPr>
          <w:r>
            <w:rPr>
              <w:rFonts w:ascii="Palatino Linotype" w:eastAsia="Palatino Linotype" w:hAnsi="Palatino Linotype" w:cs="Palatino Linotype"/>
              <w:b/>
              <w:sz w:val="21"/>
              <w:szCs w:val="21"/>
            </w:rPr>
            <w:t>Recurso de Revisión:</w:t>
          </w:r>
        </w:p>
      </w:tc>
      <w:tc>
        <w:tcPr>
          <w:tcW w:w="3544" w:type="dxa"/>
          <w:vAlign w:val="center"/>
        </w:tcPr>
        <w:p w:rsidR="00782C62" w:rsidRDefault="00782C62">
          <w:pPr>
            <w:jc w:val="both"/>
            <w:rPr>
              <w:rFonts w:ascii="Palatino Linotype" w:eastAsia="Palatino Linotype" w:hAnsi="Palatino Linotype" w:cs="Palatino Linotype"/>
              <w:b/>
              <w:sz w:val="21"/>
              <w:szCs w:val="21"/>
            </w:rPr>
          </w:pPr>
          <w:r>
            <w:rPr>
              <w:rFonts w:ascii="Palatino Linotype" w:eastAsia="Palatino Linotype" w:hAnsi="Palatino Linotype" w:cs="Palatino Linotype"/>
              <w:b/>
              <w:sz w:val="22"/>
              <w:szCs w:val="22"/>
            </w:rPr>
            <w:t>04393/INFOEM/IP/RR/2024 y acumulados</w:t>
          </w:r>
        </w:p>
      </w:tc>
    </w:tr>
    <w:tr w:rsidR="00782C62">
      <w:tc>
        <w:tcPr>
          <w:tcW w:w="2551" w:type="dxa"/>
          <w:vAlign w:val="center"/>
        </w:tcPr>
        <w:p w:rsidR="00782C62" w:rsidRDefault="00782C62">
          <w:pPr>
            <w:ind w:left="35" w:hanging="35"/>
            <w:rPr>
              <w:rFonts w:ascii="Palatino Linotype" w:eastAsia="Palatino Linotype" w:hAnsi="Palatino Linotype" w:cs="Palatino Linotype"/>
              <w:b/>
              <w:sz w:val="21"/>
              <w:szCs w:val="21"/>
            </w:rPr>
          </w:pPr>
          <w:r>
            <w:rPr>
              <w:rFonts w:ascii="Palatino Linotype" w:eastAsia="Palatino Linotype" w:hAnsi="Palatino Linotype" w:cs="Palatino Linotype"/>
              <w:b/>
              <w:sz w:val="21"/>
              <w:szCs w:val="21"/>
            </w:rPr>
            <w:t>Recurrente:</w:t>
          </w:r>
        </w:p>
      </w:tc>
      <w:tc>
        <w:tcPr>
          <w:tcW w:w="3544" w:type="dxa"/>
          <w:shd w:val="clear" w:color="auto" w:fill="auto"/>
          <w:vAlign w:val="center"/>
        </w:tcPr>
        <w:p w:rsidR="00782C62" w:rsidRDefault="00782C62">
          <w:pPr>
            <w:rPr>
              <w:rFonts w:ascii="Palatino Linotype" w:eastAsia="Palatino Linotype" w:hAnsi="Palatino Linotype" w:cs="Palatino Linotype"/>
              <w:b/>
              <w:sz w:val="21"/>
              <w:szCs w:val="21"/>
            </w:rPr>
          </w:pPr>
          <w:r>
            <w:rPr>
              <w:rFonts w:ascii="Palatino Linotype" w:eastAsia="Palatino Linotype" w:hAnsi="Palatino Linotype" w:cs="Palatino Linotype"/>
              <w:b/>
            </w:rPr>
            <w:t> Anónimo</w:t>
          </w:r>
        </w:p>
      </w:tc>
    </w:tr>
    <w:tr w:rsidR="00782C62">
      <w:trPr>
        <w:trHeight w:val="228"/>
      </w:trPr>
      <w:tc>
        <w:tcPr>
          <w:tcW w:w="2551" w:type="dxa"/>
          <w:vAlign w:val="center"/>
        </w:tcPr>
        <w:p w:rsidR="00782C62" w:rsidRDefault="00782C62">
          <w:pPr>
            <w:rPr>
              <w:rFonts w:ascii="Palatino Linotype" w:eastAsia="Palatino Linotype" w:hAnsi="Palatino Linotype" w:cs="Palatino Linotype"/>
              <w:b/>
              <w:sz w:val="21"/>
              <w:szCs w:val="21"/>
            </w:rPr>
          </w:pPr>
          <w:r>
            <w:rPr>
              <w:rFonts w:ascii="Palatino Linotype" w:eastAsia="Palatino Linotype" w:hAnsi="Palatino Linotype" w:cs="Palatino Linotype"/>
              <w:b/>
              <w:sz w:val="21"/>
              <w:szCs w:val="21"/>
            </w:rPr>
            <w:t>Sujeto Obligado:</w:t>
          </w:r>
        </w:p>
      </w:tc>
      <w:tc>
        <w:tcPr>
          <w:tcW w:w="3544" w:type="dxa"/>
          <w:shd w:val="clear" w:color="auto" w:fill="auto"/>
          <w:vAlign w:val="center"/>
        </w:tcPr>
        <w:p w:rsidR="00782C62" w:rsidRDefault="00782C62">
          <w:pPr>
            <w:ind w:left="35" w:hanging="35"/>
            <w:jc w:val="both"/>
            <w:rPr>
              <w:rFonts w:ascii="Palatino Linotype" w:eastAsia="Palatino Linotype" w:hAnsi="Palatino Linotype" w:cs="Palatino Linotype"/>
              <w:sz w:val="21"/>
              <w:szCs w:val="21"/>
            </w:rPr>
          </w:pPr>
          <w:r>
            <w:rPr>
              <w:rFonts w:ascii="Palatino Linotype" w:eastAsia="Palatino Linotype" w:hAnsi="Palatino Linotype" w:cs="Palatino Linotype"/>
              <w:b/>
              <w:color w:val="000000"/>
              <w:sz w:val="22"/>
              <w:szCs w:val="22"/>
            </w:rPr>
            <w:t xml:space="preserve">Ayuntamiento de Toluca </w:t>
          </w:r>
        </w:p>
      </w:tc>
    </w:tr>
    <w:tr w:rsidR="00782C62">
      <w:tc>
        <w:tcPr>
          <w:tcW w:w="2551" w:type="dxa"/>
          <w:vAlign w:val="center"/>
        </w:tcPr>
        <w:p w:rsidR="00782C62" w:rsidRDefault="00782C62">
          <w:pPr>
            <w:rPr>
              <w:rFonts w:ascii="Palatino Linotype" w:eastAsia="Palatino Linotype" w:hAnsi="Palatino Linotype" w:cs="Palatino Linotype"/>
              <w:b/>
              <w:sz w:val="21"/>
              <w:szCs w:val="21"/>
            </w:rPr>
          </w:pPr>
          <w:r>
            <w:rPr>
              <w:rFonts w:ascii="Palatino Linotype" w:eastAsia="Palatino Linotype" w:hAnsi="Palatino Linotype" w:cs="Palatino Linotype"/>
              <w:b/>
              <w:sz w:val="21"/>
              <w:szCs w:val="21"/>
            </w:rPr>
            <w:t>Comisionada Ponente:</w:t>
          </w:r>
        </w:p>
      </w:tc>
      <w:tc>
        <w:tcPr>
          <w:tcW w:w="3544" w:type="dxa"/>
          <w:vAlign w:val="center"/>
        </w:tcPr>
        <w:p w:rsidR="00782C62" w:rsidRDefault="00782C62">
          <w:pPr>
            <w:ind w:right="-533"/>
            <w:jc w:val="both"/>
            <w:rPr>
              <w:rFonts w:ascii="Palatino Linotype" w:eastAsia="Palatino Linotype" w:hAnsi="Palatino Linotype" w:cs="Palatino Linotype"/>
              <w:b/>
              <w:sz w:val="21"/>
              <w:szCs w:val="21"/>
            </w:rPr>
          </w:pPr>
          <w:r>
            <w:rPr>
              <w:rFonts w:ascii="Palatino Linotype" w:eastAsia="Palatino Linotype" w:hAnsi="Palatino Linotype" w:cs="Palatino Linotype"/>
              <w:b/>
              <w:sz w:val="21"/>
              <w:szCs w:val="21"/>
            </w:rPr>
            <w:t>María del Rosario Mejía Ayala</w:t>
          </w:r>
        </w:p>
      </w:tc>
    </w:tr>
  </w:tbl>
  <w:p w:rsidR="00782C62" w:rsidRDefault="00782C62">
    <w:pPr>
      <w:pBdr>
        <w:top w:val="nil"/>
        <w:left w:val="nil"/>
        <w:bottom w:val="nil"/>
        <w:right w:val="nil"/>
        <w:between w:val="nil"/>
      </w:pBdr>
      <w:tabs>
        <w:tab w:val="center" w:pos="4252"/>
        <w:tab w:val="right" w:pos="8504"/>
      </w:tabs>
      <w:rPr>
        <w:rFonts w:ascii="Calibri" w:eastAsia="Calibri" w:hAnsi="Calibri" w:cs="Calibri"/>
        <w:color w:val="00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B53C4A"/>
    <w:multiLevelType w:val="multilevel"/>
    <w:tmpl w:val="26AE2C24"/>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1623044B"/>
    <w:multiLevelType w:val="multilevel"/>
    <w:tmpl w:val="C462708E"/>
    <w:lvl w:ilvl="0">
      <w:start w:val="1"/>
      <w:numFmt w:val="upperRoman"/>
      <w:lvlText w:val="%1."/>
      <w:lvlJc w:val="left"/>
      <w:pPr>
        <w:ind w:left="1430" w:hanging="720"/>
      </w:pPr>
    </w:lvl>
    <w:lvl w:ilvl="1">
      <w:start w:val="1"/>
      <w:numFmt w:val="lowerLetter"/>
      <w:lvlText w:val="%2."/>
      <w:lvlJc w:val="left"/>
      <w:pPr>
        <w:ind w:left="1790" w:hanging="360"/>
      </w:pPr>
    </w:lvl>
    <w:lvl w:ilvl="2">
      <w:start w:val="1"/>
      <w:numFmt w:val="lowerRoman"/>
      <w:lvlText w:val="%3."/>
      <w:lvlJc w:val="right"/>
      <w:pPr>
        <w:ind w:left="2510" w:hanging="180"/>
      </w:pPr>
    </w:lvl>
    <w:lvl w:ilvl="3">
      <w:start w:val="1"/>
      <w:numFmt w:val="decimal"/>
      <w:lvlText w:val="%4."/>
      <w:lvlJc w:val="left"/>
      <w:pPr>
        <w:ind w:left="3230" w:hanging="360"/>
      </w:pPr>
    </w:lvl>
    <w:lvl w:ilvl="4">
      <w:start w:val="1"/>
      <w:numFmt w:val="lowerLetter"/>
      <w:lvlText w:val="%5."/>
      <w:lvlJc w:val="left"/>
      <w:pPr>
        <w:ind w:left="3950" w:hanging="360"/>
      </w:pPr>
    </w:lvl>
    <w:lvl w:ilvl="5">
      <w:start w:val="1"/>
      <w:numFmt w:val="lowerRoman"/>
      <w:lvlText w:val="%6."/>
      <w:lvlJc w:val="right"/>
      <w:pPr>
        <w:ind w:left="4670" w:hanging="180"/>
      </w:pPr>
    </w:lvl>
    <w:lvl w:ilvl="6">
      <w:start w:val="1"/>
      <w:numFmt w:val="decimal"/>
      <w:lvlText w:val="%7."/>
      <w:lvlJc w:val="left"/>
      <w:pPr>
        <w:ind w:left="5390" w:hanging="360"/>
      </w:pPr>
    </w:lvl>
    <w:lvl w:ilvl="7">
      <w:start w:val="1"/>
      <w:numFmt w:val="lowerLetter"/>
      <w:lvlText w:val="%8."/>
      <w:lvlJc w:val="left"/>
      <w:pPr>
        <w:ind w:left="6110" w:hanging="360"/>
      </w:pPr>
    </w:lvl>
    <w:lvl w:ilvl="8">
      <w:start w:val="1"/>
      <w:numFmt w:val="lowerRoman"/>
      <w:lvlText w:val="%9."/>
      <w:lvlJc w:val="right"/>
      <w:pPr>
        <w:ind w:left="6830" w:hanging="180"/>
      </w:pPr>
    </w:lvl>
  </w:abstractNum>
  <w:abstractNum w:abstractNumId="2">
    <w:nsid w:val="31E56E34"/>
    <w:multiLevelType w:val="multilevel"/>
    <w:tmpl w:val="3B429B56"/>
    <w:lvl w:ilvl="0">
      <w:start w:val="1"/>
      <w:numFmt w:val="upperRoman"/>
      <w:lvlText w:val="%1."/>
      <w:lvlJc w:val="left"/>
      <w:pPr>
        <w:ind w:left="1854" w:hanging="720"/>
      </w:pPr>
    </w:lvl>
    <w:lvl w:ilvl="1">
      <w:start w:val="1"/>
      <w:numFmt w:val="lowerLetter"/>
      <w:lvlText w:val="%2."/>
      <w:lvlJc w:val="left"/>
      <w:pPr>
        <w:ind w:left="2214" w:hanging="360"/>
      </w:pPr>
    </w:lvl>
    <w:lvl w:ilvl="2">
      <w:start w:val="1"/>
      <w:numFmt w:val="lowerRoman"/>
      <w:lvlText w:val="%3."/>
      <w:lvlJc w:val="right"/>
      <w:pPr>
        <w:ind w:left="2934" w:hanging="180"/>
      </w:pPr>
    </w:lvl>
    <w:lvl w:ilvl="3">
      <w:start w:val="1"/>
      <w:numFmt w:val="decimal"/>
      <w:lvlText w:val="%4."/>
      <w:lvlJc w:val="left"/>
      <w:pPr>
        <w:ind w:left="3654" w:hanging="360"/>
      </w:pPr>
    </w:lvl>
    <w:lvl w:ilvl="4">
      <w:start w:val="1"/>
      <w:numFmt w:val="lowerLetter"/>
      <w:lvlText w:val="%5."/>
      <w:lvlJc w:val="left"/>
      <w:pPr>
        <w:ind w:left="4374" w:hanging="360"/>
      </w:pPr>
    </w:lvl>
    <w:lvl w:ilvl="5">
      <w:start w:val="1"/>
      <w:numFmt w:val="lowerRoman"/>
      <w:lvlText w:val="%6."/>
      <w:lvlJc w:val="right"/>
      <w:pPr>
        <w:ind w:left="5094" w:hanging="180"/>
      </w:pPr>
    </w:lvl>
    <w:lvl w:ilvl="6">
      <w:start w:val="1"/>
      <w:numFmt w:val="decimal"/>
      <w:lvlText w:val="%7."/>
      <w:lvlJc w:val="left"/>
      <w:pPr>
        <w:ind w:left="5814" w:hanging="360"/>
      </w:pPr>
    </w:lvl>
    <w:lvl w:ilvl="7">
      <w:start w:val="1"/>
      <w:numFmt w:val="lowerLetter"/>
      <w:lvlText w:val="%8."/>
      <w:lvlJc w:val="left"/>
      <w:pPr>
        <w:ind w:left="6534" w:hanging="360"/>
      </w:pPr>
    </w:lvl>
    <w:lvl w:ilvl="8">
      <w:start w:val="1"/>
      <w:numFmt w:val="lowerRoman"/>
      <w:lvlText w:val="%9."/>
      <w:lvlJc w:val="right"/>
      <w:pPr>
        <w:ind w:left="7254" w:hanging="180"/>
      </w:pPr>
    </w:lvl>
  </w:abstractNum>
  <w:abstractNum w:abstractNumId="3">
    <w:nsid w:val="37754F11"/>
    <w:multiLevelType w:val="multilevel"/>
    <w:tmpl w:val="F89E8702"/>
    <w:lvl w:ilvl="0">
      <w:start w:val="1"/>
      <w:numFmt w:val="decimal"/>
      <w:lvlText w:val="%1."/>
      <w:lvlJc w:val="left"/>
      <w:pPr>
        <w:ind w:left="928" w:hanging="360"/>
      </w:pPr>
      <w:rPr>
        <w:b/>
        <w:i w:val="0"/>
        <w:color w:val="00000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nsid w:val="4BC4655F"/>
    <w:multiLevelType w:val="multilevel"/>
    <w:tmpl w:val="8386138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nsid w:val="6C902E85"/>
    <w:multiLevelType w:val="multilevel"/>
    <w:tmpl w:val="B5946D2E"/>
    <w:lvl w:ilvl="0">
      <w:start w:val="1"/>
      <w:numFmt w:val="lowerLetter"/>
      <w:lvlText w:val="%1)"/>
      <w:lvlJc w:val="left"/>
      <w:pPr>
        <w:ind w:left="1866" w:hanging="360"/>
      </w:pPr>
    </w:lvl>
    <w:lvl w:ilvl="1">
      <w:start w:val="1"/>
      <w:numFmt w:val="lowerLetter"/>
      <w:lvlText w:val="%2."/>
      <w:lvlJc w:val="left"/>
      <w:pPr>
        <w:ind w:left="2586" w:hanging="360"/>
      </w:pPr>
    </w:lvl>
    <w:lvl w:ilvl="2">
      <w:start w:val="1"/>
      <w:numFmt w:val="lowerRoman"/>
      <w:lvlText w:val="%3."/>
      <w:lvlJc w:val="right"/>
      <w:pPr>
        <w:ind w:left="3306" w:hanging="180"/>
      </w:pPr>
    </w:lvl>
    <w:lvl w:ilvl="3">
      <w:start w:val="1"/>
      <w:numFmt w:val="decimal"/>
      <w:lvlText w:val="%4."/>
      <w:lvlJc w:val="left"/>
      <w:pPr>
        <w:ind w:left="4026" w:hanging="360"/>
      </w:pPr>
    </w:lvl>
    <w:lvl w:ilvl="4">
      <w:start w:val="1"/>
      <w:numFmt w:val="lowerLetter"/>
      <w:lvlText w:val="%5."/>
      <w:lvlJc w:val="left"/>
      <w:pPr>
        <w:ind w:left="4746" w:hanging="360"/>
      </w:pPr>
    </w:lvl>
    <w:lvl w:ilvl="5">
      <w:start w:val="1"/>
      <w:numFmt w:val="lowerRoman"/>
      <w:lvlText w:val="%6."/>
      <w:lvlJc w:val="right"/>
      <w:pPr>
        <w:ind w:left="5466" w:hanging="180"/>
      </w:pPr>
    </w:lvl>
    <w:lvl w:ilvl="6">
      <w:start w:val="1"/>
      <w:numFmt w:val="decimal"/>
      <w:lvlText w:val="%7."/>
      <w:lvlJc w:val="left"/>
      <w:pPr>
        <w:ind w:left="6186" w:hanging="360"/>
      </w:pPr>
    </w:lvl>
    <w:lvl w:ilvl="7">
      <w:start w:val="1"/>
      <w:numFmt w:val="lowerLetter"/>
      <w:lvlText w:val="%8."/>
      <w:lvlJc w:val="left"/>
      <w:pPr>
        <w:ind w:left="6906" w:hanging="360"/>
      </w:pPr>
    </w:lvl>
    <w:lvl w:ilvl="8">
      <w:start w:val="1"/>
      <w:numFmt w:val="lowerRoman"/>
      <w:lvlText w:val="%9."/>
      <w:lvlJc w:val="right"/>
      <w:pPr>
        <w:ind w:left="7626" w:hanging="180"/>
      </w:pPr>
    </w:lvl>
  </w:abstractNum>
  <w:abstractNum w:abstractNumId="6">
    <w:nsid w:val="6D0B160B"/>
    <w:multiLevelType w:val="multilevel"/>
    <w:tmpl w:val="CBC2885A"/>
    <w:lvl w:ilvl="0">
      <w:start w:val="1"/>
      <w:numFmt w:val="bullet"/>
      <w:lvlText w:val="●"/>
      <w:lvlJc w:val="left"/>
      <w:pPr>
        <w:ind w:left="1146" w:hanging="360"/>
      </w:pPr>
      <w:rPr>
        <w:rFonts w:ascii="Noto Sans Symbols" w:eastAsia="Noto Sans Symbols" w:hAnsi="Noto Sans Symbols" w:cs="Noto Sans Symbols"/>
      </w:rPr>
    </w:lvl>
    <w:lvl w:ilvl="1">
      <w:start w:val="1"/>
      <w:numFmt w:val="bullet"/>
      <w:lvlText w:val="o"/>
      <w:lvlJc w:val="left"/>
      <w:pPr>
        <w:ind w:left="1866" w:hanging="360"/>
      </w:pPr>
      <w:rPr>
        <w:rFonts w:ascii="Courier New" w:eastAsia="Courier New" w:hAnsi="Courier New" w:cs="Courier New"/>
      </w:rPr>
    </w:lvl>
    <w:lvl w:ilvl="2">
      <w:start w:val="1"/>
      <w:numFmt w:val="bullet"/>
      <w:lvlText w:val="▪"/>
      <w:lvlJc w:val="left"/>
      <w:pPr>
        <w:ind w:left="2586" w:hanging="360"/>
      </w:pPr>
      <w:rPr>
        <w:rFonts w:ascii="Noto Sans Symbols" w:eastAsia="Noto Sans Symbols" w:hAnsi="Noto Sans Symbols" w:cs="Noto Sans Symbols"/>
      </w:rPr>
    </w:lvl>
    <w:lvl w:ilvl="3">
      <w:start w:val="1"/>
      <w:numFmt w:val="bullet"/>
      <w:lvlText w:val="●"/>
      <w:lvlJc w:val="left"/>
      <w:pPr>
        <w:ind w:left="3306" w:hanging="360"/>
      </w:pPr>
      <w:rPr>
        <w:rFonts w:ascii="Noto Sans Symbols" w:eastAsia="Noto Sans Symbols" w:hAnsi="Noto Sans Symbols" w:cs="Noto Sans Symbols"/>
      </w:rPr>
    </w:lvl>
    <w:lvl w:ilvl="4">
      <w:start w:val="1"/>
      <w:numFmt w:val="bullet"/>
      <w:lvlText w:val="o"/>
      <w:lvlJc w:val="left"/>
      <w:pPr>
        <w:ind w:left="4026" w:hanging="360"/>
      </w:pPr>
      <w:rPr>
        <w:rFonts w:ascii="Courier New" w:eastAsia="Courier New" w:hAnsi="Courier New" w:cs="Courier New"/>
      </w:rPr>
    </w:lvl>
    <w:lvl w:ilvl="5">
      <w:start w:val="1"/>
      <w:numFmt w:val="bullet"/>
      <w:lvlText w:val="▪"/>
      <w:lvlJc w:val="left"/>
      <w:pPr>
        <w:ind w:left="4746" w:hanging="360"/>
      </w:pPr>
      <w:rPr>
        <w:rFonts w:ascii="Noto Sans Symbols" w:eastAsia="Noto Sans Symbols" w:hAnsi="Noto Sans Symbols" w:cs="Noto Sans Symbols"/>
      </w:rPr>
    </w:lvl>
    <w:lvl w:ilvl="6">
      <w:start w:val="1"/>
      <w:numFmt w:val="bullet"/>
      <w:lvlText w:val="●"/>
      <w:lvlJc w:val="left"/>
      <w:pPr>
        <w:ind w:left="5466" w:hanging="360"/>
      </w:pPr>
      <w:rPr>
        <w:rFonts w:ascii="Noto Sans Symbols" w:eastAsia="Noto Sans Symbols" w:hAnsi="Noto Sans Symbols" w:cs="Noto Sans Symbols"/>
      </w:rPr>
    </w:lvl>
    <w:lvl w:ilvl="7">
      <w:start w:val="1"/>
      <w:numFmt w:val="bullet"/>
      <w:lvlText w:val="o"/>
      <w:lvlJc w:val="left"/>
      <w:pPr>
        <w:ind w:left="6186" w:hanging="360"/>
      </w:pPr>
      <w:rPr>
        <w:rFonts w:ascii="Courier New" w:eastAsia="Courier New" w:hAnsi="Courier New" w:cs="Courier New"/>
      </w:rPr>
    </w:lvl>
    <w:lvl w:ilvl="8">
      <w:start w:val="1"/>
      <w:numFmt w:val="bullet"/>
      <w:lvlText w:val="▪"/>
      <w:lvlJc w:val="left"/>
      <w:pPr>
        <w:ind w:left="6906" w:hanging="360"/>
      </w:pPr>
      <w:rPr>
        <w:rFonts w:ascii="Noto Sans Symbols" w:eastAsia="Noto Sans Symbols" w:hAnsi="Noto Sans Symbols" w:cs="Noto Sans Symbols"/>
      </w:rPr>
    </w:lvl>
  </w:abstractNum>
  <w:num w:numId="1">
    <w:abstractNumId w:val="1"/>
  </w:num>
  <w:num w:numId="2">
    <w:abstractNumId w:val="2"/>
  </w:num>
  <w:num w:numId="3">
    <w:abstractNumId w:val="4"/>
  </w:num>
  <w:num w:numId="4">
    <w:abstractNumId w:val="0"/>
  </w:num>
  <w:num w:numId="5">
    <w:abstractNumId w:val="5"/>
  </w:num>
  <w:num w:numId="6">
    <w:abstractNumId w:val="6"/>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3"/>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1464"/>
    <w:rsid w:val="00115418"/>
    <w:rsid w:val="001E1623"/>
    <w:rsid w:val="001E59CB"/>
    <w:rsid w:val="00284340"/>
    <w:rsid w:val="003F0C88"/>
    <w:rsid w:val="004B7B81"/>
    <w:rsid w:val="00782C62"/>
    <w:rsid w:val="009D146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26147AB-0142-4614-AA30-7629510FD5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4"/>
        <w:szCs w:val="24"/>
        <w:lang w:val="es-MX" w:eastAsia="es-MX"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76604"/>
  </w:style>
  <w:style w:type="paragraph" w:styleId="Ttulo1">
    <w:name w:val="heading 1"/>
    <w:basedOn w:val="Normal"/>
    <w:next w:val="Normal"/>
    <w:link w:val="Ttulo1Car"/>
    <w:uiPriority w:val="9"/>
    <w:qFormat/>
    <w:rsid w:val="00476604"/>
    <w:pPr>
      <w:keepNext/>
      <w:keepLines/>
      <w:spacing w:before="240"/>
      <w:outlineLvl w:val="0"/>
    </w:pPr>
    <w:rPr>
      <w:rFonts w:asciiTheme="majorHAnsi" w:eastAsiaTheme="majorEastAsia" w:hAnsiTheme="majorHAnsi" w:cstheme="majorBidi"/>
      <w:color w:val="2E74B5" w:themeColor="accent1" w:themeShade="BF"/>
      <w:sz w:val="32"/>
      <w:szCs w:val="32"/>
      <w:lang w:eastAsia="es-ES"/>
    </w:rPr>
  </w:style>
  <w:style w:type="paragraph" w:styleId="Ttulo2">
    <w:name w:val="heading 2"/>
    <w:basedOn w:val="Normal"/>
    <w:next w:val="Normal"/>
    <w:link w:val="Ttulo2Car"/>
    <w:uiPriority w:val="9"/>
    <w:unhideWhenUsed/>
    <w:qFormat/>
    <w:rsid w:val="00476604"/>
    <w:pPr>
      <w:keepNext/>
      <w:keepLines/>
      <w:spacing w:before="40" w:line="256" w:lineRule="auto"/>
      <w:outlineLvl w:val="1"/>
    </w:pPr>
    <w:rPr>
      <w:rFonts w:asciiTheme="majorHAnsi" w:eastAsiaTheme="majorEastAsia" w:hAnsiTheme="majorHAnsi" w:cstheme="majorBidi"/>
      <w:color w:val="2E74B5" w:themeColor="accent1" w:themeShade="BF"/>
      <w:sz w:val="26"/>
      <w:szCs w:val="26"/>
      <w:lang w:eastAsia="en-US"/>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rPr>
  </w:style>
  <w:style w:type="paragraph" w:styleId="Ttulo5">
    <w:name w:val="heading 5"/>
    <w:basedOn w:val="Normal"/>
    <w:next w:val="Normal"/>
    <w:pPr>
      <w:keepNext/>
      <w:keepLines/>
      <w:spacing w:before="220" w:after="40"/>
      <w:outlineLvl w:val="4"/>
    </w:pPr>
    <w:rPr>
      <w:b/>
      <w:sz w:val="22"/>
      <w:szCs w:val="22"/>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Puesto">
    <w:name w:val="Title"/>
    <w:basedOn w:val="Normal"/>
    <w:next w:val="Normal"/>
    <w:pPr>
      <w:keepNext/>
      <w:keepLines/>
      <w:spacing w:before="480" w:after="120"/>
    </w:pPr>
    <w:rPr>
      <w:b/>
      <w:sz w:val="72"/>
      <w:szCs w:val="72"/>
    </w:rPr>
  </w:style>
  <w:style w:type="character" w:customStyle="1" w:styleId="Ttulo1Car">
    <w:name w:val="Título 1 Car"/>
    <w:basedOn w:val="Fuentedeprrafopredeter"/>
    <w:link w:val="Ttulo1"/>
    <w:uiPriority w:val="9"/>
    <w:rsid w:val="00476604"/>
    <w:rPr>
      <w:rFonts w:asciiTheme="majorHAnsi" w:eastAsiaTheme="majorEastAsia" w:hAnsiTheme="majorHAnsi" w:cstheme="majorBidi"/>
      <w:color w:val="2E74B5" w:themeColor="accent1" w:themeShade="BF"/>
      <w:sz w:val="32"/>
      <w:szCs w:val="32"/>
      <w:lang w:eastAsia="es-ES"/>
    </w:rPr>
  </w:style>
  <w:style w:type="character" w:customStyle="1" w:styleId="Ttulo2Car">
    <w:name w:val="Título 2 Car"/>
    <w:basedOn w:val="Fuentedeprrafopredeter"/>
    <w:link w:val="Ttulo2"/>
    <w:uiPriority w:val="9"/>
    <w:rsid w:val="00476604"/>
    <w:rPr>
      <w:rFonts w:asciiTheme="majorHAnsi" w:eastAsiaTheme="majorEastAsia" w:hAnsiTheme="majorHAnsi" w:cstheme="majorBidi"/>
      <w:color w:val="2E74B5" w:themeColor="accent1" w:themeShade="BF"/>
      <w:sz w:val="26"/>
      <w:szCs w:val="26"/>
    </w:rPr>
  </w:style>
  <w:style w:type="paragraph" w:styleId="Encabezado">
    <w:name w:val="header"/>
    <w:basedOn w:val="Normal"/>
    <w:link w:val="EncabezadoCar"/>
    <w:uiPriority w:val="99"/>
    <w:unhideWhenUsed/>
    <w:rsid w:val="00476604"/>
    <w:pPr>
      <w:tabs>
        <w:tab w:val="center" w:pos="4252"/>
        <w:tab w:val="right" w:pos="8504"/>
      </w:tabs>
    </w:pPr>
    <w:rPr>
      <w:rFonts w:asciiTheme="minorHAnsi" w:eastAsiaTheme="minorEastAsia" w:hAnsiTheme="minorHAnsi" w:cstheme="minorBidi"/>
      <w:lang w:val="es-ES_tradnl" w:eastAsia="es-ES"/>
    </w:rPr>
  </w:style>
  <w:style w:type="character" w:customStyle="1" w:styleId="EncabezadoCar">
    <w:name w:val="Encabezado Car"/>
    <w:basedOn w:val="Fuentedeprrafopredeter"/>
    <w:link w:val="Encabezado"/>
    <w:uiPriority w:val="99"/>
    <w:rsid w:val="00476604"/>
    <w:rPr>
      <w:rFonts w:eastAsiaTheme="minorEastAsia"/>
      <w:sz w:val="24"/>
      <w:szCs w:val="24"/>
      <w:lang w:val="es-ES_tradnl" w:eastAsia="es-ES"/>
    </w:rPr>
  </w:style>
  <w:style w:type="paragraph" w:styleId="Piedepgina">
    <w:name w:val="footer"/>
    <w:basedOn w:val="Normal"/>
    <w:link w:val="PiedepginaCar"/>
    <w:uiPriority w:val="99"/>
    <w:unhideWhenUsed/>
    <w:rsid w:val="00476604"/>
    <w:pPr>
      <w:tabs>
        <w:tab w:val="center" w:pos="4252"/>
        <w:tab w:val="right" w:pos="8504"/>
      </w:tabs>
    </w:pPr>
    <w:rPr>
      <w:rFonts w:asciiTheme="minorHAnsi" w:eastAsiaTheme="minorEastAsia" w:hAnsiTheme="minorHAnsi" w:cstheme="minorBidi"/>
      <w:lang w:val="es-ES_tradnl" w:eastAsia="es-ES"/>
    </w:rPr>
  </w:style>
  <w:style w:type="character" w:customStyle="1" w:styleId="PiedepginaCar">
    <w:name w:val="Pie de página Car"/>
    <w:basedOn w:val="Fuentedeprrafopredeter"/>
    <w:link w:val="Piedepgina"/>
    <w:uiPriority w:val="99"/>
    <w:rsid w:val="00476604"/>
    <w:rPr>
      <w:rFonts w:eastAsiaTheme="minorEastAsia"/>
      <w:sz w:val="24"/>
      <w:szCs w:val="24"/>
      <w:lang w:val="es-ES_tradnl" w:eastAsia="es-ES"/>
    </w:r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34"/>
    <w:qFormat/>
    <w:locked/>
    <w:rsid w:val="00476604"/>
    <w:rPr>
      <w:rFonts w:ascii="Times New Roman" w:eastAsia="Times New Roman" w:hAnsi="Times New Roman" w:cs="Times New Roman"/>
      <w:lang w:val="es-ES"/>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476604"/>
    <w:pPr>
      <w:ind w:left="708"/>
    </w:pPr>
    <w:rPr>
      <w:sz w:val="22"/>
      <w:szCs w:val="22"/>
      <w:lang w:val="es-ES" w:eastAsia="en-US"/>
    </w:rPr>
  </w:style>
  <w:style w:type="table" w:styleId="Tablaconcuadrcula">
    <w:name w:val="Table Grid"/>
    <w:basedOn w:val="Tablanormal"/>
    <w:uiPriority w:val="59"/>
    <w:rsid w:val="00476604"/>
    <w:rPr>
      <w:rFonts w:eastAsiaTheme="minorEastAsia"/>
      <w:lang w:val="es-ES_tradnl" w:eastAsia="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notapie">
    <w:name w:val="footnote text"/>
    <w:aliases w:val="Footnote Text Char Char Char Char Char,Footnote Text Char Char Char Char,Footnote reference,FA Fu,Footnote Text Char Char Char,Footnote Text Cha,FA Fußnotentext,FA Fu?notentext,Footnote Text Char Char,FA Fuﬂnotentext,Ca,FA Fu?notente,ADB"/>
    <w:basedOn w:val="Normal"/>
    <w:link w:val="TextonotapieCar"/>
    <w:uiPriority w:val="99"/>
    <w:unhideWhenUsed/>
    <w:qFormat/>
    <w:rsid w:val="00476604"/>
    <w:rPr>
      <w:rFonts w:asciiTheme="minorHAnsi" w:eastAsiaTheme="minorHAnsi" w:hAnsiTheme="minorHAnsi" w:cstheme="minorBidi"/>
      <w:sz w:val="20"/>
      <w:szCs w:val="20"/>
      <w:lang w:eastAsia="en-US"/>
    </w:rPr>
  </w:style>
  <w:style w:type="character" w:customStyle="1" w:styleId="TextonotapieCar">
    <w:name w:val="Texto nota pie Car"/>
    <w:aliases w:val="Footnote Text Char Char Char Char Char Car,Footnote Text Char Char Char Char Car,Footnote reference Car,FA Fu Car,Footnote Text Char Char Char Car,Footnote Text Cha Car,FA Fußnotentext Car,FA Fu?notentext Car,FA Fuﬂnotentext Car"/>
    <w:basedOn w:val="Fuentedeprrafopredeter"/>
    <w:link w:val="Textonotapie"/>
    <w:uiPriority w:val="99"/>
    <w:qFormat/>
    <w:rsid w:val="00476604"/>
    <w:rPr>
      <w:sz w:val="20"/>
      <w:szCs w:val="20"/>
    </w:rPr>
  </w:style>
  <w:style w:type="character" w:styleId="Refdenotaalpie">
    <w:name w:val="footnote reference"/>
    <w:aliases w:val="Footnotes refss,Texto de nota al pie,Ref. de nota al pie 2,Appel note de bas de page,referencia nota al pie,BVI fnr,Footnote number,f,4_G,16 Point,Superscript 6 Point,Texto nota al pie,Footnote Reference Char3,Ref,de nota al pie,註腳內容"/>
    <w:basedOn w:val="Fuentedeprrafopredeter"/>
    <w:uiPriority w:val="99"/>
    <w:unhideWhenUsed/>
    <w:qFormat/>
    <w:rsid w:val="00476604"/>
    <w:rPr>
      <w:vertAlign w:val="superscript"/>
    </w:rPr>
  </w:style>
  <w:style w:type="paragraph" w:styleId="Continuarlista">
    <w:name w:val="List Continue"/>
    <w:basedOn w:val="Normal"/>
    <w:uiPriority w:val="99"/>
    <w:unhideWhenUsed/>
    <w:rsid w:val="00476604"/>
    <w:pPr>
      <w:spacing w:after="120"/>
      <w:ind w:left="283"/>
      <w:contextualSpacing/>
    </w:pPr>
  </w:style>
  <w:style w:type="paragraph" w:styleId="Sangradetextonormal">
    <w:name w:val="Body Text Indent"/>
    <w:basedOn w:val="Normal"/>
    <w:link w:val="SangradetextonormalCar"/>
    <w:uiPriority w:val="99"/>
    <w:unhideWhenUsed/>
    <w:rsid w:val="00476604"/>
    <w:pPr>
      <w:spacing w:after="120"/>
      <w:ind w:left="283"/>
    </w:pPr>
  </w:style>
  <w:style w:type="character" w:customStyle="1" w:styleId="SangradetextonormalCar">
    <w:name w:val="Sangría de texto normal Car"/>
    <w:basedOn w:val="Fuentedeprrafopredeter"/>
    <w:link w:val="Sangradetextonormal"/>
    <w:uiPriority w:val="99"/>
    <w:rsid w:val="00476604"/>
    <w:rPr>
      <w:rFonts w:ascii="Times New Roman" w:eastAsia="Times New Roman" w:hAnsi="Times New Roman" w:cs="Times New Roman"/>
      <w:sz w:val="24"/>
      <w:szCs w:val="24"/>
      <w:lang w:eastAsia="es-MX"/>
    </w:rPr>
  </w:style>
  <w:style w:type="paragraph" w:styleId="Textoindependienteprimerasangra2">
    <w:name w:val="Body Text First Indent 2"/>
    <w:basedOn w:val="Sangradetextonormal"/>
    <w:link w:val="Textoindependienteprimerasangra2Car"/>
    <w:uiPriority w:val="99"/>
    <w:unhideWhenUsed/>
    <w:rsid w:val="00476604"/>
    <w:pPr>
      <w:spacing w:after="0"/>
      <w:ind w:left="360" w:firstLine="360"/>
    </w:pPr>
  </w:style>
  <w:style w:type="character" w:customStyle="1" w:styleId="Textoindependienteprimerasangra2Car">
    <w:name w:val="Texto independiente primera sangría 2 Car"/>
    <w:basedOn w:val="SangradetextonormalCar"/>
    <w:link w:val="Textoindependienteprimerasangra2"/>
    <w:uiPriority w:val="99"/>
    <w:rsid w:val="00476604"/>
    <w:rPr>
      <w:rFonts w:ascii="Times New Roman" w:eastAsia="Times New Roman" w:hAnsi="Times New Roman" w:cs="Times New Roman"/>
      <w:sz w:val="24"/>
      <w:szCs w:val="24"/>
      <w:lang w:eastAsia="es-MX"/>
    </w:rPr>
  </w:style>
  <w:style w:type="character" w:styleId="Hipervnculo">
    <w:name w:val="Hyperlink"/>
    <w:basedOn w:val="Fuentedeprrafopredeter"/>
    <w:uiPriority w:val="99"/>
    <w:unhideWhenUsed/>
    <w:rsid w:val="00476604"/>
    <w:rPr>
      <w:color w:val="0563C1" w:themeColor="hyperlink"/>
      <w:u w:val="single"/>
    </w:rPr>
  </w:style>
  <w:style w:type="table" w:customStyle="1" w:styleId="Tablaconcuadrcula1">
    <w:name w:val="Tabla con cuadrícula1"/>
    <w:basedOn w:val="Tablanormal"/>
    <w:next w:val="Tablaconcuadrcula"/>
    <w:uiPriority w:val="59"/>
    <w:rsid w:val="00726627"/>
    <w:rPr>
      <w:rFonts w:eastAsiaTheme="minorEastAsia"/>
      <w:lang w:val="es-ES_tradnl" w:eastAsia="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0" w:type="dxa"/>
        <w:left w:w="108" w:type="dxa"/>
        <w:bottom w:w="0" w:type="dxa"/>
        <w:right w:w="108" w:type="dxa"/>
      </w:tblCellMar>
    </w:tblPr>
  </w:style>
  <w:style w:type="table" w:customStyle="1" w:styleId="a0">
    <w:basedOn w:val="TableNormal"/>
    <w:tblPr>
      <w:tblStyleRowBandSize w:val="1"/>
      <w:tblStyleColBandSize w:val="1"/>
      <w:tblCellMar>
        <w:top w:w="0" w:type="dxa"/>
        <w:left w:w="108" w:type="dxa"/>
        <w:bottom w:w="0" w:type="dxa"/>
        <w:right w:w="108" w:type="dxa"/>
      </w:tblCellMar>
    </w:tblPr>
  </w:style>
  <w:style w:type="table" w:customStyle="1" w:styleId="a1">
    <w:basedOn w:val="TableNormal"/>
    <w:tblPr>
      <w:tblStyleRowBandSize w:val="1"/>
      <w:tblStyleColBandSize w:val="1"/>
      <w:tblCellMar>
        <w:top w:w="0" w:type="dxa"/>
        <w:left w:w="108" w:type="dxa"/>
        <w:bottom w:w="0" w:type="dxa"/>
        <w:right w:w="108" w:type="dxa"/>
      </w:tblCellMar>
    </w:tblPr>
  </w:style>
  <w:style w:type="table" w:customStyle="1" w:styleId="a2">
    <w:basedOn w:val="TableNormal"/>
    <w:tblPr>
      <w:tblStyleRowBandSize w:val="1"/>
      <w:tblStyleColBandSize w:val="1"/>
      <w:tblCellMar>
        <w:top w:w="0" w:type="dxa"/>
        <w:left w:w="108" w:type="dxa"/>
        <w:bottom w:w="0" w:type="dxa"/>
        <w:right w:w="108" w:type="dxa"/>
      </w:tblCellMar>
    </w:tblPr>
  </w:style>
  <w:style w:type="table" w:customStyle="1" w:styleId="a3">
    <w:basedOn w:val="TableNormal"/>
    <w:tblPr>
      <w:tblStyleRowBandSize w:val="1"/>
      <w:tblStyleColBandSize w:val="1"/>
      <w:tblCellMar>
        <w:top w:w="0" w:type="dxa"/>
        <w:left w:w="115" w:type="dxa"/>
        <w:bottom w:w="0" w:type="dxa"/>
        <w:right w:w="115" w:type="dxa"/>
      </w:tblCellMar>
    </w:tblPr>
  </w:style>
  <w:style w:type="table" w:customStyle="1" w:styleId="a4">
    <w:basedOn w:val="TableNormal"/>
    <w:tblPr>
      <w:tblStyleRowBandSize w:val="1"/>
      <w:tblStyleColBandSize w:val="1"/>
      <w:tblCellMar>
        <w:top w:w="0" w:type="dxa"/>
        <w:left w:w="115" w:type="dxa"/>
        <w:bottom w:w="0" w:type="dxa"/>
        <w:right w:w="115" w:type="dxa"/>
      </w:tblCellMar>
    </w:tblPr>
  </w:style>
  <w:style w:type="table" w:customStyle="1" w:styleId="a5">
    <w:basedOn w:val="TableNormal"/>
    <w:tblPr>
      <w:tblStyleRowBandSize w:val="1"/>
      <w:tblStyleColBandSize w:val="1"/>
      <w:tblCellMar>
        <w:top w:w="0" w:type="dxa"/>
        <w:left w:w="115" w:type="dxa"/>
        <w:bottom w:w="0"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q+AFXoAeZUwuIC85nKkhvlIRxvw==">CgMxLjAyCGguZ2pkZ3hzMgloLjMwajB6bGwyCWguMWZvYjl0ZTIJaC4zem55c2g3MgloLjJldDkycDAyCGgudHlqY3d0MgloLjNkeTZ2a20yCWguMXQzaDVzZjIJaC40ZDM0b2c4MgloLjJzOGV5bzEyCWguMjZpbjFyZzIJaC4xdDNoNXNmMghoLmxueGJ6OTIJaC4zNW5rdW4yOAByITFhWFRTQ29uMlNncURMTVM5dUxkVk14bEtnT0NSamhGUQ==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48</Pages>
  <Words>11710</Words>
  <Characters>64410</Characters>
  <Application>Microsoft Office Word</Application>
  <DocSecurity>0</DocSecurity>
  <Lines>536</Lines>
  <Paragraphs>151</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75969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INFOEM399</dc:creator>
  <cp:lastModifiedBy>USUARIO</cp:lastModifiedBy>
  <cp:revision>6</cp:revision>
  <cp:lastPrinted>2024-10-30T21:41:00Z</cp:lastPrinted>
  <dcterms:created xsi:type="dcterms:W3CDTF">2024-10-15T20:36:00Z</dcterms:created>
  <dcterms:modified xsi:type="dcterms:W3CDTF">2024-10-30T21:50:00Z</dcterms:modified>
</cp:coreProperties>
</file>